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仲裁答辩书</w:t>
      </w:r>
    </w:p>
    <w:p>
      <w:pPr>
        <w:pStyle w:val="LegalNoIndent"/>
      </w:pPr>
      <w:r>
        <w:rPr>
          <w:rFonts w:ascii="仿宋_GB2312" w:hAnsi="仿宋_GB2312" w:eastAsia="仿宋_GB2312"/>
        </w:rPr>
        <w:t>答辩人（被申请人）：〔姓名或单位名称〕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统一社会信用代码/身份证号：〔填写〕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法定代表人/负责人：〔填写，个人可删除本行〕</w:t>
      </w:r>
    </w:p>
    <w:p>
      <w:pPr>
        <w:pStyle w:val="LegalNoIndent"/>
      </w:pPr>
      <w:r>
        <w:rPr>
          <w:rFonts w:ascii="仿宋_GB2312" w:hAnsi="仿宋_GB2312" w:eastAsia="仿宋_GB2312"/>
        </w:rPr>
        <w:t>委托代理人：〔填写〕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被答辩人（申请人）：〔姓名或单位名称〕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案号：〔如有请填写：案号；无则删除本行〕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〔必填：针对现有仲裁请求提出明确、可执行的答辩请求〕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〔如有请填写：仲裁规则、合同或法律允许且与当前答辩直接相关的费用请求；无则删除本项〕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〔如有请填写：现有材料已提出且为完成当前答辩所必要的其他答辩请求；无则删除本项〕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二、答辩意见</w:t>
      </w:r>
    </w:p>
    <w:p>
      <w:pPr>
        <w:pStyle w:val="LegalBody"/>
      </w:pPr>
      <w:r>
        <w:rPr>
          <w:rFonts w:ascii="仿宋_GB2312" w:hAnsi="仿宋_GB2312" w:eastAsia="仿宋_GB2312"/>
        </w:rPr>
        <w:t>〔填写：概括针对现有仲裁请求、事实、理由或证据的总体答辩结论。〕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三、事实与理由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〔填写：针对现有仲裁请求中已提出且足以影响请求成立的程序、合同或履行事项作出回应。〕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〔填写：围绕现有材料中的责任基础、金额计算、履行情况和其他实际争点展开；按案件需要增删分项。〕</w:t>
      </w:r>
    </w:p>
    <w:p>
      <w:pPr>
        <w:pStyle w:val="LegalBody"/>
      </w:pPr>
      <w:r>
        <w:rPr>
          <w:rFonts w:ascii="仿宋_GB2312" w:hAnsi="仿宋_GB2312" w:eastAsia="仿宋_GB2312"/>
        </w:rPr>
        <w:t>〔填写：仅写入有材料支持并已核验的事实和法律依据；证据编号、名称、页码和证明事项另见同步生成的证据目录。〕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四、综合意见</w:t>
      </w:r>
    </w:p>
    <w:p>
      <w:pPr>
        <w:pStyle w:val="LegalBody"/>
      </w:pPr>
      <w:r>
        <w:rPr>
          <w:rFonts w:ascii="仿宋_GB2312" w:hAnsi="仿宋_GB2312" w:eastAsia="仿宋_GB2312"/>
        </w:rPr>
        <w:t>〔填写：归纳已核验事实、证据和法律依据与答辩请求的对应关系。〕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〔仲裁机构名称〕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答辩人：〔签名或盖章〕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