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600" w:lineRule="exact"/>
        <w:jc w:val="center"/>
      </w:pPr>
      <w:r>
        <w:rPr>
          <w:rFonts w:ascii="Times New Roman" w:hAnsi="Times New Roman" w:eastAsia="黑体"/>
          <w:b/>
          <w:sz w:val="44"/>
        </w:rPr>
        <w:t>法律文书标准格式说明</w:t>
      </w: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一、适用范围</w:t>
      </w:r>
    </w:p>
    <w:p>
      <w:pPr>
        <w:pStyle w:val="LegalBody"/>
      </w:pPr>
      <w:r>
        <w:rPr>
          <w:rFonts w:ascii="仿宋_GB2312" w:hAnsi="仿宋_GB2312" w:eastAsia="仿宋_GB2312"/>
        </w:rPr>
        <w:t>本模板包适用于民事起诉状、民事答辩状、商事仲裁申请书、商事仲裁答辩书、劳动人事争议仲裁申请书、劳动人事争议仲裁答辩状及证据目录。整体风格按正式提交件处理，以清晰、稳妥、便于打印盖章为优先。</w:t>
      </w: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二、通用页面与字体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正文类文书统一采用 A4 竖版，页边距为上 2.6cm、下 2.4cm、左 2.8cm、右 2.5cm；标题为黑体二号，正文为仿宋_GB2312 三号，正文固定行距 28 磅。</w:t>
      </w: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三、段落与层级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当事人信息、案由、此致和落款不缩进；普通正文首行缩进两个汉字；一级标题采用“一、二、三”格式，黑体三号加粗。请求事项使用真实 Word 自动编号，便于增删后自动更新。</w:t>
      </w: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四、证据目录</w:t>
      </w:r>
    </w:p>
    <w:p>
      <w:pPr>
        <w:pStyle w:val="LegalBody"/>
      </w:pPr>
      <w:r>
        <w:rPr>
          <w:rFonts w:ascii="仿宋_GB2312" w:hAnsi="仿宋_GB2312" w:eastAsia="仿宋_GB2312"/>
        </w:rPr>
        <w:t>所有起诉状、申请书和答辩状正文均不设置独立“证据和证据来源”章节，并与证据目录成对生成。证据目录采用“编号、证据名称、页码、证明事项”四列，表头跨页重复，表格行高不固定。证据尚未齐备时，证据目录标注为“待补证 / 内部草稿”，不得省略。</w:t>
      </w: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五、盖章和提交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模板本身不嵌入印章图片。建议定稿后另存 PDF 或打印后盖章，避免修改正文时印章位置漂移。落款区域已预留右侧签章空间。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560" w:lineRule="exact"/>
      <w:ind w:firstLine="641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NoIndent">
    <w:name w:val="Legal No Inden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Heading">
    <w:name w:val="Legal Heading"/>
    <w:pPr>
      <w:spacing w:before="120" w:after="0" w:line="560" w:lineRule="exact"/>
    </w:pPr>
    <w:rPr>
      <w:rFonts w:ascii="Times New Roman" w:hAnsi="Times New Roman" w:eastAsia="黑体"/>
      <w:b/>
      <w:color w:val="000000"/>
      <w:sz w:val="32"/>
    </w:rPr>
  </w:style>
  <w:style w:type="paragraph" w:customStyle="1" w:styleId="LegalSignature">
    <w:name w:val="Legal Signature"/>
    <w:pPr>
      <w:spacing w:before="0" w:after="0" w:line="560" w:lineRule="exact"/>
      <w:jc w:val="righ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List">
    <w:name w:val="Legal Lis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LegalOS</dc:creator>
  <cp:keywords>LegalOS, pleading template</cp:keywords>
  <dc:description>Generic public template; no matter data.</dc:description>
  <cp:lastModifiedBy>LegalOS</cp:lastModifiedBy>
  <cp:revision>1</cp:revision>
  <dcterms:created xsi:type="dcterms:W3CDTF">2026-07-17T00:00:00Z</dcterms:created>
  <dcterms:modified xsi:type="dcterms:W3CDTF">2026-07-17T00:00:00Z</dcterms:modified>
  <cp:category/>
</cp:coreProperties>
</file>