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9" name="image2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-292278</wp:posOffset>
            </wp:positionV>
            <wp:extent cx="1910080" cy="917575"/>
            <wp:effectExtent b="0" l="0" r="0" t="0"/>
            <wp:wrapNone/>
            <wp:docPr descr="Kereval" id="10" name="image1.png"/>
            <a:graphic>
              <a:graphicData uri="http://schemas.openxmlformats.org/drawingml/2006/picture">
                <pic:pic>
                  <pic:nvPicPr>
                    <pic:cNvPr descr="Kerev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Consulting sur les scénarios de validation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06/06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13h45 → 14h30   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Floyd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Paul TRÉMOUREUX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Consulting SV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Paul TRÉMOUREUX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Plutôt ensoleillé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 TRÉMOUREUX et Camille CONSTANT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Consulting pour poser toutes les questions nécessaires sur les scénarios de validation sur Squash. Pour dans un premier temps les valider et aussi vérifier que c’est faisable sur robot framework.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Faire des scénarios spécifiques pour tester les enchainements de scénarios : exemple → scénario avec trames ponctuelles != scénario avec trames cycliques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Faire des scénarios pour tester la persistance des données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Créer des fichier .txt pour lister les ${trames} à créer pour les JDD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ind w:firstLine="708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r4g2mj9nxp5CANb0P3n7iPgMg==">CgMxLjA4AHIhMWJjb2gxMS1zaWw4N3AtRDBGVVBXSXFiaENlVF9keFVj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