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389B" w14:textId="77777777" w:rsidR="008E6D14" w:rsidRPr="008E6D14" w:rsidRDefault="008E6D14" w:rsidP="008E6D14">
      <w:pPr>
        <w:spacing w:before="100" w:beforeAutospacing="1" w:after="100" w:afterAutospacing="1"/>
        <w:outlineLvl w:val="0"/>
        <w:rPr>
          <w:rFonts w:ascii="Times New Roman" w:eastAsia="Times New Roman" w:hAnsi="Times New Roman" w:cs="Times New Roman"/>
          <w:b/>
          <w:bCs/>
          <w:kern w:val="36"/>
          <w:sz w:val="48"/>
          <w:szCs w:val="48"/>
          <w:lang w:val="da-DK" w:eastAsia="da-DK"/>
          <w14:ligatures w14:val="none"/>
        </w:rPr>
      </w:pPr>
      <w:r w:rsidRPr="008E6D14">
        <w:rPr>
          <w:rFonts w:ascii="Times New Roman" w:eastAsia="Times New Roman" w:hAnsi="Times New Roman" w:cs="Times New Roman"/>
          <w:b/>
          <w:bCs/>
          <w:kern w:val="36"/>
          <w:sz w:val="48"/>
          <w:szCs w:val="48"/>
          <w:lang w:val="da-DK" w:eastAsia="da-DK"/>
          <w14:ligatures w14:val="none"/>
        </w:rPr>
        <w:t>Signal Fusion with Meta-Learners: An Explainable Framework for Data-Driven Decision Support</w:t>
      </w:r>
    </w:p>
    <w:p w14:paraId="172565A2"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Author:</w:t>
      </w:r>
      <w:r w:rsidRPr="008E6D14">
        <w:rPr>
          <w:rFonts w:ascii="Times New Roman" w:eastAsia="Times New Roman" w:hAnsi="Times New Roman" w:cs="Times New Roman"/>
          <w:kern w:val="0"/>
          <w:lang w:val="da-DK" w:eastAsia="da-DK"/>
          <w14:ligatures w14:val="none"/>
        </w:rPr>
        <w:t xml:space="preserve"> Your Name, Supervisor Name</w:t>
      </w:r>
    </w:p>
    <w:p w14:paraId="10B8AABB"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7D1C0E">
        <w:rPr>
          <w:rFonts w:ascii="Times New Roman" w:eastAsia="Times New Roman" w:hAnsi="Times New Roman" w:cs="Times New Roman"/>
          <w:noProof/>
          <w:kern w:val="0"/>
          <w:lang w:val="da-DK" w:eastAsia="da-DK"/>
        </w:rPr>
        <w:pict w14:anchorId="78B8D2A8">
          <v:rect id="_x0000_i1043" alt="" style="width:481.4pt;height:.05pt;mso-width-percent:0;mso-height-percent:0;mso-width-percent:0;mso-height-percent:0" o:hrpct="999" o:hralign="center" o:hrstd="t" o:hr="t" fillcolor="#a0a0a0" stroked="f"/>
        </w:pict>
      </w:r>
    </w:p>
    <w:p w14:paraId="177A883A"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Abstract</w:t>
      </w:r>
    </w:p>
    <w:p w14:paraId="52C8C6B3"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Contract renegotiation in global pharmaceutical supply chains requires systematic prioritization across heterogeneous procurement departments, each governed by distinct renegotiation heuristics. Gold-labeled renegotiation decisions are scarce, unevenly distributed across departments, and expensive to obtain, rendering standard supervised learning infeasible. This thesis develops a two-stage signal fusion framework that addresses this challenge. Stage 1 employs Snorkel's data programming paradigm to generate probabilistic renegotiation labels from global and department-specific heuristic labeling functions, then trains discriminative baseline models under three experimental conditions (weak-only, gold-only, hybrid) to establish baseline performance and isolate the value of each supervision source (Ratner et al., 2017)(Ratner et al., 2017). Stage 2 applies Model-Agnostic Meta-Learning (MAML) to learn a shared meta-initialization across gold-labeled departments, enabling rapid adaptation to a target department with only 5–10 gold labels Vanschoren, 2019)(Lee et al., 2024)(Jiang et al., 2021). The framework fuses six heterogeneous data views (contract core, financial, ESG, market, news, macro-logistics) with structured missingness ranging from 0.8% to 98%, treating data absence as an informative signal. Evaluation combines classification (AUROC, log-loss), ranking (Precision@10, NDCG@10), and calibration (ECE) metrics on held-out gold labels, with SHAP-based explainability to support procurement decision-making (Arrieta et al., 2020)(Hettiarachchi &amp; Ranasinghe, 2023). Results demonstrate that weak supervision provides a viable foundation for renegotiation scoring, that gold-only training is insufficient under extreme label scarcity, and that MAML-based department adaptation outperforms standard fine-tuning in adaptation speed and ranking quality.</w:t>
      </w:r>
    </w:p>
    <w:p w14:paraId="7B7BB29E"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Keywords:</w:t>
      </w:r>
      <w:r w:rsidRPr="008E6D14">
        <w:rPr>
          <w:rFonts w:ascii="Times New Roman" w:eastAsia="Times New Roman" w:hAnsi="Times New Roman" w:cs="Times New Roman"/>
          <w:kern w:val="0"/>
          <w:lang w:val="da-DK" w:eastAsia="da-DK"/>
          <w14:ligatures w14:val="none"/>
        </w:rPr>
        <w:t xml:space="preserve"> weak supervision; meta-learning; MAML; contract renegotiation; signal fusion; few-shot learning; explainable AI; supply chain analytics.</w:t>
      </w:r>
    </w:p>
    <w:p w14:paraId="53803F53"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7D1C0E">
        <w:rPr>
          <w:rFonts w:ascii="Times New Roman" w:eastAsia="Times New Roman" w:hAnsi="Times New Roman" w:cs="Times New Roman"/>
          <w:noProof/>
          <w:kern w:val="0"/>
          <w:lang w:val="da-DK" w:eastAsia="da-DK"/>
        </w:rPr>
        <w:pict w14:anchorId="38FA018F">
          <v:rect id="_x0000_i1042" alt="" style="width:481.4pt;height:.05pt;mso-width-percent:0;mso-height-percent:0;mso-width-percent:0;mso-height-percent:0" o:hrpct="999" o:hralign="center" o:hrstd="t" o:hr="t" fillcolor="#a0a0a0" stroked="f"/>
        </w:pict>
      </w:r>
    </w:p>
    <w:p w14:paraId="7A0A2A97"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1. Introduction</w:t>
      </w:r>
    </w:p>
    <w:p w14:paraId="7310E215"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1.1 Brief Sketch of the Problem</w:t>
      </w:r>
    </w:p>
    <w:p w14:paraId="69BE29CD"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Global pharmaceutical companies manage thousands of supply contracts across diverse procurement departments — Logistics, Packaging Material, Drug Product Outsourcing, Raw Materials &amp; Energy, and others. Each department operates under distinct renegotiation heuristics: a Logistics contract may be flagged due to shipping cost volatility or incoterm misalignment, while a </w:t>
      </w:r>
      <w:r w:rsidRPr="008E6D14">
        <w:rPr>
          <w:rFonts w:ascii="Times New Roman" w:eastAsia="Times New Roman" w:hAnsi="Times New Roman" w:cs="Times New Roman"/>
          <w:kern w:val="0"/>
          <w:lang w:val="da-DK" w:eastAsia="da-DK"/>
          <w14:ligatures w14:val="none"/>
        </w:rPr>
        <w:lastRenderedPageBreak/>
        <w:t>Drug Substance Outsourcing contract may be flagged due to API pricing shifts or regulatory compliance changes. Procurement teams must periodically review and prioritize which contracts to renegotiate, but manual review of 9,201+ contracts is infeasible, and no systematic, data-driven prioritization framework exists.</w:t>
      </w:r>
    </w:p>
    <w:p w14:paraId="3F568626"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1.2 Urgency and Burning Platform</w:t>
      </w:r>
    </w:p>
    <w:p w14:paraId="75653020"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The urgency is threefold. First, suboptimal contract terms directly impact cost structures and supplier relationships across the supply chain. Second, procurement teams currently rely on informal, department-specific heuristics that are neither codified nor systematically applied. Third, gold-labeled renegotiation decisions — human expert judgments on whether a specific contract should be renegotiated — are extremely scarce (often only 2–5 per department), unevenly distributed, and expensive to obtain. This label scarcity makes standard supervised machine learning infeasible and motivates the use of weak supervision and meta-learning as complementary strategies (Ratner et al., 2017)(Ratner et al., 2017)Vanschoren, 2019)(Lee et al., 2024).</w:t>
      </w:r>
    </w:p>
    <w:p w14:paraId="45F4310A"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1.3 Why the Topic Is Important and Relevant</w:t>
      </w:r>
    </w:p>
    <w:p w14:paraId="440A1863"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Contract renegotiation is a high-stakes decision with direct financial impact. Poorly timed or missed renegotiations can lock organizations into unfavorable terms, while unnecessary renegotiations consume procurement resources. A data-driven framework that quantifies "renegotiation pressure" as a continuous probability score — enabling top-K prioritization — would transform procurement from reactive to proactive decision-making. The combination of weak supervision (to overcome label scarcity) and meta-learning (to enable rapid department-specific adaptation) addresses a gap that neither approach solves alone (Ratner et al., 2017)(Ratner et al., 2017)Vanschoren, 2019)(Lee et al., 2024)(Rußwurm et al., 2024)(Guo et al., 2025).</w:t>
      </w:r>
    </w:p>
    <w:p w14:paraId="525659F1"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1.4 Why It Is Complicated</w:t>
      </w:r>
    </w:p>
    <w:p w14:paraId="55C5536F"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The problem is complicated by several interacting factors:</w:t>
      </w:r>
    </w:p>
    <w:p w14:paraId="0E1E9DD9" w14:textId="77777777" w:rsidR="008E6D14" w:rsidRPr="008E6D14" w:rsidRDefault="008E6D14" w:rsidP="008E6D14">
      <w:pPr>
        <w:numPr>
          <w:ilvl w:val="0"/>
          <w:numId w:val="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Label scarcity and heterogeneity</w:t>
      </w:r>
      <w:r w:rsidRPr="008E6D14">
        <w:rPr>
          <w:rFonts w:ascii="Times New Roman" w:eastAsia="Times New Roman" w:hAnsi="Times New Roman" w:cs="Times New Roman"/>
          <w:kern w:val="0"/>
          <w:lang w:val="da-DK" w:eastAsia="da-DK"/>
          <w14:ligatures w14:val="none"/>
        </w:rPr>
        <w:t>: gold labels exist for only a subset of departments, with some departments providing only negative examples</w:t>
      </w:r>
    </w:p>
    <w:p w14:paraId="479A3D1D" w14:textId="77777777" w:rsidR="008E6D14" w:rsidRPr="008E6D14" w:rsidRDefault="008E6D14" w:rsidP="008E6D14">
      <w:pPr>
        <w:numPr>
          <w:ilvl w:val="0"/>
          <w:numId w:val="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Department-specific heuristics</w:t>
      </w:r>
      <w:r w:rsidRPr="008E6D14">
        <w:rPr>
          <w:rFonts w:ascii="Times New Roman" w:eastAsia="Times New Roman" w:hAnsi="Times New Roman" w:cs="Times New Roman"/>
          <w:kern w:val="0"/>
          <w:lang w:val="da-DK" w:eastAsia="da-DK"/>
          <w14:ligatures w14:val="none"/>
        </w:rPr>
        <w:t>: each department has different renegotiation drivers, making a single global model suboptimal</w:t>
      </w:r>
    </w:p>
    <w:p w14:paraId="03274C9E" w14:textId="77777777" w:rsidR="008E6D14" w:rsidRPr="008E6D14" w:rsidRDefault="008E6D14" w:rsidP="008E6D14">
      <w:pPr>
        <w:numPr>
          <w:ilvl w:val="0"/>
          <w:numId w:val="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Multi-view data with extreme missingness</w:t>
      </w:r>
      <w:r w:rsidRPr="008E6D14">
        <w:rPr>
          <w:rFonts w:ascii="Times New Roman" w:eastAsia="Times New Roman" w:hAnsi="Times New Roman" w:cs="Times New Roman"/>
          <w:kern w:val="0"/>
          <w:lang w:val="da-DK" w:eastAsia="da-DK"/>
          <w14:ligatures w14:val="none"/>
        </w:rPr>
        <w:t>: six data views (contract core, financial, ESG, market, news, macro-logistics) with missingness ranging from 0.8% to 98% — naive imputation would introduce massive noise (Afkanpour et al., 2024)(Zhang et al., 2025)</w:t>
      </w:r>
    </w:p>
    <w:p w14:paraId="15B2FD07" w14:textId="77777777" w:rsidR="008E6D14" w:rsidRPr="008E6D14" w:rsidRDefault="008E6D14" w:rsidP="008E6D14">
      <w:pPr>
        <w:numPr>
          <w:ilvl w:val="0"/>
          <w:numId w:val="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Dual objective</w:t>
      </w:r>
      <w:r w:rsidRPr="008E6D14">
        <w:rPr>
          <w:rFonts w:ascii="Times New Roman" w:eastAsia="Times New Roman" w:hAnsi="Times New Roman" w:cs="Times New Roman"/>
          <w:kern w:val="0"/>
          <w:lang w:val="da-DK" w:eastAsia="da-DK"/>
          <w14:ligatures w14:val="none"/>
        </w:rPr>
        <w:t>: the framework must produce both a binary classification (renegotiate yes/no) and a calibrated probability score suitable for ranking (top-K prioritization)</w:t>
      </w:r>
    </w:p>
    <w:p w14:paraId="0EA1AECB" w14:textId="77777777" w:rsidR="008E6D14" w:rsidRPr="008E6D14" w:rsidRDefault="008E6D14" w:rsidP="008E6D14">
      <w:pPr>
        <w:numPr>
          <w:ilvl w:val="0"/>
          <w:numId w:val="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Explainability requirement</w:t>
      </w:r>
      <w:r w:rsidRPr="008E6D14">
        <w:rPr>
          <w:rFonts w:ascii="Times New Roman" w:eastAsia="Times New Roman" w:hAnsi="Times New Roman" w:cs="Times New Roman"/>
          <w:kern w:val="0"/>
          <w:lang w:val="da-DK" w:eastAsia="da-DK"/>
          <w14:ligatures w14:val="none"/>
        </w:rPr>
        <w:t>: procurement teams need to understand why a contract is flagged, not just that it is flagged</w:t>
      </w:r>
    </w:p>
    <w:p w14:paraId="6BBB6388"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1.5 Unique Data Foundation</w:t>
      </w:r>
    </w:p>
    <w:p w14:paraId="0EE644AE"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The dataset comprises 9,201 global supply contracts across 13 procurement departments, enriched with six heterogeneous data views sourced from internal contract management systems, external financial databases, ESG rating providers, news sentiment APIs, and macroeconomic logistics </w:t>
      </w:r>
      <w:r w:rsidRPr="008E6D14">
        <w:rPr>
          <w:rFonts w:ascii="Times New Roman" w:eastAsia="Times New Roman" w:hAnsi="Times New Roman" w:cs="Times New Roman"/>
          <w:kern w:val="0"/>
          <w:lang w:val="da-DK" w:eastAsia="da-DK"/>
          <w14:ligatures w14:val="none"/>
        </w:rPr>
        <w:lastRenderedPageBreak/>
        <w:t>indices. This multi-view structure — with its characteristic pattern of structured, view-level missingness — is itself a contribution, as it reflects the real-world data landscape of enterprise procurement analytics.</w:t>
      </w:r>
    </w:p>
    <w:p w14:paraId="32E58CD2"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18170832">
          <v:rect id="_x0000_i1041" style="width:0;height:1.5pt" o:hralign="center" o:hrstd="t" o:hr="t" fillcolor="#a0a0a0" stroked="f"/>
        </w:pict>
      </w:r>
    </w:p>
    <w:p w14:paraId="2B582450"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2. Literature Review</w:t>
      </w:r>
    </w:p>
    <w:p w14:paraId="6F75EA99"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2.1 Weak Supervision and Data Programming</w:t>
      </w:r>
    </w:p>
    <w:p w14:paraId="19B5F21C"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The labeling bottleneck is increasingly recognized as the primary barrier to deploying machine learning in enterprise settings (Ratner et al., 2017)(Ratner et al., 2019)(Ratner et al., 2017). Snorkel introduced the data programming paradigm, where domain experts write labeling functions (LFs) that express heuristics, and a generative LabelModel denoises their outputs into probabilistic labels without access to ground truth (Ratner et al., 2017)(Ratner et al., 2017). This approach has been deployed at industrial scale (Snorkel DryBell at Google) (Bach et al., 2019)(Bach et al., 2019) and applied to clinical NLP (Fries et al., 2021; Dunnmon et al., 2020), discourse structure (Badene et al., 2019), point-of-interest classification (Tran et al., 2022), and chemical reaction extraction (Mallory et al., 2020). Semi-supervised extensions (SPEAR) combine data programming with subset selection to guide gold-label acquisition Maheshwari et al. (2021).</w:t>
      </w:r>
    </w:p>
    <w:p w14:paraId="7415DFAE"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2.2 Meta-Learning and MAML</w:t>
      </w:r>
    </w:p>
    <w:p w14:paraId="0633094E"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Meta-learning — learning to learn — aims to enable models to rapidly adapt to new tasks with few examples Vanschoren, 2019). Model-Agnostic Meta-Learning (MAML) learns a shared parameter initialization through bi-level optimization: an inner loop adapts to each task via gradient steps on a small support set, while an outer loop optimizes the initialization for adaptability across tasks Vanschoren, 2019)(Lee et al., 2024)(Jiang et al., 2021). Compute-efficient variants include FOMAML (first-order approximation) and ANIL (adapt only the final layer) (Pimpalkhute et al., 2022)(Jiang et al., 2021). MAML has been applied to Earth observation (Rußwurm et al., 2024), drug discovery (Guo et al., 2025), fault diagnosis (Zou et al., 2022; Yang et al., 2025), medical imaging (Doreen et al., 2025; Liu et al., 2024; Sun et al., 2025), NLP (Weng et al., 2023; Malik et al., 2023), and taphonomic classification (Domı́nguez-Rodrigo et al., 2025; Domínguez‐Rodrigo et al., 2025). Task similarity has been identified as a crucial factor for meta-learning success (Kötter et al., 2024).</w:t>
      </w:r>
    </w:p>
    <w:p w14:paraId="6EF8A8CF"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2.3 Few-Shot Learning and Episodic Training</w:t>
      </w:r>
    </w:p>
    <w:p w14:paraId="5471053C"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Few-shot learning addresses the challenge of generalizing from a handful of labeled examples (Lee et al., 2024)Khanday &amp; Sofi, 2025; (Jiang et al., 2021). The episodic training paradigm — sampling tasks, constructing support/query sets, and training to adapt — is the standard evaluation protocol for meta-learning (Lee et al., 2024)(Jiang et al., 2021). Metric-based approaches (Prototypical Networks) offer simpler alternatives but lack the optimization-based flexibility of MAML (Dong et al., 2021; (Jiang et al., 2021).</w:t>
      </w:r>
    </w:p>
    <w:p w14:paraId="0EE2A831"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2.4 Multi-View Learning and Organizational Resources</w:t>
      </w:r>
    </w:p>
    <w:p w14:paraId="285B07AA"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lastRenderedPageBreak/>
        <w:t>Fusing heterogeneous data sources with different coverage and quality is a recognized challenge in enterprise ML (Suri et al., 2020)Suri et al., 2020). Organizational resources — aggregate statistics, knowledge bases, existing services — can be leveraged to construct common feature spaces across data modalities (Suri et al., 2020). View-specific missingness strategies and missingness-as-signal approaches are standard in clinical and tabular ML settings (Afkanpour et al., 2024)(Zhang et al., 2025)Sadr et al., 2025).</w:t>
      </w:r>
    </w:p>
    <w:p w14:paraId="4741D083"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2.5 Explainability</w:t>
      </w:r>
    </w:p>
    <w:p w14:paraId="42E8FD91"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Explainable AI (XAI) is critical for deployment in decision-support contexts where stakeholders need to understand model predictions (Arrieta et al., 2020). SHAP provides model-agnostic feature attribution and has been applied in weakly supervised settings (Hettiarachchi &amp; Ranasinghe, 2023)(Vu, 2025).</w:t>
      </w:r>
    </w:p>
    <w:p w14:paraId="7F54848E"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2.6 Probabilistic Classification, Ranking, and Calibration</w:t>
      </w:r>
    </w:p>
    <w:p w14:paraId="686E3677"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When predicted probabilities drive operational decisions (e.g., top-K contract selection), calibration is essential (Baran et al., 2020). Proper scoring rules (log-loss, Brier score) evaluate probability quality (Muñoz et al., 2021)(Canbek, 2023). Soft-label learning preserves uncertainty from probabilistic supervision (Nguyen et al., 2014).</w:t>
      </w:r>
    </w:p>
    <w:p w14:paraId="672C6F3C"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2.7 Research Challenges and Information Holes</w:t>
      </w:r>
    </w:p>
    <w:p w14:paraId="2EB4423D"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Despite progress in weak supervision and meta-learning individually, their combination for enterprise decision-support remains unexplored. Specifically:</w:t>
      </w:r>
    </w:p>
    <w:p w14:paraId="545DF826" w14:textId="77777777" w:rsidR="008E6D14" w:rsidRPr="008E6D14" w:rsidRDefault="008E6D14" w:rsidP="008E6D14">
      <w:pPr>
        <w:numPr>
          <w:ilvl w:val="0"/>
          <w:numId w:val="2"/>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No prior work applies weak supervision + meta-learning to contract renegotiation</w:t>
      </w:r>
    </w:p>
    <w:p w14:paraId="3405A96A" w14:textId="77777777" w:rsidR="008E6D14" w:rsidRPr="008E6D14" w:rsidRDefault="008E6D14" w:rsidP="008E6D14">
      <w:pPr>
        <w:numPr>
          <w:ilvl w:val="0"/>
          <w:numId w:val="2"/>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The interaction between Snorkel-generated probabilistic labels and MAML initialization has not been studied</w:t>
      </w:r>
    </w:p>
    <w:p w14:paraId="584118A7" w14:textId="77777777" w:rsidR="008E6D14" w:rsidRPr="008E6D14" w:rsidRDefault="008E6D14" w:rsidP="008E6D14">
      <w:pPr>
        <w:numPr>
          <w:ilvl w:val="0"/>
          <w:numId w:val="2"/>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Multi-view tabular data with extreme structured missingness (up to 98%) poses challenges not addressed by standard few-shot learning benchmarks (which use images)</w:t>
      </w:r>
    </w:p>
    <w:p w14:paraId="545BB401" w14:textId="77777777" w:rsidR="008E6D14" w:rsidRPr="008E6D14" w:rsidRDefault="008E6D14" w:rsidP="008E6D14">
      <w:pPr>
        <w:numPr>
          <w:ilvl w:val="0"/>
          <w:numId w:val="2"/>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Ranking and calibration evaluation — critical for top-K decision support — is rarely included in meta-learning studies</w:t>
      </w:r>
    </w:p>
    <w:p w14:paraId="5D15756F"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59A058C9">
          <v:rect id="_x0000_i1040" style="width:0;height:1.5pt" o:hralign="center" o:hrstd="t" o:hr="t" fillcolor="#a0a0a0" stroked="f"/>
        </w:pict>
      </w:r>
    </w:p>
    <w:p w14:paraId="1B4712D2"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3. Contribution of the Paper</w:t>
      </w:r>
    </w:p>
    <w:p w14:paraId="10A9C08F"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Main Contributions</w:t>
      </w:r>
    </w:p>
    <w:p w14:paraId="5B4CDF40" w14:textId="77777777" w:rsidR="008E6D14" w:rsidRPr="008E6D14" w:rsidRDefault="008E6D14" w:rsidP="008E6D14">
      <w:pPr>
        <w:numPr>
          <w:ilvl w:val="0"/>
          <w:numId w:val="3"/>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Novel application domain</w:t>
      </w:r>
      <w:r w:rsidRPr="008E6D14">
        <w:rPr>
          <w:rFonts w:ascii="Times New Roman" w:eastAsia="Times New Roman" w:hAnsi="Times New Roman" w:cs="Times New Roman"/>
          <w:kern w:val="0"/>
          <w:lang w:val="da-DK" w:eastAsia="da-DK"/>
          <w14:ligatures w14:val="none"/>
        </w:rPr>
        <w:t>: first application of weak supervision (Snorkel) combined with meta-learning (MAML) to contract renegotiation prediction with department-specific heuristics</w:t>
      </w:r>
    </w:p>
    <w:p w14:paraId="2F1D8805" w14:textId="77777777" w:rsidR="008E6D14" w:rsidRPr="008E6D14" w:rsidRDefault="008E6D14" w:rsidP="008E6D14">
      <w:pPr>
        <w:numPr>
          <w:ilvl w:val="0"/>
          <w:numId w:val="3"/>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Two-stage pretrain-then-adapt pipeline</w:t>
      </w:r>
      <w:r w:rsidRPr="008E6D14">
        <w:rPr>
          <w:rFonts w:ascii="Times New Roman" w:eastAsia="Times New Roman" w:hAnsi="Times New Roman" w:cs="Times New Roman"/>
          <w:kern w:val="0"/>
          <w:lang w:val="da-DK" w:eastAsia="da-DK"/>
          <w14:ligatures w14:val="none"/>
        </w:rPr>
        <w:t>: a principled framework where Stage 1 (weak supervision) provides scalable label generation and model initialization, and Stage 2 (MAML) enables rapid department-specific adaptation from 5–10 gold labels</w:t>
      </w:r>
    </w:p>
    <w:p w14:paraId="1AF805A1" w14:textId="77777777" w:rsidR="008E6D14" w:rsidRPr="008E6D14" w:rsidRDefault="008E6D14" w:rsidP="008E6D14">
      <w:pPr>
        <w:numPr>
          <w:ilvl w:val="0"/>
          <w:numId w:val="3"/>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lastRenderedPageBreak/>
        <w:t>Three-condition experimental design</w:t>
      </w:r>
      <w:r w:rsidRPr="008E6D14">
        <w:rPr>
          <w:rFonts w:ascii="Times New Roman" w:eastAsia="Times New Roman" w:hAnsi="Times New Roman" w:cs="Times New Roman"/>
          <w:kern w:val="0"/>
          <w:lang w:val="da-DK" w:eastAsia="da-DK"/>
          <w14:ligatures w14:val="none"/>
        </w:rPr>
        <w:t>: a controlled triad (weak-only, gold-only, hybrid) that isolates the contribution of each supervision source and directly motivates Stage 2</w:t>
      </w:r>
    </w:p>
    <w:p w14:paraId="37FCB4DA" w14:textId="77777777" w:rsidR="008E6D14" w:rsidRPr="008E6D14" w:rsidRDefault="008E6D14" w:rsidP="008E6D14">
      <w:pPr>
        <w:numPr>
          <w:ilvl w:val="0"/>
          <w:numId w:val="3"/>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Multi-view signal fusion with structured missingness</w:t>
      </w:r>
      <w:r w:rsidRPr="008E6D14">
        <w:rPr>
          <w:rFonts w:ascii="Times New Roman" w:eastAsia="Times New Roman" w:hAnsi="Times New Roman" w:cs="Times New Roman"/>
          <w:kern w:val="0"/>
          <w:lang w:val="da-DK" w:eastAsia="da-DK"/>
          <w14:ligatures w14:val="none"/>
        </w:rPr>
        <w:t>: a view-specific missingness strategy treating data absence as informative signal across six heterogeneous data views</w:t>
      </w:r>
    </w:p>
    <w:p w14:paraId="74B2CDFB"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Other Contributions</w:t>
      </w:r>
    </w:p>
    <w:p w14:paraId="0A951EA2" w14:textId="77777777" w:rsidR="008E6D14" w:rsidRPr="008E6D14" w:rsidRDefault="008E6D14" w:rsidP="008E6D14">
      <w:pPr>
        <w:numPr>
          <w:ilvl w:val="0"/>
          <w:numId w:val="4"/>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Comprehensive evaluation framework</w:t>
      </w:r>
      <w:r w:rsidRPr="008E6D14">
        <w:rPr>
          <w:rFonts w:ascii="Times New Roman" w:eastAsia="Times New Roman" w:hAnsi="Times New Roman" w:cs="Times New Roman"/>
          <w:kern w:val="0"/>
          <w:lang w:val="da-DK" w:eastAsia="da-DK"/>
          <w14:ligatures w14:val="none"/>
        </w:rPr>
        <w:t>: combining classification (AUROC, log-loss), ranking (Precision@10, NDCG@10), and calibration (ECE) metrics — rarely combined in meta-learning studies</w:t>
      </w:r>
    </w:p>
    <w:p w14:paraId="15C4D77D" w14:textId="77777777" w:rsidR="008E6D14" w:rsidRPr="008E6D14" w:rsidRDefault="008E6D14" w:rsidP="008E6D14">
      <w:pPr>
        <w:numPr>
          <w:ilvl w:val="0"/>
          <w:numId w:val="4"/>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SHAP-based explainability</w:t>
      </w:r>
      <w:r w:rsidRPr="008E6D14">
        <w:rPr>
          <w:rFonts w:ascii="Times New Roman" w:eastAsia="Times New Roman" w:hAnsi="Times New Roman" w:cs="Times New Roman"/>
          <w:kern w:val="0"/>
          <w:lang w:val="da-DK" w:eastAsia="da-DK"/>
          <w14:ligatures w14:val="none"/>
        </w:rPr>
        <w:t>: pre/post adaptation feature attribution analysis showing how department-specific adaptation changes renegotiation drivers</w:t>
      </w:r>
    </w:p>
    <w:p w14:paraId="3B8B9773" w14:textId="77777777" w:rsidR="008E6D14" w:rsidRPr="008E6D14" w:rsidRDefault="008E6D14" w:rsidP="008E6D14">
      <w:pPr>
        <w:numPr>
          <w:ilvl w:val="0"/>
          <w:numId w:val="4"/>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Initialization ablation</w:t>
      </w:r>
      <w:r w:rsidRPr="008E6D14">
        <w:rPr>
          <w:rFonts w:ascii="Times New Roman" w:eastAsia="Times New Roman" w:hAnsi="Times New Roman" w:cs="Times New Roman"/>
          <w:kern w:val="0"/>
          <w:lang w:val="da-DK" w:eastAsia="da-DK"/>
          <w14:ligatures w14:val="none"/>
        </w:rPr>
        <w:t>: systematic comparison of how different Stage 1 pretraining strategies (weak-only vs. hybrid) affect Stage 2 meta-learning adaptation</w:t>
      </w:r>
    </w:p>
    <w:p w14:paraId="753DE3BA"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3BC0F27B">
          <v:rect id="_x0000_i1039" style="width:0;height:1.5pt" o:hralign="center" o:hrstd="t" o:hr="t" fillcolor="#a0a0a0" stroked="f"/>
        </w:pict>
      </w:r>
    </w:p>
    <w:p w14:paraId="62564550"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4. How the Paper Is Organised</w:t>
      </w:r>
    </w:p>
    <w:p w14:paraId="22ADF9BD"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Section 5 presents the methodology, including the two-stage pipeline architecture and task formulation. Section 6 covers the theoretical foundations of weak supervision and meta-learning. Section 7 details the model formulations for Stage 1 baselines and Stage 2 MAML variants. Section 8 describes the data, views, and missingness patterns. Section 9 presents the model estimation and training procedures. Section 10 provides the application and case study on Logistics department adaptation. Section 11 validates results through ablations and robustness checks. Section 12 discusses impact and implications. Section 13 summarizes conclusions and future research.</w:t>
      </w:r>
    </w:p>
    <w:p w14:paraId="07527BD0"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461C2159">
          <v:rect id="_x0000_i1038" style="width:0;height:1.5pt" o:hralign="center" o:hrstd="t" o:hr="t" fillcolor="#a0a0a0" stroked="f"/>
        </w:pict>
      </w:r>
    </w:p>
    <w:p w14:paraId="02649E3A"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5. Methodology</w:t>
      </w:r>
    </w:p>
    <w:p w14:paraId="6916CB5E"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5.1 Problem Framing</w:t>
      </w:r>
    </w:p>
    <w:p w14:paraId="2A84CD1D"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We frame contract renegotiation as a </w:t>
      </w:r>
      <w:r w:rsidRPr="008E6D14">
        <w:rPr>
          <w:rFonts w:ascii="Times New Roman" w:eastAsia="Times New Roman" w:hAnsi="Times New Roman" w:cs="Times New Roman"/>
          <w:b/>
          <w:bCs/>
          <w:kern w:val="0"/>
          <w:lang w:val="da-DK" w:eastAsia="da-DK"/>
          <w14:ligatures w14:val="none"/>
        </w:rPr>
        <w:t>department-conditional binary classification and ranking problem</w:t>
      </w:r>
      <w:r w:rsidRPr="008E6D14">
        <w:rPr>
          <w:rFonts w:ascii="Times New Roman" w:eastAsia="Times New Roman" w:hAnsi="Times New Roman" w:cs="Times New Roman"/>
          <w:kern w:val="0"/>
          <w:lang w:val="da-DK" w:eastAsia="da-DK"/>
          <w14:ligatures w14:val="none"/>
        </w:rPr>
        <w:t>: given a contract's multi-view features and its department membership, predict the probability of renegotiation and rank contracts by this probability for top-K prioritization. The key constraint is extreme label scarcity: gold labels exist for only a subset of departments, with counts as low as 2–5 per department.</w:t>
      </w:r>
    </w:p>
    <w:p w14:paraId="43BD9499"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5.2 Pipeline Architecture</w:t>
      </w:r>
    </w:p>
    <w:p w14:paraId="5AFA7ADC" w14:textId="77777777" w:rsidR="008E6D14" w:rsidRPr="008E6D14" w:rsidRDefault="008E6D14" w:rsidP="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da-DK" w:eastAsia="da-DK"/>
          <w14:ligatures w14:val="none"/>
        </w:rPr>
      </w:pPr>
      <w:r w:rsidRPr="008E6D14">
        <w:rPr>
          <w:rFonts w:ascii="Courier New" w:eastAsia="Times New Roman" w:hAnsi="Courier New" w:cs="Courier New"/>
          <w:kern w:val="0"/>
          <w:sz w:val="20"/>
          <w:szCs w:val="20"/>
          <w:lang w:val="da-DK" w:eastAsia="da-DK"/>
          <w14:ligatures w14:val="none"/>
        </w:rPr>
        <w:t>Stage 0: Data Assembly → 6 views, view-specific missingness handling</w:t>
      </w:r>
    </w:p>
    <w:p w14:paraId="56483C7C" w14:textId="77777777" w:rsidR="008E6D14" w:rsidRPr="008E6D14" w:rsidRDefault="008E6D14" w:rsidP="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da-DK" w:eastAsia="da-DK"/>
          <w14:ligatures w14:val="none"/>
        </w:rPr>
      </w:pPr>
      <w:r w:rsidRPr="008E6D14">
        <w:rPr>
          <w:rFonts w:ascii="Courier New" w:eastAsia="Times New Roman" w:hAnsi="Courier New" w:cs="Courier New"/>
          <w:kern w:val="0"/>
          <w:sz w:val="20"/>
          <w:szCs w:val="20"/>
          <w:lang w:val="da-DK" w:eastAsia="da-DK"/>
          <w14:ligatures w14:val="none"/>
        </w:rPr>
        <w:t xml:space="preserve">    ↓</w:t>
      </w:r>
    </w:p>
    <w:p w14:paraId="2C4556D6" w14:textId="77777777" w:rsidR="008E6D14" w:rsidRPr="008E6D14" w:rsidRDefault="008E6D14" w:rsidP="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da-DK" w:eastAsia="da-DK"/>
          <w14:ligatures w14:val="none"/>
        </w:rPr>
      </w:pPr>
      <w:r w:rsidRPr="008E6D14">
        <w:rPr>
          <w:rFonts w:ascii="Courier New" w:eastAsia="Times New Roman" w:hAnsi="Courier New" w:cs="Courier New"/>
          <w:kern w:val="0"/>
          <w:sz w:val="20"/>
          <w:szCs w:val="20"/>
          <w:lang w:val="da-DK" w:eastAsia="da-DK"/>
          <w14:ligatures w14:val="none"/>
        </w:rPr>
        <w:t>Stage 1A: Weak Supervision (Snorkel) → probabilistic labels for all 9,201 contracts</w:t>
      </w:r>
    </w:p>
    <w:p w14:paraId="7B2117E5" w14:textId="77777777" w:rsidR="008E6D14" w:rsidRPr="008E6D14" w:rsidRDefault="008E6D14" w:rsidP="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da-DK" w:eastAsia="da-DK"/>
          <w14:ligatures w14:val="none"/>
        </w:rPr>
      </w:pPr>
      <w:r w:rsidRPr="008E6D14">
        <w:rPr>
          <w:rFonts w:ascii="Courier New" w:eastAsia="Times New Roman" w:hAnsi="Courier New" w:cs="Courier New"/>
          <w:kern w:val="0"/>
          <w:sz w:val="20"/>
          <w:szCs w:val="20"/>
          <w:lang w:val="da-DK" w:eastAsia="da-DK"/>
          <w14:ligatures w14:val="none"/>
        </w:rPr>
        <w:t xml:space="preserve">    ↓</w:t>
      </w:r>
    </w:p>
    <w:p w14:paraId="3F9EA952" w14:textId="77777777" w:rsidR="008E6D14" w:rsidRPr="008E6D14" w:rsidRDefault="008E6D14" w:rsidP="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da-DK" w:eastAsia="da-DK"/>
          <w14:ligatures w14:val="none"/>
        </w:rPr>
      </w:pPr>
      <w:r w:rsidRPr="008E6D14">
        <w:rPr>
          <w:rFonts w:ascii="Courier New" w:eastAsia="Times New Roman" w:hAnsi="Courier New" w:cs="Courier New"/>
          <w:kern w:val="0"/>
          <w:sz w:val="20"/>
          <w:szCs w:val="20"/>
          <w:lang w:val="da-DK" w:eastAsia="da-DK"/>
          <w14:ligatures w14:val="none"/>
        </w:rPr>
        <w:t>Stage 1B: Baseline Models (3 conditions) → MLP pretrained weights (θ_MLP)</w:t>
      </w:r>
    </w:p>
    <w:p w14:paraId="44D295AA" w14:textId="77777777" w:rsidR="008E6D14" w:rsidRPr="008E6D14" w:rsidRDefault="008E6D14" w:rsidP="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da-DK" w:eastAsia="da-DK"/>
          <w14:ligatures w14:val="none"/>
        </w:rPr>
      </w:pPr>
      <w:r w:rsidRPr="008E6D14">
        <w:rPr>
          <w:rFonts w:ascii="Courier New" w:eastAsia="Times New Roman" w:hAnsi="Courier New" w:cs="Courier New"/>
          <w:kern w:val="0"/>
          <w:sz w:val="20"/>
          <w:szCs w:val="20"/>
          <w:lang w:val="da-DK" w:eastAsia="da-DK"/>
          <w14:ligatures w14:val="none"/>
        </w:rPr>
        <w:t xml:space="preserve">    ↓</w:t>
      </w:r>
    </w:p>
    <w:p w14:paraId="5DC483A8" w14:textId="77777777" w:rsidR="008E6D14" w:rsidRPr="008E6D14" w:rsidRDefault="008E6D14" w:rsidP="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da-DK" w:eastAsia="da-DK"/>
          <w14:ligatures w14:val="none"/>
        </w:rPr>
      </w:pPr>
      <w:r w:rsidRPr="008E6D14">
        <w:rPr>
          <w:rFonts w:ascii="Courier New" w:eastAsia="Times New Roman" w:hAnsi="Courier New" w:cs="Courier New"/>
          <w:kern w:val="0"/>
          <w:sz w:val="20"/>
          <w:szCs w:val="20"/>
          <w:lang w:val="da-DK" w:eastAsia="da-DK"/>
          <w14:ligatures w14:val="none"/>
        </w:rPr>
        <w:lastRenderedPageBreak/>
        <w:t>Stage 2: Meta-Learning (MAML/ANIL) → department-adapted model (φ_dept)</w:t>
      </w:r>
    </w:p>
    <w:p w14:paraId="56FBA942" w14:textId="77777777" w:rsidR="008E6D14" w:rsidRPr="008E6D14" w:rsidRDefault="008E6D14" w:rsidP="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da-DK" w:eastAsia="da-DK"/>
          <w14:ligatures w14:val="none"/>
        </w:rPr>
      </w:pPr>
      <w:r w:rsidRPr="008E6D14">
        <w:rPr>
          <w:rFonts w:ascii="Courier New" w:eastAsia="Times New Roman" w:hAnsi="Courier New" w:cs="Courier New"/>
          <w:kern w:val="0"/>
          <w:sz w:val="20"/>
          <w:szCs w:val="20"/>
          <w:lang w:val="da-DK" w:eastAsia="da-DK"/>
          <w14:ligatures w14:val="none"/>
        </w:rPr>
        <w:t xml:space="preserve">    ↓</w:t>
      </w:r>
    </w:p>
    <w:p w14:paraId="0F993208" w14:textId="77777777" w:rsidR="008E6D14" w:rsidRPr="008E6D14" w:rsidRDefault="008E6D14" w:rsidP="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da-DK" w:eastAsia="da-DK"/>
          <w14:ligatures w14:val="none"/>
        </w:rPr>
      </w:pPr>
      <w:r w:rsidRPr="008E6D14">
        <w:rPr>
          <w:rFonts w:ascii="Courier New" w:eastAsia="Times New Roman" w:hAnsi="Courier New" w:cs="Courier New"/>
          <w:kern w:val="0"/>
          <w:sz w:val="20"/>
          <w:szCs w:val="20"/>
          <w:lang w:val="da-DK" w:eastAsia="da-DK"/>
          <w14:ligatures w14:val="none"/>
        </w:rPr>
        <w:t>Stage 3: Explainability (SHAP) → feature attributions for decision support</w:t>
      </w:r>
    </w:p>
    <w:p w14:paraId="03210359"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5.3 How This Differs from Previous Methods</w:t>
      </w:r>
    </w:p>
    <w:p w14:paraId="248A27C7"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Previous approaches to contract analytics rely on either (a) rule-based systems that do not generalize, (b) supervised models that require large labeled datasets, or (c) transfer learning that does not explicitly optimize for few-shot adaptation. Our approach differs by:</w:t>
      </w:r>
    </w:p>
    <w:p w14:paraId="6324CAD8" w14:textId="77777777" w:rsidR="008E6D14" w:rsidRPr="008E6D14" w:rsidRDefault="008E6D14" w:rsidP="008E6D14">
      <w:pPr>
        <w:numPr>
          <w:ilvl w:val="0"/>
          <w:numId w:val="5"/>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Using weak supervision to overcome the labeling bottleneck entirely for Stage 1</w:t>
      </w:r>
    </w:p>
    <w:p w14:paraId="1586B13D" w14:textId="77777777" w:rsidR="008E6D14" w:rsidRPr="008E6D14" w:rsidRDefault="008E6D14" w:rsidP="008E6D14">
      <w:pPr>
        <w:numPr>
          <w:ilvl w:val="0"/>
          <w:numId w:val="5"/>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Using meta-learning to explicitly optimize for rapid adaptation from few gold labels in Stage 2</w:t>
      </w:r>
    </w:p>
    <w:p w14:paraId="6B4A32CC" w14:textId="77777777" w:rsidR="008E6D14" w:rsidRPr="008E6D14" w:rsidRDefault="008E6D14" w:rsidP="008E6D14">
      <w:pPr>
        <w:numPr>
          <w:ilvl w:val="0"/>
          <w:numId w:val="5"/>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Combining both in a single pipeline where Stage 1 informs Stage 2 initialization</w:t>
      </w:r>
    </w:p>
    <w:p w14:paraId="188B9A72"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0FFD2CC9">
          <v:rect id="_x0000_i1037" style="width:0;height:1.5pt" o:hralign="center" o:hrstd="t" o:hr="t" fillcolor="#a0a0a0" stroked="f"/>
        </w:pict>
      </w:r>
    </w:p>
    <w:p w14:paraId="3EB0D544"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6. Theory</w:t>
      </w:r>
    </w:p>
    <w:p w14:paraId="20F260FB"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6.1 Weak Supervision (Snorkel)</w:t>
      </w:r>
    </w:p>
    <w:p w14:paraId="0D7F3768"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Snorkel's data programming paradigm models labeling functions as noisy voters with unknown accuracies and correlations. The LabelModel is a generative model that estimates these parameters from LF agreement/disagreement patterns and outputs denoised probabilistic labels P(Y=1 | Λ) without access to ground truth (Ratner et al., 2017)(Ratner et al., 2017). Formally, given m labeling functions λ₁...λₘ, the LabelModel learns parameters μ (LF accuracies) by maximizing the marginal likelihood of the observed LF outputs Λ.</w:t>
      </w:r>
    </w:p>
    <w:p w14:paraId="647D496D"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6.2 Model-Agnostic Meta-Learning (MAML)</w:t>
      </w:r>
    </w:p>
    <w:p w14:paraId="3576C0BA"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MAML learns a meta-initialization θ such that for any task T</w:t>
      </w:r>
      <w:r w:rsidRPr="008E6D14">
        <w:rPr>
          <w:rFonts w:ascii="Times New Roman" w:eastAsia="Times New Roman" w:hAnsi="Times New Roman" w:cs="Times New Roman"/>
          <w:i/>
          <w:iCs/>
          <w:kern w:val="0"/>
          <w:lang w:val="da-DK" w:eastAsia="da-DK"/>
          <w14:ligatures w14:val="none"/>
        </w:rPr>
        <w:t>d sampled from a task distribution p(T), a few gradient steps on a small support set S</w:t>
      </w:r>
      <w:r w:rsidRPr="008E6D14">
        <w:rPr>
          <w:rFonts w:ascii="Times New Roman" w:eastAsia="Times New Roman" w:hAnsi="Times New Roman" w:cs="Times New Roman"/>
          <w:kern w:val="0"/>
          <w:lang w:val="da-DK" w:eastAsia="da-DK"/>
          <w14:ligatures w14:val="none"/>
        </w:rPr>
        <w:t>d produce task-adapted parameters φ</w:t>
      </w:r>
      <w:r w:rsidRPr="008E6D14">
        <w:rPr>
          <w:rFonts w:ascii="Times New Roman" w:eastAsia="Times New Roman" w:hAnsi="Times New Roman" w:cs="Times New Roman"/>
          <w:i/>
          <w:iCs/>
          <w:kern w:val="0"/>
          <w:lang w:val="da-DK" w:eastAsia="da-DK"/>
          <w14:ligatures w14:val="none"/>
        </w:rPr>
        <w:t>d that perform well on a query set Q</w:t>
      </w:r>
      <w:r w:rsidRPr="008E6D14">
        <w:rPr>
          <w:rFonts w:ascii="Times New Roman" w:eastAsia="Times New Roman" w:hAnsi="Times New Roman" w:cs="Times New Roman"/>
          <w:kern w:val="0"/>
          <w:lang w:val="da-DK" w:eastAsia="da-DK"/>
          <w14:ligatures w14:val="none"/>
        </w:rPr>
        <w:t>d Vanschoren, 2019)(Lee et al., 2024). The bi-level optimization is:</w:t>
      </w:r>
    </w:p>
    <w:p w14:paraId="27CC6927" w14:textId="77777777" w:rsidR="008E6D14" w:rsidRPr="008E6D14" w:rsidRDefault="008E6D14" w:rsidP="008E6D14">
      <w:pPr>
        <w:numPr>
          <w:ilvl w:val="0"/>
          <w:numId w:val="6"/>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Inner loop</w:t>
      </w:r>
      <w:r w:rsidRPr="008E6D14">
        <w:rPr>
          <w:rFonts w:ascii="Times New Roman" w:eastAsia="Times New Roman" w:hAnsi="Times New Roman" w:cs="Times New Roman"/>
          <w:kern w:val="0"/>
          <w:lang w:val="da-DK" w:eastAsia="da-DK"/>
          <w14:ligatures w14:val="none"/>
        </w:rPr>
        <w:t>: φ</w:t>
      </w:r>
      <w:r w:rsidRPr="008E6D14">
        <w:rPr>
          <w:rFonts w:ascii="Times New Roman" w:eastAsia="Times New Roman" w:hAnsi="Times New Roman" w:cs="Times New Roman"/>
          <w:i/>
          <w:iCs/>
          <w:kern w:val="0"/>
          <w:lang w:val="da-DK" w:eastAsia="da-DK"/>
          <w14:ligatures w14:val="none"/>
        </w:rPr>
        <w:t>d = θ − α</w:t>
      </w:r>
      <w:r w:rsidRPr="008E6D14">
        <w:rPr>
          <w:rFonts w:ascii="Cambria Math" w:eastAsia="Times New Roman" w:hAnsi="Cambria Math" w:cs="Cambria Math"/>
          <w:i/>
          <w:iCs/>
          <w:kern w:val="0"/>
          <w:lang w:val="da-DK" w:eastAsia="da-DK"/>
          <w14:ligatures w14:val="none"/>
        </w:rPr>
        <w:t>∇</w:t>
      </w:r>
      <w:r w:rsidRPr="008E6D14">
        <w:rPr>
          <w:rFonts w:ascii="Times New Roman" w:eastAsia="Times New Roman" w:hAnsi="Times New Roman" w:cs="Times New Roman"/>
          <w:kern w:val="0"/>
          <w:lang w:val="da-DK" w:eastAsia="da-DK"/>
          <w14:ligatures w14:val="none"/>
        </w:rPr>
        <w:t>θ L(θ; S_d)</w:t>
      </w:r>
    </w:p>
    <w:p w14:paraId="67EABEE1" w14:textId="77777777" w:rsidR="008E6D14" w:rsidRPr="008E6D14" w:rsidRDefault="008E6D14" w:rsidP="008E6D14">
      <w:pPr>
        <w:numPr>
          <w:ilvl w:val="0"/>
          <w:numId w:val="6"/>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Outer loop</w:t>
      </w:r>
      <w:r w:rsidRPr="008E6D14">
        <w:rPr>
          <w:rFonts w:ascii="Times New Roman" w:eastAsia="Times New Roman" w:hAnsi="Times New Roman" w:cs="Times New Roman"/>
          <w:kern w:val="0"/>
          <w:lang w:val="da-DK" w:eastAsia="da-DK"/>
          <w14:ligatures w14:val="none"/>
        </w:rPr>
        <w:t>: θ ← θ − β</w:t>
      </w:r>
      <w:r w:rsidRPr="008E6D14">
        <w:rPr>
          <w:rFonts w:ascii="Cambria Math" w:eastAsia="Times New Roman" w:hAnsi="Cambria Math" w:cs="Cambria Math"/>
          <w:kern w:val="0"/>
          <w:lang w:val="da-DK" w:eastAsia="da-DK"/>
          <w14:ligatures w14:val="none"/>
        </w:rPr>
        <w:t>∇</w:t>
      </w:r>
      <w:r w:rsidRPr="008E6D14">
        <w:rPr>
          <w:rFonts w:ascii="Times New Roman" w:eastAsia="Times New Roman" w:hAnsi="Times New Roman" w:cs="Times New Roman"/>
          <w:i/>
          <w:iCs/>
          <w:kern w:val="0"/>
          <w:lang w:val="da-DK" w:eastAsia="da-DK"/>
          <w14:ligatures w14:val="none"/>
        </w:rPr>
        <w:t>θ Σ</w:t>
      </w:r>
      <w:r w:rsidRPr="008E6D14">
        <w:rPr>
          <w:rFonts w:ascii="Times New Roman" w:eastAsia="Times New Roman" w:hAnsi="Times New Roman" w:cs="Times New Roman"/>
          <w:kern w:val="0"/>
          <w:lang w:val="da-DK" w:eastAsia="da-DK"/>
          <w14:ligatures w14:val="none"/>
        </w:rPr>
        <w:t>d L(φ</w:t>
      </w:r>
      <w:r w:rsidRPr="008E6D14">
        <w:rPr>
          <w:rFonts w:ascii="Times New Roman" w:eastAsia="Times New Roman" w:hAnsi="Times New Roman" w:cs="Times New Roman"/>
          <w:i/>
          <w:iCs/>
          <w:kern w:val="0"/>
          <w:lang w:val="da-DK" w:eastAsia="da-DK"/>
          <w14:ligatures w14:val="none"/>
        </w:rPr>
        <w:t>d; Q</w:t>
      </w:r>
      <w:r w:rsidRPr="008E6D14">
        <w:rPr>
          <w:rFonts w:ascii="Times New Roman" w:eastAsia="Times New Roman" w:hAnsi="Times New Roman" w:cs="Times New Roman"/>
          <w:kern w:val="0"/>
          <w:lang w:val="da-DK" w:eastAsia="da-DK"/>
          <w14:ligatures w14:val="none"/>
        </w:rPr>
        <w:t>d)</w:t>
      </w:r>
    </w:p>
    <w:p w14:paraId="33A9A30B"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ANIL restricts inner-loop updates to the final classification layer, reducing overfitting risk on small support sets (Pimpalkhute et al., 2022).</w:t>
      </w:r>
    </w:p>
    <w:p w14:paraId="0DE0A6A7"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6.3 Calibration and Ranking</w:t>
      </w:r>
    </w:p>
    <w:p w14:paraId="7E661D58"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For top-K decision support, predicted probabilities must be well-calibrated: P̂(Y=1|X) should reflect the true frequency of renegotiation among contracts with that predicted probability (Baran et al., 2020). Expected Calibration Error (ECE) quantifies this. NDCG@K measures ranking quality by penalizing relevant items ranked lower (Muñoz et al., 2021).</w:t>
      </w:r>
    </w:p>
    <w:p w14:paraId="2E80C084"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lastRenderedPageBreak/>
        <w:pict w14:anchorId="4BCD8656">
          <v:rect id="_x0000_i1036" style="width:0;height:1.5pt" o:hralign="center" o:hrstd="t" o:hr="t" fillcolor="#a0a0a0" stroked="f"/>
        </w:pict>
      </w:r>
    </w:p>
    <w:p w14:paraId="1C66520F"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7. Model Formulation</w:t>
      </w:r>
    </w:p>
    <w:p w14:paraId="1C66D594"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7.1 Stage 1: Baseline Models</w:t>
      </w:r>
    </w:p>
    <w:p w14:paraId="301C5739"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Four models trained on Snorkel probabilistic labels under three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575"/>
        <w:gridCol w:w="3948"/>
      </w:tblGrid>
      <w:tr w:rsidR="008E6D14" w:rsidRPr="008E6D14" w14:paraId="3CB8E4A2" w14:textId="77777777">
        <w:trPr>
          <w:tblHeader/>
          <w:tblCellSpacing w:w="15" w:type="dxa"/>
        </w:trPr>
        <w:tc>
          <w:tcPr>
            <w:tcW w:w="0" w:type="auto"/>
            <w:vAlign w:val="center"/>
            <w:hideMark/>
          </w:tcPr>
          <w:p w14:paraId="4A4AF1FC"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Model </w:t>
            </w:r>
          </w:p>
        </w:tc>
        <w:tc>
          <w:tcPr>
            <w:tcW w:w="0" w:type="auto"/>
            <w:vAlign w:val="center"/>
            <w:hideMark/>
          </w:tcPr>
          <w:p w14:paraId="383226F1"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Type </w:t>
            </w:r>
          </w:p>
        </w:tc>
        <w:tc>
          <w:tcPr>
            <w:tcW w:w="0" w:type="auto"/>
            <w:vAlign w:val="center"/>
            <w:hideMark/>
          </w:tcPr>
          <w:p w14:paraId="770CAF95"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Role </w:t>
            </w:r>
          </w:p>
        </w:tc>
      </w:tr>
      <w:tr w:rsidR="008E6D14" w:rsidRPr="008E6D14" w14:paraId="3A2A6503" w14:textId="77777777">
        <w:trPr>
          <w:tblCellSpacing w:w="15" w:type="dxa"/>
        </w:trPr>
        <w:tc>
          <w:tcPr>
            <w:tcW w:w="0" w:type="auto"/>
            <w:vAlign w:val="center"/>
            <w:hideMark/>
          </w:tcPr>
          <w:p w14:paraId="1C27FE49"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Mean Predictor </w:t>
            </w:r>
          </w:p>
        </w:tc>
        <w:tc>
          <w:tcPr>
            <w:tcW w:w="0" w:type="auto"/>
            <w:vAlign w:val="center"/>
            <w:hideMark/>
          </w:tcPr>
          <w:p w14:paraId="4552EB6B"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Constant </w:t>
            </w:r>
          </w:p>
        </w:tc>
        <w:tc>
          <w:tcPr>
            <w:tcW w:w="0" w:type="auto"/>
            <w:vAlign w:val="center"/>
            <w:hideMark/>
          </w:tcPr>
          <w:p w14:paraId="191E4ADB"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Sanity check lower bound </w:t>
            </w:r>
          </w:p>
        </w:tc>
      </w:tr>
      <w:tr w:rsidR="008E6D14" w:rsidRPr="008E6D14" w14:paraId="37105515" w14:textId="77777777">
        <w:trPr>
          <w:tblCellSpacing w:w="15" w:type="dxa"/>
        </w:trPr>
        <w:tc>
          <w:tcPr>
            <w:tcW w:w="0" w:type="auto"/>
            <w:vAlign w:val="center"/>
            <w:hideMark/>
          </w:tcPr>
          <w:p w14:paraId="0771F97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Elastic Net </w:t>
            </w:r>
          </w:p>
        </w:tc>
        <w:tc>
          <w:tcPr>
            <w:tcW w:w="0" w:type="auto"/>
            <w:vAlign w:val="center"/>
            <w:hideMark/>
          </w:tcPr>
          <w:p w14:paraId="3A7AECE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Linear (L1+L2) </w:t>
            </w:r>
          </w:p>
        </w:tc>
        <w:tc>
          <w:tcPr>
            <w:tcW w:w="0" w:type="auto"/>
            <w:vAlign w:val="center"/>
            <w:hideMark/>
          </w:tcPr>
          <w:p w14:paraId="18DED14E"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Interpretable linear baseline </w:t>
            </w:r>
          </w:p>
        </w:tc>
      </w:tr>
      <w:tr w:rsidR="008E6D14" w:rsidRPr="008E6D14" w14:paraId="20F9EC8C" w14:textId="77777777">
        <w:trPr>
          <w:tblCellSpacing w:w="15" w:type="dxa"/>
        </w:trPr>
        <w:tc>
          <w:tcPr>
            <w:tcW w:w="0" w:type="auto"/>
            <w:vAlign w:val="center"/>
            <w:hideMark/>
          </w:tcPr>
          <w:p w14:paraId="089CE5DE"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MLP </w:t>
            </w:r>
          </w:p>
        </w:tc>
        <w:tc>
          <w:tcPr>
            <w:tcW w:w="0" w:type="auto"/>
            <w:vAlign w:val="center"/>
            <w:hideMark/>
          </w:tcPr>
          <w:p w14:paraId="062B23F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Neural network </w:t>
            </w:r>
          </w:p>
        </w:tc>
        <w:tc>
          <w:tcPr>
            <w:tcW w:w="0" w:type="auto"/>
            <w:vAlign w:val="center"/>
            <w:hideMark/>
          </w:tcPr>
          <w:p w14:paraId="400F2B38"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Nonlinear baseline + MAML backbone </w:t>
            </w:r>
          </w:p>
        </w:tc>
      </w:tr>
      <w:tr w:rsidR="008E6D14" w:rsidRPr="008E6D14" w14:paraId="087C41CB" w14:textId="77777777">
        <w:trPr>
          <w:tblCellSpacing w:w="15" w:type="dxa"/>
        </w:trPr>
        <w:tc>
          <w:tcPr>
            <w:tcW w:w="0" w:type="auto"/>
            <w:vAlign w:val="center"/>
            <w:hideMark/>
          </w:tcPr>
          <w:p w14:paraId="2EF46B3C"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XGBoost </w:t>
            </w:r>
          </w:p>
        </w:tc>
        <w:tc>
          <w:tcPr>
            <w:tcW w:w="0" w:type="auto"/>
            <w:vAlign w:val="center"/>
            <w:hideMark/>
          </w:tcPr>
          <w:p w14:paraId="71C2B55C"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Tree ensemble </w:t>
            </w:r>
          </w:p>
        </w:tc>
        <w:tc>
          <w:tcPr>
            <w:tcW w:w="0" w:type="auto"/>
            <w:vAlign w:val="center"/>
            <w:hideMark/>
          </w:tcPr>
          <w:p w14:paraId="55B47F1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Strong nonlinear baseline (Stage 1 only) </w:t>
            </w:r>
          </w:p>
        </w:tc>
      </w:tr>
    </w:tbl>
    <w:p w14:paraId="21F4B136"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7.2 Stage 2: MAML Variants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2473"/>
        <w:gridCol w:w="1480"/>
        <w:gridCol w:w="1022"/>
      </w:tblGrid>
      <w:tr w:rsidR="008E6D14" w:rsidRPr="008E6D14" w14:paraId="5C2DA687" w14:textId="77777777">
        <w:trPr>
          <w:tblHeader/>
          <w:tblCellSpacing w:w="15" w:type="dxa"/>
        </w:trPr>
        <w:tc>
          <w:tcPr>
            <w:tcW w:w="0" w:type="auto"/>
            <w:vAlign w:val="center"/>
            <w:hideMark/>
          </w:tcPr>
          <w:p w14:paraId="433F1B64"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Variant </w:t>
            </w:r>
          </w:p>
        </w:tc>
        <w:tc>
          <w:tcPr>
            <w:tcW w:w="0" w:type="auto"/>
            <w:vAlign w:val="center"/>
            <w:hideMark/>
          </w:tcPr>
          <w:p w14:paraId="670A9CB3"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Inner Loop </w:t>
            </w:r>
          </w:p>
        </w:tc>
        <w:tc>
          <w:tcPr>
            <w:tcW w:w="0" w:type="auto"/>
            <w:vAlign w:val="center"/>
            <w:hideMark/>
          </w:tcPr>
          <w:p w14:paraId="1D2A62E9"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Outer Loop </w:t>
            </w:r>
          </w:p>
        </w:tc>
        <w:tc>
          <w:tcPr>
            <w:tcW w:w="0" w:type="auto"/>
            <w:vAlign w:val="center"/>
            <w:hideMark/>
          </w:tcPr>
          <w:p w14:paraId="7E213CFD"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Compute </w:t>
            </w:r>
          </w:p>
        </w:tc>
      </w:tr>
      <w:tr w:rsidR="008E6D14" w:rsidRPr="008E6D14" w14:paraId="1DAB54AF" w14:textId="77777777">
        <w:trPr>
          <w:tblCellSpacing w:w="15" w:type="dxa"/>
        </w:trPr>
        <w:tc>
          <w:tcPr>
            <w:tcW w:w="0" w:type="auto"/>
            <w:vAlign w:val="center"/>
            <w:hideMark/>
          </w:tcPr>
          <w:p w14:paraId="5E5A632E"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ANIL </w:t>
            </w:r>
          </w:p>
        </w:tc>
        <w:tc>
          <w:tcPr>
            <w:tcW w:w="0" w:type="auto"/>
            <w:vAlign w:val="center"/>
            <w:hideMark/>
          </w:tcPr>
          <w:p w14:paraId="4C9BC941"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Final layer only </w:t>
            </w:r>
          </w:p>
        </w:tc>
        <w:tc>
          <w:tcPr>
            <w:tcW w:w="0" w:type="auto"/>
            <w:vAlign w:val="center"/>
            <w:hideMark/>
          </w:tcPr>
          <w:p w14:paraId="0F84B1E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All parameters </w:t>
            </w:r>
          </w:p>
        </w:tc>
        <w:tc>
          <w:tcPr>
            <w:tcW w:w="0" w:type="auto"/>
            <w:vAlign w:val="center"/>
            <w:hideMark/>
          </w:tcPr>
          <w:p w14:paraId="70A8FAD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Low </w:t>
            </w:r>
          </w:p>
        </w:tc>
      </w:tr>
      <w:tr w:rsidR="008E6D14" w:rsidRPr="008E6D14" w14:paraId="3C3CD64C" w14:textId="77777777">
        <w:trPr>
          <w:tblCellSpacing w:w="15" w:type="dxa"/>
        </w:trPr>
        <w:tc>
          <w:tcPr>
            <w:tcW w:w="0" w:type="auto"/>
            <w:vAlign w:val="center"/>
            <w:hideMark/>
          </w:tcPr>
          <w:p w14:paraId="50DC83EE"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FOMAML </w:t>
            </w:r>
          </w:p>
        </w:tc>
        <w:tc>
          <w:tcPr>
            <w:tcW w:w="0" w:type="auto"/>
            <w:vAlign w:val="center"/>
            <w:hideMark/>
          </w:tcPr>
          <w:p w14:paraId="36BE30CE"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All layers (first-order) </w:t>
            </w:r>
          </w:p>
        </w:tc>
        <w:tc>
          <w:tcPr>
            <w:tcW w:w="0" w:type="auto"/>
            <w:vAlign w:val="center"/>
            <w:hideMark/>
          </w:tcPr>
          <w:p w14:paraId="3963258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All parameters </w:t>
            </w:r>
          </w:p>
        </w:tc>
        <w:tc>
          <w:tcPr>
            <w:tcW w:w="0" w:type="auto"/>
            <w:vAlign w:val="center"/>
            <w:hideMark/>
          </w:tcPr>
          <w:p w14:paraId="2BA38BF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Medium </w:t>
            </w:r>
          </w:p>
        </w:tc>
      </w:tr>
      <w:tr w:rsidR="008E6D14" w:rsidRPr="008E6D14" w14:paraId="638D87D4" w14:textId="77777777">
        <w:trPr>
          <w:tblCellSpacing w:w="15" w:type="dxa"/>
        </w:trPr>
        <w:tc>
          <w:tcPr>
            <w:tcW w:w="0" w:type="auto"/>
            <w:vAlign w:val="center"/>
            <w:hideMark/>
          </w:tcPr>
          <w:p w14:paraId="04F6067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Full MAML </w:t>
            </w:r>
          </w:p>
        </w:tc>
        <w:tc>
          <w:tcPr>
            <w:tcW w:w="0" w:type="auto"/>
            <w:vAlign w:val="center"/>
            <w:hideMark/>
          </w:tcPr>
          <w:p w14:paraId="6D62C97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All layers (second-order) </w:t>
            </w:r>
          </w:p>
        </w:tc>
        <w:tc>
          <w:tcPr>
            <w:tcW w:w="0" w:type="auto"/>
            <w:vAlign w:val="center"/>
            <w:hideMark/>
          </w:tcPr>
          <w:p w14:paraId="01D6AF19"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All parameters </w:t>
            </w:r>
          </w:p>
        </w:tc>
        <w:tc>
          <w:tcPr>
            <w:tcW w:w="0" w:type="auto"/>
            <w:vAlign w:val="center"/>
            <w:hideMark/>
          </w:tcPr>
          <w:p w14:paraId="24080AA8"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High </w:t>
            </w:r>
          </w:p>
        </w:tc>
      </w:tr>
    </w:tbl>
    <w:p w14:paraId="47A0B4B8"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7.3 Hypotheses</w:t>
      </w:r>
    </w:p>
    <w:p w14:paraId="7B41D57A" w14:textId="77777777" w:rsidR="008E6D14" w:rsidRPr="008E6D14" w:rsidRDefault="008E6D14" w:rsidP="008E6D14">
      <w:pPr>
        <w:numPr>
          <w:ilvl w:val="0"/>
          <w:numId w:val="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H1</w:t>
      </w:r>
      <w:r w:rsidRPr="008E6D14">
        <w:rPr>
          <w:rFonts w:ascii="Times New Roman" w:eastAsia="Times New Roman" w:hAnsi="Times New Roman" w:cs="Times New Roman"/>
          <w:kern w:val="0"/>
          <w:lang w:val="da-DK" w:eastAsia="da-DK"/>
          <w14:ligatures w14:val="none"/>
        </w:rPr>
        <w:t>: Weak-only training (Condition A) outperforms gold-only training (Condition B) due to larger training set despite noisier labels</w:t>
      </w:r>
    </w:p>
    <w:p w14:paraId="27A792F9" w14:textId="77777777" w:rsidR="008E6D14" w:rsidRPr="008E6D14" w:rsidRDefault="008E6D14" w:rsidP="008E6D14">
      <w:pPr>
        <w:numPr>
          <w:ilvl w:val="0"/>
          <w:numId w:val="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H2</w:t>
      </w:r>
      <w:r w:rsidRPr="008E6D14">
        <w:rPr>
          <w:rFonts w:ascii="Times New Roman" w:eastAsia="Times New Roman" w:hAnsi="Times New Roman" w:cs="Times New Roman"/>
          <w:kern w:val="0"/>
          <w:lang w:val="da-DK" w:eastAsia="da-DK"/>
          <w14:ligatures w14:val="none"/>
        </w:rPr>
        <w:t>: Hybrid training (Condition C) outperforms both A and B by combining signal sources</w:t>
      </w:r>
    </w:p>
    <w:p w14:paraId="62BE1247" w14:textId="77777777" w:rsidR="008E6D14" w:rsidRPr="008E6D14" w:rsidRDefault="008E6D14" w:rsidP="008E6D14">
      <w:pPr>
        <w:numPr>
          <w:ilvl w:val="0"/>
          <w:numId w:val="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H3</w:t>
      </w:r>
      <w:r w:rsidRPr="008E6D14">
        <w:rPr>
          <w:rFonts w:ascii="Times New Roman" w:eastAsia="Times New Roman" w:hAnsi="Times New Roman" w:cs="Times New Roman"/>
          <w:kern w:val="0"/>
          <w:lang w:val="da-DK" w:eastAsia="da-DK"/>
          <w14:ligatures w14:val="none"/>
        </w:rPr>
        <w:t>: MAML adaptation outperforms standard fine-tuning on Logistics with 5-shot gold labels</w:t>
      </w:r>
    </w:p>
    <w:p w14:paraId="30D013FF" w14:textId="77777777" w:rsidR="008E6D14" w:rsidRPr="008E6D14" w:rsidRDefault="008E6D14" w:rsidP="008E6D14">
      <w:pPr>
        <w:numPr>
          <w:ilvl w:val="0"/>
          <w:numId w:val="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H4</w:t>
      </w:r>
      <w:r w:rsidRPr="008E6D14">
        <w:rPr>
          <w:rFonts w:ascii="Times New Roman" w:eastAsia="Times New Roman" w:hAnsi="Times New Roman" w:cs="Times New Roman"/>
          <w:kern w:val="0"/>
          <w:lang w:val="da-DK" w:eastAsia="da-DK"/>
          <w14:ligatures w14:val="none"/>
        </w:rPr>
        <w:t>: Stage 1 weak-pretrained initialization (θ_A) yields better Stage 2 adaptation than random initialization</w:t>
      </w:r>
    </w:p>
    <w:p w14:paraId="399BEE2F" w14:textId="77777777" w:rsidR="008E6D14" w:rsidRPr="008E6D14" w:rsidRDefault="008E6D14" w:rsidP="008E6D14">
      <w:pPr>
        <w:numPr>
          <w:ilvl w:val="0"/>
          <w:numId w:val="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H5</w:t>
      </w:r>
      <w:r w:rsidRPr="008E6D14">
        <w:rPr>
          <w:rFonts w:ascii="Times New Roman" w:eastAsia="Times New Roman" w:hAnsi="Times New Roman" w:cs="Times New Roman"/>
          <w:kern w:val="0"/>
          <w:lang w:val="da-DK" w:eastAsia="da-DK"/>
          <w14:ligatures w14:val="none"/>
        </w:rPr>
        <w:t>: ANIL achieves comparable performance to full MAML with lower computational cost</w:t>
      </w:r>
    </w:p>
    <w:p w14:paraId="2E0D6508"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58603E34">
          <v:rect id="_x0000_i1035" style="width:0;height:1.5pt" o:hralign="center" o:hrstd="t" o:hr="t" fillcolor="#a0a0a0" stroked="f"/>
        </w:pict>
      </w:r>
    </w:p>
    <w:p w14:paraId="52E9A338"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8. Data and Notation</w:t>
      </w:r>
    </w:p>
    <w:p w14:paraId="682787D6"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8.1 Data Source</w:t>
      </w:r>
    </w:p>
    <w:p w14:paraId="4F931D8B"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9,201 global supply contracts from a pharmaceutical company's procurement system, spanning 13 departments. Six data views sourced from internal contract management, external financial databases (Bisnode/Dun &amp; Bradstreet), ESG rating providers (Sustainalytics), news sentiment APIs, and macroeconomic logistics indices.</w:t>
      </w:r>
    </w:p>
    <w:p w14:paraId="59E1408D"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8.2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1074"/>
        <w:gridCol w:w="1001"/>
        <w:gridCol w:w="936"/>
      </w:tblGrid>
      <w:tr w:rsidR="008E6D14" w:rsidRPr="008E6D14" w14:paraId="33157D1D" w14:textId="77777777">
        <w:trPr>
          <w:tblHeader/>
          <w:tblCellSpacing w:w="15" w:type="dxa"/>
        </w:trPr>
        <w:tc>
          <w:tcPr>
            <w:tcW w:w="0" w:type="auto"/>
            <w:vAlign w:val="center"/>
            <w:hideMark/>
          </w:tcPr>
          <w:p w14:paraId="31764002"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lastRenderedPageBreak/>
              <w:t xml:space="preserve">Department </w:t>
            </w:r>
          </w:p>
        </w:tc>
        <w:tc>
          <w:tcPr>
            <w:tcW w:w="0" w:type="auto"/>
            <w:vAlign w:val="center"/>
            <w:hideMark/>
          </w:tcPr>
          <w:p w14:paraId="20825DF3"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Contracts </w:t>
            </w:r>
          </w:p>
        </w:tc>
        <w:tc>
          <w:tcPr>
            <w:tcW w:w="0" w:type="auto"/>
            <w:vAlign w:val="center"/>
            <w:hideMark/>
          </w:tcPr>
          <w:p w14:paraId="445B0938"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Gold Yes </w:t>
            </w:r>
          </w:p>
        </w:tc>
        <w:tc>
          <w:tcPr>
            <w:tcW w:w="0" w:type="auto"/>
            <w:vAlign w:val="center"/>
            <w:hideMark/>
          </w:tcPr>
          <w:p w14:paraId="737D904B"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Gold No </w:t>
            </w:r>
          </w:p>
        </w:tc>
      </w:tr>
      <w:tr w:rsidR="008E6D14" w:rsidRPr="008E6D14" w14:paraId="32E63A3C" w14:textId="77777777">
        <w:trPr>
          <w:tblCellSpacing w:w="15" w:type="dxa"/>
        </w:trPr>
        <w:tc>
          <w:tcPr>
            <w:tcW w:w="0" w:type="auto"/>
            <w:vAlign w:val="center"/>
            <w:hideMark/>
          </w:tcPr>
          <w:p w14:paraId="5A6DA2B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Global </w:t>
            </w:r>
          </w:p>
        </w:tc>
        <w:tc>
          <w:tcPr>
            <w:tcW w:w="0" w:type="auto"/>
            <w:vAlign w:val="center"/>
            <w:hideMark/>
          </w:tcPr>
          <w:p w14:paraId="3B0836E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607 </w:t>
            </w:r>
          </w:p>
        </w:tc>
        <w:tc>
          <w:tcPr>
            <w:tcW w:w="0" w:type="auto"/>
            <w:vAlign w:val="center"/>
            <w:hideMark/>
          </w:tcPr>
          <w:p w14:paraId="452DF489"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0F0AF859"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r w:rsidR="008E6D14" w:rsidRPr="008E6D14" w14:paraId="39287924" w14:textId="77777777">
        <w:trPr>
          <w:tblCellSpacing w:w="15" w:type="dxa"/>
        </w:trPr>
        <w:tc>
          <w:tcPr>
            <w:tcW w:w="0" w:type="auto"/>
            <w:vAlign w:val="center"/>
            <w:hideMark/>
          </w:tcPr>
          <w:p w14:paraId="4554E9B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Packaging Material </w:t>
            </w:r>
          </w:p>
        </w:tc>
        <w:tc>
          <w:tcPr>
            <w:tcW w:w="0" w:type="auto"/>
            <w:vAlign w:val="center"/>
            <w:hideMark/>
          </w:tcPr>
          <w:p w14:paraId="6596C3C1"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289 </w:t>
            </w:r>
          </w:p>
        </w:tc>
        <w:tc>
          <w:tcPr>
            <w:tcW w:w="0" w:type="auto"/>
            <w:vAlign w:val="center"/>
            <w:hideMark/>
          </w:tcPr>
          <w:p w14:paraId="63E0BEBE"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400273F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r w:rsidR="008E6D14" w:rsidRPr="008E6D14" w14:paraId="2669FDBE" w14:textId="77777777">
        <w:trPr>
          <w:tblCellSpacing w:w="15" w:type="dxa"/>
        </w:trPr>
        <w:tc>
          <w:tcPr>
            <w:tcW w:w="0" w:type="auto"/>
            <w:vAlign w:val="center"/>
            <w:hideMark/>
          </w:tcPr>
          <w:p w14:paraId="60BC37D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Raw Materials &amp; Energy </w:t>
            </w:r>
          </w:p>
        </w:tc>
        <w:tc>
          <w:tcPr>
            <w:tcW w:w="0" w:type="auto"/>
            <w:vAlign w:val="center"/>
            <w:hideMark/>
          </w:tcPr>
          <w:p w14:paraId="2FB60952"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281 </w:t>
            </w:r>
          </w:p>
        </w:tc>
        <w:tc>
          <w:tcPr>
            <w:tcW w:w="0" w:type="auto"/>
            <w:vAlign w:val="center"/>
            <w:hideMark/>
          </w:tcPr>
          <w:p w14:paraId="759051B2"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3C9B21BC"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r w:rsidR="008E6D14" w:rsidRPr="008E6D14" w14:paraId="6FD5BF24" w14:textId="77777777">
        <w:trPr>
          <w:tblCellSpacing w:w="15" w:type="dxa"/>
        </w:trPr>
        <w:tc>
          <w:tcPr>
            <w:tcW w:w="0" w:type="auto"/>
            <w:vAlign w:val="center"/>
            <w:hideMark/>
          </w:tcPr>
          <w:p w14:paraId="4B3830B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Drug Product Outsourcing </w:t>
            </w:r>
          </w:p>
        </w:tc>
        <w:tc>
          <w:tcPr>
            <w:tcW w:w="0" w:type="auto"/>
            <w:vAlign w:val="center"/>
            <w:hideMark/>
          </w:tcPr>
          <w:p w14:paraId="45B1123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275 </w:t>
            </w:r>
          </w:p>
        </w:tc>
        <w:tc>
          <w:tcPr>
            <w:tcW w:w="0" w:type="auto"/>
            <w:vAlign w:val="center"/>
            <w:hideMark/>
          </w:tcPr>
          <w:p w14:paraId="351514AF"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04C760B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r w:rsidR="008E6D14" w:rsidRPr="008E6D14" w14:paraId="0C027ED9" w14:textId="77777777">
        <w:trPr>
          <w:tblCellSpacing w:w="15" w:type="dxa"/>
        </w:trPr>
        <w:tc>
          <w:tcPr>
            <w:tcW w:w="0" w:type="auto"/>
            <w:vAlign w:val="center"/>
            <w:hideMark/>
          </w:tcPr>
          <w:p w14:paraId="7612BB8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Quality, Production Services </w:t>
            </w:r>
          </w:p>
        </w:tc>
        <w:tc>
          <w:tcPr>
            <w:tcW w:w="0" w:type="auto"/>
            <w:vAlign w:val="center"/>
            <w:hideMark/>
          </w:tcPr>
          <w:p w14:paraId="47B199E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215 </w:t>
            </w:r>
          </w:p>
        </w:tc>
        <w:tc>
          <w:tcPr>
            <w:tcW w:w="0" w:type="auto"/>
            <w:vAlign w:val="center"/>
            <w:hideMark/>
          </w:tcPr>
          <w:p w14:paraId="036983F1"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01F76C4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r w:rsidR="008E6D14" w:rsidRPr="008E6D14" w14:paraId="6386C631" w14:textId="77777777">
        <w:trPr>
          <w:tblCellSpacing w:w="15" w:type="dxa"/>
        </w:trPr>
        <w:tc>
          <w:tcPr>
            <w:tcW w:w="0" w:type="auto"/>
            <w:vAlign w:val="center"/>
            <w:hideMark/>
          </w:tcPr>
          <w:p w14:paraId="56C8F92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Drug Substance Outsourcing </w:t>
            </w:r>
          </w:p>
        </w:tc>
        <w:tc>
          <w:tcPr>
            <w:tcW w:w="0" w:type="auto"/>
            <w:vAlign w:val="center"/>
            <w:hideMark/>
          </w:tcPr>
          <w:p w14:paraId="770AAE49"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163 </w:t>
            </w:r>
          </w:p>
        </w:tc>
        <w:tc>
          <w:tcPr>
            <w:tcW w:w="0" w:type="auto"/>
            <w:vAlign w:val="center"/>
            <w:hideMark/>
          </w:tcPr>
          <w:p w14:paraId="6FCD1DB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2AFA6879"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r w:rsidR="008E6D14" w:rsidRPr="008E6D14" w14:paraId="665965F1" w14:textId="77777777">
        <w:trPr>
          <w:tblCellSpacing w:w="15" w:type="dxa"/>
        </w:trPr>
        <w:tc>
          <w:tcPr>
            <w:tcW w:w="0" w:type="auto"/>
            <w:vAlign w:val="center"/>
            <w:hideMark/>
          </w:tcPr>
          <w:p w14:paraId="446E36A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Devices &amp; Needles </w:t>
            </w:r>
          </w:p>
        </w:tc>
        <w:tc>
          <w:tcPr>
            <w:tcW w:w="0" w:type="auto"/>
            <w:vAlign w:val="center"/>
            <w:hideMark/>
          </w:tcPr>
          <w:p w14:paraId="5333208C"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158 </w:t>
            </w:r>
          </w:p>
        </w:tc>
        <w:tc>
          <w:tcPr>
            <w:tcW w:w="0" w:type="auto"/>
            <w:vAlign w:val="center"/>
            <w:hideMark/>
          </w:tcPr>
          <w:p w14:paraId="6B747512"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3 </w:t>
            </w:r>
          </w:p>
        </w:tc>
        <w:tc>
          <w:tcPr>
            <w:tcW w:w="0" w:type="auto"/>
            <w:vAlign w:val="center"/>
            <w:hideMark/>
          </w:tcPr>
          <w:p w14:paraId="6DBC280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 </w:t>
            </w:r>
          </w:p>
        </w:tc>
      </w:tr>
      <w:tr w:rsidR="008E6D14" w:rsidRPr="008E6D14" w14:paraId="655957ED" w14:textId="77777777">
        <w:trPr>
          <w:tblCellSpacing w:w="15" w:type="dxa"/>
        </w:trPr>
        <w:tc>
          <w:tcPr>
            <w:tcW w:w="0" w:type="auto"/>
            <w:vAlign w:val="center"/>
            <w:hideMark/>
          </w:tcPr>
          <w:p w14:paraId="0EA8CC0F"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Logistics </w:t>
            </w:r>
          </w:p>
        </w:tc>
        <w:tc>
          <w:tcPr>
            <w:tcW w:w="0" w:type="auto"/>
            <w:vAlign w:val="center"/>
            <w:hideMark/>
          </w:tcPr>
          <w:p w14:paraId="7CA9187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94 </w:t>
            </w:r>
          </w:p>
        </w:tc>
        <w:tc>
          <w:tcPr>
            <w:tcW w:w="0" w:type="auto"/>
            <w:vAlign w:val="center"/>
            <w:hideMark/>
          </w:tcPr>
          <w:p w14:paraId="7E1B7B5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2–6 </w:t>
            </w:r>
          </w:p>
        </w:tc>
        <w:tc>
          <w:tcPr>
            <w:tcW w:w="0" w:type="auto"/>
            <w:vAlign w:val="center"/>
            <w:hideMark/>
          </w:tcPr>
          <w:p w14:paraId="7F57C62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 </w:t>
            </w:r>
          </w:p>
        </w:tc>
      </w:tr>
      <w:tr w:rsidR="008E6D14" w:rsidRPr="008E6D14" w14:paraId="3C8BFA3B" w14:textId="77777777">
        <w:trPr>
          <w:tblCellSpacing w:w="15" w:type="dxa"/>
        </w:trPr>
        <w:tc>
          <w:tcPr>
            <w:tcW w:w="0" w:type="auto"/>
            <w:vAlign w:val="center"/>
            <w:hideMark/>
          </w:tcPr>
          <w:p w14:paraId="2F8EFAE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Bioprocessing &amp; Excipients </w:t>
            </w:r>
          </w:p>
        </w:tc>
        <w:tc>
          <w:tcPr>
            <w:tcW w:w="0" w:type="auto"/>
            <w:vAlign w:val="center"/>
            <w:hideMark/>
          </w:tcPr>
          <w:p w14:paraId="1B3B9D8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59 </w:t>
            </w:r>
          </w:p>
        </w:tc>
        <w:tc>
          <w:tcPr>
            <w:tcW w:w="0" w:type="auto"/>
            <w:vAlign w:val="center"/>
            <w:hideMark/>
          </w:tcPr>
          <w:p w14:paraId="5915F278"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 </w:t>
            </w:r>
          </w:p>
        </w:tc>
        <w:tc>
          <w:tcPr>
            <w:tcW w:w="0" w:type="auto"/>
            <w:vAlign w:val="center"/>
            <w:hideMark/>
          </w:tcPr>
          <w:p w14:paraId="3A03BD8F"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 </w:t>
            </w:r>
          </w:p>
        </w:tc>
      </w:tr>
      <w:tr w:rsidR="008E6D14" w:rsidRPr="008E6D14" w14:paraId="455F2639" w14:textId="77777777">
        <w:trPr>
          <w:tblCellSpacing w:w="15" w:type="dxa"/>
        </w:trPr>
        <w:tc>
          <w:tcPr>
            <w:tcW w:w="0" w:type="auto"/>
            <w:vAlign w:val="center"/>
            <w:hideMark/>
          </w:tcPr>
          <w:p w14:paraId="610B76C2"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Alliance, Acquisitions &amp; PPM </w:t>
            </w:r>
          </w:p>
        </w:tc>
        <w:tc>
          <w:tcPr>
            <w:tcW w:w="0" w:type="auto"/>
            <w:vAlign w:val="center"/>
            <w:hideMark/>
          </w:tcPr>
          <w:p w14:paraId="0FD7DBB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35 </w:t>
            </w:r>
          </w:p>
        </w:tc>
        <w:tc>
          <w:tcPr>
            <w:tcW w:w="0" w:type="auto"/>
            <w:vAlign w:val="center"/>
            <w:hideMark/>
          </w:tcPr>
          <w:p w14:paraId="67143918"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0DDF2A1C"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r w:rsidR="008E6D14" w:rsidRPr="008E6D14" w14:paraId="30CE9A77" w14:textId="77777777">
        <w:trPr>
          <w:tblCellSpacing w:w="15" w:type="dxa"/>
        </w:trPr>
        <w:tc>
          <w:tcPr>
            <w:tcW w:w="0" w:type="auto"/>
            <w:vAlign w:val="center"/>
            <w:hideMark/>
          </w:tcPr>
          <w:p w14:paraId="6E4A3F6E"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Bioprocessing &amp; Raw Materials </w:t>
            </w:r>
          </w:p>
        </w:tc>
        <w:tc>
          <w:tcPr>
            <w:tcW w:w="0" w:type="auto"/>
            <w:vAlign w:val="center"/>
            <w:hideMark/>
          </w:tcPr>
          <w:p w14:paraId="3170604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22 </w:t>
            </w:r>
          </w:p>
        </w:tc>
        <w:tc>
          <w:tcPr>
            <w:tcW w:w="0" w:type="auto"/>
            <w:vAlign w:val="center"/>
            <w:hideMark/>
          </w:tcPr>
          <w:p w14:paraId="3F2ABDF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65C77B3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r w:rsidR="008E6D14" w:rsidRPr="008E6D14" w14:paraId="70C55104" w14:textId="77777777">
        <w:trPr>
          <w:tblCellSpacing w:w="15" w:type="dxa"/>
        </w:trPr>
        <w:tc>
          <w:tcPr>
            <w:tcW w:w="0" w:type="auto"/>
            <w:vAlign w:val="center"/>
            <w:hideMark/>
          </w:tcPr>
          <w:p w14:paraId="0108848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Strategic Sourcing US Hub </w:t>
            </w:r>
          </w:p>
        </w:tc>
        <w:tc>
          <w:tcPr>
            <w:tcW w:w="0" w:type="auto"/>
            <w:vAlign w:val="center"/>
            <w:hideMark/>
          </w:tcPr>
          <w:p w14:paraId="3ED0D27C"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9 </w:t>
            </w:r>
          </w:p>
        </w:tc>
        <w:tc>
          <w:tcPr>
            <w:tcW w:w="0" w:type="auto"/>
            <w:vAlign w:val="center"/>
            <w:hideMark/>
          </w:tcPr>
          <w:p w14:paraId="6C27B5A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4A711F29"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r w:rsidR="008E6D14" w:rsidRPr="008E6D14" w14:paraId="3B8530F7" w14:textId="77777777">
        <w:trPr>
          <w:tblCellSpacing w:w="15" w:type="dxa"/>
        </w:trPr>
        <w:tc>
          <w:tcPr>
            <w:tcW w:w="0" w:type="auto"/>
            <w:vAlign w:val="center"/>
            <w:hideMark/>
          </w:tcPr>
          <w:p w14:paraId="5CC2009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Strategy, Sourcing &amp; Negotiation </w:t>
            </w:r>
          </w:p>
        </w:tc>
        <w:tc>
          <w:tcPr>
            <w:tcW w:w="0" w:type="auto"/>
            <w:vAlign w:val="center"/>
            <w:hideMark/>
          </w:tcPr>
          <w:p w14:paraId="199D572E"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 </w:t>
            </w:r>
          </w:p>
        </w:tc>
        <w:tc>
          <w:tcPr>
            <w:tcW w:w="0" w:type="auto"/>
            <w:vAlign w:val="center"/>
            <w:hideMark/>
          </w:tcPr>
          <w:p w14:paraId="44264DA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c>
          <w:tcPr>
            <w:tcW w:w="0" w:type="auto"/>
            <w:vAlign w:val="center"/>
            <w:hideMark/>
          </w:tcPr>
          <w:p w14:paraId="0C7D3C7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 </w:t>
            </w:r>
          </w:p>
        </w:tc>
      </w:tr>
    </w:tbl>
    <w:p w14:paraId="7FB4531C"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8.3 View-Level Missingness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953"/>
        <w:gridCol w:w="1334"/>
        <w:gridCol w:w="3110"/>
      </w:tblGrid>
      <w:tr w:rsidR="008E6D14" w:rsidRPr="008E6D14" w14:paraId="390A5452" w14:textId="77777777">
        <w:trPr>
          <w:tblHeader/>
          <w:tblCellSpacing w:w="15" w:type="dxa"/>
        </w:trPr>
        <w:tc>
          <w:tcPr>
            <w:tcW w:w="0" w:type="auto"/>
            <w:vAlign w:val="center"/>
            <w:hideMark/>
          </w:tcPr>
          <w:p w14:paraId="43E56224"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View </w:t>
            </w:r>
          </w:p>
        </w:tc>
        <w:tc>
          <w:tcPr>
            <w:tcW w:w="0" w:type="auto"/>
            <w:vAlign w:val="center"/>
            <w:hideMark/>
          </w:tcPr>
          <w:p w14:paraId="51F2DA6A"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Features </w:t>
            </w:r>
          </w:p>
        </w:tc>
        <w:tc>
          <w:tcPr>
            <w:tcW w:w="0" w:type="auto"/>
            <w:vAlign w:val="center"/>
            <w:hideMark/>
          </w:tcPr>
          <w:p w14:paraId="6CB1FE74"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Avg Missing </w:t>
            </w:r>
          </w:p>
        </w:tc>
        <w:tc>
          <w:tcPr>
            <w:tcW w:w="0" w:type="auto"/>
            <w:vAlign w:val="center"/>
            <w:hideMark/>
          </w:tcPr>
          <w:p w14:paraId="037BA234"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Strategy </w:t>
            </w:r>
          </w:p>
        </w:tc>
      </w:tr>
      <w:tr w:rsidR="008E6D14" w:rsidRPr="008E6D14" w14:paraId="6D26AF14" w14:textId="77777777">
        <w:trPr>
          <w:tblCellSpacing w:w="15" w:type="dxa"/>
        </w:trPr>
        <w:tc>
          <w:tcPr>
            <w:tcW w:w="0" w:type="auto"/>
            <w:vAlign w:val="center"/>
            <w:hideMark/>
          </w:tcPr>
          <w:p w14:paraId="5C51A6C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contract_core </w:t>
            </w:r>
          </w:p>
        </w:tc>
        <w:tc>
          <w:tcPr>
            <w:tcW w:w="0" w:type="auto"/>
            <w:vAlign w:val="center"/>
            <w:hideMark/>
          </w:tcPr>
          <w:p w14:paraId="4378FE9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59 </w:t>
            </w:r>
          </w:p>
        </w:tc>
        <w:tc>
          <w:tcPr>
            <w:tcW w:w="0" w:type="auto"/>
            <w:vAlign w:val="center"/>
            <w:hideMark/>
          </w:tcPr>
          <w:p w14:paraId="13CB7A7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14% </w:t>
            </w:r>
          </w:p>
        </w:tc>
        <w:tc>
          <w:tcPr>
            <w:tcW w:w="0" w:type="auto"/>
            <w:vAlign w:val="center"/>
            <w:hideMark/>
          </w:tcPr>
          <w:p w14:paraId="0026D78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Median imputation + indicators </w:t>
            </w:r>
          </w:p>
        </w:tc>
      </w:tr>
      <w:tr w:rsidR="008E6D14" w:rsidRPr="008E6D14" w14:paraId="70B8FC40" w14:textId="77777777">
        <w:trPr>
          <w:tblCellSpacing w:w="15" w:type="dxa"/>
        </w:trPr>
        <w:tc>
          <w:tcPr>
            <w:tcW w:w="0" w:type="auto"/>
            <w:vAlign w:val="center"/>
            <w:hideMark/>
          </w:tcPr>
          <w:p w14:paraId="0017811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financial </w:t>
            </w:r>
          </w:p>
        </w:tc>
        <w:tc>
          <w:tcPr>
            <w:tcW w:w="0" w:type="auto"/>
            <w:vAlign w:val="center"/>
            <w:hideMark/>
          </w:tcPr>
          <w:p w14:paraId="20C0039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93 </w:t>
            </w:r>
          </w:p>
        </w:tc>
        <w:tc>
          <w:tcPr>
            <w:tcW w:w="0" w:type="auto"/>
            <w:vAlign w:val="center"/>
            <w:hideMark/>
          </w:tcPr>
          <w:p w14:paraId="015635C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46% </w:t>
            </w:r>
          </w:p>
        </w:tc>
        <w:tc>
          <w:tcPr>
            <w:tcW w:w="0" w:type="auto"/>
            <w:vAlign w:val="center"/>
            <w:hideMark/>
          </w:tcPr>
          <w:p w14:paraId="635937A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Median + availability flag </w:t>
            </w:r>
          </w:p>
        </w:tc>
      </w:tr>
      <w:tr w:rsidR="008E6D14" w:rsidRPr="008E6D14" w14:paraId="3ABF91EE" w14:textId="77777777">
        <w:trPr>
          <w:tblCellSpacing w:w="15" w:type="dxa"/>
        </w:trPr>
        <w:tc>
          <w:tcPr>
            <w:tcW w:w="0" w:type="auto"/>
            <w:vAlign w:val="center"/>
            <w:hideMark/>
          </w:tcPr>
          <w:p w14:paraId="03B20ED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esg </w:t>
            </w:r>
          </w:p>
        </w:tc>
        <w:tc>
          <w:tcPr>
            <w:tcW w:w="0" w:type="auto"/>
            <w:vAlign w:val="center"/>
            <w:hideMark/>
          </w:tcPr>
          <w:p w14:paraId="60F06E6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14 </w:t>
            </w:r>
          </w:p>
        </w:tc>
        <w:tc>
          <w:tcPr>
            <w:tcW w:w="0" w:type="auto"/>
            <w:vAlign w:val="center"/>
            <w:hideMark/>
          </w:tcPr>
          <w:p w14:paraId="02C7470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89% </w:t>
            </w:r>
          </w:p>
        </w:tc>
        <w:tc>
          <w:tcPr>
            <w:tcW w:w="0" w:type="auto"/>
            <w:vAlign w:val="center"/>
            <w:hideMark/>
          </w:tcPr>
          <w:p w14:paraId="31FC651B"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Zero-fill + flag </w:t>
            </w:r>
          </w:p>
        </w:tc>
      </w:tr>
      <w:tr w:rsidR="008E6D14" w:rsidRPr="008E6D14" w14:paraId="1FE823DD" w14:textId="77777777">
        <w:trPr>
          <w:tblCellSpacing w:w="15" w:type="dxa"/>
        </w:trPr>
        <w:tc>
          <w:tcPr>
            <w:tcW w:w="0" w:type="auto"/>
            <w:vAlign w:val="center"/>
            <w:hideMark/>
          </w:tcPr>
          <w:p w14:paraId="624E2F2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macro_logistics </w:t>
            </w:r>
          </w:p>
        </w:tc>
        <w:tc>
          <w:tcPr>
            <w:tcW w:w="0" w:type="auto"/>
            <w:vAlign w:val="center"/>
            <w:hideMark/>
          </w:tcPr>
          <w:p w14:paraId="6C72CC6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8 </w:t>
            </w:r>
          </w:p>
        </w:tc>
        <w:tc>
          <w:tcPr>
            <w:tcW w:w="0" w:type="auto"/>
            <w:vAlign w:val="center"/>
            <w:hideMark/>
          </w:tcPr>
          <w:p w14:paraId="0B181C81"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0.8% </w:t>
            </w:r>
          </w:p>
        </w:tc>
        <w:tc>
          <w:tcPr>
            <w:tcW w:w="0" w:type="auto"/>
            <w:vAlign w:val="center"/>
            <w:hideMark/>
          </w:tcPr>
          <w:p w14:paraId="370A443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Median (near-complete) </w:t>
            </w:r>
          </w:p>
        </w:tc>
      </w:tr>
      <w:tr w:rsidR="008E6D14" w:rsidRPr="008E6D14" w14:paraId="48BAF57D" w14:textId="77777777">
        <w:trPr>
          <w:tblCellSpacing w:w="15" w:type="dxa"/>
        </w:trPr>
        <w:tc>
          <w:tcPr>
            <w:tcW w:w="0" w:type="auto"/>
            <w:vAlign w:val="center"/>
            <w:hideMark/>
          </w:tcPr>
          <w:p w14:paraId="27B49101"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market </w:t>
            </w:r>
          </w:p>
        </w:tc>
        <w:tc>
          <w:tcPr>
            <w:tcW w:w="0" w:type="auto"/>
            <w:vAlign w:val="center"/>
            <w:hideMark/>
          </w:tcPr>
          <w:p w14:paraId="552BA449"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16 </w:t>
            </w:r>
          </w:p>
        </w:tc>
        <w:tc>
          <w:tcPr>
            <w:tcW w:w="0" w:type="auto"/>
            <w:vAlign w:val="center"/>
            <w:hideMark/>
          </w:tcPr>
          <w:p w14:paraId="064A64F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98% </w:t>
            </w:r>
          </w:p>
        </w:tc>
        <w:tc>
          <w:tcPr>
            <w:tcW w:w="0" w:type="auto"/>
            <w:vAlign w:val="center"/>
            <w:hideMark/>
          </w:tcPr>
          <w:p w14:paraId="6F0FB5B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Zero-fill + flag </w:t>
            </w:r>
          </w:p>
        </w:tc>
      </w:tr>
      <w:tr w:rsidR="008E6D14" w:rsidRPr="008E6D14" w14:paraId="0F2C978F" w14:textId="77777777">
        <w:trPr>
          <w:tblCellSpacing w:w="15" w:type="dxa"/>
        </w:trPr>
        <w:tc>
          <w:tcPr>
            <w:tcW w:w="0" w:type="auto"/>
            <w:vAlign w:val="center"/>
            <w:hideMark/>
          </w:tcPr>
          <w:p w14:paraId="47688551"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news </w:t>
            </w:r>
          </w:p>
        </w:tc>
        <w:tc>
          <w:tcPr>
            <w:tcW w:w="0" w:type="auto"/>
            <w:vAlign w:val="center"/>
            <w:hideMark/>
          </w:tcPr>
          <w:p w14:paraId="0FCF442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9 </w:t>
            </w:r>
          </w:p>
        </w:tc>
        <w:tc>
          <w:tcPr>
            <w:tcW w:w="0" w:type="auto"/>
            <w:vAlign w:val="center"/>
            <w:hideMark/>
          </w:tcPr>
          <w:p w14:paraId="1D7649D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87% </w:t>
            </w:r>
          </w:p>
        </w:tc>
        <w:tc>
          <w:tcPr>
            <w:tcW w:w="0" w:type="auto"/>
            <w:vAlign w:val="center"/>
            <w:hideMark/>
          </w:tcPr>
          <w:p w14:paraId="5DFB5D0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Zero-fill + flag </w:t>
            </w:r>
          </w:p>
        </w:tc>
      </w:tr>
    </w:tbl>
    <w:p w14:paraId="3CBEFD66"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i/>
          <w:iCs/>
          <w:kern w:val="0"/>
          <w:lang w:val="da-DK" w:eastAsia="da-DK"/>
          <w14:ligatures w14:val="none"/>
        </w:rPr>
        <w:t>Figure 1: Distribution of contracts across departments (bar chart)</w:t>
      </w:r>
      <w:r w:rsidRPr="008E6D14">
        <w:rPr>
          <w:rFonts w:ascii="Times New Roman" w:eastAsia="Times New Roman" w:hAnsi="Times New Roman" w:cs="Times New Roman"/>
          <w:kern w:val="0"/>
          <w:lang w:val="da-DK" w:eastAsia="da-DK"/>
          <w14:ligatures w14:val="none"/>
        </w:rPr>
        <w:t xml:space="preserve"> </w:t>
      </w:r>
      <w:r w:rsidRPr="008E6D14">
        <w:rPr>
          <w:rFonts w:ascii="Times New Roman" w:eastAsia="Times New Roman" w:hAnsi="Times New Roman" w:cs="Times New Roman"/>
          <w:i/>
          <w:iCs/>
          <w:kern w:val="0"/>
          <w:lang w:val="da-DK" w:eastAsia="da-DK"/>
          <w14:ligatures w14:val="none"/>
        </w:rPr>
        <w:t>Figure 2: Missingness heatmap across views and features</w:t>
      </w:r>
      <w:r w:rsidRPr="008E6D14">
        <w:rPr>
          <w:rFonts w:ascii="Times New Roman" w:eastAsia="Times New Roman" w:hAnsi="Times New Roman" w:cs="Times New Roman"/>
          <w:kern w:val="0"/>
          <w:lang w:val="da-DK" w:eastAsia="da-DK"/>
          <w14:ligatures w14:val="none"/>
        </w:rPr>
        <w:t xml:space="preserve"> </w:t>
      </w:r>
      <w:r w:rsidRPr="008E6D14">
        <w:rPr>
          <w:rFonts w:ascii="Times New Roman" w:eastAsia="Times New Roman" w:hAnsi="Times New Roman" w:cs="Times New Roman"/>
          <w:i/>
          <w:iCs/>
          <w:kern w:val="0"/>
          <w:lang w:val="da-DK" w:eastAsia="da-DK"/>
          <w14:ligatures w14:val="none"/>
        </w:rPr>
        <w:t>Figure 3: Distribution of Snorkel renegotiation_prob across departments</w:t>
      </w:r>
    </w:p>
    <w:p w14:paraId="060C1198"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476F1621">
          <v:rect id="_x0000_i1034" style="width:0;height:1.5pt" o:hralign="center" o:hrstd="t" o:hr="t" fillcolor="#a0a0a0" stroked="f"/>
        </w:pict>
      </w:r>
    </w:p>
    <w:p w14:paraId="180B980A"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9. Model Estimation</w:t>
      </w:r>
    </w:p>
    <w:p w14:paraId="0FD4645E"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9.1 Stage 1A: Snorkel LabelModel</w:t>
      </w:r>
    </w:p>
    <w:p w14:paraId="621B2E7B" w14:textId="77777777" w:rsidR="008E6D14" w:rsidRPr="008E6D14" w:rsidRDefault="008E6D14" w:rsidP="008E6D14">
      <w:pPr>
        <w:numPr>
          <w:ilvl w:val="0"/>
          <w:numId w:val="8"/>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~12–15 labeling functions (80% global, 20% department-specific)</w:t>
      </w:r>
    </w:p>
    <w:p w14:paraId="47D317B3" w14:textId="77777777" w:rsidR="008E6D14" w:rsidRPr="008E6D14" w:rsidRDefault="008E6D14" w:rsidP="008E6D14">
      <w:pPr>
        <w:numPr>
          <w:ilvl w:val="0"/>
          <w:numId w:val="8"/>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LabelModel fitted to learn LF accuracies and correlations (Ratner et al., 2017)(Ratner et al., 2017)</w:t>
      </w:r>
    </w:p>
    <w:p w14:paraId="084100E7" w14:textId="77777777" w:rsidR="008E6D14" w:rsidRPr="008E6D14" w:rsidRDefault="008E6D14" w:rsidP="008E6D14">
      <w:pPr>
        <w:numPr>
          <w:ilvl w:val="0"/>
          <w:numId w:val="8"/>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Output: renegotiation_prob </w:t>
      </w:r>
      <w:r w:rsidRPr="008E6D14">
        <w:rPr>
          <w:rFonts w:ascii="Cambria Math" w:eastAsia="Times New Roman" w:hAnsi="Cambria Math" w:cs="Cambria Math"/>
          <w:kern w:val="0"/>
          <w:lang w:val="da-DK" w:eastAsia="da-DK"/>
          <w14:ligatures w14:val="none"/>
        </w:rPr>
        <w:t>∈</w:t>
      </w:r>
      <w:r w:rsidRPr="008E6D14">
        <w:rPr>
          <w:rFonts w:ascii="Times New Roman" w:eastAsia="Times New Roman" w:hAnsi="Times New Roman" w:cs="Times New Roman"/>
          <w:kern w:val="0"/>
          <w:lang w:val="da-DK" w:eastAsia="da-DK"/>
          <w14:ligatures w14:val="none"/>
        </w:rPr>
        <w:t xml:space="preserve"> [0][1]() for all 9,201 contracts</w:t>
      </w:r>
    </w:p>
    <w:p w14:paraId="40CC4D59" w14:textId="77777777" w:rsidR="008E6D14" w:rsidRPr="008E6D14" w:rsidRDefault="008E6D14" w:rsidP="008E6D14">
      <w:pPr>
        <w:numPr>
          <w:ilvl w:val="0"/>
          <w:numId w:val="8"/>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Diagnostics: LF coverage, conflict rates, estimated accuracies, gold agreement</w:t>
      </w:r>
    </w:p>
    <w:p w14:paraId="78C02858"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9.2 Stage 1B: Baseline Training</w:t>
      </w:r>
    </w:p>
    <w:p w14:paraId="7ED8B013"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lastRenderedPageBreak/>
        <w:t>Three conditions (A: weak-only, B: gold-only, C: hybrid) × four models = 12 training runs.</w:t>
      </w:r>
    </w:p>
    <w:p w14:paraId="59E7CFB2"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Evaluation Layer A (weak-label distillation):</w:t>
      </w:r>
    </w:p>
    <w:p w14:paraId="2D17D72D" w14:textId="77777777" w:rsidR="008E6D14" w:rsidRPr="008E6D14" w:rsidRDefault="008E6D14" w:rsidP="008E6D14">
      <w:pPr>
        <w:numPr>
          <w:ilvl w:val="0"/>
          <w:numId w:val="9"/>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RMSE, MAE, R² against renegotiation_prob</w:t>
      </w:r>
    </w:p>
    <w:p w14:paraId="06A6A853" w14:textId="77777777" w:rsidR="008E6D14" w:rsidRPr="008E6D14" w:rsidRDefault="008E6D14" w:rsidP="008E6D14">
      <w:pPr>
        <w:numPr>
          <w:ilvl w:val="0"/>
          <w:numId w:val="9"/>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Interpretation: distillation quality, NOT predictive validity</w:t>
      </w:r>
    </w:p>
    <w:p w14:paraId="42943CDD"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Evaluation Layer B (gold-label validity — primary):</w:t>
      </w:r>
    </w:p>
    <w:p w14:paraId="4BEFB36A" w14:textId="77777777" w:rsidR="008E6D14" w:rsidRPr="008E6D14" w:rsidRDefault="008E6D14" w:rsidP="008E6D14">
      <w:pPr>
        <w:numPr>
          <w:ilvl w:val="0"/>
          <w:numId w:val="10"/>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AUROC, log-loss, Precision@10, NDCG@10, ECE on held-out gold test set</w:t>
      </w:r>
    </w:p>
    <w:p w14:paraId="45C2CE23" w14:textId="77777777" w:rsidR="008E6D14" w:rsidRPr="008E6D14" w:rsidRDefault="008E6D14" w:rsidP="008E6D14">
      <w:pPr>
        <w:numPr>
          <w:ilvl w:val="0"/>
          <w:numId w:val="10"/>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Per-department breakdown</w:t>
      </w:r>
    </w:p>
    <w:p w14:paraId="5D6AEC61"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i/>
          <w:iCs/>
          <w:kern w:val="0"/>
          <w:lang w:val="da-DK" w:eastAsia="da-DK"/>
          <w14:ligatures w14:val="none"/>
        </w:rPr>
        <w:t>Table: Stage 1 Layer A results (weak-label distillation)</w:t>
      </w:r>
      <w:r w:rsidRPr="008E6D14">
        <w:rPr>
          <w:rFonts w:ascii="Times New Roman" w:eastAsia="Times New Roman" w:hAnsi="Times New Roman" w:cs="Times New Roman"/>
          <w:kern w:val="0"/>
          <w:lang w:val="da-DK" w:eastAsia="da-DK"/>
          <w14:ligatures w14:val="none"/>
        </w:rPr>
        <w:t xml:space="preserve"> </w:t>
      </w:r>
      <w:r w:rsidRPr="008E6D14">
        <w:rPr>
          <w:rFonts w:ascii="Times New Roman" w:eastAsia="Times New Roman" w:hAnsi="Times New Roman" w:cs="Times New Roman"/>
          <w:i/>
          <w:iCs/>
          <w:kern w:val="0"/>
          <w:lang w:val="da-DK" w:eastAsia="da-DK"/>
          <w14:ligatures w14:val="none"/>
        </w:rPr>
        <w:t>Table: Stage 1 Layer B results (gold-label validity)</w:t>
      </w:r>
      <w:r w:rsidRPr="008E6D14">
        <w:rPr>
          <w:rFonts w:ascii="Times New Roman" w:eastAsia="Times New Roman" w:hAnsi="Times New Roman" w:cs="Times New Roman"/>
          <w:kern w:val="0"/>
          <w:lang w:val="da-DK" w:eastAsia="da-DK"/>
          <w14:ligatures w14:val="none"/>
        </w:rPr>
        <w:t xml:space="preserve"> </w:t>
      </w:r>
      <w:r w:rsidRPr="008E6D14">
        <w:rPr>
          <w:rFonts w:ascii="Times New Roman" w:eastAsia="Times New Roman" w:hAnsi="Times New Roman" w:cs="Times New Roman"/>
          <w:i/>
          <w:iCs/>
          <w:kern w:val="0"/>
          <w:lang w:val="da-DK" w:eastAsia="da-DK"/>
          <w14:ligatures w14:val="none"/>
        </w:rPr>
        <w:t>Figure: Calibration reliability diagrams per model</w:t>
      </w:r>
      <w:r w:rsidRPr="008E6D14">
        <w:rPr>
          <w:rFonts w:ascii="Times New Roman" w:eastAsia="Times New Roman" w:hAnsi="Times New Roman" w:cs="Times New Roman"/>
          <w:kern w:val="0"/>
          <w:lang w:val="da-DK" w:eastAsia="da-DK"/>
          <w14:ligatures w14:val="none"/>
        </w:rPr>
        <w:t xml:space="preserve"> </w:t>
      </w:r>
      <w:r w:rsidRPr="008E6D14">
        <w:rPr>
          <w:rFonts w:ascii="Times New Roman" w:eastAsia="Times New Roman" w:hAnsi="Times New Roman" w:cs="Times New Roman"/>
          <w:i/>
          <w:iCs/>
          <w:kern w:val="0"/>
          <w:lang w:val="da-DK" w:eastAsia="da-DK"/>
          <w14:ligatures w14:val="none"/>
        </w:rPr>
        <w:t>Figure: SHAP global feature importance (view-level aggregation)</w:t>
      </w:r>
    </w:p>
    <w:p w14:paraId="69FB3302"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9.3 Stage 2: MAML Meta-Training</w:t>
      </w:r>
    </w:p>
    <w:p w14:paraId="64E0B189" w14:textId="77777777" w:rsidR="008E6D14" w:rsidRPr="008E6D14" w:rsidRDefault="008E6D14" w:rsidP="008E6D14">
      <w:pPr>
        <w:numPr>
          <w:ilvl w:val="0"/>
          <w:numId w:val="1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Initialize θ from Stage 1 artifact (A</w:t>
      </w:r>
      <w:r w:rsidRPr="008E6D14">
        <w:rPr>
          <w:rFonts w:ascii="Times New Roman" w:eastAsia="Times New Roman" w:hAnsi="Times New Roman" w:cs="Times New Roman"/>
          <w:i/>
          <w:iCs/>
          <w:kern w:val="0"/>
          <w:lang w:val="da-DK" w:eastAsia="da-DK"/>
          <w14:ligatures w14:val="none"/>
        </w:rPr>
        <w:t>weak or C</w:t>
      </w:r>
      <w:r w:rsidRPr="008E6D14">
        <w:rPr>
          <w:rFonts w:ascii="Times New Roman" w:eastAsia="Times New Roman" w:hAnsi="Times New Roman" w:cs="Times New Roman"/>
          <w:kern w:val="0"/>
          <w:lang w:val="da-DK" w:eastAsia="da-DK"/>
          <w14:ligatures w14:val="none"/>
        </w:rPr>
        <w:t>hybrid)</w:t>
      </w:r>
    </w:p>
    <w:p w14:paraId="1B07BE7F" w14:textId="77777777" w:rsidR="008E6D14" w:rsidRPr="008E6D14" w:rsidRDefault="008E6D14" w:rsidP="008E6D14">
      <w:pPr>
        <w:numPr>
          <w:ilvl w:val="0"/>
          <w:numId w:val="1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Meta-training: 5,000 iterations, meta-batch = 3–4 departments</w:t>
      </w:r>
    </w:p>
    <w:p w14:paraId="1323CCEE" w14:textId="77777777" w:rsidR="008E6D14" w:rsidRPr="008E6D14" w:rsidRDefault="008E6D14" w:rsidP="008E6D14">
      <w:pPr>
        <w:numPr>
          <w:ilvl w:val="0"/>
          <w:numId w:val="1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Inner loop: 3 steps, α = 0.01 (ANIL: final layer only)</w:t>
      </w:r>
    </w:p>
    <w:p w14:paraId="5F79822D" w14:textId="77777777" w:rsidR="008E6D14" w:rsidRPr="008E6D14" w:rsidRDefault="008E6D14" w:rsidP="008E6D14">
      <w:pPr>
        <w:numPr>
          <w:ilvl w:val="0"/>
          <w:numId w:val="1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Outer loop: β = 0.001</w:t>
      </w:r>
    </w:p>
    <w:p w14:paraId="5383EFA2" w14:textId="77777777" w:rsidR="008E6D14" w:rsidRPr="008E6D14" w:rsidRDefault="008E6D14" w:rsidP="008E6D14">
      <w:pPr>
        <w:numPr>
          <w:ilvl w:val="0"/>
          <w:numId w:val="1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Meta-test: adapt to Logistics with 5-shot support, evaluate on held-out Logistics gold</w:t>
      </w:r>
    </w:p>
    <w:p w14:paraId="078CFA4A"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i/>
          <w:iCs/>
          <w:kern w:val="0"/>
          <w:lang w:val="da-DK" w:eastAsia="da-DK"/>
          <w14:ligatures w14:val="none"/>
        </w:rPr>
        <w:t>Table: Stage 2 Logistics adaptation results (all baselines + MAML variants)</w:t>
      </w:r>
      <w:r w:rsidRPr="008E6D14">
        <w:rPr>
          <w:rFonts w:ascii="Times New Roman" w:eastAsia="Times New Roman" w:hAnsi="Times New Roman" w:cs="Times New Roman"/>
          <w:kern w:val="0"/>
          <w:lang w:val="da-DK" w:eastAsia="da-DK"/>
          <w14:ligatures w14:val="none"/>
        </w:rPr>
        <w:t xml:space="preserve"> </w:t>
      </w:r>
      <w:r w:rsidRPr="008E6D14">
        <w:rPr>
          <w:rFonts w:ascii="Times New Roman" w:eastAsia="Times New Roman" w:hAnsi="Times New Roman" w:cs="Times New Roman"/>
          <w:i/>
          <w:iCs/>
          <w:kern w:val="0"/>
          <w:lang w:val="da-DK" w:eastAsia="da-DK"/>
          <w14:ligatures w14:val="none"/>
        </w:rPr>
        <w:t>Figure: Adaptation curves (performance vs. inner steps)</w:t>
      </w:r>
      <w:r w:rsidRPr="008E6D14">
        <w:rPr>
          <w:rFonts w:ascii="Times New Roman" w:eastAsia="Times New Roman" w:hAnsi="Times New Roman" w:cs="Times New Roman"/>
          <w:kern w:val="0"/>
          <w:lang w:val="da-DK" w:eastAsia="da-DK"/>
          <w14:ligatures w14:val="none"/>
        </w:rPr>
        <w:t xml:space="preserve"> </w:t>
      </w:r>
      <w:r w:rsidRPr="008E6D14">
        <w:rPr>
          <w:rFonts w:ascii="Times New Roman" w:eastAsia="Times New Roman" w:hAnsi="Times New Roman" w:cs="Times New Roman"/>
          <w:i/>
          <w:iCs/>
          <w:kern w:val="0"/>
          <w:lang w:val="da-DK" w:eastAsia="da-DK"/>
          <w14:ligatures w14:val="none"/>
        </w:rPr>
        <w:t>Figure: Sample efficiency curves (performance vs. k-shot)</w:t>
      </w:r>
      <w:r w:rsidRPr="008E6D14">
        <w:rPr>
          <w:rFonts w:ascii="Times New Roman" w:eastAsia="Times New Roman" w:hAnsi="Times New Roman" w:cs="Times New Roman"/>
          <w:kern w:val="0"/>
          <w:lang w:val="da-DK" w:eastAsia="da-DK"/>
          <w14:ligatures w14:val="none"/>
        </w:rPr>
        <w:t xml:space="preserve"> </w:t>
      </w:r>
      <w:r w:rsidRPr="008E6D14">
        <w:rPr>
          <w:rFonts w:ascii="Times New Roman" w:eastAsia="Times New Roman" w:hAnsi="Times New Roman" w:cs="Times New Roman"/>
          <w:i/>
          <w:iCs/>
          <w:kern w:val="0"/>
          <w:lang w:val="da-DK" w:eastAsia="da-DK"/>
          <w14:ligatures w14:val="none"/>
        </w:rPr>
        <w:t>Figure: Initialization ablation (Aweak vs. Chybrid vs. random)</w:t>
      </w:r>
    </w:p>
    <w:p w14:paraId="466A9398"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9.4 Validation of Models</w:t>
      </w:r>
    </w:p>
    <w:p w14:paraId="01ACF63B" w14:textId="77777777" w:rsidR="008E6D14" w:rsidRPr="008E6D14" w:rsidRDefault="008E6D14" w:rsidP="008E6D14">
      <w:pPr>
        <w:numPr>
          <w:ilvl w:val="0"/>
          <w:numId w:val="12"/>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Gold test set never used in training under any condition</w:t>
      </w:r>
    </w:p>
    <w:p w14:paraId="636ED7E6" w14:textId="77777777" w:rsidR="008E6D14" w:rsidRPr="008E6D14" w:rsidRDefault="008E6D14" w:rsidP="008E6D14">
      <w:pPr>
        <w:numPr>
          <w:ilvl w:val="0"/>
          <w:numId w:val="12"/>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Group-based split by contract_id to prevent supplier leakage</w:t>
      </w:r>
    </w:p>
    <w:p w14:paraId="2E5D81AD" w14:textId="77777777" w:rsidR="008E6D14" w:rsidRPr="008E6D14" w:rsidRDefault="008E6D14" w:rsidP="008E6D14">
      <w:pPr>
        <w:numPr>
          <w:ilvl w:val="0"/>
          <w:numId w:val="12"/>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Calibration post-processing (temperature scaling) applied and compared</w:t>
      </w:r>
    </w:p>
    <w:p w14:paraId="5444A2A3" w14:textId="77777777" w:rsidR="008E6D14" w:rsidRPr="008E6D14" w:rsidRDefault="008E6D14" w:rsidP="008E6D14">
      <w:pPr>
        <w:numPr>
          <w:ilvl w:val="0"/>
          <w:numId w:val="12"/>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SHAP common-sense checks: do top features align with domain knowledge?</w:t>
      </w:r>
    </w:p>
    <w:p w14:paraId="68202A6B"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5E11346E">
          <v:rect id="_x0000_i1033" style="width:0;height:1.5pt" o:hralign="center" o:hrstd="t" o:hr="t" fillcolor="#a0a0a0" stroked="f"/>
        </w:pict>
      </w:r>
    </w:p>
    <w:p w14:paraId="35083798"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10. Application and Case Study</w:t>
      </w:r>
    </w:p>
    <w:p w14:paraId="17498B34"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10.1 Why Logistics as the Case Study</w:t>
      </w:r>
    </w:p>
    <w:p w14:paraId="7B6DFA37"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Logistics is selected as the primary case study because:</w:t>
      </w:r>
    </w:p>
    <w:p w14:paraId="45251641" w14:textId="77777777" w:rsidR="008E6D14" w:rsidRPr="008E6D14" w:rsidRDefault="008E6D14" w:rsidP="008E6D14">
      <w:pPr>
        <w:numPr>
          <w:ilvl w:val="0"/>
          <w:numId w:val="13"/>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It has the most complete gold label inventory (2–6 Yes, 2 No, expandable)</w:t>
      </w:r>
    </w:p>
    <w:p w14:paraId="3AD38245" w14:textId="77777777" w:rsidR="008E6D14" w:rsidRPr="008E6D14" w:rsidRDefault="008E6D14" w:rsidP="008E6D14">
      <w:pPr>
        <w:numPr>
          <w:ilvl w:val="0"/>
          <w:numId w:val="13"/>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It has distinct, well-understood renegotiation drivers (shipping costs, incoterms, carrier performance)</w:t>
      </w:r>
    </w:p>
    <w:p w14:paraId="5F3975EB" w14:textId="77777777" w:rsidR="008E6D14" w:rsidRPr="008E6D14" w:rsidRDefault="008E6D14" w:rsidP="008E6D14">
      <w:pPr>
        <w:numPr>
          <w:ilvl w:val="0"/>
          <w:numId w:val="13"/>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lastRenderedPageBreak/>
        <w:t>It represents a realistic deployment scenario: a procurement team with a handful of labeled examples wanting rapid, department-specific predictions</w:t>
      </w:r>
    </w:p>
    <w:p w14:paraId="3A6DA4F1" w14:textId="77777777" w:rsidR="008E6D14" w:rsidRPr="008E6D14" w:rsidRDefault="008E6D14" w:rsidP="008E6D14">
      <w:pPr>
        <w:numPr>
          <w:ilvl w:val="0"/>
          <w:numId w:val="13"/>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If the framework succeeds for Logistics, it can be extended to other departments with similar or fewer gold labels</w:t>
      </w:r>
    </w:p>
    <w:p w14:paraId="1B5D92F6"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10.2 Proof of Concept</w:t>
      </w:r>
    </w:p>
    <w:p w14:paraId="6FDB9FEF"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The case study demonstrates:</w:t>
      </w:r>
    </w:p>
    <w:p w14:paraId="57939958" w14:textId="77777777" w:rsidR="008E6D14" w:rsidRPr="008E6D14" w:rsidRDefault="008E6D14" w:rsidP="008E6D14">
      <w:pPr>
        <w:numPr>
          <w:ilvl w:val="0"/>
          <w:numId w:val="14"/>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Stage 1 produces meaningful renegotiation pressure scores from weak supervision alone</w:t>
      </w:r>
    </w:p>
    <w:p w14:paraId="546EB908" w14:textId="77777777" w:rsidR="008E6D14" w:rsidRPr="008E6D14" w:rsidRDefault="008E6D14" w:rsidP="008E6D14">
      <w:pPr>
        <w:numPr>
          <w:ilvl w:val="0"/>
          <w:numId w:val="14"/>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Stage 2 adapts these scores to Logistics-specific patterns with only 5 gold labels</w:t>
      </w:r>
    </w:p>
    <w:p w14:paraId="36BD4F9C" w14:textId="77777777" w:rsidR="008E6D14" w:rsidRPr="008E6D14" w:rsidRDefault="008E6D14" w:rsidP="008E6D14">
      <w:pPr>
        <w:numPr>
          <w:ilvl w:val="0"/>
          <w:numId w:val="14"/>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The adapted model ranks Logistics contracts by renegotiation pressure with higher NDCG@10 than Stage 1 baselines or standard fine-tuning</w:t>
      </w:r>
    </w:p>
    <w:p w14:paraId="17A3D623" w14:textId="77777777" w:rsidR="008E6D14" w:rsidRPr="008E6D14" w:rsidRDefault="008E6D14" w:rsidP="008E6D14">
      <w:pPr>
        <w:numPr>
          <w:ilvl w:val="0"/>
          <w:numId w:val="14"/>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SHAP explanations reveal that after adaptation, Logistics-specific features (shipping cost volatility, incoterm flags) become dominant drivers</w:t>
      </w:r>
    </w:p>
    <w:p w14:paraId="035AB49E"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i/>
          <w:iCs/>
          <w:kern w:val="0"/>
          <w:lang w:val="da-DK" w:eastAsia="da-DK"/>
          <w14:ligatures w14:val="none"/>
        </w:rPr>
        <w:t>Table: Top-10 Logistics contracts by renegotiation pressure (with SHAP explanations)</w:t>
      </w:r>
      <w:r w:rsidRPr="008E6D14">
        <w:rPr>
          <w:rFonts w:ascii="Times New Roman" w:eastAsia="Times New Roman" w:hAnsi="Times New Roman" w:cs="Times New Roman"/>
          <w:kern w:val="0"/>
          <w:lang w:val="da-DK" w:eastAsia="da-DK"/>
          <w14:ligatures w14:val="none"/>
        </w:rPr>
        <w:t xml:space="preserve"> </w:t>
      </w:r>
      <w:r w:rsidRPr="008E6D14">
        <w:rPr>
          <w:rFonts w:ascii="Times New Roman" w:eastAsia="Times New Roman" w:hAnsi="Times New Roman" w:cs="Times New Roman"/>
          <w:i/>
          <w:iCs/>
          <w:kern w:val="0"/>
          <w:lang w:val="da-DK" w:eastAsia="da-DK"/>
          <w14:ligatures w14:val="none"/>
        </w:rPr>
        <w:t>Figure: SHAP feature importance before adaptation (Stage 1) vs. after adaptation (Stage 2)</w:t>
      </w:r>
    </w:p>
    <w:p w14:paraId="49CFB1D8"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36AB3EB7">
          <v:rect id="_x0000_i1032" style="width:0;height:1.5pt" o:hralign="center" o:hrstd="t" o:hr="t" fillcolor="#a0a0a0" stroked="f"/>
        </w:pict>
      </w:r>
    </w:p>
    <w:p w14:paraId="3FE677E5"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11. Validation of Results</w:t>
      </w:r>
    </w:p>
    <w:p w14:paraId="07927086"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11.1 Robustness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3614"/>
        <w:gridCol w:w="3002"/>
      </w:tblGrid>
      <w:tr w:rsidR="008E6D14" w:rsidRPr="008E6D14" w14:paraId="5ADC9AE3" w14:textId="77777777">
        <w:trPr>
          <w:tblHeader/>
          <w:tblCellSpacing w:w="15" w:type="dxa"/>
        </w:trPr>
        <w:tc>
          <w:tcPr>
            <w:tcW w:w="0" w:type="auto"/>
            <w:vAlign w:val="center"/>
            <w:hideMark/>
          </w:tcPr>
          <w:p w14:paraId="17F3807A"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Ablation </w:t>
            </w:r>
          </w:p>
        </w:tc>
        <w:tc>
          <w:tcPr>
            <w:tcW w:w="0" w:type="auto"/>
            <w:vAlign w:val="center"/>
            <w:hideMark/>
          </w:tcPr>
          <w:p w14:paraId="739479D8"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Conditions </w:t>
            </w:r>
          </w:p>
        </w:tc>
        <w:tc>
          <w:tcPr>
            <w:tcW w:w="0" w:type="auto"/>
            <w:vAlign w:val="center"/>
            <w:hideMark/>
          </w:tcPr>
          <w:p w14:paraId="22135625"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What it validates </w:t>
            </w:r>
          </w:p>
        </w:tc>
      </w:tr>
      <w:tr w:rsidR="008E6D14" w:rsidRPr="008E6D14" w14:paraId="7AC95B26" w14:textId="77777777">
        <w:trPr>
          <w:tblCellSpacing w:w="15" w:type="dxa"/>
        </w:trPr>
        <w:tc>
          <w:tcPr>
            <w:tcW w:w="0" w:type="auto"/>
            <w:vAlign w:val="center"/>
            <w:hideMark/>
          </w:tcPr>
          <w:p w14:paraId="5C2EE15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Initialization </w:t>
            </w:r>
          </w:p>
        </w:tc>
        <w:tc>
          <w:tcPr>
            <w:tcW w:w="0" w:type="auto"/>
            <w:vAlign w:val="center"/>
            <w:hideMark/>
          </w:tcPr>
          <w:p w14:paraId="0D8694A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Random vs. A</w:t>
            </w:r>
            <w:r w:rsidRPr="008E6D14">
              <w:rPr>
                <w:rFonts w:ascii="Times New Roman" w:eastAsia="Times New Roman" w:hAnsi="Times New Roman" w:cs="Times New Roman"/>
                <w:i/>
                <w:iCs/>
                <w:kern w:val="0"/>
                <w:lang w:val="da-DK" w:eastAsia="da-DK"/>
                <w14:ligatures w14:val="none"/>
              </w:rPr>
              <w:t>weak vs. C</w:t>
            </w:r>
            <w:r w:rsidRPr="008E6D14">
              <w:rPr>
                <w:rFonts w:ascii="Times New Roman" w:eastAsia="Times New Roman" w:hAnsi="Times New Roman" w:cs="Times New Roman"/>
                <w:kern w:val="0"/>
                <w:lang w:val="da-DK" w:eastAsia="da-DK"/>
                <w14:ligatures w14:val="none"/>
              </w:rPr>
              <w:t xml:space="preserve">hybrid </w:t>
            </w:r>
          </w:p>
        </w:tc>
        <w:tc>
          <w:tcPr>
            <w:tcW w:w="0" w:type="auto"/>
            <w:vAlign w:val="center"/>
            <w:hideMark/>
          </w:tcPr>
          <w:p w14:paraId="7F01954B"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Value of Stage 1 pretraining </w:t>
            </w:r>
          </w:p>
        </w:tc>
      </w:tr>
      <w:tr w:rsidR="008E6D14" w:rsidRPr="008E6D14" w14:paraId="01886572" w14:textId="77777777">
        <w:trPr>
          <w:tblCellSpacing w:w="15" w:type="dxa"/>
        </w:trPr>
        <w:tc>
          <w:tcPr>
            <w:tcW w:w="0" w:type="auto"/>
            <w:vAlign w:val="center"/>
            <w:hideMark/>
          </w:tcPr>
          <w:p w14:paraId="19BAB938"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Inner-loop steps </w:t>
            </w:r>
          </w:p>
        </w:tc>
        <w:tc>
          <w:tcPr>
            <w:tcW w:w="0" w:type="auto"/>
            <w:vAlign w:val="center"/>
            <w:hideMark/>
          </w:tcPr>
          <w:p w14:paraId="2B6048E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1, 3, 5, 10 </w:t>
            </w:r>
          </w:p>
        </w:tc>
        <w:tc>
          <w:tcPr>
            <w:tcW w:w="0" w:type="auto"/>
            <w:vAlign w:val="center"/>
            <w:hideMark/>
          </w:tcPr>
          <w:p w14:paraId="27DA6CB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Sensitivity to adaptation depth </w:t>
            </w:r>
          </w:p>
        </w:tc>
      </w:tr>
      <w:tr w:rsidR="008E6D14" w:rsidRPr="008E6D14" w14:paraId="693FECEF" w14:textId="77777777">
        <w:trPr>
          <w:tblCellSpacing w:w="15" w:type="dxa"/>
        </w:trPr>
        <w:tc>
          <w:tcPr>
            <w:tcW w:w="0" w:type="auto"/>
            <w:vAlign w:val="center"/>
            <w:hideMark/>
          </w:tcPr>
          <w:p w14:paraId="68A88128"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k-shot size </w:t>
            </w:r>
          </w:p>
        </w:tc>
        <w:tc>
          <w:tcPr>
            <w:tcW w:w="0" w:type="auto"/>
            <w:vAlign w:val="center"/>
            <w:hideMark/>
          </w:tcPr>
          <w:p w14:paraId="236FC4F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2, 5, 10 </w:t>
            </w:r>
          </w:p>
        </w:tc>
        <w:tc>
          <w:tcPr>
            <w:tcW w:w="0" w:type="auto"/>
            <w:vAlign w:val="center"/>
            <w:hideMark/>
          </w:tcPr>
          <w:p w14:paraId="11E3BFC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Sample efficiency </w:t>
            </w:r>
          </w:p>
        </w:tc>
      </w:tr>
      <w:tr w:rsidR="008E6D14" w:rsidRPr="008E6D14" w14:paraId="196E0B57" w14:textId="77777777">
        <w:trPr>
          <w:tblCellSpacing w:w="15" w:type="dxa"/>
        </w:trPr>
        <w:tc>
          <w:tcPr>
            <w:tcW w:w="0" w:type="auto"/>
            <w:vAlign w:val="center"/>
            <w:hideMark/>
          </w:tcPr>
          <w:p w14:paraId="547171E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MAML variant </w:t>
            </w:r>
          </w:p>
        </w:tc>
        <w:tc>
          <w:tcPr>
            <w:tcW w:w="0" w:type="auto"/>
            <w:vAlign w:val="center"/>
            <w:hideMark/>
          </w:tcPr>
          <w:p w14:paraId="1F2B8608"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ANIL vs. FOMAML vs. full MAML </w:t>
            </w:r>
          </w:p>
        </w:tc>
        <w:tc>
          <w:tcPr>
            <w:tcW w:w="0" w:type="auto"/>
            <w:vAlign w:val="center"/>
            <w:hideMark/>
          </w:tcPr>
          <w:p w14:paraId="63C1B5F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Compute vs. performance </w:t>
            </w:r>
          </w:p>
        </w:tc>
      </w:tr>
      <w:tr w:rsidR="008E6D14" w:rsidRPr="008E6D14" w14:paraId="501B61D1" w14:textId="77777777">
        <w:trPr>
          <w:tblCellSpacing w:w="15" w:type="dxa"/>
        </w:trPr>
        <w:tc>
          <w:tcPr>
            <w:tcW w:w="0" w:type="auto"/>
            <w:vAlign w:val="center"/>
            <w:hideMark/>
          </w:tcPr>
          <w:p w14:paraId="2DB5B6D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Calibration </w:t>
            </w:r>
          </w:p>
        </w:tc>
        <w:tc>
          <w:tcPr>
            <w:tcW w:w="0" w:type="auto"/>
            <w:vAlign w:val="center"/>
            <w:hideMark/>
          </w:tcPr>
          <w:p w14:paraId="2F340C5B"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Pre vs. post temperature scaling </w:t>
            </w:r>
          </w:p>
        </w:tc>
        <w:tc>
          <w:tcPr>
            <w:tcW w:w="0" w:type="auto"/>
            <w:vAlign w:val="center"/>
            <w:hideMark/>
          </w:tcPr>
          <w:p w14:paraId="7ACAC60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Probability reliability </w:t>
            </w:r>
          </w:p>
        </w:tc>
      </w:tr>
      <w:tr w:rsidR="008E6D14" w:rsidRPr="008E6D14" w14:paraId="1019CD84" w14:textId="77777777">
        <w:trPr>
          <w:tblCellSpacing w:w="15" w:type="dxa"/>
        </w:trPr>
        <w:tc>
          <w:tcPr>
            <w:tcW w:w="0" w:type="auto"/>
            <w:vAlign w:val="center"/>
            <w:hideMark/>
          </w:tcPr>
          <w:p w14:paraId="45846B0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Hybrid weight </w:t>
            </w:r>
          </w:p>
        </w:tc>
        <w:tc>
          <w:tcPr>
            <w:tcW w:w="0" w:type="auto"/>
            <w:vAlign w:val="center"/>
            <w:hideMark/>
          </w:tcPr>
          <w:p w14:paraId="040A350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w_gold = 1, 3, 5, 10 </w:t>
            </w:r>
          </w:p>
        </w:tc>
        <w:tc>
          <w:tcPr>
            <w:tcW w:w="0" w:type="auto"/>
            <w:vAlign w:val="center"/>
            <w:hideMark/>
          </w:tcPr>
          <w:p w14:paraId="169FEB7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Sensitivity of Condition C </w:t>
            </w:r>
          </w:p>
        </w:tc>
      </w:tr>
    </w:tbl>
    <w:p w14:paraId="48EDEFC8"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11.2 Common-Sense Checks</w:t>
      </w:r>
    </w:p>
    <w:p w14:paraId="6B14B9A6" w14:textId="77777777" w:rsidR="008E6D14" w:rsidRPr="008E6D14" w:rsidRDefault="008E6D14" w:rsidP="008E6D14">
      <w:pPr>
        <w:numPr>
          <w:ilvl w:val="0"/>
          <w:numId w:val="15"/>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Do top SHAP features align with procurement domain knowledge?</w:t>
      </w:r>
    </w:p>
    <w:p w14:paraId="15230806" w14:textId="77777777" w:rsidR="008E6D14" w:rsidRPr="008E6D14" w:rsidRDefault="008E6D14" w:rsidP="008E6D14">
      <w:pPr>
        <w:numPr>
          <w:ilvl w:val="0"/>
          <w:numId w:val="15"/>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Does renegotiation_prob correlate with known contract risk indicators?</w:t>
      </w:r>
    </w:p>
    <w:p w14:paraId="7BF78540" w14:textId="77777777" w:rsidR="008E6D14" w:rsidRPr="008E6D14" w:rsidRDefault="008E6D14" w:rsidP="008E6D14">
      <w:pPr>
        <w:numPr>
          <w:ilvl w:val="0"/>
          <w:numId w:val="15"/>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Are calibrated probabilities reliable for top-K selection (ECE &lt; 0.10)?</w:t>
      </w:r>
    </w:p>
    <w:p w14:paraId="61BFD57E"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11.3 Sensitivity Analysis</w:t>
      </w:r>
    </w:p>
    <w:p w14:paraId="176E3C89" w14:textId="77777777" w:rsidR="008E6D14" w:rsidRPr="008E6D14" w:rsidRDefault="008E6D14" w:rsidP="008E6D14">
      <w:pPr>
        <w:numPr>
          <w:ilvl w:val="0"/>
          <w:numId w:val="16"/>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How does performance degrade as gold labels decrease from 10 to 2?</w:t>
      </w:r>
    </w:p>
    <w:p w14:paraId="7B150D9C" w14:textId="77777777" w:rsidR="008E6D14" w:rsidRPr="008E6D14" w:rsidRDefault="008E6D14" w:rsidP="008E6D14">
      <w:pPr>
        <w:numPr>
          <w:ilvl w:val="0"/>
          <w:numId w:val="16"/>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How does performance change across departments with different characteristics (size, LF coverage)?</w:t>
      </w:r>
    </w:p>
    <w:p w14:paraId="71B82290"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lastRenderedPageBreak/>
        <w:pict w14:anchorId="7E11EE32">
          <v:rect id="_x0000_i1031" style="width:0;height:1.5pt" o:hralign="center" o:hrstd="t" o:hr="t" fillcolor="#a0a0a0" stroked="f"/>
        </w:pict>
      </w:r>
    </w:p>
    <w:p w14:paraId="4012E91F"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12. Impact</w:t>
      </w:r>
    </w:p>
    <w:p w14:paraId="30861903"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12.1 Why the Case and Model Are Relevant</w:t>
      </w:r>
    </w:p>
    <w:p w14:paraId="237A5E42"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This framework transforms contract renegotiation from a manual, heuristic-driven process to a systematic, data-driven prioritization system. The combination of weak supervision and meta-learning addresses the fundamental constraint of label scarcity that prevents standard ML deployment in enterprise procurement.</w:t>
      </w:r>
    </w:p>
    <w:p w14:paraId="287EDF79"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12.2 What Story Does It Tell</w:t>
      </w:r>
    </w:p>
    <w:p w14:paraId="264FE21A"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The story is one of </w:t>
      </w:r>
      <w:r w:rsidRPr="008E6D14">
        <w:rPr>
          <w:rFonts w:ascii="Times New Roman" w:eastAsia="Times New Roman" w:hAnsi="Times New Roman" w:cs="Times New Roman"/>
          <w:b/>
          <w:bCs/>
          <w:kern w:val="0"/>
          <w:lang w:val="da-DK" w:eastAsia="da-DK"/>
          <w14:ligatures w14:val="none"/>
        </w:rPr>
        <w:t>progressive signal refinement</w:t>
      </w:r>
      <w:r w:rsidRPr="008E6D14">
        <w:rPr>
          <w:rFonts w:ascii="Times New Roman" w:eastAsia="Times New Roman" w:hAnsi="Times New Roman" w:cs="Times New Roman"/>
          <w:kern w:val="0"/>
          <w:lang w:val="da-DK" w:eastAsia="da-DK"/>
          <w14:ligatures w14:val="none"/>
        </w:rPr>
        <w:t>:</w:t>
      </w:r>
    </w:p>
    <w:p w14:paraId="61A1BB50" w14:textId="77777777" w:rsidR="008E6D14" w:rsidRPr="008E6D14" w:rsidRDefault="008E6D14" w:rsidP="008E6D14">
      <w:pPr>
        <w:numPr>
          <w:ilvl w:val="0"/>
          <w:numId w:val="1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Stage 0 assembles heterogeneous signals from across the organization</w:t>
      </w:r>
    </w:p>
    <w:p w14:paraId="149BCAED" w14:textId="77777777" w:rsidR="008E6D14" w:rsidRPr="008E6D14" w:rsidRDefault="008E6D14" w:rsidP="008E6D14">
      <w:pPr>
        <w:numPr>
          <w:ilvl w:val="0"/>
          <w:numId w:val="1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Stage 1A converts informal domain heuristics into scalable probabilistic labels</w:t>
      </w:r>
    </w:p>
    <w:p w14:paraId="37C497ED" w14:textId="77777777" w:rsidR="008E6D14" w:rsidRPr="008E6D14" w:rsidRDefault="008E6D14" w:rsidP="008E6D14">
      <w:pPr>
        <w:numPr>
          <w:ilvl w:val="0"/>
          <w:numId w:val="1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Stage 1B learns discriminative models that distill these signals into renegotiation pressure scores</w:t>
      </w:r>
    </w:p>
    <w:p w14:paraId="0C0530EC" w14:textId="77777777" w:rsidR="008E6D14" w:rsidRPr="008E6D14" w:rsidRDefault="008E6D14" w:rsidP="008E6D14">
      <w:pPr>
        <w:numPr>
          <w:ilvl w:val="0"/>
          <w:numId w:val="1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Stage 2 adapts these scores to department-specific patterns with minimal gold supervision</w:t>
      </w:r>
    </w:p>
    <w:p w14:paraId="3E328EB3" w14:textId="77777777" w:rsidR="008E6D14" w:rsidRPr="008E6D14" w:rsidRDefault="008E6D14" w:rsidP="008E6D14">
      <w:pPr>
        <w:numPr>
          <w:ilvl w:val="0"/>
          <w:numId w:val="17"/>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Stage 3 explains the scores to enable actionable decision-making</w:t>
      </w:r>
    </w:p>
    <w:p w14:paraId="34992F03"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12.3 What Problem Does It Solve and Why Is It Important</w:t>
      </w:r>
    </w:p>
    <w:p w14:paraId="73AD5297"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It solves the problem of </w:t>
      </w:r>
      <w:r w:rsidRPr="008E6D14">
        <w:rPr>
          <w:rFonts w:ascii="Times New Roman" w:eastAsia="Times New Roman" w:hAnsi="Times New Roman" w:cs="Times New Roman"/>
          <w:b/>
          <w:bCs/>
          <w:kern w:val="0"/>
          <w:lang w:val="da-DK" w:eastAsia="da-DK"/>
          <w14:ligatures w14:val="none"/>
        </w:rPr>
        <w:t>prioritizing contract renegotiations under extreme label scarcity and department heterogeneity</w:t>
      </w:r>
      <w:r w:rsidRPr="008E6D14">
        <w:rPr>
          <w:rFonts w:ascii="Times New Roman" w:eastAsia="Times New Roman" w:hAnsi="Times New Roman" w:cs="Times New Roman"/>
          <w:kern w:val="0"/>
          <w:lang w:val="da-DK" w:eastAsia="da-DK"/>
          <w14:ligatures w14:val="none"/>
        </w:rPr>
        <w:t>. This is important because:</w:t>
      </w:r>
    </w:p>
    <w:p w14:paraId="5B465627" w14:textId="77777777" w:rsidR="008E6D14" w:rsidRPr="008E6D14" w:rsidRDefault="008E6D14" w:rsidP="008E6D14">
      <w:pPr>
        <w:numPr>
          <w:ilvl w:val="0"/>
          <w:numId w:val="18"/>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Procurement teams currently lack systematic tools for prioritization</w:t>
      </w:r>
    </w:p>
    <w:p w14:paraId="3463F434" w14:textId="77777777" w:rsidR="008E6D14" w:rsidRPr="008E6D14" w:rsidRDefault="008E6D14" w:rsidP="008E6D14">
      <w:pPr>
        <w:numPr>
          <w:ilvl w:val="0"/>
          <w:numId w:val="18"/>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Manual labeling at scale is infeasible</w:t>
      </w:r>
    </w:p>
    <w:p w14:paraId="799C4727" w14:textId="77777777" w:rsidR="008E6D14" w:rsidRPr="008E6D14" w:rsidRDefault="008E6D14" w:rsidP="008E6D14">
      <w:pPr>
        <w:numPr>
          <w:ilvl w:val="0"/>
          <w:numId w:val="18"/>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Department-specific patterns cannot be captured by a single global model</w:t>
      </w:r>
    </w:p>
    <w:p w14:paraId="7B62A251" w14:textId="77777777" w:rsidR="008E6D14" w:rsidRPr="008E6D14" w:rsidRDefault="008E6D14" w:rsidP="008E6D14">
      <w:pPr>
        <w:numPr>
          <w:ilvl w:val="0"/>
          <w:numId w:val="18"/>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Calibrated probability scores enable top-K prioritization that directly supports resource allocation</w:t>
      </w:r>
    </w:p>
    <w:p w14:paraId="11FA0712"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12.4 How It Extends to Other Areas</w:t>
      </w:r>
    </w:p>
    <w:p w14:paraId="3FEE0AF1"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The two-stage pipeline (weak supervision → meta-learning) is domain-agnostic and can be applied to:</w:t>
      </w:r>
    </w:p>
    <w:p w14:paraId="2A268B61" w14:textId="77777777" w:rsidR="008E6D14" w:rsidRPr="008E6D14" w:rsidRDefault="008E6D14" w:rsidP="008E6D14">
      <w:pPr>
        <w:numPr>
          <w:ilvl w:val="0"/>
          <w:numId w:val="19"/>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Supplier risk assessment across industries</w:t>
      </w:r>
    </w:p>
    <w:p w14:paraId="23BDDB30" w14:textId="77777777" w:rsidR="008E6D14" w:rsidRPr="008E6D14" w:rsidRDefault="008E6D14" w:rsidP="008E6D14">
      <w:pPr>
        <w:numPr>
          <w:ilvl w:val="0"/>
          <w:numId w:val="19"/>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Credit scoring with heterogeneous borrower segments</w:t>
      </w:r>
    </w:p>
    <w:p w14:paraId="458E76D6" w14:textId="77777777" w:rsidR="008E6D14" w:rsidRPr="008E6D14" w:rsidRDefault="008E6D14" w:rsidP="008E6D14">
      <w:pPr>
        <w:numPr>
          <w:ilvl w:val="0"/>
          <w:numId w:val="19"/>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Clinical trial site selection with site-specific protocols</w:t>
      </w:r>
    </w:p>
    <w:p w14:paraId="0571C4A4" w14:textId="77777777" w:rsidR="008E6D14" w:rsidRPr="008E6D14" w:rsidRDefault="008E6D14" w:rsidP="008E6D14">
      <w:pPr>
        <w:numPr>
          <w:ilvl w:val="0"/>
          <w:numId w:val="19"/>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Any enterprise setting with scarce labels, heterogeneous tasks, and multi-view data</w:t>
      </w:r>
    </w:p>
    <w:p w14:paraId="78917355"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20C040FA">
          <v:rect id="_x0000_i1030" style="width:0;height:1.5pt" o:hralign="center" o:hrstd="t" o:hr="t" fillcolor="#a0a0a0" stroked="f"/>
        </w:pict>
      </w:r>
    </w:p>
    <w:p w14:paraId="7F028713"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13. Summary and Conclusions</w:t>
      </w:r>
    </w:p>
    <w:p w14:paraId="1F04E634"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lastRenderedPageBreak/>
        <w:t>13.1 Summary</w:t>
      </w:r>
    </w:p>
    <w:p w14:paraId="1A002DF0"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This thesis developed a two-stage framework for contract renegotiation prediction that combines Snorkel-based weak supervision with MAML-based meta-learning. Stage 1 demonstrated that probabilistic labels generated from domain heuristics provide a viable training signal, with weak-only models outperforming gold-only models under extreme label scarcity. Stage 2 demonstrated that MAML enables rapid department-specific adaptation from 5–10 gold labels, outperforming standard fine-tuning in ranking quality and adaptation speed. SHAP-based explainability revealed how department-specific adaptation changes feature importance, supporting actionable procurement decision-making.</w:t>
      </w:r>
    </w:p>
    <w:p w14:paraId="13EF09E3"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13.2 Key Findings</w:t>
      </w:r>
    </w:p>
    <w:p w14:paraId="545AF7B2" w14:textId="77777777" w:rsidR="008E6D14" w:rsidRPr="008E6D14" w:rsidRDefault="008E6D14" w:rsidP="008E6D14">
      <w:pPr>
        <w:numPr>
          <w:ilvl w:val="0"/>
          <w:numId w:val="20"/>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Weak supervision achieves X% AUROC on gold labels without any gold training data</w:t>
      </w:r>
    </w:p>
    <w:p w14:paraId="40DD4447" w14:textId="77777777" w:rsidR="008E6D14" w:rsidRPr="008E6D14" w:rsidRDefault="008E6D14" w:rsidP="008E6D14">
      <w:pPr>
        <w:numPr>
          <w:ilvl w:val="0"/>
          <w:numId w:val="20"/>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Gold-only training (Condition B) performs poorly due to insufficient sample size, directly motivating Stage 2</w:t>
      </w:r>
    </w:p>
    <w:p w14:paraId="03911EC1" w14:textId="77777777" w:rsidR="008E6D14" w:rsidRPr="008E6D14" w:rsidRDefault="008E6D14" w:rsidP="008E6D14">
      <w:pPr>
        <w:numPr>
          <w:ilvl w:val="0"/>
          <w:numId w:val="20"/>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MAML with weak-pretrained initialization improves Logistics NDCG@10 by X% over fine-tuning</w:t>
      </w:r>
    </w:p>
    <w:p w14:paraId="7155861C" w14:textId="77777777" w:rsidR="008E6D14" w:rsidRPr="008E6D14" w:rsidRDefault="008E6D14" w:rsidP="008E6D14">
      <w:pPr>
        <w:numPr>
          <w:ilvl w:val="0"/>
          <w:numId w:val="20"/>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ANIL achieves X% of full MAML performance with X× speedup</w:t>
      </w:r>
    </w:p>
    <w:p w14:paraId="7906E29E" w14:textId="77777777" w:rsidR="008E6D14" w:rsidRPr="008E6D14" w:rsidRDefault="008E6D14" w:rsidP="008E6D14">
      <w:pPr>
        <w:numPr>
          <w:ilvl w:val="0"/>
          <w:numId w:val="20"/>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Contract core and financial views are the most predictive of renegotiation pressure</w:t>
      </w:r>
    </w:p>
    <w:p w14:paraId="1830D0BF"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767B0F81">
          <v:rect id="_x0000_i1029" style="width:0;height:1.5pt" o:hralign="center" o:hrstd="t" o:hr="t" fillcolor="#a0a0a0" stroked="f"/>
        </w:pict>
      </w:r>
    </w:p>
    <w:p w14:paraId="23C4E0EB"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14. Future Research</w:t>
      </w:r>
    </w:p>
    <w:p w14:paraId="52F54D52" w14:textId="77777777" w:rsidR="008E6D14" w:rsidRPr="008E6D14" w:rsidRDefault="008E6D14" w:rsidP="008E6D14">
      <w:pPr>
        <w:numPr>
          <w:ilvl w:val="0"/>
          <w:numId w:val="2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Active learning</w:t>
      </w:r>
      <w:r w:rsidRPr="008E6D14">
        <w:rPr>
          <w:rFonts w:ascii="Times New Roman" w:eastAsia="Times New Roman" w:hAnsi="Times New Roman" w:cs="Times New Roman"/>
          <w:kern w:val="0"/>
          <w:lang w:val="da-DK" w:eastAsia="da-DK"/>
          <w14:ligatures w14:val="none"/>
        </w:rPr>
        <w:t>: use Snorkel uncertainty to guide gold-label acquisition for maximum information gain Maheshwari et al. (2021)</w:t>
      </w:r>
    </w:p>
    <w:p w14:paraId="27A4143D" w14:textId="77777777" w:rsidR="008E6D14" w:rsidRPr="008E6D14" w:rsidRDefault="008E6D14" w:rsidP="008E6D14">
      <w:pPr>
        <w:numPr>
          <w:ilvl w:val="0"/>
          <w:numId w:val="2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Bayesian meta-learning</w:t>
      </w:r>
      <w:r w:rsidRPr="008E6D14">
        <w:rPr>
          <w:rFonts w:ascii="Times New Roman" w:eastAsia="Times New Roman" w:hAnsi="Times New Roman" w:cs="Times New Roman"/>
          <w:kern w:val="0"/>
          <w:lang w:val="da-DK" w:eastAsia="da-DK"/>
          <w14:ligatures w14:val="none"/>
        </w:rPr>
        <w:t>: uncertainty quantification over task parameters for more robust adaptation</w:t>
      </w:r>
    </w:p>
    <w:p w14:paraId="5CA92CA5" w14:textId="77777777" w:rsidR="008E6D14" w:rsidRPr="008E6D14" w:rsidRDefault="008E6D14" w:rsidP="008E6D14">
      <w:pPr>
        <w:numPr>
          <w:ilvl w:val="0"/>
          <w:numId w:val="2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Autoencoder-based view compression</w:t>
      </w:r>
      <w:r w:rsidRPr="008E6D14">
        <w:rPr>
          <w:rFonts w:ascii="Times New Roman" w:eastAsia="Times New Roman" w:hAnsi="Times New Roman" w:cs="Times New Roman"/>
          <w:kern w:val="0"/>
          <w:lang w:val="da-DK" w:eastAsia="da-DK"/>
          <w14:ligatures w14:val="none"/>
        </w:rPr>
        <w:t>: dimensionality reduction for the financial view (93 features)</w:t>
      </w:r>
    </w:p>
    <w:p w14:paraId="61229087" w14:textId="77777777" w:rsidR="008E6D14" w:rsidRPr="008E6D14" w:rsidRDefault="008E6D14" w:rsidP="008E6D14">
      <w:pPr>
        <w:numPr>
          <w:ilvl w:val="0"/>
          <w:numId w:val="2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Cross-organizational transfer</w:t>
      </w:r>
      <w:r w:rsidRPr="008E6D14">
        <w:rPr>
          <w:rFonts w:ascii="Times New Roman" w:eastAsia="Times New Roman" w:hAnsi="Times New Roman" w:cs="Times New Roman"/>
          <w:kern w:val="0"/>
          <w:lang w:val="da-DK" w:eastAsia="da-DK"/>
          <w14:ligatures w14:val="none"/>
        </w:rPr>
        <w:t>: apply the framework to other pharmaceutical companies or industries</w:t>
      </w:r>
    </w:p>
    <w:p w14:paraId="060F7C0A" w14:textId="77777777" w:rsidR="008E6D14" w:rsidRPr="008E6D14" w:rsidRDefault="008E6D14" w:rsidP="008E6D14">
      <w:pPr>
        <w:numPr>
          <w:ilvl w:val="0"/>
          <w:numId w:val="2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Temporal dynamics</w:t>
      </w:r>
      <w:r w:rsidRPr="008E6D14">
        <w:rPr>
          <w:rFonts w:ascii="Times New Roman" w:eastAsia="Times New Roman" w:hAnsi="Times New Roman" w:cs="Times New Roman"/>
          <w:kern w:val="0"/>
          <w:lang w:val="da-DK" w:eastAsia="da-DK"/>
          <w14:ligatures w14:val="none"/>
        </w:rPr>
        <w:t>: incorporate contract lifecycle evolution and time-series features</w:t>
      </w:r>
    </w:p>
    <w:p w14:paraId="1B163BD0" w14:textId="77777777" w:rsidR="008E6D14" w:rsidRPr="008E6D14" w:rsidRDefault="008E6D14" w:rsidP="008E6D14">
      <w:pPr>
        <w:numPr>
          <w:ilvl w:val="0"/>
          <w:numId w:val="21"/>
        </w:num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b/>
          <w:bCs/>
          <w:kern w:val="0"/>
          <w:lang w:val="da-DK" w:eastAsia="da-DK"/>
          <w14:ligatures w14:val="none"/>
        </w:rPr>
        <w:t>Online adaptation</w:t>
      </w:r>
      <w:r w:rsidRPr="008E6D14">
        <w:rPr>
          <w:rFonts w:ascii="Times New Roman" w:eastAsia="Times New Roman" w:hAnsi="Times New Roman" w:cs="Times New Roman"/>
          <w:kern w:val="0"/>
          <w:lang w:val="da-DK" w:eastAsia="da-DK"/>
          <w14:ligatures w14:val="none"/>
        </w:rPr>
        <w:t>: continuous meta-learning as new gold labels arrive over time</w:t>
      </w:r>
    </w:p>
    <w:p w14:paraId="3F016C89"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221BB189">
          <v:rect id="_x0000_i1028" style="width:0;height:1.5pt" o:hralign="center" o:hrstd="t" o:hr="t" fillcolor="#a0a0a0" stroked="f"/>
        </w:pict>
      </w:r>
    </w:p>
    <w:p w14:paraId="34AD92AC"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Declarations</w:t>
      </w:r>
    </w:p>
    <w:p w14:paraId="01E08E3B"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Availability of Data and Material</w:t>
      </w:r>
    </w:p>
    <w:p w14:paraId="1EBD1453"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All data used in this thesis are proprietary enterprise data from Company Name and cannot be distributed freely due to confidentiality agreements. The code repository, including Snorkel labeling function definitions, model training scripts, and evaluation pipelines, is available at GitHub URL. Synthetic or anonymized data samples may be shared upon request to the author.</w:t>
      </w:r>
    </w:p>
    <w:p w14:paraId="56C1720B"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lastRenderedPageBreak/>
        <w:t>Funding</w:t>
      </w:r>
    </w:p>
    <w:p w14:paraId="56410230"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This work was carried out as part of a Master's thesis at University Name in collaboration with Company Name.</w:t>
      </w:r>
    </w:p>
    <w:p w14:paraId="16FDBE63" w14:textId="77777777" w:rsidR="008E6D14" w:rsidRPr="008E6D14" w:rsidRDefault="008E6D14" w:rsidP="008E6D14">
      <w:pPr>
        <w:spacing w:before="100" w:beforeAutospacing="1" w:after="100" w:afterAutospacing="1"/>
        <w:outlineLvl w:val="2"/>
        <w:rPr>
          <w:rFonts w:ascii="Times New Roman" w:eastAsia="Times New Roman" w:hAnsi="Times New Roman" w:cs="Times New Roman"/>
          <w:b/>
          <w:bCs/>
          <w:kern w:val="0"/>
          <w:sz w:val="27"/>
          <w:szCs w:val="27"/>
          <w:lang w:val="da-DK" w:eastAsia="da-DK"/>
          <w14:ligatures w14:val="none"/>
        </w:rPr>
      </w:pPr>
      <w:r w:rsidRPr="008E6D14">
        <w:rPr>
          <w:rFonts w:ascii="Times New Roman" w:eastAsia="Times New Roman" w:hAnsi="Times New Roman" w:cs="Times New Roman"/>
          <w:b/>
          <w:bCs/>
          <w:kern w:val="0"/>
          <w:sz w:val="27"/>
          <w:szCs w:val="27"/>
          <w:lang w:val="da-DK" w:eastAsia="da-DK"/>
          <w14:ligatures w14:val="none"/>
        </w:rPr>
        <w:t>Acknowledgements</w:t>
      </w:r>
    </w:p>
    <w:p w14:paraId="1F7D925D"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The author thanks Supervisor Name for guidance throughout this research, and the procurement teams at Company Name for providing domain expertise and gold-label annotations.</w:t>
      </w:r>
    </w:p>
    <w:p w14:paraId="2F64CEAE"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5E95004E">
          <v:rect id="_x0000_i1027" style="width:0;height:1.5pt" o:hralign="center" o:hrstd="t" o:hr="t" fillcolor="#a0a0a0" stroked="f"/>
        </w:pict>
      </w:r>
    </w:p>
    <w:p w14:paraId="4959BB55"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Literature</w:t>
      </w:r>
    </w:p>
    <w:p w14:paraId="127488B8" w14:textId="77777777" w:rsidR="008E6D14" w:rsidRPr="008E6D14" w:rsidRDefault="008E6D14" w:rsidP="008E6D14">
      <w:pPr>
        <w:spacing w:before="100" w:beforeAutospacing="1" w:after="100" w:afterAutospacing="1"/>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Vanschoren, 2019) Vanschoren, "Meta-Learning," 2019 (Lee et al., 2024). Lee et al., "Any-Way Meta Learning," AAAI, 2024 (Pimpalkhute et al., 2022). Pimpalkhute et al., "MetaFaaS," 2022 (Jiang et al., 2021). Jiang et al., "SEEN: Few-Shot Classification with Self-Ensemble," 2021 (Ratner et al., 2017). Ratner et al., "Snorkel," VLDB, 2017 (Afkanpour et al., 2024). Afkanpour et al., "Imputation methods for clinical datasets," BMC Med Res Methodol, 2024 (Zhang et al., 2025). Zhang et al., "Comparison of Imputation Strategies," 2025 (Ratner et al., 2019). Ratner et al., "Snorkel: rapid training data creation," VLDB J, 2019 (Ratner et al., 2017). Ratner et al., "Snorkel," VLDB, 2017 (Muñoz et al., 2021). Muñoz et al., "Flood Early Warning Systems Using ML," Hydrology, 2021 (Baran et al., 2020). Baran et al., "ML for total cloud cover prediction," Neural Comput Appl, 2020 (Canbek, 2023). Canbek, "BenchMetrics Prob," Int J Mach Learn Cybern, 2023 (Nguyen et al., 2014). Nguyen et al., "Learning classification models with soft-label information," JAMIA, 2014 (Bach et al., 2019). Bach et al., "Snorkel DryBell," 2019 (Rußwurm et al., 2024). Rußwurm et al., "Meta-learning for Earth observation," Commun Earth Environ, 2024 (Guo et al., 2025). Guo et al., "Fast-adapting GNN for drug response prediction," J Pharm Anal, 2025 (Bach et al., 2019). Bach et al., "Snorkel DryBell," 2019 (Badene et al., 2019). Badene et al., "Weak Supervision for Discourse Structure," 2019 (Suri et al., 2020). Suri et al., "Leveraging organizational resources," VLDB, 2020 (Hettiarachchi &amp; Ranasinghe, 2023). Hettiarachchi and Ranasinghe, "Explainable Event Detection," 2023 (Vu, 2025). Vu, "Contrastive Integrated Gradients," 2025 (Arrieta et al., 2020). Arrieta et al., "Explainable AI (XAI)," Inf Fusion, 2020.</w:t>
      </w:r>
    </w:p>
    <w:p w14:paraId="1BADB058"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66579683">
          <v:rect id="_x0000_i1026" style="width:0;height:1.5pt" o:hralign="center" o:hrstd="t" o:hr="t" fillcolor="#a0a0a0" stroked="f"/>
        </w:pict>
      </w:r>
    </w:p>
    <w:p w14:paraId="7152EDF7" w14:textId="77777777" w:rsidR="008E6D14" w:rsidRPr="008E6D14" w:rsidRDefault="008E6D14" w:rsidP="008E6D14">
      <w:pPr>
        <w:spacing w:before="100" w:beforeAutospacing="1" w:after="100" w:afterAutospacing="1"/>
        <w:outlineLvl w:val="1"/>
        <w:rPr>
          <w:rFonts w:ascii="Times New Roman" w:eastAsia="Times New Roman" w:hAnsi="Times New Roman" w:cs="Times New Roman"/>
          <w:b/>
          <w:bCs/>
          <w:kern w:val="0"/>
          <w:sz w:val="36"/>
          <w:szCs w:val="36"/>
          <w:lang w:val="da-DK" w:eastAsia="da-DK"/>
          <w14:ligatures w14:val="none"/>
        </w:rPr>
      </w:pPr>
      <w:r w:rsidRPr="008E6D14">
        <w:rPr>
          <w:rFonts w:ascii="Times New Roman" w:eastAsia="Times New Roman" w:hAnsi="Times New Roman" w:cs="Times New Roman"/>
          <w:b/>
          <w:bCs/>
          <w:kern w:val="0"/>
          <w:sz w:val="36"/>
          <w:szCs w:val="36"/>
          <w:lang w:val="da-DK" w:eastAsia="da-DK"/>
          <w14:ligatures w14:val="none"/>
        </w:rPr>
        <w:t>Appendix 1: 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0"/>
        <w:gridCol w:w="5766"/>
      </w:tblGrid>
      <w:tr w:rsidR="008E6D14" w:rsidRPr="008E6D14" w14:paraId="7079549A" w14:textId="77777777">
        <w:trPr>
          <w:tblHeader/>
          <w:tblCellSpacing w:w="15" w:type="dxa"/>
        </w:trPr>
        <w:tc>
          <w:tcPr>
            <w:tcW w:w="0" w:type="auto"/>
            <w:vAlign w:val="center"/>
            <w:hideMark/>
          </w:tcPr>
          <w:p w14:paraId="1580204F"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Symbol </w:t>
            </w:r>
          </w:p>
        </w:tc>
        <w:tc>
          <w:tcPr>
            <w:tcW w:w="0" w:type="auto"/>
            <w:vAlign w:val="center"/>
            <w:hideMark/>
          </w:tcPr>
          <w:p w14:paraId="6F6428AC" w14:textId="77777777" w:rsidR="008E6D14" w:rsidRPr="008E6D14" w:rsidRDefault="008E6D14" w:rsidP="008E6D14">
            <w:pPr>
              <w:jc w:val="center"/>
              <w:rPr>
                <w:rFonts w:ascii="Times New Roman" w:eastAsia="Times New Roman" w:hAnsi="Times New Roman" w:cs="Times New Roman"/>
                <w:b/>
                <w:bCs/>
                <w:kern w:val="0"/>
                <w:lang w:val="da-DK" w:eastAsia="da-DK"/>
                <w14:ligatures w14:val="none"/>
              </w:rPr>
            </w:pPr>
            <w:r w:rsidRPr="008E6D14">
              <w:rPr>
                <w:rFonts w:ascii="Times New Roman" w:eastAsia="Times New Roman" w:hAnsi="Times New Roman" w:cs="Times New Roman"/>
                <w:b/>
                <w:bCs/>
                <w:kern w:val="0"/>
                <w:lang w:val="da-DK" w:eastAsia="da-DK"/>
                <w14:ligatures w14:val="none"/>
              </w:rPr>
              <w:t xml:space="preserve">Description </w:t>
            </w:r>
          </w:p>
        </w:tc>
      </w:tr>
      <w:tr w:rsidR="008E6D14" w:rsidRPr="008E6D14" w14:paraId="6DA4E500" w14:textId="77777777">
        <w:trPr>
          <w:tblCellSpacing w:w="15" w:type="dxa"/>
        </w:trPr>
        <w:tc>
          <w:tcPr>
            <w:tcW w:w="0" w:type="auto"/>
            <w:vAlign w:val="center"/>
            <w:hideMark/>
          </w:tcPr>
          <w:p w14:paraId="79AF9D6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 </w:t>
            </w:r>
          </w:p>
        </w:tc>
        <w:tc>
          <w:tcPr>
            <w:tcW w:w="0" w:type="auto"/>
            <w:vAlign w:val="center"/>
            <w:hideMark/>
          </w:tcPr>
          <w:p w14:paraId="6135F27F"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Total number of contracts (9,201) </w:t>
            </w:r>
          </w:p>
        </w:tc>
      </w:tr>
      <w:tr w:rsidR="008E6D14" w:rsidRPr="008E6D14" w14:paraId="5E5F2B35" w14:textId="77777777">
        <w:trPr>
          <w:tblCellSpacing w:w="15" w:type="dxa"/>
        </w:trPr>
        <w:tc>
          <w:tcPr>
            <w:tcW w:w="0" w:type="auto"/>
            <w:vAlign w:val="center"/>
            <w:hideMark/>
          </w:tcPr>
          <w:p w14:paraId="69F21C4C"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D </w:t>
            </w:r>
          </w:p>
        </w:tc>
        <w:tc>
          <w:tcPr>
            <w:tcW w:w="0" w:type="auto"/>
            <w:vAlign w:val="center"/>
            <w:hideMark/>
          </w:tcPr>
          <w:p w14:paraId="08346DA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Number of departments (13) </w:t>
            </w:r>
          </w:p>
        </w:tc>
      </w:tr>
      <w:tr w:rsidR="008E6D14" w:rsidRPr="008E6D14" w14:paraId="0C9AC740" w14:textId="77777777">
        <w:trPr>
          <w:tblCellSpacing w:w="15" w:type="dxa"/>
        </w:trPr>
        <w:tc>
          <w:tcPr>
            <w:tcW w:w="0" w:type="auto"/>
            <w:vAlign w:val="center"/>
            <w:hideMark/>
          </w:tcPr>
          <w:p w14:paraId="0409690C"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V </w:t>
            </w:r>
          </w:p>
        </w:tc>
        <w:tc>
          <w:tcPr>
            <w:tcW w:w="0" w:type="auto"/>
            <w:vAlign w:val="center"/>
            <w:hideMark/>
          </w:tcPr>
          <w:p w14:paraId="780FAE3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Number of data views (6) </w:t>
            </w:r>
          </w:p>
        </w:tc>
      </w:tr>
      <w:tr w:rsidR="008E6D14" w:rsidRPr="008E6D14" w14:paraId="30FB8E6D" w14:textId="77777777">
        <w:trPr>
          <w:tblCellSpacing w:w="15" w:type="dxa"/>
        </w:trPr>
        <w:tc>
          <w:tcPr>
            <w:tcW w:w="0" w:type="auto"/>
            <w:vAlign w:val="center"/>
            <w:hideMark/>
          </w:tcPr>
          <w:p w14:paraId="28DAAB4F"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λ_j </w:t>
            </w:r>
          </w:p>
        </w:tc>
        <w:tc>
          <w:tcPr>
            <w:tcW w:w="0" w:type="auto"/>
            <w:vAlign w:val="center"/>
            <w:hideMark/>
          </w:tcPr>
          <w:p w14:paraId="67EAACFF"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Labeling function j </w:t>
            </w:r>
          </w:p>
        </w:tc>
      </w:tr>
      <w:tr w:rsidR="008E6D14" w:rsidRPr="008E6D14" w14:paraId="27246F42" w14:textId="77777777">
        <w:trPr>
          <w:tblCellSpacing w:w="15" w:type="dxa"/>
        </w:trPr>
        <w:tc>
          <w:tcPr>
            <w:tcW w:w="0" w:type="auto"/>
            <w:vAlign w:val="center"/>
            <w:hideMark/>
          </w:tcPr>
          <w:p w14:paraId="3D93B2A1"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 </w:t>
            </w:r>
          </w:p>
        </w:tc>
        <w:tc>
          <w:tcPr>
            <w:tcW w:w="0" w:type="auto"/>
            <w:vAlign w:val="center"/>
            <w:hideMark/>
          </w:tcPr>
          <w:p w14:paraId="6638ABD1"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Number of labeling functions </w:t>
            </w:r>
          </w:p>
        </w:tc>
      </w:tr>
      <w:tr w:rsidR="008E6D14" w:rsidRPr="008E6D14" w14:paraId="0A04642E" w14:textId="77777777">
        <w:trPr>
          <w:tblCellSpacing w:w="15" w:type="dxa"/>
        </w:trPr>
        <w:tc>
          <w:tcPr>
            <w:tcW w:w="0" w:type="auto"/>
            <w:vAlign w:val="center"/>
            <w:hideMark/>
          </w:tcPr>
          <w:p w14:paraId="3BCCF3E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Λ </w:t>
            </w:r>
          </w:p>
        </w:tc>
        <w:tc>
          <w:tcPr>
            <w:tcW w:w="0" w:type="auto"/>
            <w:vAlign w:val="center"/>
            <w:hideMark/>
          </w:tcPr>
          <w:p w14:paraId="40B5658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Matrix of LF outputs (N × m) </w:t>
            </w:r>
          </w:p>
        </w:tc>
      </w:tr>
      <w:tr w:rsidR="008E6D14" w:rsidRPr="008E6D14" w14:paraId="276B209C" w14:textId="77777777">
        <w:trPr>
          <w:tblCellSpacing w:w="15" w:type="dxa"/>
        </w:trPr>
        <w:tc>
          <w:tcPr>
            <w:tcW w:w="0" w:type="auto"/>
            <w:vAlign w:val="center"/>
            <w:hideMark/>
          </w:tcPr>
          <w:p w14:paraId="6583E96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lastRenderedPageBreak/>
              <w:t xml:space="preserve">ỹ_i </w:t>
            </w:r>
          </w:p>
        </w:tc>
        <w:tc>
          <w:tcPr>
            <w:tcW w:w="0" w:type="auto"/>
            <w:vAlign w:val="center"/>
            <w:hideMark/>
          </w:tcPr>
          <w:p w14:paraId="109E63E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Snorkel probabilistic label for contract i </w:t>
            </w:r>
            <w:r w:rsidRPr="008E6D14">
              <w:rPr>
                <w:rFonts w:ascii="Cambria Math" w:eastAsia="Times New Roman" w:hAnsi="Cambria Math" w:cs="Cambria Math"/>
                <w:kern w:val="0"/>
                <w:lang w:val="da-DK" w:eastAsia="da-DK"/>
                <w14:ligatures w14:val="none"/>
              </w:rPr>
              <w:t>∈</w:t>
            </w:r>
            <w:r w:rsidRPr="008E6D14">
              <w:rPr>
                <w:rFonts w:ascii="Times New Roman" w:eastAsia="Times New Roman" w:hAnsi="Times New Roman" w:cs="Times New Roman"/>
                <w:kern w:val="0"/>
                <w:lang w:val="da-DK" w:eastAsia="da-DK"/>
                <w14:ligatures w14:val="none"/>
              </w:rPr>
              <w:t xml:space="preserve"> [0][1]() </w:t>
            </w:r>
          </w:p>
        </w:tc>
      </w:tr>
      <w:tr w:rsidR="008E6D14" w:rsidRPr="008E6D14" w14:paraId="7BC931E7" w14:textId="77777777">
        <w:trPr>
          <w:tblCellSpacing w:w="15" w:type="dxa"/>
        </w:trPr>
        <w:tc>
          <w:tcPr>
            <w:tcW w:w="0" w:type="auto"/>
            <w:vAlign w:val="center"/>
            <w:hideMark/>
          </w:tcPr>
          <w:p w14:paraId="53CEC109"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y_i </w:t>
            </w:r>
          </w:p>
        </w:tc>
        <w:tc>
          <w:tcPr>
            <w:tcW w:w="0" w:type="auto"/>
            <w:vAlign w:val="center"/>
            <w:hideMark/>
          </w:tcPr>
          <w:p w14:paraId="3DD0513C"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Gold binary label for contract i </w:t>
            </w:r>
            <w:r w:rsidRPr="008E6D14">
              <w:rPr>
                <w:rFonts w:ascii="Cambria Math" w:eastAsia="Times New Roman" w:hAnsi="Cambria Math" w:cs="Cambria Math"/>
                <w:kern w:val="0"/>
                <w:lang w:val="da-DK" w:eastAsia="da-DK"/>
                <w14:ligatures w14:val="none"/>
              </w:rPr>
              <w:t>∈</w:t>
            </w:r>
            <w:r w:rsidRPr="008E6D14">
              <w:rPr>
                <w:rFonts w:ascii="Times New Roman" w:eastAsia="Times New Roman" w:hAnsi="Times New Roman" w:cs="Times New Roman"/>
                <w:kern w:val="0"/>
                <w:lang w:val="da-DK" w:eastAsia="da-DK"/>
                <w14:ligatures w14:val="none"/>
              </w:rPr>
              <w:t xml:space="preserve"> {0,1} </w:t>
            </w:r>
          </w:p>
        </w:tc>
      </w:tr>
      <w:tr w:rsidR="008E6D14" w:rsidRPr="008E6D14" w14:paraId="7C8D982A" w14:textId="77777777">
        <w:trPr>
          <w:tblCellSpacing w:w="15" w:type="dxa"/>
        </w:trPr>
        <w:tc>
          <w:tcPr>
            <w:tcW w:w="0" w:type="auto"/>
            <w:vAlign w:val="center"/>
            <w:hideMark/>
          </w:tcPr>
          <w:p w14:paraId="708C533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θ </w:t>
            </w:r>
          </w:p>
        </w:tc>
        <w:tc>
          <w:tcPr>
            <w:tcW w:w="0" w:type="auto"/>
            <w:vAlign w:val="center"/>
            <w:hideMark/>
          </w:tcPr>
          <w:p w14:paraId="52615F30"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Meta-initialization parameters (shared across departments) </w:t>
            </w:r>
          </w:p>
        </w:tc>
      </w:tr>
      <w:tr w:rsidR="008E6D14" w:rsidRPr="008E6D14" w14:paraId="27F6D5C1" w14:textId="77777777">
        <w:trPr>
          <w:tblCellSpacing w:w="15" w:type="dxa"/>
        </w:trPr>
        <w:tc>
          <w:tcPr>
            <w:tcW w:w="0" w:type="auto"/>
            <w:vAlign w:val="center"/>
            <w:hideMark/>
          </w:tcPr>
          <w:p w14:paraId="5F137A6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φ_d </w:t>
            </w:r>
          </w:p>
        </w:tc>
        <w:tc>
          <w:tcPr>
            <w:tcW w:w="0" w:type="auto"/>
            <w:vAlign w:val="center"/>
            <w:hideMark/>
          </w:tcPr>
          <w:p w14:paraId="094B4731"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Department-adapted parameters after inner-loop adaptation </w:t>
            </w:r>
          </w:p>
        </w:tc>
      </w:tr>
      <w:tr w:rsidR="008E6D14" w:rsidRPr="008E6D14" w14:paraId="4ED5B191" w14:textId="77777777">
        <w:trPr>
          <w:tblCellSpacing w:w="15" w:type="dxa"/>
        </w:trPr>
        <w:tc>
          <w:tcPr>
            <w:tcW w:w="0" w:type="auto"/>
            <w:vAlign w:val="center"/>
            <w:hideMark/>
          </w:tcPr>
          <w:p w14:paraId="4373145F"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S_d </w:t>
            </w:r>
          </w:p>
        </w:tc>
        <w:tc>
          <w:tcPr>
            <w:tcW w:w="0" w:type="auto"/>
            <w:vAlign w:val="center"/>
            <w:hideMark/>
          </w:tcPr>
          <w:p w14:paraId="30E1506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Support set for department d (k-shot per class) </w:t>
            </w:r>
          </w:p>
        </w:tc>
      </w:tr>
      <w:tr w:rsidR="008E6D14" w:rsidRPr="008E6D14" w14:paraId="2A59642D" w14:textId="77777777">
        <w:trPr>
          <w:tblCellSpacing w:w="15" w:type="dxa"/>
        </w:trPr>
        <w:tc>
          <w:tcPr>
            <w:tcW w:w="0" w:type="auto"/>
            <w:vAlign w:val="center"/>
            <w:hideMark/>
          </w:tcPr>
          <w:p w14:paraId="7709EC1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Q_d </w:t>
            </w:r>
          </w:p>
        </w:tc>
        <w:tc>
          <w:tcPr>
            <w:tcW w:w="0" w:type="auto"/>
            <w:vAlign w:val="center"/>
            <w:hideMark/>
          </w:tcPr>
          <w:p w14:paraId="52B2A46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Query set for department d (disjoint from S_d) </w:t>
            </w:r>
          </w:p>
        </w:tc>
      </w:tr>
      <w:tr w:rsidR="008E6D14" w:rsidRPr="008E6D14" w14:paraId="0275D639" w14:textId="77777777">
        <w:trPr>
          <w:tblCellSpacing w:w="15" w:type="dxa"/>
        </w:trPr>
        <w:tc>
          <w:tcPr>
            <w:tcW w:w="0" w:type="auto"/>
            <w:vAlign w:val="center"/>
            <w:hideMark/>
          </w:tcPr>
          <w:p w14:paraId="4264CFA4"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α </w:t>
            </w:r>
          </w:p>
        </w:tc>
        <w:tc>
          <w:tcPr>
            <w:tcW w:w="0" w:type="auto"/>
            <w:vAlign w:val="center"/>
            <w:hideMark/>
          </w:tcPr>
          <w:p w14:paraId="307E9062"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Inner-loop learning rate </w:t>
            </w:r>
          </w:p>
        </w:tc>
      </w:tr>
      <w:tr w:rsidR="008E6D14" w:rsidRPr="008E6D14" w14:paraId="6AAC6104" w14:textId="77777777">
        <w:trPr>
          <w:tblCellSpacing w:w="15" w:type="dxa"/>
        </w:trPr>
        <w:tc>
          <w:tcPr>
            <w:tcW w:w="0" w:type="auto"/>
            <w:vAlign w:val="center"/>
            <w:hideMark/>
          </w:tcPr>
          <w:p w14:paraId="7DA7FB48"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β </w:t>
            </w:r>
          </w:p>
        </w:tc>
        <w:tc>
          <w:tcPr>
            <w:tcW w:w="0" w:type="auto"/>
            <w:vAlign w:val="center"/>
            <w:hideMark/>
          </w:tcPr>
          <w:p w14:paraId="305FEA4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Outer-loop learning rate </w:t>
            </w:r>
          </w:p>
        </w:tc>
      </w:tr>
      <w:tr w:rsidR="008E6D14" w:rsidRPr="008E6D14" w14:paraId="7271ABC2" w14:textId="77777777">
        <w:trPr>
          <w:tblCellSpacing w:w="15" w:type="dxa"/>
        </w:trPr>
        <w:tc>
          <w:tcPr>
            <w:tcW w:w="0" w:type="auto"/>
            <w:vAlign w:val="center"/>
            <w:hideMark/>
          </w:tcPr>
          <w:p w14:paraId="7212B682"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K </w:t>
            </w:r>
          </w:p>
        </w:tc>
        <w:tc>
          <w:tcPr>
            <w:tcW w:w="0" w:type="auto"/>
            <w:vAlign w:val="center"/>
            <w:hideMark/>
          </w:tcPr>
          <w:p w14:paraId="52F0942F"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Number of inner-loop gradient steps </w:t>
            </w:r>
          </w:p>
        </w:tc>
      </w:tr>
      <w:tr w:rsidR="008E6D14" w:rsidRPr="008E6D14" w14:paraId="0C8E3FE1" w14:textId="77777777">
        <w:trPr>
          <w:tblCellSpacing w:w="15" w:type="dxa"/>
        </w:trPr>
        <w:tc>
          <w:tcPr>
            <w:tcW w:w="0" w:type="auto"/>
            <w:vAlign w:val="center"/>
            <w:hideMark/>
          </w:tcPr>
          <w:p w14:paraId="0DD725C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k </w:t>
            </w:r>
          </w:p>
        </w:tc>
        <w:tc>
          <w:tcPr>
            <w:tcW w:w="0" w:type="auto"/>
            <w:vAlign w:val="center"/>
            <w:hideMark/>
          </w:tcPr>
          <w:p w14:paraId="11D0A673"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Number of examples per class in support set (k-shot) </w:t>
            </w:r>
          </w:p>
        </w:tc>
      </w:tr>
      <w:tr w:rsidR="008E6D14" w:rsidRPr="008E6D14" w14:paraId="30D12CF8" w14:textId="77777777">
        <w:trPr>
          <w:tblCellSpacing w:w="15" w:type="dxa"/>
        </w:trPr>
        <w:tc>
          <w:tcPr>
            <w:tcW w:w="0" w:type="auto"/>
            <w:vAlign w:val="center"/>
            <w:hideMark/>
          </w:tcPr>
          <w:p w14:paraId="483553C2"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f_θ(x) </w:t>
            </w:r>
          </w:p>
        </w:tc>
        <w:tc>
          <w:tcPr>
            <w:tcW w:w="0" w:type="auto"/>
            <w:vAlign w:val="center"/>
            <w:hideMark/>
          </w:tcPr>
          <w:p w14:paraId="40DB1C15"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Model prediction given parameters θ and input x </w:t>
            </w:r>
          </w:p>
        </w:tc>
      </w:tr>
      <w:tr w:rsidR="008E6D14" w:rsidRPr="008E6D14" w14:paraId="6A1718FF" w14:textId="77777777">
        <w:trPr>
          <w:tblCellSpacing w:w="15" w:type="dxa"/>
        </w:trPr>
        <w:tc>
          <w:tcPr>
            <w:tcW w:w="0" w:type="auto"/>
            <w:vAlign w:val="center"/>
            <w:hideMark/>
          </w:tcPr>
          <w:p w14:paraId="63B6E9A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L(·) </w:t>
            </w:r>
          </w:p>
        </w:tc>
        <w:tc>
          <w:tcPr>
            <w:tcW w:w="0" w:type="auto"/>
            <w:vAlign w:val="center"/>
            <w:hideMark/>
          </w:tcPr>
          <w:p w14:paraId="7B2F8BE7"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Loss function (soft cross-entropy) </w:t>
            </w:r>
          </w:p>
        </w:tc>
      </w:tr>
      <w:tr w:rsidR="008E6D14" w:rsidRPr="008E6D14" w14:paraId="3688CA0E" w14:textId="77777777">
        <w:trPr>
          <w:tblCellSpacing w:w="15" w:type="dxa"/>
        </w:trPr>
        <w:tc>
          <w:tcPr>
            <w:tcW w:w="0" w:type="auto"/>
            <w:vAlign w:val="center"/>
            <w:hideMark/>
          </w:tcPr>
          <w:p w14:paraId="1326E70D"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AUROC </w:t>
            </w:r>
          </w:p>
        </w:tc>
        <w:tc>
          <w:tcPr>
            <w:tcW w:w="0" w:type="auto"/>
            <w:vAlign w:val="center"/>
            <w:hideMark/>
          </w:tcPr>
          <w:p w14:paraId="567A8D3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Area Under Receiver Operating Characteristic curve </w:t>
            </w:r>
          </w:p>
        </w:tc>
      </w:tr>
      <w:tr w:rsidR="008E6D14" w:rsidRPr="008E6D14" w14:paraId="3363C7C7" w14:textId="77777777">
        <w:trPr>
          <w:tblCellSpacing w:w="15" w:type="dxa"/>
        </w:trPr>
        <w:tc>
          <w:tcPr>
            <w:tcW w:w="0" w:type="auto"/>
            <w:vAlign w:val="center"/>
            <w:hideMark/>
          </w:tcPr>
          <w:p w14:paraId="38BC48B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ECE </w:t>
            </w:r>
          </w:p>
        </w:tc>
        <w:tc>
          <w:tcPr>
            <w:tcW w:w="0" w:type="auto"/>
            <w:vAlign w:val="center"/>
            <w:hideMark/>
          </w:tcPr>
          <w:p w14:paraId="2A3E4ED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Expected Calibration Error </w:t>
            </w:r>
          </w:p>
        </w:tc>
      </w:tr>
      <w:tr w:rsidR="008E6D14" w:rsidRPr="008E6D14" w14:paraId="7F0E06A9" w14:textId="77777777">
        <w:trPr>
          <w:tblCellSpacing w:w="15" w:type="dxa"/>
        </w:trPr>
        <w:tc>
          <w:tcPr>
            <w:tcW w:w="0" w:type="auto"/>
            <w:vAlign w:val="center"/>
            <w:hideMark/>
          </w:tcPr>
          <w:p w14:paraId="15F3FB2E"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NDCG@K </w:t>
            </w:r>
          </w:p>
        </w:tc>
        <w:tc>
          <w:tcPr>
            <w:tcW w:w="0" w:type="auto"/>
            <w:vAlign w:val="center"/>
            <w:hideMark/>
          </w:tcPr>
          <w:p w14:paraId="4BF7DE0A"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Normalized Discounted Cumulative Gain at rank K </w:t>
            </w:r>
          </w:p>
        </w:tc>
      </w:tr>
      <w:tr w:rsidR="008E6D14" w:rsidRPr="008E6D14" w14:paraId="3A62D46E" w14:textId="77777777">
        <w:trPr>
          <w:tblCellSpacing w:w="15" w:type="dxa"/>
        </w:trPr>
        <w:tc>
          <w:tcPr>
            <w:tcW w:w="0" w:type="auto"/>
            <w:vAlign w:val="center"/>
            <w:hideMark/>
          </w:tcPr>
          <w:p w14:paraId="58228A36"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P@K </w:t>
            </w:r>
          </w:p>
        </w:tc>
        <w:tc>
          <w:tcPr>
            <w:tcW w:w="0" w:type="auto"/>
            <w:vAlign w:val="center"/>
            <w:hideMark/>
          </w:tcPr>
          <w:p w14:paraId="401D2D62" w14:textId="77777777" w:rsidR="008E6D14" w:rsidRPr="008E6D14" w:rsidRDefault="008E6D14"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kern w:val="0"/>
                <w:lang w:val="da-DK" w:eastAsia="da-DK"/>
                <w14:ligatures w14:val="none"/>
              </w:rPr>
              <w:t xml:space="preserve">Precision at rank K </w:t>
            </w:r>
          </w:p>
        </w:tc>
      </w:tr>
    </w:tbl>
    <w:p w14:paraId="7C7C52E7" w14:textId="77777777" w:rsidR="008E6D14" w:rsidRPr="008E6D14" w:rsidRDefault="007D1C0E" w:rsidP="008E6D14">
      <w:pPr>
        <w:rPr>
          <w:rFonts w:ascii="Times New Roman" w:eastAsia="Times New Roman" w:hAnsi="Times New Roman" w:cs="Times New Roman"/>
          <w:kern w:val="0"/>
          <w:lang w:val="da-DK" w:eastAsia="da-DK"/>
          <w14:ligatures w14:val="none"/>
        </w:rPr>
      </w:pPr>
      <w:r w:rsidRPr="008E6D14">
        <w:rPr>
          <w:rFonts w:ascii="Times New Roman" w:eastAsia="Times New Roman" w:hAnsi="Times New Roman" w:cs="Times New Roman"/>
          <w:noProof/>
          <w:kern w:val="0"/>
          <w:lang w:val="da-DK" w:eastAsia="da-DK"/>
        </w:rPr>
        <w:pict w14:anchorId="0B8024D0">
          <v:rect id="_x0000_i1025" style="width:0;height:1.5pt" o:hralign="center" o:hrstd="t" o:hr="t" fillcolor="#a0a0a0" stroked="f"/>
        </w:pict>
      </w:r>
    </w:p>
    <w:p w14:paraId="16787F8E" w14:textId="48856B0B" w:rsidR="00974441" w:rsidRDefault="008E6D14" w:rsidP="008E6D14">
      <w:r w:rsidRPr="008E6D14">
        <w:rPr>
          <w:rFonts w:ascii="Times New Roman" w:eastAsia="Times New Roman" w:hAnsi="Times New Roman" w:cs="Times New Roman"/>
          <w:kern w:val="0"/>
          <w:lang w:val="da-DK" w:eastAsia="da-DK"/>
          <w14:ligatures w14:val="none"/>
        </w:rPr>
        <w:br/>
      </w:r>
      <w:r w:rsidRPr="008E6D14">
        <w:rPr>
          <w:rFonts w:ascii="Times New Roman" w:eastAsia="Times New Roman" w:hAnsi="Times New Roman" w:cs="Times New Roman"/>
          <w:kern w:val="0"/>
          <w:lang w:val="da-DK" w:eastAsia="da-DK"/>
          <w14:ligatures w14:val="none"/>
        </w:rPr>
        <w:br/>
        <w:t>References:</w:t>
      </w:r>
      <w:r w:rsidRPr="008E6D14">
        <w:rPr>
          <w:rFonts w:ascii="Times New Roman" w:eastAsia="Times New Roman" w:hAnsi="Times New Roman" w:cs="Times New Roman"/>
          <w:kern w:val="0"/>
          <w:lang w:val="da-DK" w:eastAsia="da-DK"/>
          <w14:ligatures w14:val="none"/>
        </w:rPr>
        <w:br/>
        <w:t>Afkanpour, M., Hosseinzadeh, E., &amp; Tabesh, H. (2024). Identify the most appropriate imputation method for handling missing values in clinical structured datasets: a systematic review. BMC Medical Research Methodology, 24(1). https://doi.org/10.1186/s12874-024-02310-6</w:t>
      </w:r>
      <w:r w:rsidRPr="008E6D14">
        <w:rPr>
          <w:rFonts w:ascii="Times New Roman" w:eastAsia="Times New Roman" w:hAnsi="Times New Roman" w:cs="Times New Roman"/>
          <w:kern w:val="0"/>
          <w:lang w:val="da-DK" w:eastAsia="da-DK"/>
          <w14:ligatures w14:val="none"/>
        </w:rPr>
        <w:br/>
        <w:t>Arrieta, A., Díaz-Rodríguez, N., Ser, J., Bennetot, A., Tabik, S., Barbado, A., … &amp; Herrera, F. (2020). Explainable Artificial Intelligence (XAI): Concepts, taxonomies, opportunities and challenges toward responsible AI. Information Fusion, 58, 82-115. https://doi.org/10.1016/j.inffus.2019.12.012</w:t>
      </w:r>
      <w:r w:rsidRPr="008E6D14">
        <w:rPr>
          <w:rFonts w:ascii="Times New Roman" w:eastAsia="Times New Roman" w:hAnsi="Times New Roman" w:cs="Times New Roman"/>
          <w:kern w:val="0"/>
          <w:lang w:val="da-DK" w:eastAsia="da-DK"/>
          <w14:ligatures w14:val="none"/>
        </w:rPr>
        <w:br/>
        <w:t>Babii, H., Prenner, J., Stricker, L., Karmakar, A., Janes, A., &amp; Robbes, R. (2021). Mining Software Repositories with a Collaborative Heuristic Repository., 106-110. https://doi.org/10.1109/icse-nier52604.2021.00030</w:t>
      </w:r>
      <w:r w:rsidRPr="008E6D14">
        <w:rPr>
          <w:rFonts w:ascii="Times New Roman" w:eastAsia="Times New Roman" w:hAnsi="Times New Roman" w:cs="Times New Roman"/>
          <w:kern w:val="0"/>
          <w:lang w:val="da-DK" w:eastAsia="da-DK"/>
          <w14:ligatures w14:val="none"/>
        </w:rPr>
        <w:br/>
        <w:t>Bach, S., Gutierrez, D., Liu, Y., Luo, C., Shao, H., Xia, C., … &amp; Malkin, R. (2019). Snorkel DryBell., 362-375. https://doi.org/10.1145/3299869.3314036</w:t>
      </w:r>
      <w:r w:rsidRPr="008E6D14">
        <w:rPr>
          <w:rFonts w:ascii="Times New Roman" w:eastAsia="Times New Roman" w:hAnsi="Times New Roman" w:cs="Times New Roman"/>
          <w:kern w:val="0"/>
          <w:lang w:val="da-DK" w:eastAsia="da-DK"/>
          <w14:ligatures w14:val="none"/>
        </w:rPr>
        <w:br/>
        <w:t>Bach, S., Gutierrez, D., Liu, Y., Luo, C., Shao, H., Xia, C., … &amp; Malkin, R. (2019). Snorkel DryBell., 362-375. https://doi.org/10.1145/3299869.3314036</w:t>
      </w:r>
      <w:r w:rsidRPr="008E6D14">
        <w:rPr>
          <w:rFonts w:ascii="Times New Roman" w:eastAsia="Times New Roman" w:hAnsi="Times New Roman" w:cs="Times New Roman"/>
          <w:kern w:val="0"/>
          <w:lang w:val="da-DK" w:eastAsia="da-DK"/>
          <w14:ligatures w14:val="none"/>
        </w:rPr>
        <w:br/>
        <w:t>Bach, S., Gutierrez, D., Liu, Y., Luo, C., Shao, H., Xia, C., … &amp; Malkin, R. (2019). Snorkel DryBell., 362-375. https://doi.org/10.1145/3299869.3314036</w:t>
      </w:r>
      <w:r w:rsidRPr="008E6D14">
        <w:rPr>
          <w:rFonts w:ascii="Times New Roman" w:eastAsia="Times New Roman" w:hAnsi="Times New Roman" w:cs="Times New Roman"/>
          <w:kern w:val="0"/>
          <w:lang w:val="da-DK" w:eastAsia="da-DK"/>
          <w14:ligatures w14:val="none"/>
        </w:rPr>
        <w:br/>
        <w:t>Badene, S., Thompson, K., Lorré, J., &amp; Asher, N. (2019). Weak Supervision for Learning Discourse Structure.. https://doi.org/10.18653/v1/d19-1234</w:t>
      </w:r>
      <w:r w:rsidRPr="008E6D14">
        <w:rPr>
          <w:rFonts w:ascii="Times New Roman" w:eastAsia="Times New Roman" w:hAnsi="Times New Roman" w:cs="Times New Roman"/>
          <w:kern w:val="0"/>
          <w:lang w:val="da-DK" w:eastAsia="da-DK"/>
          <w14:ligatures w14:val="none"/>
        </w:rPr>
        <w:br/>
        <w:t>Badene, S., Thompson, K., Lorré, J., &amp; Asher, N. (2019). Weak Supervision for Learning Discourse Structure.. https://doi.org/10.18653/v1/d19-1234</w:t>
      </w:r>
      <w:r w:rsidRPr="008E6D14">
        <w:rPr>
          <w:rFonts w:ascii="Times New Roman" w:eastAsia="Times New Roman" w:hAnsi="Times New Roman" w:cs="Times New Roman"/>
          <w:kern w:val="0"/>
          <w:lang w:val="da-DK" w:eastAsia="da-DK"/>
          <w14:ligatures w14:val="none"/>
        </w:rPr>
        <w:br/>
        <w:t>Baran, Á., Lerch, S., Ayari, M., &amp; Baran, S. (2020). Machine learning for total cloud cover prediction. Neural Computing and Applications, 33(7), 2605-2620. https://doi.org/10.1007/s00521-020-05139-4</w:t>
      </w:r>
      <w:r w:rsidRPr="008E6D14">
        <w:rPr>
          <w:rFonts w:ascii="Times New Roman" w:eastAsia="Times New Roman" w:hAnsi="Times New Roman" w:cs="Times New Roman"/>
          <w:kern w:val="0"/>
          <w:lang w:val="da-DK" w:eastAsia="da-DK"/>
          <w14:ligatures w14:val="none"/>
        </w:rPr>
        <w:br/>
      </w:r>
      <w:r w:rsidRPr="008E6D14">
        <w:rPr>
          <w:rFonts w:ascii="Times New Roman" w:eastAsia="Times New Roman" w:hAnsi="Times New Roman" w:cs="Times New Roman"/>
          <w:kern w:val="0"/>
          <w:lang w:val="da-DK" w:eastAsia="da-DK"/>
          <w14:ligatures w14:val="none"/>
        </w:rPr>
        <w:lastRenderedPageBreak/>
        <w:t>Berger, M. and Goldstein, E. (2021). Increasing Sentence-Level Comprehension Through Text Classification of Epistemic Functions.. https://doi.org/10.18653/v1/2021.law-1.15</w:t>
      </w:r>
      <w:r w:rsidRPr="008E6D14">
        <w:rPr>
          <w:rFonts w:ascii="Times New Roman" w:eastAsia="Times New Roman" w:hAnsi="Times New Roman" w:cs="Times New Roman"/>
          <w:kern w:val="0"/>
          <w:lang w:val="da-DK" w:eastAsia="da-DK"/>
          <w14:ligatures w14:val="none"/>
        </w:rPr>
        <w:br/>
        <w:t>Bonab, H., Aliannejadi, M., Vardasbi, A., Kanoulas, E., &amp; Allan, J. (2021). Cross-Market Product Recommendation., 110-119. https://doi.org/10.1145/3459637.3482493</w:t>
      </w:r>
      <w:r w:rsidRPr="008E6D14">
        <w:rPr>
          <w:rFonts w:ascii="Times New Roman" w:eastAsia="Times New Roman" w:hAnsi="Times New Roman" w:cs="Times New Roman"/>
          <w:kern w:val="0"/>
          <w:lang w:val="da-DK" w:eastAsia="da-DK"/>
          <w14:ligatures w14:val="none"/>
        </w:rPr>
        <w:br/>
        <w:t>Canbek, G. (2023). BenchMetrics Prob: benchmarking of probabilistic error/loss performance evaluation instruments for binary classification problems. International Journal of Machine Learning and Cybernetics, 14(9), 3161-3191. https://doi.org/10.1007/s13042-023-01826-5</w:t>
      </w:r>
      <w:r w:rsidRPr="008E6D14">
        <w:rPr>
          <w:rFonts w:ascii="Times New Roman" w:eastAsia="Times New Roman" w:hAnsi="Times New Roman" w:cs="Times New Roman"/>
          <w:kern w:val="0"/>
          <w:lang w:val="da-DK" w:eastAsia="da-DK"/>
          <w14:ligatures w14:val="none"/>
        </w:rPr>
        <w:br/>
        <w:t>Chang, B., Tsai, H., &amp; Chen, G. (2024). Self-Adaptive Server Anomaly Detection Using Ensemble Meta-Reinforcement Learning. Electronics, 13(12), 2348. https://doi.org/10.3390/electronics13122348</w:t>
      </w:r>
      <w:r w:rsidRPr="008E6D14">
        <w:rPr>
          <w:rFonts w:ascii="Times New Roman" w:eastAsia="Times New Roman" w:hAnsi="Times New Roman" w:cs="Times New Roman"/>
          <w:kern w:val="0"/>
          <w:lang w:val="da-DK" w:eastAsia="da-DK"/>
          <w14:ligatures w14:val="none"/>
        </w:rPr>
        <w:br/>
        <w:t>Chen, W., Xie, Y., Jia, X., He, E., Bao, H., An, B., … &amp; Zhou, X. (2024). Referee-Meta-Learning for Fast Adaptation of Locational Fairness. Proceedings of the Aaai Conference on Artificial Intelligence, 38(20), 21949-21957. https://doi.org/10.1609/aaai.v38i20.30197</w:t>
      </w:r>
      <w:r w:rsidRPr="008E6D14">
        <w:rPr>
          <w:rFonts w:ascii="Times New Roman" w:eastAsia="Times New Roman" w:hAnsi="Times New Roman" w:cs="Times New Roman"/>
          <w:kern w:val="0"/>
          <w:lang w:val="da-DK" w:eastAsia="da-DK"/>
          <w14:ligatures w14:val="none"/>
        </w:rPr>
        <w:br/>
        <w:t>Datta, S. and Roberts, K. (2023). Weakly supervised spatial relation extraction from radiology reports. Jamia Open, 6(2). https://doi.org/10.1093/jamiaopen/ooad027</w:t>
      </w:r>
      <w:r w:rsidRPr="008E6D14">
        <w:rPr>
          <w:rFonts w:ascii="Times New Roman" w:eastAsia="Times New Roman" w:hAnsi="Times New Roman" w:cs="Times New Roman"/>
          <w:kern w:val="0"/>
          <w:lang w:val="da-DK" w:eastAsia="da-DK"/>
          <w14:ligatures w14:val="none"/>
        </w:rPr>
        <w:br/>
        <w:t>Datta, S. and Roberts, K. (2023). Weakly supervised spatial relation extraction from radiology reports. Jamia Open, 6(2). https://doi.org/10.1093/jamiaopen/ooad027</w:t>
      </w:r>
      <w:r w:rsidRPr="008E6D14">
        <w:rPr>
          <w:rFonts w:ascii="Times New Roman" w:eastAsia="Times New Roman" w:hAnsi="Times New Roman" w:cs="Times New Roman"/>
          <w:kern w:val="0"/>
          <w:lang w:val="da-DK" w:eastAsia="da-DK"/>
          <w14:ligatures w14:val="none"/>
        </w:rPr>
        <w:br/>
        <w:t>Domagalski, M., Yin, L., Pilozzi, A., Williamson, A., Chilappagari, P., Luker, E., … &amp; Thangudu, R. (2025). Preparing clinical research data for artificial intelligence readiness: insights from the National Institute of Diabetes and Digestive and Kidney Diseases data centric challenge. Journal of the American Medical Informatics Association, 32(10), 1609-1616. https://doi.org/10.1093/jamia/ocaf114</w:t>
      </w:r>
      <w:r w:rsidRPr="008E6D14">
        <w:rPr>
          <w:rFonts w:ascii="Times New Roman" w:eastAsia="Times New Roman" w:hAnsi="Times New Roman" w:cs="Times New Roman"/>
          <w:kern w:val="0"/>
          <w:lang w:val="da-DK" w:eastAsia="da-DK"/>
          <w14:ligatures w14:val="none"/>
        </w:rPr>
        <w:br/>
        <w:t>Domínguez‐Rodrigo, M., Cifuentes‐Alcobendas, G., Vegara‐Riquelme, M., Camarós, E., &amp; Baquedano, E. (2025). Meta-learning provides a robust framework to discern taxonomic carnivore agency from the analysis of tooth marks on bone: reassessing the role of felids as predators of</w:t>
      </w:r>
      <w:r w:rsidRPr="008E6D14">
        <w:rPr>
          <w:rFonts w:ascii="Times New Roman" w:eastAsia="Times New Roman" w:hAnsi="Times New Roman" w:cs="Times New Roman"/>
          <w:kern w:val="0"/>
          <w:lang w:val="da-DK" w:eastAsia="da-DK"/>
          <w14:ligatures w14:val="none"/>
        </w:rPr>
        <w:br/>
        <w:t>Homo habilis. Royal Society Open Science, 12(10). https://doi.org/10.1098/rsos.250548</w:t>
      </w:r>
      <w:r w:rsidRPr="008E6D14">
        <w:rPr>
          <w:rFonts w:ascii="Times New Roman" w:eastAsia="Times New Roman" w:hAnsi="Times New Roman" w:cs="Times New Roman"/>
          <w:kern w:val="0"/>
          <w:lang w:val="da-DK" w:eastAsia="da-DK"/>
          <w14:ligatures w14:val="none"/>
        </w:rPr>
        <w:br/>
        <w:t>Domı́nguez-Rodrigo, M., Cifuentes‐Alcobendas, G., Vegara‐Riquelme, M., &amp; Baquedano, E. (2025). Reassessing deep learning (and meta-learning) computer vision as an efficient method to determine taphonomic agency in bone surface modifications. Biology Methods and Protocols, 10(1). https://doi.org/10.1093/biomethods/bpaf057</w:t>
      </w:r>
      <w:r w:rsidRPr="008E6D14">
        <w:rPr>
          <w:rFonts w:ascii="Times New Roman" w:eastAsia="Times New Roman" w:hAnsi="Times New Roman" w:cs="Times New Roman"/>
          <w:kern w:val="0"/>
          <w:lang w:val="da-DK" w:eastAsia="da-DK"/>
          <w14:ligatures w14:val="none"/>
        </w:rPr>
        <w:br/>
        <w:t>Dong, M., Yao, L., Wang, X., Xu, X., &amp; Zhu, L. (2021). MetaGB: A Gradient Boosting Framework for Efficient Task Adaptive Meta Learning., 101-110. https://doi.org/10.1109/icdm51629.2021.00020</w:t>
      </w:r>
      <w:r w:rsidRPr="008E6D14">
        <w:rPr>
          <w:rFonts w:ascii="Times New Roman" w:eastAsia="Times New Roman" w:hAnsi="Times New Roman" w:cs="Times New Roman"/>
          <w:kern w:val="0"/>
          <w:lang w:val="da-DK" w:eastAsia="da-DK"/>
          <w14:ligatures w14:val="none"/>
        </w:rPr>
        <w:br/>
        <w:t>Dong, M., Yao, L., Wang, X., Xu, X., &amp; Zhu, L. (2021). MetaGB: A Gradient Boosting Framework for Efficient Task Adaptive Meta Learning., 101-110. https://doi.org/10.1109/icdm51629.2021.00020</w:t>
      </w:r>
      <w:r w:rsidRPr="008E6D14">
        <w:rPr>
          <w:rFonts w:ascii="Times New Roman" w:eastAsia="Times New Roman" w:hAnsi="Times New Roman" w:cs="Times New Roman"/>
          <w:kern w:val="0"/>
          <w:lang w:val="da-DK" w:eastAsia="da-DK"/>
          <w14:ligatures w14:val="none"/>
        </w:rPr>
        <w:br/>
        <w:t>Doreen, A., Mwangi, W., &amp; Muriithi, P. (2025). An Ensemble Learning Approach using Self-Supervised and Meta-Learning for Few-Shot Pneumonia Detection in Chest X-Ray Images.. https://doi.org/10.21203/rs.3.rs-7063509/v1</w:t>
      </w:r>
      <w:r w:rsidRPr="008E6D14">
        <w:rPr>
          <w:rFonts w:ascii="Times New Roman" w:eastAsia="Times New Roman" w:hAnsi="Times New Roman" w:cs="Times New Roman"/>
          <w:kern w:val="0"/>
          <w:lang w:val="da-DK" w:eastAsia="da-DK"/>
          <w14:ligatures w14:val="none"/>
        </w:rPr>
        <w:br/>
        <w:t>Dunnmon, J., Ratner, A., Saab, K., Khandwala, N., Markert, M., Sagreiya, H., … &amp; Ré, C. (2020). Cross-Modal Data Programming Enables Rapid Medical Machine Learning. Patterns, 1(2), 100019. https://doi.org/10.1016/j.patter.2020.100019</w:t>
      </w:r>
      <w:r w:rsidRPr="008E6D14">
        <w:rPr>
          <w:rFonts w:ascii="Times New Roman" w:eastAsia="Times New Roman" w:hAnsi="Times New Roman" w:cs="Times New Roman"/>
          <w:kern w:val="0"/>
          <w:lang w:val="da-DK" w:eastAsia="da-DK"/>
          <w14:ligatures w14:val="none"/>
        </w:rPr>
        <w:br/>
        <w:t>D’Costa, A., Denkovski, S., Malyska, M., Moon, S., Rufino, B., Yang, Z., … &amp; Ghassemi, M. (2020). Multiple Sclerosis Severity Classification From Clinical Text., 7-23. https://doi.org/10.18653/v1/2020.clinicalnlp-1.2</w:t>
      </w:r>
      <w:r w:rsidRPr="008E6D14">
        <w:rPr>
          <w:rFonts w:ascii="Times New Roman" w:eastAsia="Times New Roman" w:hAnsi="Times New Roman" w:cs="Times New Roman"/>
          <w:kern w:val="0"/>
          <w:lang w:val="da-DK" w:eastAsia="da-DK"/>
          <w14:ligatures w14:val="none"/>
        </w:rPr>
        <w:br/>
        <w:t>Fries, J., Steinberg, E., Khattar, S., Fleming, S., Posada, J., Callahan, A., … &amp; Shah, N. (2021). Ontology-driven weak supervision for clinical entity classification in electronic health records. Nature Communications, 12(1). https://doi.org/10.1038/s41467-021-22328-4</w:t>
      </w:r>
      <w:r w:rsidRPr="008E6D14">
        <w:rPr>
          <w:rFonts w:ascii="Times New Roman" w:eastAsia="Times New Roman" w:hAnsi="Times New Roman" w:cs="Times New Roman"/>
          <w:kern w:val="0"/>
          <w:lang w:val="da-DK" w:eastAsia="da-DK"/>
          <w14:ligatures w14:val="none"/>
        </w:rPr>
        <w:br/>
      </w:r>
      <w:r w:rsidRPr="008E6D14">
        <w:rPr>
          <w:rFonts w:ascii="Times New Roman" w:eastAsia="Times New Roman" w:hAnsi="Times New Roman" w:cs="Times New Roman"/>
          <w:kern w:val="0"/>
          <w:lang w:val="da-DK" w:eastAsia="da-DK"/>
          <w14:ligatures w14:val="none"/>
        </w:rPr>
        <w:lastRenderedPageBreak/>
        <w:t>Fries, J., Steinberg, E., Khattar, S., Fleming, S., Posada, J., Callahan, A., … &amp; Shah, N. (2021). Ontology-driven weak supervision for clinical entity classification in electronic health records. Nature Communications, 12(1). https://doi.org/10.1038/s41467-021-22328-4</w:t>
      </w:r>
      <w:r w:rsidRPr="008E6D14">
        <w:rPr>
          <w:rFonts w:ascii="Times New Roman" w:eastAsia="Times New Roman" w:hAnsi="Times New Roman" w:cs="Times New Roman"/>
          <w:kern w:val="0"/>
          <w:lang w:val="da-DK" w:eastAsia="da-DK"/>
          <w14:ligatures w14:val="none"/>
        </w:rPr>
        <w:br/>
        <w:t>Giesa, N., Sekutowicz, M., Rubarth, K., Spies, C., Balzer, F., Haufe, S., … &amp; Boie, S. (2024). Applying a transformer architecture to intraoperative temporal dynamics improves the prediction of postoperative delirium. Communications Medicine, 4(1). https://doi.org/10.1038/s43856-024-00681-x</w:t>
      </w:r>
      <w:r w:rsidRPr="008E6D14">
        <w:rPr>
          <w:rFonts w:ascii="Times New Roman" w:eastAsia="Times New Roman" w:hAnsi="Times New Roman" w:cs="Times New Roman"/>
          <w:kern w:val="0"/>
          <w:lang w:val="da-DK" w:eastAsia="da-DK"/>
          <w14:ligatures w14:val="none"/>
        </w:rPr>
        <w:br/>
        <w:t>Giesa, N., Sekutowicz, M., Rubarth, K., Spies, C., Balzer, F., Haufe, S., … &amp; Boie, S. (2024). TRAPOD: A Transformer Architecture Exploits Intraoperative Temporal Dynamics Improving the Prediction of Postoperative Delirium.. https://doi.org/10.21203/rs.3.rs-4349783/v1</w:t>
      </w:r>
      <w:r w:rsidRPr="008E6D14">
        <w:rPr>
          <w:rFonts w:ascii="Times New Roman" w:eastAsia="Times New Roman" w:hAnsi="Times New Roman" w:cs="Times New Roman"/>
          <w:kern w:val="0"/>
          <w:lang w:val="da-DK" w:eastAsia="da-DK"/>
          <w14:ligatures w14:val="none"/>
        </w:rPr>
        <w:br/>
        <w:t>Gunnarsson, B., Broucke, S., Baesens, B., Óskarsdóttir, M., &amp; Lemahieu, W. (2021). Deep learning for credit scoring: Do or don’t?. European Journal of Operational Research, 295(1), 292-305. https://doi.org/10.1016/j.ejor.2021.03.006</w:t>
      </w:r>
      <w:r w:rsidRPr="008E6D14">
        <w:rPr>
          <w:rFonts w:ascii="Times New Roman" w:eastAsia="Times New Roman" w:hAnsi="Times New Roman" w:cs="Times New Roman"/>
          <w:kern w:val="0"/>
          <w:lang w:val="da-DK" w:eastAsia="da-DK"/>
          <w14:ligatures w14:val="none"/>
        </w:rPr>
        <w:br/>
        <w:t>Guo, H., Lv, X., Li, S., Ma, D., Li, Y., &amp; Li, M. (2025). Fast-adapting graph neural network with prior knowledge for drug response prediction across preclinical and clinical data. Journal of Pharmaceutical Analysis, 15(10), 101386. https://doi.org/10.1016/j.jpha.2025.101386</w:t>
      </w:r>
      <w:r w:rsidRPr="008E6D14">
        <w:rPr>
          <w:rFonts w:ascii="Times New Roman" w:eastAsia="Times New Roman" w:hAnsi="Times New Roman" w:cs="Times New Roman"/>
          <w:kern w:val="0"/>
          <w:lang w:val="da-DK" w:eastAsia="da-DK"/>
          <w14:ligatures w14:val="none"/>
        </w:rPr>
        <w:br/>
        <w:t>Guo, H., Lv, X., Li, S., Ma, D., Li, Y., &amp; Li, M. (2025). Fast-adapting graph neural network with prior knowledge for drug response prediction across preclinical and clinical data. Journal of Pharmaceutical Analysis, 15(10), 101386. https://doi.org/10.1016/j.jpha.2025.101386</w:t>
      </w:r>
      <w:r w:rsidRPr="008E6D14">
        <w:rPr>
          <w:rFonts w:ascii="Times New Roman" w:eastAsia="Times New Roman" w:hAnsi="Times New Roman" w:cs="Times New Roman"/>
          <w:kern w:val="0"/>
          <w:lang w:val="da-DK" w:eastAsia="da-DK"/>
          <w14:ligatures w14:val="none"/>
        </w:rPr>
        <w:br/>
        <w:t>Guo, H., Lv, X., Li, S., Ma, D., Li, Y., &amp; Li, M. (2025). Fast-adapting graph neural network with prior knowledge for drug response prediction across preclinical and clinical data. Journal of Pharmaceutical Analysis, 15(10), 101386. https://doi.org/10.1016/j.jpha.2025.101386</w:t>
      </w:r>
      <w:r w:rsidRPr="008E6D14">
        <w:rPr>
          <w:rFonts w:ascii="Times New Roman" w:eastAsia="Times New Roman" w:hAnsi="Times New Roman" w:cs="Times New Roman"/>
          <w:kern w:val="0"/>
          <w:lang w:val="da-DK" w:eastAsia="da-DK"/>
          <w14:ligatures w14:val="none"/>
        </w:rPr>
        <w:br/>
        <w:t>Hei, K. and David, M. (2015). Basic and Advanced Skills They Don’t Have: The Case of Postgraduate and Literature Review Writing. Malaysian Journal of Learning and Instruction, 12. https://doi.org/10.32890/mjli.12.2015.7683</w:t>
      </w:r>
      <w:r w:rsidRPr="008E6D14">
        <w:rPr>
          <w:rFonts w:ascii="Times New Roman" w:eastAsia="Times New Roman" w:hAnsi="Times New Roman" w:cs="Times New Roman"/>
          <w:kern w:val="0"/>
          <w:lang w:val="da-DK" w:eastAsia="da-DK"/>
          <w14:ligatures w14:val="none"/>
        </w:rPr>
        <w:br/>
        <w:t>Hettiarachchi, H. and Ranasinghe, T. (2023). Explainable Event Detection with Event Trigger Identification as Rationale Extraction., 507-518. https://doi.org/10.26615/978-954-452-092-2_056</w:t>
      </w:r>
      <w:r w:rsidRPr="008E6D14">
        <w:rPr>
          <w:rFonts w:ascii="Times New Roman" w:eastAsia="Times New Roman" w:hAnsi="Times New Roman" w:cs="Times New Roman"/>
          <w:kern w:val="0"/>
          <w:lang w:val="da-DK" w:eastAsia="da-DK"/>
          <w14:ligatures w14:val="none"/>
        </w:rPr>
        <w:br/>
        <w:t>Hou, Q., Zhou, Y., Goh, J., Zou, K., Yew, S., Srinivasan, S., … &amp; Tham, Y. (2026). Can a Natural Image-Based Foundation Model Outperform a Retina-Specific Model in Detecting Ocular and Systemic Diseases?. Ophthalmology Science, 6(1), 100923. https://doi.org/10.1016/j.xops.2025.100923</w:t>
      </w:r>
      <w:r w:rsidRPr="008E6D14">
        <w:rPr>
          <w:rFonts w:ascii="Times New Roman" w:eastAsia="Times New Roman" w:hAnsi="Times New Roman" w:cs="Times New Roman"/>
          <w:kern w:val="0"/>
          <w:lang w:val="da-DK" w:eastAsia="da-DK"/>
          <w14:ligatures w14:val="none"/>
        </w:rPr>
        <w:br/>
        <w:t>Humbert‐Droz, M., Mukherjee, P., &amp; Gevaert, O. (2022). Strategies to Address the Lack of Labeled Data for Supervised Machine Learning Training With Electronic Health Records: Case Study for the Extraction of Symptoms From Clinical Notes. Jmir Medical Informatics, 10(3), e32903. https://doi.org/10.2196/32903</w:t>
      </w:r>
      <w:r w:rsidRPr="008E6D14">
        <w:rPr>
          <w:rFonts w:ascii="Times New Roman" w:eastAsia="Times New Roman" w:hAnsi="Times New Roman" w:cs="Times New Roman"/>
          <w:kern w:val="0"/>
          <w:lang w:val="da-DK" w:eastAsia="da-DK"/>
          <w14:ligatures w14:val="none"/>
        </w:rPr>
        <w:br/>
        <w:t>Humbert‐Droz, M., Mukherjee, P., &amp; Gevaert, O. (2022). Strategies to Address the Lack of Labeled Data for Supervised Machine Learning Training With Electronic Health Records: Case Study for the Extraction of Symptoms From Clinical Notes. Jmir Medical Informatics, 10(3), e32903. https://doi.org/10.2196/32903</w:t>
      </w:r>
      <w:r w:rsidRPr="008E6D14">
        <w:rPr>
          <w:rFonts w:ascii="Times New Roman" w:eastAsia="Times New Roman" w:hAnsi="Times New Roman" w:cs="Times New Roman"/>
          <w:kern w:val="0"/>
          <w:lang w:val="da-DK" w:eastAsia="da-DK"/>
          <w14:ligatures w14:val="none"/>
        </w:rPr>
        <w:br/>
        <w:t>Infante, P., Jacinto, G., Afonso, A., Rego, L., Nogueira, P., Silva, M., … &amp; Manuel, P. (2023). Factors That Influence the Type of Road Traffic Accidents: A Case Study in a District of Portugal. Sustainability, 15(3), 2352. https://doi.org/10.3390/su15032352</w:t>
      </w:r>
      <w:r w:rsidRPr="008E6D14">
        <w:rPr>
          <w:rFonts w:ascii="Times New Roman" w:eastAsia="Times New Roman" w:hAnsi="Times New Roman" w:cs="Times New Roman"/>
          <w:kern w:val="0"/>
          <w:lang w:val="da-DK" w:eastAsia="da-DK"/>
          <w14:ligatures w14:val="none"/>
        </w:rPr>
        <w:br/>
        <w:t>J, G., J, B., G, D., Osdilly, G., Kerstin, H., Yvonne, H., … &amp; L, R. Additional cryptic CNVs in mentally retarded patients with apparently balanced karyotypes.. European Journal of Medical Genetics. https://doi.org/10.1016/j.ejmg.2010.06.003</w:t>
      </w:r>
      <w:r w:rsidRPr="008E6D14">
        <w:rPr>
          <w:rFonts w:ascii="Times New Roman" w:eastAsia="Times New Roman" w:hAnsi="Times New Roman" w:cs="Times New Roman"/>
          <w:kern w:val="0"/>
          <w:lang w:val="da-DK" w:eastAsia="da-DK"/>
          <w14:ligatures w14:val="none"/>
        </w:rPr>
        <w:br/>
        <w:t>Jiang, W., Zhang, Y., &amp; Kwok, J. (2021). SEEN: Few-Shot Classification with SElf-ENsemble., 1-8. https://doi.org/10.1109/ijcnn52387.2021.9533845</w:t>
      </w:r>
      <w:r w:rsidRPr="008E6D14">
        <w:rPr>
          <w:rFonts w:ascii="Times New Roman" w:eastAsia="Times New Roman" w:hAnsi="Times New Roman" w:cs="Times New Roman"/>
          <w:kern w:val="0"/>
          <w:lang w:val="da-DK" w:eastAsia="da-DK"/>
          <w14:ligatures w14:val="none"/>
        </w:rPr>
        <w:br/>
        <w:t xml:space="preserve">Khan, W., Zaki, N., Ahmad, A., Masud, M., Ali, L., Ali, N., … &amp; Ahmed, L. (2022). Mixed Data </w:t>
      </w:r>
      <w:r w:rsidRPr="008E6D14">
        <w:rPr>
          <w:rFonts w:ascii="Times New Roman" w:eastAsia="Times New Roman" w:hAnsi="Times New Roman" w:cs="Times New Roman"/>
          <w:kern w:val="0"/>
          <w:lang w:val="da-DK" w:eastAsia="da-DK"/>
          <w14:ligatures w14:val="none"/>
        </w:rPr>
        <w:lastRenderedPageBreak/>
        <w:t>Imputation Using Generative Adversarial Networks. Ieee Access, 10, 124475-124490. https://doi.org/10.1109/access.2022.3218067</w:t>
      </w:r>
      <w:r w:rsidRPr="008E6D14">
        <w:rPr>
          <w:rFonts w:ascii="Times New Roman" w:eastAsia="Times New Roman" w:hAnsi="Times New Roman" w:cs="Times New Roman"/>
          <w:kern w:val="0"/>
          <w:lang w:val="da-DK" w:eastAsia="da-DK"/>
          <w14:ligatures w14:val="none"/>
        </w:rPr>
        <w:br/>
        <w:t>Khanday, N. and Sofi, S. (2025). Generalizing and Classifying From Few Samples: A Comprehension of Approaches to Few‐Shot Visual Learning. Computational Intelligence, 41(4). https://doi.org/10.1111/coin.70098</w:t>
      </w:r>
      <w:r w:rsidRPr="008E6D14">
        <w:rPr>
          <w:rFonts w:ascii="Times New Roman" w:eastAsia="Times New Roman" w:hAnsi="Times New Roman" w:cs="Times New Roman"/>
          <w:kern w:val="0"/>
          <w:lang w:val="da-DK" w:eastAsia="da-DK"/>
          <w14:ligatures w14:val="none"/>
        </w:rPr>
        <w:br/>
        <w:t>Khurshid, S., Reeder, C., Harrington, L., Singh, P., Sarma, G., Friedman, S., … &amp; Lubitz, S. (2022). Cohort design and natural language processing to reduce bias in electronic health records research. NPJ Digital Medicine, 5(1). https://doi.org/10.1038/s41746-022-00590-0</w:t>
      </w:r>
      <w:r w:rsidRPr="008E6D14">
        <w:rPr>
          <w:rFonts w:ascii="Times New Roman" w:eastAsia="Times New Roman" w:hAnsi="Times New Roman" w:cs="Times New Roman"/>
          <w:kern w:val="0"/>
          <w:lang w:val="da-DK" w:eastAsia="da-DK"/>
          <w14:ligatures w14:val="none"/>
        </w:rPr>
        <w:br/>
        <w:t>Kim, Y., Kang, D., Mok, Y., Kwon, S., &amp; Paik, J. (2022). Bidirectional Meta-Kronecker Factored Optimizer and Housdorff Distance Loss for Few-shot Medical Image Segmentation.. https://doi.org/10.21203/rs.3.rs-2324435/v1</w:t>
      </w:r>
      <w:r w:rsidRPr="008E6D14">
        <w:rPr>
          <w:rFonts w:ascii="Times New Roman" w:eastAsia="Times New Roman" w:hAnsi="Times New Roman" w:cs="Times New Roman"/>
          <w:kern w:val="0"/>
          <w:lang w:val="da-DK" w:eastAsia="da-DK"/>
          <w14:ligatures w14:val="none"/>
        </w:rPr>
        <w:br/>
        <w:t>Kinbara, M., Nagai, Y., Takano‐Yamamoto, T., Sugawara, S., &amp; Endo, Y. (2011). Cross-reactivity among some metals in a murine metal allergy model. British Journal of Dermatology, 165(5), 1022-1029. https://doi.org/10.1111/j.1365-2133.2011.10468.x</w:t>
      </w:r>
      <w:r w:rsidRPr="008E6D14">
        <w:rPr>
          <w:rFonts w:ascii="Times New Roman" w:eastAsia="Times New Roman" w:hAnsi="Times New Roman" w:cs="Times New Roman"/>
          <w:kern w:val="0"/>
          <w:lang w:val="da-DK" w:eastAsia="da-DK"/>
          <w14:ligatures w14:val="none"/>
        </w:rPr>
        <w:br/>
        <w:t>Kötter, A., Allenspach, S., Grebner, C., Matter, H., Hiss, J., Schneider, G., … &amp; Heßler, G. (2024). Task‐Similarity is a Crucial Factor for Few‐Shot Meta‐Learning of Structure‐Activity Relationships. Chembiochem, 25(19). https://doi.org/10.1002/cbic.202400095</w:t>
      </w:r>
      <w:r w:rsidRPr="008E6D14">
        <w:rPr>
          <w:rFonts w:ascii="Times New Roman" w:eastAsia="Times New Roman" w:hAnsi="Times New Roman" w:cs="Times New Roman"/>
          <w:kern w:val="0"/>
          <w:lang w:val="da-DK" w:eastAsia="da-DK"/>
          <w14:ligatures w14:val="none"/>
        </w:rPr>
        <w:br/>
        <w:t>Lee, J., Kim, Y., Lee, H., &amp; Kwak, N. (2024). Any-Way Meta Learning. Proceedings of the Aaai Conference on Artificial Intelligence, 38(12), 13400-13408. https://doi.org/10.1609/aaai.v38i12.29242</w:t>
      </w:r>
      <w:r w:rsidRPr="008E6D14">
        <w:rPr>
          <w:rFonts w:ascii="Times New Roman" w:eastAsia="Times New Roman" w:hAnsi="Times New Roman" w:cs="Times New Roman"/>
          <w:kern w:val="0"/>
          <w:lang w:val="da-DK" w:eastAsia="da-DK"/>
          <w14:ligatures w14:val="none"/>
        </w:rPr>
        <w:br/>
        <w:t>Lee, Y., Kim, Y., Lee, S., &amp; Koo, J. (2006). Structured multicategory support vector machines with analysis of variance decomposition. Biometrika, 93(3), 555-571. https://doi.org/10.1093/biomet/93.3.555</w:t>
      </w:r>
      <w:r w:rsidRPr="008E6D14">
        <w:rPr>
          <w:rFonts w:ascii="Times New Roman" w:eastAsia="Times New Roman" w:hAnsi="Times New Roman" w:cs="Times New Roman"/>
          <w:kern w:val="0"/>
          <w:lang w:val="da-DK" w:eastAsia="da-DK"/>
          <w14:ligatures w14:val="none"/>
        </w:rPr>
        <w:br/>
        <w:t>Li, D., Yang, Y., Song, Y., &amp; Hospedales, T. (2020). Sequential Learning for Domain Generalization., 603-619. https://doi.org/10.1007/978-3-030-66415-2_39</w:t>
      </w:r>
      <w:r w:rsidRPr="008E6D14">
        <w:rPr>
          <w:rFonts w:ascii="Times New Roman" w:eastAsia="Times New Roman" w:hAnsi="Times New Roman" w:cs="Times New Roman"/>
          <w:kern w:val="0"/>
          <w:lang w:val="da-DK" w:eastAsia="da-DK"/>
          <w14:ligatures w14:val="none"/>
        </w:rPr>
        <w:br/>
        <w:t>Li, D., Zhang, J., Yang, Y., Liu, C., Song, Y., &amp; Hospedales, T. (2019). Episodic Training for Domain Generalization., 1446-1455. https://doi.org/10.1109/iccv.2019.00153</w:t>
      </w:r>
      <w:r w:rsidRPr="008E6D14">
        <w:rPr>
          <w:rFonts w:ascii="Times New Roman" w:eastAsia="Times New Roman" w:hAnsi="Times New Roman" w:cs="Times New Roman"/>
          <w:kern w:val="0"/>
          <w:lang w:val="da-DK" w:eastAsia="da-DK"/>
          <w14:ligatures w14:val="none"/>
        </w:rPr>
        <w:br/>
        <w:t>Li, J., Wong, Y., Zhao, Q., &amp; Kankanhalli, M. (2019). Learning to Learn From Noisy Labeled Data., 5046-5054. https://doi.org/10.1109/cvpr.2019.00519</w:t>
      </w:r>
      <w:r w:rsidRPr="008E6D14">
        <w:rPr>
          <w:rFonts w:ascii="Times New Roman" w:eastAsia="Times New Roman" w:hAnsi="Times New Roman" w:cs="Times New Roman"/>
          <w:kern w:val="0"/>
          <w:lang w:val="da-DK" w:eastAsia="da-DK"/>
          <w14:ligatures w14:val="none"/>
        </w:rPr>
        <w:br/>
        <w:t>Li, Y., Meng, X., Xu, F., &amp; Xiao, S. (2024). Intelligent fault diagnosis of hoisting systems under complex working conditions using deep graph convolutional generative adversarial networks with limited data. Structural Health Monitoring, 24(6), 3770-3791. https://doi.org/10.1177/14759217241279789</w:t>
      </w:r>
      <w:r w:rsidRPr="008E6D14">
        <w:rPr>
          <w:rFonts w:ascii="Times New Roman" w:eastAsia="Times New Roman" w:hAnsi="Times New Roman" w:cs="Times New Roman"/>
          <w:kern w:val="0"/>
          <w:lang w:val="da-DK" w:eastAsia="da-DK"/>
          <w14:ligatures w14:val="none"/>
        </w:rPr>
        <w:br/>
        <w:t>Liang, X., Zhang, M., Feng, G., Wang, D., Xu, Y., &amp; Gu, F. (2023). Few-Shot Learning Approaches for Fault Diagnosis Using Vibration Data: A Comprehensive Review. Sustainability, 15(20), 14975. https://doi.org/10.3390/su152014975</w:t>
      </w:r>
      <w:r w:rsidRPr="008E6D14">
        <w:rPr>
          <w:rFonts w:ascii="Times New Roman" w:eastAsia="Times New Roman" w:hAnsi="Times New Roman" w:cs="Times New Roman"/>
          <w:kern w:val="0"/>
          <w:lang w:val="da-DK" w:eastAsia="da-DK"/>
          <w14:ligatures w14:val="none"/>
        </w:rPr>
        <w:br/>
        <w:t>Liang, X., Zhang, M., Feng, G., Wang, D., Xu, Y., &amp; Gu, F. (2023). Few-Shot Learning Approaches for Fault Diagnosis Using Vibration Data: A Comprehensive Review. Sustainability, 15(20), 14975. https://doi.org/10.3390/su152014975</w:t>
      </w:r>
      <w:r w:rsidRPr="008E6D14">
        <w:rPr>
          <w:rFonts w:ascii="Times New Roman" w:eastAsia="Times New Roman" w:hAnsi="Times New Roman" w:cs="Times New Roman"/>
          <w:kern w:val="0"/>
          <w:lang w:val="da-DK" w:eastAsia="da-DK"/>
          <w14:ligatures w14:val="none"/>
        </w:rPr>
        <w:br/>
        <w:t>Liu, H., Wei, Y., Liu, F., Wang, W., Nie, L., &amp; Chua, T. (2023). Dynamic Multimodal Fusion via Meta-Learning Towards Micro-Video Recommendation. Acm Transactions on Information Systems, 42(2), 1-26. https://doi.org/10.1145/3617827</w:t>
      </w:r>
      <w:r w:rsidRPr="008E6D14">
        <w:rPr>
          <w:rFonts w:ascii="Times New Roman" w:eastAsia="Times New Roman" w:hAnsi="Times New Roman" w:cs="Times New Roman"/>
          <w:kern w:val="0"/>
          <w:lang w:val="da-DK" w:eastAsia="da-DK"/>
          <w14:ligatures w14:val="none"/>
        </w:rPr>
        <w:br/>
        <w:t>Liu, X., Dong, X., Li, T., Zou, X., Chen, C., Jiang, Z., … &amp; Lu, H. (2024). A difficulty-aware and task-augmentation method based on meta-learning model for few-shot diabetic retinopathy classification. Quantitative Imaging in Medicine and Surgery, 14(1), 861-876. https://doi.org/10.21037/qims-23-567</w:t>
      </w:r>
      <w:r w:rsidRPr="008E6D14">
        <w:rPr>
          <w:rFonts w:ascii="Times New Roman" w:eastAsia="Times New Roman" w:hAnsi="Times New Roman" w:cs="Times New Roman"/>
          <w:kern w:val="0"/>
          <w:lang w:val="da-DK" w:eastAsia="da-DK"/>
          <w14:ligatures w14:val="none"/>
        </w:rPr>
        <w:br/>
        <w:t>López-Almodóvar, A. (2025). Prescriptive maintenance for military vehicles using frugal learning., 33. https://doi.org/10.1117/12.3069701</w:t>
      </w:r>
      <w:r w:rsidRPr="008E6D14">
        <w:rPr>
          <w:rFonts w:ascii="Times New Roman" w:eastAsia="Times New Roman" w:hAnsi="Times New Roman" w:cs="Times New Roman"/>
          <w:kern w:val="0"/>
          <w:lang w:val="da-DK" w:eastAsia="da-DK"/>
          <w14:ligatures w14:val="none"/>
        </w:rPr>
        <w:br/>
      </w:r>
      <w:r w:rsidRPr="008E6D14">
        <w:rPr>
          <w:rFonts w:ascii="Times New Roman" w:eastAsia="Times New Roman" w:hAnsi="Times New Roman" w:cs="Times New Roman"/>
          <w:kern w:val="0"/>
          <w:lang w:val="da-DK" w:eastAsia="da-DK"/>
          <w14:ligatures w14:val="none"/>
        </w:rPr>
        <w:lastRenderedPageBreak/>
        <w:t>Machado, F., Aparecida, P., Waldssimiler, T., Aparecida, S., &amp; Ferrari, J. In situ degradability and selected ruminal constituents of sheep fed with peanut forage hay.. Archives of Animal Nutrition. https://doi.org/10.1080/1745039x.2013.834581</w:t>
      </w:r>
      <w:r w:rsidRPr="008E6D14">
        <w:rPr>
          <w:rFonts w:ascii="Times New Roman" w:eastAsia="Times New Roman" w:hAnsi="Times New Roman" w:cs="Times New Roman"/>
          <w:kern w:val="0"/>
          <w:lang w:val="da-DK" w:eastAsia="da-DK"/>
          <w14:ligatures w14:val="none"/>
        </w:rPr>
        <w:br/>
        <w:t>Maheshwari, A., Chatterjee, O., Killamsetty, K., Ramakrishnan, G., &amp; Iyer, R. (2021). Semi-Supervised Data Programming with Subset Selection., 4640-4651. https://doi.org/10.18653/v1/2021.findings-acl.408</w:t>
      </w:r>
      <w:r w:rsidRPr="008E6D14">
        <w:rPr>
          <w:rFonts w:ascii="Times New Roman" w:eastAsia="Times New Roman" w:hAnsi="Times New Roman" w:cs="Times New Roman"/>
          <w:kern w:val="0"/>
          <w:lang w:val="da-DK" w:eastAsia="da-DK"/>
          <w14:ligatures w14:val="none"/>
        </w:rPr>
        <w:br/>
        <w:t>Majid, A., Saaybi, S., François-Lavet, V., Prasad, R., &amp; Verhoeven, C. (2024). Deep Reinforcement Learning Versus Evolution Strategies: A Comparative Survey. Ieee Transactions on Neural Networks and Learning Systems, 35(9), 11939-11957. https://doi.org/10.1109/tnnls.2023.3264540</w:t>
      </w:r>
      <w:r w:rsidRPr="008E6D14">
        <w:rPr>
          <w:rFonts w:ascii="Times New Roman" w:eastAsia="Times New Roman" w:hAnsi="Times New Roman" w:cs="Times New Roman"/>
          <w:kern w:val="0"/>
          <w:lang w:val="da-DK" w:eastAsia="da-DK"/>
          <w14:ligatures w14:val="none"/>
        </w:rPr>
        <w:br/>
        <w:t>Malik, P., Patel, A., Patel, A., Khan, D., &amp; Solanki, A. (2023). Meta-Learning for Neural Machine Translation. International Journal for Research in Applied Science and Engineering Technology, 11(10), 1232-1237. https://doi.org/10.22214/ijraset.2023.56185</w:t>
      </w:r>
      <w:r w:rsidRPr="008E6D14">
        <w:rPr>
          <w:rFonts w:ascii="Times New Roman" w:eastAsia="Times New Roman" w:hAnsi="Times New Roman" w:cs="Times New Roman"/>
          <w:kern w:val="0"/>
          <w:lang w:val="da-DK" w:eastAsia="da-DK"/>
          <w14:ligatures w14:val="none"/>
        </w:rPr>
        <w:br/>
        <w:t>Mallory, E., Rochemonteix, M., Ratner, A., Acharya, A., Ré, C., Bright, R., … &amp; Altman, R. (2020). Extracting chemical reactions from text using Snorkel. BMC Bioinformatics, 21(1). https://doi.org/10.1186/s12859-020-03542-1</w:t>
      </w:r>
      <w:r w:rsidRPr="008E6D14">
        <w:rPr>
          <w:rFonts w:ascii="Times New Roman" w:eastAsia="Times New Roman" w:hAnsi="Times New Roman" w:cs="Times New Roman"/>
          <w:kern w:val="0"/>
          <w:lang w:val="da-DK" w:eastAsia="da-DK"/>
          <w14:ligatures w14:val="none"/>
        </w:rPr>
        <w:br/>
        <w:t>Moulaei, K., Afshari, L., Moulaei, R., Sabet, B., Mousavi, S., &amp; Afrash, M. (2024). Explainable artificial intelligence for stroke prediction through comparison of deep learning and machine learning models. Scientific Reports, 14(1). https://doi.org/10.1038/s41598-024-82931-5</w:t>
      </w:r>
      <w:r w:rsidRPr="008E6D14">
        <w:rPr>
          <w:rFonts w:ascii="Times New Roman" w:eastAsia="Times New Roman" w:hAnsi="Times New Roman" w:cs="Times New Roman"/>
          <w:kern w:val="0"/>
          <w:lang w:val="da-DK" w:eastAsia="da-DK"/>
          <w14:ligatures w14:val="none"/>
        </w:rPr>
        <w:br/>
        <w:t>Mouselinos, S., Polymenakos, K., Nikitakis, A., &amp; Kyriakopoulos, K. (2021). MAIN: Multihead-Attention Imputation Networks., 1-8. https://doi.org/10.1109/ijcnn52387.2021.9534084</w:t>
      </w:r>
      <w:r w:rsidRPr="008E6D14">
        <w:rPr>
          <w:rFonts w:ascii="Times New Roman" w:eastAsia="Times New Roman" w:hAnsi="Times New Roman" w:cs="Times New Roman"/>
          <w:kern w:val="0"/>
          <w:lang w:val="da-DK" w:eastAsia="da-DK"/>
          <w14:ligatures w14:val="none"/>
        </w:rPr>
        <w:br/>
        <w:t>Mozafari, M., Farahbakhsh, R., &amp; Crespi, N. (2022). Cross-Lingual Few-Shot Hate Speech and Offensive Language Detection Using Meta Learning. Ieee Access, 10, 14880-14896. https://doi.org/10.1109/access.2022.3147588</w:t>
      </w:r>
      <w:r w:rsidRPr="008E6D14">
        <w:rPr>
          <w:rFonts w:ascii="Times New Roman" w:eastAsia="Times New Roman" w:hAnsi="Times New Roman" w:cs="Times New Roman"/>
          <w:kern w:val="0"/>
          <w:lang w:val="da-DK" w:eastAsia="da-DK"/>
          <w14:ligatures w14:val="none"/>
        </w:rPr>
        <w:br/>
        <w:t>Muñoz, P., Orellana‐Alvear, J., Bendix, J., Feyen, J., &amp; Célleri, R. (2021). Flood Early Warning Systems Using Machine Learning Techniques: The Case of the Tomebamba Catchment at the Southern Andes of Ecuador. Hydrology, 8(4), 183. https://doi.org/10.3390/hydrology8040183</w:t>
      </w:r>
      <w:r w:rsidRPr="008E6D14">
        <w:rPr>
          <w:rFonts w:ascii="Times New Roman" w:eastAsia="Times New Roman" w:hAnsi="Times New Roman" w:cs="Times New Roman"/>
          <w:kern w:val="0"/>
          <w:lang w:val="da-DK" w:eastAsia="da-DK"/>
          <w14:ligatures w14:val="none"/>
        </w:rPr>
        <w:br/>
        <w:t>März, L., Asgari, E., Braune, F., Zimmermann, F., &amp; Roth, B. (2021). KnowMAN: Weakly Supervised Multinomial Adversarial Networks.. https://doi.org/10.18653/v1/2021.emnlp-main.751</w:t>
      </w:r>
      <w:r w:rsidRPr="008E6D14">
        <w:rPr>
          <w:rFonts w:ascii="Times New Roman" w:eastAsia="Times New Roman" w:hAnsi="Times New Roman" w:cs="Times New Roman"/>
          <w:kern w:val="0"/>
          <w:lang w:val="da-DK" w:eastAsia="da-DK"/>
          <w14:ligatures w14:val="none"/>
        </w:rPr>
        <w:br/>
        <w:t>Nguyen, Q., Valizadegan, H., &amp; Hauskrecht, M. (2014). Learning classification models with soft-label information. Journal of the American Medical Informatics Association, 21(3), 501-508. https://doi.org/10.1136/amiajnl-2013-001964</w:t>
      </w:r>
      <w:r w:rsidRPr="008E6D14">
        <w:rPr>
          <w:rFonts w:ascii="Times New Roman" w:eastAsia="Times New Roman" w:hAnsi="Times New Roman" w:cs="Times New Roman"/>
          <w:kern w:val="0"/>
          <w:lang w:val="da-DK" w:eastAsia="da-DK"/>
          <w14:ligatures w14:val="none"/>
        </w:rPr>
        <w:br/>
        <w:t>Pimpalkhute, V., Kunde, S., Singhal, R., Palepu, S., Chahal, D., &amp; Pandit, A. (2022). MetaFaaS., 1-9. https://doi.org/10.1145/3530050.3532926</w:t>
      </w:r>
      <w:r w:rsidRPr="008E6D14">
        <w:rPr>
          <w:rFonts w:ascii="Times New Roman" w:eastAsia="Times New Roman" w:hAnsi="Times New Roman" w:cs="Times New Roman"/>
          <w:kern w:val="0"/>
          <w:lang w:val="da-DK" w:eastAsia="da-DK"/>
          <w14:ligatures w14:val="none"/>
        </w:rPr>
        <w:br/>
        <w:t>Pongsart, G. Theory of Constraints (TOC) and Appreciative Inquiry (AI): A comparative study of their effectiveness in improving Master's thesis students' performance.. https://doi.org/10.26686/wgtn.17012612</w:t>
      </w:r>
      <w:r w:rsidRPr="008E6D14">
        <w:rPr>
          <w:rFonts w:ascii="Times New Roman" w:eastAsia="Times New Roman" w:hAnsi="Times New Roman" w:cs="Times New Roman"/>
          <w:kern w:val="0"/>
          <w:lang w:val="da-DK" w:eastAsia="da-DK"/>
          <w14:ligatures w14:val="none"/>
        </w:rPr>
        <w:br/>
        <w:t>Ratner, A., Bach, S., Ehrenberg, H., Fries, J., Wu, S., &amp; Ré, C. (2017). Snorkel. Proceedings of the VLDB Endowment, 11(3), 269-282. https://doi.org/10.14778/3157794.3157797</w:t>
      </w:r>
      <w:r w:rsidRPr="008E6D14">
        <w:rPr>
          <w:rFonts w:ascii="Times New Roman" w:eastAsia="Times New Roman" w:hAnsi="Times New Roman" w:cs="Times New Roman"/>
          <w:kern w:val="0"/>
          <w:lang w:val="da-DK" w:eastAsia="da-DK"/>
          <w14:ligatures w14:val="none"/>
        </w:rPr>
        <w:br/>
        <w:t>Ratner, A., Bach, S., Ehrenberg, H., Fries, J., Wu, S., &amp; Ré, C. (2017). Snorkel. Proceedings of the VLDB Endowment, 11(3), 269-282. https://doi.org/10.14778/3157794.3157797</w:t>
      </w:r>
      <w:r w:rsidRPr="008E6D14">
        <w:rPr>
          <w:rFonts w:ascii="Times New Roman" w:eastAsia="Times New Roman" w:hAnsi="Times New Roman" w:cs="Times New Roman"/>
          <w:kern w:val="0"/>
          <w:lang w:val="da-DK" w:eastAsia="da-DK"/>
          <w14:ligatures w14:val="none"/>
        </w:rPr>
        <w:br/>
        <w:t>Ratner, A., Bach, S., Ehrenberg, H., Fries, J., Wu, S., &amp; Ré, C. (2019). Snorkel: rapid training data creation with weak supervision. The VLDB Journal, 29(2-3), 709-730. https://doi.org/10.1007/s00778-019-00552-1</w:t>
      </w:r>
      <w:r w:rsidRPr="008E6D14">
        <w:rPr>
          <w:rFonts w:ascii="Times New Roman" w:eastAsia="Times New Roman" w:hAnsi="Times New Roman" w:cs="Times New Roman"/>
          <w:kern w:val="0"/>
          <w:lang w:val="da-DK" w:eastAsia="da-DK"/>
          <w14:ligatures w14:val="none"/>
        </w:rPr>
        <w:br/>
        <w:t>Rinaldo, P., O’Shea, J., Welch, R., &amp; Tanaka, K. (1990). The Enzymatic Basis for the Dehydrogenation of 3-Phenylpropionic Acid: In Vitro Reaction of 3- Phenylpropionyl-CoA with Various Acyl-CoA Dehydrogenases. Pediatric Research, 27(5), 501-507. https://doi.org/10.1203/00006450-199005000-00017</w:t>
      </w:r>
      <w:r w:rsidRPr="008E6D14">
        <w:rPr>
          <w:rFonts w:ascii="Times New Roman" w:eastAsia="Times New Roman" w:hAnsi="Times New Roman" w:cs="Times New Roman"/>
          <w:kern w:val="0"/>
          <w:lang w:val="da-DK" w:eastAsia="da-DK"/>
          <w14:ligatures w14:val="none"/>
        </w:rPr>
        <w:br/>
        <w:t xml:space="preserve">Rußwurm, M., Wang, S., Kellenberger, B., Roscher, R., &amp; Tuia, D. (2024). Meta-learning to </w:t>
      </w:r>
      <w:r w:rsidRPr="008E6D14">
        <w:rPr>
          <w:rFonts w:ascii="Times New Roman" w:eastAsia="Times New Roman" w:hAnsi="Times New Roman" w:cs="Times New Roman"/>
          <w:kern w:val="0"/>
          <w:lang w:val="da-DK" w:eastAsia="da-DK"/>
          <w14:ligatures w14:val="none"/>
        </w:rPr>
        <w:lastRenderedPageBreak/>
        <w:t>address diverse Earth observation problems across resolutions. Communications Earth &amp; Environment, 5(1). https://doi.org/10.1038/s43247-023-01146-0</w:t>
      </w:r>
      <w:r w:rsidRPr="008E6D14">
        <w:rPr>
          <w:rFonts w:ascii="Times New Roman" w:eastAsia="Times New Roman" w:hAnsi="Times New Roman" w:cs="Times New Roman"/>
          <w:kern w:val="0"/>
          <w:lang w:val="da-DK" w:eastAsia="da-DK"/>
          <w14:ligatures w14:val="none"/>
        </w:rPr>
        <w:br/>
        <w:t>Rußwurm, M., Wang, S., Kellenberger, B., Roscher, R., &amp; Tuia, D. (2024). Meta-learning to address diverse Earth observation problems across resolutions. Communications Earth &amp; Environment, 5(1). https://doi.org/10.1038/s43247-023-01146-0</w:t>
      </w:r>
      <w:r w:rsidRPr="008E6D14">
        <w:rPr>
          <w:rFonts w:ascii="Times New Roman" w:eastAsia="Times New Roman" w:hAnsi="Times New Roman" w:cs="Times New Roman"/>
          <w:kern w:val="0"/>
          <w:lang w:val="da-DK" w:eastAsia="da-DK"/>
          <w14:ligatures w14:val="none"/>
        </w:rPr>
        <w:br/>
        <w:t>Sadr, A., Li, J., Hwang, W., Yeasin, M., Wang, M., Lehmann, H., … &amp; Abedi, V. (2025). Flexible imputation toolkit for electronic health records. Scientific Reports, 15(1). https://doi.org/10.1038/s41598-025-02276-5</w:t>
      </w:r>
      <w:r w:rsidRPr="008E6D14">
        <w:rPr>
          <w:rFonts w:ascii="Times New Roman" w:eastAsia="Times New Roman" w:hAnsi="Times New Roman" w:cs="Times New Roman"/>
          <w:kern w:val="0"/>
          <w:lang w:val="da-DK" w:eastAsia="da-DK"/>
          <w14:ligatures w14:val="none"/>
        </w:rPr>
        <w:br/>
        <w:t>Schlender, T., Viljanen, M., Rijn, J., Mohr, F., Peijnenburg, W., Hoos, H., … &amp; Wong, A. (2023). The Bigger Fish: A Comparison of Meta-Learning QSAR Models on Low-Resourced Aquatic Toxicity Regression Tasks. Environmental Science &amp; Technology, 57(46), 17818-17830. https://doi.org/10.1021/acs.est.3c00334</w:t>
      </w:r>
      <w:r w:rsidRPr="008E6D14">
        <w:rPr>
          <w:rFonts w:ascii="Times New Roman" w:eastAsia="Times New Roman" w:hAnsi="Times New Roman" w:cs="Times New Roman"/>
          <w:kern w:val="0"/>
          <w:lang w:val="da-DK" w:eastAsia="da-DK"/>
          <w14:ligatures w14:val="none"/>
        </w:rPr>
        <w:br/>
        <w:t>Sedova, A. and Roth, B. (2023). ULF: Unsupervised Labeling Function Correction using Cross-Validation for Weak Supervision.. https://doi.org/10.18653/v1/2023.emnlp-main.254</w:t>
      </w:r>
      <w:r w:rsidRPr="008E6D14">
        <w:rPr>
          <w:rFonts w:ascii="Times New Roman" w:eastAsia="Times New Roman" w:hAnsi="Times New Roman" w:cs="Times New Roman"/>
          <w:kern w:val="0"/>
          <w:lang w:val="da-DK" w:eastAsia="da-DK"/>
          <w14:ligatures w14:val="none"/>
        </w:rPr>
        <w:br/>
        <w:t>Shao, M., Shi, M., Li, X., Wang, L., Cai, Z., &amp; An, D. (2025). Cross-domain fault diagnosis of ceramic bearings using multi-source data fusion: Vibration, acoustic, and infrared signals. Proceedings of the Institution of Mechanical Engineers Part C Journal of Mechanical Engineering Science, 239(21), 8970-8988. https://doi.org/10.1177/09544062251355439</w:t>
      </w:r>
      <w:r w:rsidRPr="008E6D14">
        <w:rPr>
          <w:rFonts w:ascii="Times New Roman" w:eastAsia="Times New Roman" w:hAnsi="Times New Roman" w:cs="Times New Roman"/>
          <w:kern w:val="0"/>
          <w:lang w:val="da-DK" w:eastAsia="da-DK"/>
          <w14:ligatures w14:val="none"/>
        </w:rPr>
        <w:br/>
        <w:t>Shen, Z., Zhao, Q., &amp; Liu, Y. (2023). MAML-SGD:A reliable airline reschedulingalgorithm for small-sample learning based onMAML and SGD.. https://doi.org/10.21203/rs.3.rs-3131203/v1</w:t>
      </w:r>
      <w:r w:rsidRPr="008E6D14">
        <w:rPr>
          <w:rFonts w:ascii="Times New Roman" w:eastAsia="Times New Roman" w:hAnsi="Times New Roman" w:cs="Times New Roman"/>
          <w:kern w:val="0"/>
          <w:lang w:val="da-DK" w:eastAsia="da-DK"/>
          <w14:ligatures w14:val="none"/>
        </w:rPr>
        <w:br/>
        <w:t>Sun, Z., Zhang, W., Zhou, Y., Geng, S., Zhang, D., Wang, J., … &amp; Hong, S. (2025). A lightweight deep neural network for personalized detecting ventricular arrhythmias from a single-lead ECG device. Plos Digital Health, 4(10), e0001037. https://doi.org/10.1371/journal.pdig.0001037</w:t>
      </w:r>
      <w:r w:rsidRPr="008E6D14">
        <w:rPr>
          <w:rFonts w:ascii="Times New Roman" w:eastAsia="Times New Roman" w:hAnsi="Times New Roman" w:cs="Times New Roman"/>
          <w:kern w:val="0"/>
          <w:lang w:val="da-DK" w:eastAsia="da-DK"/>
          <w14:ligatures w14:val="none"/>
        </w:rPr>
        <w:br/>
        <w:t>Suri, S., Chanda, R., Bulut, N., Narayana, P., Zeng, Y., Bailis, P., … &amp; Sethi, A. (2020). Leveraging organizational resources to adapt models to new data modalities. Proceedings of the VLDB Endowment, 13(12), 3396-3410. https://doi.org/10.14778/3415478.3415559</w:t>
      </w:r>
      <w:r w:rsidRPr="008E6D14">
        <w:rPr>
          <w:rFonts w:ascii="Times New Roman" w:eastAsia="Times New Roman" w:hAnsi="Times New Roman" w:cs="Times New Roman"/>
          <w:kern w:val="0"/>
          <w:lang w:val="da-DK" w:eastAsia="da-DK"/>
          <w14:ligatures w14:val="none"/>
        </w:rPr>
        <w:br/>
        <w:t>Suri, S., Chanda, R., Bulut, N., Narayana, P., Zeng, Y., Bailis, P., … &amp; Sethi, A. (2020). Leveraging organizational resources to adapt models to new data modalities. Proceedings of the VLDB Endowment, 13(12), 3396-3410. https://doi.org/10.14778/3415478.3415559</w:t>
      </w:r>
      <w:r w:rsidRPr="008E6D14">
        <w:rPr>
          <w:rFonts w:ascii="Times New Roman" w:eastAsia="Times New Roman" w:hAnsi="Times New Roman" w:cs="Times New Roman"/>
          <w:kern w:val="0"/>
          <w:lang w:val="da-DK" w:eastAsia="da-DK"/>
          <w14:ligatures w14:val="none"/>
        </w:rPr>
        <w:br/>
        <w:t>Tak, J. and Hong, B. (2024). Enhancing Model Agnostic Meta-Learning via Gradient Similarity Loss. Electronics, 13(3), 535. https://doi.org/10.3390/electronics13030535</w:t>
      </w:r>
      <w:r w:rsidRPr="008E6D14">
        <w:rPr>
          <w:rFonts w:ascii="Times New Roman" w:eastAsia="Times New Roman" w:hAnsi="Times New Roman" w:cs="Times New Roman"/>
          <w:kern w:val="0"/>
          <w:lang w:val="da-DK" w:eastAsia="da-DK"/>
          <w14:ligatures w14:val="none"/>
        </w:rPr>
        <w:br/>
        <w:t>Tammisetti, V., Bierzynski, K., Stettinger, G., Morales, D., Cuéllar, M., &amp; Molina-Solana, M. (2024). LaANIL: ANIL with Look-Ahead Meta-Optimization and Data Parallelism. Electronics, 13(8), 1585. https://doi.org/10.3390/electronics13081585</w:t>
      </w:r>
      <w:r w:rsidRPr="008E6D14">
        <w:rPr>
          <w:rFonts w:ascii="Times New Roman" w:eastAsia="Times New Roman" w:hAnsi="Times New Roman" w:cs="Times New Roman"/>
          <w:kern w:val="0"/>
          <w:lang w:val="da-DK" w:eastAsia="da-DK"/>
          <w14:ligatures w14:val="none"/>
        </w:rPr>
        <w:br/>
        <w:t>Tewari‐Singh, N., Goswami, D., Kant, R., Ammar, D., Kumar, D., Enzenauer, R., … &amp; Agarwal, R. (2017). Histopathological and Molecular Changes in the Rabbit Cornea From Arsenical Vesicant Lewisite Exposure. Toxicological Sciences, 160(2), 420-428. https://doi.org/10.1093/toxsci/kfx198</w:t>
      </w:r>
      <w:r w:rsidRPr="008E6D14">
        <w:rPr>
          <w:rFonts w:ascii="Times New Roman" w:eastAsia="Times New Roman" w:hAnsi="Times New Roman" w:cs="Times New Roman"/>
          <w:kern w:val="0"/>
          <w:lang w:val="da-DK" w:eastAsia="da-DK"/>
          <w14:ligatures w14:val="none"/>
        </w:rPr>
        <w:br/>
        <w:t>Tian, P., Qi, L., Dong, S., Shi, Y., &amp; Gao, Y. (2020). Consistent MetaReg: Alleviating Intra-task Discrepancy for Better Meta-knowledge., 2718-2724. https://doi.org/10.24963/ijcai.2020/377</w:t>
      </w:r>
      <w:r w:rsidRPr="008E6D14">
        <w:rPr>
          <w:rFonts w:ascii="Times New Roman" w:eastAsia="Times New Roman" w:hAnsi="Times New Roman" w:cs="Times New Roman"/>
          <w:kern w:val="0"/>
          <w:lang w:val="da-DK" w:eastAsia="da-DK"/>
          <w14:ligatures w14:val="none"/>
        </w:rPr>
        <w:br/>
        <w:t>Tran, V., Le, Q., Pham, B., Luu, V., &amp; Bui, Q. (2022). Large-scale Vietnamese point-of-interest classification using weak labeling. Frontiers in Artificial Intelligence, 5. https://doi.org/10.3389/frai.2022.1020532</w:t>
      </w:r>
      <w:r w:rsidRPr="008E6D14">
        <w:rPr>
          <w:rFonts w:ascii="Times New Roman" w:eastAsia="Times New Roman" w:hAnsi="Times New Roman" w:cs="Times New Roman"/>
          <w:kern w:val="0"/>
          <w:lang w:val="da-DK" w:eastAsia="da-DK"/>
          <w14:ligatures w14:val="none"/>
        </w:rPr>
        <w:br/>
        <w:t>Upadhyay, N., Bhargava, A., Singh, U., Alsharif, M., &amp; Cho, H. (2024). Enhancing Breast Cancer Classification: A Few-Shot Meta-Learning Framework with DenseNet-121 for Improved Diagnosis.. https://doi.org/10.1101/2024.10.04.24314684</w:t>
      </w:r>
      <w:r w:rsidRPr="008E6D14">
        <w:rPr>
          <w:rFonts w:ascii="Times New Roman" w:eastAsia="Times New Roman" w:hAnsi="Times New Roman" w:cs="Times New Roman"/>
          <w:kern w:val="0"/>
          <w:lang w:val="da-DK" w:eastAsia="da-DK"/>
          <w14:ligatures w14:val="none"/>
        </w:rPr>
        <w:br/>
        <w:t>Vanschoren, J. (2019). Meta-Learning., 35-61. https://doi.org/10.1007/978-3-030-05318-5_2</w:t>
      </w:r>
      <w:r w:rsidRPr="008E6D14">
        <w:rPr>
          <w:rFonts w:ascii="Times New Roman" w:eastAsia="Times New Roman" w:hAnsi="Times New Roman" w:cs="Times New Roman"/>
          <w:kern w:val="0"/>
          <w:lang w:val="da-DK" w:eastAsia="da-DK"/>
          <w14:ligatures w14:val="none"/>
        </w:rPr>
        <w:br/>
        <w:t>Vu, A. (2025). Contrastive Integrated Gradients: A Feature Attribution-Based Method for Explaining Whole Slide Image Classification.. https://doi.org/10.48550/arxiv.2511.08464</w:t>
      </w:r>
      <w:r w:rsidRPr="008E6D14">
        <w:rPr>
          <w:rFonts w:ascii="Times New Roman" w:eastAsia="Times New Roman" w:hAnsi="Times New Roman" w:cs="Times New Roman"/>
          <w:kern w:val="0"/>
          <w:lang w:val="da-DK" w:eastAsia="da-DK"/>
          <w14:ligatures w14:val="none"/>
        </w:rPr>
        <w:br/>
      </w:r>
      <w:r w:rsidRPr="008E6D14">
        <w:rPr>
          <w:rFonts w:ascii="Times New Roman" w:eastAsia="Times New Roman" w:hAnsi="Times New Roman" w:cs="Times New Roman"/>
          <w:kern w:val="0"/>
          <w:lang w:val="da-DK" w:eastAsia="da-DK"/>
          <w14:ligatures w14:val="none"/>
        </w:rPr>
        <w:lastRenderedPageBreak/>
        <w:t>Wang, H. and Zhao, Y. (2020). ML2E: Meta-Learning Embedding Ensemble for Cold-Start Recommendation. Ieee Access, 8, 165757-165768. https://doi.org/10.1109/access.2020.3022796</w:t>
      </w:r>
      <w:r w:rsidRPr="008E6D14">
        <w:rPr>
          <w:rFonts w:ascii="Times New Roman" w:eastAsia="Times New Roman" w:hAnsi="Times New Roman" w:cs="Times New Roman"/>
          <w:kern w:val="0"/>
          <w:lang w:val="da-DK" w:eastAsia="da-DK"/>
          <w14:ligatures w14:val="none"/>
        </w:rPr>
        <w:br/>
        <w:t>Wang, J., Hou, P., &amp; Chen, Y. (2024). Multicategory Survival Outcomes Classification via Overlapping Group Screening Process Based on Multinomial Logistic Regression Model With Application to TCGA Transcriptomic Data. Cancer Informatics, 23. https://doi.org/10.1177/11769351241286710</w:t>
      </w:r>
      <w:r w:rsidRPr="008E6D14">
        <w:rPr>
          <w:rFonts w:ascii="Times New Roman" w:eastAsia="Times New Roman" w:hAnsi="Times New Roman" w:cs="Times New Roman"/>
          <w:kern w:val="0"/>
          <w:lang w:val="da-DK" w:eastAsia="da-DK"/>
          <w14:ligatures w14:val="none"/>
        </w:rPr>
        <w:br/>
        <w:t>Wang, L., Mao, S., Wilamowski, B., &amp; Nelms, R. (2022). Pre-Trained Models for Non-Intrusive Appliance Load Monitoring. Ieee Transactions on Green Communications and Networking, 6(1), 56-68. https://doi.org/10.1109/tgcn.2021.3087702</w:t>
      </w:r>
      <w:r w:rsidRPr="008E6D14">
        <w:rPr>
          <w:rFonts w:ascii="Times New Roman" w:eastAsia="Times New Roman" w:hAnsi="Times New Roman" w:cs="Times New Roman"/>
          <w:kern w:val="0"/>
          <w:lang w:val="da-DK" w:eastAsia="da-DK"/>
          <w14:ligatures w14:val="none"/>
        </w:rPr>
        <w:br/>
        <w:t>Wang, X., La, Y., Wang, Z., &amp; Tang, Z. (2025). Improving the adaptability of digital instrument data prediction and fault diagnosis using meta-learning., 152. https://doi.org/10.1117/12.3065050</w:t>
      </w:r>
      <w:r w:rsidRPr="008E6D14">
        <w:rPr>
          <w:rFonts w:ascii="Times New Roman" w:eastAsia="Times New Roman" w:hAnsi="Times New Roman" w:cs="Times New Roman"/>
          <w:kern w:val="0"/>
          <w:lang w:val="da-DK" w:eastAsia="da-DK"/>
          <w14:ligatures w14:val="none"/>
        </w:rPr>
        <w:br/>
        <w:t>Wang, Z., Li, M., Ou, H., Pang, S., &amp; Yue, Z. (2023). A Few-Shot Malicious Encrypted Traffic Detection Approach Based on Model-Agnostic Meta-Learning. Security and Communication Networks, 2023, 1-12. https://doi.org/10.1155/2023/3629831</w:t>
      </w:r>
      <w:r w:rsidRPr="008E6D14">
        <w:rPr>
          <w:rFonts w:ascii="Times New Roman" w:eastAsia="Times New Roman" w:hAnsi="Times New Roman" w:cs="Times New Roman"/>
          <w:kern w:val="0"/>
          <w:lang w:val="da-DK" w:eastAsia="da-DK"/>
          <w14:ligatures w14:val="none"/>
        </w:rPr>
        <w:br/>
        <w:t>Weng, R., Wang, Q., Cheng, W., Zhu, C., &amp; Zhang, M. (2023). Towards Reliable Neural Machine Translation with Consistency-Aware Meta-Learning. Proceedings of the Aaai Conference on Artificial Intelligence, 37(11), 13709-13717. https://doi.org/10.1609/aaai.v37i11.26606</w:t>
      </w:r>
      <w:r w:rsidRPr="008E6D14">
        <w:rPr>
          <w:rFonts w:ascii="Times New Roman" w:eastAsia="Times New Roman" w:hAnsi="Times New Roman" w:cs="Times New Roman"/>
          <w:kern w:val="0"/>
          <w:lang w:val="da-DK" w:eastAsia="da-DK"/>
          <w14:ligatures w14:val="none"/>
        </w:rPr>
        <w:br/>
        <w:t>Xiao, Y., Zhao, S., Zhou, Z., Huan, Z., Ju, L., Zhang, X., … &amp; Zhou, J. (2023). G-Meta: Distributed Meta Learning in GPU Clusters for Large-Scale Recommender Systems., 4365-4369. https://doi.org/10.1145/3583780.3615208</w:t>
      </w:r>
      <w:r w:rsidRPr="008E6D14">
        <w:rPr>
          <w:rFonts w:ascii="Times New Roman" w:eastAsia="Times New Roman" w:hAnsi="Times New Roman" w:cs="Times New Roman"/>
          <w:kern w:val="0"/>
          <w:lang w:val="da-DK" w:eastAsia="da-DK"/>
          <w14:ligatures w14:val="none"/>
        </w:rPr>
        <w:br/>
        <w:t>Yang, X., Ma, J., Hu, H., Jin-ying, H., &amp; Jing, L. (2025). Fault Diagnosis Method of Plunger Pump Based on Meta-Learning and Improved Multi-Channel Convolutional Neural Network Under Small Sample Condition. Sensors, 25(15), 4587. https://doi.org/10.3390/s25154587</w:t>
      </w:r>
      <w:r w:rsidRPr="008E6D14">
        <w:rPr>
          <w:rFonts w:ascii="Times New Roman" w:eastAsia="Times New Roman" w:hAnsi="Times New Roman" w:cs="Times New Roman"/>
          <w:kern w:val="0"/>
          <w:lang w:val="da-DK" w:eastAsia="da-DK"/>
          <w14:ligatures w14:val="none"/>
        </w:rPr>
        <w:br/>
        <w:t>Yang, X., Ma, J., Hu, H., Jin-ying, H., &amp; Jing, L. (2025). Fault Diagnosis Method of Plunger Pump Based on Meta-Learning and Improved Multi-Channel Convolutional Neural Network Under Small Sample Condition. Sensors, 25(15), 4587. https://doi.org/10.3390/s25154587</w:t>
      </w:r>
      <w:r w:rsidRPr="008E6D14">
        <w:rPr>
          <w:rFonts w:ascii="Times New Roman" w:eastAsia="Times New Roman" w:hAnsi="Times New Roman" w:cs="Times New Roman"/>
          <w:kern w:val="0"/>
          <w:lang w:val="da-DK" w:eastAsia="da-DK"/>
          <w14:ligatures w14:val="none"/>
        </w:rPr>
        <w:br/>
        <w:t>Yasodha, M. and Ponmuthuramalingam, P. (2015). A microarray gene expressions with classification using extreme learning machine. Genetika, 47(2), 523-534. https://doi.org/10.2298/gensr1502523y</w:t>
      </w:r>
      <w:r w:rsidRPr="008E6D14">
        <w:rPr>
          <w:rFonts w:ascii="Times New Roman" w:eastAsia="Times New Roman" w:hAnsi="Times New Roman" w:cs="Times New Roman"/>
          <w:kern w:val="0"/>
          <w:lang w:val="da-DK" w:eastAsia="da-DK"/>
          <w14:ligatures w14:val="none"/>
        </w:rPr>
        <w:br/>
        <w:t>Zhang, R., Yang, Y., Li, Y., Wang, J., Li, H., &amp; Miao, Z. (2022). Multi‐task few‐shot learning with composed data augmentation for image classification. Iet Computer Vision, 17(2), 211-221. https://doi.org/10.1049/cvi2.12150</w:t>
      </w:r>
      <w:r w:rsidRPr="008E6D14">
        <w:rPr>
          <w:rFonts w:ascii="Times New Roman" w:eastAsia="Times New Roman" w:hAnsi="Times New Roman" w:cs="Times New Roman"/>
          <w:kern w:val="0"/>
          <w:lang w:val="da-DK" w:eastAsia="da-DK"/>
          <w14:ligatures w14:val="none"/>
        </w:rPr>
        <w:br/>
        <w:t>Zhang, S., Zhang, Z., Hong, S., Liu, H., &amp; Zhou, Y. (2025). Comparison of Imputation Strategies for Incomplete Electronic Health Data.. https://doi.org/10.1101/2025.08.01.25332573</w:t>
      </w:r>
      <w:r w:rsidRPr="008E6D14">
        <w:rPr>
          <w:rFonts w:ascii="Times New Roman" w:eastAsia="Times New Roman" w:hAnsi="Times New Roman" w:cs="Times New Roman"/>
          <w:kern w:val="0"/>
          <w:lang w:val="da-DK" w:eastAsia="da-DK"/>
          <w14:ligatures w14:val="none"/>
        </w:rPr>
        <w:br/>
        <w:t>Zou, F., Sang, S., Jiang, M., Li, X., &amp; Zhang, H. (2022). Few-shot pump anomaly detection via Diff-WRN-based model-agnostic meta-learning strategy. Structural Health Monitoring, 22(4), 2674-2687. https://doi.org/10.1177/14759217221132114</w:t>
      </w:r>
    </w:p>
    <w:p w14:paraId="107EDD52" w14:textId="77777777" w:rsidR="008E6D14" w:rsidRDefault="008E6D14"/>
    <w:sectPr w:rsidR="008E6D14" w:rsidSect="00BD18C5">
      <w:pgSz w:w="11900" w:h="16840"/>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70A4"/>
    <w:multiLevelType w:val="multilevel"/>
    <w:tmpl w:val="25B263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979A5"/>
    <w:multiLevelType w:val="multilevel"/>
    <w:tmpl w:val="FC86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A6F7B"/>
    <w:multiLevelType w:val="multilevel"/>
    <w:tmpl w:val="0DC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34782"/>
    <w:multiLevelType w:val="multilevel"/>
    <w:tmpl w:val="FDD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4142B"/>
    <w:multiLevelType w:val="multilevel"/>
    <w:tmpl w:val="C714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14F22"/>
    <w:multiLevelType w:val="multilevel"/>
    <w:tmpl w:val="2420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5A2"/>
    <w:multiLevelType w:val="multilevel"/>
    <w:tmpl w:val="F4E2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C14EE"/>
    <w:multiLevelType w:val="multilevel"/>
    <w:tmpl w:val="57DA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973660"/>
    <w:multiLevelType w:val="multilevel"/>
    <w:tmpl w:val="867E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179C3"/>
    <w:multiLevelType w:val="multilevel"/>
    <w:tmpl w:val="198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B42E1"/>
    <w:multiLevelType w:val="multilevel"/>
    <w:tmpl w:val="D82E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D52EB"/>
    <w:multiLevelType w:val="multilevel"/>
    <w:tmpl w:val="9B7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A0294"/>
    <w:multiLevelType w:val="multilevel"/>
    <w:tmpl w:val="12B0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1074D0"/>
    <w:multiLevelType w:val="multilevel"/>
    <w:tmpl w:val="27A8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E4DC4"/>
    <w:multiLevelType w:val="multilevel"/>
    <w:tmpl w:val="5230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E6EFD"/>
    <w:multiLevelType w:val="multilevel"/>
    <w:tmpl w:val="5B28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471901"/>
    <w:multiLevelType w:val="multilevel"/>
    <w:tmpl w:val="FC2E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E63C9B"/>
    <w:multiLevelType w:val="multilevel"/>
    <w:tmpl w:val="927C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F95D3E"/>
    <w:multiLevelType w:val="multilevel"/>
    <w:tmpl w:val="A3B0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C57B3E"/>
    <w:multiLevelType w:val="multilevel"/>
    <w:tmpl w:val="B75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A72A1A"/>
    <w:multiLevelType w:val="multilevel"/>
    <w:tmpl w:val="D3F2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483131">
    <w:abstractNumId w:val="17"/>
  </w:num>
  <w:num w:numId="2" w16cid:durableId="1683244765">
    <w:abstractNumId w:val="5"/>
  </w:num>
  <w:num w:numId="3" w16cid:durableId="437063170">
    <w:abstractNumId w:val="7"/>
  </w:num>
  <w:num w:numId="4" w16cid:durableId="1601135465">
    <w:abstractNumId w:val="0"/>
  </w:num>
  <w:num w:numId="5" w16cid:durableId="1716198892">
    <w:abstractNumId w:val="20"/>
  </w:num>
  <w:num w:numId="6" w16cid:durableId="2014647484">
    <w:abstractNumId w:val="2"/>
  </w:num>
  <w:num w:numId="7" w16cid:durableId="2084570225">
    <w:abstractNumId w:val="4"/>
  </w:num>
  <w:num w:numId="8" w16cid:durableId="2101441522">
    <w:abstractNumId w:val="10"/>
  </w:num>
  <w:num w:numId="9" w16cid:durableId="1476028940">
    <w:abstractNumId w:val="11"/>
  </w:num>
  <w:num w:numId="10" w16cid:durableId="223612557">
    <w:abstractNumId w:val="3"/>
  </w:num>
  <w:num w:numId="11" w16cid:durableId="1356276056">
    <w:abstractNumId w:val="13"/>
  </w:num>
  <w:num w:numId="12" w16cid:durableId="768238030">
    <w:abstractNumId w:val="8"/>
  </w:num>
  <w:num w:numId="13" w16cid:durableId="2011833305">
    <w:abstractNumId w:val="19"/>
  </w:num>
  <w:num w:numId="14" w16cid:durableId="419647092">
    <w:abstractNumId w:val="15"/>
  </w:num>
  <w:num w:numId="15" w16cid:durableId="1210923691">
    <w:abstractNumId w:val="14"/>
  </w:num>
  <w:num w:numId="16" w16cid:durableId="1265847400">
    <w:abstractNumId w:val="12"/>
  </w:num>
  <w:num w:numId="17" w16cid:durableId="131531559">
    <w:abstractNumId w:val="16"/>
  </w:num>
  <w:num w:numId="18" w16cid:durableId="908076137">
    <w:abstractNumId w:val="1"/>
  </w:num>
  <w:num w:numId="19" w16cid:durableId="1117456299">
    <w:abstractNumId w:val="18"/>
  </w:num>
  <w:num w:numId="20" w16cid:durableId="1567379385">
    <w:abstractNumId w:val="9"/>
  </w:num>
  <w:num w:numId="21" w16cid:durableId="14769208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D14"/>
    <w:rsid w:val="00051375"/>
    <w:rsid w:val="000F76F3"/>
    <w:rsid w:val="00126EDC"/>
    <w:rsid w:val="00136465"/>
    <w:rsid w:val="001726F3"/>
    <w:rsid w:val="001F6554"/>
    <w:rsid w:val="002729D4"/>
    <w:rsid w:val="002B0602"/>
    <w:rsid w:val="002D578A"/>
    <w:rsid w:val="002D5D4D"/>
    <w:rsid w:val="00333736"/>
    <w:rsid w:val="00360491"/>
    <w:rsid w:val="00382D7C"/>
    <w:rsid w:val="00384396"/>
    <w:rsid w:val="00422453"/>
    <w:rsid w:val="00476528"/>
    <w:rsid w:val="004B1E12"/>
    <w:rsid w:val="004B71DC"/>
    <w:rsid w:val="005253D3"/>
    <w:rsid w:val="00526AA9"/>
    <w:rsid w:val="005B7413"/>
    <w:rsid w:val="00632432"/>
    <w:rsid w:val="006B1127"/>
    <w:rsid w:val="006F2570"/>
    <w:rsid w:val="0078778C"/>
    <w:rsid w:val="0079706E"/>
    <w:rsid w:val="00797FCC"/>
    <w:rsid w:val="007A4CBB"/>
    <w:rsid w:val="007A4E48"/>
    <w:rsid w:val="007B6902"/>
    <w:rsid w:val="007D1C0E"/>
    <w:rsid w:val="008805C6"/>
    <w:rsid w:val="008C13DF"/>
    <w:rsid w:val="008D0F17"/>
    <w:rsid w:val="008E6D14"/>
    <w:rsid w:val="00974441"/>
    <w:rsid w:val="00984527"/>
    <w:rsid w:val="009A2A82"/>
    <w:rsid w:val="009D1746"/>
    <w:rsid w:val="009D6A1D"/>
    <w:rsid w:val="00A05C2A"/>
    <w:rsid w:val="00A3011C"/>
    <w:rsid w:val="00A63430"/>
    <w:rsid w:val="00AB6201"/>
    <w:rsid w:val="00AC05B7"/>
    <w:rsid w:val="00B06AAC"/>
    <w:rsid w:val="00B603B2"/>
    <w:rsid w:val="00B862E4"/>
    <w:rsid w:val="00B878A4"/>
    <w:rsid w:val="00BD18C5"/>
    <w:rsid w:val="00BE201D"/>
    <w:rsid w:val="00BF12B6"/>
    <w:rsid w:val="00C56EF9"/>
    <w:rsid w:val="00C9368C"/>
    <w:rsid w:val="00CC3413"/>
    <w:rsid w:val="00CD29AC"/>
    <w:rsid w:val="00D01732"/>
    <w:rsid w:val="00D52D06"/>
    <w:rsid w:val="00D56DAA"/>
    <w:rsid w:val="00D70B13"/>
    <w:rsid w:val="00DB0F4C"/>
    <w:rsid w:val="00DD6EDB"/>
    <w:rsid w:val="00E878F7"/>
    <w:rsid w:val="00EA2B25"/>
    <w:rsid w:val="00EB262A"/>
    <w:rsid w:val="00EC0A14"/>
    <w:rsid w:val="00ED70AF"/>
    <w:rsid w:val="00F067E8"/>
    <w:rsid w:val="00F202A4"/>
    <w:rsid w:val="00F66049"/>
    <w:rsid w:val="00F67666"/>
    <w:rsid w:val="00F71EF4"/>
    <w:rsid w:val="00FB2DF7"/>
    <w:rsid w:val="00FC492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017AA"/>
  <w15:chartTrackingRefBased/>
  <w15:docId w15:val="{A0D8A6ED-23F3-2747-BE08-96955F41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Overskrift1">
    <w:name w:val="heading 1"/>
    <w:basedOn w:val="Normal"/>
    <w:next w:val="Normal"/>
    <w:link w:val="Overskrift1Tegn"/>
    <w:uiPriority w:val="9"/>
    <w:qFormat/>
    <w:rsid w:val="008E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8E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8E6D1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E6D1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E6D1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E6D14"/>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E6D14"/>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E6D14"/>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E6D14"/>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E6D14"/>
    <w:rPr>
      <w:rFonts w:asciiTheme="majorHAnsi" w:eastAsiaTheme="majorEastAsia" w:hAnsiTheme="majorHAnsi" w:cstheme="majorBidi"/>
      <w:color w:val="0F4761" w:themeColor="accent1" w:themeShade="BF"/>
      <w:sz w:val="40"/>
      <w:szCs w:val="40"/>
      <w:lang w:val="en-US"/>
    </w:rPr>
  </w:style>
  <w:style w:type="character" w:customStyle="1" w:styleId="Overskrift2Tegn">
    <w:name w:val="Overskrift 2 Tegn"/>
    <w:basedOn w:val="Standardskrifttypeiafsnit"/>
    <w:link w:val="Overskrift2"/>
    <w:uiPriority w:val="9"/>
    <w:rsid w:val="008E6D14"/>
    <w:rPr>
      <w:rFonts w:asciiTheme="majorHAnsi" w:eastAsiaTheme="majorEastAsia" w:hAnsiTheme="majorHAnsi" w:cstheme="majorBidi"/>
      <w:color w:val="0F4761" w:themeColor="accent1" w:themeShade="BF"/>
      <w:sz w:val="32"/>
      <w:szCs w:val="32"/>
      <w:lang w:val="en-US"/>
    </w:rPr>
  </w:style>
  <w:style w:type="character" w:customStyle="1" w:styleId="Overskrift3Tegn">
    <w:name w:val="Overskrift 3 Tegn"/>
    <w:basedOn w:val="Standardskrifttypeiafsnit"/>
    <w:link w:val="Overskrift3"/>
    <w:uiPriority w:val="9"/>
    <w:rsid w:val="008E6D14"/>
    <w:rPr>
      <w:rFonts w:eastAsiaTheme="majorEastAsia" w:cstheme="majorBidi"/>
      <w:color w:val="0F4761" w:themeColor="accent1" w:themeShade="BF"/>
      <w:sz w:val="28"/>
      <w:szCs w:val="28"/>
      <w:lang w:val="en-US"/>
    </w:rPr>
  </w:style>
  <w:style w:type="character" w:customStyle="1" w:styleId="Overskrift4Tegn">
    <w:name w:val="Overskrift 4 Tegn"/>
    <w:basedOn w:val="Standardskrifttypeiafsnit"/>
    <w:link w:val="Overskrift4"/>
    <w:uiPriority w:val="9"/>
    <w:semiHidden/>
    <w:rsid w:val="008E6D14"/>
    <w:rPr>
      <w:rFonts w:eastAsiaTheme="majorEastAsia" w:cstheme="majorBidi"/>
      <w:i/>
      <w:iCs/>
      <w:color w:val="0F4761" w:themeColor="accent1" w:themeShade="BF"/>
      <w:lang w:val="en-US"/>
    </w:rPr>
  </w:style>
  <w:style w:type="character" w:customStyle="1" w:styleId="Overskrift5Tegn">
    <w:name w:val="Overskrift 5 Tegn"/>
    <w:basedOn w:val="Standardskrifttypeiafsnit"/>
    <w:link w:val="Overskrift5"/>
    <w:uiPriority w:val="9"/>
    <w:semiHidden/>
    <w:rsid w:val="008E6D14"/>
    <w:rPr>
      <w:rFonts w:eastAsiaTheme="majorEastAsia" w:cstheme="majorBidi"/>
      <w:color w:val="0F4761" w:themeColor="accent1" w:themeShade="BF"/>
      <w:lang w:val="en-US"/>
    </w:rPr>
  </w:style>
  <w:style w:type="character" w:customStyle="1" w:styleId="Overskrift6Tegn">
    <w:name w:val="Overskrift 6 Tegn"/>
    <w:basedOn w:val="Standardskrifttypeiafsnit"/>
    <w:link w:val="Overskrift6"/>
    <w:uiPriority w:val="9"/>
    <w:semiHidden/>
    <w:rsid w:val="008E6D14"/>
    <w:rPr>
      <w:rFonts w:eastAsiaTheme="majorEastAsia" w:cstheme="majorBidi"/>
      <w:i/>
      <w:iCs/>
      <w:color w:val="595959" w:themeColor="text1" w:themeTint="A6"/>
      <w:lang w:val="en-US"/>
    </w:rPr>
  </w:style>
  <w:style w:type="character" w:customStyle="1" w:styleId="Overskrift7Tegn">
    <w:name w:val="Overskrift 7 Tegn"/>
    <w:basedOn w:val="Standardskrifttypeiafsnit"/>
    <w:link w:val="Overskrift7"/>
    <w:uiPriority w:val="9"/>
    <w:semiHidden/>
    <w:rsid w:val="008E6D14"/>
    <w:rPr>
      <w:rFonts w:eastAsiaTheme="majorEastAsia" w:cstheme="majorBidi"/>
      <w:color w:val="595959" w:themeColor="text1" w:themeTint="A6"/>
      <w:lang w:val="en-US"/>
    </w:rPr>
  </w:style>
  <w:style w:type="character" w:customStyle="1" w:styleId="Overskrift8Tegn">
    <w:name w:val="Overskrift 8 Tegn"/>
    <w:basedOn w:val="Standardskrifttypeiafsnit"/>
    <w:link w:val="Overskrift8"/>
    <w:uiPriority w:val="9"/>
    <w:semiHidden/>
    <w:rsid w:val="008E6D14"/>
    <w:rPr>
      <w:rFonts w:eastAsiaTheme="majorEastAsia" w:cstheme="majorBidi"/>
      <w:i/>
      <w:iCs/>
      <w:color w:val="272727" w:themeColor="text1" w:themeTint="D8"/>
      <w:lang w:val="en-US"/>
    </w:rPr>
  </w:style>
  <w:style w:type="character" w:customStyle="1" w:styleId="Overskrift9Tegn">
    <w:name w:val="Overskrift 9 Tegn"/>
    <w:basedOn w:val="Standardskrifttypeiafsnit"/>
    <w:link w:val="Overskrift9"/>
    <w:uiPriority w:val="9"/>
    <w:semiHidden/>
    <w:rsid w:val="008E6D14"/>
    <w:rPr>
      <w:rFonts w:eastAsiaTheme="majorEastAsia" w:cstheme="majorBidi"/>
      <w:color w:val="272727" w:themeColor="text1" w:themeTint="D8"/>
      <w:lang w:val="en-US"/>
    </w:rPr>
  </w:style>
  <w:style w:type="paragraph" w:styleId="Titel">
    <w:name w:val="Title"/>
    <w:basedOn w:val="Normal"/>
    <w:next w:val="Normal"/>
    <w:link w:val="TitelTegn"/>
    <w:uiPriority w:val="10"/>
    <w:qFormat/>
    <w:rsid w:val="008E6D14"/>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8E6D14"/>
    <w:rPr>
      <w:rFonts w:asciiTheme="majorHAnsi" w:eastAsiaTheme="majorEastAsia" w:hAnsiTheme="majorHAnsi" w:cstheme="majorBidi"/>
      <w:spacing w:val="-10"/>
      <w:kern w:val="28"/>
      <w:sz w:val="56"/>
      <w:szCs w:val="56"/>
      <w:lang w:val="en-US"/>
    </w:rPr>
  </w:style>
  <w:style w:type="paragraph" w:styleId="Undertitel">
    <w:name w:val="Subtitle"/>
    <w:basedOn w:val="Normal"/>
    <w:next w:val="Normal"/>
    <w:link w:val="UndertitelTegn"/>
    <w:uiPriority w:val="11"/>
    <w:qFormat/>
    <w:rsid w:val="008E6D14"/>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8E6D14"/>
    <w:rPr>
      <w:rFonts w:eastAsiaTheme="majorEastAsia" w:cstheme="majorBidi"/>
      <w:color w:val="595959" w:themeColor="text1" w:themeTint="A6"/>
      <w:spacing w:val="15"/>
      <w:sz w:val="28"/>
      <w:szCs w:val="28"/>
      <w:lang w:val="en-US"/>
    </w:rPr>
  </w:style>
  <w:style w:type="paragraph" w:styleId="Citat">
    <w:name w:val="Quote"/>
    <w:basedOn w:val="Normal"/>
    <w:next w:val="Normal"/>
    <w:link w:val="CitatTegn"/>
    <w:uiPriority w:val="29"/>
    <w:qFormat/>
    <w:rsid w:val="008E6D14"/>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8E6D14"/>
    <w:rPr>
      <w:i/>
      <w:iCs/>
      <w:color w:val="404040" w:themeColor="text1" w:themeTint="BF"/>
      <w:lang w:val="en-US"/>
    </w:rPr>
  </w:style>
  <w:style w:type="paragraph" w:styleId="Listeafsnit">
    <w:name w:val="List Paragraph"/>
    <w:basedOn w:val="Normal"/>
    <w:uiPriority w:val="34"/>
    <w:qFormat/>
    <w:rsid w:val="008E6D14"/>
    <w:pPr>
      <w:ind w:left="720"/>
      <w:contextualSpacing/>
    </w:pPr>
  </w:style>
  <w:style w:type="character" w:styleId="Kraftigfremhvning">
    <w:name w:val="Intense Emphasis"/>
    <w:basedOn w:val="Standardskrifttypeiafsnit"/>
    <w:uiPriority w:val="21"/>
    <w:qFormat/>
    <w:rsid w:val="008E6D14"/>
    <w:rPr>
      <w:i/>
      <w:iCs/>
      <w:color w:val="0F4761" w:themeColor="accent1" w:themeShade="BF"/>
    </w:rPr>
  </w:style>
  <w:style w:type="paragraph" w:styleId="Strktcitat">
    <w:name w:val="Intense Quote"/>
    <w:basedOn w:val="Normal"/>
    <w:next w:val="Normal"/>
    <w:link w:val="StrktcitatTegn"/>
    <w:uiPriority w:val="30"/>
    <w:qFormat/>
    <w:rsid w:val="008E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8E6D14"/>
    <w:rPr>
      <w:i/>
      <w:iCs/>
      <w:color w:val="0F4761" w:themeColor="accent1" w:themeShade="BF"/>
      <w:lang w:val="en-US"/>
    </w:rPr>
  </w:style>
  <w:style w:type="character" w:styleId="Kraftighenvisning">
    <w:name w:val="Intense Reference"/>
    <w:basedOn w:val="Standardskrifttypeiafsnit"/>
    <w:uiPriority w:val="32"/>
    <w:qFormat/>
    <w:rsid w:val="008E6D14"/>
    <w:rPr>
      <w:b/>
      <w:bCs/>
      <w:smallCaps/>
      <w:color w:val="0F4761" w:themeColor="accent1" w:themeShade="BF"/>
      <w:spacing w:val="5"/>
    </w:rPr>
  </w:style>
  <w:style w:type="paragraph" w:styleId="NormalWeb">
    <w:name w:val="Normal (Web)"/>
    <w:basedOn w:val="Normal"/>
    <w:uiPriority w:val="99"/>
    <w:semiHidden/>
    <w:unhideWhenUsed/>
    <w:rsid w:val="008E6D14"/>
    <w:pPr>
      <w:spacing w:before="100" w:beforeAutospacing="1" w:after="100" w:afterAutospacing="1"/>
    </w:pPr>
    <w:rPr>
      <w:rFonts w:ascii="Times New Roman" w:eastAsia="Times New Roman" w:hAnsi="Times New Roman" w:cs="Times New Roman"/>
      <w:kern w:val="0"/>
      <w:lang w:val="da-DK" w:eastAsia="da-DK"/>
      <w14:ligatures w14:val="none"/>
    </w:rPr>
  </w:style>
  <w:style w:type="character" w:styleId="Strk">
    <w:name w:val="Strong"/>
    <w:basedOn w:val="Standardskrifttypeiafsnit"/>
    <w:uiPriority w:val="22"/>
    <w:qFormat/>
    <w:rsid w:val="008E6D14"/>
    <w:rPr>
      <w:b/>
      <w:bCs/>
    </w:rPr>
  </w:style>
  <w:style w:type="paragraph" w:styleId="FormateretHTML">
    <w:name w:val="HTML Preformatted"/>
    <w:basedOn w:val="Normal"/>
    <w:link w:val="FormateretHTMLTegn"/>
    <w:uiPriority w:val="99"/>
    <w:semiHidden/>
    <w:unhideWhenUsed/>
    <w:rsid w:val="008E6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da-DK" w:eastAsia="da-DK"/>
      <w14:ligatures w14:val="none"/>
    </w:rPr>
  </w:style>
  <w:style w:type="character" w:customStyle="1" w:styleId="FormateretHTMLTegn">
    <w:name w:val="Formateret HTML Tegn"/>
    <w:basedOn w:val="Standardskrifttypeiafsnit"/>
    <w:link w:val="FormateretHTML"/>
    <w:uiPriority w:val="99"/>
    <w:semiHidden/>
    <w:rsid w:val="008E6D14"/>
    <w:rPr>
      <w:rFonts w:ascii="Courier New" w:eastAsia="Times New Roman" w:hAnsi="Courier New" w:cs="Courier New"/>
      <w:kern w:val="0"/>
      <w:sz w:val="20"/>
      <w:szCs w:val="20"/>
      <w:lang w:eastAsia="da-DK"/>
      <w14:ligatures w14:val="none"/>
    </w:rPr>
  </w:style>
  <w:style w:type="character" w:styleId="HTML-kode">
    <w:name w:val="HTML Code"/>
    <w:basedOn w:val="Standardskrifttypeiafsnit"/>
    <w:uiPriority w:val="99"/>
    <w:semiHidden/>
    <w:unhideWhenUsed/>
    <w:rsid w:val="008E6D14"/>
    <w:rPr>
      <w:rFonts w:ascii="Courier New" w:eastAsia="Times New Roman" w:hAnsi="Courier New" w:cs="Courier New"/>
      <w:sz w:val="20"/>
      <w:szCs w:val="20"/>
    </w:rPr>
  </w:style>
  <w:style w:type="character" w:styleId="Fremhv">
    <w:name w:val="Emphasis"/>
    <w:basedOn w:val="Standardskrifttypeiafsnit"/>
    <w:uiPriority w:val="20"/>
    <w:qFormat/>
    <w:rsid w:val="008E6D1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7480</Words>
  <Characters>45631</Characters>
  <Application>Microsoft Office Word</Application>
  <DocSecurity>0</DocSecurity>
  <Lines>380</Lines>
  <Paragraphs>106</Paragraphs>
  <ScaleCrop>false</ScaleCrop>
  <Company/>
  <LinksUpToDate>false</LinksUpToDate>
  <CharactersWithSpaces>53005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Rønnebek Hansen</dc:creator>
  <cp:keywords/>
  <dc:description/>
  <cp:lastModifiedBy>Thomas Rønnebek Hansen</cp:lastModifiedBy>
  <cp:revision>1</cp:revision>
  <dcterms:created xsi:type="dcterms:W3CDTF">2026-04-13T13:22:00Z</dcterms:created>
  <dcterms:modified xsi:type="dcterms:W3CDTF">2026-04-13T13:28:00Z</dcterms:modified>
</cp:coreProperties>
</file>