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990000"/>
          <w:sz w:val="36"/>
        </w:rPr>
        <w:t>Stage 2 — Optimization Cycle 1 Report</w:t>
      </w:r>
    </w:p>
    <w:p>
      <w:pPr>
        <w:jc w:val="center"/>
      </w:pPr>
      <w:r>
        <w:rPr>
          <w:rFonts w:ascii="Arial" w:hAnsi="Arial"/>
          <w:color w:val="030F4F"/>
          <w:sz w:val="26"/>
        </w:rPr>
        <w:t>FOMAML / MAML Lower-LR Sweep</w:t>
      </w:r>
    </w:p>
    <w:p>
      <w:pPr>
        <w:jc w:val="center"/>
      </w:pPr>
      <w:r>
        <w:rPr>
          <w:rFonts w:ascii="Arial" w:hAnsi="Arial"/>
          <w:color w:val="606060"/>
          <w:sz w:val="20"/>
        </w:rPr>
        <w:t>Signal Fusion with Meta-Learners — Master's Thesis</w:t>
        <w:br/>
        <w:t>Generated: April 18, 2026</w:t>
      </w:r>
    </w:p>
    <w:p/>
    <w:p>
      <w:pPr>
        <w:pStyle w:val="Heading1"/>
      </w:pPr>
      <w:r>
        <w:rPr>
          <w:rFonts w:ascii="Arial" w:hAnsi="Arial"/>
          <w:color w:val="990000"/>
        </w:rP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This report documents Optimization Cycle 1 for the Stage 2 department-adaptation experiments of the thesis on signal fusion with meta-learners. The cycle targets the key unresolved question from the initial benchmark: whether reducing the inner learning rate for FOMAML and MAML below lr=0.01 resolves the prediction collapse observed in the k=2/2 Logistics setting. The zero-shot (Stage 1 MLP without adaptation) baseline remains the strongest discriminator at AUROC=0.634, establishing the target that adaptive methods must exceed.</w:t>
      </w:r>
    </w:p>
    <w:p>
      <w:pPr>
        <w:spacing w:after="80"/>
      </w:pPr>
      <w:r>
        <w:rPr>
          <w:rFonts w:ascii="Arial" w:hAnsi="Arial"/>
          <w:i/>
          <w:color w:val="606060"/>
          <w:sz w:val="18"/>
        </w:rPr>
        <w:t>Data status: LR-sweep experiments have not yet been run. This report shows legacy lr=0.01 data. Run: bash experiments/run_optimization_cycle.sh to generate the full optimization cycle.</w:t>
      </w:r>
    </w:p>
    <w:p>
      <w:pPr>
        <w:pStyle w:val="Heading1"/>
      </w:pPr>
      <w:r>
        <w:rPr>
          <w:rFonts w:ascii="Arial" w:hAnsi="Arial"/>
          <w:color w:val="990000"/>
        </w:rPr>
        <w:t>2. Benchmark Setup</w:t>
      </w:r>
    </w:p>
    <w:p>
      <w:pPr>
        <w:pStyle w:val="Heading2"/>
      </w:pPr>
      <w:r>
        <w:rPr>
          <w:rFonts w:ascii="Arial" w:hAnsi="Arial"/>
          <w:color w:val="030F4F"/>
        </w:rPr>
        <w:t>2.1 Experimental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648" w:type="dxa"/>
      </w:tblPr>
      <w:tblGrid>
        <w:gridCol w:w="4561"/>
        <w:gridCol w:w="4561"/>
      </w:tblGrid>
      <w:tr>
        <w:tc>
          <w:tcPr>
            <w:tcW w:type="dxa" w:w="3168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64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Target department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Logistics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Stage 1 init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A_weak_only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Support set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k=2 positive + k=2 negative (max for Logistics)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Methods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zero_shot, finetune, anil, fomaml, maml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Inner steps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1, 3, 5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LR — reference methods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Not applicable (zero_shot, finetune are lr-agnostic)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LR — adaptive methods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0.001, 0.005, 0.01 (sweep across all three values)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meta_batch_size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4 (stabilises outer gradient estimates)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n_repeats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20 evaluation episodes per experiment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meta_iterations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200 outer-loop meta-training iterations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force_rerun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True (clean, fully comparable artifacts)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Total experiments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6 reference + 27 adaptive = 33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Run script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bash experiments/run_optimization_cycle.sh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Config presets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optimization_cycle_ref + optimization_cycle_adaptive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Artifact directory</w:t>
            </w:r>
          </w:p>
        </w:tc>
        <w:tc>
          <w:tcPr>
            <w:tcW w:type="dxa" w:w="64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models/stage_2/experiments/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Registry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models/stage_2/experiments/experiment_summary.csv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30F4F"/>
        </w:rPr>
        <w:t>2.2 Experiment Identifiers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Reference methods (zero_shot, finetune) use standard experiment IDs without an LR suffix, e.g. stage2__init-A_weak_only__method-zero_shot__kpos-2__kneg-2__steps-1__target-Logistics. Adaptive methods in the LR sweep receive a unique __lr-{lr} suffix (e.g. __lr-0.001) appended to the standard ID. This ensures each (method, steps, lr) combination writes to a distinct directory and is independently tracked in the registry.</w:t>
      </w:r>
    </w:p>
    <w:p>
      <w:pPr>
        <w:pStyle w:val="Heading2"/>
      </w:pPr>
      <w:r>
        <w:rPr>
          <w:rFonts w:ascii="Arial" w:hAnsi="Arial"/>
          <w:color w:val="030F4F"/>
        </w:rPr>
        <w:t>2.3 Why This Cycle Is Needed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initial benchmark (15 experiments, all at lr=0.01) revealed that FOMAML collapses completely (collapse_rate=1.0 at all step counts) and MAML is erratic (collapse_rate between 0.35 and 0.95 depending on step count). Both behaviours are consistent with an inner learning rate that is too large for full-backbone adaptation given only 4 support samples. The LR sweep at lr=0.001 and lr=0.005 is the primary intervention to resolve this.</w:t>
      </w:r>
    </w:p>
    <w:p>
      <w:pPr>
        <w:pStyle w:val="Heading1"/>
      </w:pPr>
      <w:r>
        <w:rPr>
          <w:rFonts w:ascii="Arial" w:hAnsi="Arial"/>
          <w:color w:val="990000"/>
        </w:rPr>
        <w:t>3. Current Evidence — Legacy lr=0.01 Results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following tables and analysis are based on the 15 initial experiments (all at inner_lr=0.01, meta_batch_size=4). These serve as the pre-optimization baseline against which the LR-sweep results will be compared.</w:t>
      </w:r>
    </w:p>
    <w:p>
      <w:pPr>
        <w:pStyle w:val="Heading2"/>
      </w:pPr>
      <w:r>
        <w:rPr>
          <w:rFonts w:ascii="Arial" w:hAnsi="Arial"/>
          <w:color w:val="030F4F"/>
        </w:rPr>
        <w:t>3.1 Best Configuration per Method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Table 1 shows the best result for each method (highest AUROC). All results are means over 20 evaluation episodes.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16" w:type="dxa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58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792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Steps</w:t>
            </w:r>
          </w:p>
        </w:tc>
        <w:tc>
          <w:tcPr>
            <w:tcW w:type="dxa" w:w="86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LR</w:t>
            </w:r>
          </w:p>
        </w:tc>
        <w:tc>
          <w:tcPr>
            <w:tcW w:type="dxa" w:w="936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AUROC</w:t>
            </w:r>
          </w:p>
        </w:tc>
        <w:tc>
          <w:tcPr>
            <w:tcW w:type="dxa" w:w="1008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AUROC SD</w:t>
            </w:r>
          </w:p>
        </w:tc>
        <w:tc>
          <w:tcPr>
            <w:tcW w:type="dxa" w:w="10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NDCG@10</w:t>
            </w:r>
          </w:p>
        </w:tc>
        <w:tc>
          <w:tcPr>
            <w:tcW w:type="dxa" w:w="10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Log-Loss</w:t>
            </w:r>
          </w:p>
        </w:tc>
        <w:tc>
          <w:tcPr>
            <w:tcW w:type="dxa" w:w="936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ECE</w:t>
            </w:r>
          </w:p>
        </w:tc>
        <w:tc>
          <w:tcPr>
            <w:tcW w:type="dxa" w:w="1037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Collapse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0.010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0.634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0.199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0.789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2.060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0.585</w:t>
            </w:r>
          </w:p>
        </w:tc>
        <w:tc>
          <w:tcPr>
            <w:tcW w:type="dxa" w:w="1037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86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0.010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0.503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0.033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0.699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8.111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0.467</w:t>
            </w:r>
          </w:p>
        </w:tc>
        <w:tc>
          <w:tcPr>
            <w:tcW w:type="dxa" w:w="1037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Anil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0.010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0.542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0.201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0.647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0.855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0.334</w:t>
            </w:r>
          </w:p>
        </w:tc>
        <w:tc>
          <w:tcPr>
            <w:tcW w:type="dxa" w:w="1037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Fomaml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0.010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0.503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0.032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0.719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0.639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0.115</w:t>
            </w:r>
          </w:p>
        </w:tc>
        <w:tc>
          <w:tcPr>
            <w:tcW w:type="dxa" w:w="1037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Maml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0.010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0.544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0.148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0.678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1.368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0.312</w:t>
            </w:r>
          </w:p>
        </w:tc>
        <w:tc>
          <w:tcPr>
            <w:tcW w:type="dxa" w:w="1037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0.95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30F4F"/>
        </w:rPr>
        <w:t>3.2 Inner-Step Sensitivity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Table 2 shows all method x inner_steps combinations at lr=0.01. For zero_shot and finetune, inner_steps does not affect the model; results are identical across step counts.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8064" w:type="dxa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58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792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Steps</w:t>
            </w:r>
          </w:p>
        </w:tc>
        <w:tc>
          <w:tcPr>
            <w:tcW w:type="dxa" w:w="10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AUROC</w:t>
            </w:r>
          </w:p>
        </w:tc>
        <w:tc>
          <w:tcPr>
            <w:tcW w:type="dxa" w:w="122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NDCG@10</w:t>
            </w:r>
          </w:p>
        </w:tc>
        <w:tc>
          <w:tcPr>
            <w:tcW w:type="dxa" w:w="122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Log-Loss</w:t>
            </w:r>
          </w:p>
        </w:tc>
        <w:tc>
          <w:tcPr>
            <w:tcW w:type="dxa" w:w="10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ECE</w:t>
            </w:r>
          </w:p>
        </w:tc>
        <w:tc>
          <w:tcPr>
            <w:tcW w:type="dxa" w:w="10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Collapse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Anil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0.414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0.575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0.881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0.347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Anil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0.521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0.643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0.857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0.337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Anil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0.542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0.647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0.855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0.334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0.503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0.699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8.111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0.467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0.503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0.699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8.111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0.467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Finetune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0.503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0.699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8.111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0.467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0.90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Fomaml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0.478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0.672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1.169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0.219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Fomaml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0.490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0.692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0.644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0.123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Fomaml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0.503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0.719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0.639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0.115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Maml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0.468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0.712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2.412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0.350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0.80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Maml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0.411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0.686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1.405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0.320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0.35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Maml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0.544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0.678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1.368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0.312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0.95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0.634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0.789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2.060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0.585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0.634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0.789</w:t>
            </w:r>
          </w:p>
        </w:tc>
        <w:tc>
          <w:tcPr>
            <w:tcW w:type="dxa" w:w="122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2.060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0.585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Zero Shot</w:t>
            </w:r>
          </w:p>
        </w:tc>
        <w:tc>
          <w:tcPr>
            <w:tcW w:type="dxa" w:w="79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0.634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0.789</w:t>
            </w:r>
          </w:p>
        </w:tc>
        <w:tc>
          <w:tcPr>
            <w:tcW w:type="dxa" w:w="122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2.060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0.585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990000"/>
        </w:rPr>
        <w:t>4. Method-by-Method Analysis (lr=0.01 Baseline)</w:t>
      </w:r>
    </w:p>
    <w:p>
      <w:pPr>
        <w:pStyle w:val="Heading2"/>
      </w:pPr>
      <w:r>
        <w:rPr>
          <w:rFonts w:ascii="Arial" w:hAnsi="Arial"/>
          <w:color w:val="030F4F"/>
        </w:rPr>
        <w:t>4.1 Zero-Shot — Stage 1 Baseline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pre-trained Stage 1 MLP applied without any adaptation achieves AUROC=0.634 and NDCG@10=0.789. This is the strongest discriminator in the initial benchmark and sets the floor that every adaptive method must exceed to justify the meta-learning overhead. Zero-shot has collapse_rate=0.00 and ECE=0.585, reflecting a well-trained backbone that still suffers distribution shift to the Logistics domain.</w:t>
      </w:r>
    </w:p>
    <w:p>
      <w:pPr>
        <w:pStyle w:val="Heading2"/>
      </w:pPr>
      <w:r>
        <w:rPr>
          <w:rFonts w:ascii="Arial" w:hAnsi="Arial"/>
          <w:color w:val="030F4F"/>
        </w:rPr>
        <w:t>4.2 ANIL — Stable Head-Only Adaptation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ANIL adapts only the final classification head while keeping the backbone frozen. It is the only adaptive method that is entirely collapse-free (collapse_rate=0.00 at all step counts). AUROC improves monotonically with inner_steps, reaching AUROC=0.542 at steps=5. The gap with zero-shot persists because head-only adaptation with 4 support samples cannot correct the backbone's distributional shift. The LR sweep may narrow this gap but is not expected to close it completely given the fixed-backbone constraint.</w:t>
      </w:r>
    </w:p>
    <w:p>
      <w:pPr>
        <w:pStyle w:val="Heading2"/>
      </w:pPr>
      <w:r>
        <w:rPr>
          <w:rFonts w:ascii="Arial" w:hAnsi="Arial"/>
          <w:color w:val="030F4F"/>
        </w:rPr>
        <w:t>4.3 FOMAML — Collapsed at lr=0.01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FOMAML applies first-order meta-gradients to all backbone parameters during inner-loop adaptation. At lr=0.01 with only 4 support samples, the backbone overfits within 1-5 gradient steps, causing all query predictions to collapse to a near-constant value (pred_std &lt;&lt; 0.01). The collapse_rate is 1.00 at all step counts in the initial benchmark. NDCG@10 appears competitive (0.719 at steps=5) because a near-constant predictor can maintain ranking if the predicted constant is close to the positive class proportion. ECE appears excellent (0.115 at steps=5) but this is spurious calibration: a model that predicts the base rate for every contract is trivially calibrated. These metrics must not be interpreted as evidence of genuine discriminative or calibration capability under collapse.</w:t>
      </w:r>
    </w:p>
    <w:p>
      <w:pPr>
        <w:pStyle w:val="Heading2"/>
      </w:pPr>
      <w:r>
        <w:rPr>
          <w:rFonts w:ascii="Arial" w:hAnsi="Arial"/>
          <w:color w:val="030F4F"/>
        </w:rPr>
        <w:t>4.4 MAML — Instability at lr=0.01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MAML uses exact second-order meta-gradients and updates all backbone parameters. At lr=0.01 with meta_batch_size=4, it exhibits non-monotone AUROC across step counts and erratic collapse rates (0.80 at steps=1, 0.35 at steps=3, 0.95 at steps=5). This instability is consistent with noisy outer gradient estimates combined with an aggressive inner learning rate. The lr=0.001 sweep is expected to stabilise training and produce interpretable performance curves.</w:t>
      </w:r>
    </w:p>
    <w:p>
      <w:pPr>
        <w:pStyle w:val="Heading2"/>
      </w:pPr>
      <w:r>
        <w:rPr>
          <w:rFonts w:ascii="Arial" w:hAnsi="Arial"/>
          <w:color w:val="030F4F"/>
        </w:rPr>
        <w:t>4.5 Finetune — Divergence Baseline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Fine-tuning (standard gradient descent on the support set with no meta-learning regularisation) produces Log-Loss=8.111, indicating diverged probability outputs. Collapse_rate=0.90 confirms near-constant predictions. Finetune is included as a diagnostic baseline demonstrating that naive adaptation without meta-learning regularisation fails catastrophically at k=2/2.</w:t>
      </w:r>
    </w:p>
    <w:p>
      <w:pPr>
        <w:pStyle w:val="Heading1"/>
      </w:pPr>
      <w:r>
        <w:rPr>
          <w:rFonts w:ascii="Arial" w:hAnsi="Arial"/>
          <w:color w:val="990000"/>
        </w:rPr>
        <w:t>5. LR Sweep Analysis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LR-sweep results are not yet available. The analysis in this section will be populated after running: bash experiments/run_optimization_cycle.sh</w:t>
      </w:r>
    </w:p>
    <w:p>
      <w:pPr>
        <w:pStyle w:val="Heading2"/>
      </w:pPr>
      <w:r>
        <w:rPr>
          <w:rFonts w:ascii="Arial" w:hAnsi="Arial"/>
          <w:color w:val="030F4F"/>
        </w:rPr>
        <w:t>5.1 Expected Outcomes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Based on the collapse diagnostic and meta-learning theory at k=2/2, the following outcomes are expected from the LR sweep: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2280"/>
        <w:gridCol w:w="2280"/>
        <w:gridCol w:w="2280"/>
        <w:gridCol w:w="2280"/>
      </w:tblGrid>
      <w:tr>
        <w:tc>
          <w:tcPr>
            <w:tcW w:type="dxa" w:w="216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Configuration</w:t>
            </w:r>
          </w:p>
        </w:tc>
        <w:tc>
          <w:tcPr>
            <w:tcW w:type="dxa" w:w="1872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Collapse</w:t>
            </w:r>
          </w:p>
        </w:tc>
        <w:tc>
          <w:tcPr>
            <w:tcW w:type="dxa" w:w="1728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AUROC</w:t>
            </w:r>
          </w:p>
        </w:tc>
        <w:tc>
          <w:tcPr>
            <w:tcW w:type="dxa" w:w="360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FOMAML, lr=0.001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 – 0.3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0.55 – 0.65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Collapse resolved; real discrimination expected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FOMAML, lr=0.005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0.1 – 0.6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0.50 – 0.62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Partial collapse reduction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FOMAML, lr=0.01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~0.50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Full collapse confirmed (baseline)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MAML, lr=0.001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 – 0.3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0.52 – 0.65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Stabilised; second-order gradients regularised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MAML, lr=0.005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0.2 – 0.6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0.48 – 0.60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Partial stabilisation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MAML, lr=0.01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0.35–0.95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~0.48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Confirmed unstable (baseline)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ANIL, lr=0.001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~0.51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Conservative updates; near-zero-shot performance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ANIL, lr=0.005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~0.52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Slightly conservative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ANIL, lr=0.01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72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0.542</w:t>
            </w:r>
          </w:p>
        </w:tc>
        <w:tc>
          <w:tcPr>
            <w:tcW w:type="dxa" w:w="360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Current best; likely near-optimal for head-only adapt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990000"/>
        </w:rPr>
        <w:t>6. Collapse Analysis</w:t>
      </w:r>
    </w:p>
    <w:p>
      <w:pPr>
        <w:pStyle w:val="Heading2"/>
      </w:pPr>
      <w:r>
        <w:rPr>
          <w:rFonts w:ascii="Arial" w:hAnsi="Arial"/>
          <w:color w:val="030F4F"/>
        </w:rPr>
        <w:t>6.1 Collapse Definition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Prediction collapse is defined as the condition where all query predictions within an evaluation episode converge to a near-constant value (pred_std &lt; 0.01). A model in collapse assigns effectively the same risk score to every contract, which is indistinguishable from predicting the base rate. The collapse_rate metric reports the fraction of evaluation episodes that collapsed across the 20 repeats.</w:t>
      </w:r>
    </w:p>
    <w:p>
      <w:pPr>
        <w:pStyle w:val="Heading2"/>
      </w:pPr>
      <w:r>
        <w:rPr>
          <w:rFonts w:ascii="Arial" w:hAnsi="Arial"/>
          <w:color w:val="030F4F"/>
        </w:rPr>
        <w:t>6.2 Distinguishing Collapse from Genuine Calibration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 model in collapse may appear well-calibrated (low ECE) because it always predicts a probability close to the true positive class proportion. This constitutes spurious calibration and must be distinguished from genuine calibration. The pred_std column provides the key diagnostic: pred_std &lt; 0.01 combined with collapse_rate = 1.0 and low ECE indicates spurious calibration, not useful uncertainty quantification. For the thesis, any method with collapse_rate &gt;= 0.5 should be reported with a caveat that its ECE and Log-Loss figures are artefacts of constant prediction.</w:t>
      </w:r>
    </w:p>
    <w:p>
      <w:pPr>
        <w:pStyle w:val="Heading2"/>
      </w:pPr>
      <w:r>
        <w:rPr>
          <w:rFonts w:ascii="Arial" w:hAnsi="Arial"/>
          <w:color w:val="030F4F"/>
        </w:rPr>
        <w:t>6.3 Collapse by Method (lr=0.01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7416" w:type="dxa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58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936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Steps</w:t>
            </w:r>
          </w:p>
        </w:tc>
        <w:tc>
          <w:tcPr>
            <w:tcW w:type="dxa" w:w="158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Collapse Rate</w:t>
            </w:r>
          </w:p>
        </w:tc>
        <w:tc>
          <w:tcPr>
            <w:tcW w:type="dxa" w:w="1296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pred_std</w:t>
            </w:r>
          </w:p>
        </w:tc>
        <w:tc>
          <w:tcPr>
            <w:tcW w:type="dxa" w:w="2016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Calibration Status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Zero Shot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0.1381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Genuine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Zero Shot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0.1381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Genuine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Zero Shot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0.1381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Genuine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Finetune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0.90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0.0279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Finetune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0.90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0.0279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Finetune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0.90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0.0279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Anil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0.1119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Genuine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Anil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0.0976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Genuine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Anil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0.0978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Genuine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Fomaml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0.0026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Fomaml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0.0027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Fomaml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0.0022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Maml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0.80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0.0078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Maml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0.35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0.0198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Genuine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Maml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8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0.95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0.0040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Spurious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990000"/>
        </w:rPr>
        <w:t>7. Best-Configuration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Based on current results (lr=0.01 baseline, will be updated with LR sweep):</w:t>
      </w:r>
    </w:p>
    <w:p>
      <w:pPr>
        <w:pStyle w:val="Heading2"/>
      </w:pPr>
      <w:r>
        <w:rPr>
          <w:rFonts w:ascii="Arial" w:hAnsi="Arial"/>
          <w:color w:val="030F4F"/>
        </w:rPr>
        <w:t>7.1 By Discrimination (AUROC)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Best AUROC: 0.634 (Zero Shot, steps=1, lr=0.010). Zero-shot reference: AUROC=0.634.</w:t>
      </w:r>
    </w:p>
    <w:p>
      <w:pPr>
        <w:pStyle w:val="Heading2"/>
      </w:pPr>
      <w:r>
        <w:rPr>
          <w:rFonts w:ascii="Arial" w:hAnsi="Arial"/>
          <w:color w:val="030F4F"/>
        </w:rPr>
        <w:t>7.2 By Stable Adaptation (Collapse-Free)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ANIL at steps=5, lr=0.01 is the only collapse-free adaptive method: AUROC=0.542, NDCG@10=0.647, ECE=0.334, collapse_rate=0.00.</w:t>
      </w:r>
    </w:p>
    <w:p>
      <w:pPr>
        <w:pStyle w:val="Heading2"/>
      </w:pPr>
      <w:r>
        <w:rPr>
          <w:rFonts w:ascii="Arial" w:hAnsi="Arial"/>
          <w:color w:val="030F4F"/>
        </w:rPr>
        <w:t>7.3 By Calibration (ECE)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Best ECE among collapse-free experiments: ECE=0.320 (Maml, steps=3, lr=0.010).</w:t>
      </w:r>
    </w:p>
    <w:p>
      <w:pPr>
        <w:pStyle w:val="Heading1"/>
      </w:pPr>
      <w:r>
        <w:rPr>
          <w:rFonts w:ascii="Arial" w:hAnsi="Arial"/>
          <w:color w:val="990000"/>
        </w:rPr>
        <w:t>8. Stage 1 vs. Stage 2 Comparison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Table 3 compares the Stage 1 MLP applied without adaptation (zero-shot) against the best stable Stage 2 result per primary metric.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10080" w:type="dxa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2448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Configuration</w:t>
            </w:r>
          </w:p>
        </w:tc>
        <w:tc>
          <w:tcPr>
            <w:tcW w:type="dxa" w:w="72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Steps</w:t>
            </w:r>
          </w:p>
        </w:tc>
        <w:tc>
          <w:tcPr>
            <w:tcW w:type="dxa" w:w="864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LR</w:t>
            </w:r>
          </w:p>
        </w:tc>
        <w:tc>
          <w:tcPr>
            <w:tcW w:type="dxa" w:w="936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AUROC</w:t>
            </w:r>
          </w:p>
        </w:tc>
        <w:tc>
          <w:tcPr>
            <w:tcW w:type="dxa" w:w="1008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AUROC SD</w:t>
            </w:r>
          </w:p>
        </w:tc>
        <w:tc>
          <w:tcPr>
            <w:tcW w:type="dxa" w:w="10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NDCG@10</w:t>
            </w:r>
          </w:p>
        </w:tc>
        <w:tc>
          <w:tcPr>
            <w:tcW w:type="dxa" w:w="1080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Log-Loss</w:t>
            </w:r>
          </w:p>
        </w:tc>
        <w:tc>
          <w:tcPr>
            <w:tcW w:type="dxa" w:w="936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ECE</w:t>
            </w:r>
          </w:p>
        </w:tc>
        <w:tc>
          <w:tcPr>
            <w:tcW w:type="dxa" w:w="1008"/>
            <w:shd w:val="clear" w:color="auto" w:fill="030F4F"/>
          </w:tcPr>
          <w:p>
            <w:r/>
            <w:r>
              <w:rPr>
                <w:b/>
                <w:i w:val="0"/>
                <w:color w:val="FFFFFF"/>
                <w:sz w:val="18"/>
              </w:rPr>
              <w:t>Collapse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Stage 1 — zero-shot</w:t>
            </w:r>
          </w:p>
        </w:tc>
        <w:tc>
          <w:tcPr>
            <w:tcW w:type="dxa" w:w="72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864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0.634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0.199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0.789</w:t>
            </w:r>
          </w:p>
        </w:tc>
        <w:tc>
          <w:tcPr>
            <w:tcW w:type="dxa" w:w="1080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2.060</w:t>
            </w:r>
          </w:p>
        </w:tc>
        <w:tc>
          <w:tcPr>
            <w:tcW w:type="dxa" w:w="936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0.585</w:t>
            </w:r>
          </w:p>
        </w:tc>
        <w:tc>
          <w:tcPr>
            <w:tcW w:type="dxa" w:w="1008"/>
            <w:shd w:val="clear" w:color="auto" w:fill="F2F2F2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Stage 2 — ANIL (best)</w:t>
            </w:r>
          </w:p>
        </w:tc>
        <w:tc>
          <w:tcPr>
            <w:tcW w:type="dxa" w:w="72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0.010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0.542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0.201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0.647</w:t>
            </w:r>
          </w:p>
        </w:tc>
        <w:tc>
          <w:tcPr>
            <w:tcW w:type="dxa" w:w="1080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0.855</w:t>
            </w:r>
          </w:p>
        </w:tc>
        <w:tc>
          <w:tcPr>
            <w:tcW w:type="dxa" w:w="936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0.334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b w:val="0"/>
                <w:i w:val="0"/>
                <w:sz w:val="18"/>
              </w:rPr>
              <w:t>0.00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  <w:sz w:val="22"/>
        </w:rPr>
        <w:t>Delta AUROC (ANIL vs. zero-shot): -0.092. Delta ECE: -0.252. ANIL reduces ECE (better calibration) despite lower discrimination.</w:t>
      </w:r>
    </w:p>
    <w:p>
      <w:pPr>
        <w:pStyle w:val="Heading1"/>
      </w:pPr>
      <w:r>
        <w:rPr>
          <w:rFonts w:ascii="Arial" w:hAnsi="Arial"/>
          <w:color w:val="990000"/>
        </w:rPr>
        <w:t>9. Guidance for Thesis Writing</w:t>
      </w:r>
    </w:p>
    <w:p>
      <w:pPr>
        <w:pStyle w:val="Heading2"/>
      </w:pPr>
      <w:r>
        <w:rPr>
          <w:rFonts w:ascii="Arial" w:hAnsi="Arial"/>
          <w:color w:val="030F4F"/>
        </w:rPr>
        <w:t>9.1 What Should Appear in the Main Text</w:t>
      </w:r>
    </w:p>
    <w:p>
      <w:pPr>
        <w:pStyle w:val="ListBullet"/>
      </w:pPr>
      <w:r>
        <w:rPr>
          <w:rFonts w:ascii="Arial" w:hAnsi="Arial"/>
          <w:sz w:val="20"/>
        </w:rPr>
        <w:t>Table OC-B (best config per method) as the primary Stage 2 results table.</w:t>
      </w:r>
    </w:p>
    <w:p>
      <w:pPr>
        <w:pStyle w:val="ListBullet"/>
      </w:pPr>
      <w:r>
        <w:rPr>
          <w:rFonts w:ascii="Arial" w:hAnsi="Arial"/>
          <w:sz w:val="20"/>
        </w:rPr>
        <w:t>Statement that zero-shot AUROC=0.634 is the Stage 1 / no-adaptation baseline.</w:t>
      </w:r>
    </w:p>
    <w:p>
      <w:pPr>
        <w:pStyle w:val="ListBullet"/>
      </w:pPr>
      <w:r>
        <w:rPr>
          <w:rFonts w:ascii="Arial" w:hAnsi="Arial"/>
          <w:sz w:val="20"/>
        </w:rPr>
        <w:t>ANIL as the only stable, collapse-free adaptive method at k=2/2.</w:t>
      </w:r>
    </w:p>
    <w:p>
      <w:pPr>
        <w:pStyle w:val="ListBullet"/>
      </w:pPr>
      <w:r>
        <w:rPr>
          <w:rFonts w:ascii="Arial" w:hAnsi="Arial"/>
          <w:sz w:val="20"/>
        </w:rPr>
        <w:t>Clear statement that FOMAML and MAML collapse at lr=0.01 and whether lower LR resolves this.</w:t>
      </w:r>
    </w:p>
    <w:p>
      <w:pPr>
        <w:pStyle w:val="ListBullet"/>
      </w:pPr>
      <w:r>
        <w:rPr>
          <w:rFonts w:ascii="Arial" w:hAnsi="Arial"/>
          <w:sz w:val="20"/>
        </w:rPr>
        <w:t>Figure OC-1 (method comparison bars) and Figure OC-6 (step-sensitivity curves).</w:t>
      </w:r>
    </w:p>
    <w:p/>
    <w:p>
      <w:pPr>
        <w:pStyle w:val="Heading2"/>
      </w:pPr>
      <w:r>
        <w:rPr>
          <w:rFonts w:ascii="Arial" w:hAnsi="Arial"/>
          <w:color w:val="030F4F"/>
        </w:rPr>
        <w:t>9.2 What Should Appear in the Appendix</w:t>
      </w:r>
    </w:p>
    <w:p>
      <w:pPr>
        <w:pStyle w:val="ListBullet"/>
      </w:pPr>
      <w:r>
        <w:rPr>
          <w:rFonts w:ascii="Arial" w:hAnsi="Arial"/>
          <w:sz w:val="20"/>
        </w:rPr>
        <w:t>Table OC-A (full benchmark — all method × step × lr combinations).</w:t>
      </w:r>
    </w:p>
    <w:p>
      <w:pPr>
        <w:pStyle w:val="ListBullet"/>
      </w:pPr>
      <w:r>
        <w:rPr>
          <w:rFonts w:ascii="Arial" w:hAnsi="Arial"/>
          <w:sz w:val="20"/>
        </w:rPr>
        <w:t>Table OC-C (inner-step sensitivity with best LR per combination).</w:t>
      </w:r>
    </w:p>
    <w:p>
      <w:pPr>
        <w:pStyle w:val="ListBullet"/>
      </w:pPr>
      <w:r>
        <w:rPr>
          <w:rFonts w:ascii="Arial" w:hAnsi="Arial"/>
          <w:sz w:val="20"/>
        </w:rPr>
        <w:t>Table OC-D (LR sensitivity table for FOMAML and MAML).</w:t>
      </w:r>
    </w:p>
    <w:p>
      <w:pPr>
        <w:pStyle w:val="ListBullet"/>
      </w:pPr>
      <w:r>
        <w:rPr>
          <w:rFonts w:ascii="Arial" w:hAnsi="Arial"/>
          <w:sz w:val="20"/>
        </w:rPr>
        <w:t>Figure OC-2 (LR sweep line plots for AUROC and NDCG@10).</w:t>
      </w:r>
    </w:p>
    <w:p>
      <w:pPr>
        <w:pStyle w:val="ListBullet"/>
      </w:pPr>
      <w:r>
        <w:rPr>
          <w:rFonts w:ascii="Arial" w:hAnsi="Arial"/>
          <w:sz w:val="20"/>
        </w:rPr>
        <w:t>Figure OC-3 (collapse rate heatmaps for FOMAML and MAML).</w:t>
      </w:r>
    </w:p>
    <w:p>
      <w:pPr>
        <w:pStyle w:val="ListBullet"/>
      </w:pPr>
      <w:r>
        <w:rPr>
          <w:rFonts w:ascii="Arial" w:hAnsi="Arial"/>
          <w:sz w:val="20"/>
        </w:rPr>
        <w:t>Figure OC-4 (prediction spread vs. collapse rate comparison).</w:t>
      </w:r>
    </w:p>
    <w:p>
      <w:pPr>
        <w:pStyle w:val="ListBullet"/>
      </w:pPr>
      <w:r>
        <w:rPr>
          <w:rFonts w:ascii="Arial" w:hAnsi="Arial"/>
          <w:sz w:val="20"/>
        </w:rPr>
        <w:t>Finetune divergence detail (Log-Loss &gt;&gt; 1 at all step counts).</w:t>
      </w:r>
    </w:p>
    <w:p/>
    <w:p>
      <w:pPr>
        <w:pStyle w:val="Heading2"/>
      </w:pPr>
      <w:r>
        <w:rPr>
          <w:rFonts w:ascii="Arial" w:hAnsi="Arial"/>
          <w:color w:val="030F4F"/>
        </w:rPr>
        <w:t>9.3 Key Interpretive Statements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following conclusions are supported by the current evidence (must be updated if LR sweep changes results):</w:t>
      </w:r>
    </w:p>
    <w:p>
      <w:pPr>
        <w:pStyle w:val="ListBullet"/>
      </w:pPr>
      <w:r>
        <w:rPr>
          <w:rFonts w:ascii="Arial" w:hAnsi="Arial"/>
          <w:sz w:val="20"/>
        </w:rPr>
        <w:t>No adaptive method surpasses zero-shot discrimination at k=2/2, lr=0.01. Zero-shot AUROC=0.634 remains the ceiling.</w:t>
      </w:r>
    </w:p>
    <w:p>
      <w:pPr>
        <w:pStyle w:val="ListBullet"/>
      </w:pPr>
      <w:r>
        <w:rPr>
          <w:rFonts w:ascii="Arial" w:hAnsi="Arial"/>
          <w:sz w:val="20"/>
        </w:rPr>
        <w:t>ANIL is the most stable adaptive method: collapse-free, monotone improvement with steps, best genuine ECE.</w:t>
      </w:r>
    </w:p>
    <w:p>
      <w:pPr>
        <w:pStyle w:val="ListBullet"/>
      </w:pPr>
      <w:r>
        <w:rPr>
          <w:rFonts w:ascii="Arial" w:hAnsi="Arial"/>
          <w:sz w:val="20"/>
        </w:rPr>
        <w:t>FOMAML collapses completely at lr=0.01; its NDCG@10 and ECE figures under collapse are artefacts, not genuine capabilities.</w:t>
      </w:r>
    </w:p>
    <w:p>
      <w:pPr>
        <w:pStyle w:val="ListBullet"/>
      </w:pPr>
      <w:r>
        <w:rPr>
          <w:rFonts w:ascii="Arial" w:hAnsi="Arial"/>
          <w:sz w:val="20"/>
        </w:rPr>
        <w:t>MAML is unstable at lr=0.01; the non-monotone AUROC and variable collapse rate indicate noisy meta-training.</w:t>
      </w:r>
    </w:p>
    <w:p>
      <w:pPr>
        <w:pStyle w:val="ListBullet"/>
      </w:pPr>
      <w:r>
        <w:rPr>
          <w:rFonts w:ascii="Arial" w:hAnsi="Arial"/>
          <w:sz w:val="20"/>
        </w:rPr>
        <w:t>Finetune is a failure mode demonstrating the necessity of meta-learning regularisation at k=2/2.</w:t>
      </w:r>
    </w:p>
    <w:p>
      <w:pPr>
        <w:pStyle w:val="ListBullet"/>
      </w:pPr>
      <w:r>
        <w:rPr>
          <w:rFonts w:ascii="Arial" w:hAnsi="Arial"/>
          <w:sz w:val="20"/>
        </w:rPr>
        <w:t>The k=2/2 support size is likely insufficient for full-backbone adaptation; this is a key limitation to report.</w:t>
      </w:r>
    </w:p>
    <w:p>
      <w:pPr>
        <w:pStyle w:val="Heading1"/>
      </w:pPr>
      <w:r>
        <w:rPr>
          <w:rFonts w:ascii="Arial" w:hAnsi="Arial"/>
          <w:color w:val="990000"/>
        </w:rPr>
        <w:t>10. Recommended Next Steps</w:t>
      </w:r>
    </w:p>
    <w:p>
      <w:pPr>
        <w:spacing w:after="80"/>
      </w:pPr>
      <w:r>
        <w:rPr>
          <w:rFonts w:ascii="Arial" w:hAnsi="Arial"/>
          <w:sz w:val="20"/>
        </w:rPr>
        <w:t>1. Run: source .venv/bin/activate &amp;&amp; bash experiments/run_optimization_cycle.sh from the project root to execute the 33-experiment optimization benchmark.</w:t>
      </w:r>
    </w:p>
    <w:p>
      <w:pPr>
        <w:spacing w:after="80"/>
      </w:pPr>
      <w:r>
        <w:rPr>
          <w:rFonts w:ascii="Arial" w:hAnsi="Arial"/>
          <w:sz w:val="20"/>
        </w:rPr>
        <w:t>2. After running, re-open notebooks/17.1_stage2_analysis_dashboard.ipynb and run all cells in the Optimization Cycle 1 section to regenerate all tables and figures.</w:t>
      </w:r>
    </w:p>
    <w:p>
      <w:pPr>
        <w:spacing w:after="80"/>
      </w:pPr>
      <w:r>
        <w:rPr>
          <w:rFonts w:ascii="Arial" w:hAnsi="Arial"/>
          <w:sz w:val="20"/>
        </w:rPr>
        <w:t>3. Re-run this report script (python create_optimization_cycle_report.py) to populate Sections 5-7 with the LR-sweep results.</w:t>
      </w:r>
    </w:p>
    <w:p>
      <w:pPr>
        <w:spacing w:after="80"/>
      </w:pPr>
      <w:r>
        <w:rPr>
          <w:rFonts w:ascii="Arial" w:hAnsi="Arial"/>
          <w:sz w:val="20"/>
        </w:rPr>
        <w:t>4. If FOMAML/MAML at lr=0.001 surpass zero-shot AUROC: include them in the main thesis results table alongside ANIL and zero-shot.</w:t>
      </w:r>
    </w:p>
    <w:p>
      <w:pPr>
        <w:spacing w:after="80"/>
      </w:pPr>
      <w:r>
        <w:rPr>
          <w:rFonts w:ascii="Arial" w:hAnsi="Arial"/>
          <w:sz w:val="20"/>
        </w:rPr>
        <w:t>5. If FOMAML/MAML at lr=0.001 still do not beat zero-shot: report this as a confirmed finding that k=2/2 support is insufficient for full-backbone adaptation in Logistics. The next lever is the k-shot sweep (k_shot_sweep preset) to find the support size at which adaptive methods begin to surpass the pre-trained baseline.</w:t>
      </w:r>
    </w:p>
    <w:p>
      <w:pPr>
        <w:spacing w:after="80"/>
      </w:pPr>
      <w:r>
        <w:rPr>
          <w:rFonts w:ascii="Arial" w:hAnsi="Arial"/>
          <w:sz w:val="20"/>
        </w:rPr>
        <w:t>6. Consider adding SHAP explainability analysis (Stage 3) on the best adaptive method configuration to compare pre- and post-adaptation feature attributions.</w:t>
      </w:r>
    </w:p>
    <w:p/>
    <w:p>
      <w:pPr>
        <w:jc w:val="center"/>
      </w:pPr>
      <w:r>
        <w:rPr>
          <w:rFonts w:ascii="Arial" w:hAnsi="Arial"/>
          <w:color w:val="606060"/>
          <w:sz w:val="16"/>
        </w:rPr>
        <w:t>Stage 2 Optimization Cycle 1  |  Generated from experiment_summary.csv  |  2026-04-18  |  Signal Fusion with Meta-Learners — Master's Thesis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