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Pipeline Data Flow &amp; Table Reference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Technical Architecture for a Renegotiation Probability Prediction System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Master Thesis — Technical Documentation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 Pipeline Overview</w:t>
      </w:r>
    </w:p>
    <w:p>
      <w:r>
        <w:t xml:space="preserve">The prediction system is decomposed into four sequential processing stages, each producing a well-defined intermediate artefact (table or model weights) that serves as input to the next stage. The high-level flow is:</w:t>
      </w:r>
    </w:p>
    <w:p>
      <w: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DataPrep  →  WeakSup  →  Stage1Tr  →  Stage2Tr  →  FinalOutput</w:t>
      </w:r>
    </w:p>
    <w:p>
      <w:r>
        <w:t xml:space="preserve"/>
      </w:r>
    </w:p>
    <w:p>
      <w:r>
        <w:t xml:space="preserve">The stages are designed so that each can be developed, validated, and re-run independently while preserving referential integrity through named intermediate tables. The diagram in Figure 1 (see attached .mermaid file) provides the full visual representation. The sections below describe each stage in detail, including all tables created and their schemas.</w:t>
      </w:r>
    </w:p>
    <w:p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2500"/>
        <w:gridCol w:w="2000"/>
        <w:gridCol w:w="1260"/>
      </w:tblGrid>
      <w:tr>
        <w:trPr>
          <w:tblHeader/>
        </w:trP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ID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Input(s)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Output</w:t>
            </w:r>
          </w:p>
        </w:tc>
        <w:tc>
          <w:tcPr>
            <w:tcW w:type="dxa" w:w="1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Thesis Section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 · Data Extraction &amp; Merging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DataPrep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D1–D6 raw data sources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FeatureMatrix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§ 3.1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 · Weak Supervision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WeakSup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FeatureMatrix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renegotiation_prob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§ 3.2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 · Representation Learning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Stage1Tr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FeatureMatrix + Gold Labels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MLPWeights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§ 3.3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 · Meta-Learning (MAML)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Stage2Tr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MLPWeights + FeatureMatrix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FinalOutput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§ 3.4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0.1 — High-level pipeline stages, module IDs, and thesis cross-references</w:t>
      </w:r>
    </w:p>
    <w:p>
      <w:r>
        <w:br w:type="page"/>
      </w:r>
    </w:p>
    <w:p>
      <w:pPr>
        <w:pStyle w:val="Heading1"/>
      </w:pPr>
      <w:r>
        <w:t xml:space="preserve">2.  Stage 1 — Data Extraction &amp; Merging  (DataPrep)</w:t>
      </w:r>
    </w:p>
    <w:p>
      <w:r>
        <w:t xml:space="preserve">This stage is responsible for ingesting all six heterogeneous data sources, applying domain-specific feature engineering to each, and merging them into a single unified feature matrix. All downstream stages depend exclusively on this output; no stage reads from raw sources directly.</w:t>
      </w:r>
    </w:p>
    <w:p>
      <w:r>
        <w:t xml:space="preserve"/>
      </w:r>
    </w:p>
    <w:p>
      <w:pPr>
        <w:pStyle w:val="Heading2"/>
      </w:pPr>
      <w:r>
        <w:t xml:space="preserve">2.1  Data Sources</w:t>
      </w:r>
    </w:p>
    <w:p>
      <w:r>
        <w:t xml:space="preserve">Six source datasets are registered in the pipeline. Each source is associated with a dedicated extraction script and produces a normalised intermediate frame before merging: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560"/>
        <w:gridCol w:w="2400"/>
      </w:tblGrid>
      <w:tr>
        <w:trPr>
          <w:tblHeader/>
        </w:trP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ID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 Extracted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Contract 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contract_id, start_date, end_date, value, counterparty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contract_id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Financial 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revenue, EBITDA, leverage_ratio, liquidity_ratio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contract_id / entity_id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ESG 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esg_score, env_rating, soc_rating, gov_rating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entity_id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Logistics / Macro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supply_chain_index, macro_shock_flag, commodity_price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contract_id / date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Market Analytics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market_share, competitor_count, pricing_pressure_index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entity_id / sector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News Sentiment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sentiment_score, article_count, topic_embedding (768-d)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entity_id / date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1.1 — Source datasets, extracted features, and join keys</w:t>
      </w:r>
    </w:p>
    <w:p>
      <w:r>
        <w:t xml:space="preserve"/>
      </w:r>
    </w:p>
    <w:p>
      <w:pPr>
        <w:pStyle w:val="Heading2"/>
      </w:pPr>
      <w:r>
        <w:t xml:space="preserve">2.2  Feature Engineering Steps</w:t>
      </w:r>
    </w:p>
    <w:p>
      <w:r>
        <w:t xml:space="preserve">After extraction, each source undergoes the following transformations before the merge step: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Missing-value imputation using median/mode per column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Temporal alignment — all time-series features are windowed to contract horizon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Standardisation (Z-score) for numerical features; target encoding for categoricals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PCA dimensionality reduction applied to the 768-d news embeddings (D6) to 32 components</w:t>
      </w:r>
    </w:p>
    <w:p>
      <w:r>
        <w:t xml:space="preserve"/>
      </w:r>
    </w:p>
    <w:p>
      <w:pPr>
        <w:pStyle w:val="Heading2"/>
      </w:pPr>
      <w:r>
        <w:t xml:space="preserve">2.3  Output Table: FeatureMatrix</w:t>
      </w:r>
    </w:p>
    <w:p>
      <w:r>
        <w:t xml:space="preserve">The merge step produces the central artefact of the pipeline. This table is consumed by all subsequent stages.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Group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Columns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Dtype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Cols (approx.)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Identifier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contract_id, entity_id, department_id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Temporal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start_date, end_date, months_remaining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date/int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Financial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revenue, EBITDA, leverage_ratio,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float32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esg_score, env_rating, soc_rating,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float32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Logistics/Macro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supply_chain_index, macro_shock_flag,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float32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Market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market_share, pricing_pressure_index,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float32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News (PCA)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news_pc_1 … news_pc_32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float32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Label (Stage 2)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renegotiation_prob  (added downstream)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float32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1.2 — FeatureMatrix schema (primary output of DataPrep)</w:t>
      </w:r>
    </w:p>
    <w:p>
      <w:r>
        <w:br w:type="page"/>
      </w:r>
    </w:p>
    <w:p>
      <w:pPr>
        <w:pStyle w:val="Heading1"/>
      </w:pPr>
      <w:r>
        <w:t xml:space="preserve">3.  Stage 2 — Weak Supervision  (WeakSup)</w:t>
      </w:r>
    </w:p>
    <w:p>
      <w:r>
        <w:t xml:space="preserve">Manually annotated gold labels are scarce relative to the full contract universe. Stage 2 uses the Snorkel framework to programmatically generate probabilistic training labels at scale, covering contracts that have not been hand-labelled.</w:t>
      </w:r>
    </w:p>
    <w:p>
      <w:r>
        <w:t xml:space="preserve"/>
      </w:r>
    </w:p>
    <w:p>
      <w:pPr>
        <w:pStyle w:val="Heading2"/>
      </w:pPr>
      <w:r>
        <w:t xml:space="preserve">3.1  Labeling Functions (LFs)</w:t>
      </w:r>
    </w:p>
    <w:p>
      <w:r>
        <w:t xml:space="preserve">Domain experts encode institutional knowledge about renegotiation triggers as Labeling Functions. Each LF inspects a subset of features in FeatureMatrix and votes RENEGOTIATE (1), NO_RENEGOTIATE (0), or ABSTAIN (–1).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4260"/>
        <w:gridCol w:w="1600"/>
      </w:tblGrid>
      <w:tr>
        <w:trPr>
          <w:tblHeader/>
        </w:trP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LF ID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Group Used</w:t>
            </w:r>
          </w:p>
        </w:tc>
        <w:tc>
          <w:tcPr>
            <w:tcW w:type="dxa" w:w="4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Heuristic Description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Coverage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LF_01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Financial (D2)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Leverage ratio &gt; 3× triggers positive vote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~35 %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LF_02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ESG (D3)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ESG score decline &gt; 15 pts in 12 months triggers positive vote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~20 %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LF_03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Macro (D4)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Macro shock flag = 1 AND months_remaining &lt; 6 → positive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~18 %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LF_04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Market (D5)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Pricing pressure index in top quartile → positive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~25 %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LF_05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News (D6)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Sentiment score &lt; –0.4 AND article_count &gt; 10 → positive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~12 %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LF_06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Contract (D1)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Contract value &gt; 95th percentile AND counterparty repeat flag =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~8 %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LF_07–09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Combined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Multi-feature interaction LFs (domain-expert composite rules)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~30 %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2.1 — Labeling Functions registered in the Snorkel pipeline</w:t>
      </w:r>
    </w:p>
    <w:p>
      <w:r>
        <w:t xml:space="preserve"/>
      </w:r>
    </w:p>
    <w:p>
      <w:pPr>
        <w:pStyle w:val="Heading2"/>
      </w:pPr>
      <w:r>
        <w:t xml:space="preserve">3.2  Snorkel Label Model</w:t>
      </w:r>
    </w:p>
    <w:p>
      <w:r>
        <w:t xml:space="preserve">The Snorkel Label Model learns the accuracy and correlation structure of the LFs from the unlabelled data and produces a continuous probabilistic label. The model is fit on the full FeatureMatrix and does not require any gold supervision.</w:t>
      </w:r>
    </w:p>
    <w:p>
      <w:r>
        <w:t xml:space="preserve"/>
      </w:r>
    </w:p>
    <w:p>
      <w:pPr>
        <w:pStyle w:val="Heading2"/>
      </w:pPr>
      <w:r>
        <w:t xml:space="preserve">3.3  Output Table: renegotiation_prob</w:t>
      </w:r>
    </w:p>
    <w:p>
      <w:r>
        <w:t xml:space="preserve">The probabilistic label column is appended to FeatureMatrix as a new field and also exported as a standalone reference table for traceability.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13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Dtype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contract_id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Primary key linking back to FeatureMatrix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renegotiation_prob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Snorkel-calibrated probability of renegotiation event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float32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[0, 1]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lf_votes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JSON array of per-LF votes for audit purposes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{–1, 0, 1}^n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label_source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Origin tag: 'snorkel' (this stage) or 'gold' (Stage 3 override)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enum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2.2 — renegotiation_prob schema (primary output of WeakSup)</w:t>
      </w:r>
    </w:p>
    <w:p>
      <w:r>
        <w:br w:type="page"/>
      </w:r>
    </w:p>
    <w:p>
      <w:pPr>
        <w:pStyle w:val="Heading1"/>
      </w:pPr>
      <w:r>
        <w:t xml:space="preserve">4.  Stage 3 — Representation Learning  (Stage1Tr)</w:t>
      </w:r>
    </w:p>
    <w:p>
      <w:r>
        <w:t xml:space="preserve">Stage 3 trains three model families under three supervision conditions, yielding a controlled comparison of label quality. The best-performing MLP variant has its weights transferred to Stage 4 as the meta-learning backbone.</w:t>
      </w:r>
    </w:p>
    <w:p>
      <w:r>
        <w:t xml:space="preserve"/>
      </w:r>
    </w:p>
    <w:p>
      <w:pPr>
        <w:pStyle w:val="Heading2"/>
      </w:pPr>
      <w:r>
        <w:t xml:space="preserve">4.1  Gold Labels (GoldInput)</w:t>
      </w:r>
    </w:p>
    <w:p>
      <w:r>
        <w:t xml:space="preserve">A curated set of manually verified contract outcomes is injected at this stage. Gold labels supplement or override Snorkel labels for a subset of the training corpus.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1360"/>
        <w:gridCol w:w="270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Dtype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contract_id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Join key to FeatureMatrix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label_binary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Ground-truth renegotiation outcome (0/1)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Expert-verified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annotator_id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Analyst who verified the label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For audit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annotation_date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Date of annotation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3.1 — GoldInput schema (external annotation input to Stage1Tr)</w:t>
      </w:r>
    </w:p>
    <w:p>
      <w:r>
        <w:t xml:space="preserve"/>
      </w:r>
    </w:p>
    <w:p>
      <w:pPr>
        <w:pStyle w:val="Heading2"/>
      </w:pPr>
      <w:r>
        <w:t xml:space="preserve">4.2  Training Conditions</w:t>
      </w:r>
    </w:p>
    <w:p>
      <w:r>
        <w:t xml:space="preserve">Three training conditions are evaluated to isolate the contribution of weak versus gold supervision: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3660"/>
        <w:gridCol w:w="330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Labels Used</w:t>
            </w:r>
          </w:p>
        </w:tc>
        <w:tc>
          <w:tcPr>
            <w:tcW w:type="dxa" w:w="3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Weak-only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renegotiation_prob only (Snorkel output)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Establishes weak-label baseline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Gold-only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GoldInput labels only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Establishes gold-label ceiling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Hybrid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Snorkel prob + GoldInput (where available)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Target condition: scalable + precise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3.2 — Training condition definitions for Stage1Tr</w:t>
      </w:r>
    </w:p>
    <w:p>
      <w:r>
        <w:t xml:space="preserve"/>
      </w:r>
    </w:p>
    <w:p>
      <w:pPr>
        <w:pStyle w:val="Heading2"/>
      </w:pPr>
      <w:r>
        <w:t xml:space="preserve">4.3  Model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4360"/>
        <w:gridCol w:w="260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 / Hyperparameters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Thesis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XGBoost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XGB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Gradient-boosted trees; max_depth=6, n_estimators=300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Interpretable baseline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Elastic Net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Regularised linear model; α=0.1, l1_ratio=0.5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Linear baseline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MLP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MLP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3-layer neural net; hidden=[256,128,64], dropout=0.3, ReLU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Transfer learning backbone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3.3 — Model architectures trained under each condition (3 × 3 = 9 runs total)</w:t>
      </w:r>
    </w:p>
    <w:p>
      <w:r>
        <w:t xml:space="preserve"/>
      </w:r>
    </w:p>
    <w:p>
      <w:pPr>
        <w:pStyle w:val="Heading2"/>
      </w:pPr>
      <w:r>
        <w:t xml:space="preserve">4.4  Output Artefact: MLPWeights</w:t>
      </w:r>
    </w:p>
    <w:p>
      <w:r>
        <w:t xml:space="preserve">The best-performing MLP (selected by validation AUC across all nine runs) undergoes a bold weight transfer. Its encoder layers are frozen and passed to Stage 4 as a pretrained backbone. No tabular file is created; weights are stored as a serialised model checkpoint.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7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Artefact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MLPWeights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.pt / .h5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Frozen encoder layers from best MLP 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Stage2Tr (MAML backbone)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Stage1_results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.csv / parquet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AUC, F1, precision, recall for all 9 runs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Thesis §4.3 evaluation table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3.4 — Outputs of Stage1Tr</w:t>
      </w:r>
    </w:p>
    <w:p>
      <w:r>
        <w:br w:type="page"/>
      </w:r>
    </w:p>
    <w:p>
      <w:pPr>
        <w:pStyle w:val="Heading1"/>
      </w:pPr>
      <w:r>
        <w:t xml:space="preserve">5.  Stage 4 — Meta-Learning  (Stage2Tr · MAML)</w:t>
      </w:r>
    </w:p>
    <w:p>
      <w:r>
        <w:t xml:space="preserve">The central research contribution of the thesis. Stage 4 adapts the pretrained MLP backbone to new, unseen departments using Model-Agnostic Meta-Learning (MAML). The key insight is that most departments have too few contracts for supervised learning; meta-learning enables rapid adaptation from a small support set.</w:t>
      </w:r>
    </w:p>
    <w:p>
      <w:r>
        <w:t xml:space="preserve"/>
      </w:r>
    </w:p>
    <w:p>
      <w:pPr>
        <w:pStyle w:val="Heading2"/>
      </w:pPr>
      <w:r>
        <w:t xml:space="preserve">5.1  Episode Construction — N-way K-shot Sampler</w:t>
      </w:r>
    </w:p>
    <w:p>
      <w:r>
        <w:t xml:space="preserve">Training episodes are sampled department-wise from FeatureMatrix. Each episode consists of a support set (K labelled examples from N departments) and a query set used to compute the outer-loop loss.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 (ways)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Number of departments sampled per episode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 (shots)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Support examples per department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Query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Query examples per department for outer-loop loss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Episode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5,000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Total training episodes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Stratification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Balanced positive/negative ratio in support set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4.1 — MAML episode sampling parameters</w:t>
      </w:r>
    </w:p>
    <w:p>
      <w:r>
        <w:t xml:space="preserve"/>
      </w:r>
    </w:p>
    <w:p>
      <w:pPr>
        <w:pStyle w:val="Heading2"/>
      </w:pPr>
      <w:r>
        <w:t xml:space="preserve">5.2  MAML Optimisation</w:t>
      </w:r>
    </w:p>
    <w:p>
      <w:r>
        <w:t xml:space="preserve">The MAML inner loop adapts the pretrained MLP encoder to each episode's support set via a small number of gradient steps. The outer loop accumulates query-set losses across all N departments and updates the meta-parameters to minimise cross-department generalisation error.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500"/>
        <w:gridCol w:w="18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3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Adapts to support set of one department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Outer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Mean BCE over N depts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Updates meta-parameters across departments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4.2 — MAML inner/outer loop configuration</w:t>
      </w:r>
    </w:p>
    <w:p>
      <w:r>
        <w:t xml:space="preserve"/>
      </w:r>
    </w:p>
    <w:p>
      <w:pPr>
        <w:pStyle w:val="Heading2"/>
      </w:pPr>
      <w:r>
        <w:t xml:space="preserve">5.3  Output Table: FinalOutput</w:t>
      </w:r>
    </w:p>
    <w:p>
      <w:r>
        <w:t xml:space="preserve">The final deliverable of the pipeline is a per-contract prediction table covering departments that were never seen during Stage 3 training.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1360"/>
        <w:gridCol w:w="2460"/>
        <w:gridCol w:w="64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Dtype</w:t>
            </w:r>
          </w:p>
        </w:tc>
        <w:tc>
          <w:tcPr>
            <w:tcW w:type="dxa" w:w="2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contract_id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Target department (unseen at Stage 3)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Out-of-distribution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pred_prob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MAML-adapted renegotiation probability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float32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[0, 1]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pred_label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Binary prediction at optimal threshold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{0, 1}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adapt_steps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Number of inner-loop adaptation steps used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confidence_band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Bootstrap 90 % CI on pred_prob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float32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(low, high)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training_condition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 / BB / WC identifier of the backbone model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enum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4.3 — FinalOutput schema (primary deliverable of Stage2Tr)</w:t>
      </w:r>
    </w:p>
    <w:p>
      <w:r>
        <w:br w:type="page"/>
      </w:r>
    </w:p>
    <w:p>
      <w:pPr>
        <w:pStyle w:val="Heading1"/>
      </w:pPr>
      <w:r>
        <w:t xml:space="preserve">6.  Thesis Structure Mapping</w:t>
      </w:r>
    </w:p>
    <w:p>
      <w:r>
        <w:t xml:space="preserve">The pipeline maps directly onto the thesis chapter structure. The table below cross-references each stage with the corresponding thesis sections, key tables, and evaluation components.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9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Thesis Chapter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Stage</w:t>
            </w:r>
          </w:p>
        </w:tc>
        <w:tc>
          <w:tcPr>
            <w:tcW w:type="dxa" w:w="2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Table(s)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Evaluation Metric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§ 1 — Introduction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§ 2 — Literature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§ 3.1 — Data &amp; 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DataPrep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Table 1.1  FeatureMatrix (1.2)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Feature importance, coverage stats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§ 3.2 — Weak Supervision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WeakSup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Table 2.1  renegotiation_prob (2.2)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LF accuracy, label model calibration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§ 3.3 — Repr. Learning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Stage1Tr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Table 3.2 / 3.3  Stage1_results (3.4)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AUC, F1 across 9 condition × model runs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§ 3.4 — Meta-Learning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Stage2Tr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Table 4.1 / 4.2  FinalOutput (4.3)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Few-shot AUC on held-out departments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§ 4 — Experiments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 stages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 tables above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Ablation: WA vs. BB vs. WC; N/K sensitivity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§ 5 — Discussion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§ 6 — Conclusion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5.1 — Cross-reference between thesis chapters and pipeline stages</w:t>
      </w:r>
    </w:p>
    <w:p>
      <w:r>
        <w:t xml:space="preserve"/>
      </w:r>
    </w:p>
    <w:p>
      <w:pPr>
        <w:pStyle w:val="Heading1"/>
      </w:pPr>
      <w:r>
        <w:t xml:space="preserve">7.  Data Lineage Summary</w:t>
      </w:r>
    </w:p>
    <w:p>
      <w:r>
        <w:t xml:space="preserve">The diagram below traces the complete ancestry of each final prediction from raw source to output.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1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Artefact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Created By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Consumes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Consumed 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FeatureMatrix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DataPrep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D1, D2, D3, D4, D5, D6 (raw)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WeakSup, Stage1Tr, Stage2Tr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renegotiation_prob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WeakSup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FeatureMatrix + Labeling Functions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Stage1Tr (WA &amp; WC conditions)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GoldInput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External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Manual annotation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Stage1Tr (BB &amp; WC conditions)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MLPWeights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Stage1Tr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FeatureMatrix + renegotiation_prob + Gold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Stage2Tr (MAML backbone)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FinalOutput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Stage2Tr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MLPWeights + FeatureMatrix (unseen depts)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Thesis evaluation, reporting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6.1 — Complete data lineage for all named pipeline artefacts</w:t>
      </w:r>
    </w:p>
    <w:p>
      <w:r>
        <w:t xml:space="preserve"/>
      </w:r>
    </w:p>
    <w:p>
      <w:r>
        <w:rPr>
          <w:i/>
          <w:iCs/>
        </w:rPr>
        <w:t xml:space="preserve">Note: All intermediate artefacts should be versioned and stored with stage metadata (run timestamp, git SHA, hyperparameters) to ensure full reproducibility of thesis results.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Master Thesis — Pipeline Data Flow &amp; Table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55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55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2026-04-17T07:13:41.665Z</dcterms:created>
  <dcterms:modified xsi:type="dcterms:W3CDTF">2026-04-17T07:13:41.665Z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