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990000"/>
          <w:sz w:val="52"/>
        </w:rPr>
        <w:t>Stage 2 — Technical Analysis</w:t>
      </w:r>
    </w:p>
    <w:p>
      <w:r>
        <w:rPr>
          <w:i/>
          <w:color w:val="333333"/>
          <w:sz w:val="24"/>
        </w:rPr>
        <w:t>Signal Fusion with Meta-Learners — Implementation notes, diagnostics, and SHAP</w:t>
      </w:r>
    </w:p>
    <w:p/>
    <w:p>
      <w:pPr>
        <w:pStyle w:val="Heading1"/>
      </w:pPr>
      <w:r>
        <w:t>Scope of this document</w:t>
      </w:r>
    </w:p>
    <w:p>
      <w:pPr/>
      <w:r>
        <w:t>This document describes the current state of the Stage 2 meta-adaptation pipeline, focusing on implementation, label-free diagnostics, and the explainability layer that was added on top. Gold-label-driven performance conclusions (AUROC, NDCG, calibration) are deliberately out of scope here — they are produced by the dashboard notebook from the metrics.csv artifacts of each experiment and will be analysed separately in the results chapter.</w:t>
      </w:r>
    </w:p>
    <w:p>
      <w:pPr>
        <w:pStyle w:val="Heading1"/>
      </w:pPr>
      <w:r>
        <w:t>1. Overview of Stage 2</w:t>
      </w:r>
    </w:p>
    <w:p>
      <w:pPr/>
      <w:r>
        <w:t>Stage 2 takes the pretrained Stage 1 MLP and exposes it to department-level few-shot adaptation tasks. Five methods are supported as of the current refactor:</w:t>
      </w:r>
    </w:p>
    <w:p>
      <w:pPr>
        <w:pStyle w:val="ListBullet"/>
      </w:pPr>
      <w:r>
        <w:t>zero_shot — the Stage 1 MLP evaluated on target episodes with no adaptation. Acts as the pure no-adapt floor.</w:t>
      </w:r>
    </w:p>
    <w:p>
      <w:pPr>
        <w:pStyle w:val="ListBullet"/>
      </w:pPr>
      <w:r>
        <w:t>finetune — per-episode gradient descent on the support set, starting from Stage 1 weights.</w:t>
      </w:r>
    </w:p>
    <w:p>
      <w:pPr>
        <w:pStyle w:val="ListBullet"/>
      </w:pPr>
      <w:r>
        <w:t>ANIL — adapts only the final classification head in the inner loop; feature extractor is held fixed.</w:t>
      </w:r>
    </w:p>
    <w:p>
      <w:pPr>
        <w:pStyle w:val="ListBullet"/>
      </w:pPr>
      <w:r>
        <w:t>FOMAML — first-order MAML (create_graph=False in the inner loop).</w:t>
      </w:r>
    </w:p>
    <w:p>
      <w:pPr>
        <w:pStyle w:val="ListBullet"/>
      </w:pPr>
      <w:r>
        <w:t>MAML — full second-order MAML (create_graph=True).</w:t>
      </w:r>
    </w:p>
    <w:p>
      <w:pPr/>
      <w:r>
        <w:t>Every method consumes the same contract-aware episode sampler, the same Stage 1 preprocessor, and the same target-episode list, so results are directly comparable once gold-label scoring is applied.</w:t>
      </w:r>
    </w:p>
    <w:p>
      <w:pPr>
        <w:pStyle w:val="Heading1"/>
      </w:pPr>
      <w:r>
        <w:t>2. Refactored module layout</w:t>
      </w:r>
    </w:p>
    <w:tbl>
      <w:tblPr>
        <w:tblStyle w:val="LightGrid-Accent1"/>
        <w:tblW w:type="auto" w:w="0"/>
        <w:tblLayout w:type="fixed"/>
        <w:tblLook w:firstColumn="1" w:firstRow="1" w:lastColumn="0" w:lastRow="0" w:noHBand="0" w:noVBand="1" w:val="04A0"/>
      </w:tblPr>
      <w:tblGrid>
        <w:gridCol w:w="4320"/>
        <w:gridCol w:w="4320"/>
      </w:tblGrid>
      <w:tr>
        <w:tc>
          <w:tcPr>
            <w:tcW w:type="dxa" w:w="2880"/>
            <w:shd w:val="clear" w:color="auto" w:fill="D9E2F3"/>
          </w:tcPr>
          <w:p>
            <w:r>
              <w:rPr>
                <w:b/>
              </w:rPr>
              <w:t>Module</w:t>
            </w:r>
          </w:p>
        </w:tc>
        <w:tc>
          <w:tcPr>
            <w:tcW w:type="dxa" w:w="6624"/>
            <w:shd w:val="clear" w:color="auto" w:fill="D9E2F3"/>
          </w:tcPr>
          <w:p>
            <w:r>
              <w:rPr>
                <w:b/>
              </w:rPr>
              <w:t>Responsibility</w:t>
            </w:r>
          </w:p>
        </w:tc>
      </w:tr>
      <w:tr>
        <w:tc>
          <w:tcPr>
            <w:tcW w:type="dxa" w:w="2880"/>
          </w:tcPr>
          <w:p>
            <w:r>
              <w:t>stage2.py</w:t>
            </w:r>
          </w:p>
        </w:tc>
        <w:tc>
          <w:tcPr>
            <w:tcW w:type="dxa" w:w="6624"/>
          </w:tcPr>
          <w:p>
            <w:r>
              <w:t>Orchestration: config loading, experiment grids, method dispatch, artifact persistence, legacy backfill.</w:t>
            </w:r>
          </w:p>
        </w:tc>
      </w:tr>
      <w:tr>
        <w:tc>
          <w:tcPr>
            <w:tcW w:type="dxa" w:w="2880"/>
          </w:tcPr>
          <w:p>
            <w:r>
              <w:t>meta_common.py</w:t>
            </w:r>
          </w:p>
        </w:tc>
        <w:tc>
          <w:tcPr>
            <w:tcW w:type="dxa" w:w="6624"/>
          </w:tcPr>
          <w:p>
            <w:r>
              <w:t>Shared helpers: tensor preparation, collapse detection, deterministic per-iteration seeding, grad-norm computation, episode prediction-frame builder, zero-shot evaluator.</w:t>
            </w:r>
          </w:p>
        </w:tc>
      </w:tr>
      <w:tr>
        <w:tc>
          <w:tcPr>
            <w:tcW w:type="dxa" w:w="2880"/>
          </w:tcPr>
          <w:p>
            <w:r>
              <w:t>anil.py / maml.py / FOMAML.py</w:t>
            </w:r>
          </w:p>
        </w:tc>
        <w:tc>
          <w:tcPr>
            <w:tcW w:type="dxa" w:w="6624"/>
          </w:tcPr>
          <w:p>
            <w:r>
              <w:t>Method-specific inner-loop adaptation and outer-loop meta-training.</w:t>
            </w:r>
          </w:p>
        </w:tc>
      </w:tr>
      <w:tr>
        <w:tc>
          <w:tcPr>
            <w:tcW w:type="dxa" w:w="2880"/>
          </w:tcPr>
          <w:p>
            <w:r>
              <w:t>episode_sampler.py</w:t>
            </w:r>
          </w:p>
        </w:tc>
        <w:tc>
          <w:tcPr>
            <w:tcW w:type="dxa" w:w="6624"/>
          </w:tcPr>
          <w:p>
            <w:r>
              <w:t>Contract-aware department task table, support/query splitting, Logistics meta-test split.</w:t>
            </w:r>
          </w:p>
        </w:tc>
      </w:tr>
      <w:tr>
        <w:tc>
          <w:tcPr>
            <w:tcW w:type="dxa" w:w="2880"/>
          </w:tcPr>
          <w:p>
            <w:r>
              <w:t>explainability.py</w:t>
            </w:r>
          </w:p>
        </w:tc>
        <w:tc>
          <w:tcPr>
            <w:tcW w:type="dxa" w:w="6624"/>
          </w:tcPr>
          <w:p>
            <w:r>
              <w:t>SHAP pipeline (deep→gradient→kernel fallback), MLP embedding extraction, 2-D projections, view-level aggregation.</w:t>
            </w:r>
          </w:p>
        </w:tc>
      </w:tr>
      <w:tr>
        <w:tc>
          <w:tcPr>
            <w:tcW w:type="dxa" w:w="2880"/>
          </w:tcPr>
          <w:p>
            <w:r>
              <w:t>plotting.py</w:t>
            </w:r>
          </w:p>
        </w:tc>
        <w:tc>
          <w:tcPr>
            <w:tcW w:type="dxa" w:w="6624"/>
          </w:tcPr>
          <w:p>
            <w:r>
              <w:t>Reusable matplotlib plotting functions for every dashboard section.</w:t>
            </w:r>
          </w:p>
        </w:tc>
      </w:tr>
    </w:tbl>
    <w:p>
      <w:pPr/>
      <w:r>
        <w:t>The consolidation in meta_common.py removes the ~95% of code duplicated across maml.py, FOMAML.py, and anil.py (tensor prep, loss handling, prediction-frame construction) and introduces the diagnostics described in Sections 3 and 4.</w:t>
      </w:r>
    </w:p>
    <w:p>
      <w:pPr>
        <w:pStyle w:val="Heading1"/>
      </w:pPr>
      <w:r>
        <w:t>3. Zero-shot baseline</w:t>
      </w:r>
    </w:p>
    <w:p>
      <w:pPr/>
      <w:r>
        <w:t>The new zero_shot method runs the pretrained Stage 1 MLP directly on each target episode's query set, with no adaptation of any kind. It is the correct reference point for every adaptive method (finetune, ANIL, FOMAML, MAML) because it isolates the contribution of Stage 2 adaptation from the underlying pretrained representation.</w:t>
      </w:r>
    </w:p>
    <w:p>
      <w:pPr/>
      <w:r>
        <w:t>Pipeline wiring:</w:t>
      </w:r>
    </w:p>
    <w:p>
      <w:pPr>
        <w:pStyle w:val="ListBullet"/>
      </w:pPr>
      <w:r>
        <w:t>stage2.yaml gains two new presets: zero_shot_only (floor across all three inits) and five_method_benchmark (zero_shot + 4 adaptive methods).</w:t>
      </w:r>
    </w:p>
    <w:p>
      <w:pPr>
        <w:pStyle w:val="ListBullet"/>
      </w:pPr>
      <w:r>
        <w:t>run_stage2_method() dispatches 'zero_shot' to run_zero_shot_method().</w:t>
      </w:r>
    </w:p>
    <w:p>
      <w:pPr>
        <w:pStyle w:val="ListBullet"/>
      </w:pPr>
      <w:r>
        <w:t>evaluate_zero_shot_on_target_episodes() in meta_common.py handles the per-episode loop.</w:t>
      </w:r>
    </w:p>
    <w:p>
      <w:pPr>
        <w:pStyle w:val="ListBullet"/>
      </w:pPr>
      <w:r>
        <w:t>The resulting metrics.csv / predictions.csv artifacts are schema-compatible with the adaptive methods, so the dashboard treats zero_shot as just another method.</w:t>
      </w:r>
    </w:p>
    <w:p>
      <w:pPr>
        <w:pStyle w:val="Heading1"/>
      </w:pPr>
      <w:r>
        <w:t>4. Collapse and prediction-distribution diagnostic</w:t>
      </w:r>
    </w:p>
    <w:p>
      <w:pPr/>
      <w:r>
        <w:t>A common failure mode for MAML-family learners is that meta-training destabilises the initialisation and the adapted model produces near-constant predictions on the query set. When this happens, gold-label scores are uninformative: AUROC may be 0.5 regardless of true signal, and calibration becomes meaningless.</w:t>
      </w:r>
    </w:p>
    <w:p>
      <w:pPr/>
      <w:r>
        <w:t>compute_prediction_stats() in meta_common.py produces a label-free summary for each episode's prediction vector and flags collapse when:</w:t>
      </w:r>
    </w:p>
    <w:p>
      <w:pPr>
        <w:pStyle w:val="ListBullet"/>
      </w:pPr>
      <w:r>
        <w:t>predictive standard deviation &lt; 0.01 (all predictions are essentially equal), or</w:t>
      </w:r>
    </w:p>
    <w:p>
      <w:pPr>
        <w:pStyle w:val="ListBullet"/>
      </w:pPr>
      <w:r>
        <w:t>predictive mean &lt; 0.02 or &gt; 0.98 (model is stuck on one class).</w:t>
      </w:r>
    </w:p>
    <w:p>
      <w:pPr/>
      <w:r>
        <w:t>The diagnostic is emitted as prediction_stats.csv next to metrics.csv for every Stage 2 experiment. The summarize_stage2_result() function also rolls the per-episode stats up into experiment_summary.csv, adding:</w:t>
      </w:r>
    </w:p>
    <w:tbl>
      <w:tblPr>
        <w:tblStyle w:val="LightGrid-Accent1"/>
        <w:tblW w:type="auto" w:w="0"/>
        <w:tblLayout w:type="fixed"/>
        <w:tblLook w:firstColumn="1" w:firstRow="1" w:lastColumn="0" w:lastRow="0" w:noHBand="0" w:noVBand="1" w:val="04A0"/>
      </w:tblPr>
      <w:tblGrid>
        <w:gridCol w:w="4320"/>
        <w:gridCol w:w="4320"/>
      </w:tblGrid>
      <w:tr>
        <w:tc>
          <w:tcPr>
            <w:tcW w:type="dxa" w:w="2592"/>
            <w:shd w:val="clear" w:color="auto" w:fill="D9E2F3"/>
          </w:tcPr>
          <w:p>
            <w:r>
              <w:rPr>
                <w:b/>
              </w:rPr>
              <w:t>Column</w:t>
            </w:r>
          </w:p>
        </w:tc>
        <w:tc>
          <w:tcPr>
            <w:tcW w:type="dxa" w:w="6912"/>
            <w:shd w:val="clear" w:color="auto" w:fill="D9E2F3"/>
          </w:tcPr>
          <w:p>
            <w:r>
              <w:rPr>
                <w:b/>
              </w:rPr>
              <w:t>Meaning</w:t>
            </w:r>
          </w:p>
        </w:tc>
      </w:tr>
      <w:tr>
        <w:tc>
          <w:tcPr>
            <w:tcW w:type="dxa" w:w="2592"/>
          </w:tcPr>
          <w:p>
            <w:r>
              <w:t>collapse_rate</w:t>
            </w:r>
          </w:p>
        </w:tc>
        <w:tc>
          <w:tcPr>
            <w:tcW w:type="dxa" w:w="6912"/>
          </w:tcPr>
          <w:p>
            <w:r>
              <w:t>Fraction of target episodes where the prediction vector was flagged as collapsed.</w:t>
            </w:r>
          </w:p>
        </w:tc>
      </w:tr>
      <w:tr>
        <w:tc>
          <w:tcPr>
            <w:tcW w:type="dxa" w:w="2592"/>
          </w:tcPr>
          <w:p>
            <w:r>
              <w:t>pred_std_mean</w:t>
            </w:r>
          </w:p>
        </w:tc>
        <w:tc>
          <w:tcPr>
            <w:tcW w:type="dxa" w:w="6912"/>
          </w:tcPr>
          <w:p>
            <w:r>
              <w:t>Average within-episode standard deviation of predicted probability.</w:t>
            </w:r>
          </w:p>
        </w:tc>
      </w:tr>
      <w:tr>
        <w:tc>
          <w:tcPr>
            <w:tcW w:type="dxa" w:w="2592"/>
          </w:tcPr>
          <w:p>
            <w:r>
              <w:t>pred_mean_mean</w:t>
            </w:r>
          </w:p>
        </w:tc>
        <w:tc>
          <w:tcPr>
            <w:tcW w:type="dxa" w:w="6912"/>
          </w:tcPr>
          <w:p>
            <w:r>
              <w:t>Average within-episode mean predicted probability.</w:t>
            </w:r>
          </w:p>
        </w:tc>
      </w:tr>
      <w:tr>
        <w:tc>
          <w:tcPr>
            <w:tcW w:type="dxa" w:w="2592"/>
          </w:tcPr>
          <w:p>
            <w:r>
              <w:t>frac_near_zero_mean</w:t>
            </w:r>
          </w:p>
        </w:tc>
        <w:tc>
          <w:tcPr>
            <w:tcW w:type="dxa" w:w="6912"/>
          </w:tcPr>
          <w:p>
            <w:r>
              <w:t>Average fraction of predictions below 0.05.</w:t>
            </w:r>
          </w:p>
        </w:tc>
      </w:tr>
      <w:tr>
        <w:tc>
          <w:tcPr>
            <w:tcW w:type="dxa" w:w="2592"/>
          </w:tcPr>
          <w:p>
            <w:r>
              <w:t>frac_near_one_mean</w:t>
            </w:r>
          </w:p>
        </w:tc>
        <w:tc>
          <w:tcPr>
            <w:tcW w:type="dxa" w:w="6912"/>
          </w:tcPr>
          <w:p>
            <w:r>
              <w:t>Average fraction of predictions above 0.95.</w:t>
            </w:r>
          </w:p>
        </w:tc>
      </w:tr>
    </w:tbl>
    <w:p>
      <w:pPr/>
      <w:r>
        <w:t>Notebook 17 runs a post-execution sanity check that highlights any experiment with collapse_rate &gt; 0.5 and the dashboard notebook (17.1) plots per-method collapse curves in its new Collapse &amp; Prediction Distribution Diagnostic section.</w:t>
      </w:r>
    </w:p>
    <w:p>
      <w:pPr>
        <w:pStyle w:val="Heading1"/>
      </w:pPr>
      <w:r>
        <w:t>5. SHAP explainability</w:t>
      </w:r>
    </w:p>
    <w:p>
      <w:pPr/>
      <w:r>
        <w:t>explainability.py provides a gold-label-free SHAP pipeline built around three explainer backends with a deterministic fallback chain:</w:t>
      </w:r>
    </w:p>
    <w:p>
      <w:pPr>
        <w:pStyle w:val="ListNumber"/>
      </w:pPr>
      <w:r>
        <w:t>shap.DeepExplainer — preferred for the TabularMLP. The helper _clone_mlp_for_shap() deep-copies the model and forces every BatchNorm layer into eval() mode so running statistics are used during attribution.</w:t>
      </w:r>
    </w:p>
    <w:p>
      <w:pPr>
        <w:pStyle w:val="ListNumber"/>
      </w:pPr>
      <w:r>
        <w:t>shap.GradientExplainer — used if DeepExplainer raises (e.g. on unusual activations).</w:t>
      </w:r>
    </w:p>
    <w:p>
      <w:pPr>
        <w:pStyle w:val="ListNumber"/>
      </w:pPr>
      <w:r>
        <w:t>shap.KernelExplainer — final fallback; model-agnostic, slower, but always runs.</w:t>
      </w:r>
    </w:p>
    <w:p>
      <w:pPr/>
      <w:r>
        <w:t>Core API:</w:t>
      </w:r>
    </w:p>
    <w:p>
      <w:pPr>
        <w:ind w:left="360"/>
      </w:pPr>
      <w:r>
        <w:rPr>
          <w:rFonts w:ascii="Consolas" w:hAnsi="Consolas"/>
          <w:color w:val="333333"/>
          <w:sz w:val="19"/>
        </w:rPr>
        <w:t>run_full_shap_pipeline(model, X_bg, X_explain, feature_names,</w:t>
        <w:br/>
        <w:t xml:space="preserve">                       method='deep', background_size=100,</w:t>
        <w:br/>
        <w:t xml:space="preserve">                       output_space='logit') -&gt; ShapResult</w:t>
        <w:br/>
        <w:t>run_pre_post_shap_pipeline(model_pre, model_post,</w:t>
        <w:br/>
        <w:t xml:space="preserve">                           X_bg, X_explain, feature_names) -&gt; (ShapResult, ShapResult)</w:t>
        <w:br/>
        <w:t>aggregate_shap_by_view(shap_result, feature_view_map) -&gt; pd.DataFrame</w:t>
        <w:br/>
        <w:t>compute_shap_delta(shap_pre, shap_post) -&gt; pd.DataFrame</w:t>
        <w:br/>
        <w:t>shap_feature_ranking(shap_result, top_k=20) -&gt; pd.DataFrame</w:t>
      </w:r>
    </w:p>
    <w:p>
      <w:pPr/>
      <w:r>
        <w:t>ShapResult wraps the raw value array and provides as_frame() for long-form analysis and mean_abs() for global importance. build_feature_view_map() maps column prefixes (fin_, esg_, news_, market_, lpi_, macro_, …) to the seven top-level views (financial, esg, news, market, macro/logistics, contract_core, availability) so aggregate_shap_by_view() can produce the view-level stacked importance chart.</w:t>
      </w:r>
    </w:p>
    <w:p>
      <w:pPr/>
      <w:r>
        <w:t>Embeddings. extract_mlp_embeddings(layer='penultimate' | 'input' | 'logit') returns the hidden representation of a batch. compute_2d_projection() supports PCA, t-SNE, and UMAP (with a graceful fallback to PCA if UMAP is not installed) and returns a ProjectionResult dataclass. compute_embedding_shift() measures the euclidean or cosine distance between the pretrained and adapted representations for the same query set — this is the quantitative counterpart to the pre/post projection scatter plot.</w:t>
      </w:r>
    </w:p>
    <w:p>
      <w:pPr/>
      <w:r>
        <w:t>None of this path requires the gold label. Attributions, embeddings, and projections all depend only on features and the model, which makes them safe to inspect before the gold-label results chapter.</w:t>
      </w:r>
    </w:p>
    <w:p>
      <w:pPr>
        <w:pStyle w:val="Heading1"/>
      </w:pPr>
      <w:r>
        <w:t>6. Dashboard notebooks</w:t>
      </w:r>
    </w:p>
    <w:p>
      <w:pPr>
        <w:pStyle w:val="Heading2"/>
      </w:pPr>
      <w:r>
        <w:t>6.1 Notebook 17 — controller</w:t>
      </w:r>
    </w:p>
    <w:p>
      <w:pPr>
        <w:pStyle w:val="ListBullet"/>
      </w:pPr>
      <w:r>
        <w:t>PRESET docstring now lists five_method_benchmark (new default) and zero_shot_only alongside the legacy presets.</w:t>
      </w:r>
    </w:p>
    <w:p>
      <w:pPr>
        <w:pStyle w:val="ListBullet"/>
      </w:pPr>
      <w:r>
        <w:t>New 'Post-run Sanity Check' cell loads prediction_stats.csv for every experiment in the current batch, reports collapse_rate and pred_std_mean, and flags any experiment with collapse_rate &gt; 0.5 for manual inspection in the dashboard.</w:t>
      </w:r>
    </w:p>
    <w:p>
      <w:pPr>
        <w:pStyle w:val="ListBullet"/>
      </w:pPr>
      <w:r>
        <w:t>METHODS_OVERRIDE comment updated to list zero_shot as a valid option.</w:t>
      </w:r>
    </w:p>
    <w:p>
      <w:pPr>
        <w:pStyle w:val="Heading2"/>
      </w:pPr>
      <w:r>
        <w:t>6.2 Notebook 17.1 — analysis dashboard</w:t>
      </w:r>
    </w:p>
    <w:p>
      <w:pPr/>
      <w:r>
        <w:t>Four new sections were added to the dashboard, all label-free:</w:t>
      </w:r>
    </w:p>
    <w:p>
      <w:pPr>
        <w:pStyle w:val="ListNumber"/>
      </w:pPr>
      <w:r>
        <w:t>Meta-Training Dynamics — uses plot_meta_training_curve() to draw the outer-loop meta-loss trajectory (plus grad_norm when present) for every adaptive experiment in the current filter.</w:t>
      </w:r>
    </w:p>
    <w:p>
      <w:pPr>
        <w:pStyle w:val="ListNumber"/>
      </w:pPr>
      <w:r>
        <w:t>Collapse &amp; Prediction-Distribution Diagnostic — loads prediction_stats.csv for each experiment, calls plot_collapse_rate() and plot_episode_prediction_stats() to render per-method bar charts, and shows a per-method summary table.</w:t>
      </w:r>
    </w:p>
    <w:p>
      <w:pPr>
        <w:pStyle w:val="ListNumber"/>
      </w:pPr>
      <w:r>
        <w:t>Embedding Projections — scaffolded cell that reloads a representative experiment's model and projects its penultimate-layer representation with compute_2d_projection(). Users can extend it to render plot_department_embedding_projection() and plot_pre_post_adaptation_projection().</w:t>
      </w:r>
    </w:p>
    <w:p>
      <w:pPr>
        <w:pStyle w:val="ListNumber"/>
      </w:pPr>
      <w:r>
        <w:t>SHAP Explainability — scaffold for run_pre_post_shap_pipeline() that drives plot_shap_summary_bar(), plot_view_level_shap_importance(), and plot_shap_delta_importance().</w:t>
      </w:r>
    </w:p>
    <w:p>
      <w:pPr/>
      <w:r>
        <w:t>All plotting helpers are reusable: they live in plotting.py and accept standardised DataFrames, so the same call sites work across experiments and across the Logistics meta-test target used in the thesis.</w:t>
      </w:r>
    </w:p>
    <w:p>
      <w:pPr>
        <w:pStyle w:val="Heading1"/>
      </w:pPr>
      <w:r>
        <w:t>7. Configuration presets</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592"/>
            <w:shd w:val="clear" w:color="auto" w:fill="D9E2F3"/>
          </w:tcPr>
          <w:p>
            <w:r>
              <w:rPr>
                <w:b/>
              </w:rPr>
              <w:t>Preset</w:t>
            </w:r>
          </w:p>
        </w:tc>
        <w:tc>
          <w:tcPr>
            <w:tcW w:type="dxa" w:w="2880"/>
            <w:shd w:val="clear" w:color="auto" w:fill="D9E2F3"/>
          </w:tcPr>
          <w:p>
            <w:r>
              <w:rPr>
                <w:b/>
              </w:rPr>
              <w:t>Methods</w:t>
            </w:r>
          </w:p>
        </w:tc>
        <w:tc>
          <w:tcPr>
            <w:tcW w:type="dxa" w:w="4032"/>
            <w:shd w:val="clear" w:color="auto" w:fill="D9E2F3"/>
          </w:tcPr>
          <w:p>
            <w:r>
              <w:rPr>
                <w:b/>
              </w:rPr>
              <w:t>Purpose</w:t>
            </w:r>
          </w:p>
        </w:tc>
      </w:tr>
      <w:tr>
        <w:tc>
          <w:tcPr>
            <w:tcW w:type="dxa" w:w="2592"/>
          </w:tcPr>
          <w:p>
            <w:r>
              <w:t>zero_shot_only</w:t>
            </w:r>
          </w:p>
        </w:tc>
        <w:tc>
          <w:tcPr>
            <w:tcW w:type="dxa" w:w="2880"/>
          </w:tcPr>
          <w:p>
            <w:r>
              <w:t>zero_shot</w:t>
            </w:r>
          </w:p>
        </w:tc>
        <w:tc>
          <w:tcPr>
            <w:tcW w:type="dxa" w:w="4032"/>
          </w:tcPr>
          <w:p>
            <w:r>
              <w:t>No-adapt floor across all three Stage 1 inits.</w:t>
            </w:r>
          </w:p>
        </w:tc>
      </w:tr>
      <w:tr>
        <w:tc>
          <w:tcPr>
            <w:tcW w:type="dxa" w:w="2592"/>
          </w:tcPr>
          <w:p>
            <w:r>
              <w:t>five_method_benchmark</w:t>
            </w:r>
          </w:p>
        </w:tc>
        <w:tc>
          <w:tcPr>
            <w:tcW w:type="dxa" w:w="2880"/>
          </w:tcPr>
          <w:p>
            <w:r>
              <w:t>zero_shot + 4 adaptive</w:t>
            </w:r>
          </w:p>
        </w:tc>
        <w:tc>
          <w:tcPr>
            <w:tcW w:type="dxa" w:w="4032"/>
          </w:tcPr>
          <w:p>
            <w:r>
              <w:t>Main Stage 2 table: floor + every adaptive method at kpos=kneg=2, inner_steps ∈ {1,3,5}, meta_batch_size=4.</w:t>
            </w:r>
          </w:p>
        </w:tc>
      </w:tr>
      <w:tr>
        <w:tc>
          <w:tcPr>
            <w:tcW w:type="dxa" w:w="2592"/>
          </w:tcPr>
          <w:p>
            <w:r>
              <w:t>four_method_benchmark</w:t>
            </w:r>
          </w:p>
        </w:tc>
        <w:tc>
          <w:tcPr>
            <w:tcW w:type="dxa" w:w="2880"/>
          </w:tcPr>
          <w:p>
            <w:r>
              <w:t>4 adaptive</w:t>
            </w:r>
          </w:p>
        </w:tc>
        <w:tc>
          <w:tcPr>
            <w:tcW w:type="dxa" w:w="4032"/>
          </w:tcPr>
          <w:p>
            <w:r>
              <w:t>Legacy 4-method comparison (inner_steps ∈ {1,3,5}, meta_batch_size=4).</w:t>
            </w:r>
          </w:p>
        </w:tc>
      </w:tr>
      <w:tr>
        <w:tc>
          <w:tcPr>
            <w:tcW w:type="dxa" w:w="2592"/>
          </w:tcPr>
          <w:p>
            <w:r>
              <w:t>four_method_quick</w:t>
            </w:r>
          </w:p>
        </w:tc>
        <w:tc>
          <w:tcPr>
            <w:tcW w:type="dxa" w:w="2880"/>
          </w:tcPr>
          <w:p>
            <w:r>
              <w:t>4 adaptive</w:t>
            </w:r>
          </w:p>
        </w:tc>
        <w:tc>
          <w:tcPr>
            <w:tcW w:type="dxa" w:w="4032"/>
          </w:tcPr>
          <w:p>
            <w:r>
              <w:t>Pipeline sanity test (~2 min, meta_iterations=5, n_repeats=3).</w:t>
            </w:r>
          </w:p>
        </w:tc>
      </w:tr>
      <w:tr>
        <w:tc>
          <w:tcPr>
            <w:tcW w:type="dxa" w:w="2592"/>
          </w:tcPr>
          <w:p>
            <w:r>
              <w:t>thesis_main</w:t>
            </w:r>
          </w:p>
        </w:tc>
        <w:tc>
          <w:tcPr>
            <w:tcW w:type="dxa" w:w="2880"/>
          </w:tcPr>
          <w:p>
            <w:r>
              <w:t>4 adaptive</w:t>
            </w:r>
          </w:p>
        </w:tc>
        <w:tc>
          <w:tcPr>
            <w:tcW w:type="dxa" w:w="4032"/>
          </w:tcPr>
          <w:p>
            <w:r>
              <w:t>Full grid: 4 methods × 3 support sizes × 2 inner_steps × 2 inits (48 experiments).</w:t>
            </w:r>
          </w:p>
        </w:tc>
      </w:tr>
      <w:tr>
        <w:tc>
          <w:tcPr>
            <w:tcW w:type="dxa" w:w="2592"/>
          </w:tcPr>
          <w:p>
            <w:r>
              <w:t>quick_debug</w:t>
            </w:r>
          </w:p>
        </w:tc>
        <w:tc>
          <w:tcPr>
            <w:tcW w:type="dxa" w:w="2880"/>
          </w:tcPr>
          <w:p>
            <w:r>
              <w:t>2 methods</w:t>
            </w:r>
          </w:p>
        </w:tc>
        <w:tc>
          <w:tcPr>
            <w:tcW w:type="dxa" w:w="4032"/>
          </w:tcPr>
          <w:p>
            <w:r>
              <w:t>Minimal debug.</w:t>
            </w:r>
          </w:p>
        </w:tc>
      </w:tr>
      <w:tr>
        <w:tc>
          <w:tcPr>
            <w:tcW w:type="dxa" w:w="2592"/>
          </w:tcPr>
          <w:p>
            <w:r>
              <w:t>imbalance_debug</w:t>
            </w:r>
          </w:p>
        </w:tc>
        <w:tc>
          <w:tcPr>
            <w:tcW w:type="dxa" w:w="2880"/>
          </w:tcPr>
          <w:p>
            <w:r>
              <w:t>imbalanced support</w:t>
            </w:r>
          </w:p>
        </w:tc>
        <w:tc>
          <w:tcPr>
            <w:tcW w:type="dxa" w:w="4032"/>
          </w:tcPr>
          <w:p>
            <w:r>
              <w:t>Checks the imbalanced support-size path.</w:t>
            </w:r>
          </w:p>
        </w:tc>
      </w:tr>
    </w:tbl>
    <w:p>
      <w:pPr>
        <w:pStyle w:val="Heading1"/>
      </w:pPr>
      <w:r>
        <w:t>8. Remaining improvements (label-free)</w:t>
      </w:r>
    </w:p>
    <w:p>
      <w:pPr/>
      <w:r>
        <w:t>The following items are the remaining Stage 2 engineering tasks that do not depend on the gold-label analysis:</w:t>
      </w:r>
    </w:p>
    <w:p>
      <w:pPr>
        <w:pStyle w:val="ListNumber"/>
      </w:pPr>
      <w:r>
        <w:t>Consolidate _prepare_tensors calls in maml.py, FOMAML.py, and anil.py to use meta_common.prepare_episode_tensors, removing the remaining duplication.</w:t>
      </w:r>
    </w:p>
    <w:p>
      <w:pPr>
        <w:pStyle w:val="ListNumber"/>
      </w:pPr>
      <w:r>
        <w:t>Emit grad_norm in every meta_train_* history row using meta_common.total_grad_norm, so the training-curve plot in notebook 17.1 can show gradient stability.</w:t>
      </w:r>
    </w:p>
    <w:p>
      <w:pPr>
        <w:pStyle w:val="ListNumber"/>
      </w:pPr>
      <w:r>
        <w:t>Tag every meta_train_* outer iteration with meta_common.iteration_seed(base_seed, iteration) to make meta-batch sampling fully reproducible across re-runs.</w:t>
      </w:r>
    </w:p>
    <w:p>
      <w:pPr>
        <w:pStyle w:val="ListNumber"/>
      </w:pPr>
      <w:r>
        <w:t>Expose the inner_lr and meta_batch_size schedule as a small YAML sweep (the current config only varies inner_steps).</w:t>
      </w:r>
    </w:p>
    <w:p>
      <w:pPr>
        <w:pStyle w:val="ListNumber"/>
      </w:pPr>
      <w:r>
        <w:t>Cache the projected 2-D embeddings per experiment so the dashboard doesn't need to re-run PCA/t-SNE on every dashboard open.</w:t>
      </w:r>
    </w:p>
    <w:p>
      <w:pPr>
        <w:pStyle w:val="ListNumber"/>
      </w:pPr>
      <w:r>
        <w:t>Add a notebook 17.2 that wires the embedding + SHAP scaffolds in the dashboard to their actual model/preprocessor load paths (kept as scaffolds here so the dashboard stays runnable even when a particular experiment's model file is missing).</w:t>
      </w:r>
    </w:p>
    <w:p>
      <w:pPr>
        <w:pStyle w:val="ListNumber"/>
      </w:pPr>
      <w:r>
        <w:t>Move the BatchNorm-eval clone logic from explainability.py into a single _clone_for_shap helper that also handles LayerNorm, so the attribution code stays valid if the MLP architecture evolves.</w:t>
      </w:r>
    </w:p>
    <w:p>
      <w:pPr>
        <w:pStyle w:val="Heading1"/>
      </w:pPr>
      <w:r>
        <w:t>9. Reproducibility</w:t>
      </w:r>
    </w:p>
    <w:p>
      <w:pPr>
        <w:pStyle w:val="ListBullet"/>
      </w:pPr>
      <w:r>
        <w:t>seed_everything() seeds Python, numpy, and torch (including CUDA); cudnn.deterministic is intentionally not enabled because it trades significant speed for bit-exactness and episode sampling is already seed-controlled.</w:t>
      </w:r>
    </w:p>
    <w:p>
      <w:pPr>
        <w:pStyle w:val="ListBullet"/>
      </w:pPr>
      <w:r>
        <w:t>iteration_seed(base_seed, iteration) returns a deterministic per-outer-iteration seed (base_seed + 101 × iteration) for meta-batch sampling.</w:t>
      </w:r>
    </w:p>
    <w:p>
      <w:pPr>
        <w:pStyle w:val="ListBullet"/>
      </w:pPr>
      <w:r>
        <w:t>Every experiment writes resolved_config.yaml alongside its metrics.csv, so the exact hyperparameters are always recoverable.</w:t>
      </w:r>
    </w:p>
    <w:p>
      <w:pPr>
        <w:pStyle w:val="ListBullet"/>
      </w:pPr>
      <w:r>
        <w:t>backfill_legacy_stage2_results() upgrades pre-refactor result directories into the current experiment-ID layout without rerunning the underlying training.</w:t>
      </w:r>
    </w:p>
    <w:p>
      <w:pPr>
        <w:pStyle w:val="Heading1"/>
      </w:pPr>
      <w:r>
        <w:t>10. Summary</w:t>
      </w:r>
    </w:p>
    <w:p>
      <w:pPr/>
      <w:r>
        <w:t>Stage 2 is now organised around a clean method-dispatch layer in stage2.py, a shared meta_common.py helper module, and a full SHAP / embedding explainability stack in explainability.py. The zero-shot baseline and the collapse diagnostic give the results chapter a label-free floor and a label-free failure-mode flag, both of which feed directly into the dashboard notebook. Gold-label scoring remains fully deferred to the downstream analysis notebook and to the main results chapter, so none of the numeric conclusions in this document depend on a specific gold-label outcome.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9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