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Enterprise Architecture Rubric Operational Standard (EAROS) v2.0</w:t>
      </w:r>
    </w:p>
    <w:p>
      <w:pPr>
        <w:pStyle w:val="Author"/>
      </w:pPr>
      <w:r>
        <w:t xml:space="preserve">Thomas Rohde</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f839bad0ab478241ec92f5bfb794a02474a62d0"/>
      <w:r>
        <w:t xml:space="preserve">Enterprise Architecture Rubric Operational Standard (EAROS)</w:t>
      </w:r>
      <w:bookmarkEnd w:id="20"/>
    </w:p>
    <w:p>
      <w:pPr>
        <w:pStyle w:val="FirstParagraph"/>
      </w:pPr>
      <w:r>
        <w:rPr>
          <w:i/>
        </w:rPr>
        <w:t xml:space="preserve">Version: 2.0</w:t>
      </w:r>
      <w:r>
        <w:rPr>
          <w:i/>
        </w:rPr>
        <w:t xml:space="preserve"> </w:t>
      </w:r>
      <w:r>
        <w:rPr>
          <w:i/>
        </w:rPr>
        <w:t xml:space="preserve">Status: Draft for review</w:t>
      </w:r>
      <w:r>
        <w:rPr>
          <w:i/>
        </w:rPr>
        <w:t xml:space="preserve"> </w:t>
      </w:r>
      <w:r>
        <w:rPr>
          <w:i/>
        </w:rPr>
        <w:t xml:space="preserve">Audience: Enterprise architects, architecture boards, design authorities, reviewers, and LLM/automation teams</w:t>
      </w:r>
    </w:p>
    <w:p>
      <w:pPr>
        <w:pStyle w:val="Heading2"/>
      </w:pPr>
      <w:bookmarkStart w:id="21" w:name="purpose"/>
      <w:r>
        <w:t xml:space="preserve">1. Purpose</w:t>
      </w:r>
      <w:bookmarkEnd w:id="21"/>
    </w:p>
    <w:p>
      <w:pPr>
        <w:pStyle w:val="FirstParagraph"/>
      </w:pPr>
      <w:r>
        <w:t xml:space="preserve">This document defines an operational standard for creating, governing, extending, and applying rubrics to enterprise architecture artifacts and related architecture work products.</w:t>
      </w:r>
    </w:p>
    <w:p>
      <w:pPr>
        <w:pStyle w:val="BodyText"/>
      </w:pPr>
      <w:r>
        <w:t xml:space="preserve">The goal is to make architecture evaluation more consistent, more explainable, and more automatable. The standard is designed for both human review and agentic application. It standardizes:</w:t>
      </w:r>
    </w:p>
    <w:p>
      <w:pPr>
        <w:numPr>
          <w:ilvl w:val="0"/>
          <w:numId w:val="1001"/>
        </w:numPr>
        <w:pStyle w:val="Compact"/>
      </w:pPr>
      <w:r>
        <w:t xml:space="preserve">what a rubric is</w:t>
      </w:r>
    </w:p>
    <w:p>
      <w:pPr>
        <w:numPr>
          <w:ilvl w:val="0"/>
          <w:numId w:val="1001"/>
        </w:numPr>
        <w:pStyle w:val="Compact"/>
      </w:pPr>
      <w:r>
        <w:t xml:space="preserve">how a rubric is structured</w:t>
      </w:r>
    </w:p>
    <w:p>
      <w:pPr>
        <w:numPr>
          <w:ilvl w:val="0"/>
          <w:numId w:val="1001"/>
        </w:numPr>
        <w:pStyle w:val="Compact"/>
      </w:pPr>
      <w:r>
        <w:t xml:space="preserve">how criteria are scored</w:t>
      </w:r>
    </w:p>
    <w:p>
      <w:pPr>
        <w:numPr>
          <w:ilvl w:val="0"/>
          <w:numId w:val="1001"/>
        </w:numPr>
        <w:pStyle w:val="Compact"/>
      </w:pPr>
      <w:r>
        <w:t xml:space="preserve">how evidence is recorded</w:t>
      </w:r>
    </w:p>
    <w:p>
      <w:pPr>
        <w:numPr>
          <w:ilvl w:val="0"/>
          <w:numId w:val="1001"/>
        </w:numPr>
        <w:pStyle w:val="Compact"/>
      </w:pPr>
      <w:r>
        <w:t xml:space="preserve">how artifact-specific profiles are added</w:t>
      </w:r>
    </w:p>
    <w:p>
      <w:pPr>
        <w:numPr>
          <w:ilvl w:val="0"/>
          <w:numId w:val="1001"/>
        </w:numPr>
        <w:pStyle w:val="Compact"/>
      </w:pPr>
      <w:r>
        <w:t xml:space="preserve">how results are documented and governed</w:t>
      </w:r>
    </w:p>
    <w:p>
      <w:pPr>
        <w:numPr>
          <w:ilvl w:val="0"/>
          <w:numId w:val="1001"/>
        </w:numPr>
        <w:pStyle w:val="Compact"/>
      </w:pPr>
      <w:r>
        <w:t xml:space="preserve">how agents can help develop and apply rubrics safely</w:t>
      </w:r>
    </w:p>
    <w:p>
      <w:pPr>
        <w:pStyle w:val="FirstParagraph"/>
      </w:pPr>
      <w:r>
        <w:t xml:space="preserve">This standard assumes a simple but important distinction:</w:t>
      </w:r>
    </w:p>
    <w:p>
      <w:pPr>
        <w:numPr>
          <w:ilvl w:val="0"/>
          <w:numId w:val="1002"/>
        </w:numPr>
        <w:pStyle w:val="Compact"/>
      </w:pPr>
      <w:r>
        <w:rPr>
          <w:b/>
        </w:rPr>
        <w:t xml:space="preserve">Artifact quality</w:t>
      </w:r>
      <w:r>
        <w:t xml:space="preserve"> </w:t>
      </w:r>
      <w:r>
        <w:t xml:space="preserve">— whether the artifact is complete, coherent, clear, traceable, and fit for its stated purpose</w:t>
      </w:r>
    </w:p>
    <w:p>
      <w:pPr>
        <w:numPr>
          <w:ilvl w:val="0"/>
          <w:numId w:val="1002"/>
        </w:numPr>
        <w:pStyle w:val="Compact"/>
      </w:pPr>
      <w:r>
        <w:rPr>
          <w:b/>
        </w:rPr>
        <w:t xml:space="preserve">Architectural fitness</w:t>
      </w:r>
      <w:r>
        <w:t xml:space="preserve"> </w:t>
      </w:r>
      <w:r>
        <w:t xml:space="preserve">— whether the architecture described appears sound relative to business drivers, quality attributes, risks, and tradeoffs</w:t>
      </w:r>
    </w:p>
    <w:p>
      <w:pPr>
        <w:numPr>
          <w:ilvl w:val="0"/>
          <w:numId w:val="1002"/>
        </w:numPr>
        <w:pStyle w:val="Compact"/>
      </w:pPr>
      <w:r>
        <w:rPr>
          <w:b/>
        </w:rPr>
        <w:t xml:space="preserve">Governance fit</w:t>
      </w:r>
      <w:r>
        <w:t xml:space="preserve"> </w:t>
      </w:r>
      <w:r>
        <w:t xml:space="preserve">— whether the artifact and/or proposed design complies with mandatory principles, standards, controls, and review expectations</w:t>
      </w:r>
    </w:p>
    <w:p>
      <w:pPr>
        <w:pStyle w:val="FirstParagraph"/>
      </w:pPr>
      <w:r>
        <w:t xml:space="preserve">These must not be collapsed into one opaque score. They are related but distinct judgments.</w:t>
      </w:r>
    </w:p>
    <w:p>
      <w:pPr>
        <w:pStyle w:val="Heading3"/>
      </w:pPr>
      <w:bookmarkStart w:id="22" w:name="what-is-new-in-version-2.0"/>
      <w:r>
        <w:t xml:space="preserve">What is new in version 2.0</w:t>
      </w:r>
      <w:bookmarkEnd w:id="22"/>
    </w:p>
    <w:p>
      <w:pPr>
        <w:pStyle w:val="FirstParagraph"/>
      </w:pPr>
      <w:r>
        <w:t xml:space="preserve">Version 2.0 incorporates findings from a comprehensive research programme conducted in March 2026, covering 63 sources across academic literature, industry frameworks, and emerging AI evaluation methods. Key enhancements include:</w:t>
      </w:r>
    </w:p>
    <w:p>
      <w:pPr>
        <w:numPr>
          <w:ilvl w:val="0"/>
          <w:numId w:val="1003"/>
        </w:numPr>
        <w:pStyle w:val="Compact"/>
      </w:pPr>
      <w:r>
        <w:rPr>
          <w:b/>
        </w:rPr>
        <w:t xml:space="preserve">Strengthened design foundations</w:t>
      </w:r>
      <w:r>
        <w:t xml:space="preserve"> </w:t>
      </w:r>
      <w:r>
        <w:t xml:space="preserve">with explicit alignment to Microsoft’s LLM-Rubric (ACL 2024), the RULERS framework (2026), and the CARO confusion-aware rubric optimization approach.</w:t>
      </w:r>
    </w:p>
    <w:p>
      <w:pPr>
        <w:numPr>
          <w:ilvl w:val="0"/>
          <w:numId w:val="1003"/>
        </w:numPr>
        <w:pStyle w:val="Compact"/>
      </w:pPr>
      <w:r>
        <w:rPr>
          <w:b/>
        </w:rPr>
        <w:t xml:space="preserve">New principle on artifact machine-readability</w:t>
      </w:r>
      <w:r>
        <w:t xml:space="preserve"> </w:t>
      </w:r>
      <w:r>
        <w:t xml:space="preserve">(Principle 8), establishing requirements for structured, parseable artifact formats.</w:t>
      </w:r>
    </w:p>
    <w:p>
      <w:pPr>
        <w:numPr>
          <w:ilvl w:val="0"/>
          <w:numId w:val="1003"/>
        </w:numPr>
        <w:pStyle w:val="Compact"/>
      </w:pPr>
      <w:r>
        <w:rPr>
          <w:b/>
        </w:rPr>
        <w:t xml:space="preserve">Expanded scoring guidance</w:t>
      </w:r>
      <w:r>
        <w:t xml:space="preserve"> </w:t>
      </w:r>
      <w:r>
        <w:t xml:space="preserve">with discussion of the 0–3 vs 0–4 scale tradeoff based on empirical evidence.</w:t>
      </w:r>
    </w:p>
    <w:p>
      <w:pPr>
        <w:numPr>
          <w:ilvl w:val="0"/>
          <w:numId w:val="1003"/>
        </w:numPr>
        <w:pStyle w:val="Compact"/>
      </w:pPr>
      <w:r>
        <w:rPr>
          <w:b/>
        </w:rPr>
        <w:t xml:space="preserve">Enhanced agentic operating pattern</w:t>
      </w:r>
      <w:r>
        <w:t xml:space="preserve"> </w:t>
      </w:r>
      <w:r>
        <w:t xml:space="preserve">with DAG-based evaluation flow, the RULERS evidence-anchoring protocol, and calibrated aggregation.</w:t>
      </w:r>
    </w:p>
    <w:p>
      <w:pPr>
        <w:numPr>
          <w:ilvl w:val="0"/>
          <w:numId w:val="1003"/>
        </w:numPr>
        <w:pStyle w:val="Compact"/>
      </w:pPr>
      <w:r>
        <w:rPr>
          <w:b/>
        </w:rPr>
        <w:t xml:space="preserve">New section on artifact format requirements</w:t>
      </w:r>
      <w:r>
        <w:t xml:space="preserve"> </w:t>
      </w:r>
      <w:r>
        <w:t xml:space="preserve">(Section 12) covering ArchiMate exchange format, ADR machine-readable formats, diagram-as-code, and metadata conventions.</w:t>
      </w:r>
    </w:p>
    <w:p>
      <w:pPr>
        <w:numPr>
          <w:ilvl w:val="0"/>
          <w:numId w:val="1003"/>
        </w:numPr>
        <w:pStyle w:val="Compact"/>
      </w:pPr>
      <w:r>
        <w:rPr>
          <w:b/>
        </w:rPr>
        <w:t xml:space="preserve">Expanded calibration methodology</w:t>
      </w:r>
      <w:r>
        <w:t xml:space="preserve"> </w:t>
      </w:r>
      <w:r>
        <w:t xml:space="preserve">with explicit inter-rater reliability targets and weighted kappa benchmarks.</w:t>
      </w:r>
    </w:p>
    <w:p>
      <w:pPr>
        <w:numPr>
          <w:ilvl w:val="0"/>
          <w:numId w:val="1003"/>
        </w:numPr>
        <w:pStyle w:val="Compact"/>
      </w:pPr>
      <w:r>
        <w:rPr>
          <w:b/>
        </w:rPr>
        <w:t xml:space="preserve">New section on rubric design for AI agents</w:t>
      </w:r>
      <w:r>
        <w:t xml:space="preserve"> </w:t>
      </w:r>
      <w:r>
        <w:t xml:space="preserve">(Section 13) with seven empirically grounded design principles.</w:t>
      </w:r>
    </w:p>
    <w:p>
      <w:pPr>
        <w:numPr>
          <w:ilvl w:val="0"/>
          <w:numId w:val="1003"/>
        </w:numPr>
        <w:pStyle w:val="Compact"/>
      </w:pPr>
      <w:r>
        <w:rPr>
          <w:b/>
        </w:rPr>
        <w:t xml:space="preserve">Updated references</w:t>
      </w:r>
      <w:r>
        <w:t xml:space="preserve"> </w:t>
      </w:r>
      <w:r>
        <w:t xml:space="preserve">with 63 additional sources.</w:t>
      </w:r>
    </w:p>
    <w:p>
      <w:pPr>
        <w:pStyle w:val="Heading2"/>
      </w:pPr>
      <w:bookmarkStart w:id="23" w:name="design-foundations"/>
      <w:r>
        <w:t xml:space="preserve">2. Design foundations</w:t>
      </w:r>
      <w:bookmarkEnd w:id="23"/>
    </w:p>
    <w:p>
      <w:pPr>
        <w:pStyle w:val="FirstParagraph"/>
      </w:pPr>
      <w:r>
        <w:t xml:space="preserve">This standard is intentionally aligned to widely used architecture and evaluation concepts:</w:t>
      </w:r>
    </w:p>
    <w:p>
      <w:pPr>
        <w:numPr>
          <w:ilvl w:val="0"/>
          <w:numId w:val="1004"/>
        </w:numPr>
      </w:pPr>
      <w:r>
        <w:t xml:space="preserve">ISO/IEC/IEEE 42010 frames architecture descriptions around stakeholders, concerns, viewpoints, and architecture descriptions rather than generic documentation alone. [R1]</w:t>
      </w:r>
    </w:p>
    <w:p>
      <w:pPr>
        <w:numPr>
          <w:ilvl w:val="0"/>
          <w:numId w:val="1004"/>
        </w:numPr>
      </w:pPr>
      <w:r>
        <w:t xml:space="preserve">The Open Group describes architecture compliance review as a scrutiny of a project against established architectural criteria, spirit, and business objectives. [R2]</w:t>
      </w:r>
    </w:p>
    <w:p>
      <w:pPr>
        <w:numPr>
          <w:ilvl w:val="0"/>
          <w:numId w:val="1004"/>
        </w:numPr>
      </w:pPr>
      <w:r>
        <w:t xml:space="preserve">SEI’s ATAM treats architecture evaluation as an explicit examination of quality attribute goals, tradeoffs, and risks that may inhibit business goals. [R3]</w:t>
      </w:r>
    </w:p>
    <w:p>
      <w:pPr>
        <w:numPr>
          <w:ilvl w:val="0"/>
          <w:numId w:val="1004"/>
        </w:numPr>
      </w:pPr>
      <w:r>
        <w:t xml:space="preserve">NIST’s AI RMF Playbook is useful as an operational pattern because it combines governance, mapping, measurement, and management in an iterative, non-checklist way and is also available in structured formats such as JSON and CSV. [R4]</w:t>
      </w:r>
    </w:p>
    <w:p>
      <w:pPr>
        <w:numPr>
          <w:ilvl w:val="0"/>
          <w:numId w:val="1004"/>
        </w:numPr>
      </w:pPr>
      <w:r>
        <w:t xml:space="preserve">ISO/IEC 25010:2023 provides a reference model in which quality characteristics are defined so they can be specified, measured, and evaluated. [R5]</w:t>
      </w:r>
    </w:p>
    <w:p>
      <w:pPr>
        <w:numPr>
          <w:ilvl w:val="0"/>
          <w:numId w:val="1004"/>
        </w:numPr>
      </w:pPr>
      <w:r>
        <w:t xml:space="preserve">Microsoft’s LLM-Rubric (ACL 2024) demonstrates that multidimensional, calibrated rubric evaluation using LLMs can achieve 2x improvement in alignment with human judges when scoring is decomposed per dimension and combined through a learned aggregation function. [R7]</w:t>
      </w:r>
    </w:p>
    <w:p>
      <w:pPr>
        <w:numPr>
          <w:ilvl w:val="0"/>
          <w:numId w:val="1004"/>
        </w:numPr>
      </w:pPr>
      <w:r>
        <w:t xml:space="preserve">The RULERS framework (2026) addresses three failure modes of LLM judges — instability under prompt variations, unverifiable reasoning, and distributional misalignment — through rubric locking, evidence-anchored scoring, and Wasserstein-based calibration. [R8]</w:t>
      </w:r>
    </w:p>
    <w:p>
      <w:pPr>
        <w:numPr>
          <w:ilvl w:val="0"/>
          <w:numId w:val="1004"/>
        </w:numPr>
      </w:pPr>
      <w:r>
        <w:t xml:space="preserve">Snorkel AI’s rubric engineering methodology treats rubrics as models that should be co-developed with domain experts, calibrated until inter-rater reliability stabilizes, and measured using the same agreement statistics (Cohen’s kappa, QWK, ICC) as human annotators. [R9]</w:t>
      </w:r>
    </w:p>
    <w:p>
      <w:pPr>
        <w:numPr>
          <w:ilvl w:val="0"/>
          <w:numId w:val="1004"/>
        </w:numPr>
      </w:pPr>
      <w:r>
        <w:t xml:space="preserve">The CARO framework (Confusion-Aware Rubric Optimization, 2026) demonstrates that rubric ambiguity can be systematically identified and resolved through targeted rule patches that address specific misclassification patterns without degrading global performance. [R10]</w:t>
      </w:r>
    </w:p>
    <w:p>
      <w:pPr>
        <w:numPr>
          <w:ilvl w:val="0"/>
          <w:numId w:val="1004"/>
        </w:numPr>
      </w:pPr>
      <w:r>
        <w:t xml:space="preserve">AWS’s Well-Architected AI assessment using Amazon Bedrock provides a production-validated pattern for automated architecture review against structured pillar-based frameworks. [R11]</w:t>
      </w:r>
    </w:p>
    <w:p>
      <w:pPr>
        <w:numPr>
          <w:ilvl w:val="0"/>
          <w:numId w:val="1004"/>
        </w:numPr>
      </w:pPr>
      <w:r>
        <w:t xml:space="preserve">A 2024 ACM Computing Surveys systematic literature review of 109 EA evaluation methods confirms that automation of assessment and architecture modeling processes is the critical factor for widespread adoption. [R12]</w:t>
      </w:r>
    </w:p>
    <w:p>
      <w:pPr>
        <w:pStyle w:val="FirstParagraph"/>
      </w:pPr>
      <w:r>
        <w:t xml:space="preserve">The standard below is therefore not just a scorecard template. It is an operating model for architecture evaluation.</w:t>
      </w:r>
    </w:p>
    <w:p>
      <w:pPr>
        <w:pStyle w:val="Heading2"/>
      </w:pPr>
      <w:bookmarkStart w:id="24" w:name="core-principles"/>
      <w:r>
        <w:t xml:space="preserve">3. Core principles</w:t>
      </w:r>
      <w:bookmarkEnd w:id="24"/>
    </w:p>
    <w:p>
      <w:pPr>
        <w:pStyle w:val="Heading3"/>
      </w:pPr>
      <w:bookmarkStart w:id="25" w:name="X55941b157f1a03bf9ed36f1a0eeb1c3489dcb15"/>
      <w:r>
        <w:t xml:space="preserve">3.1 Principle 1 — Concern-driven, not document-driven</w:t>
      </w:r>
      <w:bookmarkEnd w:id="25"/>
    </w:p>
    <w:p>
      <w:pPr>
        <w:pStyle w:val="FirstParagraph"/>
      </w:pPr>
      <w:r>
        <w:t xml:space="preserve">Rubrics evaluate whether an artifact answers the stakeholder concerns it exists to address. A beautiful artifact that does not answer the decision at hand should not score well.</w:t>
      </w:r>
    </w:p>
    <w:p>
      <w:pPr>
        <w:pStyle w:val="Heading3"/>
      </w:pPr>
      <w:bookmarkStart w:id="26" w:name="principle-2-evidence-first"/>
      <w:r>
        <w:t xml:space="preserve">3.2 Principle 2 — Evidence first</w:t>
      </w:r>
      <w:bookmarkEnd w:id="26"/>
    </w:p>
    <w:p>
      <w:pPr>
        <w:pStyle w:val="FirstParagraph"/>
      </w:pPr>
      <w:r>
        <w:t xml:space="preserve">Every score must point to evidence in the artifact or explicitly state that evidence is missing.</w:t>
      </w:r>
    </w:p>
    <w:p>
      <w:pPr>
        <w:pStyle w:val="Heading3"/>
      </w:pPr>
      <w:bookmarkStart w:id="27" w:name="principle-3-gates-before-averages"/>
      <w:r>
        <w:t xml:space="preserve">3.3 Principle 3 — Gates before averages</w:t>
      </w:r>
      <w:bookmarkEnd w:id="27"/>
    </w:p>
    <w:p>
      <w:pPr>
        <w:pStyle w:val="FirstParagraph"/>
      </w:pPr>
      <w:r>
        <w:t xml:space="preserve">Mandatory failures must not be hidden by weighted averages.</w:t>
      </w:r>
    </w:p>
    <w:p>
      <w:pPr>
        <w:pStyle w:val="Heading3"/>
      </w:pPr>
      <w:bookmarkStart w:id="28" w:name="X6a49ba3572a7673824c1e259cb3a2a7224b13f2"/>
      <w:r>
        <w:t xml:space="preserve">3.4 Principle 4 — Explainability over fake precision</w:t>
      </w:r>
      <w:bookmarkEnd w:id="28"/>
    </w:p>
    <w:p>
      <w:pPr>
        <w:pStyle w:val="FirstParagraph"/>
      </w:pPr>
      <w:r>
        <w:t xml:space="preserve">Prefer a disciplined ordinal scale with clear guidance over false numerical granularity.</w:t>
      </w:r>
    </w:p>
    <w:p>
      <w:pPr>
        <w:pStyle w:val="Heading3"/>
      </w:pPr>
      <w:bookmarkStart w:id="29" w:name="X2bdb3663d8e31d13aab3b656db1f0092150b270"/>
      <w:r>
        <w:t xml:space="preserve">3.5 Principle 5 — Separate observation from inference</w:t>
      </w:r>
      <w:bookmarkEnd w:id="29"/>
    </w:p>
    <w:p>
      <w:pPr>
        <w:pStyle w:val="FirstParagraph"/>
      </w:pPr>
      <w:r>
        <w:t xml:space="preserve">Reviewers and agents must distinguish:</w:t>
      </w:r>
    </w:p>
    <w:p>
      <w:pPr>
        <w:numPr>
          <w:ilvl w:val="0"/>
          <w:numId w:val="1005"/>
        </w:numPr>
        <w:pStyle w:val="Compact"/>
      </w:pPr>
      <w:r>
        <w:rPr>
          <w:b/>
        </w:rPr>
        <w:t xml:space="preserve">Observed</w:t>
      </w:r>
      <w:r>
        <w:t xml:space="preserve">: directly supported by artifact evidence</w:t>
      </w:r>
    </w:p>
    <w:p>
      <w:pPr>
        <w:numPr>
          <w:ilvl w:val="0"/>
          <w:numId w:val="1005"/>
        </w:numPr>
        <w:pStyle w:val="Compact"/>
      </w:pPr>
      <w:r>
        <w:rPr>
          <w:b/>
        </w:rPr>
        <w:t xml:space="preserve">Inferred</w:t>
      </w:r>
      <w:r>
        <w:t xml:space="preserve">: reasonable interpretation not directly stated</w:t>
      </w:r>
    </w:p>
    <w:p>
      <w:pPr>
        <w:numPr>
          <w:ilvl w:val="0"/>
          <w:numId w:val="1005"/>
        </w:numPr>
        <w:pStyle w:val="Compact"/>
      </w:pPr>
      <w:r>
        <w:rPr>
          <w:b/>
        </w:rPr>
        <w:t xml:space="preserve">External</w:t>
      </w:r>
      <w:r>
        <w:t xml:space="preserve">: judgment based on a standard, policy, or source outside the artifact</w:t>
      </w:r>
    </w:p>
    <w:p>
      <w:pPr>
        <w:pStyle w:val="Heading3"/>
      </w:pPr>
      <w:bookmarkStart w:id="30" w:name="principle-6-rubrics-are-governed-assets"/>
      <w:r>
        <w:t xml:space="preserve">3.6 Principle 6 — Rubrics are governed assets</w:t>
      </w:r>
      <w:bookmarkEnd w:id="30"/>
    </w:p>
    <w:p>
      <w:pPr>
        <w:pStyle w:val="FirstParagraph"/>
      </w:pPr>
      <w:r>
        <w:t xml:space="preserve">Rubrics, profiles, and overlays are versioned, reviewed, calibrated, and changed under governance.</w:t>
      </w:r>
    </w:p>
    <w:p>
      <w:pPr>
        <w:pStyle w:val="Heading3"/>
      </w:pPr>
      <w:bookmarkStart w:id="31" w:name="X4dd3403636eb6ca04b4e41b8710f76607fc3cb4"/>
      <w:r>
        <w:t xml:space="preserve">3.7 Principle 7 — Agentic use must remain auditable</w:t>
      </w:r>
      <w:bookmarkEnd w:id="31"/>
    </w:p>
    <w:p>
      <w:pPr>
        <w:pStyle w:val="FirstParagraph"/>
      </w:pPr>
      <w:r>
        <w:t xml:space="preserve">An agent may propose, score, summarize, and challenge, but the evaluation record must remain inspectable by a human reviewer.</w:t>
      </w:r>
    </w:p>
    <w:p>
      <w:pPr>
        <w:pStyle w:val="Heading3"/>
      </w:pPr>
      <w:bookmarkStart w:id="32" w:name="Xdfb007199be3c087e870eb0e6e770b048e78b3b"/>
      <w:r>
        <w:t xml:space="preserve">3.8 Principle 8 — Machine-readable where possible</w:t>
      </w:r>
      <w:bookmarkEnd w:id="32"/>
    </w:p>
    <w:p>
      <w:pPr>
        <w:pStyle w:val="FirstParagraph"/>
      </w:pPr>
      <w:r>
        <w:t xml:space="preserve">Architecture artifacts should be structured in machine-parseable formats to enable reliable automated extraction, validation, and assessment. This includes structured metadata (YAML frontmatter), schema-validated models (ArchiMate exchange format, OpenAPI), diagram-as-code representations, and consistent section markers. Machine-readability is not an end in itself but a prerequisite for consistent, scalable, and reproducible evaluation.</w:t>
      </w:r>
    </w:p>
    <w:p>
      <w:pPr>
        <w:pStyle w:val="Heading2"/>
      </w:pPr>
      <w:bookmarkStart w:id="33" w:name="scope"/>
      <w:r>
        <w:t xml:space="preserve">4. Scope</w:t>
      </w:r>
      <w:bookmarkEnd w:id="33"/>
    </w:p>
    <w:p>
      <w:pPr>
        <w:pStyle w:val="FirstParagraph"/>
      </w:pPr>
      <w:r>
        <w:t xml:space="preserve">This standard can be applied to any architecture artifact, including but not limited to:</w:t>
      </w:r>
    </w:p>
    <w:p>
      <w:pPr>
        <w:numPr>
          <w:ilvl w:val="0"/>
          <w:numId w:val="1006"/>
        </w:numPr>
        <w:pStyle w:val="Compact"/>
      </w:pPr>
      <w:r>
        <w:t xml:space="preserve">enterprise capability maps</w:t>
      </w:r>
    </w:p>
    <w:p>
      <w:pPr>
        <w:numPr>
          <w:ilvl w:val="0"/>
          <w:numId w:val="1006"/>
        </w:numPr>
        <w:pStyle w:val="Compact"/>
      </w:pPr>
      <w:r>
        <w:t xml:space="preserve">business architecture views</w:t>
      </w:r>
    </w:p>
    <w:p>
      <w:pPr>
        <w:numPr>
          <w:ilvl w:val="0"/>
          <w:numId w:val="1006"/>
        </w:numPr>
        <w:pStyle w:val="Compact"/>
      </w:pPr>
      <w:r>
        <w:t xml:space="preserve">application and integration architecture diagrams</w:t>
      </w:r>
    </w:p>
    <w:p>
      <w:pPr>
        <w:numPr>
          <w:ilvl w:val="0"/>
          <w:numId w:val="1006"/>
        </w:numPr>
        <w:pStyle w:val="Compact"/>
      </w:pPr>
      <w:r>
        <w:t xml:space="preserve">target-state architectures</w:t>
      </w:r>
    </w:p>
    <w:p>
      <w:pPr>
        <w:numPr>
          <w:ilvl w:val="0"/>
          <w:numId w:val="1006"/>
        </w:numPr>
        <w:pStyle w:val="Compact"/>
      </w:pPr>
      <w:r>
        <w:t xml:space="preserve">transition architectures</w:t>
      </w:r>
    </w:p>
    <w:p>
      <w:pPr>
        <w:numPr>
          <w:ilvl w:val="0"/>
          <w:numId w:val="1006"/>
        </w:numPr>
        <w:pStyle w:val="Compact"/>
      </w:pPr>
      <w:r>
        <w:t xml:space="preserve">solution architectures</w:t>
      </w:r>
    </w:p>
    <w:p>
      <w:pPr>
        <w:numPr>
          <w:ilvl w:val="0"/>
          <w:numId w:val="1006"/>
        </w:numPr>
        <w:pStyle w:val="Compact"/>
      </w:pPr>
      <w:r>
        <w:t xml:space="preserve">architecture decision records (ADRs)</w:t>
      </w:r>
    </w:p>
    <w:p>
      <w:pPr>
        <w:numPr>
          <w:ilvl w:val="0"/>
          <w:numId w:val="1006"/>
        </w:numPr>
        <w:pStyle w:val="Compact"/>
      </w:pPr>
      <w:r>
        <w:t xml:space="preserve">principle sets</w:t>
      </w:r>
    </w:p>
    <w:p>
      <w:pPr>
        <w:numPr>
          <w:ilvl w:val="0"/>
          <w:numId w:val="1006"/>
        </w:numPr>
        <w:pStyle w:val="Compact"/>
      </w:pPr>
      <w:r>
        <w:t xml:space="preserve">technology standards profiles</w:t>
      </w:r>
    </w:p>
    <w:p>
      <w:pPr>
        <w:numPr>
          <w:ilvl w:val="0"/>
          <w:numId w:val="1006"/>
        </w:numPr>
        <w:pStyle w:val="Compact"/>
      </w:pPr>
      <w:r>
        <w:t xml:space="preserve">roadmaps</w:t>
      </w:r>
    </w:p>
    <w:p>
      <w:pPr>
        <w:numPr>
          <w:ilvl w:val="0"/>
          <w:numId w:val="1006"/>
        </w:numPr>
        <w:pStyle w:val="Compact"/>
      </w:pPr>
      <w:r>
        <w:t xml:space="preserve">data architecture artifacts</w:t>
      </w:r>
    </w:p>
    <w:p>
      <w:pPr>
        <w:numPr>
          <w:ilvl w:val="0"/>
          <w:numId w:val="1006"/>
        </w:numPr>
        <w:pStyle w:val="Compact"/>
      </w:pPr>
      <w:r>
        <w:t xml:space="preserve">security architecture artifacts</w:t>
      </w:r>
    </w:p>
    <w:p>
      <w:pPr>
        <w:numPr>
          <w:ilvl w:val="0"/>
          <w:numId w:val="1006"/>
        </w:numPr>
        <w:pStyle w:val="Compact"/>
      </w:pPr>
      <w:r>
        <w:t xml:space="preserve">operating model and platform strategy documents</w:t>
      </w:r>
    </w:p>
    <w:p>
      <w:pPr>
        <w:pStyle w:val="Heading2"/>
      </w:pPr>
      <w:bookmarkStart w:id="34" w:name="operating-model"/>
      <w:r>
        <w:t xml:space="preserve">5. Operating model</w:t>
      </w:r>
      <w:bookmarkEnd w:id="34"/>
    </w:p>
    <w:p>
      <w:pPr>
        <w:pStyle w:val="FirstParagraph"/>
      </w:pPr>
      <w:r>
        <w:t xml:space="preserve">The standard uses a three-layer composition model.</w:t>
      </w:r>
    </w:p>
    <w:p>
      <w:pPr>
        <w:pStyle w:val="Heading3"/>
      </w:pPr>
      <w:bookmarkStart w:id="35" w:name="layer-1-core-meta-rubric"/>
      <w:r>
        <w:t xml:space="preserve">5.1 Layer 1 — Core meta-rubric</w:t>
      </w:r>
      <w:bookmarkEnd w:id="35"/>
    </w:p>
    <w:p>
      <w:pPr>
        <w:pStyle w:val="FirstParagraph"/>
      </w:pPr>
      <w:r>
        <w:t xml:space="preserve">The core meta-rubric applies to</w:t>
      </w:r>
      <w:r>
        <w:t xml:space="preserve"> </w:t>
      </w:r>
      <w:r>
        <w:rPr>
          <w:b/>
        </w:rPr>
        <w:t xml:space="preserve">all</w:t>
      </w:r>
      <w:r>
        <w:t xml:space="preserve"> </w:t>
      </w:r>
      <w:r>
        <w:t xml:space="preserve">architecture artifacts. It standardizes the base dimensions and scoring model.</w:t>
      </w:r>
    </w:p>
    <w:p>
      <w:pPr>
        <w:pStyle w:val="Heading3"/>
      </w:pPr>
      <w:bookmarkStart w:id="36" w:name="layer-2-artifact-profile"/>
      <w:r>
        <w:t xml:space="preserve">5.2 Layer 2 — Artifact profile</w:t>
      </w:r>
      <w:bookmarkEnd w:id="36"/>
    </w:p>
    <w:p>
      <w:pPr>
        <w:pStyle w:val="FirstParagraph"/>
      </w:pPr>
      <w:r>
        <w:t xml:space="preserve">Each artifact type has a profile that adds or specializes criteria for that artifact class.</w:t>
      </w:r>
    </w:p>
    <w:p>
      <w:pPr>
        <w:pStyle w:val="BodyText"/>
      </w:pPr>
      <w:r>
        <w:t xml:space="preserve">Examples:</w:t>
      </w:r>
    </w:p>
    <w:p>
      <w:pPr>
        <w:numPr>
          <w:ilvl w:val="0"/>
          <w:numId w:val="1007"/>
        </w:numPr>
        <w:pStyle w:val="Compact"/>
      </w:pPr>
      <w:r>
        <w:t xml:space="preserve">Capability Map Profile</w:t>
      </w:r>
    </w:p>
    <w:p>
      <w:pPr>
        <w:numPr>
          <w:ilvl w:val="0"/>
          <w:numId w:val="1007"/>
        </w:numPr>
        <w:pStyle w:val="Compact"/>
      </w:pPr>
      <w:r>
        <w:t xml:space="preserve">Solution Architecture Profile</w:t>
      </w:r>
    </w:p>
    <w:p>
      <w:pPr>
        <w:numPr>
          <w:ilvl w:val="0"/>
          <w:numId w:val="1007"/>
        </w:numPr>
        <w:pStyle w:val="Compact"/>
      </w:pPr>
      <w:r>
        <w:t xml:space="preserve">Target State Profile</w:t>
      </w:r>
    </w:p>
    <w:p>
      <w:pPr>
        <w:numPr>
          <w:ilvl w:val="0"/>
          <w:numId w:val="1007"/>
        </w:numPr>
        <w:pStyle w:val="Compact"/>
      </w:pPr>
      <w:r>
        <w:t xml:space="preserve">ADR Profile</w:t>
      </w:r>
    </w:p>
    <w:p>
      <w:pPr>
        <w:numPr>
          <w:ilvl w:val="0"/>
          <w:numId w:val="1007"/>
        </w:numPr>
        <w:pStyle w:val="Compact"/>
      </w:pPr>
      <w:r>
        <w:t xml:space="preserve">Roadmap Profile</w:t>
      </w:r>
    </w:p>
    <w:p>
      <w:pPr>
        <w:pStyle w:val="Heading3"/>
      </w:pPr>
      <w:bookmarkStart w:id="37" w:name="layer-3-context-overlay"/>
      <w:r>
        <w:t xml:space="preserve">5.3 Layer 3 — Context overlay</w:t>
      </w:r>
      <w:bookmarkEnd w:id="37"/>
    </w:p>
    <w:p>
      <w:pPr>
        <w:pStyle w:val="FirstParagraph"/>
      </w:pPr>
      <w:r>
        <w:t xml:space="preserve">Overlays add criteria or gates required by a specific context.</w:t>
      </w:r>
    </w:p>
    <w:p>
      <w:pPr>
        <w:pStyle w:val="BodyText"/>
      </w:pPr>
      <w:r>
        <w:t xml:space="preserve">Examples:</w:t>
      </w:r>
    </w:p>
    <w:p>
      <w:pPr>
        <w:numPr>
          <w:ilvl w:val="0"/>
          <w:numId w:val="1008"/>
        </w:numPr>
        <w:pStyle w:val="Compact"/>
      </w:pPr>
      <w:r>
        <w:t xml:space="preserve">Security Overlay</w:t>
      </w:r>
    </w:p>
    <w:p>
      <w:pPr>
        <w:numPr>
          <w:ilvl w:val="0"/>
          <w:numId w:val="1008"/>
        </w:numPr>
        <w:pStyle w:val="Compact"/>
      </w:pPr>
      <w:r>
        <w:t xml:space="preserve">Data Governance Overlay</w:t>
      </w:r>
    </w:p>
    <w:p>
      <w:pPr>
        <w:numPr>
          <w:ilvl w:val="0"/>
          <w:numId w:val="1008"/>
        </w:numPr>
        <w:pStyle w:val="Compact"/>
      </w:pPr>
      <w:r>
        <w:t xml:space="preserve">Regulatory Overlay</w:t>
      </w:r>
    </w:p>
    <w:p>
      <w:pPr>
        <w:numPr>
          <w:ilvl w:val="0"/>
          <w:numId w:val="1008"/>
        </w:numPr>
        <w:pStyle w:val="Compact"/>
      </w:pPr>
      <w:r>
        <w:t xml:space="preserve">Cloud Platform Overlay</w:t>
      </w:r>
    </w:p>
    <w:p>
      <w:pPr>
        <w:numPr>
          <w:ilvl w:val="0"/>
          <w:numId w:val="1008"/>
        </w:numPr>
        <w:pStyle w:val="Compact"/>
      </w:pPr>
      <w:r>
        <w:t xml:space="preserve">Critical Production Change Overlay</w:t>
      </w:r>
    </w:p>
    <w:p>
      <w:pPr>
        <w:pStyle w:val="FirstParagraph"/>
      </w:pPr>
      <w:r>
        <w:t xml:space="preserve">This layered model is important because one global rubric becomes too generic, while fully bespoke rubrics become ungovernable.</w:t>
      </w:r>
    </w:p>
    <w:p>
      <w:pPr>
        <w:pStyle w:val="Heading2"/>
      </w:pPr>
      <w:bookmarkStart w:id="38" w:name="standard-rubric-anatomy"/>
      <w:r>
        <w:t xml:space="preserve">6. Standard rubric anatomy</w:t>
      </w:r>
      <w:bookmarkEnd w:id="38"/>
    </w:p>
    <w:p>
      <w:pPr>
        <w:pStyle w:val="FirstParagraph"/>
      </w:pPr>
      <w:r>
        <w:t xml:space="preserve">Every rubric, profile, and overlay must include the following fields.</w:t>
      </w:r>
    </w:p>
    <w:p>
      <w:pPr>
        <w:pStyle w:val="Heading3"/>
      </w:pPr>
      <w:bookmarkStart w:id="39" w:name="mandatory-metadata"/>
      <w:r>
        <w:t xml:space="preserve">6.1 Mandatory metadata</w:t>
      </w:r>
      <w:bookmarkEnd w:id="39"/>
    </w:p>
    <w:p>
      <w:pPr>
        <w:numPr>
          <w:ilvl w:val="0"/>
          <w:numId w:val="1009"/>
        </w:numPr>
        <w:pStyle w:val="Compact"/>
      </w:pPr>
      <w:r>
        <w:t xml:space="preserve">rubric_id</w:t>
      </w:r>
    </w:p>
    <w:p>
      <w:pPr>
        <w:numPr>
          <w:ilvl w:val="0"/>
          <w:numId w:val="1009"/>
        </w:numPr>
        <w:pStyle w:val="Compact"/>
      </w:pPr>
      <w:r>
        <w:t xml:space="preserve">title</w:t>
      </w:r>
    </w:p>
    <w:p>
      <w:pPr>
        <w:numPr>
          <w:ilvl w:val="0"/>
          <w:numId w:val="1009"/>
        </w:numPr>
        <w:pStyle w:val="Compact"/>
      </w:pPr>
      <w:r>
        <w:t xml:space="preserve">version</w:t>
      </w:r>
    </w:p>
    <w:p>
      <w:pPr>
        <w:numPr>
          <w:ilvl w:val="0"/>
          <w:numId w:val="1009"/>
        </w:numPr>
        <w:pStyle w:val="Compact"/>
      </w:pPr>
      <w:r>
        <w:t xml:space="preserve">status (draft, approved, deprecated)</w:t>
      </w:r>
    </w:p>
    <w:p>
      <w:pPr>
        <w:numPr>
          <w:ilvl w:val="0"/>
          <w:numId w:val="1009"/>
        </w:numPr>
        <w:pStyle w:val="Compact"/>
      </w:pPr>
      <w:r>
        <w:t xml:space="preserve">owner</w:t>
      </w:r>
    </w:p>
    <w:p>
      <w:pPr>
        <w:numPr>
          <w:ilvl w:val="0"/>
          <w:numId w:val="1009"/>
        </w:numPr>
        <w:pStyle w:val="Compact"/>
      </w:pPr>
      <w:r>
        <w:t xml:space="preserve">artifact_type</w:t>
      </w:r>
    </w:p>
    <w:p>
      <w:pPr>
        <w:numPr>
          <w:ilvl w:val="0"/>
          <w:numId w:val="1009"/>
        </w:numPr>
        <w:pStyle w:val="Compact"/>
      </w:pPr>
      <w:r>
        <w:t xml:space="preserve">review_purpose</w:t>
      </w:r>
    </w:p>
    <w:p>
      <w:pPr>
        <w:numPr>
          <w:ilvl w:val="0"/>
          <w:numId w:val="1009"/>
        </w:numPr>
        <w:pStyle w:val="Compact"/>
      </w:pPr>
      <w:r>
        <w:t xml:space="preserve">intended_decision_type</w:t>
      </w:r>
    </w:p>
    <w:p>
      <w:pPr>
        <w:numPr>
          <w:ilvl w:val="0"/>
          <w:numId w:val="1009"/>
        </w:numPr>
        <w:pStyle w:val="Compact"/>
      </w:pPr>
      <w:r>
        <w:t xml:space="preserve">applicable_stakeholders</w:t>
      </w:r>
    </w:p>
    <w:p>
      <w:pPr>
        <w:numPr>
          <w:ilvl w:val="0"/>
          <w:numId w:val="1009"/>
        </w:numPr>
        <w:pStyle w:val="Compact"/>
      </w:pPr>
      <w:r>
        <w:t xml:space="preserve">applicable_viewpoints</w:t>
      </w:r>
    </w:p>
    <w:p>
      <w:pPr>
        <w:numPr>
          <w:ilvl w:val="0"/>
          <w:numId w:val="1009"/>
        </w:numPr>
        <w:pStyle w:val="Compact"/>
      </w:pPr>
      <w:r>
        <w:t xml:space="preserve">scale_definition</w:t>
      </w:r>
    </w:p>
    <w:p>
      <w:pPr>
        <w:numPr>
          <w:ilvl w:val="0"/>
          <w:numId w:val="1009"/>
        </w:numPr>
        <w:pStyle w:val="Compact"/>
      </w:pPr>
      <w:r>
        <w:t xml:space="preserve">status_rules</w:t>
      </w:r>
    </w:p>
    <w:p>
      <w:pPr>
        <w:numPr>
          <w:ilvl w:val="0"/>
          <w:numId w:val="1009"/>
        </w:numPr>
        <w:pStyle w:val="Compact"/>
      </w:pPr>
      <w:r>
        <w:t xml:space="preserve">change_log</w:t>
      </w:r>
    </w:p>
    <w:p>
      <w:pPr>
        <w:numPr>
          <w:ilvl w:val="0"/>
          <w:numId w:val="1009"/>
        </w:numPr>
        <w:pStyle w:val="Compact"/>
      </w:pPr>
      <w:r>
        <w:t xml:space="preserve">effective_date</w:t>
      </w:r>
    </w:p>
    <w:p>
      <w:pPr>
        <w:pStyle w:val="Heading3"/>
      </w:pPr>
      <w:bookmarkStart w:id="40" w:name="mandatory-criterion-fields"/>
      <w:r>
        <w:t xml:space="preserve">6.2 Mandatory criterion fields</w:t>
      </w:r>
      <w:bookmarkEnd w:id="40"/>
    </w:p>
    <w:p>
      <w:pPr>
        <w:pStyle w:val="FirstParagraph"/>
      </w:pPr>
      <w:r>
        <w:t xml:space="preserve">Every criterion must define:</w:t>
      </w:r>
    </w:p>
    <w:p>
      <w:pPr>
        <w:numPr>
          <w:ilvl w:val="0"/>
          <w:numId w:val="1010"/>
        </w:numPr>
        <w:pStyle w:val="Compact"/>
      </w:pPr>
      <w:r>
        <w:t xml:space="preserve">criterion_id</w:t>
      </w:r>
    </w:p>
    <w:p>
      <w:pPr>
        <w:numPr>
          <w:ilvl w:val="0"/>
          <w:numId w:val="1010"/>
        </w:numPr>
        <w:pStyle w:val="Compact"/>
      </w:pPr>
      <w:r>
        <w:t xml:space="preserve">name</w:t>
      </w:r>
    </w:p>
    <w:p>
      <w:pPr>
        <w:numPr>
          <w:ilvl w:val="0"/>
          <w:numId w:val="1010"/>
        </w:numPr>
        <w:pStyle w:val="Compact"/>
      </w:pPr>
      <w:r>
        <w:t xml:space="preserve">dimension</w:t>
      </w:r>
    </w:p>
    <w:p>
      <w:pPr>
        <w:numPr>
          <w:ilvl w:val="0"/>
          <w:numId w:val="1010"/>
        </w:numPr>
        <w:pStyle w:val="Compact"/>
      </w:pPr>
      <w:r>
        <w:t xml:space="preserve">question</w:t>
      </w:r>
    </w:p>
    <w:p>
      <w:pPr>
        <w:numPr>
          <w:ilvl w:val="0"/>
          <w:numId w:val="1010"/>
        </w:numPr>
        <w:pStyle w:val="Compact"/>
      </w:pPr>
      <w:r>
        <w:t xml:space="preserve">description</w:t>
      </w:r>
    </w:p>
    <w:p>
      <w:pPr>
        <w:numPr>
          <w:ilvl w:val="0"/>
          <w:numId w:val="1010"/>
        </w:numPr>
        <w:pStyle w:val="Compact"/>
      </w:pPr>
      <w:r>
        <w:t xml:space="preserve">metric_type</w:t>
      </w:r>
    </w:p>
    <w:p>
      <w:pPr>
        <w:numPr>
          <w:ilvl w:val="0"/>
          <w:numId w:val="1010"/>
        </w:numPr>
        <w:pStyle w:val="Compact"/>
      </w:pPr>
      <w:r>
        <w:t xml:space="preserve">score_scale</w:t>
      </w:r>
    </w:p>
    <w:p>
      <w:pPr>
        <w:numPr>
          <w:ilvl w:val="0"/>
          <w:numId w:val="1010"/>
        </w:numPr>
        <w:pStyle w:val="Compact"/>
      </w:pPr>
      <w:r>
        <w:t xml:space="preserve">weight</w:t>
      </w:r>
    </w:p>
    <w:p>
      <w:pPr>
        <w:numPr>
          <w:ilvl w:val="0"/>
          <w:numId w:val="1010"/>
        </w:numPr>
        <w:pStyle w:val="Compact"/>
      </w:pPr>
      <w:r>
        <w:t xml:space="preserve">gate_type</w:t>
      </w:r>
    </w:p>
    <w:p>
      <w:pPr>
        <w:numPr>
          <w:ilvl w:val="0"/>
          <w:numId w:val="1010"/>
        </w:numPr>
        <w:pStyle w:val="Compact"/>
      </w:pPr>
      <w:r>
        <w:t xml:space="preserve">required_evidence</w:t>
      </w:r>
    </w:p>
    <w:p>
      <w:pPr>
        <w:numPr>
          <w:ilvl w:val="0"/>
          <w:numId w:val="1010"/>
        </w:numPr>
        <w:pStyle w:val="Compact"/>
      </w:pPr>
      <w:r>
        <w:t xml:space="preserve">scoring_guidance</w:t>
      </w:r>
    </w:p>
    <w:p>
      <w:pPr>
        <w:numPr>
          <w:ilvl w:val="0"/>
          <w:numId w:val="1010"/>
        </w:numPr>
        <w:pStyle w:val="Compact"/>
      </w:pPr>
      <w:r>
        <w:t xml:space="preserve">anti_patterns</w:t>
      </w:r>
    </w:p>
    <w:p>
      <w:pPr>
        <w:numPr>
          <w:ilvl w:val="0"/>
          <w:numId w:val="1010"/>
        </w:numPr>
        <w:pStyle w:val="Compact"/>
      </w:pPr>
      <w:r>
        <w:t xml:space="preserve">dependencies</w:t>
      </w:r>
    </w:p>
    <w:p>
      <w:pPr>
        <w:numPr>
          <w:ilvl w:val="0"/>
          <w:numId w:val="1010"/>
        </w:numPr>
        <w:pStyle w:val="Compact"/>
      </w:pPr>
      <w:r>
        <w:t xml:space="preserve">applicability_rule</w:t>
      </w:r>
    </w:p>
    <w:p>
      <w:pPr>
        <w:numPr>
          <w:ilvl w:val="0"/>
          <w:numId w:val="1010"/>
        </w:numPr>
        <w:pStyle w:val="Compact"/>
      </w:pPr>
      <w:r>
        <w:t xml:space="preserve">rationale</w:t>
      </w:r>
    </w:p>
    <w:p>
      <w:pPr>
        <w:pStyle w:val="Heading3"/>
      </w:pPr>
      <w:bookmarkStart w:id="41" w:name="mandatory-evaluation-output-fields"/>
      <w:r>
        <w:t xml:space="preserve">6.3 Mandatory evaluation output fields</w:t>
      </w:r>
      <w:bookmarkEnd w:id="41"/>
    </w:p>
    <w:p>
      <w:pPr>
        <w:pStyle w:val="FirstParagraph"/>
      </w:pPr>
      <w:r>
        <w:t xml:space="preserve">Every evaluation result must capture:</w:t>
      </w:r>
    </w:p>
    <w:p>
      <w:pPr>
        <w:numPr>
          <w:ilvl w:val="0"/>
          <w:numId w:val="1011"/>
        </w:numPr>
        <w:pStyle w:val="Compact"/>
      </w:pPr>
      <w:r>
        <w:t xml:space="preserve">artifact_id</w:t>
      </w:r>
    </w:p>
    <w:p>
      <w:pPr>
        <w:numPr>
          <w:ilvl w:val="0"/>
          <w:numId w:val="1011"/>
        </w:numPr>
        <w:pStyle w:val="Compact"/>
      </w:pPr>
      <w:r>
        <w:t xml:space="preserve">artifact_type</w:t>
      </w:r>
    </w:p>
    <w:p>
      <w:pPr>
        <w:numPr>
          <w:ilvl w:val="0"/>
          <w:numId w:val="1011"/>
        </w:numPr>
        <w:pStyle w:val="Compact"/>
      </w:pPr>
      <w:r>
        <w:t xml:space="preserve">rubric_id</w:t>
      </w:r>
    </w:p>
    <w:p>
      <w:pPr>
        <w:numPr>
          <w:ilvl w:val="0"/>
          <w:numId w:val="1011"/>
        </w:numPr>
        <w:pStyle w:val="Compact"/>
      </w:pPr>
      <w:r>
        <w:t xml:space="preserve">rubric_version</w:t>
      </w:r>
    </w:p>
    <w:p>
      <w:pPr>
        <w:numPr>
          <w:ilvl w:val="0"/>
          <w:numId w:val="1011"/>
        </w:numPr>
        <w:pStyle w:val="Compact"/>
      </w:pPr>
      <w:r>
        <w:t xml:space="preserve">evaluated_by</w:t>
      </w:r>
    </w:p>
    <w:p>
      <w:pPr>
        <w:numPr>
          <w:ilvl w:val="0"/>
          <w:numId w:val="1011"/>
        </w:numPr>
        <w:pStyle w:val="Compact"/>
      </w:pPr>
      <w:r>
        <w:t xml:space="preserve">evaluation_mode (human, agent, hybrid)</w:t>
      </w:r>
    </w:p>
    <w:p>
      <w:pPr>
        <w:numPr>
          <w:ilvl w:val="0"/>
          <w:numId w:val="1011"/>
        </w:numPr>
        <w:pStyle w:val="Compact"/>
      </w:pPr>
      <w:r>
        <w:t xml:space="preserve">evaluation_date</w:t>
      </w:r>
    </w:p>
    <w:p>
      <w:pPr>
        <w:numPr>
          <w:ilvl w:val="0"/>
          <w:numId w:val="1011"/>
        </w:numPr>
        <w:pStyle w:val="Compact"/>
      </w:pPr>
      <w:r>
        <w:t xml:space="preserve">criterion_results</w:t>
      </w:r>
    </w:p>
    <w:p>
      <w:pPr>
        <w:numPr>
          <w:ilvl w:val="0"/>
          <w:numId w:val="1011"/>
        </w:numPr>
        <w:pStyle w:val="Compact"/>
      </w:pPr>
      <w:r>
        <w:t xml:space="preserve">dimension_results</w:t>
      </w:r>
    </w:p>
    <w:p>
      <w:pPr>
        <w:numPr>
          <w:ilvl w:val="0"/>
          <w:numId w:val="1011"/>
        </w:numPr>
        <w:pStyle w:val="Compact"/>
      </w:pPr>
      <w:r>
        <w:t xml:space="preserve">gate_failures</w:t>
      </w:r>
    </w:p>
    <w:p>
      <w:pPr>
        <w:numPr>
          <w:ilvl w:val="0"/>
          <w:numId w:val="1011"/>
        </w:numPr>
        <w:pStyle w:val="Compact"/>
      </w:pPr>
      <w:r>
        <w:t xml:space="preserve">overall_status</w:t>
      </w:r>
    </w:p>
    <w:p>
      <w:pPr>
        <w:numPr>
          <w:ilvl w:val="0"/>
          <w:numId w:val="1011"/>
        </w:numPr>
        <w:pStyle w:val="Compact"/>
      </w:pPr>
      <w:r>
        <w:t xml:space="preserve">overall_score</w:t>
      </w:r>
    </w:p>
    <w:p>
      <w:pPr>
        <w:numPr>
          <w:ilvl w:val="0"/>
          <w:numId w:val="1011"/>
        </w:numPr>
        <w:pStyle w:val="Compact"/>
      </w:pPr>
      <w:r>
        <w:t xml:space="preserve">confidence</w:t>
      </w:r>
    </w:p>
    <w:p>
      <w:pPr>
        <w:numPr>
          <w:ilvl w:val="0"/>
          <w:numId w:val="1011"/>
        </w:numPr>
        <w:pStyle w:val="Compact"/>
      </w:pPr>
      <w:r>
        <w:t xml:space="preserve">evidence_gaps</w:t>
      </w:r>
    </w:p>
    <w:p>
      <w:pPr>
        <w:numPr>
          <w:ilvl w:val="0"/>
          <w:numId w:val="1011"/>
        </w:numPr>
        <w:pStyle w:val="Compact"/>
      </w:pPr>
      <w:r>
        <w:t xml:space="preserve">recommended_actions</w:t>
      </w:r>
    </w:p>
    <w:p>
      <w:pPr>
        <w:numPr>
          <w:ilvl w:val="0"/>
          <w:numId w:val="1011"/>
        </w:numPr>
        <w:pStyle w:val="Compact"/>
      </w:pPr>
      <w:r>
        <w:t xml:space="preserve">decision_summary</w:t>
      </w:r>
    </w:p>
    <w:p>
      <w:pPr>
        <w:pStyle w:val="Heading2"/>
      </w:pPr>
      <w:bookmarkStart w:id="42" w:name="scoring-standard"/>
      <w:r>
        <w:t xml:space="preserve">7. Scoring standard</w:t>
      </w:r>
      <w:bookmarkEnd w:id="42"/>
    </w:p>
    <w:p>
      <w:pPr>
        <w:pStyle w:val="Heading3"/>
      </w:pPr>
      <w:bookmarkStart w:id="43" w:name="recommended-scale"/>
      <w:r>
        <w:t xml:space="preserve">7.1 Recommended scale</w:t>
      </w:r>
      <w:bookmarkEnd w:id="43"/>
    </w:p>
    <w:p>
      <w:pPr>
        <w:pStyle w:val="FirstParagraph"/>
      </w:pPr>
      <w:r>
        <w:t xml:space="preserve">Use a</w:t>
      </w:r>
      <w:r>
        <w:t xml:space="preserve"> </w:t>
      </w:r>
      <w:r>
        <w:rPr>
          <w:b/>
        </w:rPr>
        <w:t xml:space="preserve">0–4 ordinal scale</w:t>
      </w:r>
      <w:r>
        <w:t xml:space="preserve"> </w:t>
      </w:r>
      <w:r>
        <w:t xml:space="preserve">plus N/A.</w:t>
      </w:r>
    </w:p>
    <w:p>
      <w:pPr>
        <w:numPr>
          <w:ilvl w:val="0"/>
          <w:numId w:val="1012"/>
        </w:numPr>
        <w:pStyle w:val="Compact"/>
      </w:pPr>
      <w:r>
        <w:rPr>
          <w:b/>
        </w:rPr>
        <w:t xml:space="preserve">0 — Absent / contradicted</w:t>
      </w:r>
      <w:r>
        <w:t xml:space="preserve"> </w:t>
      </w:r>
      <w:r>
        <w:t xml:space="preserve">No meaningful evidence, or evidence directly contradicts the criterion</w:t>
      </w:r>
    </w:p>
    <w:p>
      <w:pPr>
        <w:numPr>
          <w:ilvl w:val="0"/>
          <w:numId w:val="1012"/>
        </w:numPr>
        <w:pStyle w:val="Compact"/>
      </w:pPr>
      <w:r>
        <w:rPr>
          <w:b/>
        </w:rPr>
        <w:t xml:space="preserve">1 — Weak</w:t>
      </w:r>
      <w:r>
        <w:t xml:space="preserve"> </w:t>
      </w:r>
      <w:r>
        <w:t xml:space="preserve">Criterion is acknowledged or implied, but inadequate for decision support</w:t>
      </w:r>
    </w:p>
    <w:p>
      <w:pPr>
        <w:numPr>
          <w:ilvl w:val="0"/>
          <w:numId w:val="1012"/>
        </w:numPr>
        <w:pStyle w:val="Compact"/>
      </w:pPr>
      <w:r>
        <w:rPr>
          <w:b/>
        </w:rPr>
        <w:t xml:space="preserve">2 — Partial</w:t>
      </w:r>
      <w:r>
        <w:t xml:space="preserve"> </w:t>
      </w:r>
      <w:r>
        <w:t xml:space="preserve">Criterion is explicitly addressed, but coverage is incomplete, inconsistent, or weakly evidenced</w:t>
      </w:r>
    </w:p>
    <w:p>
      <w:pPr>
        <w:numPr>
          <w:ilvl w:val="0"/>
          <w:numId w:val="1012"/>
        </w:numPr>
        <w:pStyle w:val="Compact"/>
      </w:pPr>
      <w:r>
        <w:rPr>
          <w:b/>
        </w:rPr>
        <w:t xml:space="preserve">3 — Good</w:t>
      </w:r>
      <w:r>
        <w:t xml:space="preserve"> </w:t>
      </w:r>
      <w:r>
        <w:t xml:space="preserve">Criterion is clearly addressed with adequate evidence and only minor gaps</w:t>
      </w:r>
    </w:p>
    <w:p>
      <w:pPr>
        <w:numPr>
          <w:ilvl w:val="0"/>
          <w:numId w:val="1012"/>
        </w:numPr>
        <w:pStyle w:val="Compact"/>
      </w:pPr>
      <w:r>
        <w:rPr>
          <w:b/>
        </w:rPr>
        <w:t xml:space="preserve">4 — Strong</w:t>
      </w:r>
      <w:r>
        <w:t xml:space="preserve"> </w:t>
      </w:r>
      <w:r>
        <w:t xml:space="preserve">Criterion is fully addressed, well evidenced, internally consistent, and decision-ready</w:t>
      </w:r>
    </w:p>
    <w:p>
      <w:pPr>
        <w:numPr>
          <w:ilvl w:val="0"/>
          <w:numId w:val="1012"/>
        </w:numPr>
        <w:pStyle w:val="Compact"/>
      </w:pPr>
      <w:r>
        <w:rPr>
          <w:b/>
        </w:rPr>
        <w:t xml:space="preserve">N/A — Not applicable</w:t>
      </w:r>
      <w:r>
        <w:t xml:space="preserve"> </w:t>
      </w:r>
      <w:r>
        <w:t xml:space="preserve">Criterion genuinely does not apply in the stated scope and context</w:t>
      </w:r>
    </w:p>
    <w:p>
      <w:pPr>
        <w:pStyle w:val="Heading3"/>
      </w:pPr>
      <w:bookmarkStart w:id="44" w:name="why-this-scale"/>
      <w:r>
        <w:t xml:space="preserve">7.2 Why this scale</w:t>
      </w:r>
      <w:bookmarkEnd w:id="44"/>
    </w:p>
    <w:p>
      <w:pPr>
        <w:pStyle w:val="FirstParagraph"/>
      </w:pPr>
      <w:r>
        <w:t xml:space="preserve">The 0–4 scale is strong enough to distinguish quality levels but simple enough for humans and agents to apply consistently. A 1–10 scale creates false precision and lowers calibration quality.</w:t>
      </w:r>
    </w:p>
    <w:p>
      <w:pPr>
        <w:pStyle w:val="Heading3"/>
      </w:pPr>
      <w:bookmarkStart w:id="45" w:name="gate-types"/>
      <w:r>
        <w:t xml:space="preserve">7.3 Gate types</w:t>
      </w:r>
      <w:bookmarkEnd w:id="45"/>
    </w:p>
    <w:p>
      <w:pPr>
        <w:pStyle w:val="FirstParagraph"/>
      </w:pPr>
      <w:r>
        <w:t xml:space="preserve">Use explicit gate categories:</w:t>
      </w:r>
    </w:p>
    <w:p>
      <w:pPr>
        <w:numPr>
          <w:ilvl w:val="0"/>
          <w:numId w:val="1013"/>
        </w:numPr>
        <w:pStyle w:val="Compact"/>
      </w:pPr>
      <w:r>
        <w:t xml:space="preserve">none — contributes to score only</w:t>
      </w:r>
    </w:p>
    <w:p>
      <w:pPr>
        <w:numPr>
          <w:ilvl w:val="0"/>
          <w:numId w:val="1013"/>
        </w:numPr>
        <w:pStyle w:val="Compact"/>
      </w:pPr>
      <w:r>
        <w:t xml:space="preserve">advisory — weak performance triggers recommendations</w:t>
      </w:r>
    </w:p>
    <w:p>
      <w:pPr>
        <w:numPr>
          <w:ilvl w:val="0"/>
          <w:numId w:val="1013"/>
        </w:numPr>
        <w:pStyle w:val="Compact"/>
      </w:pPr>
      <w:r>
        <w:t xml:space="preserve">major — significant weakness may cap status</w:t>
      </w:r>
    </w:p>
    <w:p>
      <w:pPr>
        <w:numPr>
          <w:ilvl w:val="0"/>
          <w:numId w:val="1013"/>
        </w:numPr>
        <w:pStyle w:val="Compact"/>
      </w:pPr>
      <w:r>
        <w:t xml:space="preserve">critical — failure blocks pass status regardless of average</w:t>
      </w:r>
    </w:p>
    <w:p>
      <w:pPr>
        <w:pStyle w:val="Heading3"/>
      </w:pPr>
      <w:bookmarkStart w:id="46" w:name="status-model"/>
      <w:r>
        <w:t xml:space="preserve">7.4 Status model</w:t>
      </w:r>
      <w:bookmarkEnd w:id="46"/>
    </w:p>
    <w:p>
      <w:pPr>
        <w:pStyle w:val="FirstParagraph"/>
      </w:pPr>
      <w:r>
        <w:t xml:space="preserve">A recommended default decision model:</w:t>
      </w:r>
    </w:p>
    <w:p>
      <w:pPr>
        <w:numPr>
          <w:ilvl w:val="0"/>
          <w:numId w:val="1014"/>
        </w:numPr>
        <w:pStyle w:val="Compact"/>
      </w:pPr>
      <w:r>
        <w:rPr>
          <w:b/>
        </w:rPr>
        <w:t xml:space="preserve">Pass</w:t>
      </w:r>
    </w:p>
    <w:p>
      <w:pPr>
        <w:numPr>
          <w:ilvl w:val="1"/>
          <w:numId w:val="1015"/>
        </w:numPr>
        <w:pStyle w:val="Compact"/>
      </w:pPr>
      <w:r>
        <w:t xml:space="preserve">no critical gate failures</w:t>
      </w:r>
    </w:p>
    <w:p>
      <w:pPr>
        <w:numPr>
          <w:ilvl w:val="1"/>
          <w:numId w:val="1015"/>
        </w:numPr>
        <w:pStyle w:val="Compact"/>
      </w:pPr>
      <w:r>
        <w:t xml:space="preserve">overall weighted score &gt;= 3.2</w:t>
      </w:r>
    </w:p>
    <w:p>
      <w:pPr>
        <w:numPr>
          <w:ilvl w:val="1"/>
          <w:numId w:val="1015"/>
        </w:numPr>
        <w:pStyle w:val="Compact"/>
      </w:pPr>
      <w:r>
        <w:t xml:space="preserve">no dimension score &lt; 2.0</w:t>
      </w:r>
    </w:p>
    <w:p>
      <w:pPr>
        <w:numPr>
          <w:ilvl w:val="0"/>
          <w:numId w:val="1014"/>
        </w:numPr>
        <w:pStyle w:val="Compact"/>
      </w:pPr>
      <w:r>
        <w:rPr>
          <w:b/>
        </w:rPr>
        <w:t xml:space="preserve">Conditional pass</w:t>
      </w:r>
    </w:p>
    <w:p>
      <w:pPr>
        <w:numPr>
          <w:ilvl w:val="1"/>
          <w:numId w:val="1016"/>
        </w:numPr>
        <w:pStyle w:val="Compact"/>
      </w:pPr>
      <w:r>
        <w:t xml:space="preserve">no critical gate failures</w:t>
      </w:r>
    </w:p>
    <w:p>
      <w:pPr>
        <w:numPr>
          <w:ilvl w:val="1"/>
          <w:numId w:val="1016"/>
        </w:numPr>
        <w:pStyle w:val="Compact"/>
      </w:pPr>
      <w:r>
        <w:t xml:space="preserve">overall weighted score between 2.4 and 3.19</w:t>
      </w:r>
    </w:p>
    <w:p>
      <w:pPr>
        <w:numPr>
          <w:ilvl w:val="1"/>
          <w:numId w:val="1016"/>
        </w:numPr>
        <w:pStyle w:val="Compact"/>
      </w:pPr>
      <w:r>
        <w:t xml:space="preserve">weaknesses are containable with named actions and owners</w:t>
      </w:r>
    </w:p>
    <w:p>
      <w:pPr>
        <w:numPr>
          <w:ilvl w:val="0"/>
          <w:numId w:val="1014"/>
        </w:numPr>
        <w:pStyle w:val="Compact"/>
      </w:pPr>
      <w:r>
        <w:rPr>
          <w:b/>
        </w:rPr>
        <w:t xml:space="preserve">Rework required</w:t>
      </w:r>
    </w:p>
    <w:p>
      <w:pPr>
        <w:numPr>
          <w:ilvl w:val="1"/>
          <w:numId w:val="1017"/>
        </w:numPr>
        <w:pStyle w:val="Compact"/>
      </w:pPr>
      <w:r>
        <w:t xml:space="preserve">overall weighted score &lt; 2.4</w:t>
      </w:r>
    </w:p>
    <w:p>
      <w:pPr>
        <w:numPr>
          <w:ilvl w:val="1"/>
          <w:numId w:val="1017"/>
        </w:numPr>
        <w:pStyle w:val="Compact"/>
      </w:pPr>
      <w:r>
        <w:t xml:space="preserve">or repeated weak dimensions</w:t>
      </w:r>
    </w:p>
    <w:p>
      <w:pPr>
        <w:numPr>
          <w:ilvl w:val="1"/>
          <w:numId w:val="1017"/>
        </w:numPr>
        <w:pStyle w:val="Compact"/>
      </w:pPr>
      <w:r>
        <w:t xml:space="preserve">or insufficient evidence for decision support</w:t>
      </w:r>
    </w:p>
    <w:p>
      <w:pPr>
        <w:numPr>
          <w:ilvl w:val="0"/>
          <w:numId w:val="1014"/>
        </w:numPr>
        <w:pStyle w:val="Compact"/>
      </w:pPr>
      <w:r>
        <w:rPr>
          <w:b/>
        </w:rPr>
        <w:t xml:space="preserve">Not reviewable / reject</w:t>
      </w:r>
    </w:p>
    <w:p>
      <w:pPr>
        <w:numPr>
          <w:ilvl w:val="1"/>
          <w:numId w:val="1018"/>
        </w:numPr>
        <w:pStyle w:val="Compact"/>
      </w:pPr>
      <w:r>
        <w:t xml:space="preserve">critical gate failure</w:t>
      </w:r>
    </w:p>
    <w:p>
      <w:pPr>
        <w:numPr>
          <w:ilvl w:val="1"/>
          <w:numId w:val="1018"/>
        </w:numPr>
        <w:pStyle w:val="Compact"/>
      </w:pPr>
      <w:r>
        <w:t xml:space="preserve">artifact does not match the declared type</w:t>
      </w:r>
    </w:p>
    <w:p>
      <w:pPr>
        <w:numPr>
          <w:ilvl w:val="1"/>
          <w:numId w:val="1018"/>
        </w:numPr>
        <w:pStyle w:val="Compact"/>
      </w:pPr>
      <w:r>
        <w:t xml:space="preserve">artifact purpose is unclear</w:t>
      </w:r>
    </w:p>
    <w:p>
      <w:pPr>
        <w:numPr>
          <w:ilvl w:val="1"/>
          <w:numId w:val="1018"/>
        </w:numPr>
        <w:pStyle w:val="Compact"/>
      </w:pPr>
      <w:r>
        <w:t xml:space="preserve">evidence is too incomplete to score responsibly</w:t>
      </w:r>
    </w:p>
    <w:p>
      <w:pPr>
        <w:pStyle w:val="Heading3"/>
      </w:pPr>
      <w:bookmarkStart w:id="47" w:name="confidence-standard"/>
      <w:r>
        <w:t xml:space="preserve">7.5 Confidence standard</w:t>
      </w:r>
      <w:bookmarkEnd w:id="47"/>
    </w:p>
    <w:p>
      <w:pPr>
        <w:pStyle w:val="FirstParagraph"/>
      </w:pPr>
      <w:r>
        <w:t xml:space="preserve">Confidence must be recorded separately from score.</w:t>
      </w:r>
    </w:p>
    <w:p>
      <w:pPr>
        <w:pStyle w:val="BodyText"/>
      </w:pPr>
      <w:r>
        <w:t xml:space="preserve">Use:</w:t>
      </w:r>
    </w:p>
    <w:p>
      <w:pPr>
        <w:numPr>
          <w:ilvl w:val="0"/>
          <w:numId w:val="1019"/>
        </w:numPr>
        <w:pStyle w:val="Compact"/>
      </w:pPr>
      <w:r>
        <w:t xml:space="preserve">low</w:t>
      </w:r>
    </w:p>
    <w:p>
      <w:pPr>
        <w:numPr>
          <w:ilvl w:val="0"/>
          <w:numId w:val="1019"/>
        </w:numPr>
        <w:pStyle w:val="Compact"/>
      </w:pPr>
      <w:r>
        <w:t xml:space="preserve">medium</w:t>
      </w:r>
    </w:p>
    <w:p>
      <w:pPr>
        <w:numPr>
          <w:ilvl w:val="0"/>
          <w:numId w:val="1019"/>
        </w:numPr>
        <w:pStyle w:val="Compact"/>
      </w:pPr>
      <w:r>
        <w:t xml:space="preserve">high</w:t>
      </w:r>
    </w:p>
    <w:p>
      <w:pPr>
        <w:pStyle w:val="FirstParagraph"/>
      </w:pPr>
      <w:r>
        <w:t xml:space="preserve">Confidence is driven by:</w:t>
      </w:r>
    </w:p>
    <w:p>
      <w:pPr>
        <w:numPr>
          <w:ilvl w:val="0"/>
          <w:numId w:val="1020"/>
        </w:numPr>
        <w:pStyle w:val="Compact"/>
      </w:pPr>
      <w:r>
        <w:t xml:space="preserve">completeness of evidence</w:t>
      </w:r>
    </w:p>
    <w:p>
      <w:pPr>
        <w:numPr>
          <w:ilvl w:val="0"/>
          <w:numId w:val="1020"/>
        </w:numPr>
        <w:pStyle w:val="Compact"/>
      </w:pPr>
      <w:r>
        <w:t xml:space="preserve">clarity of scope</w:t>
      </w:r>
    </w:p>
    <w:p>
      <w:pPr>
        <w:numPr>
          <w:ilvl w:val="0"/>
          <w:numId w:val="1020"/>
        </w:numPr>
        <w:pStyle w:val="Compact"/>
      </w:pPr>
      <w:r>
        <w:t xml:space="preserve">ambiguity of criterion</w:t>
      </w:r>
    </w:p>
    <w:p>
      <w:pPr>
        <w:numPr>
          <w:ilvl w:val="0"/>
          <w:numId w:val="1020"/>
        </w:numPr>
        <w:pStyle w:val="Compact"/>
      </w:pPr>
      <w:r>
        <w:t xml:space="preserve">consistency across sections/views</w:t>
      </w:r>
    </w:p>
    <w:p>
      <w:pPr>
        <w:numPr>
          <w:ilvl w:val="0"/>
          <w:numId w:val="1020"/>
        </w:numPr>
        <w:pStyle w:val="Compact"/>
      </w:pPr>
      <w:r>
        <w:t xml:space="preserve">reviewer certainty</w:t>
      </w:r>
    </w:p>
    <w:p>
      <w:pPr>
        <w:pStyle w:val="FirstParagraph"/>
      </w:pPr>
      <w:r>
        <w:t xml:space="preserve">Do</w:t>
      </w:r>
      <w:r>
        <w:t xml:space="preserve"> </w:t>
      </w:r>
      <w:r>
        <w:rPr>
          <w:b/>
        </w:rPr>
        <w:t xml:space="preserve">not</w:t>
      </w:r>
      <w:r>
        <w:t xml:space="preserve"> </w:t>
      </w:r>
      <w:r>
        <w:t xml:space="preserve">multiply score by confidence. A low-confidence evaluation and a poor artifact are different problems.</w:t>
      </w:r>
    </w:p>
    <w:p>
      <w:pPr>
        <w:pStyle w:val="Heading3"/>
      </w:pPr>
      <w:bookmarkStart w:id="48" w:name="scale-design-tradeoff-03-versus-04"/>
      <w:r>
        <w:t xml:space="preserve">7.6 Scale design tradeoff: 0–3 versus 0–4</w:t>
      </w:r>
      <w:bookmarkEnd w:id="48"/>
    </w:p>
    <w:p>
      <w:pPr>
        <w:pStyle w:val="FirstParagraph"/>
      </w:pPr>
      <w:r>
        <w:t xml:space="preserve">Empirical research on LLM-based evaluation suggests that smaller scales (0–3) produce higher inter-rater reliability between AI agents and human reviewers. The 0–3 scale reduces the ambiguous middle zone that plagues wider scales.</w:t>
      </w:r>
    </w:p>
    <w:p>
      <w:pPr>
        <w:pStyle w:val="BodyText"/>
      </w:pPr>
      <w:r>
        <w:t xml:space="preserve">However, the 0–4 scale used in EAROS v1 was chosen deliberately to distinguish between</w:t>
      </w:r>
      <w:r>
        <w:t xml:space="preserve"> </w:t>
      </w:r>
      <w:r>
        <w:t xml:space="preserve">“</w:t>
      </w:r>
      <w:r>
        <w:t xml:space="preserve">good</w:t>
      </w:r>
      <w:r>
        <w:t xml:space="preserve">”</w:t>
      </w:r>
      <w:r>
        <w:t xml:space="preserve"> </w:t>
      </w:r>
      <w:r>
        <w:t xml:space="preserve">(adequate with minor gaps) and</w:t>
      </w:r>
      <w:r>
        <w:t xml:space="preserve"> </w:t>
      </w:r>
      <w:r>
        <w:t xml:space="preserve">“</w:t>
      </w:r>
      <w:r>
        <w:t xml:space="preserve">strong</w:t>
      </w:r>
      <w:r>
        <w:t xml:space="preserve">”</w:t>
      </w:r>
      <w:r>
        <w:t xml:space="preserve"> </w:t>
      </w:r>
      <w:r>
        <w:t xml:space="preserve">(fully addressed and decision-ready). This distinction matters in architecture governance because the gap between</w:t>
      </w:r>
      <w:r>
        <w:t xml:space="preserve"> </w:t>
      </w:r>
      <w:r>
        <w:t xml:space="preserve">“</w:t>
      </w:r>
      <w:r>
        <w:t xml:space="preserve">adequate</w:t>
      </w:r>
      <w:r>
        <w:t xml:space="preserve">”</w:t>
      </w:r>
      <w:r>
        <w:t xml:space="preserve"> </w:t>
      </w:r>
      <w:r>
        <w:t xml:space="preserve">and</w:t>
      </w:r>
      <w:r>
        <w:t xml:space="preserve"> </w:t>
      </w:r>
      <w:r>
        <w:t xml:space="preserve">“</w:t>
      </w:r>
      <w:r>
        <w:t xml:space="preserve">excellent</w:t>
      </w:r>
      <w:r>
        <w:t xml:space="preserve">”</w:t>
      </w:r>
      <w:r>
        <w:t xml:space="preserve"> </w:t>
      </w:r>
      <w:r>
        <w:t xml:space="preserve">is precisely where reviewer judgment adds most value.</w:t>
      </w:r>
    </w:p>
    <w:p>
      <w:pPr>
        <w:pStyle w:val="BodyText"/>
      </w:pPr>
      <w:r>
        <w:rPr>
          <w:b/>
        </w:rPr>
        <w:t xml:space="preserve">Recommended approach:</w:t>
      </w:r>
      <w:r>
        <w:t xml:space="preserve"> </w:t>
      </w:r>
      <w:r>
        <w:t xml:space="preserve">Retain the 0–4 scale for human and hybrid evaluation modes. For fully agentic evaluation, organisations may optionally collapse to a 0–3 scale by merging levels 3 and 4, provided the rubric profiles define the mapping explicitly. Any scale collapse must be recorded in the evaluation metadata.</w:t>
      </w:r>
    </w:p>
    <w:p>
      <w:pPr>
        <w:pStyle w:val="Heading3"/>
      </w:pPr>
      <w:bookmarkStart w:id="49" w:name="inter-rater-reliability-targets"/>
      <w:r>
        <w:t xml:space="preserve">7.7 Inter-rater reliability targets</w:t>
      </w:r>
      <w:bookmarkEnd w:id="49"/>
    </w:p>
    <w:p>
      <w:pPr>
        <w:pStyle w:val="FirstParagraph"/>
      </w:pPr>
      <w:r>
        <w:t xml:space="preserve">Based on empirical evidence from the RULERS framework, Microsoft’s LLM-Rubric, and Snorkel AI’s calibration methodology, the following inter-rater reliability targets apply:</w:t>
      </w:r>
    </w:p>
    <w:p>
      <w:pPr>
        <w:numPr>
          <w:ilvl w:val="0"/>
          <w:numId w:val="1021"/>
        </w:numPr>
        <w:pStyle w:val="Compact"/>
      </w:pPr>
      <w:r>
        <w:rPr>
          <w:b/>
        </w:rPr>
        <w:t xml:space="preserve">Binary criteria</w:t>
      </w:r>
      <w:r>
        <w:t xml:space="preserve"> </w:t>
      </w:r>
      <w:r>
        <w:t xml:space="preserve">(present/absent): target agreement &gt; 95% between agent and human reviewer</w:t>
      </w:r>
    </w:p>
    <w:p>
      <w:pPr>
        <w:numPr>
          <w:ilvl w:val="0"/>
          <w:numId w:val="1021"/>
        </w:numPr>
        <w:pStyle w:val="Compact"/>
      </w:pPr>
      <w:r>
        <w:rPr>
          <w:b/>
        </w:rPr>
        <w:t xml:space="preserve">Ordinal criteria</w:t>
      </w:r>
      <w:r>
        <w:t xml:space="preserve"> </w:t>
      </w:r>
      <w:r>
        <w:t xml:space="preserve">(0–4 scale): target weighted Cohen’s kappa &gt; 0.70 (substantial agreement) for well-defined criteria; &gt; 0.50 (moderate agreement) for subjective criteria</w:t>
      </w:r>
    </w:p>
    <w:p>
      <w:pPr>
        <w:numPr>
          <w:ilvl w:val="0"/>
          <w:numId w:val="1021"/>
        </w:numPr>
        <w:pStyle w:val="Compact"/>
      </w:pPr>
      <w:r>
        <w:rPr>
          <w:b/>
        </w:rPr>
        <w:t xml:space="preserve">Overall assessment</w:t>
      </w:r>
      <w:r>
        <w:t xml:space="preserve">: target Spearman’s rho &gt; 0.80 correlation with expert human reviewers</w:t>
      </w:r>
    </w:p>
    <w:p>
      <w:pPr>
        <w:numPr>
          <w:ilvl w:val="0"/>
          <w:numId w:val="1021"/>
        </w:numPr>
        <w:pStyle w:val="Compact"/>
      </w:pPr>
      <w:r>
        <w:rPr>
          <w:b/>
        </w:rPr>
        <w:t xml:space="preserve">Adjacent-score tolerance</w:t>
      </w:r>
      <w:r>
        <w:t xml:space="preserve">: for ordinal criteria, disagreements of exactly one level are treated as soft disagreements in calibration metrics</w:t>
      </w:r>
    </w:p>
    <w:p>
      <w:pPr>
        <w:pStyle w:val="FirstParagraph"/>
      </w:pPr>
      <w:r>
        <w:t xml:space="preserve">These targets should be validated through calibration exercises during profile development and monitored in production.</w:t>
      </w:r>
    </w:p>
    <w:p>
      <w:pPr>
        <w:pStyle w:val="Heading2"/>
      </w:pPr>
      <w:bookmarkStart w:id="50" w:name="core-meta-rubric-dimensions"/>
      <w:r>
        <w:t xml:space="preserve">8. Core meta-rubric dimensions</w:t>
      </w:r>
      <w:bookmarkEnd w:id="50"/>
    </w:p>
    <w:p>
      <w:pPr>
        <w:pStyle w:val="FirstParagraph"/>
      </w:pPr>
      <w:r>
        <w:t xml:space="preserve">The core meta-rubric should apply across all architecture artifact types.</w:t>
      </w:r>
    </w:p>
    <w:p>
      <w:pPr>
        <w:pStyle w:val="Heading3"/>
      </w:pPr>
      <w:bookmarkStart w:id="51" w:name="stakeholder-and-purpose-fit"/>
      <w:r>
        <w:t xml:space="preserve">8.1 Stakeholder and purpose fit</w:t>
      </w:r>
      <w:bookmarkEnd w:id="51"/>
    </w:p>
    <w:p>
      <w:pPr>
        <w:pStyle w:val="FirstParagraph"/>
      </w:pPr>
      <w:r>
        <w:t xml:space="preserve">Is the artifact explicit about who it serves, what decision it supports, and why it exists?</w:t>
      </w:r>
    </w:p>
    <w:p>
      <w:pPr>
        <w:pStyle w:val="Heading3"/>
      </w:pPr>
      <w:bookmarkStart w:id="52" w:name="scope-and-boundary-clarity"/>
      <w:r>
        <w:t xml:space="preserve">8.2 Scope and boundary clarity</w:t>
      </w:r>
      <w:bookmarkEnd w:id="52"/>
    </w:p>
    <w:p>
      <w:pPr>
        <w:pStyle w:val="FirstParagraph"/>
      </w:pPr>
      <w:r>
        <w:t xml:space="preserve">Does it define scope, exclusions, assumptions, constraints, and boundaries clearly enough to avoid misreading?</w:t>
      </w:r>
    </w:p>
    <w:p>
      <w:pPr>
        <w:pStyle w:val="Heading3"/>
      </w:pPr>
      <w:bookmarkStart w:id="53" w:name="X7bee2a812dcf1f2c32b4dacd9c74c3328eccb1b"/>
      <w:r>
        <w:t xml:space="preserve">8.3 Concern coverage and viewpoint appropriateness</w:t>
      </w:r>
      <w:bookmarkEnd w:id="53"/>
    </w:p>
    <w:p>
      <w:pPr>
        <w:pStyle w:val="FirstParagraph"/>
      </w:pPr>
      <w:r>
        <w:t xml:space="preserve">Does the artifact address the relevant concerns using views or structures that fit the problem?</w:t>
      </w:r>
    </w:p>
    <w:p>
      <w:pPr>
        <w:pStyle w:val="Heading3"/>
      </w:pPr>
      <w:bookmarkStart w:id="54" w:name="traceability"/>
      <w:r>
        <w:t xml:space="preserve">8.4 Traceability</w:t>
      </w:r>
      <w:bookmarkEnd w:id="54"/>
    </w:p>
    <w:p>
      <w:pPr>
        <w:pStyle w:val="FirstParagraph"/>
      </w:pPr>
      <w:r>
        <w:t xml:space="preserve">Can the artifact be traced to business drivers, requirements, principles, policies, and key decisions?</w:t>
      </w:r>
    </w:p>
    <w:p>
      <w:pPr>
        <w:pStyle w:val="Heading3"/>
      </w:pPr>
      <w:bookmarkStart w:id="55" w:name="internal-consistency-and-integrity"/>
      <w:r>
        <w:t xml:space="preserve">8.5 Internal consistency and integrity</w:t>
      </w:r>
      <w:bookmarkEnd w:id="55"/>
    </w:p>
    <w:p>
      <w:pPr>
        <w:pStyle w:val="FirstParagraph"/>
      </w:pPr>
      <w:r>
        <w:t xml:space="preserve">Are the claims, models, views, and narratives internally coherent, or do they conflict?</w:t>
      </w:r>
    </w:p>
    <w:p>
      <w:pPr>
        <w:pStyle w:val="Heading3"/>
      </w:pPr>
      <w:bookmarkStart w:id="56" w:name="X0a787aaa010f9d97477b44e84f4ee21b3f2ce8d"/>
      <w:r>
        <w:t xml:space="preserve">8.6 Risk, assumptions, constraints, and tradeoffs</w:t>
      </w:r>
      <w:bookmarkEnd w:id="56"/>
    </w:p>
    <w:p>
      <w:pPr>
        <w:pStyle w:val="FirstParagraph"/>
      </w:pPr>
      <w:r>
        <w:t xml:space="preserve">Does it identify meaningful risks, assumptions, constraints, and architectural tradeoffs?</w:t>
      </w:r>
    </w:p>
    <w:p>
      <w:pPr>
        <w:pStyle w:val="Heading3"/>
      </w:pPr>
      <w:bookmarkStart w:id="57" w:name="standards-and-policy-compliance"/>
      <w:r>
        <w:t xml:space="preserve">8.7 Standards and policy compliance</w:t>
      </w:r>
      <w:bookmarkEnd w:id="57"/>
    </w:p>
    <w:p>
      <w:pPr>
        <w:pStyle w:val="FirstParagraph"/>
      </w:pPr>
      <w:r>
        <w:t xml:space="preserve">Does it demonstrate alignment with mandatory standards, controls, and governance expectations?</w:t>
      </w:r>
    </w:p>
    <w:p>
      <w:pPr>
        <w:pStyle w:val="Heading3"/>
      </w:pPr>
      <w:bookmarkStart w:id="58" w:name="Xbd027ba4de36da9021fceb11ac47775a8a8d2f2"/>
      <w:r>
        <w:t xml:space="preserve">8.8 Actionability and implementation relevance</w:t>
      </w:r>
      <w:bookmarkEnd w:id="58"/>
    </w:p>
    <w:p>
      <w:pPr>
        <w:pStyle w:val="FirstParagraph"/>
      </w:pPr>
      <w:r>
        <w:t xml:space="preserve">Can downstream teams act on it? Does it inform design, sequencing, funding, governance, or delivery choices?</w:t>
      </w:r>
    </w:p>
    <w:p>
      <w:pPr>
        <w:pStyle w:val="Heading3"/>
      </w:pPr>
      <w:bookmarkStart w:id="59" w:name="maintainability-of-the-artifact"/>
      <w:r>
        <w:t xml:space="preserve">8.9 Maintainability of the artifact</w:t>
      </w:r>
      <w:bookmarkEnd w:id="59"/>
    </w:p>
    <w:p>
      <w:pPr>
        <w:pStyle w:val="FirstParagraph"/>
      </w:pPr>
      <w:r>
        <w:t xml:space="preserve">Is ownership clear? Is the artifact versioned, current enough, and structured so it can be kept useful over time?</w:t>
      </w:r>
    </w:p>
    <w:p>
      <w:pPr>
        <w:pStyle w:val="Heading2"/>
      </w:pPr>
      <w:bookmarkStart w:id="60" w:name="metric-types"/>
      <w:r>
        <w:t xml:space="preserve">9. Metric types</w:t>
      </w:r>
      <w:bookmarkEnd w:id="60"/>
    </w:p>
    <w:p>
      <w:pPr>
        <w:pStyle w:val="FirstParagraph"/>
      </w:pPr>
      <w:r>
        <w:t xml:space="preserve">Criteria may use different measurement patterns, but they must be declared explicitly.</w:t>
      </w:r>
    </w:p>
    <w:p>
      <w:pPr>
        <w:pStyle w:val="Heading3"/>
      </w:pPr>
      <w:bookmarkStart w:id="61" w:name="ordinal"/>
      <w:r>
        <w:t xml:space="preserve">9.1 Ordinal</w:t>
      </w:r>
      <w:bookmarkEnd w:id="61"/>
    </w:p>
    <w:p>
      <w:pPr>
        <w:pStyle w:val="FirstParagraph"/>
      </w:pPr>
      <w:r>
        <w:t xml:space="preserve">Used when maturity or adequacy is judged on a defined rubric scale.</w:t>
      </w:r>
      <w:r>
        <w:t xml:space="preserve"> </w:t>
      </w:r>
      <w:r>
        <w:t xml:space="preserve">Example:</w:t>
      </w:r>
      <w:r>
        <w:t xml:space="preserve"> </w:t>
      </w:r>
      <w:r>
        <w:t xml:space="preserve">“</w:t>
      </w:r>
      <w:r>
        <w:t xml:space="preserve">How complete is traceability to business capabilities?</w:t>
      </w:r>
      <w:r>
        <w:t xml:space="preserve">”</w:t>
      </w:r>
    </w:p>
    <w:p>
      <w:pPr>
        <w:pStyle w:val="Heading3"/>
      </w:pPr>
      <w:bookmarkStart w:id="62" w:name="binary"/>
      <w:r>
        <w:t xml:space="preserve">9.2 Binary</w:t>
      </w:r>
      <w:bookmarkEnd w:id="62"/>
    </w:p>
    <w:p>
      <w:pPr>
        <w:pStyle w:val="FirstParagraph"/>
      </w:pPr>
      <w:r>
        <w:t xml:space="preserve">Used for hard checks.</w:t>
      </w:r>
      <w:r>
        <w:t xml:space="preserve"> </w:t>
      </w:r>
      <w:r>
        <w:t xml:space="preserve">Example:</w:t>
      </w:r>
      <w:r>
        <w:t xml:space="preserve"> </w:t>
      </w:r>
      <w:r>
        <w:t xml:space="preserve">“</w:t>
      </w:r>
      <w:r>
        <w:t xml:space="preserve">Is the artifact owner named?</w:t>
      </w:r>
      <w:r>
        <w:t xml:space="preserve">”</w:t>
      </w:r>
    </w:p>
    <w:p>
      <w:pPr>
        <w:pStyle w:val="Heading3"/>
      </w:pPr>
      <w:bookmarkStart w:id="63" w:name="enumerated-categorical"/>
      <w:r>
        <w:t xml:space="preserve">9.3 Enumerated categorical</w:t>
      </w:r>
      <w:bookmarkEnd w:id="63"/>
    </w:p>
    <w:p>
      <w:pPr>
        <w:pStyle w:val="FirstParagraph"/>
      </w:pPr>
      <w:r>
        <w:t xml:space="preserve">Used when one of a small set of states is appropriate.</w:t>
      </w:r>
      <w:r>
        <w:t xml:space="preserve"> </w:t>
      </w:r>
      <w:r>
        <w:t xml:space="preserve">Example: none, partial, full, not-applicable</w:t>
      </w:r>
    </w:p>
    <w:p>
      <w:pPr>
        <w:pStyle w:val="Heading3"/>
      </w:pPr>
      <w:bookmarkStart w:id="64" w:name="quantified-ratio-or-count"/>
      <w:r>
        <w:t xml:space="preserve">9.4 Quantified ratio or count</w:t>
      </w:r>
      <w:bookmarkEnd w:id="64"/>
    </w:p>
    <w:p>
      <w:pPr>
        <w:pStyle w:val="FirstParagraph"/>
      </w:pPr>
      <w:r>
        <w:t xml:space="preserve">Used sparingly.</w:t>
      </w:r>
      <w:r>
        <w:t xml:space="preserve"> </w:t>
      </w:r>
      <w:r>
        <w:t xml:space="preserve">Example:</w:t>
      </w:r>
      <w:r>
        <w:t xml:space="preserve"> </w:t>
      </w:r>
      <w:r>
        <w:t xml:space="preserve">“</w:t>
      </w:r>
      <w:r>
        <w:t xml:space="preserve">Percentage of diagrams with legend and scope annotation</w:t>
      </w:r>
      <w:r>
        <w:t xml:space="preserve">”</w:t>
      </w:r>
    </w:p>
    <w:p>
      <w:pPr>
        <w:pStyle w:val="Heading3"/>
      </w:pPr>
      <w:bookmarkStart w:id="65" w:name="derived-metric"/>
      <w:r>
        <w:t xml:space="preserve">9.5 Derived metric</w:t>
      </w:r>
      <w:bookmarkEnd w:id="65"/>
    </w:p>
    <w:p>
      <w:pPr>
        <w:pStyle w:val="FirstParagraph"/>
      </w:pPr>
      <w:r>
        <w:t xml:space="preserve">Computed from multiple criterion results.</w:t>
      </w:r>
      <w:r>
        <w:t xml:space="preserve"> </w:t>
      </w:r>
      <w:r>
        <w:t xml:space="preserve">Example: concern coverage index, evidence sufficiency index, reviewability score</w:t>
      </w:r>
    </w:p>
    <w:p>
      <w:pPr>
        <w:pStyle w:val="BodyText"/>
      </w:pPr>
      <w:r>
        <w:t xml:space="preserve">Quantified metrics can be useful, but architecture evaluation is usually strongest when the quantitative element supports rather than replaces reasoned judgment.</w:t>
      </w:r>
    </w:p>
    <w:p>
      <w:pPr>
        <w:pStyle w:val="Heading2"/>
      </w:pPr>
      <w:bookmarkStart w:id="66" w:name="evidence-standard"/>
      <w:r>
        <w:t xml:space="preserve">10. Evidence standard</w:t>
      </w:r>
      <w:bookmarkEnd w:id="66"/>
    </w:p>
    <w:p>
      <w:pPr>
        <w:pStyle w:val="Heading3"/>
      </w:pPr>
      <w:bookmarkStart w:id="67" w:name="evidence-anchors"/>
      <w:r>
        <w:t xml:space="preserve">10.1 Evidence anchors</w:t>
      </w:r>
      <w:bookmarkEnd w:id="67"/>
    </w:p>
    <w:p>
      <w:pPr>
        <w:pStyle w:val="FirstParagraph"/>
      </w:pPr>
      <w:r>
        <w:t xml:space="preserve">Each criterion must specify what counts as acceptable evidence.</w:t>
      </w:r>
    </w:p>
    <w:p>
      <w:pPr>
        <w:pStyle w:val="BodyText"/>
      </w:pPr>
      <w:r>
        <w:t xml:space="preserve">Typical evidence anchors:</w:t>
      </w:r>
    </w:p>
    <w:p>
      <w:pPr>
        <w:numPr>
          <w:ilvl w:val="0"/>
          <w:numId w:val="1022"/>
        </w:numPr>
        <w:pStyle w:val="Compact"/>
      </w:pPr>
      <w:r>
        <w:t xml:space="preserve">section references</w:t>
      </w:r>
    </w:p>
    <w:p>
      <w:pPr>
        <w:numPr>
          <w:ilvl w:val="0"/>
          <w:numId w:val="1022"/>
        </w:numPr>
        <w:pStyle w:val="Compact"/>
      </w:pPr>
      <w:r>
        <w:t xml:space="preserve">page numbers</w:t>
      </w:r>
    </w:p>
    <w:p>
      <w:pPr>
        <w:numPr>
          <w:ilvl w:val="0"/>
          <w:numId w:val="1022"/>
        </w:numPr>
        <w:pStyle w:val="Compact"/>
      </w:pPr>
      <w:r>
        <w:t xml:space="preserve">diagram identifiers</w:t>
      </w:r>
    </w:p>
    <w:p>
      <w:pPr>
        <w:numPr>
          <w:ilvl w:val="0"/>
          <w:numId w:val="1022"/>
        </w:numPr>
        <w:pStyle w:val="Compact"/>
      </w:pPr>
      <w:r>
        <w:t xml:space="preserve">ADR identifiers</w:t>
      </w:r>
    </w:p>
    <w:p>
      <w:pPr>
        <w:numPr>
          <w:ilvl w:val="0"/>
          <w:numId w:val="1022"/>
        </w:numPr>
        <w:pStyle w:val="Compact"/>
      </w:pPr>
      <w:r>
        <w:t xml:space="preserve">traceability table rows</w:t>
      </w:r>
    </w:p>
    <w:p>
      <w:pPr>
        <w:numPr>
          <w:ilvl w:val="0"/>
          <w:numId w:val="1022"/>
        </w:numPr>
        <w:pStyle w:val="Compact"/>
      </w:pPr>
      <w:r>
        <w:t xml:space="preserve">standards mappings</w:t>
      </w:r>
    </w:p>
    <w:p>
      <w:pPr>
        <w:numPr>
          <w:ilvl w:val="0"/>
          <w:numId w:val="1022"/>
        </w:numPr>
        <w:pStyle w:val="Compact"/>
      </w:pPr>
      <w:r>
        <w:t xml:space="preserve">risk records</w:t>
      </w:r>
    </w:p>
    <w:p>
      <w:pPr>
        <w:numPr>
          <w:ilvl w:val="0"/>
          <w:numId w:val="1022"/>
        </w:numPr>
        <w:pStyle w:val="Compact"/>
      </w:pPr>
      <w:r>
        <w:t xml:space="preserve">roadmap milestones</w:t>
      </w:r>
    </w:p>
    <w:p>
      <w:pPr>
        <w:numPr>
          <w:ilvl w:val="0"/>
          <w:numId w:val="1022"/>
        </w:numPr>
        <w:pStyle w:val="Compact"/>
      </w:pPr>
      <w:r>
        <w:t xml:space="preserve">linked source documents</w:t>
      </w:r>
    </w:p>
    <w:p>
      <w:pPr>
        <w:pStyle w:val="Heading3"/>
      </w:pPr>
      <w:bookmarkStart w:id="68" w:name="evidence-sufficiency"/>
      <w:r>
        <w:t xml:space="preserve">10.2 Evidence sufficiency</w:t>
      </w:r>
      <w:bookmarkEnd w:id="68"/>
    </w:p>
    <w:p>
      <w:pPr>
        <w:pStyle w:val="FirstParagraph"/>
      </w:pPr>
      <w:r>
        <w:t xml:space="preserve">Record one of:</w:t>
      </w:r>
    </w:p>
    <w:p>
      <w:pPr>
        <w:numPr>
          <w:ilvl w:val="0"/>
          <w:numId w:val="1023"/>
        </w:numPr>
        <w:pStyle w:val="Compact"/>
      </w:pPr>
      <w:r>
        <w:t xml:space="preserve">sufficient</w:t>
      </w:r>
    </w:p>
    <w:p>
      <w:pPr>
        <w:numPr>
          <w:ilvl w:val="0"/>
          <w:numId w:val="1023"/>
        </w:numPr>
        <w:pStyle w:val="Compact"/>
      </w:pPr>
      <w:r>
        <w:t xml:space="preserve">partial</w:t>
      </w:r>
    </w:p>
    <w:p>
      <w:pPr>
        <w:numPr>
          <w:ilvl w:val="0"/>
          <w:numId w:val="1023"/>
        </w:numPr>
        <w:pStyle w:val="Compact"/>
      </w:pPr>
      <w:r>
        <w:t xml:space="preserve">insufficient</w:t>
      </w:r>
    </w:p>
    <w:p>
      <w:pPr>
        <w:numPr>
          <w:ilvl w:val="0"/>
          <w:numId w:val="1023"/>
        </w:numPr>
        <w:pStyle w:val="Compact"/>
      </w:pPr>
      <w:r>
        <w:t xml:space="preserve">none</w:t>
      </w:r>
    </w:p>
    <w:p>
      <w:pPr>
        <w:pStyle w:val="Heading3"/>
      </w:pPr>
      <w:bookmarkStart w:id="69" w:name="evidence-classes"/>
      <w:r>
        <w:t xml:space="preserve">10.3 Evidence classes</w:t>
      </w:r>
      <w:bookmarkEnd w:id="69"/>
    </w:p>
    <w:p>
      <w:pPr>
        <w:pStyle w:val="FirstParagraph"/>
      </w:pPr>
      <w:r>
        <w:t xml:space="preserve">Record each finding as:</w:t>
      </w:r>
    </w:p>
    <w:p>
      <w:pPr>
        <w:numPr>
          <w:ilvl w:val="0"/>
          <w:numId w:val="1024"/>
        </w:numPr>
        <w:pStyle w:val="Compact"/>
      </w:pPr>
      <w:r>
        <w:t xml:space="preserve">observed</w:t>
      </w:r>
    </w:p>
    <w:p>
      <w:pPr>
        <w:numPr>
          <w:ilvl w:val="0"/>
          <w:numId w:val="1024"/>
        </w:numPr>
        <w:pStyle w:val="Compact"/>
      </w:pPr>
      <w:r>
        <w:t xml:space="preserve">inferred</w:t>
      </w:r>
    </w:p>
    <w:p>
      <w:pPr>
        <w:numPr>
          <w:ilvl w:val="0"/>
          <w:numId w:val="1024"/>
        </w:numPr>
        <w:pStyle w:val="Compact"/>
      </w:pPr>
      <w:r>
        <w:t xml:space="preserve">external</w:t>
      </w:r>
    </w:p>
    <w:p>
      <w:pPr>
        <w:pStyle w:val="Heading3"/>
      </w:pPr>
      <w:bookmarkStart w:id="70" w:name="missing-evidence-is-a-first-class-result"/>
      <w:r>
        <w:t xml:space="preserve">10.4 Missing evidence is a first-class result</w:t>
      </w:r>
      <w:bookmarkEnd w:id="70"/>
    </w:p>
    <w:p>
      <w:pPr>
        <w:pStyle w:val="FirstParagraph"/>
      </w:pPr>
      <w:r>
        <w:t xml:space="preserve">Evaluators must not silently fill gaps. Missing evidence must be visible in the record.</w:t>
      </w:r>
    </w:p>
    <w:p>
      <w:pPr>
        <w:pStyle w:val="Heading2"/>
      </w:pPr>
      <w:bookmarkStart w:id="71" w:name="documentation-standard"/>
      <w:r>
        <w:t xml:space="preserve">11. Documentation standard</w:t>
      </w:r>
      <w:bookmarkEnd w:id="71"/>
    </w:p>
    <w:p>
      <w:pPr>
        <w:pStyle w:val="FirstParagraph"/>
      </w:pPr>
      <w:r>
        <w:t xml:space="preserve">Every rubric package must contain five documentation assets.</w:t>
      </w:r>
    </w:p>
    <w:p>
      <w:pPr>
        <w:pStyle w:val="Heading3"/>
      </w:pPr>
      <w:bookmarkStart w:id="72" w:name="rubric-specification"/>
      <w:r>
        <w:t xml:space="preserve">11.1 Rubric specification</w:t>
      </w:r>
      <w:bookmarkEnd w:id="72"/>
    </w:p>
    <w:p>
      <w:pPr>
        <w:pStyle w:val="FirstParagraph"/>
      </w:pPr>
      <w:r>
        <w:t xml:space="preserve">The normative definition of dimensions, criteria, scale, gates, weights, applicability, and outputs.</w:t>
      </w:r>
    </w:p>
    <w:p>
      <w:pPr>
        <w:pStyle w:val="Heading3"/>
      </w:pPr>
      <w:bookmarkStart w:id="73" w:name="scoring-guidance"/>
      <w:r>
        <w:t xml:space="preserve">11.2 Scoring guidance</w:t>
      </w:r>
      <w:bookmarkEnd w:id="73"/>
    </w:p>
    <w:p>
      <w:pPr>
        <w:pStyle w:val="FirstParagraph"/>
      </w:pPr>
      <w:r>
        <w:t xml:space="preserve">A reviewer guide with:</w:t>
      </w:r>
    </w:p>
    <w:p>
      <w:pPr>
        <w:numPr>
          <w:ilvl w:val="0"/>
          <w:numId w:val="1025"/>
        </w:numPr>
        <w:pStyle w:val="Compact"/>
      </w:pPr>
      <w:r>
        <w:t xml:space="preserve">interpretation notes</w:t>
      </w:r>
    </w:p>
    <w:p>
      <w:pPr>
        <w:numPr>
          <w:ilvl w:val="0"/>
          <w:numId w:val="1025"/>
        </w:numPr>
        <w:pStyle w:val="Compact"/>
      </w:pPr>
      <w:r>
        <w:t xml:space="preserve">examples</w:t>
      </w:r>
    </w:p>
    <w:p>
      <w:pPr>
        <w:numPr>
          <w:ilvl w:val="0"/>
          <w:numId w:val="1025"/>
        </w:numPr>
        <w:pStyle w:val="Compact"/>
      </w:pPr>
      <w:r>
        <w:t xml:space="preserve">counterexamples</w:t>
      </w:r>
    </w:p>
    <w:p>
      <w:pPr>
        <w:numPr>
          <w:ilvl w:val="0"/>
          <w:numId w:val="1025"/>
        </w:numPr>
        <w:pStyle w:val="Compact"/>
      </w:pPr>
      <w:r>
        <w:t xml:space="preserve">anti-patterns</w:t>
      </w:r>
    </w:p>
    <w:p>
      <w:pPr>
        <w:numPr>
          <w:ilvl w:val="0"/>
          <w:numId w:val="1025"/>
        </w:numPr>
        <w:pStyle w:val="Compact"/>
      </w:pPr>
      <w:r>
        <w:t xml:space="preserve">boundary cases</w:t>
      </w:r>
    </w:p>
    <w:p>
      <w:pPr>
        <w:numPr>
          <w:ilvl w:val="0"/>
          <w:numId w:val="1025"/>
        </w:numPr>
        <w:pStyle w:val="Compact"/>
      </w:pPr>
      <w:r>
        <w:t xml:space="preserve">tie-break guidance</w:t>
      </w:r>
    </w:p>
    <w:p>
      <w:pPr>
        <w:pStyle w:val="Heading3"/>
      </w:pPr>
      <w:bookmarkStart w:id="74" w:name="calibration-pack"/>
      <w:r>
        <w:t xml:space="preserve">11.3 Calibration pack</w:t>
      </w:r>
      <w:bookmarkEnd w:id="74"/>
    </w:p>
    <w:p>
      <w:pPr>
        <w:pStyle w:val="FirstParagraph"/>
      </w:pPr>
      <w:r>
        <w:t xml:space="preserve">A set of sample artifacts with benchmark evaluations and rationale.</w:t>
      </w:r>
    </w:p>
    <w:p>
      <w:pPr>
        <w:pStyle w:val="Heading3"/>
      </w:pPr>
      <w:bookmarkStart w:id="75" w:name="evaluation-record-template"/>
      <w:r>
        <w:t xml:space="preserve">11.4 Evaluation record template</w:t>
      </w:r>
      <w:bookmarkEnd w:id="75"/>
    </w:p>
    <w:p>
      <w:pPr>
        <w:pStyle w:val="FirstParagraph"/>
      </w:pPr>
      <w:r>
        <w:t xml:space="preserve">The format for storing applied scores, evidence, rationale, gaps, and actions.</w:t>
      </w:r>
    </w:p>
    <w:p>
      <w:pPr>
        <w:pStyle w:val="Heading3"/>
      </w:pPr>
      <w:bookmarkStart w:id="76" w:name="decision-log-template"/>
      <w:r>
        <w:t xml:space="preserve">11.5 Decision log template</w:t>
      </w:r>
      <w:bookmarkEnd w:id="76"/>
    </w:p>
    <w:p>
      <w:pPr>
        <w:pStyle w:val="FirstParagraph"/>
      </w:pPr>
      <w:r>
        <w:t xml:space="preserve">The format for recording disposition, review outcome, waivers, owners, due dates, and exceptions.</w:t>
      </w:r>
    </w:p>
    <w:p>
      <w:pPr>
        <w:pStyle w:val="Heading2"/>
      </w:pPr>
      <w:bookmarkStart w:id="77" w:name="agentic-operating-pattern"/>
      <w:r>
        <w:t xml:space="preserve">12. Agentic operating pattern</w:t>
      </w:r>
      <w:bookmarkEnd w:id="77"/>
    </w:p>
    <w:p>
      <w:pPr>
        <w:pStyle w:val="Heading3"/>
      </w:pPr>
      <w:bookmarkStart w:id="78" w:name="recommended-evaluation-pattern"/>
      <w:r>
        <w:t xml:space="preserve">12.1 Recommended evaluation pattern</w:t>
      </w:r>
      <w:bookmarkEnd w:id="78"/>
    </w:p>
    <w:p>
      <w:pPr>
        <w:pStyle w:val="FirstParagraph"/>
      </w:pPr>
      <w:r>
        <w:t xml:space="preserve">Use a</w:t>
      </w:r>
      <w:r>
        <w:t xml:space="preserve"> </w:t>
      </w:r>
      <w:r>
        <w:rPr>
          <w:b/>
        </w:rPr>
        <w:t xml:space="preserve">two-pass or three-pass model</w:t>
      </w:r>
      <w:r>
        <w:t xml:space="preserve">.</w:t>
      </w:r>
    </w:p>
    <w:p>
      <w:pPr>
        <w:pStyle w:val="Heading4"/>
      </w:pPr>
      <w:bookmarkStart w:id="79" w:name="pass-1-extractor"/>
      <w:r>
        <w:t xml:space="preserve">Pass 1 — Extractor</w:t>
      </w:r>
      <w:bookmarkEnd w:id="79"/>
    </w:p>
    <w:p>
      <w:pPr>
        <w:pStyle w:val="FirstParagraph"/>
      </w:pPr>
      <w:r>
        <w:t xml:space="preserve">An agent extracts evidence from the artifact, identifies sections, diagrams, traceability elements, and candidate evidence for each criterion.</w:t>
      </w:r>
    </w:p>
    <w:p>
      <w:pPr>
        <w:pStyle w:val="Heading4"/>
      </w:pPr>
      <w:bookmarkStart w:id="80" w:name="pass-2-evaluator"/>
      <w:r>
        <w:t xml:space="preserve">Pass 2 — Evaluator</w:t>
      </w:r>
      <w:bookmarkEnd w:id="80"/>
    </w:p>
    <w:p>
      <w:pPr>
        <w:pStyle w:val="FirstParagraph"/>
      </w:pPr>
      <w:r>
        <w:t xml:space="preserve">A second agent applies the rubric and produces criterion scores, rationale, confidence, and gaps.</w:t>
      </w:r>
    </w:p>
    <w:p>
      <w:pPr>
        <w:pStyle w:val="Heading4"/>
      </w:pPr>
      <w:bookmarkStart w:id="81" w:name="pass-3-challenger"/>
      <w:r>
        <w:t xml:space="preserve">Pass 3 — Challenger</w:t>
      </w:r>
      <w:bookmarkEnd w:id="81"/>
    </w:p>
    <w:p>
      <w:pPr>
        <w:pStyle w:val="FirstParagraph"/>
      </w:pPr>
      <w:r>
        <w:t xml:space="preserve">A third agent challenges the evaluation by looking for:</w:t>
      </w:r>
    </w:p>
    <w:p>
      <w:pPr>
        <w:numPr>
          <w:ilvl w:val="0"/>
          <w:numId w:val="1026"/>
        </w:numPr>
        <w:pStyle w:val="Compact"/>
      </w:pPr>
      <w:r>
        <w:t xml:space="preserve">unsupported claims</w:t>
      </w:r>
    </w:p>
    <w:p>
      <w:pPr>
        <w:numPr>
          <w:ilvl w:val="0"/>
          <w:numId w:val="1026"/>
        </w:numPr>
        <w:pStyle w:val="Compact"/>
      </w:pPr>
      <w:r>
        <w:t xml:space="preserve">contradictory evidence</w:t>
      </w:r>
    </w:p>
    <w:p>
      <w:pPr>
        <w:numPr>
          <w:ilvl w:val="0"/>
          <w:numId w:val="1026"/>
        </w:numPr>
        <w:pStyle w:val="Compact"/>
      </w:pPr>
      <w:r>
        <w:t xml:space="preserve">rubric misuse</w:t>
      </w:r>
    </w:p>
    <w:p>
      <w:pPr>
        <w:numPr>
          <w:ilvl w:val="0"/>
          <w:numId w:val="1026"/>
        </w:numPr>
        <w:pStyle w:val="Compact"/>
      </w:pPr>
      <w:r>
        <w:t xml:space="preserve">over-scoring</w:t>
      </w:r>
    </w:p>
    <w:p>
      <w:pPr>
        <w:numPr>
          <w:ilvl w:val="0"/>
          <w:numId w:val="1026"/>
        </w:numPr>
        <w:pStyle w:val="Compact"/>
      </w:pPr>
      <w:r>
        <w:t xml:space="preserve">unacknowledged ambiguity</w:t>
      </w:r>
    </w:p>
    <w:p>
      <w:pPr>
        <w:numPr>
          <w:ilvl w:val="0"/>
          <w:numId w:val="1026"/>
        </w:numPr>
        <w:pStyle w:val="Compact"/>
      </w:pPr>
      <w:r>
        <w:t xml:space="preserve">missing gating issues</w:t>
      </w:r>
    </w:p>
    <w:p>
      <w:pPr>
        <w:pStyle w:val="FirstParagraph"/>
      </w:pPr>
      <w:r>
        <w:t xml:space="preserve">This pattern is safer than single-agent scoring because architecture review is vulnerable to confident but weak inference.</w:t>
      </w:r>
    </w:p>
    <w:p>
      <w:pPr>
        <w:pStyle w:val="Heading3"/>
      </w:pPr>
      <w:bookmarkStart w:id="82" w:name="human-review-threshold"/>
      <w:r>
        <w:t xml:space="preserve">12.2 Human review threshold</w:t>
      </w:r>
      <w:bookmarkEnd w:id="82"/>
    </w:p>
    <w:p>
      <w:pPr>
        <w:pStyle w:val="FirstParagraph"/>
      </w:pPr>
      <w:r>
        <w:t xml:space="preserve">Require human review when:</w:t>
      </w:r>
    </w:p>
    <w:p>
      <w:pPr>
        <w:numPr>
          <w:ilvl w:val="0"/>
          <w:numId w:val="1027"/>
        </w:numPr>
        <w:pStyle w:val="Compact"/>
      </w:pPr>
      <w:r>
        <w:t xml:space="preserve">any critical gate fails</w:t>
      </w:r>
    </w:p>
    <w:p>
      <w:pPr>
        <w:numPr>
          <w:ilvl w:val="0"/>
          <w:numId w:val="1027"/>
        </w:numPr>
        <w:pStyle w:val="Compact"/>
      </w:pPr>
      <w:r>
        <w:t xml:space="preserve">confidence is low on a major criterion</w:t>
      </w:r>
    </w:p>
    <w:p>
      <w:pPr>
        <w:numPr>
          <w:ilvl w:val="0"/>
          <w:numId w:val="1027"/>
        </w:numPr>
        <w:pStyle w:val="Compact"/>
      </w:pPr>
      <w:r>
        <w:t xml:space="preserve">overall status changes because of inference rather than direct evidence</w:t>
      </w:r>
    </w:p>
    <w:p>
      <w:pPr>
        <w:numPr>
          <w:ilvl w:val="0"/>
          <w:numId w:val="1027"/>
        </w:numPr>
        <w:pStyle w:val="Compact"/>
      </w:pPr>
      <w:r>
        <w:t xml:space="preserve">the challenger disagrees materially with the evaluator</w:t>
      </w:r>
    </w:p>
    <w:p>
      <w:pPr>
        <w:numPr>
          <w:ilvl w:val="0"/>
          <w:numId w:val="1027"/>
        </w:numPr>
        <w:pStyle w:val="Compact"/>
      </w:pPr>
      <w:r>
        <w:t xml:space="preserve">the artifact is high impact or high risk</w:t>
      </w:r>
    </w:p>
    <w:p>
      <w:pPr>
        <w:pStyle w:val="Heading3"/>
      </w:pPr>
      <w:bookmarkStart w:id="83" w:name="agent-output-standard"/>
      <w:r>
        <w:t xml:space="preserve">12.3 Agent output standard</w:t>
      </w:r>
      <w:bookmarkEnd w:id="83"/>
    </w:p>
    <w:p>
      <w:pPr>
        <w:pStyle w:val="FirstParagraph"/>
      </w:pPr>
      <w:r>
        <w:t xml:space="preserve">Agent-generated outputs must contain:</w:t>
      </w:r>
    </w:p>
    <w:p>
      <w:pPr>
        <w:numPr>
          <w:ilvl w:val="0"/>
          <w:numId w:val="1028"/>
        </w:numPr>
        <w:pStyle w:val="Compact"/>
      </w:pPr>
      <w:r>
        <w:t xml:space="preserve">criterion-by-criterion result</w:t>
      </w:r>
    </w:p>
    <w:p>
      <w:pPr>
        <w:numPr>
          <w:ilvl w:val="0"/>
          <w:numId w:val="1028"/>
        </w:numPr>
        <w:pStyle w:val="Compact"/>
      </w:pPr>
      <w:r>
        <w:t xml:space="preserve">evidence references</w:t>
      </w:r>
    </w:p>
    <w:p>
      <w:pPr>
        <w:numPr>
          <w:ilvl w:val="0"/>
          <w:numId w:val="1028"/>
        </w:numPr>
        <w:pStyle w:val="Compact"/>
      </w:pPr>
      <w:r>
        <w:t xml:space="preserve">rationale</w:t>
      </w:r>
    </w:p>
    <w:p>
      <w:pPr>
        <w:numPr>
          <w:ilvl w:val="0"/>
          <w:numId w:val="1028"/>
        </w:numPr>
        <w:pStyle w:val="Compact"/>
      </w:pPr>
      <w:r>
        <w:t xml:space="preserve">confidence</w:t>
      </w:r>
    </w:p>
    <w:p>
      <w:pPr>
        <w:numPr>
          <w:ilvl w:val="0"/>
          <w:numId w:val="1028"/>
        </w:numPr>
        <w:pStyle w:val="Compact"/>
      </w:pPr>
      <w:r>
        <w:t xml:space="preserve">explicit gaps</w:t>
      </w:r>
    </w:p>
    <w:p>
      <w:pPr>
        <w:numPr>
          <w:ilvl w:val="0"/>
          <w:numId w:val="1028"/>
        </w:numPr>
        <w:pStyle w:val="Compact"/>
      </w:pPr>
      <w:r>
        <w:t xml:space="preserve">recommended actions</w:t>
      </w:r>
    </w:p>
    <w:p>
      <w:pPr>
        <w:numPr>
          <w:ilvl w:val="0"/>
          <w:numId w:val="1028"/>
        </w:numPr>
        <w:pStyle w:val="Compact"/>
      </w:pPr>
      <w:r>
        <w:t xml:space="preserve">model/version metadata if required by internal policy</w:t>
      </w:r>
    </w:p>
    <w:p>
      <w:pPr>
        <w:pStyle w:val="Heading3"/>
      </w:pPr>
      <w:bookmarkStart w:id="84" w:name="dag-based-evaluation-flow"/>
      <w:r>
        <w:t xml:space="preserve">12.4 DAG-based evaluation flow</w:t>
      </w:r>
      <w:bookmarkEnd w:id="84"/>
    </w:p>
    <w:p>
      <w:pPr>
        <w:pStyle w:val="FirstParagraph"/>
      </w:pPr>
      <w:r>
        <w:t xml:space="preserve">For complex artifacts, structure the agentic evaluation as a Directed Acyclic Graph (DAG) rather than a linear three-pass model. Each node in the DAG is a specialised evaluation step that produces typed outputs consumed by downstream nodes.</w:t>
      </w:r>
    </w:p>
    <w:p>
      <w:pPr>
        <w:pStyle w:val="BodyText"/>
      </w:pPr>
      <w:r>
        <w:t xml:space="preserve">Recommended DAG structure:</w:t>
      </w:r>
    </w:p>
    <w:p>
      <w:pPr>
        <w:numPr>
          <w:ilvl w:val="0"/>
          <w:numId w:val="1029"/>
        </w:numPr>
        <w:pStyle w:val="Compact"/>
      </w:pPr>
      <w:r>
        <w:rPr>
          <w:b/>
        </w:rPr>
        <w:t xml:space="preserve">Structural validation</w:t>
      </w:r>
      <w:r>
        <w:t xml:space="preserve"> </w:t>
      </w:r>
      <w:r>
        <w:t xml:space="preserve">(binary checks): metadata completeness, section presence, schema conformance, naming conventions</w:t>
      </w:r>
    </w:p>
    <w:p>
      <w:pPr>
        <w:numPr>
          <w:ilvl w:val="0"/>
          <w:numId w:val="1029"/>
        </w:numPr>
        <w:pStyle w:val="Compact"/>
      </w:pPr>
      <w:r>
        <w:rPr>
          <w:b/>
        </w:rPr>
        <w:t xml:space="preserve">Content extraction</w:t>
      </w:r>
      <w:r>
        <w:t xml:space="preserve">: extract evidence for each criterion from identified sections</w:t>
      </w:r>
    </w:p>
    <w:p>
      <w:pPr>
        <w:numPr>
          <w:ilvl w:val="0"/>
          <w:numId w:val="1029"/>
        </w:numPr>
        <w:pStyle w:val="Compact"/>
      </w:pPr>
      <w:r>
        <w:rPr>
          <w:b/>
        </w:rPr>
        <w:t xml:space="preserve">Criterion scoring</w:t>
      </w:r>
      <w:r>
        <w:t xml:space="preserve"> </w:t>
      </w:r>
      <w:r>
        <w:t xml:space="preserve">(parallel): each criterion scored independently with evidence anchoring</w:t>
      </w:r>
    </w:p>
    <w:p>
      <w:pPr>
        <w:numPr>
          <w:ilvl w:val="0"/>
          <w:numId w:val="1029"/>
        </w:numPr>
        <w:pStyle w:val="Compact"/>
      </w:pPr>
      <w:r>
        <w:rPr>
          <w:b/>
        </w:rPr>
        <w:t xml:space="preserve">Cross-reference validation</w:t>
      </w:r>
      <w:r>
        <w:t xml:space="preserve">: check consistency between criterion scores and between artifact sections</w:t>
      </w:r>
    </w:p>
    <w:p>
      <w:pPr>
        <w:numPr>
          <w:ilvl w:val="0"/>
          <w:numId w:val="1029"/>
        </w:numPr>
        <w:pStyle w:val="Compact"/>
      </w:pPr>
      <w:r>
        <w:rPr>
          <w:b/>
        </w:rPr>
        <w:t xml:space="preserve">Dimension aggregation</w:t>
      </w:r>
      <w:r>
        <w:t xml:space="preserve">: compute dimension-level scores from criterion results</w:t>
      </w:r>
    </w:p>
    <w:p>
      <w:pPr>
        <w:numPr>
          <w:ilvl w:val="0"/>
          <w:numId w:val="1029"/>
        </w:numPr>
        <w:pStyle w:val="Compact"/>
      </w:pPr>
      <w:r>
        <w:rPr>
          <w:b/>
        </w:rPr>
        <w:t xml:space="preserve">Challenge pass</w:t>
      </w:r>
      <w:r>
        <w:t xml:space="preserve">: identify unsupported claims, contradictions, over-scoring, and unacknowledged ambiguity</w:t>
      </w:r>
    </w:p>
    <w:p>
      <w:pPr>
        <w:numPr>
          <w:ilvl w:val="0"/>
          <w:numId w:val="1029"/>
        </w:numPr>
        <w:pStyle w:val="Compact"/>
      </w:pPr>
      <w:r>
        <w:rPr>
          <w:b/>
        </w:rPr>
        <w:t xml:space="preserve">Calibration</w:t>
      </w:r>
      <w:r>
        <w:t xml:space="preserve">: apply post-hoc calibration using the RULERS Wasserstein-based method or LLM-Rubric aggregation network</w:t>
      </w:r>
    </w:p>
    <w:p>
      <w:pPr>
        <w:numPr>
          <w:ilvl w:val="0"/>
          <w:numId w:val="1029"/>
        </w:numPr>
        <w:pStyle w:val="Compact"/>
      </w:pPr>
      <w:r>
        <w:rPr>
          <w:b/>
        </w:rPr>
        <w:t xml:space="preserve">Status determination</w:t>
      </w:r>
      <w:r>
        <w:t xml:space="preserve">: apply gate logic and threshold rules to determine overall status</w:t>
      </w:r>
    </w:p>
    <w:p>
      <w:pPr>
        <w:pStyle w:val="FirstParagraph"/>
      </w:pPr>
      <w:r>
        <w:t xml:space="preserve">This DAG structure is safer than a monolithic three-pass model because each node has a narrow, well-defined scope. It also enables partial re-evaluation when an artifact is updated.</w:t>
      </w:r>
    </w:p>
    <w:p>
      <w:pPr>
        <w:pStyle w:val="Heading3"/>
      </w:pPr>
      <w:bookmarkStart w:id="85" w:name="evidence-anchoring-protocol"/>
      <w:r>
        <w:t xml:space="preserve">12.5 Evidence-anchoring protocol</w:t>
      </w:r>
      <w:bookmarkEnd w:id="85"/>
    </w:p>
    <w:p>
      <w:pPr>
        <w:pStyle w:val="FirstParagraph"/>
      </w:pPr>
      <w:r>
        <w:t xml:space="preserve">Following the RULERS framework, every agent-generated score must include:</w:t>
      </w:r>
    </w:p>
    <w:p>
      <w:pPr>
        <w:numPr>
          <w:ilvl w:val="0"/>
          <w:numId w:val="1030"/>
        </w:numPr>
        <w:pStyle w:val="Compact"/>
      </w:pPr>
      <w:r>
        <w:rPr>
          <w:b/>
        </w:rPr>
        <w:t xml:space="preserve">Citation</w:t>
      </w:r>
      <w:r>
        <w:t xml:space="preserve">: a specific reference to the artifact (section, page, paragraph, diagram ID, table row)</w:t>
      </w:r>
    </w:p>
    <w:p>
      <w:pPr>
        <w:numPr>
          <w:ilvl w:val="0"/>
          <w:numId w:val="1030"/>
        </w:numPr>
        <w:pStyle w:val="Compact"/>
      </w:pPr>
      <w:r>
        <w:rPr>
          <w:b/>
        </w:rPr>
        <w:t xml:space="preserve">Quotation</w:t>
      </w:r>
      <w:r>
        <w:t xml:space="preserve">: the relevant text or description from the artifact that supports the score</w:t>
      </w:r>
    </w:p>
    <w:p>
      <w:pPr>
        <w:numPr>
          <w:ilvl w:val="0"/>
          <w:numId w:val="1030"/>
        </w:numPr>
        <w:pStyle w:val="Compact"/>
      </w:pPr>
      <w:r>
        <w:rPr>
          <w:b/>
        </w:rPr>
        <w:t xml:space="preserve">Evidence class</w:t>
      </w:r>
      <w:r>
        <w:t xml:space="preserve">: observed, inferred, or external</w:t>
      </w:r>
    </w:p>
    <w:p>
      <w:pPr>
        <w:numPr>
          <w:ilvl w:val="0"/>
          <w:numId w:val="1030"/>
        </w:numPr>
        <w:pStyle w:val="Compact"/>
      </w:pPr>
      <w:r>
        <w:rPr>
          <w:b/>
        </w:rPr>
        <w:t xml:space="preserve">Sufficiency</w:t>
      </w:r>
      <w:r>
        <w:t xml:space="preserve">: whether the evidence is sufficient, partial, or insufficient for the criterion</w:t>
      </w:r>
    </w:p>
    <w:p>
      <w:pPr>
        <w:numPr>
          <w:ilvl w:val="0"/>
          <w:numId w:val="1030"/>
        </w:numPr>
        <w:pStyle w:val="Compact"/>
      </w:pPr>
      <w:r>
        <w:rPr>
          <w:b/>
        </w:rPr>
        <w:t xml:space="preserve">Confidence</w:t>
      </w:r>
      <w:r>
        <w:t xml:space="preserve">: low, medium, or high, with explicit reasons for anything below high</w:t>
      </w:r>
    </w:p>
    <w:p>
      <w:pPr>
        <w:pStyle w:val="FirstParagraph"/>
      </w:pPr>
      <w:r>
        <w:t xml:space="preserve">Scores without evidence anchors must be flagged as unverified and excluded from automated status determination.</w:t>
      </w:r>
    </w:p>
    <w:p>
      <w:pPr>
        <w:pStyle w:val="Heading3"/>
      </w:pPr>
      <w:bookmarkStart w:id="86" w:name="rubric-locking-for-agent-evaluation"/>
      <w:r>
        <w:t xml:space="preserve">12.6 Rubric locking for agent evaluation</w:t>
      </w:r>
      <w:bookmarkEnd w:id="86"/>
    </w:p>
    <w:p>
      <w:pPr>
        <w:pStyle w:val="FirstParagraph"/>
      </w:pPr>
      <w:r>
        <w:t xml:space="preserve">Rubrics used in agentic evaluation must be compiled into immutable, versioned specifications before use. This prevents interpretation drift across evaluation runs. Changes to rubric wording, examples, or scoring guidance require a new rubric version and recalibration.</w:t>
      </w:r>
    </w:p>
    <w:p>
      <w:pPr>
        <w:pStyle w:val="BodyText"/>
      </w:pPr>
      <w:r>
        <w:t xml:space="preserve">The locked rubric specification should include the full criterion text, all level descriptors, all examples and anti-patterns, all gate rules, and the aggregation function. It must be stored in a machine-readable format (YAML or JSON) conforming to the rubric schema.</w:t>
      </w:r>
    </w:p>
    <w:p>
      <w:pPr>
        <w:pStyle w:val="Heading2"/>
      </w:pPr>
      <w:bookmarkStart w:id="87" w:name="calibration-and-quality-control"/>
      <w:r>
        <w:t xml:space="preserve">13. Calibration and quality control</w:t>
      </w:r>
      <w:bookmarkEnd w:id="87"/>
    </w:p>
    <w:p>
      <w:pPr>
        <w:pStyle w:val="Heading3"/>
      </w:pPr>
      <w:bookmarkStart w:id="88" w:name="why-calibration-matters"/>
      <w:r>
        <w:t xml:space="preserve">13.1 Why calibration matters</w:t>
      </w:r>
      <w:bookmarkEnd w:id="88"/>
    </w:p>
    <w:p>
      <w:pPr>
        <w:pStyle w:val="FirstParagraph"/>
      </w:pPr>
      <w:r>
        <w:t xml:space="preserve">Without calibration, the same rubric will drift across teams, reviewers, and agents.</w:t>
      </w:r>
    </w:p>
    <w:p>
      <w:pPr>
        <w:pStyle w:val="Heading3"/>
      </w:pPr>
      <w:bookmarkStart w:id="89" w:name="calibration-method"/>
      <w:r>
        <w:t xml:space="preserve">13.2 Calibration method</w:t>
      </w:r>
      <w:bookmarkEnd w:id="89"/>
    </w:p>
    <w:p>
      <w:pPr>
        <w:pStyle w:val="FirstParagraph"/>
      </w:pPr>
      <w:r>
        <w:t xml:space="preserve">For a new rubric or profile:</w:t>
      </w:r>
    </w:p>
    <w:p>
      <w:pPr>
        <w:numPr>
          <w:ilvl w:val="0"/>
          <w:numId w:val="1031"/>
        </w:numPr>
        <w:pStyle w:val="Compact"/>
      </w:pPr>
      <w:r>
        <w:t xml:space="preserve">select 10–20 representative artifacts</w:t>
      </w:r>
    </w:p>
    <w:p>
      <w:pPr>
        <w:numPr>
          <w:ilvl w:val="0"/>
          <w:numId w:val="1031"/>
        </w:numPr>
        <w:pStyle w:val="Compact"/>
      </w:pPr>
      <w:r>
        <w:t xml:space="preserve">score them independently with at least two reviewers or two review modes</w:t>
      </w:r>
    </w:p>
    <w:p>
      <w:pPr>
        <w:numPr>
          <w:ilvl w:val="0"/>
          <w:numId w:val="1031"/>
        </w:numPr>
        <w:pStyle w:val="Compact"/>
      </w:pPr>
      <w:r>
        <w:t xml:space="preserve">compare results</w:t>
      </w:r>
    </w:p>
    <w:p>
      <w:pPr>
        <w:numPr>
          <w:ilvl w:val="0"/>
          <w:numId w:val="1031"/>
        </w:numPr>
        <w:pStyle w:val="Compact"/>
      </w:pPr>
      <w:r>
        <w:t xml:space="preserve">identify ambiguous criteria and rewrite scoring guidance</w:t>
      </w:r>
    </w:p>
    <w:p>
      <w:pPr>
        <w:numPr>
          <w:ilvl w:val="0"/>
          <w:numId w:val="1031"/>
        </w:numPr>
        <w:pStyle w:val="Compact"/>
      </w:pPr>
      <w:r>
        <w:t xml:space="preserve">repeat until agreement is stable enough for operational use</w:t>
      </w:r>
    </w:p>
    <w:p>
      <w:pPr>
        <w:pStyle w:val="Heading3"/>
      </w:pPr>
      <w:bookmarkStart w:id="90" w:name="agreement-metrics"/>
      <w:r>
        <w:t xml:space="preserve">13.3 Agreement metrics</w:t>
      </w:r>
      <w:bookmarkEnd w:id="90"/>
    </w:p>
    <w:p>
      <w:pPr>
        <w:pStyle w:val="FirstParagraph"/>
      </w:pPr>
      <w:r>
        <w:t xml:space="preserve">For ordinal scoring, weighted kappa is a useful agreement measure because it accounts for ordered disagreements rather than treating all disagreements equally. [R6]</w:t>
      </w:r>
    </w:p>
    <w:p>
      <w:pPr>
        <w:pStyle w:val="Heading3"/>
      </w:pPr>
      <w:bookmarkStart w:id="91" w:name="what-to-calibrate"/>
      <w:r>
        <w:t xml:space="preserve">13.4 What to calibrate</w:t>
      </w:r>
      <w:bookmarkEnd w:id="91"/>
    </w:p>
    <w:p>
      <w:pPr>
        <w:pStyle w:val="FirstParagraph"/>
      </w:pPr>
      <w:r>
        <w:t xml:space="preserve">Calibrate:</w:t>
      </w:r>
    </w:p>
    <w:p>
      <w:pPr>
        <w:numPr>
          <w:ilvl w:val="0"/>
          <w:numId w:val="1032"/>
        </w:numPr>
        <w:pStyle w:val="Compact"/>
      </w:pPr>
      <w:r>
        <w:t xml:space="preserve">score distributions</w:t>
      </w:r>
    </w:p>
    <w:p>
      <w:pPr>
        <w:numPr>
          <w:ilvl w:val="0"/>
          <w:numId w:val="1032"/>
        </w:numPr>
        <w:pStyle w:val="Compact"/>
      </w:pPr>
      <w:r>
        <w:t xml:space="preserve">gate consistency</w:t>
      </w:r>
    </w:p>
    <w:p>
      <w:pPr>
        <w:numPr>
          <w:ilvl w:val="0"/>
          <w:numId w:val="1032"/>
        </w:numPr>
        <w:pStyle w:val="Compact"/>
      </w:pPr>
      <w:r>
        <w:t xml:space="preserve">treatment of N/A</w:t>
      </w:r>
    </w:p>
    <w:p>
      <w:pPr>
        <w:numPr>
          <w:ilvl w:val="0"/>
          <w:numId w:val="1032"/>
        </w:numPr>
        <w:pStyle w:val="Compact"/>
      </w:pPr>
      <w:r>
        <w:t xml:space="preserve">confidence usage</w:t>
      </w:r>
    </w:p>
    <w:p>
      <w:pPr>
        <w:numPr>
          <w:ilvl w:val="0"/>
          <w:numId w:val="1032"/>
        </w:numPr>
        <w:pStyle w:val="Compact"/>
      </w:pPr>
      <w:r>
        <w:t xml:space="preserve">evidence sufficiency judgments</w:t>
      </w:r>
    </w:p>
    <w:p>
      <w:pPr>
        <w:numPr>
          <w:ilvl w:val="0"/>
          <w:numId w:val="1032"/>
        </w:numPr>
        <w:pStyle w:val="Compact"/>
      </w:pPr>
      <w:r>
        <w:t xml:space="preserve">action recommendations</w:t>
      </w:r>
    </w:p>
    <w:p>
      <w:pPr>
        <w:pStyle w:val="Heading3"/>
      </w:pPr>
      <w:bookmarkStart w:id="92" w:name="recalibration-triggers"/>
      <w:r>
        <w:t xml:space="preserve">13.5 Recalibration triggers</w:t>
      </w:r>
      <w:bookmarkEnd w:id="92"/>
    </w:p>
    <w:p>
      <w:pPr>
        <w:pStyle w:val="FirstParagraph"/>
      </w:pPr>
      <w:r>
        <w:t xml:space="preserve">Recalibrate when:</w:t>
      </w:r>
    </w:p>
    <w:p>
      <w:pPr>
        <w:numPr>
          <w:ilvl w:val="0"/>
          <w:numId w:val="1033"/>
        </w:numPr>
        <w:pStyle w:val="Compact"/>
      </w:pPr>
      <w:r>
        <w:t xml:space="preserve">a profile changes materially</w:t>
      </w:r>
    </w:p>
    <w:p>
      <w:pPr>
        <w:numPr>
          <w:ilvl w:val="0"/>
          <w:numId w:val="1033"/>
        </w:numPr>
        <w:pStyle w:val="Compact"/>
      </w:pPr>
      <w:r>
        <w:t xml:space="preserve">a new overlay is introduced</w:t>
      </w:r>
    </w:p>
    <w:p>
      <w:pPr>
        <w:numPr>
          <w:ilvl w:val="0"/>
          <w:numId w:val="1033"/>
        </w:numPr>
        <w:pStyle w:val="Compact"/>
      </w:pPr>
      <w:r>
        <w:t xml:space="preserve">agreement drops</w:t>
      </w:r>
    </w:p>
    <w:p>
      <w:pPr>
        <w:numPr>
          <w:ilvl w:val="0"/>
          <w:numId w:val="1033"/>
        </w:numPr>
        <w:pStyle w:val="Compact"/>
      </w:pPr>
      <w:r>
        <w:t xml:space="preserve">new artifact formats appear</w:t>
      </w:r>
    </w:p>
    <w:p>
      <w:pPr>
        <w:numPr>
          <w:ilvl w:val="0"/>
          <w:numId w:val="1033"/>
        </w:numPr>
        <w:pStyle w:val="Compact"/>
      </w:pPr>
      <w:r>
        <w:t xml:space="preserve">agent behavior changes materially</w:t>
      </w:r>
    </w:p>
    <w:p>
      <w:pPr>
        <w:numPr>
          <w:ilvl w:val="0"/>
          <w:numId w:val="1033"/>
        </w:numPr>
        <w:pStyle w:val="Compact"/>
      </w:pPr>
      <w:r>
        <w:t xml:space="preserve">governance expectations change</w:t>
      </w:r>
    </w:p>
    <w:p>
      <w:pPr>
        <w:pStyle w:val="Heading2"/>
      </w:pPr>
      <w:bookmarkStart w:id="93" w:name="profile-model"/>
      <w:r>
        <w:t xml:space="preserve">14. Profile model</w:t>
      </w:r>
      <w:bookmarkEnd w:id="93"/>
    </w:p>
    <w:p>
      <w:pPr>
        <w:pStyle w:val="FirstParagraph"/>
      </w:pPr>
      <w:r>
        <w:t xml:space="preserve">Profiles are the main extension mechanism for different artifact types.</w:t>
      </w:r>
    </w:p>
    <w:p>
      <w:pPr>
        <w:pStyle w:val="Heading3"/>
      </w:pPr>
      <w:bookmarkStart w:id="94" w:name="what-a-profile-is"/>
      <w:r>
        <w:t xml:space="preserve">14.1 What a profile is</w:t>
      </w:r>
      <w:bookmarkEnd w:id="94"/>
    </w:p>
    <w:p>
      <w:pPr>
        <w:pStyle w:val="FirstParagraph"/>
      </w:pPr>
      <w:r>
        <w:t xml:space="preserve">A profile is a rubric extension for a specific artifact class. It inherits the core meta-rubric and adds, removes, constrains, or specializes criteria.</w:t>
      </w:r>
    </w:p>
    <w:p>
      <w:pPr>
        <w:pStyle w:val="Heading3"/>
      </w:pPr>
      <w:bookmarkStart w:id="95" w:name="what-a-profile-is-not"/>
      <w:r>
        <w:t xml:space="preserve">14.2 What a profile is not</w:t>
      </w:r>
      <w:bookmarkEnd w:id="95"/>
    </w:p>
    <w:p>
      <w:pPr>
        <w:pStyle w:val="FirstParagraph"/>
      </w:pPr>
      <w:r>
        <w:t xml:space="preserve">A profile is not:</w:t>
      </w:r>
    </w:p>
    <w:p>
      <w:pPr>
        <w:numPr>
          <w:ilvl w:val="0"/>
          <w:numId w:val="1034"/>
        </w:numPr>
        <w:pStyle w:val="Compact"/>
      </w:pPr>
      <w:r>
        <w:t xml:space="preserve">a totally independent scoring system</w:t>
      </w:r>
    </w:p>
    <w:p>
      <w:pPr>
        <w:numPr>
          <w:ilvl w:val="0"/>
          <w:numId w:val="1034"/>
        </w:numPr>
        <w:pStyle w:val="Compact"/>
      </w:pPr>
      <w:r>
        <w:t xml:space="preserve">a one-off project checklist</w:t>
      </w:r>
    </w:p>
    <w:p>
      <w:pPr>
        <w:numPr>
          <w:ilvl w:val="0"/>
          <w:numId w:val="1034"/>
        </w:numPr>
        <w:pStyle w:val="Compact"/>
      </w:pPr>
      <w:r>
        <w:t xml:space="preserve">a domain overlay masquerading as an artifact type</w:t>
      </w:r>
    </w:p>
    <w:p>
      <w:pPr>
        <w:numPr>
          <w:ilvl w:val="0"/>
          <w:numId w:val="1034"/>
        </w:numPr>
        <w:pStyle w:val="Compact"/>
      </w:pPr>
      <w:r>
        <w:t xml:space="preserve">a replacement for the core rubric</w:t>
      </w:r>
    </w:p>
    <w:p>
      <w:pPr>
        <w:pStyle w:val="Heading3"/>
      </w:pPr>
      <w:bookmarkStart w:id="96" w:name="profile-composition-rules"/>
      <w:r>
        <w:t xml:space="preserve">14.3 Profile composition rules</w:t>
      </w:r>
      <w:bookmarkEnd w:id="96"/>
    </w:p>
    <w:p>
      <w:pPr>
        <w:pStyle w:val="FirstParagraph"/>
      </w:pPr>
      <w:r>
        <w:t xml:space="preserve">A valid profile must:</w:t>
      </w:r>
    </w:p>
    <w:p>
      <w:pPr>
        <w:numPr>
          <w:ilvl w:val="0"/>
          <w:numId w:val="1035"/>
        </w:numPr>
        <w:pStyle w:val="Compact"/>
      </w:pPr>
      <w:r>
        <w:t xml:space="preserve">inherit the core scale and status model unless there is an approved exception</w:t>
      </w:r>
    </w:p>
    <w:p>
      <w:pPr>
        <w:numPr>
          <w:ilvl w:val="0"/>
          <w:numId w:val="1035"/>
        </w:numPr>
        <w:pStyle w:val="Compact"/>
      </w:pPr>
      <w:r>
        <w:t xml:space="preserve">map every added criterion to a dimension</w:t>
      </w:r>
    </w:p>
    <w:p>
      <w:pPr>
        <w:numPr>
          <w:ilvl w:val="0"/>
          <w:numId w:val="1035"/>
        </w:numPr>
        <w:pStyle w:val="Compact"/>
      </w:pPr>
      <w:r>
        <w:t xml:space="preserve">define applicability rules</w:t>
      </w:r>
    </w:p>
    <w:p>
      <w:pPr>
        <w:numPr>
          <w:ilvl w:val="0"/>
          <w:numId w:val="1035"/>
        </w:numPr>
        <w:pStyle w:val="Compact"/>
      </w:pPr>
      <w:r>
        <w:t xml:space="preserve">define evidence anchors</w:t>
      </w:r>
    </w:p>
    <w:p>
      <w:pPr>
        <w:numPr>
          <w:ilvl w:val="0"/>
          <w:numId w:val="1035"/>
        </w:numPr>
        <w:pStyle w:val="Compact"/>
      </w:pPr>
      <w:r>
        <w:t xml:space="preserve">define gate types explicitly</w:t>
      </w:r>
    </w:p>
    <w:p>
      <w:pPr>
        <w:numPr>
          <w:ilvl w:val="0"/>
          <w:numId w:val="1035"/>
        </w:numPr>
        <w:pStyle w:val="Compact"/>
      </w:pPr>
      <w:r>
        <w:t xml:space="preserve">explain any profile-specific weights</w:t>
      </w:r>
    </w:p>
    <w:p>
      <w:pPr>
        <w:numPr>
          <w:ilvl w:val="0"/>
          <w:numId w:val="1035"/>
        </w:numPr>
        <w:pStyle w:val="Compact"/>
      </w:pPr>
      <w:r>
        <w:t xml:space="preserve">include examples and anti-patterns</w:t>
      </w:r>
    </w:p>
    <w:p>
      <w:pPr>
        <w:numPr>
          <w:ilvl w:val="0"/>
          <w:numId w:val="1035"/>
        </w:numPr>
        <w:pStyle w:val="Compact"/>
      </w:pPr>
      <w:r>
        <w:t xml:space="preserve">include at least one calibration artifact before approval</w:t>
      </w:r>
    </w:p>
    <w:p>
      <w:pPr>
        <w:pStyle w:val="Heading2"/>
      </w:pPr>
      <w:bookmarkStart w:id="97" w:name="methods-for-adding-profiles"/>
      <w:r>
        <w:t xml:space="preserve">15. Methods for adding profiles</w:t>
      </w:r>
      <w:bookmarkEnd w:id="97"/>
    </w:p>
    <w:p>
      <w:pPr>
        <w:pStyle w:val="FirstParagraph"/>
      </w:pPr>
      <w:r>
        <w:t xml:space="preserve">This is the part most teams get wrong. They add profiles by brainstorming criteria. That produces bloated and unstable rubrics. Profiles should be added through a controlled method.</w:t>
      </w:r>
    </w:p>
    <w:p>
      <w:pPr>
        <w:pStyle w:val="Heading3"/>
      </w:pPr>
      <w:bookmarkStart w:id="98" w:name="X7cc8f48f1dec1f67451766a024ac9e78519ed7b"/>
      <w:r>
        <w:t xml:space="preserve">Method A — Decision-centered profile design</w:t>
      </w:r>
      <w:bookmarkEnd w:id="98"/>
    </w:p>
    <w:p>
      <w:pPr>
        <w:pStyle w:val="FirstParagraph"/>
      </w:pPr>
      <w:r>
        <w:t xml:space="preserve">Use this when the artifact exists to support a specific decision type.</w:t>
      </w:r>
    </w:p>
    <w:p>
      <w:pPr>
        <w:pStyle w:val="BodyText"/>
      </w:pPr>
      <w:r>
        <w:rPr>
          <w:b/>
        </w:rPr>
        <w:t xml:space="preserve">Best for:</w:t>
      </w:r>
      <w:r>
        <w:t xml:space="preserve"> </w:t>
      </w:r>
      <w:r>
        <w:t xml:space="preserve">ADRs, investment review artifacts, target-state decisions, exception requests</w:t>
      </w:r>
    </w:p>
    <w:p>
      <w:pPr>
        <w:pStyle w:val="BodyText"/>
      </w:pPr>
      <w:r>
        <w:t xml:space="preserve">Steps:</w:t>
      </w:r>
    </w:p>
    <w:p>
      <w:pPr>
        <w:numPr>
          <w:ilvl w:val="0"/>
          <w:numId w:val="1036"/>
        </w:numPr>
        <w:pStyle w:val="Compact"/>
      </w:pPr>
      <w:r>
        <w:t xml:space="preserve">Identify the decision the artifact is supposed to support</w:t>
      </w:r>
    </w:p>
    <w:p>
      <w:pPr>
        <w:numPr>
          <w:ilvl w:val="0"/>
          <w:numId w:val="1036"/>
        </w:numPr>
        <w:pStyle w:val="Compact"/>
      </w:pPr>
      <w:r>
        <w:t xml:space="preserve">Identify the minimum questions decision-makers must answer</w:t>
      </w:r>
    </w:p>
    <w:p>
      <w:pPr>
        <w:numPr>
          <w:ilvl w:val="0"/>
          <w:numId w:val="1036"/>
        </w:numPr>
        <w:pStyle w:val="Compact"/>
      </w:pPr>
      <w:r>
        <w:t xml:space="preserve">Map those questions to the core dimensions</w:t>
      </w:r>
    </w:p>
    <w:p>
      <w:pPr>
        <w:numPr>
          <w:ilvl w:val="0"/>
          <w:numId w:val="1036"/>
        </w:numPr>
        <w:pStyle w:val="Compact"/>
      </w:pPr>
      <w:r>
        <w:t xml:space="preserve">Add only the profile criteria needed to make the decision responsibly</w:t>
      </w:r>
    </w:p>
    <w:p>
      <w:pPr>
        <w:numPr>
          <w:ilvl w:val="0"/>
          <w:numId w:val="1036"/>
        </w:numPr>
        <w:pStyle w:val="Compact"/>
      </w:pPr>
      <w:r>
        <w:t xml:space="preserve">Declare gates for mandatory questions</w:t>
      </w:r>
    </w:p>
    <w:p>
      <w:pPr>
        <w:numPr>
          <w:ilvl w:val="0"/>
          <w:numId w:val="1036"/>
        </w:numPr>
        <w:pStyle w:val="Compact"/>
      </w:pPr>
      <w:r>
        <w:t xml:space="preserve">Write examples of good and weak evidence</w:t>
      </w:r>
    </w:p>
    <w:p>
      <w:pPr>
        <w:numPr>
          <w:ilvl w:val="0"/>
          <w:numId w:val="1036"/>
        </w:numPr>
        <w:pStyle w:val="Compact"/>
      </w:pPr>
      <w:r>
        <w:t xml:space="preserve">Pilot on 3–5 real artifacts</w:t>
      </w:r>
    </w:p>
    <w:p>
      <w:pPr>
        <w:pStyle w:val="FirstParagraph"/>
      </w:pPr>
      <w:r>
        <w:rPr>
          <w:b/>
        </w:rPr>
        <w:t xml:space="preserve">Description:</w:t>
      </w:r>
      <w:r>
        <w:t xml:space="preserve"> </w:t>
      </w:r>
      <w:r>
        <w:t xml:space="preserve">This method keeps profiles lean and tightly linked to real governance choices. It is the best default method for architecture boards.</w:t>
      </w:r>
    </w:p>
    <w:p>
      <w:pPr>
        <w:pStyle w:val="Heading3"/>
      </w:pPr>
      <w:bookmarkStart w:id="99" w:name="X77f1a1f245550ccf8e8ce275b1280ab5ed35986"/>
      <w:r>
        <w:t xml:space="preserve">Method B — Viewpoint-centered profile design</w:t>
      </w:r>
      <w:bookmarkEnd w:id="99"/>
    </w:p>
    <w:p>
      <w:pPr>
        <w:pStyle w:val="FirstParagraph"/>
      </w:pPr>
      <w:r>
        <w:t xml:space="preserve">Use this when the artifact is primarily a structured architecture description for a viewpoint or stakeholder group.</w:t>
      </w:r>
    </w:p>
    <w:p>
      <w:pPr>
        <w:pStyle w:val="BodyText"/>
      </w:pPr>
      <w:r>
        <w:rPr>
          <w:b/>
        </w:rPr>
        <w:t xml:space="preserve">Best for:</w:t>
      </w:r>
      <w:r>
        <w:t xml:space="preserve"> </w:t>
      </w:r>
      <w:r>
        <w:t xml:space="preserve">capability maps, business architecture views, platform reference architectures, integration landscape maps</w:t>
      </w:r>
    </w:p>
    <w:p>
      <w:pPr>
        <w:pStyle w:val="BodyText"/>
      </w:pPr>
      <w:r>
        <w:t xml:space="preserve">Steps:</w:t>
      </w:r>
    </w:p>
    <w:p>
      <w:pPr>
        <w:numPr>
          <w:ilvl w:val="0"/>
          <w:numId w:val="1037"/>
        </w:numPr>
        <w:pStyle w:val="Compact"/>
      </w:pPr>
      <w:r>
        <w:t xml:space="preserve">Identify stakeholders and concerns</w:t>
      </w:r>
    </w:p>
    <w:p>
      <w:pPr>
        <w:numPr>
          <w:ilvl w:val="0"/>
          <w:numId w:val="1037"/>
        </w:numPr>
        <w:pStyle w:val="Compact"/>
      </w:pPr>
      <w:r>
        <w:t xml:space="preserve">Identify the viewpoint or modeling style used</w:t>
      </w:r>
    </w:p>
    <w:p>
      <w:pPr>
        <w:numPr>
          <w:ilvl w:val="0"/>
          <w:numId w:val="1037"/>
        </w:numPr>
        <w:pStyle w:val="Compact"/>
      </w:pPr>
      <w:r>
        <w:t xml:space="preserve">Define what good coverage looks like for that viewpoint</w:t>
      </w:r>
    </w:p>
    <w:p>
      <w:pPr>
        <w:numPr>
          <w:ilvl w:val="0"/>
          <w:numId w:val="1037"/>
        </w:numPr>
        <w:pStyle w:val="Compact"/>
      </w:pPr>
      <w:r>
        <w:t xml:space="preserve">Add profile criteria for completeness, modeling integrity, scope, and traceability</w:t>
      </w:r>
    </w:p>
    <w:p>
      <w:pPr>
        <w:numPr>
          <w:ilvl w:val="0"/>
          <w:numId w:val="1037"/>
        </w:numPr>
        <w:pStyle w:val="Compact"/>
      </w:pPr>
      <w:r>
        <w:t xml:space="preserve">Add profile anti-patterns typical of that view</w:t>
      </w:r>
    </w:p>
    <w:p>
      <w:pPr>
        <w:numPr>
          <w:ilvl w:val="0"/>
          <w:numId w:val="1037"/>
        </w:numPr>
        <w:pStyle w:val="Compact"/>
      </w:pPr>
      <w:r>
        <w:t xml:space="preserve">Validate against existing examples</w:t>
      </w:r>
    </w:p>
    <w:p>
      <w:pPr>
        <w:pStyle w:val="FirstParagraph"/>
      </w:pPr>
      <w:r>
        <w:rPr>
          <w:b/>
        </w:rPr>
        <w:t xml:space="preserve">Description:</w:t>
      </w:r>
      <w:r>
        <w:t xml:space="preserve"> </w:t>
      </w:r>
      <w:r>
        <w:t xml:space="preserve">This method is closest to the architecture-description logic behind ISO/IEC/IEEE 42010. It is useful when the question is less</w:t>
      </w:r>
      <w:r>
        <w:t xml:space="preserve"> </w:t>
      </w:r>
      <w:r>
        <w:t xml:space="preserve">“</w:t>
      </w:r>
      <w:r>
        <w:t xml:space="preserve">Is this decision right?</w:t>
      </w:r>
      <w:r>
        <w:t xml:space="preserve">”</w:t>
      </w:r>
      <w:r>
        <w:t xml:space="preserve"> </w:t>
      </w:r>
      <w:r>
        <w:t xml:space="preserve">and more</w:t>
      </w:r>
      <w:r>
        <w:t xml:space="preserve"> </w:t>
      </w:r>
      <w:r>
        <w:t xml:space="preserve">“</w:t>
      </w:r>
      <w:r>
        <w:t xml:space="preserve">Is this architecture view fit for purpose?</w:t>
      </w:r>
      <w:r>
        <w:t xml:space="preserve">”</w:t>
      </w:r>
      <w:r>
        <w:t xml:space="preserve"> </w:t>
      </w:r>
      <w:r>
        <w:t xml:space="preserve">[R1]</w:t>
      </w:r>
    </w:p>
    <w:p>
      <w:pPr>
        <w:pStyle w:val="Heading3"/>
      </w:pPr>
      <w:bookmarkStart w:id="100" w:name="X11cf2941b8f1fe1d36766019ddab41ccd0128fa"/>
      <w:r>
        <w:t xml:space="preserve">Method C — Lifecycle-centered profile design</w:t>
      </w:r>
      <w:bookmarkEnd w:id="100"/>
    </w:p>
    <w:p>
      <w:pPr>
        <w:pStyle w:val="FirstParagraph"/>
      </w:pPr>
      <w:r>
        <w:t xml:space="preserve">Use this when the artifact sits at a particular stage of the architecture or delivery lifecycle.</w:t>
      </w:r>
    </w:p>
    <w:p>
      <w:pPr>
        <w:pStyle w:val="BodyText"/>
      </w:pPr>
      <w:r>
        <w:rPr>
          <w:b/>
        </w:rPr>
        <w:t xml:space="preserve">Best for:</w:t>
      </w:r>
      <w:r>
        <w:t xml:space="preserve"> </w:t>
      </w:r>
      <w:r>
        <w:t xml:space="preserve">current-state assessments, transition-state designs, roadmap artifacts, operational handover architecture</w:t>
      </w:r>
    </w:p>
    <w:p>
      <w:pPr>
        <w:pStyle w:val="BodyText"/>
      </w:pPr>
      <w:r>
        <w:t xml:space="preserve">Steps:</w:t>
      </w:r>
    </w:p>
    <w:p>
      <w:pPr>
        <w:numPr>
          <w:ilvl w:val="0"/>
          <w:numId w:val="1038"/>
        </w:numPr>
        <w:pStyle w:val="Compact"/>
      </w:pPr>
      <w:r>
        <w:t xml:space="preserve">Place the artifact in the lifecycle</w:t>
      </w:r>
    </w:p>
    <w:p>
      <w:pPr>
        <w:numPr>
          <w:ilvl w:val="0"/>
          <w:numId w:val="1038"/>
        </w:numPr>
        <w:pStyle w:val="Compact"/>
      </w:pPr>
      <w:r>
        <w:t xml:space="preserve">Identify what downstream users need next</w:t>
      </w:r>
    </w:p>
    <w:p>
      <w:pPr>
        <w:numPr>
          <w:ilvl w:val="0"/>
          <w:numId w:val="1038"/>
        </w:numPr>
        <w:pStyle w:val="Compact"/>
      </w:pPr>
      <w:r>
        <w:t xml:space="preserve">Define criteria for readiness, sequencing, dependencies, and handoff quality</w:t>
      </w:r>
    </w:p>
    <w:p>
      <w:pPr>
        <w:numPr>
          <w:ilvl w:val="0"/>
          <w:numId w:val="1038"/>
        </w:numPr>
        <w:pStyle w:val="Compact"/>
      </w:pPr>
      <w:r>
        <w:t xml:space="preserve">Add stage-specific gates</w:t>
      </w:r>
    </w:p>
    <w:p>
      <w:pPr>
        <w:numPr>
          <w:ilvl w:val="0"/>
          <w:numId w:val="1038"/>
        </w:numPr>
        <w:pStyle w:val="Compact"/>
      </w:pPr>
      <w:r>
        <w:t xml:space="preserve">Add evidence rules that prove the artifact is actionable</w:t>
      </w:r>
    </w:p>
    <w:p>
      <w:pPr>
        <w:pStyle w:val="FirstParagraph"/>
      </w:pPr>
      <w:r>
        <w:rPr>
          <w:b/>
        </w:rPr>
        <w:t xml:space="preserve">Description:</w:t>
      </w:r>
      <w:r>
        <w:t xml:space="preserve"> </w:t>
      </w:r>
      <w:r>
        <w:t xml:space="preserve">This method prevents profiles from becoming abstract. It forces the profile to answer: what happens next if this artifact is accepted?</w:t>
      </w:r>
    </w:p>
    <w:p>
      <w:pPr>
        <w:pStyle w:val="Heading3"/>
      </w:pPr>
      <w:bookmarkStart w:id="101" w:name="method-d-risk-centered-profile-design"/>
      <w:r>
        <w:t xml:space="preserve">Method D — Risk-centered profile design</w:t>
      </w:r>
      <w:bookmarkEnd w:id="101"/>
    </w:p>
    <w:p>
      <w:pPr>
        <w:pStyle w:val="FirstParagraph"/>
      </w:pPr>
      <w:r>
        <w:t xml:space="preserve">Use this when the artifact is only worth reviewing because it manages a class of risk.</w:t>
      </w:r>
    </w:p>
    <w:p>
      <w:pPr>
        <w:pStyle w:val="BodyText"/>
      </w:pPr>
      <w:r>
        <w:rPr>
          <w:b/>
        </w:rPr>
        <w:t xml:space="preserve">Best for:</w:t>
      </w:r>
      <w:r>
        <w:t xml:space="preserve"> </w:t>
      </w:r>
      <w:r>
        <w:t xml:space="preserve">security architecture, regulatory impact architecture, resilience architecture, critical data architecture</w:t>
      </w:r>
    </w:p>
    <w:p>
      <w:pPr>
        <w:pStyle w:val="BodyText"/>
      </w:pPr>
      <w:r>
        <w:t xml:space="preserve">Steps:</w:t>
      </w:r>
    </w:p>
    <w:p>
      <w:pPr>
        <w:numPr>
          <w:ilvl w:val="0"/>
          <w:numId w:val="1039"/>
        </w:numPr>
        <w:pStyle w:val="Compact"/>
      </w:pPr>
      <w:r>
        <w:t xml:space="preserve">Identify the risk classes and failure modes</w:t>
      </w:r>
    </w:p>
    <w:p>
      <w:pPr>
        <w:numPr>
          <w:ilvl w:val="0"/>
          <w:numId w:val="1039"/>
        </w:numPr>
        <w:pStyle w:val="Compact"/>
      </w:pPr>
      <w:r>
        <w:t xml:space="preserve">Identify mandatory controls and review obligations</w:t>
      </w:r>
    </w:p>
    <w:p>
      <w:pPr>
        <w:numPr>
          <w:ilvl w:val="0"/>
          <w:numId w:val="1039"/>
        </w:numPr>
        <w:pStyle w:val="Compact"/>
      </w:pPr>
      <w:r>
        <w:t xml:space="preserve">Create hard gates for non-negotiables</w:t>
      </w:r>
    </w:p>
    <w:p>
      <w:pPr>
        <w:numPr>
          <w:ilvl w:val="0"/>
          <w:numId w:val="1039"/>
        </w:numPr>
        <w:pStyle w:val="Compact"/>
      </w:pPr>
      <w:r>
        <w:t xml:space="preserve">Add criteria for residual risk visibility, ownership, and tradeoffs</w:t>
      </w:r>
    </w:p>
    <w:p>
      <w:pPr>
        <w:numPr>
          <w:ilvl w:val="0"/>
          <w:numId w:val="1039"/>
        </w:numPr>
        <w:pStyle w:val="Compact"/>
      </w:pPr>
      <w:r>
        <w:t xml:space="preserve">Attach the resulting requirements as a profile or, more often, as an overlay</w:t>
      </w:r>
    </w:p>
    <w:p>
      <w:pPr>
        <w:pStyle w:val="FirstParagraph"/>
      </w:pPr>
      <w:r>
        <w:rPr>
          <w:b/>
        </w:rPr>
        <w:t xml:space="preserve">Description:</w:t>
      </w:r>
      <w:r>
        <w:t xml:space="preserve"> </w:t>
      </w:r>
      <w:r>
        <w:t xml:space="preserve">This method is often better implemented as an overlay rather than a pure artifact profile, because the same risk lens may need to apply to multiple artifact types.</w:t>
      </w:r>
    </w:p>
    <w:p>
      <w:pPr>
        <w:pStyle w:val="Heading3"/>
      </w:pPr>
      <w:bookmarkStart w:id="102" w:name="method-e-pattern-library-profile-design"/>
      <w:r>
        <w:t xml:space="preserve">Method E — Pattern-library profile design</w:t>
      </w:r>
      <w:bookmarkEnd w:id="102"/>
    </w:p>
    <w:p>
      <w:pPr>
        <w:pStyle w:val="FirstParagraph"/>
      </w:pPr>
      <w:r>
        <w:t xml:space="preserve">Use this when many similar artifacts recur and you want a reusable quality pattern.</w:t>
      </w:r>
    </w:p>
    <w:p>
      <w:pPr>
        <w:pStyle w:val="BodyText"/>
      </w:pPr>
      <w:r>
        <w:rPr>
          <w:b/>
        </w:rPr>
        <w:t xml:space="preserve">Best for:</w:t>
      </w:r>
      <w:r>
        <w:t xml:space="preserve"> </w:t>
      </w:r>
      <w:r>
        <w:t xml:space="preserve">recurring reference architectures, recurring integration patterns, recurring platform service definitions</w:t>
      </w:r>
    </w:p>
    <w:p>
      <w:pPr>
        <w:pStyle w:val="BodyText"/>
      </w:pPr>
      <w:r>
        <w:t xml:space="preserve">Steps:</w:t>
      </w:r>
    </w:p>
    <w:p>
      <w:pPr>
        <w:numPr>
          <w:ilvl w:val="0"/>
          <w:numId w:val="1040"/>
        </w:numPr>
        <w:pStyle w:val="Compact"/>
      </w:pPr>
      <w:r>
        <w:t xml:space="preserve">identify the recurring artifact family</w:t>
      </w:r>
    </w:p>
    <w:p>
      <w:pPr>
        <w:numPr>
          <w:ilvl w:val="0"/>
          <w:numId w:val="1040"/>
        </w:numPr>
        <w:pStyle w:val="Compact"/>
      </w:pPr>
      <w:r>
        <w:t xml:space="preserve">extract the recurring success criteria</w:t>
      </w:r>
    </w:p>
    <w:p>
      <w:pPr>
        <w:numPr>
          <w:ilvl w:val="0"/>
          <w:numId w:val="1040"/>
        </w:numPr>
        <w:pStyle w:val="Compact"/>
      </w:pPr>
      <w:r>
        <w:t xml:space="preserve">turn them into profile criteria with examples</w:t>
      </w:r>
    </w:p>
    <w:p>
      <w:pPr>
        <w:numPr>
          <w:ilvl w:val="0"/>
          <w:numId w:val="1040"/>
        </w:numPr>
        <w:pStyle w:val="Compact"/>
      </w:pPr>
      <w:r>
        <w:t xml:space="preserve">separate mandatory pattern integrity from optional optimization</w:t>
      </w:r>
    </w:p>
    <w:p>
      <w:pPr>
        <w:numPr>
          <w:ilvl w:val="0"/>
          <w:numId w:val="1040"/>
        </w:numPr>
        <w:pStyle w:val="Compact"/>
      </w:pPr>
      <w:r>
        <w:t xml:space="preserve">publish and calibrate as a reusable profile pack</w:t>
      </w:r>
    </w:p>
    <w:p>
      <w:pPr>
        <w:pStyle w:val="FirstParagraph"/>
      </w:pPr>
      <w:r>
        <w:rPr>
          <w:b/>
        </w:rPr>
        <w:t xml:space="preserve">Description:</w:t>
      </w:r>
      <w:r>
        <w:t xml:space="preserve"> </w:t>
      </w:r>
      <w:r>
        <w:t xml:space="preserve">This is the best method when you want architecture governance to scale.</w:t>
      </w:r>
    </w:p>
    <w:p>
      <w:pPr>
        <w:pStyle w:val="Heading2"/>
      </w:pPr>
      <w:bookmarkStart w:id="103" w:name="profile-creation-workflow"/>
      <w:r>
        <w:t xml:space="preserve">16. Profile creation workflow</w:t>
      </w:r>
      <w:bookmarkEnd w:id="103"/>
    </w:p>
    <w:p>
      <w:pPr>
        <w:pStyle w:val="FirstParagraph"/>
      </w:pPr>
      <w:r>
        <w:t xml:space="preserve">Use this workflow whenever a new profile is proposed.</w:t>
      </w:r>
    </w:p>
    <w:p>
      <w:pPr>
        <w:pStyle w:val="Heading3"/>
      </w:pPr>
      <w:bookmarkStart w:id="104" w:name="step-1-create-a-profile-proposal"/>
      <w:r>
        <w:t xml:space="preserve">Step 1 — Create a profile proposal</w:t>
      </w:r>
      <w:bookmarkEnd w:id="104"/>
    </w:p>
    <w:p>
      <w:pPr>
        <w:pStyle w:val="FirstParagraph"/>
      </w:pPr>
      <w:r>
        <w:t xml:space="preserve">The proposal must include:</w:t>
      </w:r>
    </w:p>
    <w:p>
      <w:pPr>
        <w:numPr>
          <w:ilvl w:val="0"/>
          <w:numId w:val="1041"/>
        </w:numPr>
        <w:pStyle w:val="Compact"/>
      </w:pPr>
      <w:r>
        <w:t xml:space="preserve">candidate profile name</w:t>
      </w:r>
    </w:p>
    <w:p>
      <w:pPr>
        <w:numPr>
          <w:ilvl w:val="0"/>
          <w:numId w:val="1041"/>
        </w:numPr>
        <w:pStyle w:val="Compact"/>
      </w:pPr>
      <w:r>
        <w:t xml:space="preserve">artifact type</w:t>
      </w:r>
    </w:p>
    <w:p>
      <w:pPr>
        <w:numPr>
          <w:ilvl w:val="0"/>
          <w:numId w:val="1041"/>
        </w:numPr>
        <w:pStyle w:val="Compact"/>
      </w:pPr>
      <w:r>
        <w:t xml:space="preserve">intended decisions supported</w:t>
      </w:r>
    </w:p>
    <w:p>
      <w:pPr>
        <w:numPr>
          <w:ilvl w:val="0"/>
          <w:numId w:val="1041"/>
        </w:numPr>
        <w:pStyle w:val="Compact"/>
      </w:pPr>
      <w:r>
        <w:t xml:space="preserve">stakeholders</w:t>
      </w:r>
    </w:p>
    <w:p>
      <w:pPr>
        <w:numPr>
          <w:ilvl w:val="0"/>
          <w:numId w:val="1041"/>
        </w:numPr>
        <w:pStyle w:val="Compact"/>
      </w:pPr>
      <w:r>
        <w:t xml:space="preserve">why the core rubric alone is insufficient</w:t>
      </w:r>
    </w:p>
    <w:p>
      <w:pPr>
        <w:numPr>
          <w:ilvl w:val="0"/>
          <w:numId w:val="1041"/>
        </w:numPr>
        <w:pStyle w:val="Compact"/>
      </w:pPr>
      <w:r>
        <w:t xml:space="preserve">candidate dimensions affected</w:t>
      </w:r>
    </w:p>
    <w:p>
      <w:pPr>
        <w:numPr>
          <w:ilvl w:val="0"/>
          <w:numId w:val="1041"/>
        </w:numPr>
        <w:pStyle w:val="Compact"/>
      </w:pPr>
      <w:r>
        <w:t xml:space="preserve">proposed criteria list</w:t>
      </w:r>
    </w:p>
    <w:p>
      <w:pPr>
        <w:numPr>
          <w:ilvl w:val="0"/>
          <w:numId w:val="1041"/>
        </w:numPr>
        <w:pStyle w:val="Compact"/>
      </w:pPr>
      <w:r>
        <w:t xml:space="preserve">estimated review frequency</w:t>
      </w:r>
    </w:p>
    <w:p>
      <w:pPr>
        <w:numPr>
          <w:ilvl w:val="0"/>
          <w:numId w:val="1041"/>
        </w:numPr>
        <w:pStyle w:val="Compact"/>
      </w:pPr>
      <w:r>
        <w:t xml:space="preserve">expected users</w:t>
      </w:r>
    </w:p>
    <w:p>
      <w:pPr>
        <w:pStyle w:val="Heading3"/>
      </w:pPr>
      <w:bookmarkStart w:id="105" w:name="step-2-classify-the-profile-type"/>
      <w:r>
        <w:t xml:space="preserve">Step 2 — Classify the profile type</w:t>
      </w:r>
      <w:bookmarkEnd w:id="105"/>
    </w:p>
    <w:p>
      <w:pPr>
        <w:pStyle w:val="FirstParagraph"/>
      </w:pPr>
      <w:r>
        <w:t xml:space="preserve">Classify whether the proposal is:</w:t>
      </w:r>
    </w:p>
    <w:p>
      <w:pPr>
        <w:numPr>
          <w:ilvl w:val="0"/>
          <w:numId w:val="1042"/>
        </w:numPr>
        <w:pStyle w:val="Compact"/>
      </w:pPr>
      <w:r>
        <w:t xml:space="preserve">an artifact profile</w:t>
      </w:r>
    </w:p>
    <w:p>
      <w:pPr>
        <w:numPr>
          <w:ilvl w:val="0"/>
          <w:numId w:val="1042"/>
        </w:numPr>
        <w:pStyle w:val="Compact"/>
      </w:pPr>
      <w:r>
        <w:t xml:space="preserve">a context overlay</w:t>
      </w:r>
    </w:p>
    <w:p>
      <w:pPr>
        <w:numPr>
          <w:ilvl w:val="0"/>
          <w:numId w:val="1042"/>
        </w:numPr>
        <w:pStyle w:val="Compact"/>
      </w:pPr>
      <w:r>
        <w:t xml:space="preserve">a project-specific checklist</w:t>
      </w:r>
    </w:p>
    <w:p>
      <w:pPr>
        <w:numPr>
          <w:ilvl w:val="0"/>
          <w:numId w:val="1042"/>
        </w:numPr>
        <w:pStyle w:val="Compact"/>
      </w:pPr>
      <w:r>
        <w:t xml:space="preserve">a one-off temporary review aid</w:t>
      </w:r>
    </w:p>
    <w:p>
      <w:pPr>
        <w:pStyle w:val="FirstParagraph"/>
      </w:pPr>
      <w:r>
        <w:t xml:space="preserve">Only the first two should normally become governed assets.</w:t>
      </w:r>
    </w:p>
    <w:p>
      <w:pPr>
        <w:pStyle w:val="Heading3"/>
      </w:pPr>
      <w:bookmarkStart w:id="106" w:name="step-3-choose-the-profile-design-method"/>
      <w:r>
        <w:t xml:space="preserve">Step 3 — Choose the profile design method</w:t>
      </w:r>
      <w:bookmarkEnd w:id="106"/>
    </w:p>
    <w:p>
      <w:pPr>
        <w:pStyle w:val="FirstParagraph"/>
      </w:pPr>
      <w:r>
        <w:t xml:space="preserve">Use one of Methods A–E above and record the chosen method explicitly.</w:t>
      </w:r>
    </w:p>
    <w:p>
      <w:pPr>
        <w:pStyle w:val="Heading3"/>
      </w:pPr>
      <w:bookmarkStart w:id="107" w:name="step-4-draft-the-profile"/>
      <w:r>
        <w:t xml:space="preserve">Step 4 — Draft the profile</w:t>
      </w:r>
      <w:bookmarkEnd w:id="107"/>
    </w:p>
    <w:p>
      <w:pPr>
        <w:pStyle w:val="FirstParagraph"/>
      </w:pPr>
      <w:r>
        <w:t xml:space="preserve">Draft:</w:t>
      </w:r>
    </w:p>
    <w:p>
      <w:pPr>
        <w:numPr>
          <w:ilvl w:val="0"/>
          <w:numId w:val="1043"/>
        </w:numPr>
        <w:pStyle w:val="Compact"/>
      </w:pPr>
      <w:r>
        <w:t xml:space="preserve">profile scope</w:t>
      </w:r>
    </w:p>
    <w:p>
      <w:pPr>
        <w:numPr>
          <w:ilvl w:val="0"/>
          <w:numId w:val="1043"/>
        </w:numPr>
        <w:pStyle w:val="Compact"/>
      </w:pPr>
      <w:r>
        <w:t xml:space="preserve">inherited dimensions</w:t>
      </w:r>
    </w:p>
    <w:p>
      <w:pPr>
        <w:numPr>
          <w:ilvl w:val="0"/>
          <w:numId w:val="1043"/>
        </w:numPr>
        <w:pStyle w:val="Compact"/>
      </w:pPr>
      <w:r>
        <w:t xml:space="preserve">added/specialized criteria</w:t>
      </w:r>
    </w:p>
    <w:p>
      <w:pPr>
        <w:numPr>
          <w:ilvl w:val="0"/>
          <w:numId w:val="1043"/>
        </w:numPr>
        <w:pStyle w:val="Compact"/>
      </w:pPr>
      <w:r>
        <w:t xml:space="preserve">gating rules</w:t>
      </w:r>
    </w:p>
    <w:p>
      <w:pPr>
        <w:numPr>
          <w:ilvl w:val="0"/>
          <w:numId w:val="1043"/>
        </w:numPr>
        <w:pStyle w:val="Compact"/>
      </w:pPr>
      <w:r>
        <w:t xml:space="preserve">evidence anchors</w:t>
      </w:r>
    </w:p>
    <w:p>
      <w:pPr>
        <w:numPr>
          <w:ilvl w:val="0"/>
          <w:numId w:val="1043"/>
        </w:numPr>
        <w:pStyle w:val="Compact"/>
      </w:pPr>
      <w:r>
        <w:t xml:space="preserve">anti-patterns</w:t>
      </w:r>
    </w:p>
    <w:p>
      <w:pPr>
        <w:numPr>
          <w:ilvl w:val="0"/>
          <w:numId w:val="1043"/>
        </w:numPr>
        <w:pStyle w:val="Compact"/>
      </w:pPr>
      <w:r>
        <w:t xml:space="preserve">examples</w:t>
      </w:r>
    </w:p>
    <w:p>
      <w:pPr>
        <w:numPr>
          <w:ilvl w:val="0"/>
          <w:numId w:val="1043"/>
        </w:numPr>
        <w:pStyle w:val="Compact"/>
      </w:pPr>
      <w:r>
        <w:t xml:space="preserve">weight rationale</w:t>
      </w:r>
    </w:p>
    <w:p>
      <w:pPr>
        <w:pStyle w:val="Heading3"/>
      </w:pPr>
      <w:bookmarkStart w:id="108" w:name="step-5-build-the-calibration-pack"/>
      <w:r>
        <w:t xml:space="preserve">Step 5 — Build the calibration pack</w:t>
      </w:r>
      <w:bookmarkEnd w:id="108"/>
    </w:p>
    <w:p>
      <w:pPr>
        <w:pStyle w:val="FirstParagraph"/>
      </w:pPr>
      <w:r>
        <w:t xml:space="preserve">Select representative artifacts, including:</w:t>
      </w:r>
    </w:p>
    <w:p>
      <w:pPr>
        <w:numPr>
          <w:ilvl w:val="0"/>
          <w:numId w:val="1044"/>
        </w:numPr>
        <w:pStyle w:val="Compact"/>
      </w:pPr>
      <w:r>
        <w:t xml:space="preserve">at least one strong example</w:t>
      </w:r>
    </w:p>
    <w:p>
      <w:pPr>
        <w:numPr>
          <w:ilvl w:val="0"/>
          <w:numId w:val="1044"/>
        </w:numPr>
        <w:pStyle w:val="Compact"/>
      </w:pPr>
      <w:r>
        <w:t xml:space="preserve">at least one weak example</w:t>
      </w:r>
    </w:p>
    <w:p>
      <w:pPr>
        <w:numPr>
          <w:ilvl w:val="0"/>
          <w:numId w:val="1044"/>
        </w:numPr>
        <w:pStyle w:val="Compact"/>
      </w:pPr>
      <w:r>
        <w:t xml:space="preserve">at least one ambiguous example</w:t>
      </w:r>
    </w:p>
    <w:p>
      <w:pPr>
        <w:numPr>
          <w:ilvl w:val="0"/>
          <w:numId w:val="1044"/>
        </w:numPr>
        <w:pStyle w:val="Compact"/>
      </w:pPr>
      <w:r>
        <w:t xml:space="preserve">at least one incomplete example</w:t>
      </w:r>
    </w:p>
    <w:p>
      <w:pPr>
        <w:pStyle w:val="Heading3"/>
      </w:pPr>
      <w:bookmarkStart w:id="109" w:name="step-6-run-a-calibration-round"/>
      <w:r>
        <w:t xml:space="preserve">Step 6 — Run a calibration round</w:t>
      </w:r>
      <w:bookmarkEnd w:id="109"/>
    </w:p>
    <w:p>
      <w:pPr>
        <w:pStyle w:val="FirstParagraph"/>
      </w:pPr>
      <w:r>
        <w:t xml:space="preserve">Use at least:</w:t>
      </w:r>
    </w:p>
    <w:p>
      <w:pPr>
        <w:numPr>
          <w:ilvl w:val="0"/>
          <w:numId w:val="1045"/>
        </w:numPr>
        <w:pStyle w:val="Compact"/>
      </w:pPr>
      <w:r>
        <w:t xml:space="preserve">one experienced human reviewer</w:t>
      </w:r>
    </w:p>
    <w:p>
      <w:pPr>
        <w:numPr>
          <w:ilvl w:val="0"/>
          <w:numId w:val="1045"/>
        </w:numPr>
        <w:pStyle w:val="Compact"/>
      </w:pPr>
      <w:r>
        <w:t xml:space="preserve">one secondary reviewer or agentic reviewer</w:t>
      </w:r>
    </w:p>
    <w:p>
      <w:pPr>
        <w:pStyle w:val="Heading3"/>
      </w:pPr>
      <w:bookmarkStart w:id="110" w:name="step-7-revise"/>
      <w:r>
        <w:t xml:space="preserve">Step 7 — Revise</w:t>
      </w:r>
      <w:bookmarkEnd w:id="110"/>
    </w:p>
    <w:p>
      <w:pPr>
        <w:pStyle w:val="FirstParagraph"/>
      </w:pPr>
      <w:r>
        <w:t xml:space="preserve">Tighten criteria that produce inconsistent judgments.</w:t>
      </w:r>
    </w:p>
    <w:p>
      <w:pPr>
        <w:pStyle w:val="Heading3"/>
      </w:pPr>
      <w:bookmarkStart w:id="111" w:name="step-8-approve-and-publish"/>
      <w:r>
        <w:t xml:space="preserve">Step 8 — Approve and publish</w:t>
      </w:r>
      <w:bookmarkEnd w:id="111"/>
    </w:p>
    <w:p>
      <w:pPr>
        <w:pStyle w:val="FirstParagraph"/>
      </w:pPr>
      <w:r>
        <w:t xml:space="preserve">Approval should include:</w:t>
      </w:r>
    </w:p>
    <w:p>
      <w:pPr>
        <w:numPr>
          <w:ilvl w:val="0"/>
          <w:numId w:val="1046"/>
        </w:numPr>
        <w:pStyle w:val="Compact"/>
      </w:pPr>
      <w:r>
        <w:t xml:space="preserve">owner assignment</w:t>
      </w:r>
    </w:p>
    <w:p>
      <w:pPr>
        <w:numPr>
          <w:ilvl w:val="0"/>
          <w:numId w:val="1046"/>
        </w:numPr>
        <w:pStyle w:val="Compact"/>
      </w:pPr>
      <w:r>
        <w:t xml:space="preserve">version number</w:t>
      </w:r>
    </w:p>
    <w:p>
      <w:pPr>
        <w:numPr>
          <w:ilvl w:val="0"/>
          <w:numId w:val="1046"/>
        </w:numPr>
        <w:pStyle w:val="Compact"/>
      </w:pPr>
      <w:r>
        <w:t xml:space="preserve">effective date</w:t>
      </w:r>
    </w:p>
    <w:p>
      <w:pPr>
        <w:numPr>
          <w:ilvl w:val="0"/>
          <w:numId w:val="1046"/>
        </w:numPr>
        <w:pStyle w:val="Compact"/>
      </w:pPr>
      <w:r>
        <w:t xml:space="preserve">next review date</w:t>
      </w:r>
    </w:p>
    <w:p>
      <w:pPr>
        <w:pStyle w:val="Heading3"/>
      </w:pPr>
      <w:bookmarkStart w:id="112" w:name="step-9-monitor-in-production"/>
      <w:r>
        <w:t xml:space="preserve">Step 9 — Monitor in production</w:t>
      </w:r>
      <w:bookmarkEnd w:id="112"/>
    </w:p>
    <w:p>
      <w:pPr>
        <w:pStyle w:val="FirstParagraph"/>
      </w:pPr>
      <w:r>
        <w:t xml:space="preserve">Track:</w:t>
      </w:r>
    </w:p>
    <w:p>
      <w:pPr>
        <w:numPr>
          <w:ilvl w:val="0"/>
          <w:numId w:val="1047"/>
        </w:numPr>
        <w:pStyle w:val="Compact"/>
      </w:pPr>
      <w:r>
        <w:t xml:space="preserve">usage frequency</w:t>
      </w:r>
    </w:p>
    <w:p>
      <w:pPr>
        <w:numPr>
          <w:ilvl w:val="0"/>
          <w:numId w:val="1047"/>
        </w:numPr>
        <w:pStyle w:val="Compact"/>
      </w:pPr>
      <w:r>
        <w:t xml:space="preserve">common failure criteria</w:t>
      </w:r>
    </w:p>
    <w:p>
      <w:pPr>
        <w:numPr>
          <w:ilvl w:val="0"/>
          <w:numId w:val="1047"/>
        </w:numPr>
        <w:pStyle w:val="Compact"/>
      </w:pPr>
      <w:r>
        <w:t xml:space="preserve">calibration drift</w:t>
      </w:r>
    </w:p>
    <w:p>
      <w:pPr>
        <w:numPr>
          <w:ilvl w:val="0"/>
          <w:numId w:val="1047"/>
        </w:numPr>
        <w:pStyle w:val="Compact"/>
      </w:pPr>
      <w:r>
        <w:t xml:space="preserve">waiver frequency</w:t>
      </w:r>
    </w:p>
    <w:p>
      <w:pPr>
        <w:numPr>
          <w:ilvl w:val="0"/>
          <w:numId w:val="1047"/>
        </w:numPr>
        <w:pStyle w:val="Compact"/>
      </w:pPr>
      <w:r>
        <w:t xml:space="preserve">reviewer feedback</w:t>
      </w:r>
    </w:p>
    <w:p>
      <w:pPr>
        <w:numPr>
          <w:ilvl w:val="0"/>
          <w:numId w:val="1047"/>
        </w:numPr>
        <w:pStyle w:val="Compact"/>
      </w:pPr>
      <w:r>
        <w:t xml:space="preserve">agent disagreement rate</w:t>
      </w:r>
    </w:p>
    <w:p>
      <w:pPr>
        <w:pStyle w:val="Heading2"/>
      </w:pPr>
      <w:bookmarkStart w:id="113" w:name="profile-design-rules"/>
      <w:r>
        <w:t xml:space="preserve">17. Profile design rules</w:t>
      </w:r>
      <w:bookmarkEnd w:id="113"/>
    </w:p>
    <w:p>
      <w:pPr>
        <w:pStyle w:val="FirstParagraph"/>
      </w:pPr>
      <w:r>
        <w:t xml:space="preserve">A profile should normally add</w:t>
      </w:r>
      <w:r>
        <w:t xml:space="preserve"> </w:t>
      </w:r>
      <w:r>
        <w:rPr>
          <w:b/>
        </w:rPr>
        <w:t xml:space="preserve">no more than 5–12 specific criteria</w:t>
      </w:r>
      <w:r>
        <w:t xml:space="preserve"> </w:t>
      </w:r>
      <w:r>
        <w:t xml:space="preserve">beyond the core meta-rubric. If a team wants to add 20 more criteria, it usually means the profile is mixing concerns that should be overlays or guidance notes instead.</w:t>
      </w:r>
    </w:p>
    <w:p>
      <w:pPr>
        <w:pStyle w:val="Heading3"/>
      </w:pPr>
      <w:bookmarkStart w:id="114" w:name="good-profile-behavior"/>
      <w:r>
        <w:t xml:space="preserve">17.1 Good profile behavior</w:t>
      </w:r>
      <w:bookmarkEnd w:id="114"/>
    </w:p>
    <w:p>
      <w:pPr>
        <w:pStyle w:val="FirstParagraph"/>
      </w:pPr>
      <w:r>
        <w:t xml:space="preserve">A good profile:</w:t>
      </w:r>
    </w:p>
    <w:p>
      <w:pPr>
        <w:numPr>
          <w:ilvl w:val="0"/>
          <w:numId w:val="1048"/>
        </w:numPr>
        <w:pStyle w:val="Compact"/>
      </w:pPr>
      <w:r>
        <w:t xml:space="preserve">sharpens evaluation for a real artifact class</w:t>
      </w:r>
    </w:p>
    <w:p>
      <w:pPr>
        <w:numPr>
          <w:ilvl w:val="0"/>
          <w:numId w:val="1048"/>
        </w:numPr>
        <w:pStyle w:val="Compact"/>
      </w:pPr>
      <w:r>
        <w:t xml:space="preserve">improves decision quality</w:t>
      </w:r>
    </w:p>
    <w:p>
      <w:pPr>
        <w:numPr>
          <w:ilvl w:val="0"/>
          <w:numId w:val="1048"/>
        </w:numPr>
        <w:pStyle w:val="Compact"/>
      </w:pPr>
      <w:r>
        <w:t xml:space="preserve">reduces reviewer ambiguity</w:t>
      </w:r>
    </w:p>
    <w:p>
      <w:pPr>
        <w:numPr>
          <w:ilvl w:val="0"/>
          <w:numId w:val="1048"/>
        </w:numPr>
        <w:pStyle w:val="Compact"/>
      </w:pPr>
      <w:r>
        <w:t xml:space="preserve">adds explicit evidence requirements</w:t>
      </w:r>
    </w:p>
    <w:p>
      <w:pPr>
        <w:numPr>
          <w:ilvl w:val="0"/>
          <w:numId w:val="1048"/>
        </w:numPr>
        <w:pStyle w:val="Compact"/>
      </w:pPr>
      <w:r>
        <w:t xml:space="preserve">remains teachable and calibratable</w:t>
      </w:r>
    </w:p>
    <w:p>
      <w:pPr>
        <w:pStyle w:val="Heading3"/>
      </w:pPr>
      <w:bookmarkStart w:id="115" w:name="bad-profile-behavior"/>
      <w:r>
        <w:t xml:space="preserve">17.2 Bad profile behavior</w:t>
      </w:r>
      <w:bookmarkEnd w:id="115"/>
    </w:p>
    <w:p>
      <w:pPr>
        <w:pStyle w:val="FirstParagraph"/>
      </w:pPr>
      <w:r>
        <w:t xml:space="preserve">A bad profile:</w:t>
      </w:r>
    </w:p>
    <w:p>
      <w:pPr>
        <w:numPr>
          <w:ilvl w:val="0"/>
          <w:numId w:val="1049"/>
        </w:numPr>
        <w:pStyle w:val="Compact"/>
      </w:pPr>
      <w:r>
        <w:t xml:space="preserve">duplicates the entire core rubric</w:t>
      </w:r>
    </w:p>
    <w:p>
      <w:pPr>
        <w:numPr>
          <w:ilvl w:val="0"/>
          <w:numId w:val="1049"/>
        </w:numPr>
        <w:pStyle w:val="Compact"/>
      </w:pPr>
      <w:r>
        <w:t xml:space="preserve">adds vague criteria like</w:t>
      </w:r>
      <w:r>
        <w:t xml:space="preserve"> </w:t>
      </w:r>
      <w:r>
        <w:t xml:space="preserve">“</w:t>
      </w:r>
      <w:r>
        <w:t xml:space="preserve">high quality</w:t>
      </w:r>
      <w:r>
        <w:t xml:space="preserve">”</w:t>
      </w:r>
    </w:p>
    <w:p>
      <w:pPr>
        <w:numPr>
          <w:ilvl w:val="0"/>
          <w:numId w:val="1049"/>
        </w:numPr>
        <w:pStyle w:val="Compact"/>
      </w:pPr>
      <w:r>
        <w:t xml:space="preserve">mixes artifact type and domain policy without distinction</w:t>
      </w:r>
    </w:p>
    <w:p>
      <w:pPr>
        <w:numPr>
          <w:ilvl w:val="0"/>
          <w:numId w:val="1049"/>
        </w:numPr>
        <w:pStyle w:val="Compact"/>
      </w:pPr>
      <w:r>
        <w:t xml:space="preserve">creates project-specific trivia as enterprise standard</w:t>
      </w:r>
    </w:p>
    <w:p>
      <w:pPr>
        <w:numPr>
          <w:ilvl w:val="0"/>
          <w:numId w:val="1049"/>
        </w:numPr>
        <w:pStyle w:val="Compact"/>
      </w:pPr>
      <w:r>
        <w:t xml:space="preserve">has no examples</w:t>
      </w:r>
    </w:p>
    <w:p>
      <w:pPr>
        <w:numPr>
          <w:ilvl w:val="0"/>
          <w:numId w:val="1049"/>
        </w:numPr>
        <w:pStyle w:val="Compact"/>
      </w:pPr>
      <w:r>
        <w:t xml:space="preserve">cannot be applied consistently</w:t>
      </w:r>
    </w:p>
    <w:p>
      <w:pPr>
        <w:pStyle w:val="Heading2"/>
      </w:pPr>
      <w:bookmarkStart w:id="116" w:name="overlays-versus-profiles"/>
      <w:r>
        <w:t xml:space="preserve">18. Overlays versus profiles</w:t>
      </w:r>
      <w:bookmarkEnd w:id="116"/>
    </w:p>
    <w:p>
      <w:pPr>
        <w:pStyle w:val="FirstParagraph"/>
      </w:pPr>
      <w:r>
        <w:t xml:space="preserve">This distinction matters a lot.</w:t>
      </w:r>
    </w:p>
    <w:p>
      <w:pPr>
        <w:pStyle w:val="Heading3"/>
      </w:pPr>
      <w:bookmarkStart w:id="117" w:name="use-a-profile-when"/>
      <w:r>
        <w:t xml:space="preserve">Use a profile when:</w:t>
      </w:r>
      <w:bookmarkEnd w:id="117"/>
    </w:p>
    <w:p>
      <w:pPr>
        <w:numPr>
          <w:ilvl w:val="0"/>
          <w:numId w:val="1050"/>
        </w:numPr>
        <w:pStyle w:val="Compact"/>
      </w:pPr>
      <w:r>
        <w:t xml:space="preserve">the artifact type itself has unique quality expectations</w:t>
      </w:r>
    </w:p>
    <w:p>
      <w:pPr>
        <w:pStyle w:val="Heading3"/>
      </w:pPr>
      <w:bookmarkStart w:id="118" w:name="use-an-overlay-when"/>
      <w:r>
        <w:t xml:space="preserve">Use an overlay when:</w:t>
      </w:r>
      <w:bookmarkEnd w:id="118"/>
    </w:p>
    <w:p>
      <w:pPr>
        <w:numPr>
          <w:ilvl w:val="0"/>
          <w:numId w:val="1051"/>
        </w:numPr>
        <w:pStyle w:val="Compact"/>
      </w:pPr>
      <w:r>
        <w:t xml:space="preserve">a cross-cutting concern must apply to many artifact types</w:t>
      </w:r>
    </w:p>
    <w:p>
      <w:pPr>
        <w:pStyle w:val="FirstParagraph"/>
      </w:pPr>
      <w:r>
        <w:t xml:space="preserve">Examples:</w:t>
      </w:r>
    </w:p>
    <w:p>
      <w:pPr>
        <w:numPr>
          <w:ilvl w:val="0"/>
          <w:numId w:val="1052"/>
        </w:numPr>
        <w:pStyle w:val="Compact"/>
      </w:pPr>
      <w:r>
        <w:rPr>
          <w:b/>
        </w:rPr>
        <w:t xml:space="preserve">ADR</w:t>
      </w:r>
      <w:r>
        <w:t xml:space="preserve"> </w:t>
      </w:r>
      <w:r>
        <w:t xml:space="preserve">-&gt; profile</w:t>
      </w:r>
    </w:p>
    <w:p>
      <w:pPr>
        <w:numPr>
          <w:ilvl w:val="0"/>
          <w:numId w:val="1052"/>
        </w:numPr>
        <w:pStyle w:val="Compact"/>
      </w:pPr>
      <w:r>
        <w:rPr>
          <w:b/>
        </w:rPr>
        <w:t xml:space="preserve">Capability Map</w:t>
      </w:r>
      <w:r>
        <w:t xml:space="preserve"> </w:t>
      </w:r>
      <w:r>
        <w:t xml:space="preserve">-&gt; profile</w:t>
      </w:r>
    </w:p>
    <w:p>
      <w:pPr>
        <w:numPr>
          <w:ilvl w:val="0"/>
          <w:numId w:val="1052"/>
        </w:numPr>
        <w:pStyle w:val="Compact"/>
      </w:pPr>
      <w:r>
        <w:rPr>
          <w:b/>
        </w:rPr>
        <w:t xml:space="preserve">Security</w:t>
      </w:r>
      <w:r>
        <w:t xml:space="preserve"> </w:t>
      </w:r>
      <w:r>
        <w:t xml:space="preserve">-&gt; overlay</w:t>
      </w:r>
    </w:p>
    <w:p>
      <w:pPr>
        <w:numPr>
          <w:ilvl w:val="0"/>
          <w:numId w:val="1052"/>
        </w:numPr>
        <w:pStyle w:val="Compact"/>
      </w:pPr>
      <w:r>
        <w:rPr>
          <w:b/>
        </w:rPr>
        <w:t xml:space="preserve">Regulatory</w:t>
      </w:r>
      <w:r>
        <w:t xml:space="preserve"> </w:t>
      </w:r>
      <w:r>
        <w:t xml:space="preserve">-&gt; overlay</w:t>
      </w:r>
    </w:p>
    <w:p>
      <w:pPr>
        <w:numPr>
          <w:ilvl w:val="0"/>
          <w:numId w:val="1052"/>
        </w:numPr>
        <w:pStyle w:val="Compact"/>
      </w:pPr>
      <w:r>
        <w:rPr>
          <w:b/>
        </w:rPr>
        <w:t xml:space="preserve">Data retention</w:t>
      </w:r>
      <w:r>
        <w:t xml:space="preserve"> </w:t>
      </w:r>
      <w:r>
        <w:t xml:space="preserve">-&gt; overlay</w:t>
      </w:r>
    </w:p>
    <w:p>
      <w:pPr>
        <w:numPr>
          <w:ilvl w:val="0"/>
          <w:numId w:val="1052"/>
        </w:numPr>
        <w:pStyle w:val="Compact"/>
      </w:pPr>
      <w:r>
        <w:rPr>
          <w:b/>
        </w:rPr>
        <w:t xml:space="preserve">Cloud landing zone policy</w:t>
      </w:r>
      <w:r>
        <w:t xml:space="preserve"> </w:t>
      </w:r>
      <w:r>
        <w:t xml:space="preserve">-&gt; overlay</w:t>
      </w:r>
    </w:p>
    <w:p>
      <w:pPr>
        <w:pStyle w:val="FirstParagraph"/>
      </w:pPr>
      <w:r>
        <w:t xml:space="preserve">A common failure mode is encoding security or regulatory expectations directly inside every profile. That creates duplication and drift. Keep cross-cutting requirements as overlays unless there is a compelling reason not to.</w:t>
      </w:r>
    </w:p>
    <w:p>
      <w:pPr>
        <w:pStyle w:val="Heading2"/>
      </w:pPr>
      <w:bookmarkStart w:id="119" w:name="starter-profile-examples"/>
      <w:r>
        <w:t xml:space="preserve">19. Starter profile examples</w:t>
      </w:r>
      <w:bookmarkEnd w:id="119"/>
    </w:p>
    <w:p>
      <w:pPr>
        <w:pStyle w:val="Heading3"/>
      </w:pPr>
      <w:bookmarkStart w:id="120" w:name="capability-map-profile"/>
      <w:r>
        <w:t xml:space="preserve">19.1 Capability Map Profile</w:t>
      </w:r>
      <w:bookmarkEnd w:id="120"/>
    </w:p>
    <w:p>
      <w:pPr>
        <w:pStyle w:val="FirstParagraph"/>
      </w:pPr>
      <w:r>
        <w:t xml:space="preserve">Likely extra criteria:</w:t>
      </w:r>
    </w:p>
    <w:p>
      <w:pPr>
        <w:numPr>
          <w:ilvl w:val="0"/>
          <w:numId w:val="1053"/>
        </w:numPr>
        <w:pStyle w:val="Compact"/>
      </w:pPr>
      <w:r>
        <w:t xml:space="preserve">decomposition quality</w:t>
      </w:r>
    </w:p>
    <w:p>
      <w:pPr>
        <w:numPr>
          <w:ilvl w:val="0"/>
          <w:numId w:val="1053"/>
        </w:numPr>
        <w:pStyle w:val="Compact"/>
      </w:pPr>
      <w:r>
        <w:t xml:space="preserve">non-overlap / non-duplication</w:t>
      </w:r>
    </w:p>
    <w:p>
      <w:pPr>
        <w:numPr>
          <w:ilvl w:val="0"/>
          <w:numId w:val="1053"/>
        </w:numPr>
        <w:pStyle w:val="Compact"/>
      </w:pPr>
      <w:r>
        <w:t xml:space="preserve">stable capability naming</w:t>
      </w:r>
    </w:p>
    <w:p>
      <w:pPr>
        <w:numPr>
          <w:ilvl w:val="0"/>
          <w:numId w:val="1053"/>
        </w:numPr>
        <w:pStyle w:val="Compact"/>
      </w:pPr>
      <w:r>
        <w:t xml:space="preserve">ownership clarity</w:t>
      </w:r>
    </w:p>
    <w:p>
      <w:pPr>
        <w:numPr>
          <w:ilvl w:val="0"/>
          <w:numId w:val="1053"/>
        </w:numPr>
        <w:pStyle w:val="Compact"/>
      </w:pPr>
      <w:r>
        <w:t xml:space="preserve">business outcome linkage</w:t>
      </w:r>
    </w:p>
    <w:p>
      <w:pPr>
        <w:numPr>
          <w:ilvl w:val="0"/>
          <w:numId w:val="1053"/>
        </w:numPr>
        <w:pStyle w:val="Compact"/>
      </w:pPr>
      <w:r>
        <w:t xml:space="preserve">level consistency</w:t>
      </w:r>
    </w:p>
    <w:p>
      <w:pPr>
        <w:numPr>
          <w:ilvl w:val="0"/>
          <w:numId w:val="1053"/>
        </w:numPr>
        <w:pStyle w:val="Compact"/>
      </w:pPr>
      <w:r>
        <w:t xml:space="preserve">strategic relevance</w:t>
      </w:r>
    </w:p>
    <w:p>
      <w:pPr>
        <w:pStyle w:val="FirstParagraph"/>
      </w:pPr>
      <w:r>
        <w:t xml:space="preserve">Typical anti-patterns:</w:t>
      </w:r>
    </w:p>
    <w:p>
      <w:pPr>
        <w:numPr>
          <w:ilvl w:val="0"/>
          <w:numId w:val="1054"/>
        </w:numPr>
        <w:pStyle w:val="Compact"/>
      </w:pPr>
      <w:r>
        <w:t xml:space="preserve">organization chart masquerading as capability map</w:t>
      </w:r>
    </w:p>
    <w:p>
      <w:pPr>
        <w:numPr>
          <w:ilvl w:val="0"/>
          <w:numId w:val="1054"/>
        </w:numPr>
        <w:pStyle w:val="Compact"/>
      </w:pPr>
      <w:r>
        <w:t xml:space="preserve">mixed abstraction levels</w:t>
      </w:r>
    </w:p>
    <w:p>
      <w:pPr>
        <w:numPr>
          <w:ilvl w:val="0"/>
          <w:numId w:val="1054"/>
        </w:numPr>
        <w:pStyle w:val="Compact"/>
      </w:pPr>
      <w:r>
        <w:t xml:space="preserve">solution names in place of capabilities</w:t>
      </w:r>
    </w:p>
    <w:p>
      <w:pPr>
        <w:numPr>
          <w:ilvl w:val="0"/>
          <w:numId w:val="1054"/>
        </w:numPr>
        <w:pStyle w:val="Compact"/>
      </w:pPr>
      <w:r>
        <w:t xml:space="preserve">duplicated capabilities</w:t>
      </w:r>
    </w:p>
    <w:p>
      <w:pPr>
        <w:pStyle w:val="Heading3"/>
      </w:pPr>
      <w:bookmarkStart w:id="121" w:name="solution-architecture-profile"/>
      <w:r>
        <w:t xml:space="preserve">19.2 Solution Architecture Profile</w:t>
      </w:r>
      <w:bookmarkEnd w:id="121"/>
    </w:p>
    <w:p>
      <w:pPr>
        <w:pStyle w:val="FirstParagraph"/>
      </w:pPr>
      <w:r>
        <w:t xml:space="preserve">Likely extra criteria:</w:t>
      </w:r>
    </w:p>
    <w:p>
      <w:pPr>
        <w:numPr>
          <w:ilvl w:val="0"/>
          <w:numId w:val="1055"/>
        </w:numPr>
        <w:pStyle w:val="Compact"/>
      </w:pPr>
      <w:r>
        <w:t xml:space="preserve">problem statement clarity</w:t>
      </w:r>
    </w:p>
    <w:p>
      <w:pPr>
        <w:numPr>
          <w:ilvl w:val="0"/>
          <w:numId w:val="1055"/>
        </w:numPr>
        <w:pStyle w:val="Compact"/>
      </w:pPr>
      <w:r>
        <w:t xml:space="preserve">option analysis</w:t>
      </w:r>
    </w:p>
    <w:p>
      <w:pPr>
        <w:numPr>
          <w:ilvl w:val="0"/>
          <w:numId w:val="1055"/>
        </w:numPr>
        <w:pStyle w:val="Compact"/>
      </w:pPr>
      <w:r>
        <w:t xml:space="preserve">quality attribute treatment</w:t>
      </w:r>
    </w:p>
    <w:p>
      <w:pPr>
        <w:numPr>
          <w:ilvl w:val="0"/>
          <w:numId w:val="1055"/>
        </w:numPr>
        <w:pStyle w:val="Compact"/>
      </w:pPr>
      <w:r>
        <w:t xml:space="preserve">integration and dependency treatment</w:t>
      </w:r>
    </w:p>
    <w:p>
      <w:pPr>
        <w:numPr>
          <w:ilvl w:val="0"/>
          <w:numId w:val="1055"/>
        </w:numPr>
        <w:pStyle w:val="Compact"/>
      </w:pPr>
      <w:r>
        <w:t xml:space="preserve">operational model coverage</w:t>
      </w:r>
    </w:p>
    <w:p>
      <w:pPr>
        <w:numPr>
          <w:ilvl w:val="0"/>
          <w:numId w:val="1055"/>
        </w:numPr>
        <w:pStyle w:val="Compact"/>
      </w:pPr>
      <w:r>
        <w:t xml:space="preserve">deployment and runtime assumptions</w:t>
      </w:r>
    </w:p>
    <w:p>
      <w:pPr>
        <w:numPr>
          <w:ilvl w:val="0"/>
          <w:numId w:val="1055"/>
        </w:numPr>
        <w:pStyle w:val="Compact"/>
      </w:pPr>
      <w:r>
        <w:t xml:space="preserve">non-functional requirement traceability</w:t>
      </w:r>
    </w:p>
    <w:p>
      <w:pPr>
        <w:pStyle w:val="FirstParagraph"/>
      </w:pPr>
      <w:r>
        <w:t xml:space="preserve">Typical anti-patterns:</w:t>
      </w:r>
    </w:p>
    <w:p>
      <w:pPr>
        <w:numPr>
          <w:ilvl w:val="0"/>
          <w:numId w:val="1056"/>
        </w:numPr>
        <w:pStyle w:val="Compact"/>
      </w:pPr>
      <w:r>
        <w:t xml:space="preserve">only one option shown</w:t>
      </w:r>
    </w:p>
    <w:p>
      <w:pPr>
        <w:numPr>
          <w:ilvl w:val="0"/>
          <w:numId w:val="1056"/>
        </w:numPr>
        <w:pStyle w:val="Compact"/>
      </w:pPr>
      <w:r>
        <w:t xml:space="preserve">deployment view missing</w:t>
      </w:r>
    </w:p>
    <w:p>
      <w:pPr>
        <w:numPr>
          <w:ilvl w:val="0"/>
          <w:numId w:val="1056"/>
        </w:numPr>
        <w:pStyle w:val="Compact"/>
      </w:pPr>
      <w:r>
        <w:t xml:space="preserve">target design contradicts constraints</w:t>
      </w:r>
    </w:p>
    <w:p>
      <w:pPr>
        <w:numPr>
          <w:ilvl w:val="0"/>
          <w:numId w:val="1056"/>
        </w:numPr>
        <w:pStyle w:val="Compact"/>
      </w:pPr>
      <w:r>
        <w:t xml:space="preserve">security delegated to</w:t>
      </w:r>
      <w:r>
        <w:t xml:space="preserve"> </w:t>
      </w:r>
      <w:r>
        <w:t xml:space="preserve">“</w:t>
      </w:r>
      <w:r>
        <w:t xml:space="preserve">later</w:t>
      </w:r>
      <w:r>
        <w:t xml:space="preserve">”</w:t>
      </w:r>
    </w:p>
    <w:p>
      <w:pPr>
        <w:pStyle w:val="Heading3"/>
      </w:pPr>
      <w:bookmarkStart w:id="122" w:name="adr-profile"/>
      <w:r>
        <w:t xml:space="preserve">19.3 ADR Profile</w:t>
      </w:r>
      <w:bookmarkEnd w:id="122"/>
    </w:p>
    <w:p>
      <w:pPr>
        <w:pStyle w:val="FirstParagraph"/>
      </w:pPr>
      <w:r>
        <w:t xml:space="preserve">Likely extra criteria:</w:t>
      </w:r>
    </w:p>
    <w:p>
      <w:pPr>
        <w:numPr>
          <w:ilvl w:val="0"/>
          <w:numId w:val="1057"/>
        </w:numPr>
        <w:pStyle w:val="Compact"/>
      </w:pPr>
      <w:r>
        <w:t xml:space="preserve">decision statement clarity</w:t>
      </w:r>
    </w:p>
    <w:p>
      <w:pPr>
        <w:numPr>
          <w:ilvl w:val="0"/>
          <w:numId w:val="1057"/>
        </w:numPr>
        <w:pStyle w:val="Compact"/>
      </w:pPr>
      <w:r>
        <w:t xml:space="preserve">options considered</w:t>
      </w:r>
    </w:p>
    <w:p>
      <w:pPr>
        <w:numPr>
          <w:ilvl w:val="0"/>
          <w:numId w:val="1057"/>
        </w:numPr>
        <w:pStyle w:val="Compact"/>
      </w:pPr>
      <w:r>
        <w:t xml:space="preserve">consequences</w:t>
      </w:r>
    </w:p>
    <w:p>
      <w:pPr>
        <w:numPr>
          <w:ilvl w:val="0"/>
          <w:numId w:val="1057"/>
        </w:numPr>
        <w:pStyle w:val="Compact"/>
      </w:pPr>
      <w:r>
        <w:t xml:space="preserve">tradeoff visibility</w:t>
      </w:r>
    </w:p>
    <w:p>
      <w:pPr>
        <w:numPr>
          <w:ilvl w:val="0"/>
          <w:numId w:val="1057"/>
        </w:numPr>
        <w:pStyle w:val="Compact"/>
      </w:pPr>
      <w:r>
        <w:t xml:space="preserve">reversibility</w:t>
      </w:r>
    </w:p>
    <w:p>
      <w:pPr>
        <w:numPr>
          <w:ilvl w:val="0"/>
          <w:numId w:val="1057"/>
        </w:numPr>
        <w:pStyle w:val="Compact"/>
      </w:pPr>
      <w:r>
        <w:t xml:space="preserve">trigger conditions for revisit</w:t>
      </w:r>
    </w:p>
    <w:p>
      <w:pPr>
        <w:numPr>
          <w:ilvl w:val="0"/>
          <w:numId w:val="1057"/>
        </w:numPr>
        <w:pStyle w:val="Compact"/>
      </w:pPr>
      <w:r>
        <w:t xml:space="preserve">traceability to broader architecture</w:t>
      </w:r>
    </w:p>
    <w:p>
      <w:pPr>
        <w:pStyle w:val="FirstParagraph"/>
      </w:pPr>
      <w:r>
        <w:t xml:space="preserve">Typical anti-patterns:</w:t>
      </w:r>
    </w:p>
    <w:p>
      <w:pPr>
        <w:numPr>
          <w:ilvl w:val="0"/>
          <w:numId w:val="1058"/>
        </w:numPr>
        <w:pStyle w:val="Compact"/>
      </w:pPr>
      <w:r>
        <w:t xml:space="preserve">decision already implemented before record exists</w:t>
      </w:r>
    </w:p>
    <w:p>
      <w:pPr>
        <w:numPr>
          <w:ilvl w:val="0"/>
          <w:numId w:val="1058"/>
        </w:numPr>
        <w:pStyle w:val="Compact"/>
      </w:pPr>
      <w:r>
        <w:t xml:space="preserve">only chosen option documented</w:t>
      </w:r>
    </w:p>
    <w:p>
      <w:pPr>
        <w:numPr>
          <w:ilvl w:val="0"/>
          <w:numId w:val="1058"/>
        </w:numPr>
        <w:pStyle w:val="Compact"/>
      </w:pPr>
      <w:r>
        <w:t xml:space="preserve">no consequences listed</w:t>
      </w:r>
    </w:p>
    <w:p>
      <w:pPr>
        <w:numPr>
          <w:ilvl w:val="0"/>
          <w:numId w:val="1058"/>
        </w:numPr>
        <w:pStyle w:val="Compact"/>
      </w:pPr>
      <w:r>
        <w:t xml:space="preserve">no context for future readers</w:t>
      </w:r>
    </w:p>
    <w:p>
      <w:pPr>
        <w:pStyle w:val="Heading3"/>
      </w:pPr>
      <w:bookmarkStart w:id="123" w:name="roadmap-profile"/>
      <w:r>
        <w:t xml:space="preserve">19.4 Roadmap Profile</w:t>
      </w:r>
      <w:bookmarkEnd w:id="123"/>
    </w:p>
    <w:p>
      <w:pPr>
        <w:pStyle w:val="FirstParagraph"/>
      </w:pPr>
      <w:r>
        <w:t xml:space="preserve">Likely extra criteria:</w:t>
      </w:r>
    </w:p>
    <w:p>
      <w:pPr>
        <w:numPr>
          <w:ilvl w:val="0"/>
          <w:numId w:val="1059"/>
        </w:numPr>
        <w:pStyle w:val="Compact"/>
      </w:pPr>
      <w:r>
        <w:t xml:space="preserve">dependency realism</w:t>
      </w:r>
    </w:p>
    <w:p>
      <w:pPr>
        <w:numPr>
          <w:ilvl w:val="0"/>
          <w:numId w:val="1059"/>
        </w:numPr>
        <w:pStyle w:val="Compact"/>
      </w:pPr>
      <w:r>
        <w:t xml:space="preserve">sequencing logic</w:t>
      </w:r>
    </w:p>
    <w:p>
      <w:pPr>
        <w:numPr>
          <w:ilvl w:val="0"/>
          <w:numId w:val="1059"/>
        </w:numPr>
        <w:pStyle w:val="Compact"/>
      </w:pPr>
      <w:r>
        <w:t xml:space="preserve">transition-state clarity</w:t>
      </w:r>
    </w:p>
    <w:p>
      <w:pPr>
        <w:numPr>
          <w:ilvl w:val="0"/>
          <w:numId w:val="1059"/>
        </w:numPr>
        <w:pStyle w:val="Compact"/>
      </w:pPr>
      <w:r>
        <w:t xml:space="preserve">owner and funding linkage</w:t>
      </w:r>
    </w:p>
    <w:p>
      <w:pPr>
        <w:numPr>
          <w:ilvl w:val="0"/>
          <w:numId w:val="1059"/>
        </w:numPr>
        <w:pStyle w:val="Compact"/>
      </w:pPr>
      <w:r>
        <w:t xml:space="preserve">risk and contingency treatment</w:t>
      </w:r>
    </w:p>
    <w:p>
      <w:pPr>
        <w:numPr>
          <w:ilvl w:val="0"/>
          <w:numId w:val="1059"/>
        </w:numPr>
        <w:pStyle w:val="Compact"/>
      </w:pPr>
      <w:r>
        <w:t xml:space="preserve">measurable milestones</w:t>
      </w:r>
    </w:p>
    <w:p>
      <w:pPr>
        <w:pStyle w:val="FirstParagraph"/>
      </w:pPr>
      <w:r>
        <w:t xml:space="preserve">Typical anti-patterns:</w:t>
      </w:r>
    </w:p>
    <w:p>
      <w:pPr>
        <w:numPr>
          <w:ilvl w:val="0"/>
          <w:numId w:val="1060"/>
        </w:numPr>
        <w:pStyle w:val="Compact"/>
      </w:pPr>
      <w:r>
        <w:t xml:space="preserve">date list without dependencies</w:t>
      </w:r>
    </w:p>
    <w:p>
      <w:pPr>
        <w:numPr>
          <w:ilvl w:val="0"/>
          <w:numId w:val="1060"/>
        </w:numPr>
        <w:pStyle w:val="Compact"/>
      </w:pPr>
      <w:r>
        <w:t xml:space="preserve">no transition architecture</w:t>
      </w:r>
    </w:p>
    <w:p>
      <w:pPr>
        <w:numPr>
          <w:ilvl w:val="0"/>
          <w:numId w:val="1060"/>
        </w:numPr>
        <w:pStyle w:val="Compact"/>
      </w:pPr>
      <w:r>
        <w:t xml:space="preserve">no ownership</w:t>
      </w:r>
    </w:p>
    <w:p>
      <w:pPr>
        <w:numPr>
          <w:ilvl w:val="0"/>
          <w:numId w:val="1060"/>
        </w:numPr>
        <w:pStyle w:val="Compact"/>
      </w:pPr>
      <w:r>
        <w:t xml:space="preserve">roadmap not connected to target state</w:t>
      </w:r>
    </w:p>
    <w:p>
      <w:pPr>
        <w:pStyle w:val="Heading2"/>
      </w:pPr>
      <w:bookmarkStart w:id="124" w:name="governance-model"/>
      <w:r>
        <w:t xml:space="preserve">20. Governance model</w:t>
      </w:r>
      <w:bookmarkEnd w:id="124"/>
    </w:p>
    <w:p>
      <w:pPr>
        <w:pStyle w:val="Heading3"/>
      </w:pPr>
      <w:bookmarkStart w:id="125" w:name="roles"/>
      <w:r>
        <w:t xml:space="preserve">20.1 Roles</w:t>
      </w:r>
      <w:bookmarkEnd w:id="125"/>
    </w:p>
    <w:p>
      <w:pPr>
        <w:pStyle w:val="Heading4"/>
      </w:pPr>
      <w:bookmarkStart w:id="126" w:name="rubric-owner"/>
      <w:r>
        <w:t xml:space="preserve">Rubric owner</w:t>
      </w:r>
      <w:bookmarkEnd w:id="126"/>
    </w:p>
    <w:p>
      <w:pPr>
        <w:pStyle w:val="FirstParagraph"/>
      </w:pPr>
      <w:r>
        <w:t xml:space="preserve">Owns content, lifecycle, versioning, and quality of a rubric or profile.</w:t>
      </w:r>
    </w:p>
    <w:p>
      <w:pPr>
        <w:pStyle w:val="Heading4"/>
      </w:pPr>
      <w:bookmarkStart w:id="127" w:name="review-authority"/>
      <w:r>
        <w:t xml:space="preserve">Review authority</w:t>
      </w:r>
      <w:bookmarkEnd w:id="127"/>
    </w:p>
    <w:p>
      <w:pPr>
        <w:pStyle w:val="FirstParagraph"/>
      </w:pPr>
      <w:r>
        <w:t xml:space="preserve">Approves major rubric changes and profile publication.</w:t>
      </w:r>
    </w:p>
    <w:p>
      <w:pPr>
        <w:pStyle w:val="Heading4"/>
      </w:pPr>
      <w:bookmarkStart w:id="128" w:name="evaluator"/>
      <w:r>
        <w:t xml:space="preserve">Evaluator</w:t>
      </w:r>
      <w:bookmarkEnd w:id="128"/>
    </w:p>
    <w:p>
      <w:pPr>
        <w:pStyle w:val="FirstParagraph"/>
      </w:pPr>
      <w:r>
        <w:t xml:space="preserve">Applies the rubric.</w:t>
      </w:r>
    </w:p>
    <w:p>
      <w:pPr>
        <w:pStyle w:val="Heading4"/>
      </w:pPr>
      <w:bookmarkStart w:id="129" w:name="challenger"/>
      <w:r>
        <w:t xml:space="preserve">Challenger</w:t>
      </w:r>
      <w:bookmarkEnd w:id="129"/>
    </w:p>
    <w:p>
      <w:pPr>
        <w:pStyle w:val="FirstParagraph"/>
      </w:pPr>
      <w:r>
        <w:t xml:space="preserve">Reviews evaluation quality and disputes weak reasoning.</w:t>
      </w:r>
    </w:p>
    <w:p>
      <w:pPr>
        <w:pStyle w:val="Heading4"/>
      </w:pPr>
      <w:bookmarkStart w:id="130" w:name="calibration-lead"/>
      <w:r>
        <w:t xml:space="preserve">Calibration lead</w:t>
      </w:r>
      <w:bookmarkEnd w:id="130"/>
    </w:p>
    <w:p>
      <w:pPr>
        <w:pStyle w:val="FirstParagraph"/>
      </w:pPr>
      <w:r>
        <w:t xml:space="preserve">Owns benchmark examples and agreement monitoring.</w:t>
      </w:r>
    </w:p>
    <w:p>
      <w:pPr>
        <w:pStyle w:val="Heading4"/>
      </w:pPr>
      <w:bookmarkStart w:id="131" w:name="agent-steward"/>
      <w:r>
        <w:t xml:space="preserve">Agent steward</w:t>
      </w:r>
      <w:bookmarkEnd w:id="131"/>
    </w:p>
    <w:p>
      <w:pPr>
        <w:pStyle w:val="FirstParagraph"/>
      </w:pPr>
      <w:r>
        <w:t xml:space="preserve">Owns prompts, agent workflows, schemas, and automation controls.</w:t>
      </w:r>
    </w:p>
    <w:p>
      <w:pPr>
        <w:pStyle w:val="Heading3"/>
      </w:pPr>
      <w:bookmarkStart w:id="132" w:name="change-classes"/>
      <w:r>
        <w:t xml:space="preserve">20.2 Change classes</w:t>
      </w:r>
      <w:bookmarkEnd w:id="132"/>
    </w:p>
    <w:p>
      <w:pPr>
        <w:numPr>
          <w:ilvl w:val="0"/>
          <w:numId w:val="1061"/>
        </w:numPr>
        <w:pStyle w:val="Compact"/>
      </w:pPr>
      <w:r>
        <w:rPr>
          <w:b/>
        </w:rPr>
        <w:t xml:space="preserve">Patch change</w:t>
      </w:r>
      <w:r>
        <w:t xml:space="preserve"> </w:t>
      </w:r>
      <w:r>
        <w:t xml:space="preserve">— wording clarification, typo, example addition</w:t>
      </w:r>
    </w:p>
    <w:p>
      <w:pPr>
        <w:numPr>
          <w:ilvl w:val="0"/>
          <w:numId w:val="1061"/>
        </w:numPr>
        <w:pStyle w:val="Compact"/>
      </w:pPr>
      <w:r>
        <w:rPr>
          <w:b/>
        </w:rPr>
        <w:t xml:space="preserve">Minor change</w:t>
      </w:r>
      <w:r>
        <w:t xml:space="preserve"> </w:t>
      </w:r>
      <w:r>
        <w:t xml:space="preserve">— added criterion guidance, anti-pattern updates, non-breaking applicability updates</w:t>
      </w:r>
    </w:p>
    <w:p>
      <w:pPr>
        <w:numPr>
          <w:ilvl w:val="0"/>
          <w:numId w:val="1061"/>
        </w:numPr>
        <w:pStyle w:val="Compact"/>
      </w:pPr>
      <w:r>
        <w:rPr>
          <w:b/>
        </w:rPr>
        <w:t xml:space="preserve">Major change</w:t>
      </w:r>
      <w:r>
        <w:t xml:space="preserve"> </w:t>
      </w:r>
      <w:r>
        <w:t xml:space="preserve">— new criterion, changed scale, changed gates, changed weights, changed status rules</w:t>
      </w:r>
    </w:p>
    <w:p>
      <w:pPr>
        <w:pStyle w:val="FirstParagraph"/>
      </w:pPr>
      <w:r>
        <w:t xml:space="preserve">Major changes require recalibration.</w:t>
      </w:r>
    </w:p>
    <w:p>
      <w:pPr>
        <w:pStyle w:val="Heading2"/>
      </w:pPr>
      <w:bookmarkStart w:id="133" w:name="metrics-for-rubric-performance"/>
      <w:r>
        <w:t xml:space="preserve">21. Metrics for rubric performance</w:t>
      </w:r>
      <w:bookmarkEnd w:id="133"/>
    </w:p>
    <w:p>
      <w:pPr>
        <w:pStyle w:val="FirstParagraph"/>
      </w:pPr>
      <w:r>
        <w:t xml:space="preserve">Do not only measure artifact scores. Measure rubric performance itself.</w:t>
      </w:r>
    </w:p>
    <w:p>
      <w:pPr>
        <w:pStyle w:val="BodyText"/>
      </w:pPr>
      <w:r>
        <w:t xml:space="preserve">Recommended operational metrics:</w:t>
      </w:r>
    </w:p>
    <w:p>
      <w:pPr>
        <w:numPr>
          <w:ilvl w:val="0"/>
          <w:numId w:val="1062"/>
        </w:numPr>
        <w:pStyle w:val="Compact"/>
      </w:pPr>
      <w:r>
        <w:t xml:space="preserve">rubric usage count</w:t>
      </w:r>
    </w:p>
    <w:p>
      <w:pPr>
        <w:numPr>
          <w:ilvl w:val="0"/>
          <w:numId w:val="1062"/>
        </w:numPr>
        <w:pStyle w:val="Compact"/>
      </w:pPr>
      <w:r>
        <w:t xml:space="preserve">profile usage count</w:t>
      </w:r>
    </w:p>
    <w:p>
      <w:pPr>
        <w:numPr>
          <w:ilvl w:val="0"/>
          <w:numId w:val="1062"/>
        </w:numPr>
        <w:pStyle w:val="Compact"/>
      </w:pPr>
      <w:r>
        <w:t xml:space="preserve">pass / conditional / rework / reject distribution</w:t>
      </w:r>
    </w:p>
    <w:p>
      <w:pPr>
        <w:numPr>
          <w:ilvl w:val="0"/>
          <w:numId w:val="1062"/>
        </w:numPr>
        <w:pStyle w:val="Compact"/>
      </w:pPr>
      <w:r>
        <w:t xml:space="preserve">critical gate failure frequency</w:t>
      </w:r>
    </w:p>
    <w:p>
      <w:pPr>
        <w:numPr>
          <w:ilvl w:val="0"/>
          <w:numId w:val="1062"/>
        </w:numPr>
        <w:pStyle w:val="Compact"/>
      </w:pPr>
      <w:r>
        <w:t xml:space="preserve">average evidence sufficiency</w:t>
      </w:r>
    </w:p>
    <w:p>
      <w:pPr>
        <w:numPr>
          <w:ilvl w:val="0"/>
          <w:numId w:val="1062"/>
        </w:numPr>
        <w:pStyle w:val="Compact"/>
      </w:pPr>
      <w:r>
        <w:t xml:space="preserve">reviewer agreement rate</w:t>
      </w:r>
    </w:p>
    <w:p>
      <w:pPr>
        <w:numPr>
          <w:ilvl w:val="0"/>
          <w:numId w:val="1062"/>
        </w:numPr>
        <w:pStyle w:val="Compact"/>
      </w:pPr>
      <w:r>
        <w:t xml:space="preserve">agent-human agreement rate</w:t>
      </w:r>
    </w:p>
    <w:p>
      <w:pPr>
        <w:numPr>
          <w:ilvl w:val="0"/>
          <w:numId w:val="1062"/>
        </w:numPr>
        <w:pStyle w:val="Compact"/>
      </w:pPr>
      <w:r>
        <w:t xml:space="preserve">waiver rate</w:t>
      </w:r>
    </w:p>
    <w:p>
      <w:pPr>
        <w:numPr>
          <w:ilvl w:val="0"/>
          <w:numId w:val="1062"/>
        </w:numPr>
        <w:pStyle w:val="Compact"/>
      </w:pPr>
      <w:r>
        <w:t xml:space="preserve">time to evaluate</w:t>
      </w:r>
    </w:p>
    <w:p>
      <w:pPr>
        <w:numPr>
          <w:ilvl w:val="0"/>
          <w:numId w:val="1062"/>
        </w:numPr>
        <w:pStyle w:val="Compact"/>
      </w:pPr>
      <w:r>
        <w:t xml:space="preserve">action closure rate</w:t>
      </w:r>
    </w:p>
    <w:p>
      <w:pPr>
        <w:numPr>
          <w:ilvl w:val="0"/>
          <w:numId w:val="1062"/>
        </w:numPr>
        <w:pStyle w:val="Compact"/>
      </w:pPr>
      <w:r>
        <w:t xml:space="preserve">defect escape correlation if available</w:t>
      </w:r>
    </w:p>
    <w:p>
      <w:pPr>
        <w:numPr>
          <w:ilvl w:val="0"/>
          <w:numId w:val="1062"/>
        </w:numPr>
        <w:pStyle w:val="Compact"/>
      </w:pPr>
      <w:r>
        <w:t xml:space="preserve">profile drift incidents</w:t>
      </w:r>
    </w:p>
    <w:p>
      <w:pPr>
        <w:numPr>
          <w:ilvl w:val="0"/>
          <w:numId w:val="1062"/>
        </w:numPr>
        <w:pStyle w:val="Compact"/>
      </w:pPr>
      <w:r>
        <w:t xml:space="preserve">stale rubric count</w:t>
      </w:r>
    </w:p>
    <w:p>
      <w:pPr>
        <w:pStyle w:val="FirstParagraph"/>
      </w:pPr>
      <w:r>
        <w:t xml:space="preserve">These metrics help determine whether the rubric system is actually improving architecture governance.</w:t>
      </w:r>
    </w:p>
    <w:p>
      <w:pPr>
        <w:pStyle w:val="Heading2"/>
      </w:pPr>
      <w:bookmarkStart w:id="134" w:name="recommended-repository-structure"/>
      <w:r>
        <w:t xml:space="preserve">22. Recommended repository structure</w:t>
      </w:r>
      <w:bookmarkEnd w:id="134"/>
    </w:p>
    <w:p>
      <w:pPr>
        <w:pStyle w:val="FirstParagraph"/>
      </w:pPr>
      <w:r>
        <w:t xml:space="preserve">architecture-rubrics/</w:t>
      </w:r>
      <w:r>
        <w:t xml:space="preserve"> </w:t>
      </w:r>
      <w:r>
        <w:t xml:space="preserve">standard/</w:t>
      </w:r>
      <w:r>
        <w:t xml:space="preserve"> </w:t>
      </w:r>
      <w:r>
        <w:t xml:space="preserve">EAROS.md</w:t>
      </w:r>
      <w:r>
        <w:t xml:space="preserve"> </w:t>
      </w:r>
      <w:r>
        <w:t xml:space="preserve">rubric.schema.json</w:t>
      </w:r>
      <w:r>
        <w:t xml:space="preserve"> </w:t>
      </w:r>
      <w:r>
        <w:t xml:space="preserve">evaluation.schema.json</w:t>
      </w:r>
      <w:r>
        <w:t xml:space="preserve"> </w:t>
      </w:r>
      <w:r>
        <w:t xml:space="preserve">profile.schema.json</w:t>
      </w:r>
      <w:r>
        <w:t xml:space="preserve"> </w:t>
      </w:r>
      <w:r>
        <w:t xml:space="preserve">overlay.schema.json</w:t>
      </w:r>
      <w:r>
        <w:t xml:space="preserve"> </w:t>
      </w:r>
      <w:r>
        <w:t xml:space="preserve">core/</w:t>
      </w:r>
      <w:r>
        <w:t xml:space="preserve"> </w:t>
      </w:r>
      <w:r>
        <w:t xml:space="preserve">core-meta-rubric.v1.yaml</w:t>
      </w:r>
      <w:r>
        <w:t xml:space="preserve"> </w:t>
      </w:r>
      <w:r>
        <w:t xml:space="preserve">scoring-guidance.v1.md</w:t>
      </w:r>
      <w:r>
        <w:t xml:space="preserve"> </w:t>
      </w:r>
      <w:r>
        <w:t xml:space="preserve">profiles/</w:t>
      </w:r>
      <w:r>
        <w:t xml:space="preserve"> </w:t>
      </w:r>
      <w:r>
        <w:t xml:space="preserve">capability-map.v1.yaml</w:t>
      </w:r>
      <w:r>
        <w:t xml:space="preserve"> </w:t>
      </w:r>
      <w:r>
        <w:t xml:space="preserve">solution-architecture.v1.yaml</w:t>
      </w:r>
      <w:r>
        <w:t xml:space="preserve"> </w:t>
      </w:r>
      <w:r>
        <w:t xml:space="preserve">adr.v1.yaml</w:t>
      </w:r>
      <w:r>
        <w:t xml:space="preserve"> </w:t>
      </w:r>
      <w:r>
        <w:t xml:space="preserve">roadmap.v1.yaml</w:t>
      </w:r>
      <w:r>
        <w:t xml:space="preserve"> </w:t>
      </w:r>
      <w:r>
        <w:t xml:space="preserve">overlays/</w:t>
      </w:r>
      <w:r>
        <w:t xml:space="preserve"> </w:t>
      </w:r>
      <w:r>
        <w:t xml:space="preserve">security.v1.yaml</w:t>
      </w:r>
      <w:r>
        <w:t xml:space="preserve"> </w:t>
      </w:r>
      <w:r>
        <w:t xml:space="preserve">regulatory.v1.yaml</w:t>
      </w:r>
      <w:r>
        <w:t xml:space="preserve"> </w:t>
      </w:r>
      <w:r>
        <w:t xml:space="preserve">data-governance.v1.yaml</w:t>
      </w:r>
      <w:r>
        <w:t xml:space="preserve"> </w:t>
      </w:r>
      <w:r>
        <w:t xml:space="preserve">cloud.v1.yaml</w:t>
      </w:r>
      <w:r>
        <w:t xml:space="preserve"> </w:t>
      </w:r>
      <w:r>
        <w:t xml:space="preserve">calibration/</w:t>
      </w:r>
      <w:r>
        <w:t xml:space="preserve"> </w:t>
      </w:r>
      <w:r>
        <w:t xml:space="preserve">capability-map/</w:t>
      </w:r>
      <w:r>
        <w:t xml:space="preserve"> </w:t>
      </w:r>
      <w:r>
        <w:t xml:space="preserve">solution-architecture/</w:t>
      </w:r>
      <w:r>
        <w:t xml:space="preserve"> </w:t>
      </w:r>
      <w:r>
        <w:t xml:space="preserve">adr/</w:t>
      </w:r>
      <w:r>
        <w:t xml:space="preserve"> </w:t>
      </w:r>
      <w:r>
        <w:t xml:space="preserve">evaluations/</w:t>
      </w:r>
      <w:r>
        <w:t xml:space="preserve"> </w:t>
      </w:r>
      <w:r>
        <w:t xml:space="preserve">2026/</w:t>
      </w:r>
      <w:r>
        <w:t xml:space="preserve"> </w:t>
      </w:r>
      <w:r>
        <w:t xml:space="preserve">ART-001/</w:t>
      </w:r>
      <w:r>
        <w:t xml:space="preserve"> </w:t>
      </w:r>
      <w:r>
        <w:t xml:space="preserve">artifact/</w:t>
      </w:r>
      <w:r>
        <w:t xml:space="preserve"> </w:t>
      </w:r>
      <w:r>
        <w:t xml:space="preserve">result.json</w:t>
      </w:r>
      <w:r>
        <w:t xml:space="preserve"> </w:t>
      </w:r>
      <w:r>
        <w:t xml:space="preserve">report.md</w:t>
      </w:r>
      <w:r>
        <w:t xml:space="preserve"> </w:t>
      </w:r>
      <w:r>
        <w:t xml:space="preserve">decision.md</w:t>
      </w:r>
    </w:p>
    <w:p>
      <w:pPr>
        <w:pStyle w:val="Heading2"/>
      </w:pPr>
      <w:bookmarkStart w:id="135" w:name="machine-readable-templates"/>
      <w:r>
        <w:t xml:space="preserve">23. Machine-readable templates</w:t>
      </w:r>
      <w:bookmarkEnd w:id="135"/>
    </w:p>
    <w:p>
      <w:pPr>
        <w:pStyle w:val="Heading3"/>
      </w:pPr>
      <w:bookmarkStart w:id="136" w:name="rubric-template"/>
      <w:r>
        <w:t xml:space="preserve">23.1 Rubric template</w:t>
      </w:r>
      <w:bookmarkEnd w:id="136"/>
    </w:p>
    <w:p>
      <w:pPr>
        <w:pStyle w:val="FirstParagraph"/>
      </w:pPr>
      <w:r>
        <w:t xml:space="preserve">rubric_id: EAROS-SOL-001</w:t>
      </w:r>
      <w:r>
        <w:t xml:space="preserve"> </w:t>
      </w:r>
      <w:r>
        <w:t xml:space="preserve">title: Solution Architecture Profile</w:t>
      </w:r>
      <w:r>
        <w:t xml:space="preserve"> </w:t>
      </w:r>
      <w:r>
        <w:t xml:space="preserve">version: 1.0.0</w:t>
      </w:r>
      <w:r>
        <w:t xml:space="preserve"> </w:t>
      </w:r>
      <w:r>
        <w:t xml:space="preserve">status: approved</w:t>
      </w:r>
      <w:r>
        <w:t xml:space="preserve"> </w:t>
      </w:r>
      <w:r>
        <w:t xml:space="preserve">owner: enterprise-architecture</w:t>
      </w:r>
      <w:r>
        <w:t xml:space="preserve"> </w:t>
      </w:r>
      <w:r>
        <w:t xml:space="preserve">artifact_type: solution_architecture</w:t>
      </w:r>
      <w:r>
        <w:t xml:space="preserve"> </w:t>
      </w:r>
      <w:r>
        <w:t xml:space="preserve">review_purpose: decision_review</w:t>
      </w:r>
      <w:r>
        <w:t xml:space="preserve"> </w:t>
      </w:r>
      <w:r>
        <w:t xml:space="preserve">intended_decision_type:</w:t>
      </w:r>
    </w:p>
    <w:p>
      <w:pPr>
        <w:numPr>
          <w:ilvl w:val="0"/>
          <w:numId w:val="1063"/>
        </w:numPr>
      </w:pPr>
      <w:r>
        <w:t xml:space="preserve">architecture_board_review</w:t>
      </w:r>
    </w:p>
    <w:p>
      <w:pPr>
        <w:numPr>
          <w:ilvl w:val="0"/>
          <w:numId w:val="1063"/>
        </w:numPr>
      </w:pPr>
      <w:r>
        <w:t xml:space="preserve">funding_gate</w:t>
      </w:r>
      <w:r>
        <w:t xml:space="preserve"> </w:t>
      </w:r>
      <w:r>
        <w:t xml:space="preserve">applicable_stakeholders:</w:t>
      </w:r>
    </w:p>
    <w:p>
      <w:pPr>
        <w:numPr>
          <w:ilvl w:val="0"/>
          <w:numId w:val="1063"/>
        </w:numPr>
      </w:pPr>
      <w:r>
        <w:t xml:space="preserve">architecture_board</w:t>
      </w:r>
    </w:p>
    <w:p>
      <w:pPr>
        <w:numPr>
          <w:ilvl w:val="0"/>
          <w:numId w:val="1063"/>
        </w:numPr>
      </w:pPr>
      <w:r>
        <w:t xml:space="preserve">engineering</w:t>
      </w:r>
    </w:p>
    <w:p>
      <w:pPr>
        <w:numPr>
          <w:ilvl w:val="0"/>
          <w:numId w:val="1063"/>
        </w:numPr>
      </w:pPr>
      <w:r>
        <w:t xml:space="preserve">security</w:t>
      </w:r>
    </w:p>
    <w:p>
      <w:pPr>
        <w:numPr>
          <w:ilvl w:val="0"/>
          <w:numId w:val="1063"/>
        </w:numPr>
      </w:pPr>
      <w:r>
        <w:t xml:space="preserve">operations</w:t>
      </w:r>
      <w:r>
        <w:t xml:space="preserve"> </w:t>
      </w:r>
      <w:r>
        <w:t xml:space="preserve">scale_definition:</w:t>
      </w:r>
      <w:r>
        <w:t xml:space="preserve"> </w:t>
      </w:r>
      <w:r>
        <w:t xml:space="preserve">type: ordinal_0_4_plus_na</w:t>
      </w:r>
      <w:r>
        <w:t xml:space="preserve"> </w:t>
      </w:r>
      <w:r>
        <w:t xml:space="preserve">status_rules:</w:t>
      </w:r>
      <w:r>
        <w:t xml:space="preserve"> </w:t>
      </w:r>
      <w:r>
        <w:t xml:space="preserve">pass:</w:t>
      </w:r>
      <w:r>
        <w:t xml:space="preserve"> </w:t>
      </w:r>
      <w:r>
        <w:t xml:space="preserve">min_weighted_score: 3.2</w:t>
      </w:r>
      <w:r>
        <w:t xml:space="preserve"> </w:t>
      </w:r>
      <w:r>
        <w:t xml:space="preserve">no_critical_gate_failures: true</w:t>
      </w:r>
      <w:r>
        <w:t xml:space="preserve"> </w:t>
      </w:r>
      <w:r>
        <w:t xml:space="preserve">dimensions:</w:t>
      </w:r>
    </w:p>
    <w:p>
      <w:pPr>
        <w:numPr>
          <w:ilvl w:val="0"/>
          <w:numId w:val="1063"/>
        </w:numPr>
      </w:pPr>
      <w:r>
        <w:t xml:space="preserve">id: stakeholder_fit</w:t>
      </w:r>
      <w:r>
        <w:t xml:space="preserve"> </w:t>
      </w:r>
      <w:r>
        <w:t xml:space="preserve">name: Stakeholder and purpose fit</w:t>
      </w:r>
      <w:r>
        <w:t xml:space="preserve"> </w:t>
      </w:r>
      <w:r>
        <w:t xml:space="preserve">criteria:</w:t>
      </w:r>
    </w:p>
    <w:p>
      <w:pPr>
        <w:numPr>
          <w:ilvl w:val="0"/>
          <w:numId w:val="1063"/>
        </w:numPr>
      </w:pPr>
      <w:r>
        <w:t xml:space="preserve">criterion_id: STK-01</w:t>
      </w:r>
      <w:r>
        <w:t xml:space="preserve"> </w:t>
      </w:r>
      <w:r>
        <w:t xml:space="preserve">name: Stakeholders, concerns, viewpoints</w:t>
      </w:r>
      <w:r>
        <w:t xml:space="preserve"> </w:t>
      </w:r>
      <w:r>
        <w:t xml:space="preserve">question: Does the artifact explicitly identify stakeholders, concerns, and viewpoints?</w:t>
      </w:r>
      <w:r>
        <w:t xml:space="preserve"> </w:t>
      </w:r>
      <w:r>
        <w:t xml:space="preserve">description: Checks whether the artifact is anchored in named stakeholders and their concerns.</w:t>
      </w:r>
      <w:r>
        <w:t xml:space="preserve"> </w:t>
      </w:r>
      <w:r>
        <w:t xml:space="preserve">metric_type: ordinal</w:t>
      </w:r>
      <w:r>
        <w:t xml:space="preserve"> </w:t>
      </w:r>
      <w:r>
        <w:t xml:space="preserve">score_scale: [0,1,2,3,4,</w:t>
      </w:r>
      <w:r>
        <w:t xml:space="preserve">“</w:t>
      </w:r>
      <w:r>
        <w:t xml:space="preserve">N/A</w:t>
      </w:r>
      <w:r>
        <w:t xml:space="preserve">”</w:t>
      </w:r>
      <w:r>
        <w:t xml:space="preserve">]</w:t>
      </w:r>
      <w:r>
        <w:t xml:space="preserve"> </w:t>
      </w:r>
      <w:r>
        <w:t xml:space="preserve">weight: 1.0</w:t>
      </w:r>
      <w:r>
        <w:t xml:space="preserve"> </w:t>
      </w:r>
      <w:r>
        <w:t xml:space="preserve">gate_type: major</w:t>
      </w:r>
      <w:r>
        <w:t xml:space="preserve"> </w:t>
      </w:r>
      <w:r>
        <w:t xml:space="preserve">required_evidence:</w:t>
      </w:r>
    </w:p>
    <w:p>
      <w:pPr>
        <w:numPr>
          <w:ilvl w:val="0"/>
          <w:numId w:val="1063"/>
        </w:numPr>
      </w:pPr>
      <w:r>
        <w:t xml:space="preserve">stakeholder_list</w:t>
      </w:r>
    </w:p>
    <w:p>
      <w:pPr>
        <w:numPr>
          <w:ilvl w:val="0"/>
          <w:numId w:val="1063"/>
        </w:numPr>
      </w:pPr>
      <w:r>
        <w:t xml:space="preserve">concern_list</w:t>
      </w:r>
    </w:p>
    <w:p>
      <w:pPr>
        <w:numPr>
          <w:ilvl w:val="0"/>
          <w:numId w:val="1063"/>
        </w:numPr>
      </w:pPr>
      <w:r>
        <w:t xml:space="preserve">viewpoint_mapping</w:t>
      </w:r>
      <w:r>
        <w:t xml:space="preserve"> </w:t>
      </w:r>
      <w:r>
        <w:t xml:space="preserve">scoring_guidance:</w:t>
      </w:r>
      <w:r>
        <w:t xml:space="preserve"> </w:t>
      </w:r>
      <w:r>
        <w:t xml:space="preserve">“</w:t>
      </w:r>
      <w:r>
        <w:t xml:space="preserve">0</w:t>
      </w:r>
      <w:r>
        <w:t xml:space="preserve">”</w:t>
      </w:r>
      <w:r>
        <w:t xml:space="preserve">: absent or contradicted</w:t>
      </w:r>
      <w:r>
        <w:t xml:space="preserve"> </w:t>
      </w:r>
      <w:r>
        <w:t xml:space="preserve">“</w:t>
      </w:r>
      <w:r>
        <w:t xml:space="preserve">1</w:t>
      </w:r>
      <w:r>
        <w:t xml:space="preserve">”</w:t>
      </w:r>
      <w:r>
        <w:t xml:space="preserve">: implied only</w:t>
      </w:r>
      <w:r>
        <w:t xml:space="preserve"> </w:t>
      </w:r>
      <w:r>
        <w:t xml:space="preserve">“</w:t>
      </w:r>
      <w:r>
        <w:t xml:space="preserve">2</w:t>
      </w:r>
      <w:r>
        <w:t xml:space="preserve">”</w:t>
      </w:r>
      <w:r>
        <w:t xml:space="preserve">: explicit but incomplete</w:t>
      </w:r>
      <w:r>
        <w:t xml:space="preserve"> </w:t>
      </w:r>
      <w:r>
        <w:t xml:space="preserve">“</w:t>
      </w:r>
      <w:r>
        <w:t xml:space="preserve">3</w:t>
      </w:r>
      <w:r>
        <w:t xml:space="preserve">”</w:t>
      </w:r>
      <w:r>
        <w:t xml:space="preserve">: explicit and mostly complete</w:t>
      </w:r>
      <w:r>
        <w:t xml:space="preserve"> </w:t>
      </w:r>
      <w:r>
        <w:t xml:space="preserve">“</w:t>
      </w:r>
      <w:r>
        <w:t xml:space="preserve">4</w:t>
      </w:r>
      <w:r>
        <w:t xml:space="preserve">”</w:t>
      </w:r>
      <w:r>
        <w:t xml:space="preserve">: explicit, complete, and consistently used</w:t>
      </w:r>
      <w:r>
        <w:t xml:space="preserve"> </w:t>
      </w:r>
      <w:r>
        <w:t xml:space="preserve">anti_patterns:</w:t>
      </w:r>
    </w:p>
    <w:p>
      <w:pPr>
        <w:numPr>
          <w:ilvl w:val="0"/>
          <w:numId w:val="1063"/>
        </w:numPr>
      </w:pPr>
      <w:r>
        <w:t xml:space="preserve">generic audience only</w:t>
      </w:r>
    </w:p>
    <w:p>
      <w:pPr>
        <w:numPr>
          <w:ilvl w:val="0"/>
          <w:numId w:val="1063"/>
        </w:numPr>
      </w:pPr>
      <w:r>
        <w:t xml:space="preserve">no concern-to-view mapping</w:t>
      </w:r>
      <w:r>
        <w:t xml:space="preserve"> </w:t>
      </w:r>
      <w:r>
        <w:t xml:space="preserve">dependencies: []</w:t>
      </w:r>
      <w:r>
        <w:t xml:space="preserve"> </w:t>
      </w:r>
      <w:r>
        <w:t xml:space="preserve">applicability_rule: always</w:t>
      </w:r>
      <w:r>
        <w:t xml:space="preserve"> </w:t>
      </w:r>
      <w:r>
        <w:t xml:space="preserve">rationale: Architecture review should be concern-driven.</w:t>
      </w:r>
    </w:p>
    <w:p>
      <w:pPr>
        <w:pStyle w:val="Heading3"/>
      </w:pPr>
      <w:bookmarkStart w:id="137" w:name="evaluation-template"/>
      <w:r>
        <w:t xml:space="preserve">23.2 Evaluation template</w:t>
      </w:r>
      <w:bookmarkEnd w:id="137"/>
    </w:p>
    <w:p>
      <w:pPr>
        <w:pStyle w:val="FirstParagraph"/>
      </w:pPr>
      <w:r>
        <w:t xml:space="preserve">artifact_id: ART-2026-0042</w:t>
      </w:r>
      <w:r>
        <w:t xml:space="preserve"> </w:t>
      </w:r>
      <w:r>
        <w:t xml:space="preserve">artifact_type: solution_architecture</w:t>
      </w:r>
      <w:r>
        <w:t xml:space="preserve"> </w:t>
      </w:r>
      <w:r>
        <w:t xml:space="preserve">rubric_id: EAROS-SOL-001</w:t>
      </w:r>
      <w:r>
        <w:t xml:space="preserve"> </w:t>
      </w:r>
      <w:r>
        <w:t xml:space="preserve">rubric_version: 1.0.0</w:t>
      </w:r>
      <w:r>
        <w:t xml:space="preserve"> </w:t>
      </w:r>
      <w:r>
        <w:t xml:space="preserve">evaluated_by:</w:t>
      </w:r>
    </w:p>
    <w:p>
      <w:pPr>
        <w:numPr>
          <w:ilvl w:val="0"/>
          <w:numId w:val="1064"/>
        </w:numPr>
      </w:pPr>
      <w:r>
        <w:t xml:space="preserve">role: evaluator</w:t>
      </w:r>
      <w:r>
        <w:t xml:space="preserve"> </w:t>
      </w:r>
      <w:r>
        <w:t xml:space="preserve">actor: agent</w:t>
      </w:r>
    </w:p>
    <w:p>
      <w:pPr>
        <w:numPr>
          <w:ilvl w:val="0"/>
          <w:numId w:val="1064"/>
        </w:numPr>
      </w:pPr>
      <w:r>
        <w:t xml:space="preserve">role: challenger</w:t>
      </w:r>
      <w:r>
        <w:t xml:space="preserve"> </w:t>
      </w:r>
      <w:r>
        <w:t xml:space="preserve">actor: human</w:t>
      </w:r>
      <w:r>
        <w:t xml:space="preserve"> </w:t>
      </w:r>
      <w:r>
        <w:t xml:space="preserve">evaluation_mode: hybrid</w:t>
      </w:r>
      <w:r>
        <w:t xml:space="preserve"> </w:t>
      </w:r>
      <w:r>
        <w:t xml:space="preserve">evaluation_date: 2026-03-16</w:t>
      </w:r>
      <w:r>
        <w:t xml:space="preserve"> </w:t>
      </w:r>
      <w:r>
        <w:t xml:space="preserve">criterion_results:</w:t>
      </w:r>
    </w:p>
    <w:p>
      <w:pPr>
        <w:numPr>
          <w:ilvl w:val="0"/>
          <w:numId w:val="1064"/>
        </w:numPr>
      </w:pPr>
      <w:r>
        <w:t xml:space="preserve">criterion_id: STK-01</w:t>
      </w:r>
      <w:r>
        <w:t xml:space="preserve"> </w:t>
      </w:r>
      <w:r>
        <w:t xml:space="preserve">score: 2</w:t>
      </w:r>
      <w:r>
        <w:t xml:space="preserve"> </w:t>
      </w:r>
      <w:r>
        <w:t xml:space="preserve">confidence: medium</w:t>
      </w:r>
      <w:r>
        <w:t xml:space="preserve"> </w:t>
      </w:r>
      <w:r>
        <w:t xml:space="preserve">evidence_sufficiency: partial</w:t>
      </w:r>
      <w:r>
        <w:t xml:space="preserve"> </w:t>
      </w:r>
      <w:r>
        <w:t xml:space="preserve">evidence_refs:</w:t>
      </w:r>
    </w:p>
    <w:p>
      <w:pPr>
        <w:numPr>
          <w:ilvl w:val="0"/>
          <w:numId w:val="1064"/>
        </w:numPr>
      </w:pPr>
      <w:r>
        <w:t xml:space="preserve">section: Audience</w:t>
      </w:r>
    </w:p>
    <w:p>
      <w:pPr>
        <w:numPr>
          <w:ilvl w:val="0"/>
          <w:numId w:val="1064"/>
        </w:numPr>
      </w:pPr>
      <w:r>
        <w:t xml:space="preserve">page: 3</w:t>
      </w:r>
      <w:r>
        <w:t xml:space="preserve"> </w:t>
      </w:r>
      <w:r>
        <w:t xml:space="preserve">evidence_class: observed</w:t>
      </w:r>
      <w:r>
        <w:t xml:space="preserve"> </w:t>
      </w:r>
      <w:r>
        <w:t xml:space="preserve">rationale: Stakeholders are listed but concerns are not systematically mapped to views.</w:t>
      </w:r>
      <w:r>
        <w:t xml:space="preserve"> </w:t>
      </w:r>
      <w:r>
        <w:t xml:space="preserve">evidence_gaps:</w:t>
      </w:r>
    </w:p>
    <w:p>
      <w:pPr>
        <w:numPr>
          <w:ilvl w:val="0"/>
          <w:numId w:val="1064"/>
        </w:numPr>
      </w:pPr>
      <w:r>
        <w:t xml:space="preserve">No explicit viewpoint model</w:t>
      </w:r>
      <w:r>
        <w:t xml:space="preserve"> </w:t>
      </w:r>
      <w:r>
        <w:t xml:space="preserve">recommended_actions:</w:t>
      </w:r>
    </w:p>
    <w:p>
      <w:pPr>
        <w:numPr>
          <w:ilvl w:val="0"/>
          <w:numId w:val="1064"/>
        </w:numPr>
      </w:pPr>
      <w:r>
        <w:t xml:space="preserve">Add stakeholder-concern-view matrix</w:t>
      </w:r>
      <w:r>
        <w:t xml:space="preserve"> </w:t>
      </w:r>
      <w:r>
        <w:t xml:space="preserve">dimension_results:</w:t>
      </w:r>
    </w:p>
    <w:p>
      <w:pPr>
        <w:numPr>
          <w:ilvl w:val="0"/>
          <w:numId w:val="1064"/>
        </w:numPr>
      </w:pPr>
      <w:r>
        <w:t xml:space="preserve">dimension_id: stakeholder_fit</w:t>
      </w:r>
      <w:r>
        <w:t xml:space="preserve"> </w:t>
      </w:r>
      <w:r>
        <w:t xml:space="preserve">weighted_score: 2.0</w:t>
      </w:r>
      <w:r>
        <w:t xml:space="preserve"> </w:t>
      </w:r>
      <w:r>
        <w:t xml:space="preserve">gate_failures: []</w:t>
      </w:r>
      <w:r>
        <w:t xml:space="preserve"> </w:t>
      </w:r>
      <w:r>
        <w:t xml:space="preserve">overall_status: conditional_pass</w:t>
      </w:r>
      <w:r>
        <w:t xml:space="preserve"> </w:t>
      </w:r>
      <w:r>
        <w:t xml:space="preserve">overall_score: 2.8</w:t>
      </w:r>
      <w:r>
        <w:t xml:space="preserve"> </w:t>
      </w:r>
      <w:r>
        <w:t xml:space="preserve">confidence: medium</w:t>
      </w:r>
      <w:r>
        <w:t xml:space="preserve"> </w:t>
      </w:r>
      <w:r>
        <w:t xml:space="preserve">recommended_actions:</w:t>
      </w:r>
    </w:p>
    <w:p>
      <w:pPr>
        <w:numPr>
          <w:ilvl w:val="0"/>
          <w:numId w:val="1064"/>
        </w:numPr>
      </w:pPr>
      <w:r>
        <w:t xml:space="preserve">Add viewpoint mapping</w:t>
      </w:r>
    </w:p>
    <w:p>
      <w:pPr>
        <w:numPr>
          <w:ilvl w:val="0"/>
          <w:numId w:val="1064"/>
        </w:numPr>
      </w:pPr>
      <w:r>
        <w:t xml:space="preserve">Clarify decision scope</w:t>
      </w:r>
      <w:r>
        <w:t xml:space="preserve"> </w:t>
      </w:r>
      <w:r>
        <w:t xml:space="preserve">decision_summary: Usable with rework before final board review.</w:t>
      </w:r>
    </w:p>
    <w:p>
      <w:pPr>
        <w:pStyle w:val="Heading2"/>
      </w:pPr>
      <w:bookmarkStart w:id="138" w:name="Xf7f21deef31dc414fc1d20358d048d6a19d5242"/>
      <w:r>
        <w:t xml:space="preserve">24. Suggested minimum documentation for every new profile</w:t>
      </w:r>
      <w:bookmarkEnd w:id="138"/>
    </w:p>
    <w:p>
      <w:pPr>
        <w:pStyle w:val="FirstParagraph"/>
      </w:pPr>
      <w:r>
        <w:t xml:space="preserve">Before a new profile is considered operational, it should have:</w:t>
      </w:r>
    </w:p>
    <w:p>
      <w:pPr>
        <w:numPr>
          <w:ilvl w:val="0"/>
          <w:numId w:val="1065"/>
        </w:numPr>
        <w:pStyle w:val="Compact"/>
      </w:pPr>
      <w:r>
        <w:t xml:space="preserve">the profile YAML/JSON definition</w:t>
      </w:r>
    </w:p>
    <w:p>
      <w:pPr>
        <w:numPr>
          <w:ilvl w:val="0"/>
          <w:numId w:val="1065"/>
        </w:numPr>
        <w:pStyle w:val="Compact"/>
      </w:pPr>
      <w:r>
        <w:t xml:space="preserve">a profile guide in prose</w:t>
      </w:r>
    </w:p>
    <w:p>
      <w:pPr>
        <w:numPr>
          <w:ilvl w:val="0"/>
          <w:numId w:val="1065"/>
        </w:numPr>
        <w:pStyle w:val="Compact"/>
      </w:pPr>
      <w:r>
        <w:t xml:space="preserve">at least 3 worked examples</w:t>
      </w:r>
    </w:p>
    <w:p>
      <w:pPr>
        <w:numPr>
          <w:ilvl w:val="0"/>
          <w:numId w:val="1065"/>
        </w:numPr>
        <w:pStyle w:val="Compact"/>
      </w:pPr>
      <w:r>
        <w:t xml:space="preserve">at least 1 anti-example</w:t>
      </w:r>
    </w:p>
    <w:p>
      <w:pPr>
        <w:numPr>
          <w:ilvl w:val="0"/>
          <w:numId w:val="1065"/>
        </w:numPr>
        <w:pStyle w:val="Compact"/>
      </w:pPr>
      <w:r>
        <w:t xml:space="preserve">a calibration record</w:t>
      </w:r>
    </w:p>
    <w:p>
      <w:pPr>
        <w:numPr>
          <w:ilvl w:val="0"/>
          <w:numId w:val="1065"/>
        </w:numPr>
        <w:pStyle w:val="Compact"/>
      </w:pPr>
      <w:r>
        <w:t xml:space="preserve">an owner</w:t>
      </w:r>
    </w:p>
    <w:p>
      <w:pPr>
        <w:numPr>
          <w:ilvl w:val="0"/>
          <w:numId w:val="1065"/>
        </w:numPr>
        <w:pStyle w:val="Compact"/>
      </w:pPr>
      <w:r>
        <w:t xml:space="preserve">a next review date</w:t>
      </w:r>
    </w:p>
    <w:p>
      <w:pPr>
        <w:pStyle w:val="FirstParagraph"/>
      </w:pPr>
      <w:r>
        <w:t xml:space="preserve">If one of those is missing, the profile is not yet mature enough for enterprise use.</w:t>
      </w:r>
    </w:p>
    <w:p>
      <w:pPr>
        <w:pStyle w:val="Heading2"/>
      </w:pPr>
      <w:bookmarkStart w:id="139" w:name="recommended-initial-rollout"/>
      <w:r>
        <w:t xml:space="preserve">25. Recommended initial rollout</w:t>
      </w:r>
      <w:bookmarkEnd w:id="139"/>
    </w:p>
    <w:p>
      <w:pPr>
        <w:pStyle w:val="FirstParagraph"/>
      </w:pPr>
      <w:r>
        <w:t xml:space="preserve">Do not start with ten profiles. Start with a controlled seed set.</w:t>
      </w:r>
    </w:p>
    <w:p>
      <w:pPr>
        <w:pStyle w:val="BodyText"/>
      </w:pPr>
      <w:r>
        <w:t xml:space="preserve">Recommended first set:</w:t>
      </w:r>
    </w:p>
    <w:p>
      <w:pPr>
        <w:numPr>
          <w:ilvl w:val="0"/>
          <w:numId w:val="1066"/>
        </w:numPr>
        <w:pStyle w:val="Compact"/>
      </w:pPr>
      <w:r>
        <w:t xml:space="preserve">Core Meta-Rubric</w:t>
      </w:r>
    </w:p>
    <w:p>
      <w:pPr>
        <w:numPr>
          <w:ilvl w:val="0"/>
          <w:numId w:val="1066"/>
        </w:numPr>
        <w:pStyle w:val="Compact"/>
      </w:pPr>
      <w:r>
        <w:t xml:space="preserve">Capability Map Profile</w:t>
      </w:r>
    </w:p>
    <w:p>
      <w:pPr>
        <w:numPr>
          <w:ilvl w:val="0"/>
          <w:numId w:val="1066"/>
        </w:numPr>
        <w:pStyle w:val="Compact"/>
      </w:pPr>
      <w:r>
        <w:t xml:space="preserve">Solution Architecture Profile</w:t>
      </w:r>
    </w:p>
    <w:p>
      <w:pPr>
        <w:numPr>
          <w:ilvl w:val="0"/>
          <w:numId w:val="1066"/>
        </w:numPr>
        <w:pStyle w:val="Compact"/>
      </w:pPr>
      <w:r>
        <w:t xml:space="preserve">ADR Profile</w:t>
      </w:r>
    </w:p>
    <w:p>
      <w:pPr>
        <w:numPr>
          <w:ilvl w:val="0"/>
          <w:numId w:val="1066"/>
        </w:numPr>
        <w:pStyle w:val="Compact"/>
      </w:pPr>
      <w:r>
        <w:t xml:space="preserve">Security Overlay</w:t>
      </w:r>
    </w:p>
    <w:p>
      <w:pPr>
        <w:numPr>
          <w:ilvl w:val="0"/>
          <w:numId w:val="1066"/>
        </w:numPr>
        <w:pStyle w:val="Compact"/>
      </w:pPr>
      <w:r>
        <w:t xml:space="preserve">Regulatory Overlay</w:t>
      </w:r>
    </w:p>
    <w:p>
      <w:pPr>
        <w:pStyle w:val="FirstParagraph"/>
      </w:pPr>
      <w:r>
        <w:t xml:space="preserve">Run these on real artifacts for 6–8 weeks, then tune before wider rollout.</w:t>
      </w:r>
    </w:p>
    <w:p>
      <w:pPr>
        <w:pStyle w:val="Heading2"/>
      </w:pPr>
      <w:bookmarkStart w:id="140" w:name="anti-patterns-to-avoid"/>
      <w:r>
        <w:t xml:space="preserve">26. Anti-patterns to avoid</w:t>
      </w:r>
      <w:bookmarkEnd w:id="140"/>
    </w:p>
    <w:p>
      <w:pPr>
        <w:numPr>
          <w:ilvl w:val="0"/>
          <w:numId w:val="1067"/>
        </w:numPr>
        <w:pStyle w:val="Compact"/>
      </w:pPr>
      <w:r>
        <w:t xml:space="preserve">one mega-rubric for every artifact</w:t>
      </w:r>
    </w:p>
    <w:p>
      <w:pPr>
        <w:numPr>
          <w:ilvl w:val="0"/>
          <w:numId w:val="1067"/>
        </w:numPr>
        <w:pStyle w:val="Compact"/>
      </w:pPr>
      <w:r>
        <w:t xml:space="preserve">criteria with no evidence anchors</w:t>
      </w:r>
    </w:p>
    <w:p>
      <w:pPr>
        <w:numPr>
          <w:ilvl w:val="0"/>
          <w:numId w:val="1067"/>
        </w:numPr>
        <w:pStyle w:val="Compact"/>
      </w:pPr>
      <w:r>
        <w:t xml:space="preserve">too many weighted criteria</w:t>
      </w:r>
    </w:p>
    <w:p>
      <w:pPr>
        <w:numPr>
          <w:ilvl w:val="0"/>
          <w:numId w:val="1067"/>
        </w:numPr>
        <w:pStyle w:val="Compact"/>
      </w:pPr>
      <w:r>
        <w:t xml:space="preserve">hidden gates inside averages</w:t>
      </w:r>
    </w:p>
    <w:p>
      <w:pPr>
        <w:numPr>
          <w:ilvl w:val="0"/>
          <w:numId w:val="1067"/>
        </w:numPr>
        <w:pStyle w:val="Compact"/>
      </w:pPr>
      <w:r>
        <w:t xml:space="preserve">policy and artifact-type concerns mixed without structure</w:t>
      </w:r>
    </w:p>
    <w:p>
      <w:pPr>
        <w:numPr>
          <w:ilvl w:val="0"/>
          <w:numId w:val="1067"/>
        </w:numPr>
        <w:pStyle w:val="Compact"/>
      </w:pPr>
      <w:r>
        <w:t xml:space="preserve">no distinction between missing evidence and low quality</w:t>
      </w:r>
    </w:p>
    <w:p>
      <w:pPr>
        <w:numPr>
          <w:ilvl w:val="0"/>
          <w:numId w:val="1067"/>
        </w:numPr>
        <w:pStyle w:val="Compact"/>
      </w:pPr>
      <w:r>
        <w:t xml:space="preserve">no calibration</w:t>
      </w:r>
    </w:p>
    <w:p>
      <w:pPr>
        <w:numPr>
          <w:ilvl w:val="0"/>
          <w:numId w:val="1067"/>
        </w:numPr>
        <w:pStyle w:val="Compact"/>
      </w:pPr>
      <w:r>
        <w:t xml:space="preserve">profile sprawl</w:t>
      </w:r>
    </w:p>
    <w:p>
      <w:pPr>
        <w:numPr>
          <w:ilvl w:val="0"/>
          <w:numId w:val="1067"/>
        </w:numPr>
        <w:pStyle w:val="Compact"/>
      </w:pPr>
      <w:r>
        <w:t xml:space="preserve">agent-only scoring with no challenger</w:t>
      </w:r>
    </w:p>
    <w:p>
      <w:pPr>
        <w:numPr>
          <w:ilvl w:val="0"/>
          <w:numId w:val="1067"/>
        </w:numPr>
        <w:pStyle w:val="Compact"/>
      </w:pPr>
      <w:r>
        <w:t xml:space="preserve">no versioning of rubrics</w:t>
      </w:r>
    </w:p>
    <w:p>
      <w:pPr>
        <w:numPr>
          <w:ilvl w:val="0"/>
          <w:numId w:val="1067"/>
        </w:numPr>
        <w:pStyle w:val="Compact"/>
      </w:pPr>
      <w:r>
        <w:t xml:space="preserve">reviewing artifacts without declaring purpose and decision context</w:t>
      </w:r>
    </w:p>
    <w:p>
      <w:pPr>
        <w:pStyle w:val="Heading2"/>
      </w:pPr>
      <w:bookmarkStart w:id="141" w:name="practical-review-workflow"/>
      <w:r>
        <w:t xml:space="preserve">27. Practical review workflow</w:t>
      </w:r>
      <w:bookmarkEnd w:id="141"/>
    </w:p>
    <w:p>
      <w:pPr>
        <w:pStyle w:val="FirstParagraph"/>
      </w:pPr>
      <w:r>
        <w:t xml:space="preserve">A practical enterprise workflow can be:</w:t>
      </w:r>
    </w:p>
    <w:p>
      <w:pPr>
        <w:numPr>
          <w:ilvl w:val="0"/>
          <w:numId w:val="1068"/>
        </w:numPr>
        <w:pStyle w:val="Compact"/>
      </w:pPr>
      <w:r>
        <w:t xml:space="preserve">select artifact type</w:t>
      </w:r>
    </w:p>
    <w:p>
      <w:pPr>
        <w:numPr>
          <w:ilvl w:val="0"/>
          <w:numId w:val="1068"/>
        </w:numPr>
        <w:pStyle w:val="Compact"/>
      </w:pPr>
      <w:r>
        <w:t xml:space="preserve">resolve applicable profile</w:t>
      </w:r>
    </w:p>
    <w:p>
      <w:pPr>
        <w:numPr>
          <w:ilvl w:val="0"/>
          <w:numId w:val="1068"/>
        </w:numPr>
        <w:pStyle w:val="Compact"/>
      </w:pPr>
      <w:r>
        <w:t xml:space="preserve">resolve applicable overlays</w:t>
      </w:r>
    </w:p>
    <w:p>
      <w:pPr>
        <w:numPr>
          <w:ilvl w:val="0"/>
          <w:numId w:val="1068"/>
        </w:numPr>
        <w:pStyle w:val="Compact"/>
      </w:pPr>
      <w:r>
        <w:t xml:space="preserve">assemble composed rubric</w:t>
      </w:r>
    </w:p>
    <w:p>
      <w:pPr>
        <w:numPr>
          <w:ilvl w:val="0"/>
          <w:numId w:val="1068"/>
        </w:numPr>
        <w:pStyle w:val="Compact"/>
      </w:pPr>
      <w:r>
        <w:t xml:space="preserve">extract evidence</w:t>
      </w:r>
    </w:p>
    <w:p>
      <w:pPr>
        <w:numPr>
          <w:ilvl w:val="0"/>
          <w:numId w:val="1068"/>
        </w:numPr>
        <w:pStyle w:val="Compact"/>
      </w:pPr>
      <w:r>
        <w:t xml:space="preserve">apply scoring</w:t>
      </w:r>
    </w:p>
    <w:p>
      <w:pPr>
        <w:numPr>
          <w:ilvl w:val="0"/>
          <w:numId w:val="1068"/>
        </w:numPr>
        <w:pStyle w:val="Compact"/>
      </w:pPr>
      <w:r>
        <w:t xml:space="preserve">challenge scoring</w:t>
      </w:r>
    </w:p>
    <w:p>
      <w:pPr>
        <w:numPr>
          <w:ilvl w:val="0"/>
          <w:numId w:val="1068"/>
        </w:numPr>
        <w:pStyle w:val="Compact"/>
      </w:pPr>
      <w:r>
        <w:t xml:space="preserve">finalize status and actions</w:t>
      </w:r>
    </w:p>
    <w:p>
      <w:pPr>
        <w:numPr>
          <w:ilvl w:val="0"/>
          <w:numId w:val="1068"/>
        </w:numPr>
        <w:pStyle w:val="Compact"/>
      </w:pPr>
      <w:r>
        <w:t xml:space="preserve">store machine-readable evaluation</w:t>
      </w:r>
    </w:p>
    <w:p>
      <w:pPr>
        <w:numPr>
          <w:ilvl w:val="0"/>
          <w:numId w:val="1068"/>
        </w:numPr>
        <w:pStyle w:val="Compact"/>
      </w:pPr>
      <w:r>
        <w:t xml:space="preserve">store human-readable report</w:t>
      </w:r>
    </w:p>
    <w:p>
      <w:pPr>
        <w:numPr>
          <w:ilvl w:val="0"/>
          <w:numId w:val="1068"/>
        </w:numPr>
        <w:pStyle w:val="Compact"/>
      </w:pPr>
      <w:r>
        <w:t xml:space="preserve">capture decision and waivers</w:t>
      </w:r>
    </w:p>
    <w:p>
      <w:pPr>
        <w:numPr>
          <w:ilvl w:val="0"/>
          <w:numId w:val="1068"/>
        </w:numPr>
        <w:pStyle w:val="Compact"/>
      </w:pPr>
      <w:r>
        <w:t xml:space="preserve">feed results back into calibration</w:t>
      </w:r>
    </w:p>
    <w:p>
      <w:pPr>
        <w:pStyle w:val="Heading2"/>
      </w:pPr>
      <w:bookmarkStart w:id="142" w:name="Xafcf93e46b92fda96e4fbd66b648d74508c73c8"/>
      <w:r>
        <w:t xml:space="preserve">28. Decision rules for choosing whether to add a new profile</w:t>
      </w:r>
      <w:bookmarkEnd w:id="142"/>
    </w:p>
    <w:p>
      <w:pPr>
        <w:pStyle w:val="FirstParagraph"/>
      </w:pPr>
      <w:r>
        <w:t xml:space="preserve">Before approving a new profile, ask:</w:t>
      </w:r>
    </w:p>
    <w:p>
      <w:pPr>
        <w:numPr>
          <w:ilvl w:val="0"/>
          <w:numId w:val="1069"/>
        </w:numPr>
        <w:pStyle w:val="Compact"/>
      </w:pPr>
      <w:r>
        <w:t xml:space="preserve">Does this artifact type recur enough to justify standardization?</w:t>
      </w:r>
    </w:p>
    <w:p>
      <w:pPr>
        <w:numPr>
          <w:ilvl w:val="0"/>
          <w:numId w:val="1069"/>
        </w:numPr>
        <w:pStyle w:val="Compact"/>
      </w:pPr>
      <w:r>
        <w:t xml:space="preserve">Is the core meta-rubric insufficient by itself?</w:t>
      </w:r>
    </w:p>
    <w:p>
      <w:pPr>
        <w:numPr>
          <w:ilvl w:val="0"/>
          <w:numId w:val="1069"/>
        </w:numPr>
        <w:pStyle w:val="Compact"/>
      </w:pPr>
      <w:r>
        <w:t xml:space="preserve">Are the proposed additions stable across teams and time?</w:t>
      </w:r>
    </w:p>
    <w:p>
      <w:pPr>
        <w:numPr>
          <w:ilvl w:val="0"/>
          <w:numId w:val="1069"/>
        </w:numPr>
        <w:pStyle w:val="Compact"/>
      </w:pPr>
      <w:r>
        <w:t xml:space="preserve">Would an overlay solve the problem better?</w:t>
      </w:r>
    </w:p>
    <w:p>
      <w:pPr>
        <w:numPr>
          <w:ilvl w:val="0"/>
          <w:numId w:val="1069"/>
        </w:numPr>
        <w:pStyle w:val="Compact"/>
      </w:pPr>
      <w:r>
        <w:t xml:space="preserve">Can the profile be calibrated with real examples?</w:t>
      </w:r>
    </w:p>
    <w:p>
      <w:pPr>
        <w:numPr>
          <w:ilvl w:val="0"/>
          <w:numId w:val="1069"/>
        </w:numPr>
        <w:pStyle w:val="Compact"/>
      </w:pPr>
      <w:r>
        <w:t xml:space="preserve">Does the profile improve decision quality enough to justify the governance overhead?</w:t>
      </w:r>
    </w:p>
    <w:p>
      <w:pPr>
        <w:pStyle w:val="FirstParagraph"/>
      </w:pPr>
      <w:r>
        <w:t xml:space="preserve">If the answer to several of these is</w:t>
      </w:r>
      <w:r>
        <w:t xml:space="preserve"> </w:t>
      </w:r>
      <w:r>
        <w:t xml:space="preserve">“</w:t>
      </w:r>
      <w:r>
        <w:t xml:space="preserve">no</w:t>
      </w:r>
      <w:r>
        <w:t xml:space="preserve">”</w:t>
      </w:r>
      <w:r>
        <w:t xml:space="preserve">, do not add the profile.</w:t>
      </w:r>
    </w:p>
    <w:p>
      <w:pPr>
        <w:pStyle w:val="Heading2"/>
      </w:pPr>
      <w:bookmarkStart w:id="143" w:name="summary-standard-statement"/>
      <w:r>
        <w:t xml:space="preserve">29. Summary standard statement</w:t>
      </w:r>
      <w:bookmarkEnd w:id="143"/>
    </w:p>
    <w:p>
      <w:pPr>
        <w:pStyle w:val="FirstParagraph"/>
      </w:pPr>
      <w:r>
        <w:t xml:space="preserve">The enterprise standard should be:</w:t>
      </w:r>
    </w:p>
    <w:p>
      <w:pPr>
        <w:pStyle w:val="BodyText"/>
      </w:pPr>
      <w:r>
        <w:t xml:space="preserve">All architecture rubrics shall be managed as governed, versioned, evidence-based evaluation assets composed from a common core meta-rubric, artifact-specific profiles, and context overlays. All scoring shall be explainable, evidence-linked, calibrated, and suitable for both human and agent-assisted application.</w:t>
      </w:r>
    </w:p>
    <w:p>
      <w:pPr>
        <w:pStyle w:val="Heading2"/>
      </w:pPr>
      <w:bookmarkStart w:id="144" w:name="X9ecc45a38b1ff02bd30fe23b7547da9eef70bb0"/>
      <w:r>
        <w:t xml:space="preserve">33. Recommended next deliverables (updated for v2.0)</w:t>
      </w:r>
      <w:bookmarkEnd w:id="144"/>
    </w:p>
    <w:p>
      <w:pPr>
        <w:pStyle w:val="FirstParagraph"/>
      </w:pPr>
      <w:r>
        <w:t xml:space="preserve">To operationalize this standard, create these next (additions for v2.0 marked with *):</w:t>
      </w:r>
    </w:p>
    <w:p>
      <w:pPr>
        <w:numPr>
          <w:ilvl w:val="0"/>
          <w:numId w:val="1070"/>
        </w:numPr>
        <w:pStyle w:val="Compact"/>
      </w:pPr>
      <w:r>
        <w:t xml:space="preserve">core-meta-rubric.v1.yaml</w:t>
      </w:r>
    </w:p>
    <w:p>
      <w:pPr>
        <w:numPr>
          <w:ilvl w:val="0"/>
          <w:numId w:val="1070"/>
        </w:numPr>
        <w:pStyle w:val="Compact"/>
      </w:pPr>
      <w:r>
        <w:t xml:space="preserve">solution-architecture.v1.yaml</w:t>
      </w:r>
    </w:p>
    <w:p>
      <w:pPr>
        <w:numPr>
          <w:ilvl w:val="0"/>
          <w:numId w:val="1070"/>
        </w:numPr>
        <w:pStyle w:val="Compact"/>
      </w:pPr>
      <w:r>
        <w:t xml:space="preserve">adr.v1.yaml</w:t>
      </w:r>
    </w:p>
    <w:p>
      <w:pPr>
        <w:numPr>
          <w:ilvl w:val="0"/>
          <w:numId w:val="1070"/>
        </w:numPr>
        <w:pStyle w:val="Compact"/>
      </w:pPr>
      <w:r>
        <w:t xml:space="preserve">capability-map.v1.yaml</w:t>
      </w:r>
    </w:p>
    <w:p>
      <w:pPr>
        <w:numPr>
          <w:ilvl w:val="0"/>
          <w:numId w:val="1070"/>
        </w:numPr>
        <w:pStyle w:val="Compact"/>
      </w:pPr>
      <w:r>
        <w:t xml:space="preserve">security.v1.yaml</w:t>
      </w:r>
    </w:p>
    <w:p>
      <w:pPr>
        <w:numPr>
          <w:ilvl w:val="0"/>
          <w:numId w:val="1070"/>
        </w:numPr>
        <w:pStyle w:val="Compact"/>
      </w:pPr>
      <w:r>
        <w:t xml:space="preserve">evaluation.schema.json</w:t>
      </w:r>
    </w:p>
    <w:p>
      <w:pPr>
        <w:numPr>
          <w:ilvl w:val="0"/>
          <w:numId w:val="1070"/>
        </w:numPr>
        <w:pStyle w:val="Compact"/>
      </w:pPr>
      <w:r>
        <w:t xml:space="preserve">calibration-pack.md</w:t>
      </w:r>
    </w:p>
    <w:p>
      <w:pPr>
        <w:numPr>
          <w:ilvl w:val="0"/>
          <w:numId w:val="1070"/>
        </w:numPr>
        <w:pStyle w:val="Compact"/>
      </w:pPr>
      <w:r>
        <w:t xml:space="preserve">review-report-template.md</w:t>
      </w:r>
    </w:p>
    <w:p>
      <w:pPr>
        <w:pStyle w:val="Heading2"/>
      </w:pPr>
      <w:bookmarkStart w:id="145" w:name="X6111d3b60280a8329be71b98ab30d15428241c7"/>
      <w:r>
        <w:t xml:space="preserve">31. Artifact format requirements for AI assessability</w:t>
      </w:r>
      <w:bookmarkEnd w:id="145"/>
    </w:p>
    <w:p>
      <w:pPr>
        <w:pStyle w:val="FirstParagraph"/>
      </w:pPr>
      <w:r>
        <w:t xml:space="preserve">This section defines requirements for architecture artifact structure and format that enable reliable automated assessment.</w:t>
      </w:r>
    </w:p>
    <w:p>
      <w:pPr>
        <w:pStyle w:val="Heading3"/>
      </w:pPr>
      <w:bookmarkStart w:id="146" w:name="machine-readable-metadata"/>
      <w:r>
        <w:t xml:space="preserve">31.1 Machine-readable metadata</w:t>
      </w:r>
      <w:bookmarkEnd w:id="146"/>
    </w:p>
    <w:p>
      <w:pPr>
        <w:pStyle w:val="FirstParagraph"/>
      </w:pPr>
      <w:r>
        <w:t xml:space="preserve">Every architecture artifact should include a structured metadata block. The recommended format is YAML frontmatter at the beginning of the document:</w:t>
      </w:r>
    </w:p>
    <w:p>
      <w:pPr>
        <w:numPr>
          <w:ilvl w:val="0"/>
          <w:numId w:val="1071"/>
        </w:numPr>
        <w:pStyle w:val="Compact"/>
      </w:pPr>
      <w:r>
        <w:t xml:space="preserve">document_type: the artifact type (e.g., solution_architecture, capability_map, adr)</w:t>
      </w:r>
    </w:p>
    <w:p>
      <w:pPr>
        <w:numPr>
          <w:ilvl w:val="0"/>
          <w:numId w:val="1071"/>
        </w:numPr>
        <w:pStyle w:val="Compact"/>
      </w:pPr>
      <w:r>
        <w:t xml:space="preserve">version: semantic version of the artifact</w:t>
      </w:r>
    </w:p>
    <w:p>
      <w:pPr>
        <w:numPr>
          <w:ilvl w:val="0"/>
          <w:numId w:val="1071"/>
        </w:numPr>
        <w:pStyle w:val="Compact"/>
      </w:pPr>
      <w:r>
        <w:t xml:space="preserve">status: draft, review, approved, deprecated</w:t>
      </w:r>
    </w:p>
    <w:p>
      <w:pPr>
        <w:numPr>
          <w:ilvl w:val="0"/>
          <w:numId w:val="1071"/>
        </w:numPr>
        <w:pStyle w:val="Compact"/>
      </w:pPr>
      <w:r>
        <w:t xml:space="preserve">author: responsible person</w:t>
      </w:r>
    </w:p>
    <w:p>
      <w:pPr>
        <w:numPr>
          <w:ilvl w:val="0"/>
          <w:numId w:val="1071"/>
        </w:numPr>
        <w:pStyle w:val="Compact"/>
      </w:pPr>
      <w:r>
        <w:t xml:space="preserve">last_modified: ISO 8601 date</w:t>
      </w:r>
    </w:p>
    <w:p>
      <w:pPr>
        <w:numPr>
          <w:ilvl w:val="0"/>
          <w:numId w:val="1071"/>
        </w:numPr>
        <w:pStyle w:val="Compact"/>
      </w:pPr>
      <w:r>
        <w:t xml:space="preserve">classification: information classification level</w:t>
      </w:r>
    </w:p>
    <w:p>
      <w:pPr>
        <w:numPr>
          <w:ilvl w:val="0"/>
          <w:numId w:val="1071"/>
        </w:numPr>
        <w:pStyle w:val="Compact"/>
      </w:pPr>
      <w:r>
        <w:t xml:space="preserve">domain: business or technical domain</w:t>
      </w:r>
    </w:p>
    <w:p>
      <w:pPr>
        <w:numPr>
          <w:ilvl w:val="0"/>
          <w:numId w:val="1071"/>
        </w:numPr>
        <w:pStyle w:val="Compact"/>
      </w:pPr>
      <w:r>
        <w:t xml:space="preserve">systems: list of systems in scope</w:t>
      </w:r>
    </w:p>
    <w:p>
      <w:pPr>
        <w:numPr>
          <w:ilvl w:val="0"/>
          <w:numId w:val="1071"/>
        </w:numPr>
        <w:pStyle w:val="Compact"/>
      </w:pPr>
      <w:r>
        <w:t xml:space="preserve">standards_compliance: list of applicable standards</w:t>
      </w:r>
    </w:p>
    <w:p>
      <w:pPr>
        <w:numPr>
          <w:ilvl w:val="0"/>
          <w:numId w:val="1071"/>
        </w:numPr>
        <w:pStyle w:val="Compact"/>
      </w:pPr>
      <w:r>
        <w:t xml:space="preserve">quality_attributes: key quality targets with measurable values</w:t>
      </w:r>
    </w:p>
    <w:p>
      <w:pPr>
        <w:numPr>
          <w:ilvl w:val="0"/>
          <w:numId w:val="1071"/>
        </w:numPr>
        <w:pStyle w:val="Compact"/>
      </w:pPr>
      <w:r>
        <w:t xml:space="preserve">related_artifacts: typed references to connected artifacts</w:t>
      </w:r>
    </w:p>
    <w:p>
      <w:pPr>
        <w:numPr>
          <w:ilvl w:val="0"/>
          <w:numId w:val="1071"/>
        </w:numPr>
        <w:pStyle w:val="Compact"/>
      </w:pPr>
      <w:r>
        <w:t xml:space="preserve">assessment_rubric: rubric identifier to apply</w:t>
      </w:r>
    </w:p>
    <w:p>
      <w:pPr>
        <w:pStyle w:val="Heading3"/>
      </w:pPr>
      <w:bookmarkStart w:id="147" w:name="structured-templates"/>
      <w:r>
        <w:t xml:space="preserve">31.2 Structured templates</w:t>
      </w:r>
      <w:bookmarkEnd w:id="147"/>
    </w:p>
    <w:p>
      <w:pPr>
        <w:pStyle w:val="FirstParagraph"/>
      </w:pPr>
      <w:r>
        <w:t xml:space="preserve">Architecture documents should follow a consistent template structure to enable section-level extraction by AI agents. Recommended approaches include:</w:t>
      </w:r>
    </w:p>
    <w:p>
      <w:pPr>
        <w:numPr>
          <w:ilvl w:val="0"/>
          <w:numId w:val="1072"/>
        </w:numPr>
        <w:pStyle w:val="Compact"/>
      </w:pPr>
      <w:r>
        <w:rPr>
          <w:b/>
        </w:rPr>
        <w:t xml:space="preserve">arc42</w:t>
      </w:r>
      <w:r>
        <w:t xml:space="preserve"> </w:t>
      </w:r>
      <w:r>
        <w:t xml:space="preserve">for software and solution architecture (12 standardised sections)</w:t>
      </w:r>
    </w:p>
    <w:p>
      <w:pPr>
        <w:numPr>
          <w:ilvl w:val="0"/>
          <w:numId w:val="1072"/>
        </w:numPr>
        <w:pStyle w:val="Compact"/>
      </w:pPr>
      <w:r>
        <w:rPr>
          <w:b/>
        </w:rPr>
        <w:t xml:space="preserve">MADR</w:t>
      </w:r>
      <w:r>
        <w:t xml:space="preserve"> </w:t>
      </w:r>
      <w:r>
        <w:t xml:space="preserve">(Markdown Architectural Decision Records) for decisions</w:t>
      </w:r>
    </w:p>
    <w:p>
      <w:pPr>
        <w:numPr>
          <w:ilvl w:val="0"/>
          <w:numId w:val="1072"/>
        </w:numPr>
        <w:pStyle w:val="Compact"/>
      </w:pPr>
      <w:r>
        <w:rPr>
          <w:b/>
        </w:rPr>
        <w:t xml:space="preserve">Decision Reasoning Format (DRF)</w:t>
      </w:r>
      <w:r>
        <w:t xml:space="preserve"> </w:t>
      </w:r>
      <w:r>
        <w:t xml:space="preserve">for machine-readable decision records in YAML/JSON</w:t>
      </w:r>
    </w:p>
    <w:p>
      <w:pPr>
        <w:pStyle w:val="FirstParagraph"/>
      </w:pPr>
      <w:r>
        <w:t xml:space="preserve">Custom templates are acceptable provided they include mandatory section markers and a documented section catalog.</w:t>
      </w:r>
    </w:p>
    <w:p>
      <w:pPr>
        <w:pStyle w:val="Heading3"/>
      </w:pPr>
      <w:bookmarkStart w:id="148" w:name="diagram-formats"/>
      <w:r>
        <w:t xml:space="preserve">31.3 Diagram formats</w:t>
      </w:r>
      <w:bookmarkEnd w:id="148"/>
    </w:p>
    <w:p>
      <w:pPr>
        <w:pStyle w:val="FirstParagraph"/>
      </w:pPr>
      <w:r>
        <w:t xml:space="preserve">Architecture diagrams should be stored in machine-readable formats wherever possible:</w:t>
      </w:r>
    </w:p>
    <w:p>
      <w:pPr>
        <w:numPr>
          <w:ilvl w:val="0"/>
          <w:numId w:val="1073"/>
        </w:numPr>
        <w:pStyle w:val="Compact"/>
      </w:pPr>
      <w:r>
        <w:t xml:space="preserve">ArchiMate Model Exchange File Format (XML/XSD) for enterprise architecture models</w:t>
      </w:r>
    </w:p>
    <w:p>
      <w:pPr>
        <w:numPr>
          <w:ilvl w:val="0"/>
          <w:numId w:val="1073"/>
        </w:numPr>
        <w:pStyle w:val="Compact"/>
      </w:pPr>
      <w:r>
        <w:t xml:space="preserve">Structurizr DSL or PlantUML for C4 model diagrams</w:t>
      </w:r>
    </w:p>
    <w:p>
      <w:pPr>
        <w:numPr>
          <w:ilvl w:val="0"/>
          <w:numId w:val="1073"/>
        </w:numPr>
        <w:pStyle w:val="Compact"/>
      </w:pPr>
      <w:r>
        <w:t xml:space="preserve">Mermaid or D2 for lightweight diagram-as-code</w:t>
      </w:r>
    </w:p>
    <w:p>
      <w:pPr>
        <w:numPr>
          <w:ilvl w:val="0"/>
          <w:numId w:val="1073"/>
        </w:numPr>
        <w:pStyle w:val="Compact"/>
      </w:pPr>
      <w:r>
        <w:t xml:space="preserve">Dual representation: machine-readable model as authoritative source, rendered diagram as visual aid</w:t>
      </w:r>
    </w:p>
    <w:p>
      <w:pPr>
        <w:pStyle w:val="FirstParagraph"/>
      </w:pPr>
      <w:r>
        <w:t xml:space="preserve">Image-only diagrams should be accompanied by a structured element catalog listing components, relationships, and technology annotations.</w:t>
      </w:r>
    </w:p>
    <w:p>
      <w:pPr>
        <w:pStyle w:val="Heading3"/>
      </w:pPr>
      <w:bookmarkStart w:id="149" w:name="section-markers-and-tagging"/>
      <w:r>
        <w:t xml:space="preserve">31.4 Section markers and tagging</w:t>
      </w:r>
      <w:bookmarkEnd w:id="149"/>
    </w:p>
    <w:p>
      <w:pPr>
        <w:pStyle w:val="FirstParagraph"/>
      </w:pPr>
      <w:r>
        <w:t xml:space="preserve">Use semantic section markers to enable precise extraction by AI agents:</w:t>
      </w:r>
    </w:p>
    <w:p>
      <w:pPr>
        <w:numPr>
          <w:ilvl w:val="0"/>
          <w:numId w:val="1074"/>
        </w:numPr>
        <w:pStyle w:val="Compact"/>
      </w:pPr>
      <w:r>
        <w:t xml:space="preserve">Consistent heading hierarchy matching the template specification</w:t>
      </w:r>
    </w:p>
    <w:p>
      <w:pPr>
        <w:numPr>
          <w:ilvl w:val="0"/>
          <w:numId w:val="1074"/>
        </w:numPr>
        <w:pStyle w:val="Compact"/>
      </w:pPr>
      <w:r>
        <w:t xml:space="preserve">Structured tables for traceability matrices and quality attribute scenarios</w:t>
      </w:r>
    </w:p>
    <w:p>
      <w:pPr>
        <w:numPr>
          <w:ilvl w:val="0"/>
          <w:numId w:val="1074"/>
        </w:numPr>
        <w:pStyle w:val="Compact"/>
      </w:pPr>
      <w:r>
        <w:t xml:space="preserve">Explicit assumption, constraint, and risk markers</w:t>
      </w:r>
    </w:p>
    <w:p>
      <w:pPr>
        <w:numPr>
          <w:ilvl w:val="0"/>
          <w:numId w:val="1074"/>
        </w:numPr>
        <w:pStyle w:val="Compact"/>
      </w:pPr>
      <w:r>
        <w:t xml:space="preserve">Embedded quality attribute scenarios in parseable format</w:t>
      </w:r>
    </w:p>
    <w:p>
      <w:pPr>
        <w:pStyle w:val="Heading3"/>
      </w:pPr>
      <w:bookmarkStart w:id="150" w:name="archimate-exchange-format"/>
      <w:r>
        <w:t xml:space="preserve">31.5 ArchiMate exchange format</w:t>
      </w:r>
      <w:bookmarkEnd w:id="150"/>
    </w:p>
    <w:p>
      <w:pPr>
        <w:pStyle w:val="FirstParagraph"/>
      </w:pPr>
      <w:r>
        <w:t xml:space="preserve">For organisations using ArchiMate, the Open Group Model Exchange File Format provides a validated standard for machine-readable architecture models. The format supports three schema types (model exchange, view exchange, diagram exchange) and includes Dublin Core metadata. This format has been mandatory for certified ArchiMate tools since June 2018 and is directly amenable to automated validation and assessment.</w:t>
      </w:r>
    </w:p>
    <w:p>
      <w:pPr>
        <w:pStyle w:val="Heading2"/>
      </w:pPr>
      <w:bookmarkStart w:id="151" w:name="X5d0515cbdd9de03849c0ccdcd4e9eb1de434395"/>
      <w:r>
        <w:t xml:space="preserve">32. Rubric design principles for AI agent application</w:t>
      </w:r>
      <w:bookmarkEnd w:id="151"/>
    </w:p>
    <w:p>
      <w:pPr>
        <w:pStyle w:val="FirstParagraph"/>
      </w:pPr>
      <w:r>
        <w:t xml:space="preserve">This section codifies empirically grounded principles for designing rubrics that AI agents can reliably apply.</w:t>
      </w:r>
    </w:p>
    <w:p>
      <w:pPr>
        <w:pStyle w:val="Heading3"/>
      </w:pPr>
      <w:bookmarkStart w:id="152" w:name="decompose-into-atomic-criteria"/>
      <w:r>
        <w:t xml:space="preserve">32.1 Decompose into atomic criteria</w:t>
      </w:r>
      <w:bookmarkEnd w:id="152"/>
    </w:p>
    <w:p>
      <w:pPr>
        <w:pStyle w:val="FirstParagraph"/>
      </w:pPr>
      <w:r>
        <w:t xml:space="preserve">Break holistic quality assessments into the smallest possible independent dimensions. Each criterion should evaluate exactly one aspect. Research shows LLM alignment with human judges improved from 37.3% to 93.95% when rubrics were provided, with further improvements from atomic decomposition.</w:t>
      </w:r>
    </w:p>
    <w:p>
      <w:pPr>
        <w:pStyle w:val="Heading3"/>
      </w:pPr>
      <w:bookmarkStart w:id="153" w:name="Xd54149196c65cc01f31608b14611332173c2217"/>
      <w:r>
        <w:t xml:space="preserve">32.2 Use analytic rather than holistic rubrics</w:t>
      </w:r>
      <w:bookmarkEnd w:id="153"/>
    </w:p>
    <w:p>
      <w:pPr>
        <w:pStyle w:val="FirstParagraph"/>
      </w:pPr>
      <w:r>
        <w:t xml:space="preserve">Analytic rubrics (separate scores per dimension) consistently outperform holistic rubrics (single overall score) for AI-based evaluation. This is consistent with the EAROS core principle of separating observation from inference.</w:t>
      </w:r>
    </w:p>
    <w:p>
      <w:pPr>
        <w:pStyle w:val="Heading3"/>
      </w:pPr>
      <w:bookmarkStart w:id="154" w:name="define-precise-level-descriptors"/>
      <w:r>
        <w:t xml:space="preserve">32.3 Define precise level descriptors</w:t>
      </w:r>
      <w:bookmarkEnd w:id="154"/>
    </w:p>
    <w:p>
      <w:pPr>
        <w:pStyle w:val="FirstParagraph"/>
      </w:pPr>
      <w:r>
        <w:t xml:space="preserve">Every point on every scale needs a written definition with concrete description of what that level looks like for the specific criterion. Without this, LLMs exhibit significant scoring drift across evaluation runs.</w:t>
      </w:r>
    </w:p>
    <w:p>
      <w:pPr>
        <w:pStyle w:val="Heading3"/>
      </w:pPr>
      <w:bookmarkStart w:id="155" w:name="include-positive-and-negative-examples"/>
      <w:r>
        <w:t xml:space="preserve">32.4 Include positive and negative examples</w:t>
      </w:r>
      <w:bookmarkEnd w:id="155"/>
    </w:p>
    <w:p>
      <w:pPr>
        <w:pStyle w:val="FirstParagraph"/>
      </w:pPr>
      <w:r>
        <w:t xml:space="preserve">Anchor criteria with exemplars of good and poor performance. Few-shot examples reduce ambiguity and improve consistency, particularly for subjective criteria. The EAROS anti-pattern fields in criterion definitions serve this purpose and should be populated for all criteria.</w:t>
      </w:r>
    </w:p>
    <w:p>
      <w:pPr>
        <w:pStyle w:val="Heading3"/>
      </w:pPr>
      <w:bookmarkStart w:id="156" w:name="use-decision-trees-for-disambiguation"/>
      <w:r>
        <w:t xml:space="preserve">32.5 Use decision trees for disambiguation</w:t>
      </w:r>
      <w:bookmarkEnd w:id="156"/>
    </w:p>
    <w:p>
      <w:pPr>
        <w:pStyle w:val="FirstParagraph"/>
      </w:pPr>
      <w:r>
        <w:t xml:space="preserve">Structure ambiguous criteria as if/then decision trees rather than open-ended questions. This reduces the interpretive load on the agent and produces more consistent scoring.</w:t>
      </w:r>
    </w:p>
    <w:p>
      <w:pPr>
        <w:pStyle w:val="Heading3"/>
      </w:pPr>
      <w:bookmarkStart w:id="157" w:name="separate-assessment-from-aggregation"/>
      <w:r>
        <w:t xml:space="preserve">32.6 Separate assessment from aggregation</w:t>
      </w:r>
      <w:bookmarkEnd w:id="157"/>
    </w:p>
    <w:p>
      <w:pPr>
        <w:pStyle w:val="FirstParagraph"/>
      </w:pPr>
      <w:r>
        <w:t xml:space="preserve">Score each dimension independently using dedicated prompts, then combine scores using a defined aggregation function. The multi-criteria decomposition approach produces more reliable and explainable results than end-to-end holistic scoring.</w:t>
      </w:r>
    </w:p>
    <w:p>
      <w:pPr>
        <w:pStyle w:val="Heading3"/>
      </w:pPr>
      <w:bookmarkStart w:id="158" w:name="design-for-calibration"/>
      <w:r>
        <w:t xml:space="preserve">32.7 Design for calibration</w:t>
      </w:r>
      <w:bookmarkEnd w:id="158"/>
    </w:p>
    <w:p>
      <w:pPr>
        <w:pStyle w:val="FirstParagraph"/>
      </w:pPr>
      <w:r>
        <w:t xml:space="preserve">Every rubric should be designed with calibration in mind from the start. This means including boundary-case examples, documenting expected score distributions, and defining the inter-rater reliability targets that the rubric must meet before operational deployment.</w:t>
      </w:r>
    </w:p>
    <w:p>
      <w:pPr>
        <w:pStyle w:val="Heading2"/>
      </w:pPr>
      <w:bookmarkStart w:id="159" w:name="references"/>
      <w:r>
        <w:t xml:space="preserve">References</w:t>
      </w:r>
      <w:bookmarkEnd w:id="159"/>
    </w:p>
    <w:p>
      <w:pPr>
        <w:numPr>
          <w:ilvl w:val="0"/>
          <w:numId w:val="1075"/>
        </w:numPr>
        <w:pStyle w:val="Compact"/>
      </w:pPr>
      <w:r>
        <w:rPr>
          <w:b/>
        </w:rPr>
        <w:t xml:space="preserve">[R1] ISO/IEC/IEEE 42010 architecture description overview</w:t>
      </w:r>
      <w:r>
        <w:t xml:space="preserve"> </w:t>
      </w:r>
      <w:r>
        <w:t xml:space="preserve">— ISO Online Browsing Platform. Describes architecture description in terms of stakeholders, concerns, viewpoints, and model kinds.</w:t>
      </w:r>
      <w:r>
        <w:t xml:space="preserve"> </w:t>
      </w:r>
      <w:r>
        <w:t xml:space="preserve">https://www.iso.org/obp/ui/en/</w:t>
      </w:r>
    </w:p>
    <w:p>
      <w:pPr>
        <w:numPr>
          <w:ilvl w:val="0"/>
          <w:numId w:val="1075"/>
        </w:numPr>
        <w:pStyle w:val="Compact"/>
      </w:pPr>
      <w:r>
        <w:rPr>
          <w:b/>
        </w:rPr>
        <w:t xml:space="preserve">[R2] Architecture compliance review overview</w:t>
      </w:r>
      <w:r>
        <w:t xml:space="preserve"> </w:t>
      </w:r>
      <w:r>
        <w:t xml:space="preserve">— The Open Group,</w:t>
      </w:r>
      <w:r>
        <w:t xml:space="preserve"> </w:t>
      </w:r>
      <w:r>
        <w:t xml:space="preserve">“</w:t>
      </w:r>
      <w:r>
        <w:t xml:space="preserve">IT Architecture Compliance.</w:t>
      </w:r>
      <w:r>
        <w:t xml:space="preserve">”</w:t>
      </w:r>
      <w:r>
        <w:t xml:space="preserve"> </w:t>
      </w:r>
      <w:r>
        <w:t xml:space="preserve">Describes architecture compliance review as scrutiny against established architectural criteria, spirit, and business objectives.</w:t>
      </w:r>
      <w:r>
        <w:t xml:space="preserve"> </w:t>
      </w:r>
      <w:r>
        <w:t xml:space="preserve">https://www.opengroup.org/architecture/togaf7-doc/arch/p4/comp/comp.htm</w:t>
      </w:r>
    </w:p>
    <w:p>
      <w:pPr>
        <w:numPr>
          <w:ilvl w:val="0"/>
          <w:numId w:val="1075"/>
        </w:numPr>
        <w:pStyle w:val="Compact"/>
      </w:pPr>
      <w:r>
        <w:rPr>
          <w:b/>
        </w:rPr>
        <w:t xml:space="preserve">[R3] Architecture Tradeoff Analysis Method (ATAM)</w:t>
      </w:r>
      <w:r>
        <w:t xml:space="preserve"> </w:t>
      </w:r>
      <w:r>
        <w:t xml:space="preserve">— Carnegie Mellon SEI. Describes ATAM as a method for evaluating software architectures relative to quality attribute goals and exposing architectural risks and tradeoffs.</w:t>
      </w:r>
      <w:r>
        <w:t xml:space="preserve"> </w:t>
      </w:r>
      <w:r>
        <w:t xml:space="preserve">https://www.sei.cmu.edu/library/architecture-tradeoff-analysis-method-collection/</w:t>
      </w:r>
    </w:p>
    <w:p>
      <w:pPr>
        <w:numPr>
          <w:ilvl w:val="0"/>
          <w:numId w:val="1075"/>
        </w:numPr>
        <w:pStyle w:val="Compact"/>
      </w:pPr>
      <w:r>
        <w:rPr>
          <w:b/>
        </w:rPr>
        <w:t xml:space="preserve">[R4] NIST AI RMF Playbook</w:t>
      </w:r>
      <w:r>
        <w:t xml:space="preserve"> </w:t>
      </w:r>
      <w:r>
        <w:t xml:space="preserve">— NIST AI Resource Center. Describes iterative suggested actions aligned to the AI RMF functions Govern, Map, Measure, and Manage and publishes structured formats such as JSON and CSV.</w:t>
      </w:r>
      <w:r>
        <w:t xml:space="preserve"> </w:t>
      </w:r>
      <w:r>
        <w:t xml:space="preserve">https://airc.nist.gov/airmf-resources/playbook/</w:t>
      </w:r>
    </w:p>
    <w:p>
      <w:pPr>
        <w:numPr>
          <w:ilvl w:val="0"/>
          <w:numId w:val="1075"/>
        </w:numPr>
        <w:pStyle w:val="Compact"/>
      </w:pPr>
      <w:r>
        <w:rPr>
          <w:b/>
        </w:rPr>
        <w:t xml:space="preserve">[R5] ISO/IEC 25010:2023 product quality model</w:t>
      </w:r>
      <w:r>
        <w:t xml:space="preserve"> </w:t>
      </w:r>
      <w:r>
        <w:t xml:space="preserve">— ISO. Defines a product quality model whose characteristics and subcharacteristics provide a reference model for quality to be specified, measured, and evaluated.</w:t>
      </w:r>
      <w:r>
        <w:t xml:space="preserve"> </w:t>
      </w:r>
      <w:r>
        <w:t xml:space="preserve">https://www.iso.org/standard/78176.html</w:t>
      </w:r>
    </w:p>
    <w:p>
      <w:pPr>
        <w:numPr>
          <w:ilvl w:val="0"/>
          <w:numId w:val="1075"/>
        </w:numPr>
        <w:pStyle w:val="Compact"/>
      </w:pPr>
      <w:r>
        <w:rPr>
          <w:b/>
        </w:rPr>
        <w:t xml:space="preserve">[R6] Interrater reliability and kappa</w:t>
      </w:r>
      <w:r>
        <w:t xml:space="preserve"> </w:t>
      </w:r>
      <w:r>
        <w:t xml:space="preserve">— McHugh,</w:t>
      </w:r>
      <w:r>
        <w:t xml:space="preserve"> </w:t>
      </w:r>
      <w:r>
        <w:rPr>
          <w:i/>
        </w:rPr>
        <w:t xml:space="preserve">Biochemia Medica</w:t>
      </w:r>
      <w:r>
        <w:t xml:space="preserve"> </w:t>
      </w:r>
      <w:r>
        <w:t xml:space="preserve">/ PMC. Useful background on kappa as an inter-rater reliability statistic; weighted variants are appropriate when disagreement magnitude matters.</w:t>
      </w:r>
      <w:r>
        <w:t xml:space="preserve"> </w:t>
      </w:r>
      <w:r>
        <w:t xml:space="preserve">https://pmc.ncbi.nlm.nih.gov/articles/PMC3900052/</w:t>
      </w:r>
    </w:p>
    <w:p>
      <w:pPr>
        <w:numPr>
          <w:ilvl w:val="0"/>
          <w:numId w:val="1075"/>
        </w:numPr>
        <w:pStyle w:val="Compact"/>
      </w:pPr>
      <w:r>
        <w:rPr>
          <w:b/>
        </w:rPr>
        <w:t xml:space="preserve">[R7] LLM-Rubric: A Multidimensional, Calibrated Approach to Automated Evaluation of Natural Language Texts</w:t>
      </w:r>
      <w:r>
        <w:t xml:space="preserve"> </w:t>
      </w:r>
      <w:r>
        <w:t xml:space="preserve">— Microsoft Research, ACL 2024. Demonstrates that decomposed, dimension-specific scoring with learned aggregation achieves 2x improvement over uncalibrated LLM judging.</w:t>
      </w:r>
      <w:r>
        <w:t xml:space="preserve"> </w:t>
      </w:r>
      <w:r>
        <w:t xml:space="preserve">https://aclanthology.org/2024.acl-long.745/</w:t>
      </w:r>
    </w:p>
    <w:p>
      <w:pPr>
        <w:numPr>
          <w:ilvl w:val="0"/>
          <w:numId w:val="1075"/>
        </w:numPr>
        <w:pStyle w:val="Compact"/>
      </w:pPr>
      <w:r>
        <w:rPr>
          <w:b/>
        </w:rPr>
        <w:t xml:space="preserve">[R8] RULERS: Locked Rubrics and Evidence-Anchored Scoring for Robust LLM Evaluation</w:t>
      </w:r>
      <w:r>
        <w:t xml:space="preserve"> </w:t>
      </w:r>
      <w:r>
        <w:t xml:space="preserve">— arXiv 2601.08654, January 2026. Addresses prompt instability, unverifiable reasoning, and distributional misalignment through rubric locking and Wasserstein calibration.</w:t>
      </w:r>
      <w:r>
        <w:t xml:space="preserve"> </w:t>
      </w:r>
      <w:r>
        <w:t xml:space="preserve">https://arxiv.org/abs/2601.08654</w:t>
      </w:r>
    </w:p>
    <w:p>
      <w:pPr>
        <w:numPr>
          <w:ilvl w:val="0"/>
          <w:numId w:val="1075"/>
        </w:numPr>
        <w:pStyle w:val="Compact"/>
      </w:pPr>
      <w:r>
        <w:rPr>
          <w:b/>
        </w:rPr>
        <w:t xml:space="preserve">[R9] The Science of Rubric Design</w:t>
      </w:r>
      <w:r>
        <w:t xml:space="preserve"> </w:t>
      </w:r>
      <w:r>
        <w:t xml:space="preserve">— Snorkel AI, 2025. Treats rubrics as models for goal alignment and inter-rater agreement, measured using Cohen’s kappa, QWK, and ICC.</w:t>
      </w:r>
      <w:r>
        <w:t xml:space="preserve"> </w:t>
      </w:r>
      <w:r>
        <w:t xml:space="preserve">https://snorkel.ai/blog/the-science-of-rubric-design/</w:t>
      </w:r>
    </w:p>
    <w:p>
      <w:pPr>
        <w:numPr>
          <w:ilvl w:val="0"/>
          <w:numId w:val="1075"/>
        </w:numPr>
        <w:pStyle w:val="Compact"/>
      </w:pPr>
      <w:r>
        <w:rPr>
          <w:b/>
        </w:rPr>
        <w:t xml:space="preserve">[R10] Confusion-Aware Rubric Optimization (CARO)</w:t>
      </w:r>
      <w:r>
        <w:t xml:space="preserve"> </w:t>
      </w:r>
      <w:r>
        <w:t xml:space="preserve">— arXiv, March 2026. Systematically identifies and resolves rubric ambiguity through targeted rule patches.</w:t>
      </w:r>
      <w:r>
        <w:t xml:space="preserve"> </w:t>
      </w:r>
      <w:r>
        <w:t xml:space="preserve">https://arxiv.org/html/2603.00451</w:t>
      </w:r>
    </w:p>
    <w:p>
      <w:pPr>
        <w:numPr>
          <w:ilvl w:val="0"/>
          <w:numId w:val="1075"/>
        </w:numPr>
        <w:pStyle w:val="Compact"/>
      </w:pPr>
      <w:r>
        <w:rPr>
          <w:b/>
        </w:rPr>
        <w:t xml:space="preserve">[R11] Accelerate AWS Well-Architected Reviews with Generative AI</w:t>
      </w:r>
      <w:r>
        <w:t xml:space="preserve"> </w:t>
      </w:r>
      <w:r>
        <w:t xml:space="preserve">— AWS Machine Learning Blog. Production-validated pattern for automated architecture assessment using Amazon Bedrock.</w:t>
      </w:r>
      <w:r>
        <w:t xml:space="preserve"> </w:t>
      </w:r>
      <w:r>
        <w:t xml:space="preserve">https://aws.amazon.com/blogs/machine-learning/accelerate-aws-well-architected-reviews-with-generative-ai/</w:t>
      </w:r>
    </w:p>
    <w:p>
      <w:pPr>
        <w:numPr>
          <w:ilvl w:val="0"/>
          <w:numId w:val="1075"/>
        </w:numPr>
        <w:pStyle w:val="Compact"/>
      </w:pPr>
      <w:r>
        <w:rPr>
          <w:b/>
        </w:rPr>
        <w:t xml:space="preserve">[R12] A Systematic Literature Review of EA Evaluation Methods</w:t>
      </w:r>
      <w:r>
        <w:t xml:space="preserve"> </w:t>
      </w:r>
      <w:r>
        <w:t xml:space="preserve">— ACM Computing Surveys, 2024. Analyses 109 articles, concluding that automation is the critical adoption factor.</w:t>
      </w:r>
      <w:r>
        <w:t xml:space="preserve"> </w:t>
      </w:r>
      <w:r>
        <w:t xml:space="preserve">https://dl.acm.org/doi/full/10.1145/3706582</w:t>
      </w:r>
    </w:p>
    <w:p>
      <w:pPr>
        <w:numPr>
          <w:ilvl w:val="0"/>
          <w:numId w:val="1075"/>
        </w:numPr>
        <w:pStyle w:val="Compact"/>
      </w:pPr>
      <w:r>
        <w:rPr>
          <w:b/>
        </w:rPr>
        <w:t xml:space="preserve">[R13] AutoRubric: A Unified Framework for Rubric-Based LLM Evaluation</w:t>
      </w:r>
      <w:r>
        <w:t xml:space="preserve"> </w:t>
      </w:r>
      <w:r>
        <w:t xml:space="preserve">— arXiv, 2026.</w:t>
      </w:r>
      <w:r>
        <w:t xml:space="preserve"> </w:t>
      </w:r>
      <w:r>
        <w:t xml:space="preserve">https://arxiv.org/html/2603.00077v1</w:t>
      </w:r>
    </w:p>
    <w:p>
      <w:pPr>
        <w:numPr>
          <w:ilvl w:val="0"/>
          <w:numId w:val="1075"/>
        </w:numPr>
        <w:pStyle w:val="Compact"/>
      </w:pPr>
      <w:r>
        <w:rPr>
          <w:b/>
        </w:rPr>
        <w:t xml:space="preserve">[R14] ArchiMate Model Exchange File Format</w:t>
      </w:r>
      <w:r>
        <w:t xml:space="preserve"> </w:t>
      </w:r>
      <w:r>
        <w:t xml:space="preserve">— The Open Group. XML-based standard with validating XSD schemas for architecture model exchange.</w:t>
      </w:r>
      <w:r>
        <w:t xml:space="preserve"> </w:t>
      </w:r>
      <w:r>
        <w:t xml:space="preserve">https://www.opengroup.org/open-group-archimate-model-exchange-file-format</w:t>
      </w:r>
    </w:p>
    <w:p>
      <w:pPr>
        <w:numPr>
          <w:ilvl w:val="0"/>
          <w:numId w:val="1075"/>
        </w:numPr>
        <w:pStyle w:val="Compact"/>
      </w:pPr>
      <w:r>
        <w:rPr>
          <w:b/>
        </w:rPr>
        <w:t xml:space="preserve">[R15] Demystifying Evals for AI Agents</w:t>
      </w:r>
      <w:r>
        <w:t xml:space="preserve"> </w:t>
      </w:r>
      <w:r>
        <w:t xml:space="preserve">— Anthropic Engineering Blog. Practical guidance on evaluation methodology for AI agent systems.</w:t>
      </w:r>
      <w:r>
        <w:t xml:space="preserve"> </w:t>
      </w:r>
      <w:r>
        <w:t xml:space="preserve">https://www.anthropic.com/engineering/demystifying-evals-for-ai-agents</w:t>
      </w:r>
    </w:p>
    <w:p>
      <w:pPr>
        <w:numPr>
          <w:ilvl w:val="0"/>
          <w:numId w:val="1075"/>
        </w:numPr>
        <w:pStyle w:val="Compact"/>
      </w:pPr>
      <w:r>
        <w:rPr>
          <w:b/>
        </w:rPr>
        <w:t xml:space="preserve">[R16] AI for Software Architecture: Literature Review and Road Ahead</w:t>
      </w:r>
      <w:r>
        <w:t xml:space="preserve"> </w:t>
      </w:r>
      <w:r>
        <w:t xml:space="preserve">— arXiv, April 2025. Confirms that AI-assisted architecture evaluation remains largely manual with promising emerging capabilities.</w:t>
      </w:r>
      <w:r>
        <w:t xml:space="preserve"> </w:t>
      </w:r>
      <w:r>
        <w:t xml:space="preserve">https://arxiv.org/html/2504.04334v1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Rubric Operational Standard (EAROS) v2.0</dc:title>
  <dc:creator>Thomas Rohde</dc:creator>
  <cp:keywords/>
  <dcterms:created xsi:type="dcterms:W3CDTF">2026-03-18T19:59:28Z</dcterms:created>
  <dcterms:modified xsi:type="dcterms:W3CDTF">2026-03-18T19:59:28Z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