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02346"/>
          <w:sz w:val="48"/>
          <w:szCs w:val="48"/>
        </w:rPr>
        <w:t xml:space="preserve">Reference Architecture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36"/>
          <w:szCs w:val="36"/>
        </w:rPr>
        <w:t xml:space="preserve">[Architecture Name]</w:t>
      </w:r>
    </w:p>
    <w:p>
      <w:pPr>
        <w:pBdr>
          <w:bottom w:val="single" w:color="B48C41" w:sz="6"/>
        </w:pBdr>
        <w:spacing w:after="200"/>
        <w:jc w:val="center"/>
      </w:pP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Reference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[e.g. 1.0.0]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[Draft / Review / Approved / Deprecated]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[Name and role]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[Architecture owner]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Last Modified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[Business or technical domain]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[Target platform, e.g. AWS, Azure, Kubernetes]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Continuum Position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[Foundation / Common / Industry / Organisation-specific]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[Public / Internal / Confidential]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EAROS 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EAROS-REFARCH-001 v2.0.0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EB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Applicable Overlays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[e.g. Security, Regulatory]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pStyle w:val="Heading2"/>
      </w:pPr>
      <w:r>
        <w:rPr>
          <w:b/>
          <w:bCs/>
        </w:rPr>
        <w:t xml:space="preserve">1.1 Purpose and Scope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D6D03"/>
          <w:sz w:val="20"/>
          <w:szCs w:val="20"/>
        </w:rPr>
        <w:t xml:space="preserve">[MAJOR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section maps to EAROS Core criterion STK-01 (Stakeholder and purpose fit) — MAJOR GATE.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State the purpose of this reference architecture. What class of systems does it cover? What decision does it support? Why does it exist?]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the purpose and scope of this reference architecture. What type of business application or system does it standardise? What problems does it solve for implementing teams?]</w:t>
      </w:r>
    </w:p>
    <w:p>
      <w:pPr>
        <w:pStyle w:val="Heading2"/>
      </w:pPr>
      <w:r>
        <w:rPr>
          <w:b/>
          <w:bCs/>
        </w:rPr>
        <w:t xml:space="preserve">1.2 Target Audience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List the audiences and what each needs from this document. Reference architectures serve multiple audiences simultaneously.]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Need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/ Business Sponsor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Value proposition, cost model]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Sections 1, 2]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 Architect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Component model, decision points]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Sections 3, 5]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API contracts, starter kit]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Sections 3, 8]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/ SRE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Monitoring, scaling, runbooks]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Section 7]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/ Compliance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Threat model, control mapping]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Sections 4.1, 9.1]</w:t>
            </w:r>
          </w:p>
        </w:tc>
      </w:tr>
    </w:tbl>
    <w:p>
      <w:pPr>
        <w:pStyle w:val="Heading2"/>
      </w:pPr>
      <w:r>
        <w:rPr>
          <w:b/>
          <w:bCs/>
        </w:rPr>
        <w:t xml:space="preserve">1.3 Continuum Position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State where this architecture sits on TOGAF's Enterprise Continuum. This tells consumers how much adaptation is expected.]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[This reference architecture sits at the [Foundation / Common Systems / Industry / Organisation-Specific] level. Teams should expect to [use as-is / adapt moderately / extend significantly] when applying it to specific solutions.]</w:t>
      </w:r>
    </w:p>
    <w:p>
      <w:pPr>
        <w:pStyle w:val="Heading2"/>
      </w:pPr>
      <w:r>
        <w:rPr>
          <w:b/>
          <w:bCs/>
        </w:rPr>
        <w:t xml:space="preserve">1.4 Relationship to Other Architectures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List related reference architectures, standards, and how this one relates to them.]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[List reference architectures this extends, replaces, or complements.]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Business Context</w:t>
      </w:r>
    </w:p>
    <w:p>
      <w:pPr>
        <w:pStyle w:val="Heading2"/>
      </w:pPr>
      <w:r>
        <w:rPr>
          <w:b/>
          <w:bCs/>
        </w:rPr>
        <w:t xml:space="preserve">2.1 Business Drivers and Goals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D6D03"/>
          <w:sz w:val="20"/>
          <w:szCs w:val="20"/>
        </w:rPr>
        <w:t xml:space="preserve">[MAJOR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section maps to EAROS Core criterion TRC-01 (Traceability) — MAJOR GATE.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What business needs drive this architecture? Link each driver to architectural consequences.]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[List 3-7 business drivers with their architectural implications.]</w:t>
      </w:r>
    </w:p>
    <w:p>
      <w:pPr>
        <w:pStyle w:val="Heading2"/>
      </w:pPr>
      <w:r>
        <w:rPr>
          <w:b/>
          <w:bCs/>
        </w:rPr>
        <w:t xml:space="preserve">2.2 Use Cases and Scenarios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Describe the primary use cases this architecture supports. Include both happy-path and edge cases.]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3-5 primary use cases showing how the architecture serves real business scenarios.]</w:t>
      </w:r>
    </w:p>
    <w:p>
      <w:pPr>
        <w:pStyle w:val="Heading2"/>
      </w:pPr>
      <w:r>
        <w:rPr>
          <w:b/>
          <w:bCs/>
        </w:rPr>
        <w:t xml:space="preserve">2.3 Constraints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302F"/>
          <w:sz w:val="20"/>
          <w:szCs w:val="20"/>
        </w:rPr>
        <w:t xml:space="preserve">[CRITICAL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section maps to EAROS Core criterion SCP-01 (Scope and boundary clarity) — CRITICAL GATE.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Document technical, organisational, regulatory, and budgetary constraints that shape the architecture.]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[List all constraints with their source and impact on architectural decisions.]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Architecture Views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D6D03"/>
          <w:sz w:val="20"/>
          <w:szCs w:val="20"/>
        </w:rPr>
        <w:t xml:space="preserve">[MAJOR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section maps to EAROS profile criterion RA-VIEW-01 — MAJOR GATE. Must include context, functional, deployment, and data flow views.</w:t>
      </w:r>
    </w:p>
    <w:p>
      <w:pPr>
        <w:pStyle w:val="Heading2"/>
      </w:pPr>
      <w:r>
        <w:rPr>
          <w:b/>
          <w:bCs/>
        </w:rPr>
        <w:t xml:space="preserve">3.1 Context View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C4 Level 1 diagram showing the system in its environment. Show users, external systems, and key interactions. Every element must be labelled with name and brief description.]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[[Insert context diagram here — C4 System Context or equivalent]]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each external actor and system shown in the context diagram.]</w:t>
      </w:r>
    </w:p>
    <w:p>
      <w:pPr>
        <w:pStyle w:val="Heading2"/>
      </w:pPr>
      <w:r>
        <w:rPr>
          <w:b/>
          <w:bCs/>
        </w:rPr>
        <w:t xml:space="preserve">3.2 Functional View (Container/Building Block)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C4 Level 2 diagram showing the major runtime units. For each container, state: name, technology, responsibility, and interfaces.]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[[Insert container/functional diagram here]]</w:t>
      </w:r>
    </w:p>
    <w:p>
      <w:pPr>
        <w:pStyle w:val="Heading3"/>
      </w:pPr>
      <w:r>
        <w:rPr>
          <w:b/>
          <w:bCs/>
        </w:rPr>
        <w:t xml:space="preserve">3.2.1 Component Catalog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Structured catalog of all components. This enables automated assessment.]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Mandate Level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[Service/DB/Queue/etc]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Java 21, PostgreSQL 16]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[What it does]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[APIs, events, protocols]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[Mandatory/Recommended/Optional]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[Type]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[Technology]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[Responsibility]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[Interfaces]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[Mandate Level]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Data Flow View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Numbered step-by-step walkthrough of how data moves through the system for key scenarios. This is one of the most valuable sections — all three major cloud providers include this.]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[[Insert data flow diagram with numbered annotations]]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[Walk through each numbered step: 1. User submits request via... 2. API Gateway routes to... etc.]</w:t>
      </w:r>
    </w:p>
    <w:p>
      <w:pPr>
        <w:pStyle w:val="Heading2"/>
      </w:pPr>
      <w:r>
        <w:rPr>
          <w:b/>
          <w:bCs/>
        </w:rPr>
        <w:t xml:space="preserve">3.4 Deployment View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Infrastructure topology showing where components run. Include environments (dev, staging, prod), regions/AZs, networking, and scaling configurations.]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[[Insert deployment topology diagram]]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the deployment topology, including environments, regions, and infrastructure components.]</w:t>
      </w:r>
    </w:p>
    <w:p>
      <w:pPr>
        <w:pStyle w:val="Heading2"/>
      </w:pPr>
      <w:r>
        <w:rPr>
          <w:b/>
          <w:bCs/>
        </w:rPr>
        <w:t xml:space="preserve">3.5 Security View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Threat model, security controls, and compliance mapping. This section is critical for the Security Overlay assessment.]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[[Insert threat model diagram or security architecture view]]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[Document: authentication/authorisation model, encryption (at rest and in transit), network security, secrets management, and compliance control mapping.]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Crosscutting Concerns</w:t>
      </w:r>
    </w:p>
    <w:p>
      <w:pPr>
        <w:pStyle w:val="Heading2"/>
      </w:pPr>
      <w:r>
        <w:rPr>
          <w:b/>
          <w:bCs/>
        </w:rPr>
        <w:t xml:space="preserve">4.1 Security and Identity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302F"/>
          <w:sz w:val="20"/>
          <w:szCs w:val="20"/>
        </w:rPr>
        <w:t xml:space="preserve">[CRITICAL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Core criterion CMP-01 (Standards compliance) — CRITICAL GATE when security controls are mandatory.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authentication model, authorisation approach, encryption standards, secrets management, and security scanning.]</w:t>
      </w:r>
    </w:p>
    <w:p>
      <w:pPr>
        <w:pStyle w:val="Heading2"/>
      </w:pPr>
      <w:r>
        <w:rPr>
          <w:b/>
          <w:bCs/>
        </w:rPr>
        <w:t xml:space="preserve">4.2 Observability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Logging, monitoring, tracing, and alerting strategy. Be specific about tools and configurations.]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structured logging format, metrics collection, distributed tracing, dashboard templates, alerting rules.]</w:t>
      </w:r>
    </w:p>
    <w:p>
      <w:pPr>
        <w:pStyle w:val="Heading2"/>
      </w:pPr>
      <w:r>
        <w:rPr>
          <w:b/>
          <w:bCs/>
        </w:rPr>
        <w:t xml:space="preserve">4.3 Resilience and Fault Tolerance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circuit breakers, retry policies, bulkheads, graceful degradation, health checks.]</w:t>
      </w:r>
    </w:p>
    <w:p>
      <w:pPr>
        <w:pStyle w:val="Heading2"/>
      </w:pPr>
      <w:r>
        <w:rPr>
          <w:b/>
          <w:bCs/>
        </w:rPr>
        <w:t xml:space="preserve">4.4 Data Management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data ownership model, consistency strategy, caching, data lifecycle, backup/restore.]</w:t>
      </w:r>
    </w:p>
    <w:p>
      <w:pPr>
        <w:pStyle w:val="Heading2"/>
      </w:pPr>
      <w:r>
        <w:rPr>
          <w:b/>
          <w:bCs/>
        </w:rPr>
        <w:t xml:space="preserve">4.5 Integration Patterns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synchronous vs asynchronous communication, event schemas, API versioning, backward compatibility.]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Architecture Decisions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D6D03"/>
          <w:sz w:val="20"/>
          <w:szCs w:val="20"/>
        </w:rPr>
        <w:t xml:space="preserve">[MAJOR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profile criterion RA-DEC-01 — MAJOR GATE. Key decisions must include context, options, and rationale.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Document each key decision using the ADR format. Include at least 5 key decisions. Each must discuss alternatives considered and trade-offs accepted.]</w:t>
      </w:r>
    </w:p>
    <w:p>
      <w:pPr>
        <w:pStyle w:val="Heading2"/>
      </w:pPr>
      <w:r>
        <w:rPr>
          <w:b/>
          <w:bCs/>
        </w:rPr>
        <w:t xml:space="preserve">5.1 Decision Record Template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Use this template for each decision. Store as individual ADR files in the repository.]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[ADR-NNN]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[Short decision title]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[Proposed / Accepted / Deprecated / Superseded]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[Why this decision is needed — business or technical driver]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Options Considered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 all options evaluated with pros/cons]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[The chosen option]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Rationale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[Why this option was selected]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Trade-offs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[What we give up with this choice]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Consequences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[Positive and negative outcomes]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Revisit Triggers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[Conditions that should trigger re-evaluation]</w:t>
            </w:r>
          </w:p>
        </w:tc>
      </w:tr>
    </w:tbl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[[Document 5+ key architecture decisions using the template above]]</w:t>
      </w:r>
    </w:p>
    <w:p>
      <w:pPr>
        <w:pStyle w:val="Heading2"/>
      </w:pPr>
      <w:r>
        <w:rPr>
          <w:b/>
          <w:bCs/>
        </w:rPr>
        <w:t xml:space="preserve">5.2 Prescriptiveness Classification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673C3"/>
          <w:sz w:val="20"/>
          <w:szCs w:val="20"/>
        </w:rPr>
        <w:t xml:space="preserve">[REQUIREMENT]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profile criterion RA-DEC-02. Classify which elements are fixed vs configurable.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Clearly state what is mandatory, recommended, and optional. This helps teams understand where they have discretion.]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/ Pattern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Deviation Requires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[Component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[Mandatory / Recommended / Optional]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[Why this classification]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ARB approval / Team decision / N/A]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Quality Attributes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D6D03"/>
          <w:sz w:val="20"/>
          <w:szCs w:val="20"/>
        </w:rPr>
        <w:t xml:space="preserve">[MAJOR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profile criterion RA-QA-01 — MAJOR GATE. Quality attributes must have measurable targets.</w:t>
      </w:r>
    </w:p>
    <w:p>
      <w:pPr>
        <w:pStyle w:val="Heading2"/>
      </w:pPr>
      <w:r>
        <w:rPr>
          <w:b/>
          <w:bCs/>
        </w:rPr>
        <w:t xml:space="preserve">6.1 Quality Attribute Requirements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Define each quality attribute with measurable targets. Use TOGAF quality attribute scenario format where possible.]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Approach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99.95% monthly]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[Synthetic probes every 30s]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[Chaos testing quarterly]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(P99)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&lt; 200ms]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[APM instrumentation]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[Load testing with 10K users]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5000 TPS sustained]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[Metrics dashboard]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[Performance test in staging]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SOC 2 Type II]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[Annual audit]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[Penetration testing quarterly]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Recovery (RTO/RPO)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RTO 4h, RPO 1h]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[DR test results]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[DR drill semi-annually]</w:t>
            </w:r>
          </w:p>
        </w:tc>
      </w:tr>
    </w:tbl>
    <w:p>
      <w:pPr>
        <w:pStyle w:val="Heading2"/>
      </w:pPr>
      <w:r>
        <w:rPr>
          <w:b/>
          <w:bCs/>
        </w:rPr>
        <w:t xml:space="preserve">6.2 SLO Definitions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[Define Service Level Objectives with error budgets for each critical path.]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Operational Model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ED6D03"/>
          <w:sz w:val="20"/>
          <w:szCs w:val="20"/>
        </w:rPr>
        <w:t xml:space="preserve">[MAJOR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profile criterion RA-OPS-01 — MAJOR GATE. Must address monitoring, scaling, and DR.</w:t>
      </w:r>
    </w:p>
    <w:p>
      <w:pPr>
        <w:pStyle w:val="Heading2"/>
      </w:pPr>
      <w:r>
        <w:rPr>
          <w:b/>
          <w:bCs/>
        </w:rPr>
        <w:t xml:space="preserve">7.1 Deployment Strategy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deployment method (blue/green, canary, rolling), environments, promotion process.]</w:t>
      </w:r>
    </w:p>
    <w:p>
      <w:pPr>
        <w:pStyle w:val="Heading2"/>
      </w:pPr>
      <w:r>
        <w:rPr>
          <w:b/>
          <w:bCs/>
        </w:rPr>
        <w:t xml:space="preserve">7.2 CI/CD Pipeline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the standard CI/CD pipeline including: build, test, security scan, deploy, smoke test stages.]</w:t>
      </w:r>
    </w:p>
    <w:p>
      <w:pPr>
        <w:pStyle w:val="Heading2"/>
      </w:pPr>
      <w:r>
        <w:rPr>
          <w:b/>
          <w:bCs/>
        </w:rPr>
        <w:t xml:space="preserve">7.3 Monitoring and Alerting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metrics to collect, dashboard layout, alerting rules, escalation policy, on-call rotation.]</w:t>
      </w:r>
    </w:p>
    <w:p>
      <w:pPr>
        <w:pStyle w:val="Heading2"/>
      </w:pPr>
      <w:r>
        <w:rPr>
          <w:b/>
          <w:bCs/>
        </w:rPr>
        <w:t xml:space="preserve">7.4 Scaling Policies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auto-scaling triggers and targets, capacity planning approach, cost guardrails.]</w:t>
      </w:r>
    </w:p>
    <w:p>
      <w:pPr>
        <w:pStyle w:val="Heading2"/>
      </w:pPr>
      <w:r>
        <w:rPr>
          <w:b/>
          <w:bCs/>
        </w:rPr>
        <w:t xml:space="preserve">7.5 Disaster Recovery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[Describe: DR strategy, RTO/RPO targets, failover procedures, backup strategy, DR testing schedule.]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Implementation Guidance (Golden Path)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673C3"/>
          <w:sz w:val="20"/>
          <w:szCs w:val="20"/>
        </w:rPr>
        <w:t xml:space="preserve">[REQUIREMENT]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profile criteria RA-IMP-01 and RA-IMP-02. Implementation artefacts should exist.</w:t>
      </w:r>
    </w:p>
    <w:p>
      <w:pPr>
        <w:pStyle w:val="Heading2"/>
      </w:pPr>
      <w:r>
        <w:rPr>
          <w:b/>
          <w:bCs/>
        </w:rPr>
        <w:t xml:space="preserve">8.1 Getting Started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Write a step-by-step guide for a team adopting this reference architecture for the first time. Target: first deployment in hours, not days.]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[Step-by-step getting started guide with prerequisites, estimated time, and troubleshooting.]</w:t>
      </w:r>
    </w:p>
    <w:p>
      <w:pPr>
        <w:pStyle w:val="Heading2"/>
      </w:pPr>
      <w:r>
        <w:rPr>
          <w:b/>
          <w:bCs/>
        </w:rPr>
        <w:t xml:space="preserve">8.2 Repository Structure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Define the standard repository layout for implementations based on this architecture.]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[Document the expected repository structure with explanation of each directory.]</w:t>
      </w:r>
    </w:p>
    <w:p>
      <w:pPr>
        <w:pStyle w:val="Heading2"/>
      </w:pPr>
      <w:r>
        <w:rPr>
          <w:b/>
          <w:bCs/>
        </w:rPr>
        <w:t xml:space="preserve">8.3 Infrastructure-as-Code Templates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[List and describe IaC templates provided (Terraform modules, CDK constructs, Bicep templates, etc.).]</w:t>
      </w:r>
    </w:p>
    <w:p>
      <w:pPr>
        <w:pStyle w:val="Heading2"/>
      </w:pPr>
      <w:r>
        <w:rPr>
          <w:b/>
          <w:bCs/>
        </w:rPr>
        <w:t xml:space="preserve">8.4 API Specifications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[Provide or reference OpenAPI/AsyncAPI specifications for key service interfaces.]</w:t>
      </w:r>
    </w:p>
    <w:p>
      <w:pPr>
        <w:pStyle w:val="Heading2"/>
      </w:pPr>
      <w:r>
        <w:rPr>
          <w:b/>
          <w:bCs/>
        </w:rPr>
        <w:t xml:space="preserve">8.5 Migration Path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[For teams with existing systems, describe the recommended migration approach.]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Governance and Compliance</w:t>
      </w:r>
    </w:p>
    <w:p>
      <w:pPr>
        <w:pStyle w:val="Heading2"/>
      </w:pPr>
      <w:r>
        <w:rPr>
          <w:b/>
          <w:bCs/>
        </w:rPr>
        <w:t xml:space="preserve">9.1 Standards and Compliance Mapping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D3302F"/>
          <w:sz w:val="20"/>
          <w:szCs w:val="20"/>
        </w:rPr>
        <w:t xml:space="preserve">[CRITICAL GATE]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Core criterion CMP-01 — CRITICAL GATE.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/ Regulation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Architecture Addresses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[e.g. PCI-DSS 4.0]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[Requirement description]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[Architecture control]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[Where to find evidence]</w:t>
            </w:r>
          </w:p>
        </w:tc>
      </w:tr>
    </w:tbl>
    <w:p>
      <w:pPr>
        <w:pStyle w:val="Heading2"/>
      </w:pPr>
      <w:r>
        <w:rPr>
          <w:b/>
          <w:bCs/>
        </w:rPr>
        <w:t xml:space="preserve">9.2 Known Risks and Technical Debt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673C3"/>
          <w:sz w:val="20"/>
          <w:szCs w:val="20"/>
        </w:rPr>
        <w:t xml:space="preserve">[REQUIREMENT]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Core criterion RAT-01 (Risks, assumptions, constraints, tradeoffs).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/ Debt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[R-001]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[Description]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[H/M/L]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[H/M/L]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[Mitigation strategy]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[Owner]</w:t>
            </w:r>
          </w:p>
        </w:tc>
      </w:tr>
    </w:tbl>
    <w:p>
      <w:pPr>
        <w:pStyle w:val="Heading2"/>
      </w:pPr>
      <w:r>
        <w:rPr>
          <w:b/>
          <w:bCs/>
        </w:rPr>
        <w:t xml:space="preserve">9.3 Evolution Roadmap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673C3"/>
          <w:sz w:val="20"/>
          <w:szCs w:val="20"/>
        </w:rPr>
        <w:t xml:space="preserve">[REQUIREMENT]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profile criterion RA-REU-01.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[Describe planned improvements, known limitations to address, and timeline for next version.]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Glossary and References</w:t>
      </w:r>
    </w:p>
    <w:p>
      <w:pPr>
        <w:pStyle w:val="Heading2"/>
      </w:pPr>
      <w:r>
        <w:rPr>
          <w:b/>
          <w:bCs/>
        </w:rPr>
        <w:t xml:space="preserve">10.1 Domain Terms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4673C3"/>
          <w:sz w:val="20"/>
          <w:szCs w:val="20"/>
        </w:rPr>
        <w:t xml:space="preserve">[REQUIREMENT]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Maps to EAROS Core criterion CON-01 (Internal consistency). Consistent terminology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[Term]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[Definition]</w:t>
            </w:r>
          </w:p>
        </w:tc>
      </w:tr>
    </w:tbl>
    <w:p>
      <w:pPr>
        <w:pStyle w:val="Heading2"/>
      </w:pPr>
      <w:r>
        <w:rPr>
          <w:b/>
          <w:bCs/>
        </w:rPr>
        <w:t xml:space="preserve">10.2 External References</w:t>
      </w:r>
    </w:p>
    <w:p>
      <w:pPr>
        <w:shd w:fill="FFF9E6" w:val="clear"/>
        <w:spacing w:after="10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[List external standards, specifications, and documentation referenced by this architecture.]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Appendix: EAROS Assessment Mapping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[GUIDANCE: This appendix maps each section of this template to the EAROS criteria that will be used to assess it. Use this to ensure your reference architecture is assessment-ready.]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EAROS 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34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Assessors Look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 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STK-01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Named stakeholders, decision purpose, review context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STK-02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Concern-to-view mapping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 Constraints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SCP-01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Scope, boundaries, assumptions, exclusions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2.1 Drivers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TRC-01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drivers traceably connected to architecture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Views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RA-VIEW-01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Context, functional, deployment, data flow views present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Diagrams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RA-VIEW-02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Machine-readable diagrams or element catalog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 Decisions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RA-DEC-01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ADRs with context, options, rationale, trade-offs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5.2 Prescriptiveness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RA-DEC-02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Mandatory/recommended/optional 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RA-QA-01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Measurable quality targets with validation approaches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RA-OPS-01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Monitoring, scaling, DR guidance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Implementation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RA-IMP-01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IaC templates, API specs, starter kits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8.1 Getting started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RA-IMP-02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guide, time to first deployment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9.1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CMP-01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Standards mapping with 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9.2 Risks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Risks, assumptions, constraints, trade-offs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9.3 Evolution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RA-REU-01 (Profile)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Versioning, change log, evolution roadmap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 Glossary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Consistent terminology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sections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Actionable without major reinterpretation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MNT-01 (Core)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Ownership, update expectations, provenance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8C41" w:sz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Reference Architecture Template</w:t>
    </w:r>
    <w:r>
      <w:rPr>
        <w:rFonts w:ascii="Arial" w:cs="Arial" w:eastAsia="Arial" w:hAnsi="Arial"/>
        <w:color w:val="B48C41"/>
        <w:sz w:val="16"/>
        <w:szCs w:val="16"/>
      </w:rPr>
      <w:t xml:space="preserve">  |  EAROS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234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234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673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2026-03-18T20:52:50.416Z</dcterms:created>
  <dcterms:modified xsi:type="dcterms:W3CDTF">2026-03-18T20:52:50.417Z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