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2"/>
        <w:gridCol w:w="1813"/>
      </w:tblGrid>
      <w:tr w:rsidR="00693BC1" w:rsidRPr="00693BC1" w14:paraId="02F88A21" w14:textId="77777777" w:rsidTr="00746088">
        <w:trPr>
          <w:tblHeader/>
          <w:tblCellSpacing w:w="15" w:type="dxa"/>
        </w:trPr>
        <w:tc>
          <w:tcPr>
            <w:tcW w:w="1767" w:type="dxa"/>
            <w:vAlign w:val="center"/>
            <w:hideMark/>
          </w:tcPr>
          <w:p w14:paraId="04B76197" w14:textId="77777777" w:rsidR="00693BC1" w:rsidRPr="00693BC1" w:rsidRDefault="00693BC1" w:rsidP="00693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Fichier</w:t>
            </w:r>
          </w:p>
        </w:tc>
        <w:tc>
          <w:tcPr>
            <w:tcW w:w="1782" w:type="dxa"/>
            <w:vAlign w:val="center"/>
            <w:hideMark/>
          </w:tcPr>
          <w:p w14:paraId="0A2799A7" w14:textId="77777777" w:rsidR="00693BC1" w:rsidRPr="00693BC1" w:rsidRDefault="00693BC1" w:rsidP="00693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Source</w:t>
            </w:r>
          </w:p>
        </w:tc>
        <w:tc>
          <w:tcPr>
            <w:tcW w:w="1783" w:type="dxa"/>
            <w:vAlign w:val="center"/>
            <w:hideMark/>
          </w:tcPr>
          <w:p w14:paraId="2C3E4D32" w14:textId="77777777" w:rsidR="00693BC1" w:rsidRPr="00693BC1" w:rsidRDefault="00693BC1" w:rsidP="00693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Type de variable</w:t>
            </w:r>
          </w:p>
        </w:tc>
        <w:tc>
          <w:tcPr>
            <w:tcW w:w="1782" w:type="dxa"/>
            <w:vAlign w:val="center"/>
            <w:hideMark/>
          </w:tcPr>
          <w:p w14:paraId="6D245379" w14:textId="77777777" w:rsidR="00693BC1" w:rsidRPr="00693BC1" w:rsidRDefault="00693BC1" w:rsidP="00693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Catégorie PESTEL</w:t>
            </w:r>
          </w:p>
        </w:tc>
        <w:tc>
          <w:tcPr>
            <w:tcW w:w="1768" w:type="dxa"/>
            <w:vAlign w:val="center"/>
            <w:hideMark/>
          </w:tcPr>
          <w:p w14:paraId="25A340C5" w14:textId="77777777" w:rsidR="00693BC1" w:rsidRPr="00693BC1" w:rsidRDefault="00693BC1" w:rsidP="00693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Description</w:t>
            </w:r>
          </w:p>
        </w:tc>
      </w:tr>
      <w:tr w:rsidR="00693BC1" w:rsidRPr="00693BC1" w14:paraId="12261BCA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13D7CF2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API_LP.LPI.OVRL.XQ_DS2_en_csv_v2...csv</w:t>
            </w:r>
          </w:p>
        </w:tc>
        <w:tc>
          <w:tcPr>
            <w:tcW w:w="1782" w:type="dxa"/>
            <w:vAlign w:val="center"/>
            <w:hideMark/>
          </w:tcPr>
          <w:p w14:paraId="59340495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</w:t>
            </w:r>
          </w:p>
        </w:tc>
        <w:tc>
          <w:tcPr>
            <w:tcW w:w="1783" w:type="dxa"/>
            <w:vAlign w:val="center"/>
            <w:hideMark/>
          </w:tcPr>
          <w:p w14:paraId="3BA0B60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Indice de performance logistique</w:t>
            </w:r>
          </w:p>
        </w:tc>
        <w:tc>
          <w:tcPr>
            <w:tcW w:w="1782" w:type="dxa"/>
            <w:vAlign w:val="center"/>
            <w:hideMark/>
          </w:tcPr>
          <w:p w14:paraId="1F74D61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T – Technologique / Économique</w:t>
            </w:r>
          </w:p>
        </w:tc>
        <w:tc>
          <w:tcPr>
            <w:tcW w:w="1768" w:type="dxa"/>
            <w:vAlign w:val="center"/>
            <w:hideMark/>
          </w:tcPr>
          <w:p w14:paraId="6046AB4A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Évalue la qualité des infrastructures logistiques (transport, douanes, délais, etc.) sur une échelle de 1 à 5. Indique la capacité d’un pays à importer/exporter efficacement.</w:t>
            </w:r>
          </w:p>
        </w:tc>
      </w:tr>
      <w:tr w:rsidR="00693BC1" w:rsidRPr="00693BC1" w14:paraId="5D7ABA2E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5B04C90E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API_NY.GDP.PCAP.PP.CD_DS2_en_csv_v2...csv</w:t>
            </w:r>
          </w:p>
        </w:tc>
        <w:tc>
          <w:tcPr>
            <w:tcW w:w="1782" w:type="dxa"/>
            <w:vAlign w:val="center"/>
            <w:hideMark/>
          </w:tcPr>
          <w:p w14:paraId="61A2128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</w:t>
            </w:r>
          </w:p>
        </w:tc>
        <w:tc>
          <w:tcPr>
            <w:tcW w:w="1783" w:type="dxa"/>
            <w:vAlign w:val="center"/>
            <w:hideMark/>
          </w:tcPr>
          <w:p w14:paraId="21AD82D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PIB par habitant en PPA (USD courants)</w:t>
            </w:r>
          </w:p>
        </w:tc>
        <w:tc>
          <w:tcPr>
            <w:tcW w:w="1782" w:type="dxa"/>
            <w:vAlign w:val="center"/>
            <w:hideMark/>
          </w:tcPr>
          <w:p w14:paraId="18820625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</w:t>
            </w:r>
          </w:p>
        </w:tc>
        <w:tc>
          <w:tcPr>
            <w:tcW w:w="1768" w:type="dxa"/>
            <w:vAlign w:val="center"/>
            <w:hideMark/>
          </w:tcPr>
          <w:p w14:paraId="4F32733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Mesure le niveau moyen de richesse par habitant, ajusté selon le coût de la vie. Indique le pouvoir d’achat et le niveau de développement.</w:t>
            </w:r>
          </w:p>
        </w:tc>
      </w:tr>
      <w:tr w:rsidR="00693BC1" w:rsidRPr="00693BC1" w14:paraId="22545F3A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48454F3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API_PV.EST_DS2_en_csv_v2...csv</w:t>
            </w:r>
          </w:p>
        </w:tc>
        <w:tc>
          <w:tcPr>
            <w:tcW w:w="1782" w:type="dxa"/>
            <w:vAlign w:val="center"/>
            <w:hideMark/>
          </w:tcPr>
          <w:p w14:paraId="25FC4539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 – Worldwide Governance Indicators</w:t>
            </w:r>
          </w:p>
        </w:tc>
        <w:tc>
          <w:tcPr>
            <w:tcW w:w="1783" w:type="dxa"/>
            <w:vAlign w:val="center"/>
            <w:hideMark/>
          </w:tcPr>
          <w:p w14:paraId="59F8728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Indice de stabilité politique</w:t>
            </w:r>
          </w:p>
        </w:tc>
        <w:tc>
          <w:tcPr>
            <w:tcW w:w="1782" w:type="dxa"/>
            <w:vAlign w:val="center"/>
            <w:hideMark/>
          </w:tcPr>
          <w:p w14:paraId="2B4F52B5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 – Politique</w:t>
            </w:r>
          </w:p>
        </w:tc>
        <w:tc>
          <w:tcPr>
            <w:tcW w:w="1768" w:type="dxa"/>
            <w:vAlign w:val="center"/>
            <w:hideMark/>
          </w:tcPr>
          <w:p w14:paraId="1D24A82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Évalue la probabilité d’instabilité politique ou de violence (de -2,5 à +2,5). Plus c’est élevé, plus le pays est stable.</w:t>
            </w:r>
          </w:p>
        </w:tc>
      </w:tr>
      <w:tr w:rsidR="00693BC1" w:rsidRPr="00693BC1" w14:paraId="69E6E704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19D5F33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API_SP.POP.TOTL_DS2_en_csv_v2...csv</w:t>
            </w:r>
          </w:p>
        </w:tc>
        <w:tc>
          <w:tcPr>
            <w:tcW w:w="1782" w:type="dxa"/>
            <w:vAlign w:val="center"/>
            <w:hideMark/>
          </w:tcPr>
          <w:p w14:paraId="3FE1235B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</w:t>
            </w:r>
          </w:p>
        </w:tc>
        <w:tc>
          <w:tcPr>
            <w:tcW w:w="1783" w:type="dxa"/>
            <w:vAlign w:val="center"/>
            <w:hideMark/>
          </w:tcPr>
          <w:p w14:paraId="3B163CB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Population totale</w:t>
            </w:r>
          </w:p>
        </w:tc>
        <w:tc>
          <w:tcPr>
            <w:tcW w:w="1782" w:type="dxa"/>
            <w:vAlign w:val="center"/>
            <w:hideMark/>
          </w:tcPr>
          <w:p w14:paraId="5F2500F7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 / S – Social</w:t>
            </w:r>
          </w:p>
        </w:tc>
        <w:tc>
          <w:tcPr>
            <w:tcW w:w="1768" w:type="dxa"/>
            <w:vAlign w:val="center"/>
            <w:hideMark/>
          </w:tcPr>
          <w:p w14:paraId="29A2E98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Nombre total d’habitants. Sert à pondérer l’importance d’un marché ou à calculer des indicateurs par habitant.</w:t>
            </w:r>
          </w:p>
        </w:tc>
      </w:tr>
      <w:tr w:rsidR="00693BC1" w:rsidRPr="00693BC1" w14:paraId="1B7E3BE6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5A397D0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API_SP.URB.TOTL.IN.ZS_DS2_en_csv_v2...csv</w:t>
            </w:r>
          </w:p>
        </w:tc>
        <w:tc>
          <w:tcPr>
            <w:tcW w:w="1782" w:type="dxa"/>
            <w:vAlign w:val="center"/>
            <w:hideMark/>
          </w:tcPr>
          <w:p w14:paraId="6A7DBFE4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</w:t>
            </w:r>
          </w:p>
        </w:tc>
        <w:tc>
          <w:tcPr>
            <w:tcW w:w="1783" w:type="dxa"/>
            <w:vAlign w:val="center"/>
            <w:hideMark/>
          </w:tcPr>
          <w:p w14:paraId="75378BEE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Taux d’urbanisation (% population urbaine)</w:t>
            </w:r>
          </w:p>
        </w:tc>
        <w:tc>
          <w:tcPr>
            <w:tcW w:w="1782" w:type="dxa"/>
            <w:vAlign w:val="center"/>
            <w:hideMark/>
          </w:tcPr>
          <w:p w14:paraId="6F001E32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 – Sociétal</w:t>
            </w:r>
          </w:p>
        </w:tc>
        <w:tc>
          <w:tcPr>
            <w:tcW w:w="1768" w:type="dxa"/>
            <w:vAlign w:val="center"/>
            <w:hideMark/>
          </w:tcPr>
          <w:p w14:paraId="7293645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Part de la population vivant en ville. Les zones urbaines consomment souvent plus de produits transformés ou importés.</w:t>
            </w:r>
          </w:p>
        </w:tc>
      </w:tr>
      <w:tr w:rsidR="00693BC1" w:rsidRPr="00693BC1" w14:paraId="3C7B6E2E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54CCA0A0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API_TM.TAX.MRCH.SM.AR.ZS_DS2_en_csv_v2...csv</w:t>
            </w:r>
          </w:p>
        </w:tc>
        <w:tc>
          <w:tcPr>
            <w:tcW w:w="1782" w:type="dxa"/>
            <w:vAlign w:val="center"/>
            <w:hideMark/>
          </w:tcPr>
          <w:p w14:paraId="493AEB32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Banque mondiale</w:t>
            </w:r>
          </w:p>
        </w:tc>
        <w:tc>
          <w:tcPr>
            <w:tcW w:w="1783" w:type="dxa"/>
            <w:vAlign w:val="center"/>
            <w:hideMark/>
          </w:tcPr>
          <w:p w14:paraId="745DCB88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Tarifs douaniers moyens (%)</w:t>
            </w:r>
          </w:p>
        </w:tc>
        <w:tc>
          <w:tcPr>
            <w:tcW w:w="1782" w:type="dxa"/>
            <w:vAlign w:val="center"/>
            <w:hideMark/>
          </w:tcPr>
          <w:p w14:paraId="4D560F99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L – Légal / Économique</w:t>
            </w:r>
          </w:p>
        </w:tc>
        <w:tc>
          <w:tcPr>
            <w:tcW w:w="1768" w:type="dxa"/>
            <w:vAlign w:val="center"/>
            <w:hideMark/>
          </w:tcPr>
          <w:p w14:paraId="79A14FB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Moyenne des droits de douane appliqués sur les importations. Un taux élevé peut freiner les exportations de poulet.</w:t>
            </w:r>
          </w:p>
        </w:tc>
      </w:tr>
      <w:tr w:rsidR="00693BC1" w:rsidRPr="00693BC1" w14:paraId="6D61A83D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663EA0C4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DisponibiliteAlimentaire_2017.csv</w:t>
            </w:r>
          </w:p>
        </w:tc>
        <w:tc>
          <w:tcPr>
            <w:tcW w:w="1782" w:type="dxa"/>
            <w:vAlign w:val="center"/>
            <w:hideMark/>
          </w:tcPr>
          <w:p w14:paraId="0BAA790A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FAO (Food Balance Sheets)</w:t>
            </w:r>
          </w:p>
        </w:tc>
        <w:tc>
          <w:tcPr>
            <w:tcW w:w="1783" w:type="dxa"/>
            <w:vAlign w:val="center"/>
            <w:hideMark/>
          </w:tcPr>
          <w:p w14:paraId="25F2357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Disponibilité alimentaire totale</w:t>
            </w:r>
          </w:p>
        </w:tc>
        <w:tc>
          <w:tcPr>
            <w:tcW w:w="1782" w:type="dxa"/>
            <w:vAlign w:val="center"/>
            <w:hideMark/>
          </w:tcPr>
          <w:p w14:paraId="57F934D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 – Sociétal / Économique</w:t>
            </w:r>
          </w:p>
        </w:tc>
        <w:tc>
          <w:tcPr>
            <w:tcW w:w="1768" w:type="dxa"/>
            <w:vAlign w:val="center"/>
            <w:hideMark/>
          </w:tcPr>
          <w:p w14:paraId="0E6C576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Montre la disponibilité (kg/hab/an) de différents produits alimentaires. Tu peux en extraire la volaille pour estimer la consommation.</w:t>
            </w:r>
          </w:p>
        </w:tc>
      </w:tr>
      <w:tr w:rsidR="00693BC1" w:rsidRPr="00693BC1" w14:paraId="7CD58E56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5680113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food_balances_poultry.csv</w:t>
            </w:r>
          </w:p>
        </w:tc>
        <w:tc>
          <w:tcPr>
            <w:tcW w:w="1782" w:type="dxa"/>
            <w:vAlign w:val="center"/>
            <w:hideMark/>
          </w:tcPr>
          <w:p w14:paraId="0A222C5A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FAO</w:t>
            </w:r>
          </w:p>
        </w:tc>
        <w:tc>
          <w:tcPr>
            <w:tcW w:w="1783" w:type="dxa"/>
            <w:vAlign w:val="center"/>
            <w:hideMark/>
          </w:tcPr>
          <w:p w14:paraId="5C0C2E58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Consommation de viande de volaille (kg/hab/an)</w:t>
            </w:r>
          </w:p>
        </w:tc>
        <w:tc>
          <w:tcPr>
            <w:tcW w:w="1782" w:type="dxa"/>
            <w:vAlign w:val="center"/>
            <w:hideMark/>
          </w:tcPr>
          <w:p w14:paraId="5A5AC1E8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S – Sociétal</w:t>
            </w:r>
          </w:p>
        </w:tc>
        <w:tc>
          <w:tcPr>
            <w:tcW w:w="1768" w:type="dxa"/>
            <w:vAlign w:val="center"/>
            <w:hideMark/>
          </w:tcPr>
          <w:p w14:paraId="66CDB63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 xml:space="preserve">Quantité moyenne de volaille disponible par habitant. Indique </w:t>
            </w: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la demande intérieure et les habitudes alimentaires.</w:t>
            </w:r>
          </w:p>
        </w:tc>
      </w:tr>
      <w:tr w:rsidR="00693BC1" w:rsidRPr="00693BC1" w14:paraId="3D143B69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27C2785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lastRenderedPageBreak/>
              <w:t>livestock_production.csv</w:t>
            </w:r>
          </w:p>
        </w:tc>
        <w:tc>
          <w:tcPr>
            <w:tcW w:w="1782" w:type="dxa"/>
            <w:vAlign w:val="center"/>
            <w:hideMark/>
          </w:tcPr>
          <w:p w14:paraId="6A8EBE0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FAO</w:t>
            </w:r>
          </w:p>
        </w:tc>
        <w:tc>
          <w:tcPr>
            <w:tcW w:w="1783" w:type="dxa"/>
            <w:vAlign w:val="center"/>
            <w:hideMark/>
          </w:tcPr>
          <w:p w14:paraId="011CDD07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Production de viande de volaille (tonnes)</w:t>
            </w:r>
          </w:p>
        </w:tc>
        <w:tc>
          <w:tcPr>
            <w:tcW w:w="1782" w:type="dxa"/>
            <w:vAlign w:val="center"/>
            <w:hideMark/>
          </w:tcPr>
          <w:p w14:paraId="4B57F7C9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 / Agricole</w:t>
            </w:r>
          </w:p>
        </w:tc>
        <w:tc>
          <w:tcPr>
            <w:tcW w:w="1768" w:type="dxa"/>
            <w:vAlign w:val="center"/>
            <w:hideMark/>
          </w:tcPr>
          <w:p w14:paraId="08C9B43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Volume total de production de poulet par pays. Sert à identifier les pays producteurs/exportateurs.</w:t>
            </w:r>
          </w:p>
        </w:tc>
      </w:tr>
      <w:tr w:rsidR="00693BC1" w:rsidRPr="00693BC1" w14:paraId="01B20AB4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4C380E4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per-capita-nitrous-oxide-agriculture.csv</w:t>
            </w:r>
          </w:p>
        </w:tc>
        <w:tc>
          <w:tcPr>
            <w:tcW w:w="1782" w:type="dxa"/>
            <w:vAlign w:val="center"/>
            <w:hideMark/>
          </w:tcPr>
          <w:p w14:paraId="1D88792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Our World in Data</w:t>
            </w:r>
          </w:p>
        </w:tc>
        <w:tc>
          <w:tcPr>
            <w:tcW w:w="1783" w:type="dxa"/>
            <w:vAlign w:val="center"/>
            <w:hideMark/>
          </w:tcPr>
          <w:p w14:paraId="179DCD2E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Émissions de N₂O par habitant (agriculture)</w:t>
            </w:r>
          </w:p>
        </w:tc>
        <w:tc>
          <w:tcPr>
            <w:tcW w:w="1782" w:type="dxa"/>
            <w:vAlign w:val="center"/>
            <w:hideMark/>
          </w:tcPr>
          <w:p w14:paraId="1BD50DAB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Environnemental</w:t>
            </w:r>
          </w:p>
        </w:tc>
        <w:tc>
          <w:tcPr>
            <w:tcW w:w="1768" w:type="dxa"/>
            <w:vAlign w:val="center"/>
            <w:hideMark/>
          </w:tcPr>
          <w:p w14:paraId="577A1630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Indique les émissions de gaz à effet de serre liées à l’agriculture. Donne une idée de l’impact environnemental du secteur agricole.</w:t>
            </w:r>
          </w:p>
        </w:tc>
      </w:tr>
      <w:tr w:rsidR="00693BC1" w:rsidRPr="00693BC1" w14:paraId="7AB1115C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26515802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Population_2000_2018.csv</w:t>
            </w:r>
          </w:p>
        </w:tc>
        <w:tc>
          <w:tcPr>
            <w:tcW w:w="1782" w:type="dxa"/>
            <w:vAlign w:val="center"/>
            <w:hideMark/>
          </w:tcPr>
          <w:p w14:paraId="19AA1C8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(FAO ou Banque mondiale)</w:t>
            </w:r>
          </w:p>
        </w:tc>
        <w:tc>
          <w:tcPr>
            <w:tcW w:w="1783" w:type="dxa"/>
            <w:vAlign w:val="center"/>
            <w:hideMark/>
          </w:tcPr>
          <w:p w14:paraId="2E15ECD8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Évolution de la population</w:t>
            </w:r>
          </w:p>
        </w:tc>
        <w:tc>
          <w:tcPr>
            <w:tcW w:w="1782" w:type="dxa"/>
            <w:vAlign w:val="center"/>
            <w:hideMark/>
          </w:tcPr>
          <w:p w14:paraId="1A2BE6F9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 / Social</w:t>
            </w:r>
          </w:p>
        </w:tc>
        <w:tc>
          <w:tcPr>
            <w:tcW w:w="1768" w:type="dxa"/>
            <w:vAlign w:val="center"/>
            <w:hideMark/>
          </w:tcPr>
          <w:p w14:paraId="2148A365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Série temporelle sur la population, utile si tu veux analyser la croissance démographique ou lisser les données.</w:t>
            </w:r>
          </w:p>
        </w:tc>
      </w:tr>
      <w:tr w:rsidR="00693BC1" w:rsidRPr="00693BC1" w14:paraId="1A3F490A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75F3F50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prices.csv</w:t>
            </w:r>
          </w:p>
        </w:tc>
        <w:tc>
          <w:tcPr>
            <w:tcW w:w="1782" w:type="dxa"/>
            <w:vAlign w:val="center"/>
            <w:hideMark/>
          </w:tcPr>
          <w:p w14:paraId="2B0CCCAA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FAO</w:t>
            </w:r>
          </w:p>
        </w:tc>
        <w:tc>
          <w:tcPr>
            <w:tcW w:w="1783" w:type="dxa"/>
            <w:vAlign w:val="center"/>
            <w:hideMark/>
          </w:tcPr>
          <w:p w14:paraId="2514609D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Prix du poulet ou prix agricoles (USD/tonne)</w:t>
            </w:r>
          </w:p>
        </w:tc>
        <w:tc>
          <w:tcPr>
            <w:tcW w:w="1782" w:type="dxa"/>
            <w:vAlign w:val="center"/>
            <w:hideMark/>
          </w:tcPr>
          <w:p w14:paraId="19CB2C1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</w:t>
            </w:r>
          </w:p>
        </w:tc>
        <w:tc>
          <w:tcPr>
            <w:tcW w:w="1768" w:type="dxa"/>
            <w:vAlign w:val="center"/>
            <w:hideMark/>
          </w:tcPr>
          <w:p w14:paraId="226866DF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Reflète le prix à la production ou au consommateur. Utile pour comparer la compétitivité des marchés.</w:t>
            </w:r>
          </w:p>
        </w:tc>
      </w:tr>
      <w:tr w:rsidR="00693BC1" w:rsidRPr="00693BC1" w14:paraId="76F6EB4C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08E1B7D0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fr-FR"/>
                <w14:ligatures w14:val="none"/>
              </w:rPr>
              <w:t>share-of-arable-land-which-is-organic.csv</w:t>
            </w:r>
          </w:p>
        </w:tc>
        <w:tc>
          <w:tcPr>
            <w:tcW w:w="1782" w:type="dxa"/>
            <w:vAlign w:val="center"/>
            <w:hideMark/>
          </w:tcPr>
          <w:p w14:paraId="56555C5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Our World in Data</w:t>
            </w:r>
          </w:p>
        </w:tc>
        <w:tc>
          <w:tcPr>
            <w:tcW w:w="1783" w:type="dxa"/>
            <w:vAlign w:val="center"/>
            <w:hideMark/>
          </w:tcPr>
          <w:p w14:paraId="23C51F4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Part des terres agricoles certifiées bio (%)</w:t>
            </w:r>
          </w:p>
        </w:tc>
        <w:tc>
          <w:tcPr>
            <w:tcW w:w="1782" w:type="dxa"/>
            <w:vAlign w:val="center"/>
            <w:hideMark/>
          </w:tcPr>
          <w:p w14:paraId="5C4E735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Environnemental / S – Sociétal</w:t>
            </w:r>
          </w:p>
        </w:tc>
        <w:tc>
          <w:tcPr>
            <w:tcW w:w="1768" w:type="dxa"/>
            <w:vAlign w:val="center"/>
            <w:hideMark/>
          </w:tcPr>
          <w:p w14:paraId="48AB8415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Indique la proportion d’agriculture biologique. Pertinent pour évaluer la sensibilité "bio" du pays.</w:t>
            </w:r>
          </w:p>
        </w:tc>
      </w:tr>
      <w:tr w:rsidR="00693BC1" w:rsidRPr="00693BC1" w14:paraId="2F31A5B4" w14:textId="77777777" w:rsidTr="00746088">
        <w:trPr>
          <w:tblCellSpacing w:w="15" w:type="dxa"/>
        </w:trPr>
        <w:tc>
          <w:tcPr>
            <w:tcW w:w="1767" w:type="dxa"/>
            <w:vAlign w:val="center"/>
            <w:hideMark/>
          </w:tcPr>
          <w:p w14:paraId="79ADC25C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trade.csv</w:t>
            </w:r>
          </w:p>
        </w:tc>
        <w:tc>
          <w:tcPr>
            <w:tcW w:w="1782" w:type="dxa"/>
            <w:vAlign w:val="center"/>
            <w:hideMark/>
          </w:tcPr>
          <w:p w14:paraId="1A06381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FAO</w:t>
            </w:r>
          </w:p>
        </w:tc>
        <w:tc>
          <w:tcPr>
            <w:tcW w:w="1783" w:type="dxa"/>
            <w:vAlign w:val="center"/>
            <w:hideMark/>
          </w:tcPr>
          <w:p w14:paraId="7BA276C9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Commerce international (import/export de volaille)</w:t>
            </w:r>
          </w:p>
        </w:tc>
        <w:tc>
          <w:tcPr>
            <w:tcW w:w="1782" w:type="dxa"/>
            <w:vAlign w:val="center"/>
            <w:hideMark/>
          </w:tcPr>
          <w:p w14:paraId="22B3F236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E – Économique</w:t>
            </w:r>
          </w:p>
        </w:tc>
        <w:tc>
          <w:tcPr>
            <w:tcW w:w="1768" w:type="dxa"/>
            <w:vAlign w:val="center"/>
            <w:hideMark/>
          </w:tcPr>
          <w:p w14:paraId="6C5FB863" w14:textId="77777777" w:rsidR="00693BC1" w:rsidRPr="00693BC1" w:rsidRDefault="00693BC1" w:rsidP="00693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  <w:r w:rsidRPr="00693BC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  <w:t>Volume ou valeur des échanges de viande de volaille. Permet d’identifier les pays importateurs et exportateurs majeurs.</w:t>
            </w:r>
          </w:p>
        </w:tc>
      </w:tr>
    </w:tbl>
    <w:p w14:paraId="09F291D6" w14:textId="277916E7" w:rsidR="00693BC1" w:rsidRDefault="00A11753">
      <w:r>
        <w:t>Distance par rapport à la france</w:t>
      </w:r>
    </w:p>
    <w:sectPr w:rsidR="00693BC1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32D3E" w14:textId="77777777" w:rsidR="001F50D6" w:rsidRDefault="001F50D6" w:rsidP="00693BC1">
      <w:pPr>
        <w:spacing w:after="0" w:line="240" w:lineRule="auto"/>
      </w:pPr>
      <w:r>
        <w:separator/>
      </w:r>
    </w:p>
  </w:endnote>
  <w:endnote w:type="continuationSeparator" w:id="0">
    <w:p w14:paraId="3E79093D" w14:textId="77777777" w:rsidR="001F50D6" w:rsidRDefault="001F50D6" w:rsidP="00693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0B5F" w14:textId="3DD3AAF3" w:rsidR="00693BC1" w:rsidRDefault="00693BC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51EF8F" wp14:editId="1107F3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1460982631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15D19" w14:textId="65AD6EF5" w:rsidR="00693BC1" w:rsidRPr="00693BC1" w:rsidRDefault="00693BC1" w:rsidP="00693BC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93BC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1EF8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7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" filled="f" stroked="f">
              <v:textbox style="mso-fit-shape-to-text:t" inset="0,0,0,15pt">
                <w:txbxContent>
                  <w:p w14:paraId="6A915D19" w14:textId="65AD6EF5" w:rsidR="00693BC1" w:rsidRPr="00693BC1" w:rsidRDefault="00693BC1" w:rsidP="00693BC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693BC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9638" w14:textId="58E4C1AC" w:rsidR="00693BC1" w:rsidRDefault="00693BC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E6B7ED" wp14:editId="7015612C">
              <wp:simplePos x="89916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206274611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8A379F" w14:textId="6B84B1E4" w:rsidR="00693BC1" w:rsidRPr="00693BC1" w:rsidRDefault="00693BC1" w:rsidP="00693BC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93BC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6B7E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7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" filled="f" stroked="f">
              <v:textbox style="mso-fit-shape-to-text:t" inset="0,0,0,15pt">
                <w:txbxContent>
                  <w:p w14:paraId="628A379F" w14:textId="6B84B1E4" w:rsidR="00693BC1" w:rsidRPr="00693BC1" w:rsidRDefault="00693BC1" w:rsidP="00693BC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693BC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3B22" w14:textId="0A845C9F" w:rsidR="00693BC1" w:rsidRDefault="00693BC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E1F749" wp14:editId="7B222B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43535"/>
              <wp:effectExtent l="0" t="0" r="8890" b="0"/>
              <wp:wrapNone/>
              <wp:docPr id="67388713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43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E8EBE" w14:textId="17B6F36E" w:rsidR="00693BC1" w:rsidRPr="00693BC1" w:rsidRDefault="00693BC1" w:rsidP="00693BC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693BC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E1F74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7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" filled="f" stroked="f">
              <v:textbox style="mso-fit-shape-to-text:t" inset="0,0,0,15pt">
                <w:txbxContent>
                  <w:p w14:paraId="43FE8EBE" w14:textId="17B6F36E" w:rsidR="00693BC1" w:rsidRPr="00693BC1" w:rsidRDefault="00693BC1" w:rsidP="00693BC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693BC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BBB3" w14:textId="77777777" w:rsidR="001F50D6" w:rsidRDefault="001F50D6" w:rsidP="00693BC1">
      <w:pPr>
        <w:spacing w:after="0" w:line="240" w:lineRule="auto"/>
      </w:pPr>
      <w:r>
        <w:separator/>
      </w:r>
    </w:p>
  </w:footnote>
  <w:footnote w:type="continuationSeparator" w:id="0">
    <w:p w14:paraId="64159718" w14:textId="77777777" w:rsidR="001F50D6" w:rsidRDefault="001F50D6" w:rsidP="00693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D216" w14:textId="6B22981E" w:rsidR="00693BC1" w:rsidRPr="00693BC1" w:rsidRDefault="00693BC1" w:rsidP="00693BC1">
    <w:pPr>
      <w:pStyle w:val="En-tte"/>
      <w:jc w:val="center"/>
      <w:rPr>
        <w:b/>
        <w:bCs/>
      </w:rPr>
    </w:pPr>
    <w:r w:rsidRPr="00693BC1">
      <w:rPr>
        <w:b/>
        <w:bCs/>
      </w:rPr>
      <w:t>Données Etude de marché la poule qui chante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C1"/>
    <w:rsid w:val="001F50D6"/>
    <w:rsid w:val="005C03E0"/>
    <w:rsid w:val="00693BC1"/>
    <w:rsid w:val="00746088"/>
    <w:rsid w:val="009D5917"/>
    <w:rsid w:val="00A11753"/>
    <w:rsid w:val="00E75A6A"/>
    <w:rsid w:val="00EB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3BB8C"/>
  <w15:chartTrackingRefBased/>
  <w15:docId w15:val="{11467957-AD8E-4245-AA2E-36BDD323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B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B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B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B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B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B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B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B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B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B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BC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693BC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693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3BC1"/>
  </w:style>
  <w:style w:type="paragraph" w:styleId="Pieddepage">
    <w:name w:val="footer"/>
    <w:basedOn w:val="Normal"/>
    <w:link w:val="PieddepageCar"/>
    <w:uiPriority w:val="99"/>
    <w:unhideWhenUsed/>
    <w:rsid w:val="00693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3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SONZOGNI Thomas UCI OC</dc:creator>
  <cp:keywords/>
  <dc:description/>
  <cp:lastModifiedBy>SONZOGNI Thomas UCI OC</cp:lastModifiedBy>
  <cp:revision>3</cp:revision>
  <dcterms:created xsi:type="dcterms:W3CDTF">2025-11-07T09:43:00Z</dcterms:created>
  <dcterms:modified xsi:type="dcterms:W3CDTF">2025-11-07T17:13:00Z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4044529,5714d367,7af30201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