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C86" w:rsidRPr="00894658" w:rsidRDefault="00894658" w:rsidP="00894658">
      <w:pPr>
        <w:jc w:val="center"/>
        <w:rPr>
          <w:sz w:val="32"/>
          <w:szCs w:val="32"/>
        </w:rPr>
      </w:pPr>
      <w:r w:rsidRPr="00894658">
        <w:rPr>
          <w:sz w:val="32"/>
          <w:szCs w:val="32"/>
        </w:rPr>
        <w:t>CSTR Process Controller</w:t>
      </w:r>
    </w:p>
    <w:p w:rsidR="00894658" w:rsidRDefault="00894658" w:rsidP="00894658">
      <w:pPr>
        <w:jc w:val="center"/>
      </w:pPr>
    </w:p>
    <w:p w:rsidR="00894658" w:rsidRDefault="00894658" w:rsidP="00894658">
      <w:pPr>
        <w:jc w:val="center"/>
      </w:pPr>
      <w:r>
        <w:t>Course: ECHM 44</w:t>
      </w:r>
    </w:p>
    <w:p w:rsidR="00894658" w:rsidRDefault="00894658" w:rsidP="00894658">
      <w:pPr>
        <w:jc w:val="center"/>
      </w:pPr>
      <w:r>
        <w:t>Date: April 30, 2015</w:t>
      </w:r>
    </w:p>
    <w:p w:rsidR="00685C86" w:rsidRDefault="00894658" w:rsidP="00894658">
      <w:pPr>
        <w:jc w:val="center"/>
      </w:pPr>
      <w:r>
        <w:t xml:space="preserve">Author: </w:t>
      </w:r>
      <w:r w:rsidR="00685C86">
        <w:t xml:space="preserve">Thomas </w:t>
      </w:r>
      <w:proofErr w:type="spellStart"/>
      <w:r w:rsidR="00685C86">
        <w:t>Thelen</w:t>
      </w:r>
      <w:proofErr w:type="spellEnd"/>
    </w:p>
    <w:p w:rsidR="00894658" w:rsidRDefault="00894658" w:rsidP="00894658">
      <w:pPr>
        <w:jc w:val="center"/>
      </w:pPr>
    </w:p>
    <w:p w:rsidR="00894658" w:rsidRDefault="00894658" w:rsidP="00894658">
      <w:pPr>
        <w:jc w:val="center"/>
      </w:pPr>
    </w:p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685C86" w:rsidRDefault="00685C86"/>
    <w:p w:rsidR="00F00D9C" w:rsidRPr="00205237" w:rsidRDefault="007A46DD" w:rsidP="007A46DD">
      <w:pPr>
        <w:rPr>
          <w:b/>
        </w:rPr>
      </w:pPr>
      <w:r w:rsidRPr="00205237">
        <w:rPr>
          <w:b/>
        </w:rPr>
        <w:lastRenderedPageBreak/>
        <w:t>Introduction</w:t>
      </w:r>
    </w:p>
    <w:p w:rsidR="007A46DD" w:rsidRDefault="00AD692E">
      <w:r>
        <w:tab/>
        <w:t xml:space="preserve">Control systems have been used for over 400 years, playing integral roles in automated systems. With </w:t>
      </w:r>
      <w:r w:rsidR="00481C52">
        <w:t xml:space="preserve">the increased resources on the topic and access to </w:t>
      </w:r>
      <w:r w:rsidR="00F00D9C">
        <w:t>computation,</w:t>
      </w:r>
      <w:r w:rsidR="00481C52">
        <w:t xml:space="preserve"> engineers have been able to apply the field to industrial </w:t>
      </w:r>
      <w:proofErr w:type="gramStart"/>
      <w:r w:rsidR="00481C52">
        <w:t>processes.</w:t>
      </w:r>
      <w:r w:rsidR="00F00D9C">
        <w:t>[</w:t>
      </w:r>
      <w:proofErr w:type="gramEnd"/>
      <w:r w:rsidR="00F00D9C">
        <w:t>]</w:t>
      </w:r>
    </w:p>
    <w:p w:rsidR="007A46DD" w:rsidRPr="00205237" w:rsidRDefault="007A46DD">
      <w:pPr>
        <w:rPr>
          <w:b/>
        </w:rPr>
      </w:pPr>
      <w:r w:rsidRPr="00205237">
        <w:rPr>
          <w:b/>
        </w:rPr>
        <w:t>Experiment</w:t>
      </w:r>
    </w:p>
    <w:p w:rsidR="00701DF0" w:rsidRDefault="00701DF0" w:rsidP="00995664">
      <w:pPr>
        <w:ind w:firstLine="720"/>
      </w:pPr>
      <w:r>
        <w:t>The temperature of a CSTR housing an exothermic reaction was controlled by implementing a proportional-integral controller. A cooling jacket was used as the heat sink. The controller was used to calculate the</w:t>
      </w:r>
      <w:r w:rsidR="000613A3">
        <w:t xml:space="preserve"> temperature at which the cold fluid should be to adequately cool the reactor.</w:t>
      </w:r>
    </w:p>
    <w:p w:rsidR="00F00D9C" w:rsidRDefault="00F00D9C" w:rsidP="00995664">
      <w:pPr>
        <w:ind w:firstLine="720"/>
      </w:pPr>
      <w:r>
        <w:t>The system was described by thee coupled differential equations describing the product concentration, the reactor and sensor temperatures, and the requested cooling water temperature.</w:t>
      </w:r>
      <w:r w:rsidR="008E75E1">
        <w:t xml:space="preserve"> </w:t>
      </w:r>
      <w:r w:rsidR="006B4C22">
        <w:t>The ODIENT library, part of BOOST, was used to solve the system by using the classical Runge-Kutta method.</w:t>
      </w:r>
    </w:p>
    <w:p w:rsidR="00685C86" w:rsidRDefault="00540D67">
      <w:r>
        <w:t>The</w:t>
      </w:r>
      <w:r w:rsidR="006501EA">
        <w:t xml:space="preserve"> velocity form of</w:t>
      </w:r>
      <w:r w:rsidR="008E2D6D">
        <w:t xml:space="preserve"> the basic PI algorithm</w:t>
      </w:r>
      <w:r w:rsidR="003E0790">
        <w:t>, shown below,</w:t>
      </w:r>
      <w:r w:rsidR="008E2D6D">
        <w:t xml:space="preserve"> was used for its computational simplicity.</w:t>
      </w:r>
      <w:r w:rsidR="006501EA">
        <w:t xml:space="preserve"> </w:t>
      </w:r>
    </w:p>
    <w:p w:rsidR="00E77A85" w:rsidRDefault="00E77A85" w:rsidP="006501EA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∆CO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86BEB">
        <w:rPr>
          <w:rFonts w:eastAsiaTheme="minorEastAsia"/>
        </w:rPr>
        <w:t>] [1]</w:t>
      </w:r>
      <w:r w:rsidR="006501EA">
        <w:rPr>
          <w:rFonts w:eastAsiaTheme="minorEastAsia"/>
        </w:rPr>
        <w:tab/>
      </w:r>
      <w:r w:rsidR="006501EA">
        <w:rPr>
          <w:rFonts w:eastAsiaTheme="minorEastAsia"/>
        </w:rPr>
        <w:tab/>
      </w:r>
      <w:r w:rsidR="006501EA">
        <w:rPr>
          <w:rFonts w:eastAsiaTheme="minorEastAsia"/>
        </w:rPr>
        <w:tab/>
      </w:r>
      <w:r w:rsidR="006501EA">
        <w:rPr>
          <w:rFonts w:eastAsiaTheme="minorEastAsia"/>
        </w:rPr>
        <w:tab/>
        <w:t>(1)</w:t>
      </w:r>
    </w:p>
    <w:p w:rsidR="006501EA" w:rsidRDefault="006501EA" w:rsidP="006501EA">
      <w:r>
        <w:rPr>
          <w:rFonts w:eastAsiaTheme="minorEastAsia"/>
        </w:rPr>
        <w:tab/>
        <w:t xml:space="preserve">The controller gain,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</w:t>
      </w:r>
      <w:r w:rsidR="00DE14B6">
        <w:rPr>
          <w:rFonts w:eastAsiaTheme="minorEastAsia"/>
        </w:rPr>
        <w:t xml:space="preserve">acted as an amplifier for the controller output which, when too large will cause the system to oscillate. The </w:t>
      </w:r>
      <w:r w:rsidR="00995664">
        <w:rPr>
          <w:rFonts w:eastAsiaTheme="minorEastAsia"/>
        </w:rPr>
        <w:t xml:space="preserve">integral time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95664">
        <w:rPr>
          <w:rFonts w:eastAsiaTheme="minorEastAsia"/>
        </w:rPr>
        <w:t>, which allows for faster response times.</w:t>
      </w:r>
    </w:p>
    <w:p w:rsidR="00685C86" w:rsidRPr="00205237" w:rsidRDefault="007A46DD">
      <w:pPr>
        <w:rPr>
          <w:b/>
        </w:rPr>
      </w:pPr>
      <w:r w:rsidRPr="00205237">
        <w:rPr>
          <w:b/>
        </w:rPr>
        <w:t>Results</w:t>
      </w:r>
    </w:p>
    <w:p w:rsidR="00D401F7" w:rsidRDefault="00685C86">
      <w:r>
        <w:tab/>
      </w:r>
      <w:r w:rsidR="00D55E78">
        <w:t xml:space="preserve">Without any tuning, the controller gave a divergent oscillatory response centered on the set point. Because this can lead to dangerous consequences, the controller was field tuned. </w:t>
      </w:r>
      <w:r>
        <w:t xml:space="preserve">The classical field tuning method was used to determine the process </w:t>
      </w:r>
      <w:r w:rsidR="00492B1D">
        <w:t>tuning</w:t>
      </w:r>
      <w:r>
        <w:t xml:space="preserve"> constants. This improved the controller response and </w:t>
      </w:r>
      <w:r w:rsidR="00492B1D">
        <w:t xml:space="preserve">decreased the </w:t>
      </w:r>
      <w:r w:rsidR="008670B1">
        <w:t>overall error.</w:t>
      </w:r>
    </w:p>
    <w:p w:rsidR="008670B1" w:rsidRDefault="008670B1" w:rsidP="008670B1">
      <w:pPr>
        <w:pStyle w:val="Caption"/>
        <w:keepNext/>
      </w:pPr>
      <w:r>
        <w:t xml:space="preserve">Table </w:t>
      </w:r>
      <w:r w:rsidR="005B29E0">
        <w:fldChar w:fldCharType="begin"/>
      </w:r>
      <w:r w:rsidR="005B29E0">
        <w:instrText xml:space="preserve"> SEQ Table \* ARABIC </w:instrText>
      </w:r>
      <w:r w:rsidR="005B29E0">
        <w:fldChar w:fldCharType="separate"/>
      </w:r>
      <w:r w:rsidR="00137503">
        <w:rPr>
          <w:noProof/>
        </w:rPr>
        <w:t>1</w:t>
      </w:r>
      <w:r w:rsidR="005B29E0">
        <w:rPr>
          <w:noProof/>
        </w:rPr>
        <w:fldChar w:fldCharType="end"/>
      </w:r>
      <w:r>
        <w:t xml:space="preserve"> Process control constants found from field tuning.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77A85" w:rsidTr="00ED0CAB">
        <w:trPr>
          <w:jc w:val="center"/>
        </w:trPr>
        <w:tc>
          <w:tcPr>
            <w:tcW w:w="4675" w:type="dxa"/>
          </w:tcPr>
          <w:p w:rsidR="00E77A85" w:rsidRDefault="00E77A85" w:rsidP="00ED0CAB">
            <w:pPr>
              <w:jc w:val="center"/>
            </w:pPr>
            <w:r>
              <w:t>Variable</w:t>
            </w:r>
          </w:p>
        </w:tc>
        <w:tc>
          <w:tcPr>
            <w:tcW w:w="4675" w:type="dxa"/>
          </w:tcPr>
          <w:p w:rsidR="00E77A85" w:rsidRDefault="00E77A85" w:rsidP="00ED0CAB">
            <w:pPr>
              <w:jc w:val="center"/>
            </w:pPr>
            <w:r>
              <w:t>Tuned</w:t>
            </w:r>
          </w:p>
        </w:tc>
      </w:tr>
      <w:tr w:rsidR="00E77A85" w:rsidTr="00ED0CAB">
        <w:trPr>
          <w:jc w:val="center"/>
        </w:trPr>
        <w:tc>
          <w:tcPr>
            <w:tcW w:w="4675" w:type="dxa"/>
          </w:tcPr>
          <w:p w:rsidR="00E77A85" w:rsidRDefault="005B29E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E77A85" w:rsidRDefault="002E2D00" w:rsidP="00ED0CAB">
            <w:pPr>
              <w:jc w:val="center"/>
            </w:pPr>
            <w:r>
              <w:t>120</w:t>
            </w:r>
          </w:p>
        </w:tc>
      </w:tr>
      <w:tr w:rsidR="00E77A85" w:rsidTr="00ED0CAB">
        <w:trPr>
          <w:jc w:val="center"/>
        </w:trPr>
        <w:tc>
          <w:tcPr>
            <w:tcW w:w="4675" w:type="dxa"/>
          </w:tcPr>
          <w:p w:rsidR="00E77A85" w:rsidRDefault="005B29E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E77A85" w:rsidRDefault="004E5CCD" w:rsidP="00ED0CAB">
            <w:pPr>
              <w:jc w:val="center"/>
            </w:pPr>
            <w:r>
              <w:t>0.1</w:t>
            </w:r>
          </w:p>
        </w:tc>
      </w:tr>
    </w:tbl>
    <w:p w:rsidR="002E2D00" w:rsidRDefault="002E2D00"/>
    <w:p w:rsidR="002E2D00" w:rsidRDefault="002E2D00">
      <w:r>
        <w:tab/>
        <w:t>The high process gain</w:t>
      </w:r>
      <w:r w:rsidR="00885A46">
        <w:t xml:space="preserve"> caused the system to overestimate the cooling temperature, contributing to the first positive temperat</w:t>
      </w:r>
      <w:r w:rsidR="00E64DB0">
        <w:t>ure spike, seen in Figure 1.</w:t>
      </w:r>
      <w:r w:rsidR="003B607D">
        <w:t xml:space="preserve"> The integral time constant was low, also effecting controller output by giving it tighter control.</w:t>
      </w:r>
      <w:r w:rsidR="00D1406F">
        <w:t xml:space="preserve"> The oscillations are artifacts from the field tuning method.</w:t>
      </w:r>
    </w:p>
    <w:p w:rsidR="00407A02" w:rsidRDefault="00407A02"/>
    <w:p w:rsidR="00054A72" w:rsidRDefault="00054A72" w:rsidP="00054A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9DEB96" wp14:editId="38638E18">
            <wp:extent cx="5943600" cy="2638425"/>
            <wp:effectExtent l="0" t="0" r="0" b="9525"/>
            <wp:docPr id="9" name="Picture 9" descr="C:\Users\Thom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om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CCD" w:rsidRDefault="00054A72" w:rsidP="00054A72">
      <w:pPr>
        <w:pStyle w:val="Caption"/>
        <w:jc w:val="center"/>
      </w:pPr>
      <w:r>
        <w:t xml:space="preserve">Figure </w:t>
      </w:r>
      <w:r w:rsidR="005B29E0">
        <w:fldChar w:fldCharType="begin"/>
      </w:r>
      <w:r w:rsidR="005B29E0">
        <w:instrText xml:space="preserve"> SEQ Figure \* ARABIC </w:instrText>
      </w:r>
      <w:r w:rsidR="005B29E0">
        <w:fldChar w:fldCharType="separate"/>
      </w:r>
      <w:r w:rsidR="00644A88">
        <w:rPr>
          <w:noProof/>
        </w:rPr>
        <w:t>1</w:t>
      </w:r>
      <w:r w:rsidR="005B29E0">
        <w:rPr>
          <w:noProof/>
        </w:rPr>
        <w:fldChar w:fldCharType="end"/>
      </w:r>
      <w:r>
        <w:t xml:space="preserve"> The temperature profile of the reactor. It reaches steady state as the </w:t>
      </w:r>
      <w:proofErr w:type="spellStart"/>
      <w:proofErr w:type="gramStart"/>
      <w:r>
        <w:t>concention</w:t>
      </w:r>
      <w:proofErr w:type="spellEnd"/>
      <w:r>
        <w:t xml:space="preserve"> .</w:t>
      </w:r>
      <w:proofErr w:type="gramEnd"/>
    </w:p>
    <w:p w:rsidR="00EF662F" w:rsidRPr="00EF662F" w:rsidRDefault="00EF662F" w:rsidP="00EF662F">
      <w:r>
        <w:tab/>
        <w:t xml:space="preserve">The temperature had the greatest error during the first ten minutes of operation. After, the temperature trend followed that of the cooling water, shown in Figure 2. </w:t>
      </w:r>
      <w:r w:rsidR="00ED0CAB">
        <w:t>The temperature had a maximum temperature error of</w:t>
      </w:r>
      <m:oMath>
        <m:r>
          <w:rPr>
            <w:rFonts w:ascii="Cambria Math" w:hAnsi="Cambria Math"/>
          </w:rPr>
          <m:t xml:space="preserve"> 5℃</m:t>
        </m:r>
      </m:oMath>
      <w:r w:rsidR="002C1637">
        <w:rPr>
          <w:rFonts w:eastAsiaTheme="minorEastAsia"/>
        </w:rPr>
        <w:t xml:space="preserve"> and reached steady state around 35 </w:t>
      </w:r>
      <w:r w:rsidR="00637283">
        <w:rPr>
          <w:rFonts w:eastAsiaTheme="minorEastAsia"/>
        </w:rPr>
        <w:t>minutes</w:t>
      </w:r>
      <w:r w:rsidR="00ED0CAB">
        <w:rPr>
          <w:rFonts w:eastAsiaTheme="minorEastAsia"/>
        </w:rPr>
        <w:t>.</w:t>
      </w:r>
      <w:r w:rsidR="007E60FC">
        <w:rPr>
          <w:rFonts w:eastAsiaTheme="minorEastAsia"/>
        </w:rPr>
        <w:t xml:space="preserve"> The controller </w:t>
      </w:r>
      <w:r w:rsidR="00E17D7C">
        <w:rPr>
          <w:rFonts w:eastAsiaTheme="minorEastAsia"/>
        </w:rPr>
        <w:t>also let the temperature exceed the set point which may be unsafe.</w:t>
      </w:r>
    </w:p>
    <w:p w:rsidR="00054A72" w:rsidRDefault="00054A72" w:rsidP="00ED0CAB">
      <w:pPr>
        <w:keepNext/>
        <w:jc w:val="center"/>
      </w:pPr>
      <w:r>
        <w:rPr>
          <w:noProof/>
        </w:rPr>
        <w:drawing>
          <wp:inline distT="0" distB="0" distL="0" distR="0" wp14:anchorId="4C32819C" wp14:editId="48A30BBF">
            <wp:extent cx="5943600" cy="2600325"/>
            <wp:effectExtent l="0" t="0" r="0" b="9525"/>
            <wp:docPr id="10" name="Picture 10" descr="C:\Users\Thom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om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72" w:rsidRDefault="00054A72" w:rsidP="00ED0CAB">
      <w:pPr>
        <w:pStyle w:val="Caption"/>
        <w:jc w:val="center"/>
      </w:pPr>
      <w:r>
        <w:t xml:space="preserve">Figure </w:t>
      </w:r>
      <w:r w:rsidR="005B29E0">
        <w:fldChar w:fldCharType="begin"/>
      </w:r>
      <w:r w:rsidR="005B29E0">
        <w:instrText xml:space="preserve"> SEQ Figure \* ARABIC </w:instrText>
      </w:r>
      <w:r w:rsidR="005B29E0">
        <w:fldChar w:fldCharType="separate"/>
      </w:r>
      <w:r w:rsidR="00644A88">
        <w:rPr>
          <w:noProof/>
        </w:rPr>
        <w:t>2</w:t>
      </w:r>
      <w:r w:rsidR="005B29E0">
        <w:rPr>
          <w:noProof/>
        </w:rPr>
        <w:fldChar w:fldCharType="end"/>
      </w:r>
      <w:r>
        <w:t xml:space="preserve"> The requested water temperature leveled off as the temperature reached steady state.</w:t>
      </w:r>
    </w:p>
    <w:p w:rsidR="00ED0293" w:rsidRDefault="00ED0CAB" w:rsidP="00ED0293">
      <w:pPr>
        <w:keepNext/>
      </w:pPr>
      <w:r>
        <w:tab/>
        <w:t xml:space="preserve">The water temperature </w:t>
      </w:r>
      <w:r w:rsidR="00D87205">
        <w:t>needed for steady state operation was approximately 11</w:t>
      </w:r>
      <m:oMath>
        <m:r>
          <w:rPr>
            <w:rFonts w:ascii="Cambria Math" w:hAnsi="Cambria Math"/>
          </w:rPr>
          <m:t>℃</m:t>
        </m:r>
      </m:oMath>
      <w:r w:rsidR="00D87205">
        <w:rPr>
          <w:rFonts w:eastAsiaTheme="minorEastAsia"/>
        </w:rPr>
        <w:t xml:space="preserve">. After ten minutes, the requested temperature drops below the freezing point of water, </w:t>
      </w:r>
      <w:r w:rsidR="007E60FC">
        <w:rPr>
          <w:rFonts w:eastAsiaTheme="minorEastAsia"/>
        </w:rPr>
        <w:t>presenting a piping problem.</w:t>
      </w:r>
      <w:r w:rsidR="00D15C0F">
        <w:rPr>
          <w:rFonts w:eastAsiaTheme="minorEastAsia"/>
        </w:rPr>
        <w:t xml:space="preserve"> The temperature reached an almost constant value at the same time the temperature leveled off.</w:t>
      </w:r>
    </w:p>
    <w:p w:rsidR="00E17D7C" w:rsidRDefault="00ED0293" w:rsidP="00ED0CAB">
      <w:pPr>
        <w:rPr>
          <w:rFonts w:eastAsiaTheme="minorEastAsia"/>
        </w:rPr>
      </w:pPr>
      <w:r>
        <w:rPr>
          <w:rFonts w:eastAsiaTheme="minorEastAsia"/>
        </w:rPr>
        <w:tab/>
      </w:r>
    </w:p>
    <w:p w:rsidR="00E17D7C" w:rsidRPr="00ED0CAB" w:rsidRDefault="00E17D7C" w:rsidP="00ED0CAB"/>
    <w:p w:rsidR="000549F9" w:rsidRDefault="00995664">
      <w:r>
        <w:rPr>
          <w:b/>
        </w:rPr>
        <w:lastRenderedPageBreak/>
        <w:t>What-If Analysis</w:t>
      </w:r>
    </w:p>
    <w:p w:rsidR="000233F0" w:rsidRDefault="00461D86">
      <w:r>
        <w:tab/>
        <w:t>The system was further explored by simulating a surge of cooling water. This could be possible by manually opening the cooling water va</w:t>
      </w:r>
      <w:r w:rsidR="000233F0">
        <w:t>lve in the case of overheating.</w:t>
      </w:r>
      <w:r w:rsidR="00911C5E">
        <w:t xml:space="preserve"> To simulate the increased flow rate, the residence time,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11C5E">
        <w:rPr>
          <w:rFonts w:eastAsiaTheme="minorEastAsia"/>
        </w:rPr>
        <w:t xml:space="preserve">, was decreased </w:t>
      </w:r>
      <w:r w:rsidR="00D87205">
        <w:rPr>
          <w:rFonts w:eastAsiaTheme="minorEastAsia"/>
        </w:rPr>
        <w:t xml:space="preserve">to </w:t>
      </w:r>
      <w:r w:rsidR="00E17D7C">
        <w:rPr>
          <w:rFonts w:eastAsiaTheme="minorEastAsia"/>
        </w:rPr>
        <w:t>1.0</w:t>
      </w:r>
      <w:r w:rsidR="00D87205">
        <w:rPr>
          <w:rFonts w:eastAsiaTheme="minorEastAsia"/>
        </w:rPr>
        <w:t>.</w:t>
      </w:r>
    </w:p>
    <w:p w:rsidR="000233F0" w:rsidRDefault="000233F0">
      <w:r>
        <w:tab/>
        <w:t>New controller constants were calculated and compared to the non-surge-system.</w:t>
      </w:r>
    </w:p>
    <w:p w:rsidR="00137503" w:rsidRDefault="00137503" w:rsidP="00137503">
      <w:pPr>
        <w:pStyle w:val="Caption"/>
        <w:keepNext/>
      </w:pPr>
      <w:r>
        <w:t xml:space="preserve">Table </w:t>
      </w:r>
      <w:r w:rsidR="005B29E0">
        <w:fldChar w:fldCharType="begin"/>
      </w:r>
      <w:r w:rsidR="005B29E0">
        <w:instrText xml:space="preserve"> SEQ Table \* ARABIC </w:instrText>
      </w:r>
      <w:r w:rsidR="005B29E0">
        <w:fldChar w:fldCharType="separate"/>
      </w:r>
      <w:r>
        <w:rPr>
          <w:noProof/>
        </w:rPr>
        <w:t>2</w:t>
      </w:r>
      <w:r w:rsidR="005B29E0">
        <w:rPr>
          <w:noProof/>
        </w:rPr>
        <w:fldChar w:fldCharType="end"/>
      </w:r>
      <w:r w:rsidR="00AE3A0B">
        <w:t xml:space="preserve"> Process constants after the cooling jacket time constant was modified.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3F0" w:rsidTr="002D2B7F">
        <w:tc>
          <w:tcPr>
            <w:tcW w:w="4675" w:type="dxa"/>
          </w:tcPr>
          <w:p w:rsidR="000233F0" w:rsidRDefault="000233F0" w:rsidP="002D2B7F">
            <w:r>
              <w:t>Variable</w:t>
            </w:r>
          </w:p>
        </w:tc>
        <w:tc>
          <w:tcPr>
            <w:tcW w:w="4675" w:type="dxa"/>
          </w:tcPr>
          <w:p w:rsidR="000233F0" w:rsidRDefault="000233F0" w:rsidP="002D2B7F">
            <w:r>
              <w:t>Tuned</w:t>
            </w:r>
          </w:p>
        </w:tc>
      </w:tr>
      <w:tr w:rsidR="000233F0" w:rsidTr="002D2B7F">
        <w:tc>
          <w:tcPr>
            <w:tcW w:w="4675" w:type="dxa"/>
          </w:tcPr>
          <w:p w:rsidR="000233F0" w:rsidRDefault="005B29E0" w:rsidP="002D2B7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233F0" w:rsidRDefault="00194ADA" w:rsidP="002D2B7F">
            <w:r>
              <w:t>30.0</w:t>
            </w:r>
          </w:p>
        </w:tc>
      </w:tr>
      <w:tr w:rsidR="000233F0" w:rsidTr="002D2B7F">
        <w:tc>
          <w:tcPr>
            <w:tcW w:w="4675" w:type="dxa"/>
          </w:tcPr>
          <w:p w:rsidR="000233F0" w:rsidRDefault="005B29E0" w:rsidP="002D2B7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233F0" w:rsidRDefault="00194ADA" w:rsidP="002D2B7F">
            <w:r>
              <w:t>0.5</w:t>
            </w:r>
          </w:p>
        </w:tc>
      </w:tr>
    </w:tbl>
    <w:p w:rsidR="007A60B0" w:rsidRDefault="007A60B0"/>
    <w:p w:rsidR="001A5464" w:rsidRPr="001A5464" w:rsidRDefault="00F24DDF">
      <w:r>
        <w:t>Because</w:t>
      </w:r>
      <w:r w:rsidR="001A54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1A5464">
        <w:rPr>
          <w:rFonts w:eastAsiaTheme="minorEastAsia"/>
        </w:rPr>
        <w:t xml:space="preserve"> is smaller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A5464">
        <w:rPr>
          <w:rFonts w:eastAsiaTheme="minorEastAsia"/>
        </w:rPr>
        <w:t xml:space="preserve"> is greater than before, this control scheme gives more lose control. </w:t>
      </w:r>
      <w:r w:rsidR="00D15C0F">
        <w:rPr>
          <w:rFonts w:eastAsiaTheme="minorEastAsia"/>
        </w:rPr>
        <w:t xml:space="preserve">Because energy can be dissipated faster, the system does not need the tight control as in the </w:t>
      </w:r>
      <w:r w:rsidR="00BB1C0E">
        <w:rPr>
          <w:rFonts w:eastAsiaTheme="minorEastAsia"/>
        </w:rPr>
        <w:t>original</w:t>
      </w:r>
      <w:r w:rsidR="00D15C0F">
        <w:rPr>
          <w:rFonts w:eastAsiaTheme="minorEastAsia"/>
        </w:rPr>
        <w:t xml:space="preserve"> CSTR.</w:t>
      </w:r>
    </w:p>
    <w:p w:rsidR="00644A88" w:rsidRDefault="00ED0293" w:rsidP="00644A88">
      <w:pPr>
        <w:keepNext/>
      </w:pPr>
      <w:r>
        <w:rPr>
          <w:rFonts w:eastAsiaTheme="minorEastAsia"/>
          <w:noProof/>
        </w:rPr>
        <w:drawing>
          <wp:inline distT="0" distB="0" distL="0" distR="0" wp14:anchorId="29C8FB0E" wp14:editId="1E53FF63">
            <wp:extent cx="5591175" cy="2813508"/>
            <wp:effectExtent l="0" t="0" r="0" b="6350"/>
            <wp:docPr id="11" name="Picture 11" descr="C:\Users\Thom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om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77" cy="28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293" w:rsidRDefault="00644A88" w:rsidP="00644A88">
      <w:pPr>
        <w:pStyle w:val="Caption"/>
      </w:pPr>
      <w:r>
        <w:t xml:space="preserve">Figure </w:t>
      </w:r>
      <w:r w:rsidR="005B29E0">
        <w:fldChar w:fldCharType="begin"/>
      </w:r>
      <w:r w:rsidR="005B29E0">
        <w:instrText xml:space="preserve"> SEQ Figure \* ARABIC </w:instrText>
      </w:r>
      <w:r w:rsidR="005B29E0">
        <w:fldChar w:fldCharType="separate"/>
      </w:r>
      <w:r>
        <w:rPr>
          <w:noProof/>
        </w:rPr>
        <w:t>3</w:t>
      </w:r>
      <w:r w:rsidR="005B29E0">
        <w:rPr>
          <w:noProof/>
        </w:rPr>
        <w:fldChar w:fldCharType="end"/>
      </w:r>
    </w:p>
    <w:p w:rsidR="00646C9D" w:rsidRDefault="0093225A">
      <w:r>
        <w:t xml:space="preserve">From Figure </w:t>
      </w:r>
      <w:r w:rsidR="00644A88">
        <w:t>4</w:t>
      </w:r>
      <w:r w:rsidR="00ED0293">
        <w:t>,</w:t>
      </w:r>
      <w:r>
        <w:t xml:space="preserve"> it is evident that the decreased residence time effected the temperature by</w:t>
      </w:r>
      <w:r w:rsidR="00ED0293">
        <w:t xml:space="preserve"> undershooting the set point by </w:t>
      </w:r>
      <m:oMath>
        <m:r>
          <w:rPr>
            <w:rFonts w:ascii="Cambria Math" w:hAnsi="Cambria Math"/>
          </w:rPr>
          <m:t>7℃</m:t>
        </m:r>
      </m:oMath>
      <w:r w:rsidR="00ED0293">
        <w:t xml:space="preserve">. </w:t>
      </w:r>
      <w:r w:rsidR="00F24DDF">
        <w:t xml:space="preserve">The larger temperature error is most likely due to </w:t>
      </w:r>
      <w:r w:rsidR="00D15C0F">
        <w:t xml:space="preserve">the system having more relaxed parameters than before. </w:t>
      </w:r>
      <w:r w:rsidR="00ED0293">
        <w:t>Th</w:t>
      </w:r>
      <w:r w:rsidR="00F76601">
        <w:t>e temperature also did not exceed the set point</w:t>
      </w:r>
      <w:r>
        <w:t xml:space="preserve">. </w:t>
      </w:r>
    </w:p>
    <w:p w:rsidR="00644A88" w:rsidRDefault="00C20956" w:rsidP="00644A88">
      <w:pPr>
        <w:keepNext/>
      </w:pPr>
      <w:r>
        <w:rPr>
          <w:noProof/>
        </w:rPr>
        <w:lastRenderedPageBreak/>
        <w:drawing>
          <wp:inline distT="0" distB="0" distL="0" distR="0" wp14:anchorId="27D4D258" wp14:editId="2A9654EF">
            <wp:extent cx="5943600" cy="2876550"/>
            <wp:effectExtent l="0" t="0" r="0" b="0"/>
            <wp:docPr id="12" name="Picture 12" descr="C:\Users\Thom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om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9D" w:rsidRDefault="00644A88" w:rsidP="001312CA">
      <w:pPr>
        <w:pStyle w:val="Caption"/>
      </w:pPr>
      <w:r>
        <w:t xml:space="preserve">Figure </w:t>
      </w:r>
      <w:r w:rsidR="005B29E0">
        <w:fldChar w:fldCharType="begin"/>
      </w:r>
      <w:r w:rsidR="005B29E0">
        <w:instrText xml:space="preserve"> SEQ Figure \* ARABIC </w:instrText>
      </w:r>
      <w:r w:rsidR="005B29E0">
        <w:fldChar w:fldCharType="separate"/>
      </w:r>
      <w:r>
        <w:rPr>
          <w:noProof/>
        </w:rPr>
        <w:t>4</w:t>
      </w:r>
      <w:r w:rsidR="005B29E0">
        <w:rPr>
          <w:noProof/>
        </w:rPr>
        <w:fldChar w:fldCharType="end"/>
      </w:r>
      <w:r w:rsidR="001312CA">
        <w:t xml:space="preserve"> The requested water temperature experienced a larger fluctuation.</w:t>
      </w:r>
    </w:p>
    <w:p w:rsidR="007A46DD" w:rsidRDefault="0093225A">
      <w:r>
        <w:t xml:space="preserve">The requested water temperature was also effected by the change, shown in Figure </w:t>
      </w:r>
      <w:r w:rsidR="00644A88">
        <w:t>4.</w:t>
      </w:r>
      <w:r>
        <w:t xml:space="preserve"> The water temperature was </w:t>
      </w:r>
      <w:r w:rsidR="00644A88">
        <w:t>requested at a higher temperature,</w:t>
      </w:r>
      <w:r w:rsidR="00C22D5B">
        <w:t xml:space="preserve"> due to the </w:t>
      </w:r>
      <w:r w:rsidR="00194ADA">
        <w:t>decreased contact time.</w:t>
      </w:r>
      <w:r w:rsidR="00D15C0F">
        <w:t xml:space="preserve"> </w:t>
      </w:r>
    </w:p>
    <w:p w:rsidR="00E1790F" w:rsidRDefault="00E1790F"/>
    <w:p w:rsidR="00911C5E" w:rsidRDefault="00911C5E">
      <w:r w:rsidRPr="00911C5E">
        <w:rPr>
          <w:b/>
        </w:rPr>
        <w:t>Closing Remarks</w:t>
      </w:r>
    </w:p>
    <w:p w:rsidR="00911C5E" w:rsidRDefault="00911C5E">
      <w:r>
        <w:tab/>
      </w:r>
      <w:r w:rsidR="008D7CD1">
        <w:t xml:space="preserve">At steady state, the controller will keep the </w:t>
      </w:r>
      <w:r w:rsidR="0093225A">
        <w:t xml:space="preserve">reactor temperature within </w:t>
      </w:r>
      <m:oMath>
        <m:r>
          <w:rPr>
            <w:rFonts w:ascii="Cambria Math" w:hAnsi="Cambria Math"/>
          </w:rPr>
          <m:t>±  ℃</m:t>
        </m:r>
      </m:oMath>
      <w:r w:rsidR="00E1790F">
        <w:rPr>
          <w:rFonts w:eastAsiaTheme="minorEastAsia"/>
        </w:rPr>
        <w:t xml:space="preserve">. </w:t>
      </w:r>
      <w:r>
        <w:t xml:space="preserve">The large </w:t>
      </w:r>
      <w:r w:rsidR="008D7CD1">
        <w:t>oscillatory</w:t>
      </w:r>
      <w:r>
        <w:t xml:space="preserve"> response may be eliminated by exploring ot</w:t>
      </w:r>
      <w:r w:rsidR="008D7CD1">
        <w:t>her tuning methods such as the Cohen-Coon method.</w:t>
      </w:r>
    </w:p>
    <w:p w:rsidR="00911C5E" w:rsidRDefault="00911C5E"/>
    <w:p w:rsidR="00911C5E" w:rsidRDefault="00911C5E"/>
    <w:p w:rsidR="00911C5E" w:rsidRDefault="00911C5E"/>
    <w:p w:rsidR="00911C5E" w:rsidRDefault="00911C5E"/>
    <w:p w:rsidR="00911C5E" w:rsidRDefault="00911C5E"/>
    <w:p w:rsidR="00911C5E" w:rsidRDefault="004537AC">
      <w:r>
        <w:t xml:space="preserve"> </w:t>
      </w:r>
    </w:p>
    <w:p w:rsidR="007A46DD" w:rsidRDefault="007A46DD"/>
    <w:p w:rsidR="007A46DD" w:rsidRDefault="007A46DD" w:rsidP="007A46DD">
      <w:pPr>
        <w:jc w:val="center"/>
      </w:pPr>
      <w:r>
        <w:t>Works Cited</w:t>
      </w:r>
    </w:p>
    <w:p w:rsidR="007A46DD" w:rsidRDefault="00894658">
      <w:r w:rsidRPr="00894658">
        <w:t>http://ieeecss.org/CSM/library/1996/june1996/02-HistoryofAutoCtrl.pdf</w:t>
      </w:r>
    </w:p>
    <w:p w:rsidR="007A46DD" w:rsidRDefault="00894658">
      <w:r w:rsidRPr="00894658">
        <w:t>http://www.facstaff.bucknell.edu/mastascu/econtrolhtml/Intro/Intro1.html</w:t>
      </w:r>
    </w:p>
    <w:p w:rsidR="007A46DD" w:rsidRPr="006C7120" w:rsidRDefault="007A46DD" w:rsidP="006C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sectPr w:rsidR="007A46DD" w:rsidRPr="006C71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9E0" w:rsidRDefault="005B29E0" w:rsidP="007A46DD">
      <w:pPr>
        <w:spacing w:after="0" w:line="240" w:lineRule="auto"/>
      </w:pPr>
      <w:r>
        <w:separator/>
      </w:r>
    </w:p>
  </w:endnote>
  <w:endnote w:type="continuationSeparator" w:id="0">
    <w:p w:rsidR="005B29E0" w:rsidRDefault="005B29E0" w:rsidP="007A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9E0" w:rsidRDefault="005B29E0" w:rsidP="007A46DD">
      <w:pPr>
        <w:spacing w:after="0" w:line="240" w:lineRule="auto"/>
      </w:pPr>
      <w:r>
        <w:separator/>
      </w:r>
    </w:p>
  </w:footnote>
  <w:footnote w:type="continuationSeparator" w:id="0">
    <w:p w:rsidR="005B29E0" w:rsidRDefault="005B29E0" w:rsidP="007A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6DD" w:rsidRDefault="007A46DD">
    <w:pPr>
      <w:pStyle w:val="Header"/>
      <w:jc w:val="right"/>
    </w:pPr>
    <w:proofErr w:type="spellStart"/>
    <w:r>
      <w:t>Thelen</w:t>
    </w:r>
    <w:proofErr w:type="spellEnd"/>
    <w:r>
      <w:t xml:space="preserve"> </w:t>
    </w:r>
    <w:sdt>
      <w:sdtPr>
        <w:id w:val="15733942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120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7A46DD" w:rsidRDefault="007A46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86"/>
    <w:rsid w:val="00003438"/>
    <w:rsid w:val="000233F0"/>
    <w:rsid w:val="000549F9"/>
    <w:rsid w:val="00054A72"/>
    <w:rsid w:val="000613A3"/>
    <w:rsid w:val="001312CA"/>
    <w:rsid w:val="00137503"/>
    <w:rsid w:val="00175D76"/>
    <w:rsid w:val="00194ADA"/>
    <w:rsid w:val="001A5464"/>
    <w:rsid w:val="00205237"/>
    <w:rsid w:val="00286BEB"/>
    <w:rsid w:val="002B420B"/>
    <w:rsid w:val="002C1637"/>
    <w:rsid w:val="002E2D00"/>
    <w:rsid w:val="003B3989"/>
    <w:rsid w:val="003B607D"/>
    <w:rsid w:val="003E0790"/>
    <w:rsid w:val="00407A02"/>
    <w:rsid w:val="004537AC"/>
    <w:rsid w:val="00461D86"/>
    <w:rsid w:val="00475A6D"/>
    <w:rsid w:val="00481C52"/>
    <w:rsid w:val="00492B1D"/>
    <w:rsid w:val="004E5CCD"/>
    <w:rsid w:val="00506A7D"/>
    <w:rsid w:val="00521BE0"/>
    <w:rsid w:val="00526817"/>
    <w:rsid w:val="00540D67"/>
    <w:rsid w:val="005B29E0"/>
    <w:rsid w:val="00637283"/>
    <w:rsid w:val="00644A88"/>
    <w:rsid w:val="00646C9D"/>
    <w:rsid w:val="006501EA"/>
    <w:rsid w:val="00685C86"/>
    <w:rsid w:val="006B4C22"/>
    <w:rsid w:val="006C7120"/>
    <w:rsid w:val="00701DF0"/>
    <w:rsid w:val="007A46DD"/>
    <w:rsid w:val="007A60B0"/>
    <w:rsid w:val="007E60FC"/>
    <w:rsid w:val="008670B1"/>
    <w:rsid w:val="00885A46"/>
    <w:rsid w:val="00894658"/>
    <w:rsid w:val="008D7CD1"/>
    <w:rsid w:val="008E2D6D"/>
    <w:rsid w:val="008E75E1"/>
    <w:rsid w:val="00911C5E"/>
    <w:rsid w:val="0093225A"/>
    <w:rsid w:val="00995664"/>
    <w:rsid w:val="00A601B0"/>
    <w:rsid w:val="00A90F2C"/>
    <w:rsid w:val="00AD692E"/>
    <w:rsid w:val="00AE3A0B"/>
    <w:rsid w:val="00BB1C0E"/>
    <w:rsid w:val="00C20956"/>
    <w:rsid w:val="00C22D5B"/>
    <w:rsid w:val="00D1406F"/>
    <w:rsid w:val="00D15C0F"/>
    <w:rsid w:val="00D401F7"/>
    <w:rsid w:val="00D53501"/>
    <w:rsid w:val="00D55E78"/>
    <w:rsid w:val="00D87205"/>
    <w:rsid w:val="00DE14B6"/>
    <w:rsid w:val="00E1790F"/>
    <w:rsid w:val="00E17D7C"/>
    <w:rsid w:val="00E64DB0"/>
    <w:rsid w:val="00E77A85"/>
    <w:rsid w:val="00E9246B"/>
    <w:rsid w:val="00ED0293"/>
    <w:rsid w:val="00ED0CAB"/>
    <w:rsid w:val="00EF662F"/>
    <w:rsid w:val="00F00D9C"/>
    <w:rsid w:val="00F24DDF"/>
    <w:rsid w:val="00F73E05"/>
    <w:rsid w:val="00F76601"/>
    <w:rsid w:val="00F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5164"/>
  <w15:chartTrackingRefBased/>
  <w15:docId w15:val="{0D27AA67-E473-487B-9846-9441A875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7A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6DD"/>
  </w:style>
  <w:style w:type="paragraph" w:styleId="Footer">
    <w:name w:val="footer"/>
    <w:basedOn w:val="Normal"/>
    <w:link w:val="FooterChar"/>
    <w:uiPriority w:val="99"/>
    <w:unhideWhenUsed/>
    <w:rsid w:val="007A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6DD"/>
  </w:style>
  <w:style w:type="paragraph" w:styleId="Caption">
    <w:name w:val="caption"/>
    <w:basedOn w:val="Normal"/>
    <w:next w:val="Normal"/>
    <w:uiPriority w:val="35"/>
    <w:unhideWhenUsed/>
    <w:qFormat/>
    <w:rsid w:val="008670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Central</cp:lastModifiedBy>
  <cp:revision>49</cp:revision>
  <dcterms:created xsi:type="dcterms:W3CDTF">2015-04-29T23:22:00Z</dcterms:created>
  <dcterms:modified xsi:type="dcterms:W3CDTF">2016-01-11T21:50:00Z</dcterms:modified>
</cp:coreProperties>
</file>