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2240" w:type="dxa"/>
        <w:tblLayout w:type="fixed"/>
        <w:tblCellMar>
          <w:left w:w="0" w:type="dxa"/>
          <w:right w:w="0" w:type="dxa"/>
        </w:tblCellMar>
      </w:tblPr>
      <w:tblGrid>
        <w:gridCol w:w="12240"/>
      </w:tblGrid>
      <w:tr>
        <w:trPr>
          <w:trHeight w:val="14300" w:hRule="exact"/>
        </w:trPr>
        <w:tc>
          <w:tcPr>
            <w:tcW w:w="12240" w:type="dxa"/>
            <w:tcBorders>
              <w:top w:val="nil"/>
              <w:bottom w:val="nil"/>
              <w:left w:val="nil"/>
              <w:right w:val="nil"/>
            </w:tcBorders>
            <w:shd w:val="clear" w:color="auto" w:fill="0E1116"/>
            <w:tcMar>
              <w:top w:w="1160" w:type="dxa"/>
              <w:bottom w:w="1160" w:type="dxa"/>
              <w:left w:w="1260" w:type="dxa"/>
              <w:right w:w="1260" w:type="dxa"/>
            </w:tcMar>
          </w:tcPr>
          <w:p>
            <w:pPr>
              <w:tabs>
                <w:tab w:val="right" w:pos="9720"/>
              </w:tabs>
              <w:spacing w:before="0" w:after="0" w:line="240" w:lineRule="auto"/>
            </w:pPr>
            <w:r>
              <w:rPr>
                <w:rFonts w:ascii="Lato" w:hAnsi="Lato" w:cs="Lato"/>
                <w:caps/>
                <w:color w:val="9AA5B1"/>
                <w:sz w:val="17"/>
                <w:szCs w:val="17"/>
                <w:spacing w:val="40"/>
              </w:rPr>
              <w:t>L’ÉPOPÉE DES SILENCES</w:t>
              <w:tab/>
              <w:t>CONFIDENTIEL — DOCUMENT DE TRAVAIL</w:t>
            </w:r>
            <w:r/>
            <w:r>
              <w:rPr>
                <w:rFonts w:ascii="Lato" w:hAnsi="Lato" w:cs="Lato"/>
                <w:caps/>
                <w:color w:val="6B7688"/>
                <w:sz w:val="17"/>
                <w:szCs w:val="17"/>
                <w:spacing w:val="40"/>
              </w:rPr>
            </w:r>
          </w:p>
          <w:p>
            <w:pPr>
              <w:spacing w:before="0" w:after="3600" w:line="300" w:lineRule="auto"/>
            </w:pPr>
            <w:r>
              <w:rPr>
                <w:rFonts w:ascii="Lato" w:hAnsi="Lato" w:cs="Lato"/>
                <w:color w:val="16191E"/>
                <w:sz w:val="22"/>
                <w:szCs w:val="22"/>
              </w:rPr>
              <w:t xml:space="preserve"/>
            </w:r>
          </w:p>
          <w:p>
            <w:pPr>
              <w:spacing w:before="0" w:after="320" w:line="300" w:lineRule="auto"/>
            </w:pPr>
            <w:r>
              <w:rPr>
                <w:rFonts w:ascii="Lato" w:hAnsi="Lato" w:cs="Lato"/>
                <w:caps/>
                <w:color w:val="9AA5B1"/>
                <w:sz w:val="18"/>
                <w:szCs w:val="18"/>
                <w:spacing w:val="60"/>
              </w:rPr>
              <w:t>SFD · SPÉCIFICATIONS FONCTIONNELLES DÉTAILLÉES</w:t>
            </w:r>
          </w:p>
          <w:p>
            <w:pPr>
              <w:spacing w:before="0" w:after="0" w:line="210" w:lineRule="auto"/>
            </w:pPr>
            <w:r>
              <w:rPr>
                <w:rFonts w:ascii="Lato" w:hAnsi="Lato" w:cs="Lato"/>
                <w:b/>
                <w:color w:val="E6E9EE"/>
                <w:sz w:val="80"/>
                <w:szCs w:val="80"/>
              </w:rPr>
              <w:t>Exploration vivante</w:t>
            </w:r>
          </w:p>
          <w:p>
            <w:pPr>
              <w:spacing w:before="0" w:after="340" w:line="210" w:lineRule="auto"/>
            </w:pPr>
            <w:r>
              <w:rPr>
                <w:rFonts w:ascii="Lato" w:hAnsi="Lato" w:cs="Lato"/>
                <w:b/>
                <w:color w:val="6B7688"/>
                <w:sz w:val="80"/>
                <w:szCs w:val="80"/>
              </w:rPr>
              <w:t>Acteurs &amp; déclencheurs</w:t>
            </w:r>
          </w:p>
          <w:p>
            <w:pPr>
              <w:spacing w:before="0" w:after="0" w:line="340" w:lineRule="auto"/>
            </w:pPr>
            <w:r>
              <w:rPr>
                <w:rFonts w:ascii="Lato" w:hAnsi="Lato" w:cs="Lato"/>
                <w:color w:val="9AA5B1"/>
                <w:sz w:val="24"/>
                <w:szCs w:val="24"/>
              </w:rPr>
              <w:t>PNJ autonomes, poursuite ennemie, contact de combat et exceptions scénarisées.</w:t>
            </w:r>
          </w:p>
          <w:p>
            <w:pPr>
              <w:spacing w:before="0" w:after="3200" w:line="300" w:lineRule="auto"/>
            </w:pPr>
            <w:r>
              <w:rPr>
                <w:rFonts w:ascii="Lato" w:hAnsi="Lato" w:cs="Lato"/>
                <w:color w:val="16191E"/>
                <w:sz w:val="22"/>
                <w:szCs w:val="22"/>
              </w:rPr>
              <w:t xml:space="preserve"/>
            </w:r>
          </w:p>
          <w:tbl>
            <w:tblPr>
              <w:tblW w:w="9720" w:type="dxa"/>
              <w:tblLayout w:type="fixed"/>
              <w:tblCellMar>
                <w:left w:w="0" w:type="dxa"/>
                <w:right w:w="0" w:type="dxa"/>
              </w:tblCellMar>
            </w:tblPr>
            <w:tblGrid>
              <w:gridCol w:w="2430"/>
              <w:gridCol w:w="2430"/>
              <w:gridCol w:w="2430"/>
              <w:gridCol w:w="2430"/>
            </w:tblGrid>
            <w:tr>
              <w:tc>
                <w:tcPr>
                  <w:tcW w:w="2430" w:type="dxa"/>
                  <w:tcBorders>
                    <w:top w:val="single" w:sz="4" w:space="0" w:color="2B333D"/>
                    <w:bottom w:val="nil"/>
                    <w:left w:val="nil"/>
                    <w:right w:val="nil"/>
                  </w:tcBorders>
                  <w:tcMar>
                    <w:top w:w="120" w:type="dxa"/>
                    <w:bottom w:w="0" w:type="dxa"/>
                    <w:left w:w="0" w:type="dxa"/>
                    <w:right w:w="120" w:type="dxa"/>
                  </w:tcMar>
                </w:tcPr>
                <w:p>
                  <w:pPr>
                    <w:spacing w:before="0" w:after="60" w:line="240" w:lineRule="auto"/>
                  </w:pPr>
                  <w:r>
                    <w:rPr>
                      <w:rFonts w:ascii="Lato" w:hAnsi="Lato" w:cs="Lato"/>
                      <w:caps/>
                      <w:color w:val="6B7688"/>
                      <w:sz w:val="16"/>
                      <w:szCs w:val="16"/>
                      <w:spacing w:val="40"/>
                    </w:rPr>
                    <w:t xml:space="preserve">Référence</w:t>
                  </w:r>
                </w:p>
              </w:tc>
              <w:tc>
                <w:tcPr>
                  <w:tcW w:w="2430" w:type="dxa"/>
                  <w:tcBorders>
                    <w:top w:val="single" w:sz="4" w:space="0" w:color="2B333D"/>
                    <w:bottom w:val="nil"/>
                    <w:left w:val="nil"/>
                    <w:right w:val="nil"/>
                  </w:tcBorders>
                  <w:tcMar>
                    <w:top w:w="120" w:type="dxa"/>
                    <w:bottom w:w="0" w:type="dxa"/>
                    <w:left w:w="0" w:type="dxa"/>
                    <w:right w:w="120" w:type="dxa"/>
                  </w:tcMar>
                </w:tcPr>
                <w:p>
                  <w:pPr>
                    <w:spacing w:before="0" w:after="60" w:line="240" w:lineRule="auto"/>
                  </w:pPr>
                  <w:r>
                    <w:rPr>
                      <w:rFonts w:ascii="Lato" w:hAnsi="Lato" w:cs="Lato"/>
                      <w:caps/>
                      <w:color w:val="6B7688"/>
                      <w:sz w:val="16"/>
                      <w:szCs w:val="16"/>
                      <w:spacing w:val="40"/>
                    </w:rPr>
                    <w:t xml:space="preserve">Version</w:t>
                  </w:r>
                </w:p>
              </w:tc>
              <w:tc>
                <w:tcPr>
                  <w:tcW w:w="2430" w:type="dxa"/>
                  <w:tcBorders>
                    <w:top w:val="single" w:sz="4" w:space="0" w:color="2B333D"/>
                    <w:bottom w:val="nil"/>
                    <w:left w:val="nil"/>
                    <w:right w:val="nil"/>
                  </w:tcBorders>
                  <w:tcMar>
                    <w:top w:w="120" w:type="dxa"/>
                    <w:bottom w:w="0" w:type="dxa"/>
                    <w:left w:w="0" w:type="dxa"/>
                    <w:right w:w="120" w:type="dxa"/>
                  </w:tcMar>
                </w:tcPr>
                <w:p>
                  <w:pPr>
                    <w:spacing w:before="0" w:after="60" w:line="240" w:lineRule="auto"/>
                  </w:pPr>
                  <w:r>
                    <w:rPr>
                      <w:rFonts w:ascii="Lato" w:hAnsi="Lato" w:cs="Lato"/>
                      <w:caps/>
                      <w:color w:val="6B7688"/>
                      <w:sz w:val="16"/>
                      <w:szCs w:val="16"/>
                      <w:spacing w:val="40"/>
                    </w:rPr>
                    <w:t xml:space="preserve">Auteur</w:t>
                  </w:r>
                </w:p>
              </w:tc>
              <w:tc>
                <w:tcPr>
                  <w:tcW w:w="2430" w:type="dxa"/>
                  <w:tcBorders>
                    <w:top w:val="single" w:sz="4" w:space="0" w:color="2B333D"/>
                    <w:bottom w:val="nil"/>
                    <w:left w:val="nil"/>
                    <w:right w:val="nil"/>
                  </w:tcBorders>
                  <w:tcMar>
                    <w:top w:w="120" w:type="dxa"/>
                    <w:bottom w:w="0" w:type="dxa"/>
                    <w:left w:w="0" w:type="dxa"/>
                    <w:right w:w="120" w:type="dxa"/>
                  </w:tcMar>
                </w:tcPr>
                <w:p>
                  <w:pPr>
                    <w:spacing w:before="0" w:after="60" w:line="240" w:lineRule="auto"/>
                  </w:pPr>
                  <w:r>
                    <w:rPr>
                      <w:rFonts w:ascii="Lato" w:hAnsi="Lato" w:cs="Lato"/>
                      <w:caps/>
                      <w:color w:val="6B7688"/>
                      <w:sz w:val="16"/>
                      <w:szCs w:val="16"/>
                      <w:spacing w:val="40"/>
                    </w:rPr>
                    <w:t xml:space="preserve">Statut</w:t>
                  </w:r>
                </w:p>
              </w:tc>
            </w:tr>
            <w:tr>
              <w:tc>
                <w:tcPr>
                  <w:tcW w:w="2430" w:type="dxa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0" w:type="dxa"/>
                    <w:bottom w:w="140" w:type="dxa"/>
                    <w:left w:w="0" w:type="dxa"/>
                    <w:right w:w="12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Lato" w:hAnsi="Lato" w:cs="Lato"/>
                      <w:color w:val="E6E9EE"/>
                      <w:sz w:val="21"/>
                      <w:szCs w:val="21"/>
                    </w:rPr>
                    <w:t>LEDS-SFD-EXP-001</w:t>
                  </w:r>
                </w:p>
              </w:tc>
              <w:tc>
                <w:tcPr>
                  <w:tcW w:w="2430" w:type="dxa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0" w:type="dxa"/>
                    <w:bottom w:w="140" w:type="dxa"/>
                    <w:left w:w="0" w:type="dxa"/>
                    <w:right w:w="12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Lato" w:hAnsi="Lato" w:cs="Lato"/>
                      <w:color w:val="E6E9EE"/>
                      <w:sz w:val="21"/>
                      <w:szCs w:val="21"/>
                    </w:rPr>
                    <w:t>1.0 — 25/08/2026</w:t>
                  </w:r>
                </w:p>
              </w:tc>
              <w:tc>
                <w:tcPr>
                  <w:tcW w:w="2430" w:type="dxa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0" w:type="dxa"/>
                    <w:bottom w:w="140" w:type="dxa"/>
                    <w:left w:w="0" w:type="dxa"/>
                    <w:right w:w="12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Lato" w:hAnsi="Lato" w:cs="Lato"/>
                      <w:color w:val="E6E9EE"/>
                      <w:sz w:val="21"/>
                      <w:szCs w:val="21"/>
                    </w:rPr>
                    <w:t>Équipe L’Épopée des Silences</w:t>
                  </w:r>
                </w:p>
              </w:tc>
              <w:tc>
                <w:tcPr>
                  <w:tcW w:w="2430" w:type="dxa"/>
                  <w:tcBorders>
                    <w:top w:val="nil"/>
                    <w:bottom w:val="nil"/>
                    <w:left w:val="nil"/>
                    <w:right w:val="nil"/>
                  </w:tcBorders>
                  <w:tcMar>
                    <w:top w:w="0" w:type="dxa"/>
                    <w:bottom w:w="140" w:type="dxa"/>
                    <w:left w:w="0" w:type="dxa"/>
                    <w:right w:w="120" w:type="dxa"/>
                  </w:tcMar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Lato" w:hAnsi="Lato" w:cs="Lato"/>
                      <w:color w:val="E6E9EE"/>
                      <w:sz w:val="21"/>
                      <w:szCs w:val="21"/>
                    </w:rPr>
                    <w:t>Référence d'implémentation</w:t>
                  </w:r>
                </w:p>
              </w:tc>
            </w:tr>
          </w:tbl>
          <w:p>
            <w:pPr>
              <w:spacing w:before="0" w:after="0" w:line="300" w:lineRule="auto"/>
            </w:pPr>
            <w:r>
              <w:rPr>
                <w:rFonts w:ascii="Lato" w:hAnsi="Lato" w:cs="Lato"/>
                <w:color w:val="16191E"/>
                <w:sz w:val="2"/>
                <w:szCs w:val="2"/>
              </w:rPr>
              <w:t xml:space="preserve"/>
            </w:r>
          </w:p>
        </w:tc>
      </w:tr>
    </w:tbl>
    <w:p>
      <w:pPr>
        <w:spacing w:after="0" w:line="20" w:lineRule="exact"/>
        <w:rPr>
          <w:sz w:val="2"/>
        </w:rPr>
        <w:sectPr>
          <w:headerReference w:type="default" r:id="rId4"/>
          <w:footerReference w:type="default" r:id="rId5"/>
          <w:pgSz w:w="12240" w:h="15840"/>
          <w:pgMar w:top="0" w:right="0" w:bottom="0" w:left="0" w:header="0" w:footer="0" w:gutter="0"/>
        </w:sectPr>
      </w:pP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—    SOMMAIRE</w:t>
      </w:r>
    </w:p>
    <w:p>
      <w:pPr>
        <w:spacing w:after="320"/>
      </w:pPr>
      <w:r>
        <w:rPr>
          <w:rFonts w:ascii="Georgia" w:hAnsi="Georgia"/>
          <w:b/>
          <w:i w:val="0"/>
          <w:color w:val="1C2027"/>
          <w:sz w:val="44"/>
        </w:rPr>
        <w:t>Sommaire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4" w:color="E0E5EC"/>
          <w:left w:val="single" w:sz="4" w:color="E0E5EC"/>
          <w:bottom w:val="single" w:sz="4" w:color="E0E5EC"/>
          <w:right w:val="single" w:sz="4" w:color="E0E5EC"/>
          <w:insideH w:val="single" w:sz="4" w:color="E0E5EC"/>
          <w:insideV w:val="single" w:sz="4" w:color="E0E5EC"/>
        </w:tblBorders>
      </w:tblPr>
      <w:tblGrid>
        <w:gridCol w:w="900"/>
        <w:gridCol w:w="8460"/>
      </w:tblGrid>
      <w:tr>
        <w:tc>
          <w:tcPr>
            <w:tcW w:type="dxa" w:w="900"/>
          </w:tcPr>
          <w:p>
            <w:pPr>
              <w:spacing w:before="100" w:after="100"/>
            </w:pPr>
            <w:r>
              <w:rPr>
                <w:rFonts w:ascii="Georgia" w:hAnsi="Georgia"/>
                <w:b w:val="0"/>
                <w:i w:val="0"/>
                <w:color w:val="8997AA"/>
                <w:sz w:val="20"/>
              </w:rPr>
              <w:t>01</w:t>
            </w:r>
          </w:p>
        </w:tc>
        <w:tc>
          <w:tcPr>
            <w:tcW w:type="dxa" w:w="8460"/>
          </w:tcPr>
          <w:p>
            <w:pPr>
              <w:spacing w:before="100" w:after="100"/>
            </w:pPr>
            <w:r>
              <w:rPr>
                <w:rFonts w:ascii="Georgia" w:hAnsi="Georgia"/>
                <w:b/>
                <w:i w:val="0"/>
                <w:color w:val="1C2027"/>
                <w:sz w:val="20"/>
              </w:rPr>
              <w:t>Objectif d'expérience</w:t>
            </w:r>
          </w:p>
        </w:tc>
      </w:tr>
      <w:tr>
        <w:tc>
          <w:tcPr>
            <w:tcW w:type="dxa" w:w="900"/>
          </w:tcPr>
          <w:p>
            <w:pPr>
              <w:spacing w:before="100" w:after="100"/>
            </w:pPr>
            <w:r>
              <w:rPr>
                <w:rFonts w:ascii="Georgia" w:hAnsi="Georgia"/>
                <w:b w:val="0"/>
                <w:i w:val="0"/>
                <w:color w:val="8997AA"/>
                <w:sz w:val="20"/>
              </w:rPr>
              <w:t>02</w:t>
            </w:r>
          </w:p>
        </w:tc>
        <w:tc>
          <w:tcPr>
            <w:tcW w:type="dxa" w:w="8460"/>
          </w:tcPr>
          <w:p>
            <w:pPr>
              <w:spacing w:before="100" w:after="100"/>
            </w:pPr>
            <w:r>
              <w:rPr>
                <w:rFonts w:ascii="Georgia" w:hAnsi="Georgia"/>
                <w:b/>
                <w:i w:val="0"/>
                <w:color w:val="1C2027"/>
                <w:sz w:val="20"/>
              </w:rPr>
              <w:t>Vocabulaire</w:t>
            </w:r>
          </w:p>
        </w:tc>
      </w:tr>
      <w:tr>
        <w:tc>
          <w:tcPr>
            <w:tcW w:type="dxa" w:w="900"/>
          </w:tcPr>
          <w:p>
            <w:pPr>
              <w:spacing w:before="100" w:after="100"/>
            </w:pPr>
            <w:r>
              <w:rPr>
                <w:rFonts w:ascii="Georgia" w:hAnsi="Georgia"/>
                <w:b w:val="0"/>
                <w:i w:val="0"/>
                <w:color w:val="8997AA"/>
                <w:sz w:val="20"/>
              </w:rPr>
              <w:t>03</w:t>
            </w:r>
          </w:p>
        </w:tc>
        <w:tc>
          <w:tcPr>
            <w:tcW w:type="dxa" w:w="8460"/>
          </w:tcPr>
          <w:p>
            <w:pPr>
              <w:spacing w:before="100" w:after="100"/>
            </w:pPr>
            <w:r>
              <w:rPr>
                <w:rFonts w:ascii="Georgia" w:hAnsi="Georgia"/>
                <w:b/>
                <w:i w:val="0"/>
                <w:color w:val="1C2027"/>
                <w:sz w:val="20"/>
              </w:rPr>
              <w:t>Règles fonctionnelles</w:t>
            </w:r>
          </w:p>
        </w:tc>
      </w:tr>
      <w:tr>
        <w:tc>
          <w:tcPr>
            <w:tcW w:type="dxa" w:w="900"/>
          </w:tcPr>
          <w:p>
            <w:pPr>
              <w:spacing w:before="100" w:after="100"/>
            </w:pPr>
            <w:r>
              <w:rPr>
                <w:rFonts w:ascii="Georgia" w:hAnsi="Georgia"/>
                <w:b w:val="0"/>
                <w:i w:val="0"/>
                <w:color w:val="8997AA"/>
                <w:sz w:val="20"/>
              </w:rPr>
              <w:t>04</w:t>
            </w:r>
          </w:p>
        </w:tc>
        <w:tc>
          <w:tcPr>
            <w:tcW w:type="dxa" w:w="8460"/>
          </w:tcPr>
          <w:p>
            <w:pPr>
              <w:spacing w:before="100" w:after="100"/>
            </w:pPr>
            <w:r>
              <w:rPr>
                <w:rFonts w:ascii="Georgia" w:hAnsi="Georgia"/>
                <w:b/>
                <w:i w:val="0"/>
                <w:color w:val="1C2027"/>
                <w:sz w:val="20"/>
              </w:rPr>
              <w:t>Parcours utilisateur</w:t>
            </w:r>
          </w:p>
        </w:tc>
      </w:tr>
      <w:tr>
        <w:tc>
          <w:tcPr>
            <w:tcW w:type="dxa" w:w="900"/>
          </w:tcPr>
          <w:p>
            <w:pPr>
              <w:spacing w:before="100" w:after="100"/>
            </w:pPr>
            <w:r>
              <w:rPr>
                <w:rFonts w:ascii="Georgia" w:hAnsi="Georgia"/>
                <w:b w:val="0"/>
                <w:i w:val="0"/>
                <w:color w:val="8997AA"/>
                <w:sz w:val="20"/>
              </w:rPr>
              <w:t>05</w:t>
            </w:r>
          </w:p>
        </w:tc>
        <w:tc>
          <w:tcPr>
            <w:tcW w:type="dxa" w:w="8460"/>
          </w:tcPr>
          <w:p>
            <w:pPr>
              <w:spacing w:before="100" w:after="100"/>
            </w:pPr>
            <w:r>
              <w:rPr>
                <w:rFonts w:ascii="Georgia" w:hAnsi="Georgia"/>
                <w:b/>
                <w:i w:val="0"/>
                <w:color w:val="1C2027"/>
                <w:sz w:val="20"/>
              </w:rPr>
              <w:t>Critères d'acceptation</w:t>
            </w:r>
          </w:p>
        </w:tc>
      </w:tr>
      <w:tr>
        <w:tc>
          <w:tcPr>
            <w:tcW w:type="dxa" w:w="900"/>
          </w:tcPr>
          <w:p>
            <w:pPr>
              <w:spacing w:before="100" w:after="100"/>
            </w:pPr>
            <w:r>
              <w:rPr>
                <w:rFonts w:ascii="Georgia" w:hAnsi="Georgia"/>
                <w:b w:val="0"/>
                <w:i w:val="0"/>
                <w:color w:val="8997AA"/>
                <w:sz w:val="20"/>
              </w:rPr>
              <w:t>06</w:t>
            </w:r>
          </w:p>
        </w:tc>
        <w:tc>
          <w:tcPr>
            <w:tcW w:type="dxa" w:w="8460"/>
          </w:tcPr>
          <w:p>
            <w:pPr>
              <w:spacing w:before="100" w:after="100"/>
            </w:pPr>
            <w:r>
              <w:rPr>
                <w:rFonts w:ascii="Georgia" w:hAnsi="Georgia"/>
                <w:b/>
                <w:i w:val="0"/>
                <w:color w:val="1C2027"/>
                <w:sz w:val="20"/>
              </w:rPr>
              <w:t>Hors périmètre</w:t>
            </w:r>
          </w:p>
        </w:tc>
      </w:tr>
      <w:tr>
        <w:tc>
          <w:tcPr>
            <w:tcW w:type="dxa" w:w="900"/>
          </w:tcPr>
          <w:p>
            <w:pPr>
              <w:spacing w:before="100" w:after="100"/>
            </w:pPr>
            <w:r>
              <w:rPr>
                <w:rFonts w:ascii="Georgia" w:hAnsi="Georgia"/>
                <w:b w:val="0"/>
                <w:i w:val="0"/>
                <w:color w:val="8997AA"/>
                <w:sz w:val="20"/>
              </w:rPr>
              <w:t>07</w:t>
            </w:r>
          </w:p>
        </w:tc>
        <w:tc>
          <w:tcPr>
            <w:tcW w:type="dxa" w:w="8460"/>
          </w:tcPr>
          <w:p>
            <w:pPr>
              <w:spacing w:before="100" w:after="100"/>
            </w:pPr>
            <w:r>
              <w:rPr>
                <w:rFonts w:ascii="Georgia" w:hAnsi="Georgia"/>
                <w:b/>
                <w:i w:val="0"/>
                <w:color w:val="1C2027"/>
                <w:sz w:val="20"/>
              </w:rPr>
              <w:t>Traçabilité</w:t>
            </w:r>
          </w:p>
        </w:tc>
      </w:tr>
    </w:tbl>
    <w:p>
      <w:r>
        <w:br w:type="page"/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Ce document fixe le comportement des personnages non-joueurs, des ennemis et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des événements dans les salles d'exploration. Il complète la SFD combat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canonique et prévaut sur les comportements historiques qui déplaçaient les PNJ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au rythme des pas du joueur.</w:t>
      </w: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01    SECTION</w:t>
      </w:r>
    </w:p>
    <w:p>
      <w:pPr>
        <w:keepNext/>
        <w:spacing w:after="180"/>
      </w:pPr>
      <w:r>
        <w:rPr>
          <w:rFonts w:ascii="Georgia" w:hAnsi="Georgia"/>
          <w:b/>
          <w:i w:val="0"/>
          <w:color w:val="1C2027"/>
          <w:sz w:val="38"/>
        </w:rPr>
        <w:t>Objectif d'expérience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Le Palais doit paraître habité sans donner l'impression que le joueur commande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le monde entier à chacun de ses pas. Un acteur mobile se déplace d'une case à la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fois, avec une animation lisible. Le mouvement du joueur reste prioritaire : les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PNJ neutres attendent la fin de son animation, tandis que les ennemis conservent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une réaction autonome et menaçante.</w:t>
      </w: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02    SECTION</w:t>
      </w:r>
    </w:p>
    <w:p>
      <w:pPr>
        <w:keepNext/>
        <w:spacing w:after="180"/>
      </w:pPr>
      <w:r>
        <w:rPr>
          <w:rFonts w:ascii="Georgia" w:hAnsi="Georgia"/>
          <w:b/>
          <w:i w:val="0"/>
          <w:color w:val="1C2027"/>
          <w:sz w:val="38"/>
        </w:rPr>
        <w:t>Vocabulaire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PNJ neutre</w:t>
      </w:r>
      <w:r>
        <w:rPr>
          <w:rFonts w:ascii="Georgia" w:hAnsi="Georgia"/>
          <w:b w:val="0"/>
          <w:i w:val="0"/>
          <w:color w:val="1C2027"/>
          <w:sz w:val="21"/>
        </w:rPr>
        <w:t xml:space="preserve"> : acteur de décor vivant, de dialogue ou de confirmation ; il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ne déclenche pas de combat par simple proximité.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Ennemi d'exploration</w:t>
      </w:r>
      <w:r>
        <w:rPr>
          <w:rFonts w:ascii="Georgia" w:hAnsi="Georgia"/>
          <w:b w:val="0"/>
          <w:i w:val="0"/>
          <w:color w:val="1C2027"/>
          <w:sz w:val="21"/>
        </w:rPr>
        <w:t xml:space="preserve"> : représentation mobile d'un groupe de combat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ordinaire dans la salle.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Événement scénarisé</w:t>
      </w:r>
      <w:r>
        <w:rPr>
          <w:rFonts w:ascii="Georgia" w:hAnsi="Georgia"/>
          <w:b w:val="0"/>
          <w:i w:val="0"/>
          <w:color w:val="1C2027"/>
          <w:sz w:val="21"/>
        </w:rPr>
        <w:t xml:space="preserve"> : règle locale, zone, séquence ou conséquence de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dialogue pouvant lancer un combat sans ennemi mobile.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Contact</w:t>
      </w:r>
      <w:r>
        <w:rPr>
          <w:rFonts w:ascii="Georgia" w:hAnsi="Georgia"/>
          <w:b w:val="0"/>
          <w:i w:val="0"/>
          <w:color w:val="1C2027"/>
          <w:sz w:val="21"/>
        </w:rPr>
        <w:t xml:space="preserve"> : entrée du joueur sur la case ennemie ou arrivée de l'ennemi au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voisinage immédiat du joueur lors de sa réaction.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Distance</w:t>
      </w:r>
      <w:r>
        <w:rPr>
          <w:rFonts w:ascii="Georgia" w:hAnsi="Georgia"/>
          <w:b w:val="0"/>
          <w:i w:val="0"/>
          <w:color w:val="1C2027"/>
          <w:sz w:val="21"/>
        </w:rPr>
        <w:t xml:space="preserve"> : distance de Manhattan </w:t>
      </w:r>
      <w:r>
        <w:rPr>
          <w:rFonts w:ascii="Consolas" w:hAnsi="Consolas"/>
          <w:b w:val="0"/>
          <w:i w:val="0"/>
          <w:color w:val="1C2027"/>
          <w:sz w:val="19"/>
        </w:rPr>
        <w:t>|Δx| + |Δy|</w:t>
      </w:r>
      <w:r>
        <w:rPr>
          <w:rFonts w:ascii="Georgia" w:hAnsi="Georgia"/>
          <w:b w:val="0"/>
          <w:i w:val="0"/>
          <w:color w:val="1C2027"/>
          <w:sz w:val="21"/>
        </w:rPr>
        <w:t xml:space="preserve"> ; aucune diagonale.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Tick d'acteurs</w:t>
      </w:r>
      <w:r>
        <w:rPr>
          <w:rFonts w:ascii="Georgia" w:hAnsi="Georgia"/>
          <w:b w:val="0"/>
          <w:i w:val="0"/>
          <w:color w:val="1C2027"/>
          <w:sz w:val="21"/>
        </w:rPr>
        <w:t xml:space="preserve"> : étape atomique durant laquelle chaque acteur éligible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peut parcourir au plus une case.</w:t>
      </w: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03    SECTION</w:t>
      </w:r>
    </w:p>
    <w:p>
      <w:pPr>
        <w:keepNext/>
        <w:spacing w:after="180"/>
      </w:pPr>
      <w:r>
        <w:rPr>
          <w:rFonts w:ascii="Georgia" w:hAnsi="Georgia"/>
          <w:b/>
          <w:i w:val="0"/>
          <w:color w:val="1C2027"/>
          <w:sz w:val="38"/>
        </w:rPr>
        <w:t>Règles fonctionnelles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3.1 Priorité du joueur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RG-EXP-001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Aucun PNJ neutre ne commence ou ne poursuit un déplacement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pendant l'animation de déplacement du joueur.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RG-EXP-002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Un tick neutre ne peut être demandé que lorsque la salle est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en exploration libre, sans dialogue, confirmation, événement, récompense ou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combat en cours.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RG-EXP-003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Après la fin d'un déplacement joueur qui n'a déclenché aucun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événement, les ennemis obtiennent une phase de réaction. Cette phase empêche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de neutraliser leur poursuite en enchaînant les déplacements.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3.2 PNJ neutres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RG-EXP-010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Un PNJ neutre éligible se déplace au plus d'une case par tick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lorsque le joueur est immobile.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RG-EXP-011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Dès que sa distance au joueur est inférieure ou égale à deux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cases, le PNJ cesse tout déplacement. Il reste immobile tant que cette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condition est vraie.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RG-EXP-012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L'interaction volontaire est disponible à une case de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distance. Le joueur ne pénètre pas sur la case du PNJ.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RG-EXP-013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Les archétypes </w:t>
      </w:r>
      <w:r>
        <w:rPr>
          <w:rFonts w:ascii="Consolas" w:hAnsi="Consolas"/>
          <w:b w:val="0"/>
          <w:i w:val="0"/>
          <w:color w:val="1C2027"/>
          <w:sz w:val="19"/>
        </w:rPr>
        <w:t>Fixed</w:t>
      </w:r>
      <w:r>
        <w:rPr>
          <w:rFonts w:ascii="Georgia" w:hAnsi="Georgia"/>
          <w:b w:val="0"/>
          <w:i w:val="0"/>
          <w:color w:val="1C2027"/>
          <w:sz w:val="21"/>
        </w:rPr>
        <w:t xml:space="preserve"> et </w:t>
      </w:r>
      <w:r>
        <w:rPr>
          <w:rFonts w:ascii="Consolas" w:hAnsi="Consolas"/>
          <w:b w:val="0"/>
          <w:i w:val="0"/>
          <w:color w:val="1C2027"/>
          <w:sz w:val="19"/>
        </w:rPr>
        <w:t>Guardian</w:t>
      </w:r>
      <w:r>
        <w:rPr>
          <w:rFonts w:ascii="Georgia" w:hAnsi="Georgia"/>
          <w:b w:val="0"/>
          <w:i w:val="0"/>
          <w:color w:val="1C2027"/>
          <w:sz w:val="21"/>
        </w:rPr>
        <w:t xml:space="preserve"> conservent leur poste.</w:t>
      </w:r>
    </w:p>
    <w:p>
      <w:pPr>
        <w:spacing w:after="100"/>
        <w:ind w:left="0" w:firstLine="0"/>
      </w:pPr>
      <w:r>
        <w:rPr>
          <w:rFonts w:ascii="Consolas" w:hAnsi="Consolas"/>
          <w:b w:val="0"/>
          <w:i w:val="0"/>
          <w:color w:val="1C2027"/>
          <w:sz w:val="19"/>
        </w:rPr>
        <w:t>Patrol</w:t>
      </w:r>
      <w:r>
        <w:rPr>
          <w:rFonts w:ascii="Georgia" w:hAnsi="Georgia"/>
          <w:b w:val="0"/>
          <w:i w:val="0"/>
          <w:color w:val="1C2027"/>
          <w:sz w:val="21"/>
        </w:rPr>
        <w:t xml:space="preserve">, </w:t>
      </w:r>
      <w:r>
        <w:rPr>
          <w:rFonts w:ascii="Consolas" w:hAnsi="Consolas"/>
          <w:b w:val="0"/>
          <w:i w:val="0"/>
          <w:color w:val="1C2027"/>
          <w:sz w:val="19"/>
        </w:rPr>
        <w:t>Passive</w:t>
      </w:r>
      <w:r>
        <w:rPr>
          <w:rFonts w:ascii="Georgia" w:hAnsi="Georgia"/>
          <w:b w:val="0"/>
          <w:i w:val="0"/>
          <w:color w:val="1C2027"/>
          <w:sz w:val="21"/>
        </w:rPr>
        <w:t xml:space="preserve"> et </w:t>
      </w:r>
      <w:r>
        <w:rPr>
          <w:rFonts w:ascii="Consolas" w:hAnsi="Consolas"/>
          <w:b w:val="0"/>
          <w:i w:val="0"/>
          <w:color w:val="1C2027"/>
          <w:sz w:val="19"/>
        </w:rPr>
        <w:t>Hunter</w:t>
      </w:r>
      <w:r>
        <w:rPr>
          <w:rFonts w:ascii="Georgia" w:hAnsi="Georgia"/>
          <w:b w:val="0"/>
          <w:i w:val="0"/>
          <w:color w:val="1C2027"/>
          <w:sz w:val="21"/>
        </w:rPr>
        <w:t xml:space="preserve"> suivent leur comportement authored uniquement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hors de la zone d'arrêt de deux cases.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RG-EXP-014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Deux PNJ, un PNJ et un ennemi, ou un PNJ et le joueur ne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peuvent jamais terminer un tick sur la même case.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3.3 Ennemis d'exploration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RG-EXP-020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Tous les nœuds de combat ordinaires (</w:t>
      </w:r>
      <w:r>
        <w:rPr>
          <w:rFonts w:ascii="Consolas" w:hAnsi="Consolas"/>
          <w:b w:val="0"/>
          <w:i w:val="0"/>
          <w:color w:val="1C2027"/>
          <w:sz w:val="19"/>
        </w:rPr>
        <w:t>Combat</w:t>
      </w:r>
      <w:r>
        <w:rPr>
          <w:rFonts w:ascii="Georgia" w:hAnsi="Georgia"/>
          <w:b w:val="0"/>
          <w:i w:val="0"/>
          <w:color w:val="1C2027"/>
          <w:sz w:val="21"/>
        </w:rPr>
        <w:t xml:space="preserve">, </w:t>
      </w:r>
      <w:r>
        <w:rPr>
          <w:rFonts w:ascii="Consolas" w:hAnsi="Consolas"/>
          <w:b w:val="0"/>
          <w:i w:val="0"/>
          <w:color w:val="1C2027"/>
          <w:sz w:val="19"/>
        </w:rPr>
        <w:t>Rare</w:t>
      </w:r>
      <w:r>
        <w:rPr>
          <w:rFonts w:ascii="Georgia" w:hAnsi="Georgia"/>
          <w:b w:val="0"/>
          <w:i w:val="0"/>
          <w:color w:val="1C2027"/>
          <w:sz w:val="21"/>
        </w:rPr>
        <w:t>,</w:t>
      </w:r>
    </w:p>
    <w:p>
      <w:pPr>
        <w:spacing w:after="100"/>
        <w:ind w:left="0" w:firstLine="0"/>
      </w:pPr>
      <w:r>
        <w:rPr>
          <w:rFonts w:ascii="Consolas" w:hAnsi="Consolas"/>
          <w:b w:val="0"/>
          <w:i w:val="0"/>
          <w:color w:val="1C2027"/>
          <w:sz w:val="19"/>
        </w:rPr>
        <w:t>Elite</w:t>
      </w:r>
      <w:r>
        <w:rPr>
          <w:rFonts w:ascii="Georgia" w:hAnsi="Georgia"/>
          <w:b w:val="0"/>
          <w:i w:val="0"/>
          <w:color w:val="1C2027"/>
          <w:sz w:val="21"/>
        </w:rPr>
        <w:t xml:space="preserve">, </w:t>
      </w:r>
      <w:r>
        <w:rPr>
          <w:rFonts w:ascii="Consolas" w:hAnsi="Consolas"/>
          <w:b w:val="0"/>
          <w:i w:val="0"/>
          <w:color w:val="1C2027"/>
          <w:sz w:val="19"/>
        </w:rPr>
        <w:t>RoomBoss</w:t>
      </w:r>
      <w:r>
        <w:rPr>
          <w:rFonts w:ascii="Georgia" w:hAnsi="Georgia"/>
          <w:b w:val="0"/>
          <w:i w:val="0"/>
          <w:color w:val="1C2027"/>
          <w:sz w:val="21"/>
        </w:rPr>
        <w:t xml:space="preserve">, </w:t>
      </w:r>
      <w:r>
        <w:rPr>
          <w:rFonts w:ascii="Consolas" w:hAnsi="Consolas"/>
          <w:b w:val="0"/>
          <w:i w:val="0"/>
          <w:color w:val="1C2027"/>
          <w:sz w:val="19"/>
        </w:rPr>
        <w:t>FinalBoss</w:t>
      </w:r>
      <w:r>
        <w:rPr>
          <w:rFonts w:ascii="Georgia" w:hAnsi="Georgia"/>
          <w:b w:val="0"/>
          <w:i w:val="0"/>
          <w:color w:val="1C2027"/>
          <w:sz w:val="21"/>
        </w:rPr>
        <w:t>) sont des ennemis d'exploration et se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déclenchent par contact.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RG-EXP-021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À une distance inférieure ou égale à trois cases, l'ennemi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choisit une case orthogonale réduisant la distance au joueur.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RG-EXP-022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À plus de trois cases, l'ennemi peut errer d'une case selon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une décision déterministe. Il n'est pas couplé au nombre de cases parcourues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par le joueur.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RG-EXP-023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Un ennemi se déplace pendant les ticks d'inactivité et durant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sa phase de réaction après déplacement joueur. Il reste donc libre de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poursuivre le joueur.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RG-EXP-024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Le contact sélectionne immédiatement la rencontre et ouvre le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combat T-RPG, sans fenêtre de confirmation supplémentaire.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RG-EXP-025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La case de contact constitue le centre de déploiement du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combat tactique conformément à la SFD combat canonique.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RG-EXP-026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Un ennemi résolu, caché, verrouillé ou déjà sélectionné ne se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déplace pas.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3.4 Événements et scénarios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RG-EXP-030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Les combats produits par une règle locale, un événement, un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dialogue ou une séquence de scénario ne sont pas convertis en ennemi mobile.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RG-EXP-031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Les déclencheurs </w:t>
      </w:r>
      <w:r>
        <w:rPr>
          <w:rFonts w:ascii="Consolas" w:hAnsi="Consolas"/>
          <w:b w:val="0"/>
          <w:i w:val="0"/>
          <w:color w:val="1C2027"/>
          <w:sz w:val="19"/>
        </w:rPr>
        <w:t>ZoneEntry</w:t>
      </w:r>
      <w:r>
        <w:rPr>
          <w:rFonts w:ascii="Georgia" w:hAnsi="Georgia"/>
          <w:b w:val="0"/>
          <w:i w:val="0"/>
          <w:color w:val="1C2027"/>
          <w:sz w:val="21"/>
        </w:rPr>
        <w:t xml:space="preserve">, </w:t>
      </w:r>
      <w:r>
        <w:rPr>
          <w:rFonts w:ascii="Consolas" w:hAnsi="Consolas"/>
          <w:b w:val="0"/>
          <w:i w:val="0"/>
          <w:color w:val="1C2027"/>
          <w:sz w:val="19"/>
        </w:rPr>
        <w:t>NpcInteraction</w:t>
      </w:r>
      <w:r>
        <w:rPr>
          <w:rFonts w:ascii="Georgia" w:hAnsi="Georgia"/>
          <w:b w:val="0"/>
          <w:i w:val="0"/>
          <w:color w:val="1C2027"/>
          <w:sz w:val="21"/>
        </w:rPr>
        <w:t>, choix et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seuils de sévérité restent souverains. Cela inclut les protocoles du Hall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d'entrée, le tapis et les interactions avec les Émotions.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RG-EXP-032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Une interaction avec un PNJ ou un élément demandant une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confirmation met le monde en pause jusqu'à la fermeture ou la résolution de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l'interface.</w:t>
      </w:r>
    </w:p>
    <w:p>
      <w:pPr>
        <w:keepNext/>
        <w:spacing w:before="200" w:after="100"/>
      </w:pPr>
      <w:r>
        <w:rPr>
          <w:rFonts w:ascii="Georgia" w:hAnsi="Georgia"/>
          <w:b/>
          <w:i w:val="0"/>
          <w:color w:val="525C6C"/>
          <w:sz w:val="26"/>
        </w:rPr>
        <w:t>3.5 Animation et lisibilité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RG-EXP-040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Chaque déplacement d'acteur est interpolé entre sa case de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départ et sa case d'arrivée ; aucun changement de position ne doit apparaître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comme une téléportation.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RG-EXP-041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Les départs de plusieurs acteurs sont légèrement décalés afin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d'éviter un mouvement parfaitement simultané de la salle entière.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RG-EXP-042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Les entrées joueur sont verrouillées durant l'animation d'un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tick d'acteurs.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RG-EXP-043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L'option d'accessibilité « réduire les animations » conserve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l'ordre et les règles de simulation, mais réduit la durée visuelle.</w:t>
      </w: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04    SECTION</w:t>
      </w:r>
    </w:p>
    <w:p>
      <w:pPr>
        <w:keepNext/>
        <w:spacing w:after="180"/>
      </w:pPr>
      <w:r>
        <w:rPr>
          <w:rFonts w:ascii="Georgia" w:hAnsi="Georgia"/>
          <w:b/>
          <w:i w:val="0"/>
          <w:color w:val="1C2027"/>
          <w:sz w:val="38"/>
        </w:rPr>
        <w:t>Parcours utilisateur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1. La salle se charge avec ses PNJ, ennemis, événements et objets persistés.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2. Le joueur reste immobile : un tick fait évoluer les acteurs autorisés.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3. Le joueur clique une destination : les PNJ neutres sont figés, le joueur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parcourt son itinéraire puis termine son animation.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4. Si le joueur entre en contact avec un ennemi, la rencontre s'ouvre.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5. Sinon, les ennemis jouent une réaction atomique ; un contact éventuel ouvre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la rencontre.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6. À deux cases d'un PNJ, celui-ci attend. À une case, le joueur peut déclencher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l'action d'interaction.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7. Toute interface modale suspend les ticks jusqu'au retour à l'exploration.</w:t>
      </w: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05    SECTION</w:t>
      </w:r>
    </w:p>
    <w:p>
      <w:pPr>
        <w:keepNext/>
        <w:spacing w:after="180"/>
      </w:pPr>
      <w:r>
        <w:rPr>
          <w:rFonts w:ascii="Georgia" w:hAnsi="Georgia"/>
          <w:b/>
          <w:i w:val="0"/>
          <w:color w:val="1C2027"/>
          <w:sz w:val="38"/>
        </w:rPr>
        <w:t>Critères d'acceptation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CA-EXP-001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Un PNJ </w:t>
      </w:r>
      <w:r>
        <w:rPr>
          <w:rFonts w:ascii="Consolas" w:hAnsi="Consolas"/>
          <w:b w:val="0"/>
          <w:i w:val="0"/>
          <w:color w:val="1C2027"/>
          <w:sz w:val="19"/>
        </w:rPr>
        <w:t>Passive</w:t>
      </w:r>
      <w:r>
        <w:rPr>
          <w:rFonts w:ascii="Georgia" w:hAnsi="Georgia"/>
          <w:b w:val="0"/>
          <w:i w:val="0"/>
          <w:color w:val="1C2027"/>
          <w:sz w:val="21"/>
        </w:rPr>
        <w:t xml:space="preserve"> ne change pas de case pendant que le jeton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joueur est animé.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CA-EXP-002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Un PNJ neutre situé à distance deux reste immobile pendant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au moins trois ticks successifs.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CA-EXP-003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Un clic sur un PNJ adjacent appelle l'interaction sans tenter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de déplacer le joueur sur sa case.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CA-EXP-004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Un ennemi à distance trois réduit la distance d'une case lors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de sa réaction, sous réserve de collision.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CA-EXP-005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Un ennemi adjacent déclenche le combat par contact.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CA-EXP-006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Un combat produit par </w:t>
      </w:r>
      <w:r>
        <w:rPr>
          <w:rFonts w:ascii="Consolas" w:hAnsi="Consolas"/>
          <w:b w:val="0"/>
          <w:i w:val="0"/>
          <w:color w:val="1C2027"/>
          <w:sz w:val="19"/>
        </w:rPr>
        <w:t>ZoneEntry</w:t>
      </w:r>
      <w:r>
        <w:rPr>
          <w:rFonts w:ascii="Georgia" w:hAnsi="Georgia"/>
          <w:b w:val="0"/>
          <w:i w:val="0"/>
          <w:color w:val="1C2027"/>
          <w:sz w:val="21"/>
        </w:rPr>
        <w:t xml:space="preserve"> dans le Hall ne crée aucun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ennemi mobile.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CA-EXP-007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Aucun acteur ne traverse une case non marchable et aucune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paire d'acteurs ne partage une case après un tick.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CA-EXP-008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Les positions sont identiques après sauvegarde/reprise.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/>
          <w:i w:val="0"/>
          <w:color w:val="1C2027"/>
          <w:sz w:val="21"/>
        </w:rPr>
        <w:t>CA-EXP-009</w:t>
      </w:r>
      <w:r>
        <w:rPr>
          <w:rFonts w:ascii="Georgia" w:hAnsi="Georgia"/>
          <w:b w:val="0"/>
          <w:i w:val="0"/>
          <w:color w:val="1C2027"/>
          <w:sz w:val="21"/>
        </w:rPr>
        <w:t xml:space="preserve"> — Chaque mouvement visible suit une interpolation et non un</w:t>
      </w:r>
    </w:p>
    <w:p>
      <w:pPr>
        <w:spacing w:after="100"/>
        <w:ind w:left="0" w:firstLine="0"/>
      </w:pPr>
      <w:r>
        <w:rPr>
          <w:rFonts w:ascii="Georgia" w:hAnsi="Georgia"/>
          <w:b w:val="0"/>
          <w:i w:val="0"/>
          <w:color w:val="1C2027"/>
          <w:sz w:val="21"/>
        </w:rPr>
        <w:t>saut de rendu.</w:t>
      </w: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06    SECTION</w:t>
      </w:r>
    </w:p>
    <w:p>
      <w:pPr>
        <w:keepNext/>
        <w:spacing w:after="180"/>
      </w:pPr>
      <w:r>
        <w:rPr>
          <w:rFonts w:ascii="Georgia" w:hAnsi="Georgia"/>
          <w:b/>
          <w:i w:val="0"/>
          <w:color w:val="1C2027"/>
          <w:sz w:val="38"/>
        </w:rPr>
        <w:t>Hors périmètre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Refonte des dialogues ou du contenu narratif des PNJ.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Navigation diagonale, vitesse variable ou trajectoires multi-cases par tick.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Changement du système de combat T-RPG après le contact.</w:t>
      </w:r>
    </w:p>
    <w:p>
      <w:pPr>
        <w:spacing w:after="100"/>
        <w:ind w:left="317" w:hanging="202"/>
      </w:pPr>
      <w:r>
        <w:rPr>
          <w:rFonts w:ascii="Georgia" w:hAnsi="Georgia"/>
          <w:b/>
          <w:i w:val="0"/>
          <w:color w:val="525C6C"/>
          <w:sz w:val="20"/>
        </w:rPr>
        <w:t xml:space="preserve">—  </w:t>
      </w:r>
      <w:r>
        <w:rPr>
          <w:rFonts w:ascii="Georgia" w:hAnsi="Georgia"/>
          <w:b w:val="0"/>
          <w:i w:val="0"/>
          <w:color w:val="1C2027"/>
          <w:sz w:val="21"/>
        </w:rPr>
        <w:t>Remplacement des déclencheurs de scénario existants.</w:t>
      </w:r>
    </w:p>
    <w:p>
      <w:pPr>
        <w:spacing w:before="280" w:after="80"/>
      </w:pPr>
      <w:r>
        <w:rPr>
          <w:rFonts w:ascii="Georgia" w:hAnsi="Georgia"/>
          <w:b/>
          <w:i w:val="0"/>
          <w:caps/>
          <w:color w:val="8997AA"/>
          <w:sz w:val="16"/>
        </w:rPr>
        <w:t>07    SECTION</w:t>
      </w:r>
    </w:p>
    <w:p>
      <w:pPr>
        <w:keepNext/>
        <w:spacing w:after="180"/>
      </w:pPr>
      <w:r>
        <w:rPr>
          <w:rFonts w:ascii="Georgia" w:hAnsi="Georgia"/>
          <w:b/>
          <w:i w:val="0"/>
          <w:color w:val="1C2027"/>
          <w:sz w:val="38"/>
        </w:rPr>
        <w:t>Traçabilité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Borders>
          <w:top w:val="single" w:sz="6" w:color="D8DEE7"/>
          <w:left w:val="single" w:sz="6" w:color="D8DEE7"/>
          <w:bottom w:val="single" w:sz="6" w:color="D8DEE7"/>
          <w:right w:val="single" w:sz="6" w:color="D8DEE7"/>
          <w:insideH w:val="single" w:sz="6" w:color="D8DEE7"/>
          <w:insideV w:val="single" w:sz="6" w:color="D8DEE7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EEF1F5"/>
          </w:tcPr>
          <w:p>
            <w:pPr>
              <w:spacing w:before="60" w:after="60"/>
            </w:pPr>
            <w:r>
              <w:rPr>
                <w:rFonts w:ascii="Georgia" w:hAnsi="Georgia"/>
                <w:b/>
                <w:i w:val="0"/>
                <w:color w:val="525C6C"/>
                <w:sz w:val="17"/>
              </w:rPr>
              <w:t>Besoin</w:t>
            </w:r>
          </w:p>
        </w:tc>
        <w:tc>
          <w:tcPr>
            <w:tcW w:type="dxa" w:w="3120"/>
            <w:vAlign w:val="center"/>
            <w:shd w:fill="EEF1F5"/>
          </w:tcPr>
          <w:p>
            <w:pPr>
              <w:spacing w:before="60" w:after="60"/>
            </w:pPr>
            <w:r>
              <w:rPr>
                <w:rFonts w:ascii="Georgia" w:hAnsi="Georgia"/>
                <w:b/>
                <w:i w:val="0"/>
                <w:color w:val="525C6C"/>
                <w:sz w:val="17"/>
              </w:rPr>
              <w:t>Règles</w:t>
            </w:r>
          </w:p>
        </w:tc>
        <w:tc>
          <w:tcPr>
            <w:tcW w:type="dxa" w:w="3120"/>
            <w:vAlign w:val="center"/>
            <w:shd w:fill="EEF1F5"/>
          </w:tcPr>
          <w:p>
            <w:pPr>
              <w:spacing w:before="60" w:after="60"/>
            </w:pPr>
            <w:r>
              <w:rPr>
                <w:rFonts w:ascii="Georgia" w:hAnsi="Georgia"/>
                <w:b/>
                <w:i w:val="0"/>
                <w:color w:val="525C6C"/>
                <w:sz w:val="17"/>
              </w:rPr>
              <w:t>Vérification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Supprimer l'effet de téléportation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RG-EXP-040 à 043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tests du plan de rendu + test manuel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Découpler les PNJ du joueur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RG-EXP-001 à 003, 010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tests domaine et store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Permettre l'approche d'un PNJ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RG-EXP-011 à 014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tests interaction/collision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Généraliser les combats au contact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RG-EXP-020 à 026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tests domaine/API</w:t>
            </w:r>
          </w:p>
        </w:tc>
      </w:tr>
      <w:t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Préserver les scénarios du Hall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RG-EXP-030 à 032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Georgia" w:hAnsi="Georgia"/>
                <w:b w:val="0"/>
                <w:i w:val="0"/>
                <w:color w:val="1C2027"/>
                <w:sz w:val="17"/>
              </w:rPr>
              <w:t>tests protocoles locaux</w:t>
            </w:r>
          </w:p>
        </w:tc>
      </w:tr>
    </w:tbl>
    <w:p>
      <w:pPr>
        <w:spacing w:after="20"/>
      </w:pPr>
    </w:p>
    <w:sectPr>
      <w:headerReference r:id="rId2"/>
      <w:footerReference r:id="rId3"/>
      <w:pgSz w:w="12240" w:h="15840"/>
      <w:pgMar w:top="1123" w:right="1181" w:bottom="1037" w:left="1181" w:header="504" w:footer="504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10080"/>
      </w:tabs>
      <w:pBdr>
        <w:top w:val="single" w:sz="4" w:space="6" w:color="D6DAE0"/>
      </w:pBdr>
      <w:spacing w:before="0" w:after="0" w:line="240" w:lineRule="auto"/>
    </w:pPr>
    <w:r>
      <w:rPr>
        <w:rFonts w:ascii="Lato" w:hAnsi="Lato" w:cs="Lato"/>
        <w:caps/>
        <w:color w:val="8B96A5"/>
        <w:sz w:val="16"/>
        <w:szCs w:val="16"/>
        <w:spacing w:val="50"/>
      </w:rPr>
      <w:t xml:space="preserve">Kora — Confidentiel</w:t>
    </w:r>
    <w:r>
      <w:tab/>
    </w:r>
    <w:fldSimple w:instr=" PAGE ">
      <w:r>
        <w:rPr>
          <w:rFonts w:ascii="Lato" w:hAnsi="Lato"/>
          <w:color w:val="8B96A5"/>
          <w:sz w:val="16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Georgia" w:hAnsi="Georgia"/>
        <w:b w:val="0"/>
        <w:i w:val="0"/>
        <w:color w:val="8997AA"/>
        <w:sz w:val="14"/>
      </w:rPr>
      <w:t xml:space="preserve">DOCUMENT DE RÉFÉRENCE    ·    </w:t>
    </w:r>
    <w:fldSimple w:instr="PAGE"/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tabs>
        <w:tab w:val="right" w:pos="10080"/>
      </w:tabs>
      <w:pBdr>
        <w:bottom w:val="single" w:sz="4" w:space="6" w:color="D6DAE0"/>
      </w:pBdr>
      <w:spacing w:before="0" w:after="0" w:line="240" w:lineRule="auto"/>
    </w:pPr>
    <w:r>
      <w:rPr>
        <w:rFonts w:ascii="Lato" w:hAnsi="Lato" w:cs="Lato"/>
        <w:caps/>
        <w:color w:val="8B96A5"/>
        <w:sz w:val="16"/>
        <w:szCs w:val="16"/>
        <w:spacing w:val="50"/>
      </w:rPr>
      <w:t xml:space="preserve">KOR-SFD-014 · v1.4</w:t>
    </w:r>
    <w:r>
      <w:tab/>
    </w:r>
    <w:r>
      <w:rPr>
        <w:rFonts w:ascii="Lato" w:hAnsi="Lato" w:cs="Lato"/>
        <w:caps/>
        <w:color w:val="8B96A5"/>
        <w:sz w:val="16"/>
        <w:szCs w:val="16"/>
        <w:spacing w:val="50"/>
      </w:rPr>
      <w:t xml:space="preserve">Module de paiement marchand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left"/>
    </w:pPr>
    <w:r>
      <w:rPr>
        <w:rFonts w:ascii="Georgia" w:hAnsi="Georgia"/>
        <w:b/>
        <w:i w:val="0"/>
        <w:color w:val="8997AA"/>
        <w:sz w:val="15"/>
      </w:rPr>
      <w:t>L’ÉPOPÉE DES SILENCES    ·    LEDS-SFD-EXP-001</w:t>
    </w:r>
  </w:p>
</w:hdr>
</file>

<file path=word/styles.xml><?xml version="1.0" encoding="utf-8"?>
<w:styles xmlns:w="http://schemas.openxmlformats.org/wordprocessingml/2006/main">
  <w:docDefaults>
    <w:rPrDefault>
      <w:rPr>
        <w:rFonts w:ascii="Lato" w:hAnsi="Lato" w:cs="Lato"/>
        <w:color w:val="16191E"/>
        <w:sz w:val="22"/>
        <w:szCs w:val="22"/>
        <w:lang w:val="fr-FR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  <w:pPr>
      <w:spacing w:after="120" w:line="276" w:lineRule="auto"/>
    </w:pPr>
    <w:rPr>
      <w:rFonts w:ascii="Georgia" w:hAnsi="Georgia"/>
      <w:color w:val="1C2027"/>
      <w:sz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footer" Target="footer2.xml"/></Relationships>
</file>