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2240" w:type="dxa"/>
        <w:tblLayout w:type="fixed"/>
        <w:tblCellMar>
          <w:left w:w="0" w:type="dxa"/>
          <w:right w:w="0" w:type="dxa"/>
        </w:tblCellMar>
      </w:tblPr>
      <w:tblGrid>
        <w:gridCol w:w="12240"/>
      </w:tblGrid>
      <w:tr>
        <w:trPr>
          <w:trHeight w:val="14300" w:hRule="exact"/>
        </w:trPr>
        <w:tc>
          <w:tcPr>
            <w:tcW w:w="12240" w:type="dxa"/>
            <w:tcBorders>
              <w:top w:val="nil"/>
              <w:bottom w:val="nil"/>
              <w:left w:val="nil"/>
              <w:right w:val="nil"/>
            </w:tcBorders>
            <w:shd w:val="clear" w:color="auto" w:fill="0E1116"/>
            <w:tcMar>
              <w:top w:w="1160" w:type="dxa"/>
              <w:bottom w:w="1160" w:type="dxa"/>
              <w:left w:w="1260" w:type="dxa"/>
              <w:right w:w="1260" w:type="dxa"/>
            </w:tcMar>
          </w:tcPr>
          <w:p>
            <w:pPr>
              <w:tabs>
                <w:tab w:val="right" w:pos="9720"/>
              </w:tabs>
              <w:spacing w:before="0" w:after="0" w:line="240" w:lineRule="auto"/>
            </w:pPr>
            <w:r>
              <w:rPr>
                <w:rFonts w:ascii="Lato" w:hAnsi="Lato" w:cs="Lato"/>
                <w:caps/>
                <w:color w:val="9AA5B1"/>
                <w:sz w:val="17"/>
                <w:szCs w:val="17"/>
                <w:spacing w:val="40"/>
              </w:rPr>
              <w:t>L’ÉPOPÉE DES SILENCES</w:t>
              <w:tab/>
              <w:t>CONFIDENTIEL — DOCUMENT DE TRAVAIL</w:t>
            </w:r>
            <w:r/>
            <w:r>
              <w:rPr>
                <w:rFonts w:ascii="Lato" w:hAnsi="Lato" w:cs="Lato"/>
                <w:caps/>
                <w:color w:val="6B7688"/>
                <w:sz w:val="17"/>
                <w:szCs w:val="17"/>
                <w:spacing w:val="40"/>
              </w:rPr>
            </w:r>
          </w:p>
          <w:p>
            <w:pPr>
              <w:spacing w:before="0" w:after="3600" w:line="300" w:lineRule="auto"/>
            </w:pPr>
            <w:r>
              <w:rPr>
                <w:rFonts w:ascii="Lato" w:hAnsi="Lato" w:cs="Lato"/>
                <w:color w:val="16191E"/>
                <w:sz w:val="22"/>
                <w:szCs w:val="22"/>
              </w:rPr>
              <w:t xml:space="preserve"/>
            </w:r>
          </w:p>
          <w:p>
            <w:pPr>
              <w:spacing w:before="0" w:after="320" w:line="300" w:lineRule="auto"/>
            </w:pPr>
            <w:r>
              <w:rPr>
                <w:rFonts w:ascii="Lato" w:hAnsi="Lato" w:cs="Lato"/>
                <w:caps/>
                <w:color w:val="9AA5B1"/>
                <w:sz w:val="18"/>
                <w:szCs w:val="18"/>
                <w:spacing w:val="60"/>
              </w:rPr>
              <w:t>SFD · SPÉCIFICATIONS FONCTIONNELLES DÉTAILLÉES</w:t>
            </w:r>
          </w:p>
          <w:p>
            <w:pPr>
              <w:spacing w:before="0" w:after="0" w:line="210" w:lineRule="auto"/>
            </w:pPr>
            <w:r>
              <w:rPr>
                <w:rFonts w:ascii="Lato" w:hAnsi="Lato" w:cs="Lato"/>
                <w:b/>
                <w:color w:val="E6E9EE"/>
                <w:sz w:val="80"/>
                <w:szCs w:val="80"/>
              </w:rPr>
              <w:t>Exploration vivante</w:t>
            </w:r>
          </w:p>
          <w:p>
            <w:pPr>
              <w:spacing w:before="0" w:after="340" w:line="210" w:lineRule="auto"/>
            </w:pPr>
            <w:r>
              <w:rPr>
                <w:rFonts w:ascii="Lato" w:hAnsi="Lato" w:cs="Lato"/>
                <w:b/>
                <w:color w:val="6B7688"/>
                <w:sz w:val="80"/>
                <w:szCs w:val="80"/>
              </w:rPr>
              <w:t>Acteurs &amp; déclencheurs</w:t>
            </w:r>
          </w:p>
          <w:p>
            <w:pPr>
              <w:spacing w:before="0" w:after="0" w:line="340" w:lineRule="auto"/>
            </w:pPr>
            <w:r>
              <w:rPr>
                <w:rFonts w:ascii="Lato" w:hAnsi="Lato" w:cs="Lato"/>
                <w:color w:val="9AA5B1"/>
                <w:sz w:val="24"/>
                <w:szCs w:val="24"/>
              </w:rPr>
              <w:t>PNJ autonomes, poursuite ennemie, contact de combat et exceptions scénarisées.</w:t>
            </w:r>
          </w:p>
          <w:p>
            <w:pPr>
              <w:spacing w:before="0" w:after="3200" w:line="300" w:lineRule="auto"/>
            </w:pPr>
            <w:r>
              <w:rPr>
                <w:rFonts w:ascii="Lato" w:hAnsi="Lato" w:cs="Lato"/>
                <w:color w:val="16191E"/>
                <w:sz w:val="22"/>
                <w:szCs w:val="22"/>
              </w:rPr>
              <w:t xml:space="preserve"/>
            </w:r>
          </w:p>
          <w:tbl>
            <w:tblPr>
              <w:tblW w:w="97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2430"/>
              <w:gridCol w:w="2430"/>
              <w:gridCol w:w="2430"/>
              <w:gridCol w:w="2430"/>
            </w:tblGrid>
            <w:tr>
              <w:tc>
                <w:tcPr>
                  <w:tcW w:w="2430" w:type="dxa"/>
                  <w:tcBorders>
                    <w:top w:val="single" w:sz="4" w:space="0" w:color="2B333D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0" w:type="dxa"/>
                    <w:left w:w="0" w:type="dxa"/>
                    <w:right w:w="120" w:type="dxa"/>
                  </w:tcMar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Lato" w:hAnsi="Lato" w:cs="Lato"/>
                      <w:caps/>
                      <w:color w:val="6B7688"/>
                      <w:sz w:val="16"/>
                      <w:szCs w:val="16"/>
                      <w:spacing w:val="40"/>
                    </w:rPr>
                    <w:t xml:space="preserve">Référence</w:t>
                  </w:r>
                </w:p>
              </w:tc>
              <w:tc>
                <w:tcPr>
                  <w:tcW w:w="2430" w:type="dxa"/>
                  <w:tcBorders>
                    <w:top w:val="single" w:sz="4" w:space="0" w:color="2B333D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0" w:type="dxa"/>
                    <w:left w:w="0" w:type="dxa"/>
                    <w:right w:w="120" w:type="dxa"/>
                  </w:tcMar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Lato" w:hAnsi="Lato" w:cs="Lato"/>
                      <w:caps/>
                      <w:color w:val="6B7688"/>
                      <w:sz w:val="16"/>
                      <w:szCs w:val="16"/>
                      <w:spacing w:val="40"/>
                    </w:rPr>
                    <w:t xml:space="preserve">Version</w:t>
                  </w:r>
                </w:p>
              </w:tc>
              <w:tc>
                <w:tcPr>
                  <w:tcW w:w="2430" w:type="dxa"/>
                  <w:tcBorders>
                    <w:top w:val="single" w:sz="4" w:space="0" w:color="2B333D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0" w:type="dxa"/>
                    <w:left w:w="0" w:type="dxa"/>
                    <w:right w:w="120" w:type="dxa"/>
                  </w:tcMar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Lato" w:hAnsi="Lato" w:cs="Lato"/>
                      <w:caps/>
                      <w:color w:val="6B7688"/>
                      <w:sz w:val="16"/>
                      <w:szCs w:val="16"/>
                      <w:spacing w:val="40"/>
                    </w:rPr>
                    <w:t xml:space="preserve">Auteur</w:t>
                  </w:r>
                </w:p>
              </w:tc>
              <w:tc>
                <w:tcPr>
                  <w:tcW w:w="2430" w:type="dxa"/>
                  <w:tcBorders>
                    <w:top w:val="single" w:sz="4" w:space="0" w:color="2B333D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0" w:type="dxa"/>
                    <w:left w:w="0" w:type="dxa"/>
                    <w:right w:w="120" w:type="dxa"/>
                  </w:tcMar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Lato" w:hAnsi="Lato" w:cs="Lato"/>
                      <w:caps/>
                      <w:color w:val="6B7688"/>
                      <w:sz w:val="16"/>
                      <w:szCs w:val="16"/>
                      <w:spacing w:val="40"/>
                    </w:rPr>
                    <w:t xml:space="preserve">Statut</w:t>
                  </w:r>
                </w:p>
              </w:tc>
            </w:tr>
            <w:tr>
              <w:tc>
                <w:tcPr>
                  <w:tcW w:w="2430" w:type="dxa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0" w:type="dxa"/>
                    <w:bottom w:w="14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ato" w:hAnsi="Lato" w:cs="Lato"/>
                      <w:color w:val="E6E9EE"/>
                      <w:sz w:val="21"/>
                      <w:szCs w:val="21"/>
                    </w:rPr>
                    <w:t>LEDS-SFD-EXP-001</w:t>
                  </w:r>
                </w:p>
              </w:tc>
              <w:tc>
                <w:tcPr>
                  <w:tcW w:w="2430" w:type="dxa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0" w:type="dxa"/>
                    <w:bottom w:w="14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ato" w:hAnsi="Lato" w:cs="Lato"/>
                      <w:color w:val="E6E9EE"/>
                      <w:sz w:val="21"/>
                      <w:szCs w:val="21"/>
                    </w:rPr>
                    <w:t>1.0 — 25/08/2026</w:t>
                  </w:r>
                </w:p>
              </w:tc>
              <w:tc>
                <w:tcPr>
                  <w:tcW w:w="2430" w:type="dxa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0" w:type="dxa"/>
                    <w:bottom w:w="14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ato" w:hAnsi="Lato" w:cs="Lato"/>
                      <w:color w:val="E6E9EE"/>
                      <w:sz w:val="21"/>
                      <w:szCs w:val="21"/>
                    </w:rPr>
                    <w:t>Équipe L’Épopée des Silences</w:t>
                  </w:r>
                </w:p>
              </w:tc>
              <w:tc>
                <w:tcPr>
                  <w:tcW w:w="2430" w:type="dxa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0" w:type="dxa"/>
                    <w:bottom w:w="14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ato" w:hAnsi="Lato" w:cs="Lato"/>
                      <w:color w:val="E6E9EE"/>
                      <w:sz w:val="21"/>
                      <w:szCs w:val="21"/>
                    </w:rPr>
                    <w:t>Référence d'implémentation</w:t>
                  </w:r>
                </w:p>
              </w:tc>
            </w:tr>
          </w:tbl>
          <w:p>
            <w:pPr>
              <w:spacing w:before="0" w:after="0" w:line="300" w:lineRule="auto"/>
            </w:pPr>
            <w:r>
              <w:rPr>
                <w:rFonts w:ascii="Lato" w:hAnsi="Lato" w:cs="Lato"/>
                <w:color w:val="16191E"/>
                <w:sz w:val="2"/>
                <w:szCs w:val="2"/>
              </w:rPr>
              <w:t xml:space="preserve"/>
            </w:r>
          </w:p>
        </w:tc>
      </w:tr>
    </w:tbl>
    <w:p>
      <w:pPr>
        <w:spacing w:after="0" w:line="20" w:lineRule="exact"/>
        <w:rPr>
          <w:sz w:val="2"/>
        </w:rPr>
        <w:sectPr>
          <w:headerReference w:type="default" r:id="rId4"/>
          <w:footerReference w:type="default" r:id="rId5"/>
          <w:pgSz w:w="12240" w:h="15840"/>
          <w:pgMar w:top="0" w:right="0" w:bottom="0" w:left="0" w:header="0" w:footer="0" w:gutter="0"/>
        </w:sectPr>
      </w:pP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—    SOMMAIRE</w:t>
      </w:r>
    </w:p>
    <w:p>
      <w:pPr>
        <w:spacing w:after="320"/>
      </w:pPr>
      <w:r>
        <w:rPr>
          <w:rFonts w:ascii="Georgia" w:hAnsi="Georgia"/>
          <w:b/>
          <w:i w:val="0"/>
          <w:color w:val="1C2027"/>
          <w:sz w:val="44"/>
        </w:rPr>
        <w:t>Sommaire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E0E5EC"/>
          <w:left w:val="single" w:sz="4" w:color="E0E5EC"/>
          <w:bottom w:val="single" w:sz="4" w:color="E0E5EC"/>
          <w:right w:val="single" w:sz="4" w:color="E0E5EC"/>
          <w:insideH w:val="single" w:sz="4" w:color="E0E5EC"/>
          <w:insideV w:val="single" w:sz="4" w:color="E0E5EC"/>
        </w:tblBorders>
      </w:tblPr>
      <w:tblGrid>
        <w:gridCol w:w="900"/>
        <w:gridCol w:w="8460"/>
      </w:tblGrid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01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Objectif d'expérience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02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Vocabulaire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03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Règles fonctionnelles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04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Parcours utilisateur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05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Critères d'acceptation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06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Hors périmètre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07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Traçabilité</w:t>
            </w:r>
          </w:p>
        </w:tc>
      </w:tr>
    </w:tbl>
    <w:p>
      <w:r>
        <w:br w:type="page"/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Ce document fixe le comportement des personnages non-joueurs, des ennemis et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des événements dans les salles d'exploration. Il complète la SFD combat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canonique et prévaut sur les comportements historiques qui déplaçaient les PNJ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au rythme des pas du joueur.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01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Objectif d'expérience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Le Palais doit paraître habité sans donner l'impression que le joueur commande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le monde entier à chacun de ses pas. Un acteur mobile se déplace d'une case à la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fois, avec une animation lisible. Le mouvement du joueur reste prioritaire : les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PNJ neutres attendent la fin de son animation, tandis que les ennemis conservent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une réaction autonome et menaçante.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02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Vocabulaire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PNJ neutre</w:t>
      </w:r>
      <w:r>
        <w:rPr>
          <w:rFonts w:ascii="Georgia" w:hAnsi="Georgia"/>
          <w:b w:val="0"/>
          <w:i w:val="0"/>
          <w:color w:val="1C2027"/>
          <w:sz w:val="21"/>
        </w:rPr>
        <w:t xml:space="preserve"> : acteur de décor vivant, de dialogue ou de confirmation ; il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ne déclenche pas de combat par simple proximité.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Ennemi d'exploration</w:t>
      </w:r>
      <w:r>
        <w:rPr>
          <w:rFonts w:ascii="Georgia" w:hAnsi="Georgia"/>
          <w:b w:val="0"/>
          <w:i w:val="0"/>
          <w:color w:val="1C2027"/>
          <w:sz w:val="21"/>
        </w:rPr>
        <w:t xml:space="preserve"> : représentation mobile d'un groupe de combat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ordinaire dans la salle.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Événement scénarisé</w:t>
      </w:r>
      <w:r>
        <w:rPr>
          <w:rFonts w:ascii="Georgia" w:hAnsi="Georgia"/>
          <w:b w:val="0"/>
          <w:i w:val="0"/>
          <w:color w:val="1C2027"/>
          <w:sz w:val="21"/>
        </w:rPr>
        <w:t xml:space="preserve"> : règle locale, zone, séquence ou conséquence 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dialogue pouvant lancer un combat sans ennemi mobile.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Contact</w:t>
      </w:r>
      <w:r>
        <w:rPr>
          <w:rFonts w:ascii="Georgia" w:hAnsi="Georgia"/>
          <w:b w:val="0"/>
          <w:i w:val="0"/>
          <w:color w:val="1C2027"/>
          <w:sz w:val="21"/>
        </w:rPr>
        <w:t xml:space="preserve"> : entrée du joueur sur la case ennemie ou arrivée de l'ennemi au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voisinage immédiat du joueur lors de sa réaction.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Distance</w:t>
      </w:r>
      <w:r>
        <w:rPr>
          <w:rFonts w:ascii="Georgia" w:hAnsi="Georgia"/>
          <w:b w:val="0"/>
          <w:i w:val="0"/>
          <w:color w:val="1C2027"/>
          <w:sz w:val="21"/>
        </w:rPr>
        <w:t xml:space="preserve"> : distance de Manhattan </w:t>
      </w:r>
      <w:r>
        <w:rPr>
          <w:rFonts w:ascii="Consolas" w:hAnsi="Consolas"/>
          <w:b w:val="0"/>
          <w:i w:val="0"/>
          <w:color w:val="1C2027"/>
          <w:sz w:val="19"/>
        </w:rPr>
        <w:t>|Δx| + |Δy|</w:t>
      </w:r>
      <w:r>
        <w:rPr>
          <w:rFonts w:ascii="Georgia" w:hAnsi="Georgia"/>
          <w:b w:val="0"/>
          <w:i w:val="0"/>
          <w:color w:val="1C2027"/>
          <w:sz w:val="21"/>
        </w:rPr>
        <w:t xml:space="preserve"> ; aucune diagonale.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Tick d'acteurs</w:t>
      </w:r>
      <w:r>
        <w:rPr>
          <w:rFonts w:ascii="Georgia" w:hAnsi="Georgia"/>
          <w:b w:val="0"/>
          <w:i w:val="0"/>
          <w:color w:val="1C2027"/>
          <w:sz w:val="21"/>
        </w:rPr>
        <w:t xml:space="preserve"> : étape atomique durant laquelle chaque acteur éligible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peut parcourir au plus une case.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03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Règles fonctionnelles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3.1 Priorité du joueur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RG-EXP-001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Aucun PNJ neutre ne commence ou ne poursuit un déplacement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pendant l'animation de déplacement du joueur.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RG-EXP-002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tick neutre ne peut être demandé que lorsque la salle est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en exploration libre, sans dialogue, confirmation, événement, récompense ou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combat en cours.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RG-EXP-003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Après la fin d'un déplacement joueur qui n'a déclenché aucun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événement, les ennemis obtiennent une phase de réaction. Cette phase empêche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 neutraliser leur poursuite en enchaînant les déplacements.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3.2 PNJ neutres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RG-EXP-010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PNJ neutre éligible se déplace au plus d'une case par tick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lorsque le joueur est immobile.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RG-EXP-011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Dès que sa distance au joueur est inférieure ou égale à deux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cases, le PNJ cesse tout déplacement. Il reste immobile tant que cette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condition est vraie.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RG-EXP-012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L'interaction volontaire est disponible à une case 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distance. Une case occupée par un PNJ peut être traversée au milieu d'un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trajet afin de ne jamais condamner un couloir, mais elle ne peut pas être la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destination finale du joueur.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RG-EXP-013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Les archétypes </w:t>
      </w:r>
      <w:r>
        <w:rPr>
          <w:rFonts w:ascii="Consolas" w:hAnsi="Consolas"/>
          <w:b w:val="0"/>
          <w:i w:val="0"/>
          <w:color w:val="1C2027"/>
          <w:sz w:val="19"/>
        </w:rPr>
        <w:t>Fixed</w:t>
      </w:r>
      <w:r>
        <w:rPr>
          <w:rFonts w:ascii="Georgia" w:hAnsi="Georgia"/>
          <w:b w:val="0"/>
          <w:i w:val="0"/>
          <w:color w:val="1C2027"/>
          <w:sz w:val="21"/>
        </w:rPr>
        <w:t xml:space="preserve"> et </w:t>
      </w:r>
      <w:r>
        <w:rPr>
          <w:rFonts w:ascii="Consolas" w:hAnsi="Consolas"/>
          <w:b w:val="0"/>
          <w:i w:val="0"/>
          <w:color w:val="1C2027"/>
          <w:sz w:val="19"/>
        </w:rPr>
        <w:t>Guardian</w:t>
      </w:r>
      <w:r>
        <w:rPr>
          <w:rFonts w:ascii="Georgia" w:hAnsi="Georgia"/>
          <w:b w:val="0"/>
          <w:i w:val="0"/>
          <w:color w:val="1C2027"/>
          <w:sz w:val="21"/>
        </w:rPr>
        <w:t xml:space="preserve"> conservent leur poste.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Patrol</w:t>
      </w:r>
      <w:r>
        <w:rPr>
          <w:rFonts w:ascii="Georgia" w:hAnsi="Georgia"/>
          <w:b w:val="0"/>
          <w:i w:val="0"/>
          <w:color w:val="1C2027"/>
          <w:sz w:val="21"/>
        </w:rPr>
        <w:t xml:space="preserve">, </w:t>
      </w:r>
      <w:r>
        <w:rPr>
          <w:rFonts w:ascii="Consolas" w:hAnsi="Consolas"/>
          <w:b w:val="0"/>
          <w:i w:val="0"/>
          <w:color w:val="1C2027"/>
          <w:sz w:val="19"/>
        </w:rPr>
        <w:t>Passive</w:t>
      </w:r>
      <w:r>
        <w:rPr>
          <w:rFonts w:ascii="Georgia" w:hAnsi="Georgia"/>
          <w:b w:val="0"/>
          <w:i w:val="0"/>
          <w:color w:val="1C2027"/>
          <w:sz w:val="21"/>
        </w:rPr>
        <w:t xml:space="preserve"> et </w:t>
      </w:r>
      <w:r>
        <w:rPr>
          <w:rFonts w:ascii="Consolas" w:hAnsi="Consolas"/>
          <w:b w:val="0"/>
          <w:i w:val="0"/>
          <w:color w:val="1C2027"/>
          <w:sz w:val="19"/>
        </w:rPr>
        <w:t>Hunter</w:t>
      </w:r>
      <w:r>
        <w:rPr>
          <w:rFonts w:ascii="Georgia" w:hAnsi="Georgia"/>
          <w:b w:val="0"/>
          <w:i w:val="0"/>
          <w:color w:val="1C2027"/>
          <w:sz w:val="21"/>
        </w:rPr>
        <w:t xml:space="preserve"> suivent leur comportement authored uniquement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hors de la zone d'arrêt de deux cases.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RG-EXP-014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Deux PNJ, un PNJ et un ennemi, ou un PNJ et le joueur ne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peuvent jamais terminer un tick sur la même case.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3.3 Ennemis d'exploration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RG-EXP-020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Tous les nœuds de combat ordinaires (</w:t>
      </w:r>
      <w:r>
        <w:rPr>
          <w:rFonts w:ascii="Consolas" w:hAnsi="Consolas"/>
          <w:b w:val="0"/>
          <w:i w:val="0"/>
          <w:color w:val="1C2027"/>
          <w:sz w:val="19"/>
        </w:rPr>
        <w:t>Combat</w:t>
      </w:r>
      <w:r>
        <w:rPr>
          <w:rFonts w:ascii="Georgia" w:hAnsi="Georgia"/>
          <w:b w:val="0"/>
          <w:i w:val="0"/>
          <w:color w:val="1C2027"/>
          <w:sz w:val="21"/>
        </w:rPr>
        <w:t xml:space="preserve">, </w:t>
      </w:r>
      <w:r>
        <w:rPr>
          <w:rFonts w:ascii="Consolas" w:hAnsi="Consolas"/>
          <w:b w:val="0"/>
          <w:i w:val="0"/>
          <w:color w:val="1C2027"/>
          <w:sz w:val="19"/>
        </w:rPr>
        <w:t>Rare</w:t>
      </w:r>
      <w:r>
        <w:rPr>
          <w:rFonts w:ascii="Georgia" w:hAnsi="Georgia"/>
          <w:b w:val="0"/>
          <w:i w:val="0"/>
          <w:color w:val="1C2027"/>
          <w:sz w:val="21"/>
        </w:rPr>
        <w:t>,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Elite</w:t>
      </w:r>
      <w:r>
        <w:rPr>
          <w:rFonts w:ascii="Georgia" w:hAnsi="Georgia"/>
          <w:b w:val="0"/>
          <w:i w:val="0"/>
          <w:color w:val="1C2027"/>
          <w:sz w:val="21"/>
        </w:rPr>
        <w:t xml:space="preserve">, </w:t>
      </w:r>
      <w:r>
        <w:rPr>
          <w:rFonts w:ascii="Consolas" w:hAnsi="Consolas"/>
          <w:b w:val="0"/>
          <w:i w:val="0"/>
          <w:color w:val="1C2027"/>
          <w:sz w:val="19"/>
        </w:rPr>
        <w:t>RoomBoss</w:t>
      </w:r>
      <w:r>
        <w:rPr>
          <w:rFonts w:ascii="Georgia" w:hAnsi="Georgia"/>
          <w:b w:val="0"/>
          <w:i w:val="0"/>
          <w:color w:val="1C2027"/>
          <w:sz w:val="21"/>
        </w:rPr>
        <w:t xml:space="preserve">, </w:t>
      </w:r>
      <w:r>
        <w:rPr>
          <w:rFonts w:ascii="Consolas" w:hAnsi="Consolas"/>
          <w:b w:val="0"/>
          <w:i w:val="0"/>
          <w:color w:val="1C2027"/>
          <w:sz w:val="19"/>
        </w:rPr>
        <w:t>FinalBoss</w:t>
      </w:r>
      <w:r>
        <w:rPr>
          <w:rFonts w:ascii="Georgia" w:hAnsi="Georgia"/>
          <w:b w:val="0"/>
          <w:i w:val="0"/>
          <w:color w:val="1C2027"/>
          <w:sz w:val="21"/>
        </w:rPr>
        <w:t>) sont des ennemis d'exploration et se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déclenchent par contact.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RG-EXP-021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À une distance inférieure ou égale à trois cases, l'ennemi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choisit une case orthogonale réduisant la distance au joueur.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RG-EXP-022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À plus de trois cases, l'ennemi peut errer d'une case selon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une décision déterministe. Il n'est pas couplé au nombre de cases parcourues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par le joueur.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RG-EXP-023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ennemi se déplace pendant les ticks d'inactivité et durant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sa phase de réaction après déplacement joueur. Il reste donc libre 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poursuivre le joueur.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RG-EXP-024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Le contact sélectionne immédiatement la rencontre et ouvre le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combat T-RPG, sans fenêtre de confirmation supplémentaire.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RG-EXP-025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La case de contact constitue le centre de déploiement du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combat tactique conformément à la SFD combat canonique.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RG-EXP-026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ennemi résolu, caché, verrouillé ou déjà sélectionné ne se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déplace pas.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3.4 Événements et scénarios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RG-EXP-030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Les combats produits par une règle locale, un événement, un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dialogue ou une séquence de scénario ne sont pas convertis en ennemi mobile.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RG-EXP-031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Les déclencheurs </w:t>
      </w:r>
      <w:r>
        <w:rPr>
          <w:rFonts w:ascii="Consolas" w:hAnsi="Consolas"/>
          <w:b w:val="0"/>
          <w:i w:val="0"/>
          <w:color w:val="1C2027"/>
          <w:sz w:val="19"/>
        </w:rPr>
        <w:t>ZoneEntry</w:t>
      </w:r>
      <w:r>
        <w:rPr>
          <w:rFonts w:ascii="Georgia" w:hAnsi="Georgia"/>
          <w:b w:val="0"/>
          <w:i w:val="0"/>
          <w:color w:val="1C2027"/>
          <w:sz w:val="21"/>
        </w:rPr>
        <w:t xml:space="preserve">, </w:t>
      </w:r>
      <w:r>
        <w:rPr>
          <w:rFonts w:ascii="Consolas" w:hAnsi="Consolas"/>
          <w:b w:val="0"/>
          <w:i w:val="0"/>
          <w:color w:val="1C2027"/>
          <w:sz w:val="19"/>
        </w:rPr>
        <w:t>NpcInteraction</w:t>
      </w:r>
      <w:r>
        <w:rPr>
          <w:rFonts w:ascii="Georgia" w:hAnsi="Georgia"/>
          <w:b w:val="0"/>
          <w:i w:val="0"/>
          <w:color w:val="1C2027"/>
          <w:sz w:val="21"/>
        </w:rPr>
        <w:t>, choix et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seuils de sévérité restent souverains. Cela inclut les protocoles du Hall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d'entrée, le tapis et les interactions avec les Émotions.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RG-EXP-032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Une interaction avec un PNJ ou un élément demandant une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confirmation met le monde en pause jusqu'à la fermeture ou la résolution 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l'interface.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3.5 Animation et lisibilité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RG-EXP-040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Chaque déplacement d'acteur est interpolé entre sa case 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départ et sa case d'arrivée ; aucun changement de position ne doit apparaître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comme une téléportation.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RG-EXP-041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Les départs de plusieurs acteurs sont légèrement décalés afin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d'éviter un mouvement parfaitement simultané de la salle entière.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RG-EXP-042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Les entrées joueur sont verrouillées durant l'animation d'un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tick d'acteurs.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RG-EXP-043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L'option d'accessibilité « réduire les animations » conserve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l'ordre et les règles de simulation, mais réduit la durée visuelle.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04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Parcours utilisateur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1. La salle se charge avec ses PNJ, ennemis, événements et objets persistés.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2. Le joueur reste immobile : un tick fait évoluer les acteurs autorisés.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3. Le joueur clique une destination : les PNJ neutres sont figés, le joueur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parcourt son itinéraire puis termine son animation.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4. Si le joueur entre en contact avec un ennemi, la rencontre s'ouvre.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5. Sinon, les ennemis jouent une réaction atomique ; un contact éventuel ouvre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la rencontre.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6. À deux cases d'un PNJ, celui-ci attend. À une case, le joueur peut déclencher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l'action d'interaction.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7. Toute interface modale suspend les ticks jusqu'au retour à l'exploration.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05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Critères d'acceptation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CA-EXP-001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PNJ </w:t>
      </w:r>
      <w:r>
        <w:rPr>
          <w:rFonts w:ascii="Consolas" w:hAnsi="Consolas"/>
          <w:b w:val="0"/>
          <w:i w:val="0"/>
          <w:color w:val="1C2027"/>
          <w:sz w:val="19"/>
        </w:rPr>
        <w:t>Passive</w:t>
      </w:r>
      <w:r>
        <w:rPr>
          <w:rFonts w:ascii="Georgia" w:hAnsi="Georgia"/>
          <w:b w:val="0"/>
          <w:i w:val="0"/>
          <w:color w:val="1C2027"/>
          <w:sz w:val="21"/>
        </w:rPr>
        <w:t xml:space="preserve"> ne change pas de case pendant que le jeton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joueur est animé.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CA-EXP-002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PNJ neutre situé à distance deux reste immobile pendant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au moins trois ticks successifs.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CA-EXP-003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clic sur un PNJ adjacent appelle l'interaction sans tenter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 déplacer le joueur sur sa case.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CA-EXP-003b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Une destination libre située derrière un PNJ dans un couloir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reste atteignable ; le trajet traverse la case occupée sans y terminer.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CA-EXP-004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ennemi à distance trois réduit la distance d'une case lors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 sa réaction, sous réserve de collision.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CA-EXP-005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ennemi adjacent déclenche le combat par contact.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CA-EXP-006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Un combat produit par </w:t>
      </w:r>
      <w:r>
        <w:rPr>
          <w:rFonts w:ascii="Consolas" w:hAnsi="Consolas"/>
          <w:b w:val="0"/>
          <w:i w:val="0"/>
          <w:color w:val="1C2027"/>
          <w:sz w:val="19"/>
        </w:rPr>
        <w:t>ZoneEntry</w:t>
      </w:r>
      <w:r>
        <w:rPr>
          <w:rFonts w:ascii="Georgia" w:hAnsi="Georgia"/>
          <w:b w:val="0"/>
          <w:i w:val="0"/>
          <w:color w:val="1C2027"/>
          <w:sz w:val="21"/>
        </w:rPr>
        <w:t xml:space="preserve"> dans le Hall ne crée aucun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ennemi mobile.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CA-EXP-007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Aucun acteur ne traverse une case non marchable et aucune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paire d'acteurs ne partage une case après un tick.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CA-EXP-008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Les positions sont identiques après sauvegarde/reprise.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/>
          <w:i w:val="0"/>
          <w:color w:val="1C2027"/>
          <w:sz w:val="21"/>
        </w:rPr>
        <w:t>CA-EXP-009</w:t>
      </w:r>
      <w:r>
        <w:rPr>
          <w:rFonts w:ascii="Georgia" w:hAnsi="Georgia"/>
          <w:b w:val="0"/>
          <w:i w:val="0"/>
          <w:color w:val="1C2027"/>
          <w:sz w:val="21"/>
        </w:rPr>
        <w:t xml:space="preserve"> — Chaque mouvement visible suit une interpolation et non un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saut de rendu.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06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Hors périmètre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Réécriture du contenu narratif des PNJ ; l'interaction réutilise les graphes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 dialogue déjà authored dans le Catalogue.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Navigation diagonale, vitesse variable ou trajectoires multi-cases par tick.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Changement du système de combat T-RPG après le contact.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Remplacement des déclencheurs de scénario existants.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07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Traçabilité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8DEE7"/>
          <w:left w:val="single" w:sz="6" w:color="D8DEE7"/>
          <w:bottom w:val="single" w:sz="6" w:color="D8DEE7"/>
          <w:right w:val="single" w:sz="6" w:color="D8DEE7"/>
          <w:insideH w:val="single" w:sz="6" w:color="D8DEE7"/>
          <w:insideV w:val="single" w:sz="6" w:color="D8DEE7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EEF1F5"/>
          </w:tcPr>
          <w:p>
            <w:pPr>
              <w:spacing w:before="60" w:after="60"/>
            </w:pPr>
            <w:r>
              <w:rPr>
                <w:rFonts w:ascii="Georgia" w:hAnsi="Georgia"/>
                <w:b/>
                <w:i w:val="0"/>
                <w:color w:val="525C6C"/>
                <w:sz w:val="17"/>
              </w:rPr>
              <w:t>Besoin</w:t>
            </w:r>
          </w:p>
        </w:tc>
        <w:tc>
          <w:tcPr>
            <w:tcW w:type="dxa" w:w="3120"/>
            <w:vAlign w:val="center"/>
            <w:shd w:fill="EEF1F5"/>
          </w:tcPr>
          <w:p>
            <w:pPr>
              <w:spacing w:before="60" w:after="60"/>
            </w:pPr>
            <w:r>
              <w:rPr>
                <w:rFonts w:ascii="Georgia" w:hAnsi="Georgia"/>
                <w:b/>
                <w:i w:val="0"/>
                <w:color w:val="525C6C"/>
                <w:sz w:val="17"/>
              </w:rPr>
              <w:t>Règles</w:t>
            </w:r>
          </w:p>
        </w:tc>
        <w:tc>
          <w:tcPr>
            <w:tcW w:type="dxa" w:w="3120"/>
            <w:vAlign w:val="center"/>
            <w:shd w:fill="EEF1F5"/>
          </w:tcPr>
          <w:p>
            <w:pPr>
              <w:spacing w:before="60" w:after="60"/>
            </w:pPr>
            <w:r>
              <w:rPr>
                <w:rFonts w:ascii="Georgia" w:hAnsi="Georgia"/>
                <w:b/>
                <w:i w:val="0"/>
                <w:color w:val="525C6C"/>
                <w:sz w:val="17"/>
              </w:rPr>
              <w:t>Vérification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Supprimer l'effet de téléportation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RG-EXP-040 à 043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tests du plan de rendu + test manuel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Découpler les PNJ du joueur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RG-EXP-001 à 003, 010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tests domaine et store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Permettre l'approche d'un PNJ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RG-EXP-011 à 014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tests interaction/collision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Généraliser les combats au contact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RG-EXP-020 à 026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tests domaine/API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Préserver les scénarios du Hall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RG-EXP-030 à 032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tests protocoles locaux</w:t>
            </w:r>
          </w:p>
        </w:tc>
      </w:tr>
    </w:tbl>
    <w:p>
      <w:pPr>
        <w:spacing w:after="20"/>
      </w:pPr>
    </w:p>
    <w:sectPr>
      <w:headerReference r:id="rId2"/>
      <w:footerReference r:id="rId3"/>
      <w:pgSz w:w="12240" w:h="15840"/>
      <w:pgMar w:top="1123" w:right="1181" w:bottom="1037" w:left="1181" w:header="504" w:footer="504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10080"/>
      </w:tabs>
      <w:pBdr>
        <w:top w:val="single" w:sz="4" w:space="6" w:color="D6DAE0"/>
      </w:pBdr>
      <w:spacing w:before="0" w:after="0" w:line="240" w:lineRule="auto"/>
    </w:pPr>
    <w:r>
      <w:rPr>
        <w:rFonts w:ascii="Lato" w:hAnsi="Lato" w:cs="Lato"/>
        <w:caps/>
        <w:color w:val="8B96A5"/>
        <w:sz w:val="16"/>
        <w:szCs w:val="16"/>
        <w:spacing w:val="50"/>
      </w:rPr>
      <w:t xml:space="preserve">Kora — Confidentiel</w:t>
    </w:r>
    <w:r>
      <w:tab/>
    </w:r>
    <w:fldSimple w:instr=" PAGE ">
      <w:r>
        <w:rPr>
          <w:rFonts w:ascii="Lato" w:hAnsi="Lato"/>
          <w:color w:val="8B96A5"/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Georgia" w:hAnsi="Georgia"/>
        <w:b w:val="0"/>
        <w:i w:val="0"/>
        <w:color w:val="8997AA"/>
        <w:sz w:val="14"/>
      </w:rPr>
      <w:t xml:space="preserve">DOCUMENT DE RÉFÉRENCE    ·   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10080"/>
      </w:tabs>
      <w:pBdr>
        <w:bottom w:val="single" w:sz="4" w:space="6" w:color="D6DAE0"/>
      </w:pBdr>
      <w:spacing w:before="0" w:after="0" w:line="240" w:lineRule="auto"/>
    </w:pPr>
    <w:r>
      <w:rPr>
        <w:rFonts w:ascii="Lato" w:hAnsi="Lato" w:cs="Lato"/>
        <w:caps/>
        <w:color w:val="8B96A5"/>
        <w:sz w:val="16"/>
        <w:szCs w:val="16"/>
        <w:spacing w:val="50"/>
      </w:rPr>
      <w:t xml:space="preserve">KOR-SFD-014 · v1.4</w:t>
    </w:r>
    <w:r>
      <w:tab/>
    </w:r>
    <w:r>
      <w:rPr>
        <w:rFonts w:ascii="Lato" w:hAnsi="Lato" w:cs="Lato"/>
        <w:caps/>
        <w:color w:val="8B96A5"/>
        <w:sz w:val="16"/>
        <w:szCs w:val="16"/>
        <w:spacing w:val="50"/>
      </w:rPr>
      <w:t xml:space="preserve">Module de paiement marchand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Georgia" w:hAnsi="Georgia"/>
        <w:b/>
        <w:i w:val="0"/>
        <w:color w:val="8997AA"/>
        <w:sz w:val="15"/>
      </w:rPr>
      <w:t>L’ÉPOPÉE DES SILENCES    ·    LEDS-SFD-EXP-001</w:t>
    </w:r>
  </w:p>
</w:hdr>
</file>

<file path=word/styles.xml><?xml version="1.0" encoding="utf-8"?>
<w:styles xmlns:w="http://schemas.openxmlformats.org/wordprocessingml/2006/main">
  <w:docDefaults>
    <w:rPrDefault>
      <w:rPr>
        <w:rFonts w:ascii="Lato" w:hAnsi="Lato" w:cs="Lato"/>
        <w:color w:val="16191E"/>
        <w:sz w:val="22"/>
        <w:szCs w:val="22"/>
        <w:lang w:val="fr-F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276" w:lineRule="auto"/>
    </w:pPr>
    <w:rPr>
      <w:rFonts w:ascii="Georgia" w:hAnsi="Georgia"/>
      <w:color w:val="1C2027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