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12240" w:type="dxa"/>
        <w:tblLayout w:type="fixed"/>
        <w:tblCellMar>
          <w:left w:w="0" w:type="dxa"/>
          <w:right w:w="0" w:type="dxa"/>
        </w:tblCellMar>
      </w:tblPr>
      <w:tblGrid>
        <w:gridCol w:w="12240"/>
      </w:tblGrid>
      <w:tr>
        <w:trPr>
          <w:trHeight w:val="14300" w:hRule="exact"/>
        </w:trPr>
        <w:tc>
          <w:tcPr>
            <w:tcW w:w="12240" w:type="dxa"/>
            <w:tcBorders>
              <w:top w:val="nil"/>
              <w:bottom w:val="nil"/>
              <w:left w:val="nil"/>
              <w:right w:val="nil"/>
            </w:tcBorders>
            <w:shd w:val="clear" w:color="auto" w:fill="0E1116"/>
            <w:tcMar>
              <w:top w:w="1160" w:type="dxa"/>
              <w:bottom w:w="1160" w:type="dxa"/>
              <w:left w:w="1260" w:type="dxa"/>
              <w:right w:w="1260" w:type="dxa"/>
            </w:tcMar>
          </w:tcPr>
          <w:p>
            <w:pPr>
              <w:tabs>
                <w:tab w:val="right" w:pos="9720"/>
              </w:tabs>
              <w:spacing w:before="0" w:after="0" w:line="240" w:lineRule="auto"/>
            </w:pPr>
            <w:r>
              <w:rPr>
                <w:rFonts w:ascii="Lato" w:hAnsi="Lato" w:cs="Lato"/>
                <w:caps/>
                <w:color w:val="9AA5B1"/>
                <w:sz w:val="17"/>
                <w:szCs w:val="17"/>
                <w:spacing w:val="40"/>
              </w:rPr>
              <w:t>L’ÉPOPÉE DES SILENCES</w:t>
              <w:tab/>
              <w:t>CONFIDENTIEL — DOCUMENT DE TRAVAIL</w:t>
            </w:r>
            <w:r/>
            <w:r>
              <w:rPr>
                <w:rFonts w:ascii="Lato" w:hAnsi="Lato" w:cs="Lato"/>
                <w:caps/>
                <w:color w:val="6B7688"/>
                <w:sz w:val="17"/>
                <w:szCs w:val="17"/>
                <w:spacing w:val="40"/>
              </w:rPr>
            </w:r>
          </w:p>
          <w:p>
            <w:pPr>
              <w:spacing w:before="0" w:after="3600" w:line="300" w:lineRule="auto"/>
            </w:pPr>
            <w:r>
              <w:rPr>
                <w:rFonts w:ascii="Lato" w:hAnsi="Lato" w:cs="Lato"/>
                <w:color w:val="16191E"/>
                <w:sz w:val="22"/>
                <w:szCs w:val="22"/>
              </w:rPr>
              <w:t xml:space="preserve"/>
            </w:r>
          </w:p>
          <w:p>
            <w:pPr>
              <w:spacing w:before="0" w:after="320" w:line="300" w:lineRule="auto"/>
            </w:pPr>
            <w:r>
              <w:rPr>
                <w:rFonts w:ascii="Lato" w:hAnsi="Lato" w:cs="Lato"/>
                <w:caps/>
                <w:color w:val="9AA5B1"/>
                <w:sz w:val="18"/>
                <w:szCs w:val="18"/>
                <w:spacing w:val="60"/>
              </w:rPr>
              <w:t>STD · SPÉCIFICATIONS TECHNIQUES DÉTAILLÉES</w:t>
            </w:r>
          </w:p>
          <w:p>
            <w:pPr>
              <w:spacing w:before="0" w:after="0" w:line="210" w:lineRule="auto"/>
            </w:pPr>
            <w:r>
              <w:rPr>
                <w:rFonts w:ascii="Lato" w:hAnsi="Lato" w:cs="Lato"/>
                <w:b/>
                <w:color w:val="E6E9EE"/>
                <w:sz w:val="80"/>
                <w:szCs w:val="80"/>
              </w:rPr>
              <w:t>Plateforme CI/CD</w:t>
            </w:r>
          </w:p>
          <w:p>
            <w:pPr>
              <w:spacing w:before="0" w:after="340" w:line="210" w:lineRule="auto"/>
            </w:pPr>
            <w:r>
              <w:rPr>
                <w:rFonts w:ascii="Lato" w:hAnsi="Lato" w:cs="Lato"/>
                <w:b/>
                <w:color w:val="6B7688"/>
                <w:sz w:val="80"/>
                <w:szCs w:val="80"/>
              </w:rPr>
              <w:t>Qualité &amp; livraison</w:t>
            </w:r>
          </w:p>
          <w:p>
            <w:pPr>
              <w:spacing w:before="0" w:after="0" w:line="340" w:lineRule="auto"/>
            </w:pPr>
            <w:r>
              <w:rPr>
                <w:rFonts w:ascii="Lato" w:hAnsi="Lato" w:cs="Lato"/>
                <w:color w:val="9AA5B1"/>
                <w:sz w:val="24"/>
                <w:szCs w:val="24"/>
              </w:rPr>
              <w:t>Tests, couverture, sécurité de la supply chain et déploiement reproductible.</w:t>
            </w:r>
          </w:p>
          <w:p>
            <w:pPr>
              <w:spacing w:before="0" w:after="3200" w:line="300" w:lineRule="auto"/>
            </w:pPr>
            <w:r>
              <w:rPr>
                <w:rFonts w:ascii="Lato" w:hAnsi="Lato" w:cs="Lato"/>
                <w:color w:val="16191E"/>
                <w:sz w:val="22"/>
                <w:szCs w:val="22"/>
              </w:rPr>
              <w:t xml:space="preserve"/>
            </w:r>
          </w:p>
          <w:tbl>
            <w:tblPr>
              <w:tblW w:w="9720" w:type="dxa"/>
              <w:tblLayout w:type="fixed"/>
              <w:tblCellMar>
                <w:left w:w="0" w:type="dxa"/>
                <w:right w:w="0" w:type="dxa"/>
              </w:tblCellMar>
            </w:tblPr>
            <w:tblGrid>
              <w:gridCol w:w="2430"/>
              <w:gridCol w:w="2430"/>
              <w:gridCol w:w="2430"/>
              <w:gridCol w:w="2430"/>
            </w:tblGrid>
            <w:tr>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Référence</w:t>
                  </w:r>
                </w:p>
              </w:tc>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Version</w:t>
                  </w:r>
                </w:p>
              </w:tc>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Auteur</w:t>
                  </w:r>
                </w:p>
              </w:tc>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Statut</w:t>
                  </w:r>
                </w:p>
              </w:tc>
            </w:tr>
            <w:tr>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LEDS-STD-CICD-001</w:t>
                  </w:r>
                </w:p>
              </w:tc>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1.0 — 25/08/2026</w:t>
                  </w:r>
                </w:p>
              </w:tc>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Équipe L’Épopée des Silences</w:t>
                  </w:r>
                </w:p>
              </w:tc>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Référence de mise en œuvre</w:t>
                  </w:r>
                </w:p>
              </w:tc>
            </w:tr>
          </w:tbl>
          <w:p>
            <w:pPr>
              <w:spacing w:before="0" w:after="0" w:line="300" w:lineRule="auto"/>
            </w:pPr>
            <w:r>
              <w:rPr>
                <w:rFonts w:ascii="Lato" w:hAnsi="Lato" w:cs="Lato"/>
                <w:color w:val="16191E"/>
                <w:sz w:val="2"/>
                <w:szCs w:val="2"/>
              </w:rPr>
              <w:t xml:space="preserve"/>
            </w:r>
          </w:p>
        </w:tc>
      </w:tr>
    </w:tbl>
    <w:p>
      <w:pPr>
        <w:spacing w:after="0" w:line="20" w:lineRule="exact"/>
        <w:rPr>
          <w:sz w:val="2"/>
        </w:rPr>
        <w:sectPr>
          <w:headerReference w:type="default" r:id="rId4"/>
          <w:footerReference w:type="default" r:id="rId5"/>
          <w:pgSz w:w="12240" w:h="15840"/>
          <w:pgMar w:top="0" w:right="0" w:bottom="0" w:left="0" w:header="0" w:footer="0" w:gutter="0"/>
        </w:sectPr>
      </w:pPr>
    </w:p>
    <w:p>
      <w:pPr>
        <w:keepNext/>
        <w:spacing w:before="280" w:after="80"/>
      </w:pPr>
      <w:r>
        <w:rPr>
          <w:rFonts w:ascii="Georgia" w:hAnsi="Georgia"/>
          <w:b/>
          <w:i w:val="0"/>
          <w:caps/>
          <w:color w:val="8997AA"/>
          <w:sz w:val="16"/>
        </w:rPr>
        <w:t>—    SOMMAIRE</w:t>
      </w:r>
    </w:p>
    <w:p>
      <w:pPr>
        <w:spacing w:after="320"/>
      </w:pPr>
      <w:r>
        <w:rPr>
          <w:rFonts w:ascii="Georgia" w:hAnsi="Georgia"/>
          <w:b/>
          <w:i w:val="0"/>
          <w:color w:val="1C2027"/>
          <w:sz w:val="44"/>
        </w:rPr>
        <w:t>Sommaire</w:t>
      </w:r>
    </w:p>
    <w:tbl>
      <w:tblPr>
        <w:tblW w:type="dxa" w:w="9360"/>
        <w:jc w:val="left"/>
        <w:tblLayout w:type="fixed"/>
        <w:tblLook w:firstColumn="1" w:firstRow="1" w:lastColumn="0" w:lastRow="0" w:noHBand="0" w:noVBand="1" w:val="04A0"/>
        <w:tblInd w:w="120" w:type="dxa"/>
        <w:tblBorders>
          <w:top w:val="single" w:sz="4" w:color="E0E5EC"/>
          <w:left w:val="single" w:sz="4" w:color="E0E5EC"/>
          <w:bottom w:val="single" w:sz="4" w:color="E0E5EC"/>
          <w:right w:val="single" w:sz="4" w:color="E0E5EC"/>
          <w:insideH w:val="single" w:sz="4" w:color="E0E5EC"/>
          <w:insideV w:val="single" w:sz="4" w:color="E0E5EC"/>
        </w:tblBorders>
      </w:tblPr>
      <w:tblGrid>
        <w:gridCol w:w="900"/>
        <w:gridCol w:w="8460"/>
      </w:tblGrid>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01</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Objet et décision</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02</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État initial constaté</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03</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Principes d’architecture</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04</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Organisation des workflows</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05</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Stratégie de tests</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06</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Construction et publication des artefacts</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07</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Sécurité de la chaîne</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08</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Environnements et configuration</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09</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Déploiement et migrations</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10</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Observabilité et exploitation</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11</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Contrats de qualité et protection de branche</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12</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Plan de mise en œuvre</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13</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Critères d’acceptation</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14</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Sources techniques</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15</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Historique</w:t>
            </w:r>
          </w:p>
        </w:tc>
      </w:tr>
    </w:tbl>
    <w:p>
      <w:r>
        <w:br w:type="page"/>
      </w:r>
    </w:p>
    <w:p>
      <w:pPr>
        <w:keepNext/>
        <w:spacing w:before="280" w:after="80"/>
      </w:pPr>
      <w:r>
        <w:rPr>
          <w:rFonts w:ascii="Georgia" w:hAnsi="Georgia"/>
          <w:b/>
          <w:i w:val="0"/>
          <w:caps/>
          <w:color w:val="8997AA"/>
          <w:sz w:val="16"/>
        </w:rPr>
        <w:t>01    SECTION</w:t>
      </w:r>
    </w:p>
    <w:p>
      <w:pPr>
        <w:pStyle w:val="Heading1"/>
        <w:keepNext/>
        <w:spacing w:after="180"/>
      </w:pPr>
      <w:r>
        <w:rPr>
          <w:rFonts w:ascii="Georgia" w:hAnsi="Georgia"/>
          <w:b/>
          <w:i w:val="0"/>
          <w:color w:val="1C2027"/>
          <w:sz w:val="38"/>
        </w:rPr>
        <w:t>Objet et décision</w:t>
      </w:r>
    </w:p>
    <w:p>
      <w:pPr>
        <w:keepLines/>
        <w:spacing w:after="100" w:line="276" w:lineRule="auto"/>
        <w:jc w:val="left"/>
      </w:pPr>
      <w:r>
        <w:rPr>
          <w:rFonts w:ascii="Georgia" w:hAnsi="Georgia"/>
          <w:b w:val="0"/>
          <w:i w:val="0"/>
          <w:color w:val="1C2027"/>
          <w:sz w:val="20"/>
        </w:rPr>
        <w:t>Ce document définit la chaîne d’intégration, de qualification, de publication et de déploiement de L’Épopée des Silences. La cible retenue est une plateforme GitHub Actions adaptée au monorepo, publiant des images OCI immuables dans GitHub Container Registry puis promouvant exactement les mêmes digests entre les environnements.</w:t>
      </w:r>
    </w:p>
    <w:p>
      <w:pPr>
        <w:keepLines/>
        <w:spacing w:after="100" w:line="276" w:lineRule="auto"/>
        <w:jc w:val="left"/>
      </w:pPr>
      <w:r>
        <w:rPr>
          <w:rFonts w:ascii="Georgia" w:hAnsi="Georgia"/>
          <w:b w:val="0"/>
          <w:i w:val="0"/>
          <w:color w:val="1C2027"/>
          <w:sz w:val="20"/>
        </w:rPr>
        <w:t xml:space="preserve">La chaîne doit poursuivre quatre objectifs non négociables : empêcher une régression d’entrer sur </w:t>
      </w:r>
      <w:r>
        <w:rPr>
          <w:rFonts w:ascii="Consolas" w:hAnsi="Consolas"/>
          <w:b w:val="0"/>
          <w:i w:val="0"/>
          <w:color w:val="1C2027"/>
          <w:sz w:val="18"/>
        </w:rPr>
        <w:t>develop</w:t>
      </w:r>
      <w:r>
        <w:rPr>
          <w:rFonts w:ascii="Georgia" w:hAnsi="Georgia"/>
          <w:b w:val="0"/>
          <w:i w:val="0"/>
          <w:color w:val="1C2027"/>
          <w:sz w:val="20"/>
        </w:rPr>
        <w:t>, atteindre et maintenir au moins 80 % de couverture sur chaque unité logicielle, produire des artefacts traçables et déployer avec une stratégie de migration et de retour arrière explicite.</w:t>
      </w:r>
    </w:p>
    <w:p>
      <w:pPr>
        <w:keepLines/>
        <w:spacing w:after="100" w:line="276" w:lineRule="auto"/>
        <w:jc w:val="left"/>
      </w:pPr>
      <w:r>
        <w:rPr>
          <w:rFonts w:ascii="Georgia" w:hAnsi="Georgia"/>
          <w:b w:val="0"/>
          <w:i w:val="0"/>
          <w:color w:val="1C2027"/>
          <w:sz w:val="20"/>
        </w:rPr>
        <w:t>La cible d’hébergement définitive n’étant pas encore arrêtée, le cœur du CD reste indépendant du fournisseur. Le profil de référence pour la bêta est un hôte Linux administré exécutant Docker Compose. Un adaptateur OIDC vers Azure, AWS, GCP ou une plateforme Kubernetes pourra remplacer l’adaptateur de déploiement sans modifier la chaîne de construction ni les artefacts.</w:t>
      </w:r>
    </w:p>
    <w:p>
      <w:pPr>
        <w:pStyle w:val="Heading2"/>
        <w:keepNext/>
        <w:spacing w:before="200" w:after="100"/>
      </w:pPr>
      <w:r>
        <w:rPr>
          <w:rFonts w:ascii="Georgia" w:hAnsi="Georgia"/>
          <w:b/>
          <w:i w:val="0"/>
          <w:color w:val="525C6C"/>
          <w:sz w:val="26"/>
        </w:rPr>
        <w:t>1.1 Résultat attendu</w:t>
      </w:r>
    </w:p>
    <w:p>
      <w:pPr>
        <w:keepLines/>
        <w:spacing w:after="100" w:line="276" w:lineRule="auto"/>
        <w:jc w:val="left"/>
        <w:numPr>
          <w:ilvl w:val="0"/>
          <w:numId w:val="1"/>
        </w:numPr>
      </w:pPr>
      <w:r>
        <w:rPr>
          <w:rFonts w:ascii="Georgia" w:hAnsi="Georgia"/>
          <w:b w:val="0"/>
          <w:i w:val="0"/>
          <w:color w:val="1C2027"/>
          <w:sz w:val="20"/>
        </w:rPr>
        <w:t>Toute pull request exécute les contrôles correspondant aux composants affectés.</w:t>
      </w:r>
    </w:p>
    <w:p>
      <w:pPr>
        <w:keepLines/>
        <w:spacing w:after="100" w:line="276" w:lineRule="auto"/>
        <w:jc w:val="left"/>
        <w:numPr>
          <w:ilvl w:val="0"/>
          <w:numId w:val="1"/>
        </w:numPr>
      </w:pPr>
      <w:r>
        <w:rPr>
          <w:rFonts w:ascii="Georgia" w:hAnsi="Georgia"/>
          <w:b w:val="0"/>
          <w:i w:val="0"/>
          <w:color w:val="1C2027"/>
          <w:sz w:val="20"/>
        </w:rPr>
        <w:t>Une exécution nocturne contrôle l’intégralité du monorepo, même lorsqu’aucun chemin détecté ne l’exige.</w:t>
      </w:r>
    </w:p>
    <w:p>
      <w:pPr>
        <w:keepLines/>
        <w:spacing w:after="100" w:line="276" w:lineRule="auto"/>
        <w:jc w:val="left"/>
        <w:numPr>
          <w:ilvl w:val="0"/>
          <w:numId w:val="1"/>
        </w:numPr>
      </w:pPr>
      <w:r>
        <w:rPr>
          <w:rFonts w:ascii="Georgia" w:hAnsi="Georgia"/>
          <w:b w:val="0"/>
          <w:i w:val="0"/>
          <w:color w:val="1C2027"/>
          <w:sz w:val="20"/>
        </w:rPr>
        <w:t>Aucun déploiement n’est possible avec un test requis en échec ou un seuil de couverture non atteint.</w:t>
      </w:r>
    </w:p>
    <w:p>
      <w:pPr>
        <w:keepLines/>
        <w:spacing w:after="100" w:line="276" w:lineRule="auto"/>
        <w:jc w:val="left"/>
        <w:numPr>
          <w:ilvl w:val="0"/>
          <w:numId w:val="1"/>
        </w:numPr>
      </w:pPr>
      <w:r>
        <w:rPr>
          <w:rFonts w:ascii="Georgia" w:hAnsi="Georgia"/>
          <w:b w:val="0"/>
          <w:i w:val="0"/>
          <w:color w:val="1C2027"/>
          <w:sz w:val="20"/>
        </w:rPr>
        <w:t>Chaque image est identifiée par son digest, accompagnée d’un SBOM et d’une attestation de provenance.</w:t>
      </w:r>
    </w:p>
    <w:p>
      <w:pPr>
        <w:keepLines/>
        <w:spacing w:after="100" w:line="276" w:lineRule="auto"/>
        <w:jc w:val="left"/>
        <w:numPr>
          <w:ilvl w:val="0"/>
          <w:numId w:val="1"/>
        </w:numPr>
      </w:pPr>
      <w:r>
        <w:rPr>
          <w:rFonts w:ascii="Georgia" w:hAnsi="Georgia"/>
          <w:b w:val="0"/>
          <w:i w:val="0"/>
          <w:color w:val="1C2027"/>
          <w:sz w:val="20"/>
        </w:rPr>
        <w:t>Les migrations sont générées, vérifiées puis exécutées comme une étape de déploiement contrôlée.</w:t>
      </w:r>
    </w:p>
    <w:p>
      <w:pPr>
        <w:keepLines/>
        <w:spacing w:after="100" w:line="276" w:lineRule="auto"/>
        <w:jc w:val="left"/>
        <w:numPr>
          <w:ilvl w:val="0"/>
          <w:numId w:val="1"/>
        </w:numPr>
      </w:pPr>
      <w:r>
        <w:rPr>
          <w:rFonts w:ascii="Georgia" w:hAnsi="Georgia"/>
          <w:b w:val="0"/>
          <w:i w:val="0"/>
          <w:color w:val="1C2027"/>
          <w:sz w:val="20"/>
        </w:rPr>
        <w:t xml:space="preserve">Les environnements </w:t>
      </w:r>
      <w:r>
        <w:rPr>
          <w:rFonts w:ascii="Consolas" w:hAnsi="Consolas"/>
          <w:b w:val="0"/>
          <w:i w:val="0"/>
          <w:color w:val="1C2027"/>
          <w:sz w:val="18"/>
        </w:rPr>
        <w:t>integration</w:t>
      </w:r>
      <w:r>
        <w:rPr>
          <w:rFonts w:ascii="Georgia" w:hAnsi="Georgia"/>
          <w:b w:val="0"/>
          <w:i w:val="0"/>
          <w:color w:val="1C2027"/>
          <w:sz w:val="20"/>
        </w:rPr>
        <w:t xml:space="preserve">, </w:t>
      </w:r>
      <w:r>
        <w:rPr>
          <w:rFonts w:ascii="Consolas" w:hAnsi="Consolas"/>
          <w:b w:val="0"/>
          <w:i w:val="0"/>
          <w:color w:val="1C2027"/>
          <w:sz w:val="18"/>
        </w:rPr>
        <w:t>preproduction</w:t>
      </w:r>
      <w:r>
        <w:rPr>
          <w:rFonts w:ascii="Georgia" w:hAnsi="Georgia"/>
          <w:b w:val="0"/>
          <w:i w:val="0"/>
          <w:color w:val="1C2027"/>
          <w:sz w:val="20"/>
        </w:rPr>
        <w:t xml:space="preserve"> et </w:t>
      </w:r>
      <w:r>
        <w:rPr>
          <w:rFonts w:ascii="Consolas" w:hAnsi="Consolas"/>
          <w:b w:val="0"/>
          <w:i w:val="0"/>
          <w:color w:val="1C2027"/>
          <w:sz w:val="18"/>
        </w:rPr>
        <w:t>beta</w:t>
      </w:r>
      <w:r>
        <w:rPr>
          <w:rFonts w:ascii="Georgia" w:hAnsi="Georgia"/>
          <w:b w:val="0"/>
          <w:i w:val="0"/>
          <w:color w:val="1C2027"/>
          <w:sz w:val="20"/>
        </w:rPr>
        <w:t xml:space="preserve"> utilisent des règles de protection distinctes.</w:t>
      </w:r>
    </w:p>
    <w:p>
      <w:pPr>
        <w:keepNext/>
        <w:spacing w:before="280" w:after="80"/>
      </w:pPr>
      <w:r>
        <w:rPr>
          <w:rFonts w:ascii="Georgia" w:hAnsi="Georgia"/>
          <w:b/>
          <w:i w:val="0"/>
          <w:caps/>
          <w:color w:val="8997AA"/>
          <w:sz w:val="16"/>
        </w:rPr>
        <w:t>02    SECTION</w:t>
      </w:r>
    </w:p>
    <w:p>
      <w:pPr>
        <w:pStyle w:val="Heading1"/>
        <w:keepNext/>
        <w:spacing w:after="180"/>
      </w:pPr>
      <w:r>
        <w:rPr>
          <w:rFonts w:ascii="Georgia" w:hAnsi="Georgia"/>
          <w:b/>
          <w:i w:val="0"/>
          <w:color w:val="1C2027"/>
          <w:sz w:val="38"/>
        </w:rPr>
        <w:t>État initial constaté</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1610"/>
        <w:gridCol w:w="2317"/>
        <w:gridCol w:w="2535"/>
        <w:gridCol w:w="2898"/>
      </w:tblGrid>
      <w:tr>
        <w:trPr>
          <w:tblHeader w:val="true"/>
        </w:trPr>
        <w:tc>
          <w:tcPr>
            <w:tcW w:type="dxa" w:w="1610"/>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Unité</w:t>
            </w:r>
          </w:p>
        </w:tc>
        <w:tc>
          <w:tcPr>
            <w:tcW w:type="dxa" w:w="2317"/>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Technologie</w:t>
            </w:r>
          </w:p>
        </w:tc>
        <w:tc>
          <w:tcPr>
            <w:tcW w:type="dxa" w:w="2535"/>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Tests présents</w:t>
            </w:r>
          </w:p>
        </w:tc>
        <w:tc>
          <w:tcPr>
            <w:tcW w:type="dxa" w:w="2898"/>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État CI/CD initial</w:t>
            </w:r>
          </w:p>
        </w:tc>
      </w:tr>
      <w:tr>
        <w:tc>
          <w:tcPr>
            <w:tcW w:type="dxa" w:w="1610"/>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Game Engine</w:t>
            </w:r>
          </w:p>
        </w:tc>
        <w:tc>
          <w:tcPr>
            <w:tcW w:type="dxa" w:w="2317"/>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.NET 10, EF Core, PostgreSQL</w:t>
            </w:r>
          </w:p>
        </w:tc>
        <w:tc>
          <w:tcPr>
            <w:tcW w:type="dxa" w:w="253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xUnit, intégration Testcontainers</w:t>
            </w:r>
          </w:p>
        </w:tc>
        <w:tc>
          <w:tcPr>
            <w:tcW w:type="dxa" w:w="289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Aucun workflow, aucun Dockerfile</w:t>
            </w:r>
          </w:p>
        </w:tc>
      </w:tr>
      <w:tr>
        <w:tc>
          <w:tcPr>
            <w:tcW w:type="dxa" w:w="1610"/>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Player</w:t>
            </w:r>
          </w:p>
        </w:tc>
        <w:tc>
          <w:tcPr>
            <w:tcW w:type="dxa" w:w="2317"/>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.NET 10, EF Core, PostgreSQL</w:t>
            </w:r>
          </w:p>
        </w:tc>
        <w:tc>
          <w:tcPr>
            <w:tcW w:type="dxa" w:w="253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xUnit, intégration Testcontainers</w:t>
            </w:r>
          </w:p>
        </w:tc>
        <w:tc>
          <w:tcPr>
            <w:tcW w:type="dxa" w:w="2898"/>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Aucun workflow, aucun Dockerfile</w:t>
            </w:r>
          </w:p>
        </w:tc>
      </w:tr>
      <w:tr>
        <w:tc>
          <w:tcPr>
            <w:tcW w:type="dxa" w:w="1610"/>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Catalog</w:t>
            </w:r>
          </w:p>
        </w:tc>
        <w:tc>
          <w:tcPr>
            <w:tcW w:type="dxa" w:w="2317"/>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.NET 10, EF Core, PostgreSQL</w:t>
            </w:r>
          </w:p>
        </w:tc>
        <w:tc>
          <w:tcPr>
            <w:tcW w:type="dxa" w:w="253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xUnit, intégration Testcontainers</w:t>
            </w:r>
          </w:p>
        </w:tc>
        <w:tc>
          <w:tcPr>
            <w:tcW w:type="dxa" w:w="289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Aucun workflow, aucun Dockerfile</w:t>
            </w:r>
          </w:p>
        </w:tc>
      </w:tr>
      <w:tr>
        <w:tc>
          <w:tcPr>
            <w:tcW w:type="dxa" w:w="1610"/>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Shared Building Blocks</w:t>
            </w:r>
          </w:p>
        </w:tc>
        <w:tc>
          <w:tcPr>
            <w:tcW w:type="dxa" w:w="2317"/>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.NET 10</w:t>
            </w:r>
          </w:p>
        </w:tc>
        <w:tc>
          <w:tcPr>
            <w:tcW w:type="dxa" w:w="2535"/>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xUnit</w:t>
            </w:r>
          </w:p>
        </w:tc>
        <w:tc>
          <w:tcPr>
            <w:tcW w:type="dxa" w:w="2898"/>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Aucun workflow de package</w:t>
            </w:r>
          </w:p>
        </w:tc>
      </w:tr>
      <w:tr>
        <w:tc>
          <w:tcPr>
            <w:tcW w:type="dxa" w:w="1610"/>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Game Client</w:t>
            </w:r>
          </w:p>
        </w:tc>
        <w:tc>
          <w:tcPr>
            <w:tcW w:type="dxa" w:w="2317"/>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Vue 3, TypeScript, Vite</w:t>
            </w:r>
          </w:p>
        </w:tc>
        <w:tc>
          <w:tcPr>
            <w:tcW w:type="dxa" w:w="2535"/>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Vitest, Playwright</w:t>
            </w:r>
          </w:p>
        </w:tc>
        <w:tc>
          <w:tcPr>
            <w:tcW w:type="dxa" w:w="289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Aucun seuil de couverture configuré</w:t>
            </w:r>
          </w:p>
        </w:tc>
      </w:tr>
      <w:tr>
        <w:tc>
          <w:tcPr>
            <w:tcW w:type="dxa" w:w="1610"/>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Infrastructure locale</w:t>
            </w:r>
          </w:p>
        </w:tc>
        <w:tc>
          <w:tcPr>
            <w:tcW w:type="dxa" w:w="2317"/>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Docker Compose, PostgreSQL 16</w:t>
            </w:r>
          </w:p>
        </w:tc>
        <w:tc>
          <w:tcPr>
            <w:tcW w:type="dxa" w:w="2535"/>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Démarrage manuel</w:t>
            </w:r>
          </w:p>
        </w:tc>
        <w:tc>
          <w:tcPr>
            <w:tcW w:type="dxa" w:w="2898"/>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Compose limité aux bases de données</w:t>
            </w:r>
          </w:p>
        </w:tc>
      </w:tr>
    </w:tbl>
    <w:p>
      <w:pPr>
        <w:spacing w:after="20"/>
      </w:pPr>
    </w:p>
    <w:p>
      <w:pPr>
        <w:keepLines/>
        <w:spacing w:after="100" w:line="276" w:lineRule="auto"/>
        <w:jc w:val="left"/>
      </w:pPr>
      <w:r>
        <w:rPr>
          <w:rFonts w:ascii="Georgia" w:hAnsi="Georgia"/>
          <w:b w:val="0"/>
          <w:i w:val="0"/>
          <w:color w:val="1C2027"/>
          <w:sz w:val="20"/>
        </w:rPr>
        <w:t xml:space="preserve">Le dépôt contient des solutions </w:t>
      </w:r>
      <w:r>
        <w:rPr>
          <w:rFonts w:ascii="Consolas" w:hAnsi="Consolas"/>
          <w:b w:val="0"/>
          <w:i w:val="0"/>
          <w:color w:val="1C2027"/>
          <w:sz w:val="18"/>
        </w:rPr>
        <w:t>.slnx</w:t>
      </w:r>
      <w:r>
        <w:rPr>
          <w:rFonts w:ascii="Georgia" w:hAnsi="Georgia"/>
          <w:b w:val="0"/>
          <w:i w:val="0"/>
          <w:color w:val="1C2027"/>
          <w:sz w:val="20"/>
        </w:rPr>
        <w:t xml:space="preserve"> indépendantes par service et un client frontend autonome. Cette séparation doit être conservée dans les matrices de build et de couverture afin qu’un service ne puisse pas compenser la faible couverture d’un autre.</w:t>
      </w:r>
    </w:p>
    <w:p>
      <w:pPr>
        <w:keepNext/>
        <w:spacing w:before="280" w:after="80"/>
      </w:pPr>
      <w:r>
        <w:rPr>
          <w:rFonts w:ascii="Georgia" w:hAnsi="Georgia"/>
          <w:b/>
          <w:i w:val="0"/>
          <w:caps/>
          <w:color w:val="8997AA"/>
          <w:sz w:val="16"/>
        </w:rPr>
        <w:t>03    SECTION</w:t>
      </w:r>
    </w:p>
    <w:p>
      <w:pPr>
        <w:pStyle w:val="Heading1"/>
        <w:keepNext/>
        <w:spacing w:after="180"/>
      </w:pPr>
      <w:r>
        <w:rPr>
          <w:rFonts w:ascii="Georgia" w:hAnsi="Georgia"/>
          <w:b/>
          <w:i w:val="0"/>
          <w:color w:val="1C2027"/>
          <w:sz w:val="38"/>
        </w:rPr>
        <w:t>Principes d’architecture</w:t>
      </w:r>
    </w:p>
    <w:p>
      <w:pPr>
        <w:pStyle w:val="Heading2"/>
        <w:keepNext/>
        <w:spacing w:before="200" w:after="100"/>
      </w:pPr>
      <w:r>
        <w:rPr>
          <w:rFonts w:ascii="Georgia" w:hAnsi="Georgia"/>
          <w:b/>
          <w:i w:val="0"/>
          <w:color w:val="525C6C"/>
          <w:sz w:val="26"/>
        </w:rPr>
        <w:t>3.1 Décisions structurantes</w:t>
      </w:r>
    </w:p>
    <w:p>
      <w:pPr>
        <w:keepLines/>
        <w:spacing w:after="100" w:line="276" w:lineRule="auto"/>
        <w:jc w:val="left"/>
        <w:numPr>
          <w:ilvl w:val="0"/>
          <w:numId w:val="1"/>
        </w:numPr>
      </w:pPr>
      <w:r>
        <w:rPr>
          <w:rFonts w:ascii="Georgia" w:hAnsi="Georgia"/>
          <w:b/>
          <w:i w:val="0"/>
          <w:color w:val="1C2027"/>
          <w:sz w:val="20"/>
        </w:rPr>
        <w:t>CI par composant, qualification globale périodique.</w:t>
      </w:r>
      <w:r>
        <w:rPr>
          <w:rFonts w:ascii="Georgia" w:hAnsi="Georgia"/>
          <w:b w:val="0"/>
          <w:i w:val="0"/>
          <w:color w:val="1C2027"/>
          <w:sz w:val="20"/>
        </w:rPr>
        <w:t xml:space="preserve"> Les chemins affectés réduisent le temps de retour sur une pull request ; la campagne nocturne neutralise le risque d’une dépendance transversale non détectée.</w:t>
      </w:r>
    </w:p>
    <w:p>
      <w:pPr>
        <w:keepLines/>
        <w:spacing w:after="100" w:line="276" w:lineRule="auto"/>
        <w:jc w:val="left"/>
        <w:numPr>
          <w:ilvl w:val="0"/>
          <w:numId w:val="1"/>
        </w:numPr>
      </w:pPr>
      <w:r>
        <w:rPr>
          <w:rFonts w:ascii="Georgia" w:hAnsi="Georgia"/>
          <w:b/>
          <w:i w:val="0"/>
          <w:color w:val="1C2027"/>
          <w:sz w:val="20"/>
        </w:rPr>
        <w:t>Build once, promote many.</w:t>
      </w:r>
      <w:r>
        <w:rPr>
          <w:rFonts w:ascii="Georgia" w:hAnsi="Georgia"/>
          <w:b w:val="0"/>
          <w:i w:val="0"/>
          <w:color w:val="1C2027"/>
          <w:sz w:val="20"/>
        </w:rPr>
        <w:t xml:space="preserve"> Une image publiée n’est jamais reconstruite entre intégration et bêta. La promotion référence son digest OCI.</w:t>
      </w:r>
    </w:p>
    <w:p>
      <w:pPr>
        <w:keepLines/>
        <w:spacing w:after="100" w:line="276" w:lineRule="auto"/>
        <w:jc w:val="left"/>
        <w:numPr>
          <w:ilvl w:val="0"/>
          <w:numId w:val="1"/>
        </w:numPr>
      </w:pPr>
      <w:r>
        <w:rPr>
          <w:rFonts w:ascii="Georgia" w:hAnsi="Georgia"/>
          <w:b/>
          <w:i w:val="0"/>
          <w:color w:val="1C2027"/>
          <w:sz w:val="20"/>
        </w:rPr>
        <w:t>Pipeline as code.</w:t>
      </w:r>
      <w:r>
        <w:rPr>
          <w:rFonts w:ascii="Georgia" w:hAnsi="Georgia"/>
          <w:b w:val="0"/>
          <w:i w:val="0"/>
          <w:color w:val="1C2027"/>
          <w:sz w:val="20"/>
        </w:rPr>
        <w:t xml:space="preserve"> Les workflows, scripts de qualité, seuils et manifestes de déploiement sont versionnés avec le code.</w:t>
      </w:r>
    </w:p>
    <w:p>
      <w:pPr>
        <w:keepLines/>
        <w:spacing w:after="100" w:line="276" w:lineRule="auto"/>
        <w:jc w:val="left"/>
        <w:numPr>
          <w:ilvl w:val="0"/>
          <w:numId w:val="1"/>
        </w:numPr>
      </w:pPr>
      <w:r>
        <w:rPr>
          <w:rFonts w:ascii="Georgia" w:hAnsi="Georgia"/>
          <w:b/>
          <w:i w:val="0"/>
          <w:color w:val="1C2027"/>
          <w:sz w:val="20"/>
        </w:rPr>
        <w:t>Droits minimaux.</w:t>
      </w:r>
      <w:r>
        <w:rPr>
          <w:rFonts w:ascii="Georgia" w:hAnsi="Georgia"/>
          <w:b w:val="0"/>
          <w:i w:val="0"/>
          <w:color w:val="1C2027"/>
          <w:sz w:val="20"/>
        </w:rPr>
        <w:t xml:space="preserve"> Les workflows démarrent avec </w:t>
      </w:r>
      <w:r>
        <w:rPr>
          <w:rFonts w:ascii="Consolas" w:hAnsi="Consolas"/>
          <w:b w:val="0"/>
          <w:i w:val="0"/>
          <w:color w:val="1C2027"/>
          <w:sz w:val="18"/>
        </w:rPr>
        <w:t>permissions: contents: read</w:t>
      </w:r>
      <w:r>
        <w:rPr>
          <w:rFonts w:ascii="Georgia" w:hAnsi="Georgia"/>
          <w:b w:val="0"/>
          <w:i w:val="0"/>
          <w:color w:val="1C2027"/>
          <w:sz w:val="20"/>
        </w:rPr>
        <w:t xml:space="preserve">; les droits </w:t>
      </w:r>
      <w:r>
        <w:rPr>
          <w:rFonts w:ascii="Consolas" w:hAnsi="Consolas"/>
          <w:b w:val="0"/>
          <w:i w:val="0"/>
          <w:color w:val="1C2027"/>
          <w:sz w:val="18"/>
        </w:rPr>
        <w:t>packages: write</w:t>
      </w:r>
      <w:r>
        <w:rPr>
          <w:rFonts w:ascii="Georgia" w:hAnsi="Georgia"/>
          <w:b w:val="0"/>
          <w:i w:val="0"/>
          <w:color w:val="1C2027"/>
          <w:sz w:val="20"/>
        </w:rPr>
        <w:t xml:space="preserve">, </w:t>
      </w:r>
      <w:r>
        <w:rPr>
          <w:rFonts w:ascii="Consolas" w:hAnsi="Consolas"/>
          <w:b w:val="0"/>
          <w:i w:val="0"/>
          <w:color w:val="1C2027"/>
          <w:sz w:val="18"/>
        </w:rPr>
        <w:t>id-token: write</w:t>
      </w:r>
      <w:r>
        <w:rPr>
          <w:rFonts w:ascii="Georgia" w:hAnsi="Georgia"/>
          <w:b w:val="0"/>
          <w:i w:val="0"/>
          <w:color w:val="1C2027"/>
          <w:sz w:val="20"/>
        </w:rPr>
        <w:t xml:space="preserve"> et </w:t>
      </w:r>
      <w:r>
        <w:rPr>
          <w:rFonts w:ascii="Consolas" w:hAnsi="Consolas"/>
          <w:b w:val="0"/>
          <w:i w:val="0"/>
          <w:color w:val="1C2027"/>
          <w:sz w:val="18"/>
        </w:rPr>
        <w:t>attestations: write</w:t>
      </w:r>
      <w:r>
        <w:rPr>
          <w:rFonts w:ascii="Georgia" w:hAnsi="Georgia"/>
          <w:b w:val="0"/>
          <w:i w:val="0"/>
          <w:color w:val="1C2027"/>
          <w:sz w:val="20"/>
        </w:rPr>
        <w:t xml:space="preserve"> sont accordés uniquement aux jobs concernés.</w:t>
      </w:r>
    </w:p>
    <w:p>
      <w:pPr>
        <w:keepLines/>
        <w:spacing w:after="100" w:line="276" w:lineRule="auto"/>
        <w:jc w:val="left"/>
        <w:numPr>
          <w:ilvl w:val="0"/>
          <w:numId w:val="1"/>
        </w:numPr>
      </w:pPr>
      <w:r>
        <w:rPr>
          <w:rFonts w:ascii="Georgia" w:hAnsi="Georgia"/>
          <w:b/>
          <w:i w:val="0"/>
          <w:color w:val="1C2027"/>
          <w:sz w:val="20"/>
        </w:rPr>
        <w:t>Actions immuables.</w:t>
      </w:r>
      <w:r>
        <w:rPr>
          <w:rFonts w:ascii="Georgia" w:hAnsi="Georgia"/>
          <w:b w:val="0"/>
          <w:i w:val="0"/>
          <w:color w:val="1C2027"/>
          <w:sz w:val="20"/>
        </w:rPr>
        <w:t xml:space="preserve"> Les actions tierces sont épinglées par SHA complet et maintenues par Dependabot.</w:t>
      </w:r>
    </w:p>
    <w:p>
      <w:pPr>
        <w:keepLines/>
        <w:spacing w:after="100" w:line="276" w:lineRule="auto"/>
        <w:jc w:val="left"/>
        <w:numPr>
          <w:ilvl w:val="0"/>
          <w:numId w:val="1"/>
        </w:numPr>
      </w:pPr>
      <w:r>
        <w:rPr>
          <w:rFonts w:ascii="Georgia" w:hAnsi="Georgia"/>
          <w:b/>
          <w:i w:val="0"/>
          <w:color w:val="1C2027"/>
          <w:sz w:val="20"/>
        </w:rPr>
        <w:t>Migrations hors processus API.</w:t>
      </w:r>
      <w:r>
        <w:rPr>
          <w:rFonts w:ascii="Georgia" w:hAnsi="Georgia"/>
          <w:b w:val="0"/>
          <w:i w:val="0"/>
          <w:color w:val="1C2027"/>
          <w:sz w:val="20"/>
        </w:rPr>
        <w:t xml:space="preserve"> Les API ne modifient pas leur schéma au démarrage en environnement partagé.</w:t>
      </w:r>
    </w:p>
    <w:p>
      <w:pPr>
        <w:keepLines/>
        <w:spacing w:after="100" w:line="276" w:lineRule="auto"/>
        <w:jc w:val="left"/>
        <w:numPr>
          <w:ilvl w:val="0"/>
          <w:numId w:val="1"/>
        </w:numPr>
      </w:pPr>
      <w:r>
        <w:rPr>
          <w:rFonts w:ascii="Georgia" w:hAnsi="Georgia"/>
          <w:b/>
          <w:i w:val="0"/>
          <w:color w:val="1C2027"/>
          <w:sz w:val="20"/>
        </w:rPr>
        <w:t>Compatibilité progressive des schémas.</w:t>
      </w:r>
      <w:r>
        <w:rPr>
          <w:rFonts w:ascii="Georgia" w:hAnsi="Georgia"/>
          <w:b w:val="0"/>
          <w:i w:val="0"/>
          <w:color w:val="1C2027"/>
          <w:sz w:val="20"/>
        </w:rPr>
        <w:t xml:space="preserve"> Les migrations suivent le modèle expand/migrate/contract afin de permettre le retour à l’image précédente.</w:t>
      </w:r>
    </w:p>
    <w:p>
      <w:pPr>
        <w:keepLines/>
        <w:spacing w:after="100" w:line="276" w:lineRule="auto"/>
        <w:jc w:val="left"/>
        <w:numPr>
          <w:ilvl w:val="0"/>
          <w:numId w:val="1"/>
        </w:numPr>
      </w:pPr>
      <w:r>
        <w:rPr>
          <w:rFonts w:ascii="Georgia" w:hAnsi="Georgia"/>
          <w:b/>
          <w:i w:val="0"/>
          <w:color w:val="1C2027"/>
          <w:sz w:val="20"/>
        </w:rPr>
        <w:t>Aucune dette de test masquée.</w:t>
      </w:r>
      <w:r>
        <w:rPr>
          <w:rFonts w:ascii="Georgia" w:hAnsi="Georgia"/>
          <w:b w:val="0"/>
          <w:i w:val="0"/>
          <w:color w:val="1C2027"/>
          <w:sz w:val="20"/>
        </w:rPr>
        <w:t xml:space="preserve"> Les exclusions, tests ignorés et quarantaines temporaires sont inventoriés, justifiés, associés à une échéance et interdits dans l’état cible.</w:t>
      </w:r>
    </w:p>
    <w:p>
      <w:pPr>
        <w:keepNext/>
        <w:jc w:val="center"/>
      </w:pPr>
      <w:r>
        <w:drawing>
          <wp:inline xmlns:wp="http://schemas.openxmlformats.org/drawingml/2006/wordprocessingDrawing" xmlns:a="http://schemas.openxmlformats.org/drawingml/2006/main" xmlns:pic="http://schemas.openxmlformats.org/drawingml/2006/picture">
            <wp:extent cx="5806440" cy="3354098"/>
            <wp:docPr id="1" name="Picture 1" descr="Architecture cible de la chaîne CI/CD et promotion des artefacts" title="Architecture cible de la chaîne CI/CD et promotion des artefacts"/>
            <wp:cNvGraphicFramePr>
              <a:graphicFrameLocks noChangeAspect="1"/>
            </wp:cNvGraphicFramePr>
            <a:graphic>
              <a:graphicData uri="http://schemas.openxmlformats.org/drawingml/2006/picture">
                <pic:pic>
                  <pic:nvPicPr>
                    <pic:cNvPr id="0" name="ci-architecture.png"/>
                    <pic:cNvPicPr/>
                  </pic:nvPicPr>
                  <pic:blipFill>
                    <a:blip r:embed="rId7"/>
                    <a:stretch>
                      <a:fillRect/>
                    </a:stretch>
                  </pic:blipFill>
                  <pic:spPr>
                    <a:xfrm>
                      <a:off x="0" y="0"/>
                      <a:ext cx="5806440" cy="3354098"/>
                    </a:xfrm>
                    <a:prstGeom prst="rect"/>
                  </pic:spPr>
                </pic:pic>
              </a:graphicData>
            </a:graphic>
          </wp:inline>
        </w:drawing>
      </w:r>
    </w:p>
    <w:p>
      <w:pPr>
        <w:spacing w:before="40" w:after="160"/>
        <w:jc w:val="center"/>
      </w:pPr>
      <w:r>
        <w:rPr>
          <w:rFonts w:ascii="Georgia" w:hAnsi="Georgia"/>
          <w:b w:val="0"/>
          <w:i/>
          <w:color w:val="8997AA"/>
          <w:sz w:val="16"/>
        </w:rPr>
        <w:t>Architecture cible de la chaîne CI/CD et promotion des artefacts</w:t>
      </w:r>
    </w:p>
    <w:p>
      <w:pPr>
        <w:pStyle w:val="Heading2"/>
        <w:keepNext/>
        <w:spacing w:before="200" w:after="100"/>
      </w:pPr>
      <w:r>
        <w:rPr>
          <w:rFonts w:ascii="Georgia" w:hAnsi="Georgia"/>
          <w:b/>
          <w:i w:val="0"/>
          <w:color w:val="525C6C"/>
          <w:sz w:val="26"/>
        </w:rPr>
        <w:t>3.2 Branches et événements</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808"/>
        <w:gridCol w:w="3829"/>
        <w:gridCol w:w="2723"/>
      </w:tblGrid>
      <w:tr>
        <w:trPr>
          <w:tblHeader w:val="true"/>
        </w:trPr>
        <w:tc>
          <w:tcPr>
            <w:tcW w:type="dxa" w:w="2808"/>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Événement</w:t>
            </w:r>
          </w:p>
        </w:tc>
        <w:tc>
          <w:tcPr>
            <w:tcW w:type="dxa" w:w="3829"/>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Traitement</w:t>
            </w:r>
          </w:p>
        </w:tc>
        <w:tc>
          <w:tcPr>
            <w:tcW w:type="dxa" w:w="2723"/>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Déploiement</w:t>
            </w:r>
          </w:p>
        </w:tc>
      </w:tr>
      <w:tr>
        <w:tc>
          <w:tcPr>
            <w:tcW w:type="dxa" w:w="280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Pull request vers develop</w:t>
            </w:r>
          </w:p>
        </w:tc>
        <w:tc>
          <w:tcPr>
            <w:tcW w:type="dxa" w:w="382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CI affectée, analyse sécurité, couverture</w:t>
            </w:r>
          </w:p>
        </w:tc>
        <w:tc>
          <w:tcPr>
            <w:tcW w:type="dxa" w:w="272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Aucun</w:t>
            </w:r>
          </w:p>
        </w:tc>
      </w:tr>
      <w:tr>
        <w:tc>
          <w:tcPr>
            <w:tcW w:type="dxa" w:w="2808"/>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Push sur T-RPG pendant la transition</w:t>
            </w:r>
          </w:p>
        </w:tc>
        <w:tc>
          <w:tcPr>
            <w:tcW w:type="dxa" w:w="3829"/>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CI complète ou affectée selon le lot</w:t>
            </w:r>
          </w:p>
        </w:tc>
        <w:tc>
          <w:tcPr>
            <w:tcW w:type="dxa" w:w="2723"/>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Aucun</w:t>
            </w:r>
          </w:p>
        </w:tc>
      </w:tr>
      <w:tr>
        <w:tc>
          <w:tcPr>
            <w:tcW w:type="dxa" w:w="2808"/>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Merge sur develop</w:t>
            </w:r>
          </w:p>
        </w:tc>
        <w:tc>
          <w:tcPr>
            <w:tcW w:type="dxa" w:w="382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CI complète, construction et publication OCI</w:t>
            </w:r>
          </w:p>
        </w:tc>
        <w:tc>
          <w:tcPr>
            <w:tcW w:type="dxa" w:w="272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Automatique vers integration</w:t>
            </w:r>
          </w:p>
        </w:tc>
      </w:tr>
      <w:tr>
        <w:tc>
          <w:tcPr>
            <w:tcW w:type="dxa" w:w="2808"/>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Tag vX.Y.Z-rc.N</w:t>
            </w:r>
          </w:p>
        </w:tc>
        <w:tc>
          <w:tcPr>
            <w:tcW w:type="dxa" w:w="3829"/>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Requalification des digests publiés</w:t>
            </w:r>
          </w:p>
        </w:tc>
        <w:tc>
          <w:tcPr>
            <w:tcW w:type="dxa" w:w="272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preproduction, approbation requise</w:t>
            </w:r>
          </w:p>
        </w:tc>
      </w:tr>
      <w:tr>
        <w:tc>
          <w:tcPr>
            <w:tcW w:type="dxa" w:w="280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Release vX.Y.Z-beta.N</w:t>
            </w:r>
          </w:p>
        </w:tc>
        <w:tc>
          <w:tcPr>
            <w:tcW w:type="dxa" w:w="382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Vérification des attestations et promotion</w:t>
            </w:r>
          </w:p>
        </w:tc>
        <w:tc>
          <w:tcPr>
            <w:tcW w:type="dxa" w:w="272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beta, approbation requise</w:t>
            </w:r>
          </w:p>
        </w:tc>
      </w:tr>
      <w:tr>
        <w:tc>
          <w:tcPr>
            <w:tcW w:type="dxa" w:w="2808"/>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main</w:t>
            </w:r>
          </w:p>
        </w:tc>
        <w:tc>
          <w:tcPr>
            <w:tcW w:type="dxa" w:w="3829"/>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Réservée à la future production</w:t>
            </w:r>
          </w:p>
        </w:tc>
        <w:tc>
          <w:tcPr>
            <w:tcW w:type="dxa" w:w="272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Hors périmètre bêta initial</w:t>
            </w:r>
          </w:p>
        </w:tc>
      </w:tr>
    </w:tbl>
    <w:p>
      <w:pPr>
        <w:spacing w:after="20"/>
      </w:pPr>
    </w:p>
    <w:p>
      <w:pPr>
        <w:keepLines/>
        <w:spacing w:after="100" w:line="276" w:lineRule="auto"/>
        <w:jc w:val="left"/>
      </w:pPr>
      <w:r>
        <w:rPr>
          <w:rFonts w:ascii="Georgia" w:hAnsi="Georgia"/>
          <w:b w:val="0"/>
          <w:i w:val="0"/>
          <w:color w:val="1C2027"/>
          <w:sz w:val="20"/>
        </w:rPr>
        <w:t xml:space="preserve">Les règles de protection de </w:t>
      </w:r>
      <w:r>
        <w:rPr>
          <w:rFonts w:ascii="Consolas" w:hAnsi="Consolas"/>
          <w:b w:val="0"/>
          <w:i w:val="0"/>
          <w:color w:val="1C2027"/>
          <w:sz w:val="18"/>
        </w:rPr>
        <w:t>develop</w:t>
      </w:r>
      <w:r>
        <w:rPr>
          <w:rFonts w:ascii="Georgia" w:hAnsi="Georgia"/>
          <w:b w:val="0"/>
          <w:i w:val="0"/>
          <w:color w:val="1C2027"/>
          <w:sz w:val="20"/>
        </w:rPr>
        <w:t xml:space="preserve"> imposent les statuts requis, une branche à jour, au moins une revue et l’interdiction de pousser directement. Les déploiements concurrents sur un même environnement sont sérialisés par </w:t>
      </w:r>
      <w:r>
        <w:rPr>
          <w:rFonts w:ascii="Consolas" w:hAnsi="Consolas"/>
          <w:b w:val="0"/>
          <w:i w:val="0"/>
          <w:color w:val="1C2027"/>
          <w:sz w:val="18"/>
        </w:rPr>
        <w:t>concurrency</w:t>
      </w:r>
      <w:r>
        <w:rPr>
          <w:rFonts w:ascii="Georgia" w:hAnsi="Georgia"/>
          <w:b w:val="0"/>
          <w:i w:val="0"/>
          <w:color w:val="1C2027"/>
          <w:sz w:val="20"/>
        </w:rPr>
        <w:t xml:space="preserve"> ; une exécution plus ancienne est annulée avant le début de la migration.</w:t>
      </w:r>
    </w:p>
    <w:p>
      <w:pPr>
        <w:keepNext/>
        <w:spacing w:before="280" w:after="80"/>
      </w:pPr>
      <w:r>
        <w:rPr>
          <w:rFonts w:ascii="Georgia" w:hAnsi="Georgia"/>
          <w:b/>
          <w:i w:val="0"/>
          <w:caps/>
          <w:color w:val="8997AA"/>
          <w:sz w:val="16"/>
        </w:rPr>
        <w:t>04    SECTION</w:t>
      </w:r>
    </w:p>
    <w:p>
      <w:pPr>
        <w:pStyle w:val="Heading1"/>
        <w:keepNext/>
        <w:spacing w:after="180"/>
      </w:pPr>
      <w:r>
        <w:rPr>
          <w:rFonts w:ascii="Georgia" w:hAnsi="Georgia"/>
          <w:b/>
          <w:i w:val="0"/>
          <w:color w:val="1C2027"/>
          <w:sz w:val="38"/>
        </w:rPr>
        <w:t>Organisation des workflows</w:t>
      </w:r>
    </w:p>
    <w:p>
      <w:pPr>
        <w:pStyle w:val="Heading2"/>
        <w:keepNext/>
        <w:spacing w:before="200" w:after="100"/>
      </w:pPr>
      <w:r>
        <w:rPr>
          <w:rFonts w:ascii="Georgia" w:hAnsi="Georgia"/>
          <w:b/>
          <w:i w:val="0"/>
          <w:color w:val="525C6C"/>
          <w:sz w:val="26"/>
        </w:rPr>
        <w:t>4.1 Fichiers cibles</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4034"/>
        <w:gridCol w:w="5326"/>
      </w:tblGrid>
      <w:tr>
        <w:trPr>
          <w:tblHeader w:val="true"/>
        </w:trPr>
        <w:tc>
          <w:tcPr>
            <w:tcW w:type="dxa" w:w="4034"/>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Fichier</w:t>
            </w:r>
          </w:p>
        </w:tc>
        <w:tc>
          <w:tcPr>
            <w:tcW w:type="dxa" w:w="5326"/>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Responsabilité</w:t>
            </w:r>
          </w:p>
        </w:tc>
      </w:tr>
      <w:tr>
        <w:tc>
          <w:tcPr>
            <w:tcW w:type="dxa" w:w="40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.github/workflows/ci.yml</w:t>
            </w:r>
          </w:p>
        </w:tc>
        <w:tc>
          <w:tcPr>
            <w:tcW w:type="dxa" w:w="5326"/>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Orchestration PR/push, détection des chemins, agrégation des statuts</w:t>
            </w:r>
          </w:p>
        </w:tc>
      </w:tr>
      <w:tr>
        <w:tc>
          <w:tcPr>
            <w:tcW w:type="dxa" w:w="4034"/>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.github/workflows/ci-nightly.yml</w:t>
            </w:r>
          </w:p>
        </w:tc>
        <w:tc>
          <w:tcPr>
            <w:tcW w:type="dxa" w:w="5326"/>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Qualification exhaustive, mutation testing et dérives de dépendances</w:t>
            </w:r>
          </w:p>
        </w:tc>
      </w:tr>
      <w:tr>
        <w:tc>
          <w:tcPr>
            <w:tcW w:type="dxa" w:w="40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.github/workflows/security.yml</w:t>
            </w:r>
          </w:p>
        </w:tc>
        <w:tc>
          <w:tcPr>
            <w:tcW w:type="dxa" w:w="5326"/>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CodeQL C# et JavaScript/TypeScript, dépendances et secrets</w:t>
            </w:r>
          </w:p>
        </w:tc>
      </w:tr>
      <w:tr>
        <w:tc>
          <w:tcPr>
            <w:tcW w:type="dxa" w:w="4034"/>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.github/workflows/release.yml</w:t>
            </w:r>
          </w:p>
        </w:tc>
        <w:tc>
          <w:tcPr>
            <w:tcW w:type="dxa" w:w="5326"/>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Construction OCI, SBOM, provenance, publication GHCR</w:t>
            </w:r>
          </w:p>
        </w:tc>
      </w:tr>
      <w:tr>
        <w:tc>
          <w:tcPr>
            <w:tcW w:type="dxa" w:w="40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.github/workflows/deploy.yml</w:t>
            </w:r>
          </w:p>
        </w:tc>
        <w:tc>
          <w:tcPr>
            <w:tcW w:type="dxa" w:w="5326"/>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Promotion d’un manifeste de digests vers un environnement</w:t>
            </w:r>
          </w:p>
        </w:tc>
      </w:tr>
      <w:tr>
        <w:tc>
          <w:tcPr>
            <w:tcW w:type="dxa" w:w="4034"/>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.github/workflows/_dotnet-service.yml</w:t>
            </w:r>
          </w:p>
        </w:tc>
        <w:tc>
          <w:tcPr>
            <w:tcW w:type="dxa" w:w="5326"/>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Workflow réutilisable build/test/coverage d’un service .NET</w:t>
            </w:r>
          </w:p>
        </w:tc>
      </w:tr>
      <w:tr>
        <w:tc>
          <w:tcPr>
            <w:tcW w:type="dxa" w:w="40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.github/workflows/_frontend.yml</w:t>
            </w:r>
          </w:p>
        </w:tc>
        <w:tc>
          <w:tcPr>
            <w:tcW w:type="dxa" w:w="5326"/>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Workflow réutilisable typecheck/Vitest/build/Playwright</w:t>
            </w:r>
          </w:p>
        </w:tc>
      </w:tr>
      <w:tr>
        <w:tc>
          <w:tcPr>
            <w:tcW w:type="dxa" w:w="4034"/>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.github/workflows/_container.yml</w:t>
            </w:r>
          </w:p>
        </w:tc>
        <w:tc>
          <w:tcPr>
            <w:tcW w:type="dxa" w:w="5326"/>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Workflow réutilisable BuildKit et attestations</w:t>
            </w:r>
          </w:p>
        </w:tc>
      </w:tr>
      <w:tr>
        <w:tc>
          <w:tcPr>
            <w:tcW w:type="dxa" w:w="40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.github/workflows/_deploy-compose.yml</w:t>
            </w:r>
          </w:p>
        </w:tc>
        <w:tc>
          <w:tcPr>
            <w:tcW w:type="dxa" w:w="5326"/>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Adaptateur de déploiement Docker Compose de la bêta</w:t>
            </w:r>
          </w:p>
        </w:tc>
      </w:tr>
    </w:tbl>
    <w:p>
      <w:pPr>
        <w:spacing w:after="20"/>
      </w:pPr>
    </w:p>
    <w:p>
      <w:pPr>
        <w:keepLines/>
        <w:spacing w:after="100" w:line="276" w:lineRule="auto"/>
        <w:jc w:val="left"/>
      </w:pPr>
      <w:r>
        <w:rPr>
          <w:rFonts w:ascii="Georgia" w:hAnsi="Georgia"/>
          <w:b w:val="0"/>
          <w:i w:val="0"/>
          <w:color w:val="1C2027"/>
          <w:sz w:val="20"/>
        </w:rPr>
        <w:t xml:space="preserve">Les workflows préfixés par </w:t>
      </w:r>
      <w:r>
        <w:rPr>
          <w:rFonts w:ascii="Consolas" w:hAnsi="Consolas"/>
          <w:b w:val="0"/>
          <w:i w:val="0"/>
          <w:color w:val="1C2027"/>
          <w:sz w:val="18"/>
        </w:rPr>
        <w:t>_</w:t>
      </w:r>
      <w:r>
        <w:rPr>
          <w:rFonts w:ascii="Georgia" w:hAnsi="Georgia"/>
          <w:b w:val="0"/>
          <w:i w:val="0"/>
          <w:color w:val="1C2027"/>
          <w:sz w:val="20"/>
        </w:rPr>
        <w:t xml:space="preserve"> sont appelés avec </w:t>
      </w:r>
      <w:r>
        <w:rPr>
          <w:rFonts w:ascii="Consolas" w:hAnsi="Consolas"/>
          <w:b w:val="0"/>
          <w:i w:val="0"/>
          <w:color w:val="1C2027"/>
          <w:sz w:val="18"/>
        </w:rPr>
        <w:t>workflow_call</w:t>
      </w:r>
      <w:r>
        <w:rPr>
          <w:rFonts w:ascii="Georgia" w:hAnsi="Georgia"/>
          <w:b w:val="0"/>
          <w:i w:val="0"/>
          <w:color w:val="1C2027"/>
          <w:sz w:val="20"/>
        </w:rPr>
        <w:t>. Ils exposent des entrées explicites : chemin de solution, nom du service, projets de tests, contexte Docker, Dockerfile, environnement et digest. Aucun workflow réutilisable ne reçoit de secret non déclaré.</w:t>
      </w:r>
    </w:p>
    <w:p>
      <w:r>
        <w:br w:type="page"/>
      </w:r>
    </w:p>
    <w:p>
      <w:pPr>
        <w:pStyle w:val="Heading2"/>
        <w:keepNext/>
        <w:spacing w:before="200" w:after="100"/>
      </w:pPr>
      <w:r>
        <w:rPr>
          <w:rFonts w:ascii="Georgia" w:hAnsi="Georgia"/>
          <w:b/>
          <w:i w:val="0"/>
          <w:color w:val="525C6C"/>
          <w:sz w:val="26"/>
        </w:rPr>
        <w:t>4.2 Graphe CI d’une pull request</w:t>
      </w:r>
    </w:p>
    <w:p>
      <w:pPr>
        <w:keepLines/>
        <w:spacing w:after="100" w:line="276" w:lineRule="auto"/>
        <w:jc w:val="left"/>
        <w:numPr>
          <w:ilvl w:val="0"/>
          <w:numId w:val="2"/>
        </w:numPr>
      </w:pPr>
      <w:r>
        <w:rPr>
          <w:rFonts w:ascii="Georgia" w:hAnsi="Georgia"/>
          <w:b w:val="0"/>
          <w:i w:val="0"/>
          <w:color w:val="1C2027"/>
          <w:sz w:val="20"/>
        </w:rPr>
        <w:t>Détecter les composants affectés et les dépendances transversales.</w:t>
      </w:r>
    </w:p>
    <w:p>
      <w:pPr>
        <w:keepLines/>
        <w:spacing w:after="100" w:line="276" w:lineRule="auto"/>
        <w:jc w:val="left"/>
        <w:numPr>
          <w:ilvl w:val="0"/>
          <w:numId w:val="2"/>
        </w:numPr>
      </w:pPr>
      <w:r>
        <w:rPr>
          <w:rFonts w:ascii="Georgia" w:hAnsi="Georgia"/>
          <w:b w:val="0"/>
          <w:i w:val="0"/>
          <w:color w:val="1C2027"/>
          <w:sz w:val="20"/>
        </w:rPr>
        <w:t>Vérifier le format, les fichiers de verrouillage et l’absence de changement EF sans migration.</w:t>
      </w:r>
    </w:p>
    <w:p>
      <w:pPr>
        <w:keepLines/>
        <w:spacing w:after="100" w:line="276" w:lineRule="auto"/>
        <w:jc w:val="left"/>
        <w:numPr>
          <w:ilvl w:val="0"/>
          <w:numId w:val="2"/>
        </w:numPr>
      </w:pPr>
      <w:r>
        <w:rPr>
          <w:rFonts w:ascii="Georgia" w:hAnsi="Georgia"/>
          <w:b w:val="0"/>
          <w:i w:val="0"/>
          <w:color w:val="1C2027"/>
          <w:sz w:val="20"/>
        </w:rPr>
        <w:t>Exécuter en parallèle les matrices .NET et frontend.</w:t>
      </w:r>
    </w:p>
    <w:p>
      <w:pPr>
        <w:keepLines/>
        <w:spacing w:after="100" w:line="276" w:lineRule="auto"/>
        <w:jc w:val="left"/>
        <w:numPr>
          <w:ilvl w:val="0"/>
          <w:numId w:val="2"/>
        </w:numPr>
      </w:pPr>
      <w:r>
        <w:rPr>
          <w:rFonts w:ascii="Georgia" w:hAnsi="Georgia"/>
          <w:b w:val="0"/>
          <w:i w:val="0"/>
          <w:color w:val="1C2027"/>
          <w:sz w:val="20"/>
        </w:rPr>
        <w:t>Démarrer PostgreSQL via Testcontainers pour les suites d’intégration.</w:t>
      </w:r>
    </w:p>
    <w:p>
      <w:pPr>
        <w:keepLines/>
        <w:spacing w:after="100" w:line="276" w:lineRule="auto"/>
        <w:jc w:val="left"/>
        <w:numPr>
          <w:ilvl w:val="0"/>
          <w:numId w:val="2"/>
        </w:numPr>
      </w:pPr>
      <w:r>
        <w:rPr>
          <w:rFonts w:ascii="Georgia" w:hAnsi="Georgia"/>
          <w:b w:val="0"/>
          <w:i w:val="0"/>
          <w:color w:val="1C2027"/>
          <w:sz w:val="20"/>
        </w:rPr>
        <w:t>Fusionner les rapports de couverture par unité logicielle.</w:t>
      </w:r>
    </w:p>
    <w:p>
      <w:pPr>
        <w:keepLines/>
        <w:spacing w:after="100" w:line="276" w:lineRule="auto"/>
        <w:jc w:val="left"/>
        <w:numPr>
          <w:ilvl w:val="0"/>
          <w:numId w:val="2"/>
        </w:numPr>
      </w:pPr>
      <w:r>
        <w:rPr>
          <w:rFonts w:ascii="Georgia" w:hAnsi="Georgia"/>
          <w:b w:val="0"/>
          <w:i w:val="0"/>
          <w:color w:val="1C2027"/>
          <w:sz w:val="20"/>
        </w:rPr>
        <w:t>Appliquer les seuils et publier les résultats TRX/JUnit, Cobertura/LCOV et HTML.</w:t>
      </w:r>
    </w:p>
    <w:p>
      <w:pPr>
        <w:keepLines/>
        <w:spacing w:after="100" w:line="276" w:lineRule="auto"/>
        <w:jc w:val="left"/>
        <w:numPr>
          <w:ilvl w:val="0"/>
          <w:numId w:val="2"/>
        </w:numPr>
      </w:pPr>
      <w:r>
        <w:rPr>
          <w:rFonts w:ascii="Georgia" w:hAnsi="Georgia"/>
          <w:b w:val="0"/>
          <w:i w:val="0"/>
          <w:color w:val="1C2027"/>
          <w:sz w:val="20"/>
        </w:rPr>
        <w:t>Construire les artefacts sans les publier afin de vérifier la reproductibilité.</w:t>
      </w:r>
    </w:p>
    <w:p>
      <w:pPr>
        <w:keepLines/>
        <w:spacing w:after="100" w:line="276" w:lineRule="auto"/>
        <w:jc w:val="left"/>
        <w:numPr>
          <w:ilvl w:val="0"/>
          <w:numId w:val="2"/>
        </w:numPr>
      </w:pPr>
      <w:r>
        <w:rPr>
          <w:rFonts w:ascii="Georgia" w:hAnsi="Georgia"/>
          <w:b w:val="0"/>
          <w:i w:val="0"/>
          <w:color w:val="1C2027"/>
          <w:sz w:val="20"/>
        </w:rPr>
        <w:t>Exécuter les contrôles CodeQL et de dépendances.</w:t>
      </w:r>
    </w:p>
    <w:p>
      <w:pPr>
        <w:keepLines/>
        <w:spacing w:after="100" w:line="276" w:lineRule="auto"/>
        <w:jc w:val="left"/>
        <w:numPr>
          <w:ilvl w:val="0"/>
          <w:numId w:val="2"/>
        </w:numPr>
      </w:pPr>
      <w:r>
        <w:rPr>
          <w:rFonts w:ascii="Georgia" w:hAnsi="Georgia"/>
          <w:b w:val="0"/>
          <w:i w:val="0"/>
          <w:color w:val="1C2027"/>
          <w:sz w:val="20"/>
        </w:rPr>
        <w:t xml:space="preserve">Produire un unique statut </w:t>
      </w:r>
      <w:r>
        <w:rPr>
          <w:rFonts w:ascii="Consolas" w:hAnsi="Consolas"/>
          <w:b w:val="0"/>
          <w:i w:val="0"/>
          <w:color w:val="1C2027"/>
          <w:sz w:val="18"/>
        </w:rPr>
        <w:t>ci-required</w:t>
      </w:r>
      <w:r>
        <w:rPr>
          <w:rFonts w:ascii="Georgia" w:hAnsi="Georgia"/>
          <w:b w:val="0"/>
          <w:i w:val="0"/>
          <w:color w:val="1C2027"/>
          <w:sz w:val="20"/>
        </w:rPr>
        <w:t xml:space="preserve"> consommé par la protection de branche.</w:t>
      </w:r>
    </w:p>
    <w:p>
      <w:pPr>
        <w:keepLines/>
        <w:spacing w:after="100" w:line="276" w:lineRule="auto"/>
        <w:jc w:val="left"/>
      </w:pPr>
      <w:r>
        <w:rPr>
          <w:rFonts w:ascii="Georgia" w:hAnsi="Georgia"/>
          <w:b w:val="0"/>
          <w:i w:val="0"/>
          <w:color w:val="1C2027"/>
          <w:sz w:val="20"/>
        </w:rPr>
        <w:t xml:space="preserve">Une modification de </w:t>
      </w:r>
      <w:r>
        <w:rPr>
          <w:rFonts w:ascii="Consolas" w:hAnsi="Consolas"/>
          <w:b w:val="0"/>
          <w:i w:val="0"/>
          <w:color w:val="1C2027"/>
          <w:sz w:val="18"/>
        </w:rPr>
        <w:t>packages/shared-building-blocks</w:t>
      </w:r>
      <w:r>
        <w:rPr>
          <w:rFonts w:ascii="Georgia" w:hAnsi="Georgia"/>
          <w:b w:val="0"/>
          <w:i w:val="0"/>
          <w:color w:val="1C2027"/>
          <w:sz w:val="20"/>
        </w:rPr>
        <w:t xml:space="preserve"> déclenche les trois services .NET. Une modification des contrats HTTP partagés ou des fichiers de composition déclenche également les tests d’intégration et les tests E2E concernés.</w:t>
      </w:r>
    </w:p>
    <w:p>
      <w:pPr>
        <w:keepNext/>
        <w:spacing w:before="280" w:after="80"/>
      </w:pPr>
      <w:r>
        <w:rPr>
          <w:rFonts w:ascii="Georgia" w:hAnsi="Georgia"/>
          <w:b/>
          <w:i w:val="0"/>
          <w:caps/>
          <w:color w:val="8997AA"/>
          <w:sz w:val="16"/>
        </w:rPr>
        <w:t>05    SECTION</w:t>
      </w:r>
    </w:p>
    <w:p>
      <w:pPr>
        <w:pStyle w:val="Heading1"/>
        <w:keepNext/>
        <w:spacing w:after="180"/>
      </w:pPr>
      <w:r>
        <w:rPr>
          <w:rFonts w:ascii="Georgia" w:hAnsi="Georgia"/>
          <w:b/>
          <w:i w:val="0"/>
          <w:color w:val="1C2027"/>
          <w:sz w:val="38"/>
        </w:rPr>
        <w:t>Stratégie de tests</w:t>
      </w:r>
    </w:p>
    <w:p>
      <w:pPr>
        <w:pStyle w:val="Heading2"/>
        <w:keepNext/>
        <w:spacing w:before="200" w:after="100"/>
      </w:pPr>
      <w:r>
        <w:rPr>
          <w:rFonts w:ascii="Georgia" w:hAnsi="Georgia"/>
          <w:b/>
          <w:i w:val="0"/>
          <w:color w:val="525C6C"/>
          <w:sz w:val="26"/>
        </w:rPr>
        <w:t>5.1 Pyramide de qualification</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1998"/>
        <w:gridCol w:w="4249"/>
        <w:gridCol w:w="3113"/>
      </w:tblGrid>
      <w:tr>
        <w:trPr>
          <w:tblHeader w:val="true"/>
        </w:trPr>
        <w:tc>
          <w:tcPr>
            <w:tcW w:type="dxa" w:w="1998"/>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Niveau</w:t>
            </w:r>
          </w:p>
        </w:tc>
        <w:tc>
          <w:tcPr>
            <w:tcW w:type="dxa" w:w="4249"/>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Finalité</w:t>
            </w:r>
          </w:p>
        </w:tc>
        <w:tc>
          <w:tcPr>
            <w:tcW w:type="dxa" w:w="3113"/>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Exécution</w:t>
            </w:r>
          </w:p>
        </w:tc>
      </w:tr>
      <w:tr>
        <w:tc>
          <w:tcPr>
            <w:tcW w:type="dxa" w:w="1998"/>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Tests de domaine</w:t>
            </w:r>
          </w:p>
        </w:tc>
        <w:tc>
          <w:tcPr>
            <w:tcW w:type="dxa" w:w="424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Invariants, calculs, transitions d’état, déterminisme</w:t>
            </w:r>
          </w:p>
        </w:tc>
        <w:tc>
          <w:tcPr>
            <w:tcW w:type="dxa" w:w="311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Chaque PR</w:t>
            </w:r>
          </w:p>
        </w:tc>
      </w:tr>
      <w:tr>
        <w:tc>
          <w:tcPr>
            <w:tcW w:type="dxa" w:w="1998"/>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Tests d’application</w:t>
            </w:r>
          </w:p>
        </w:tc>
        <w:tc>
          <w:tcPr>
            <w:tcW w:type="dxa" w:w="4249"/>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Commandes, queries, idempotence, ports et erreurs</w:t>
            </w:r>
          </w:p>
        </w:tc>
        <w:tc>
          <w:tcPr>
            <w:tcW w:type="dxa" w:w="3113"/>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Chaque PR</w:t>
            </w:r>
          </w:p>
        </w:tc>
      </w:tr>
      <w:tr>
        <w:tc>
          <w:tcPr>
            <w:tcW w:type="dxa" w:w="199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Tests d’intégration</w:t>
            </w:r>
          </w:p>
        </w:tc>
        <w:tc>
          <w:tcPr>
            <w:tcW w:type="dxa" w:w="424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EF Core, migrations, PostgreSQL, endpoints, sérialisation</w:t>
            </w:r>
          </w:p>
        </w:tc>
        <w:tc>
          <w:tcPr>
            <w:tcW w:type="dxa" w:w="31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Chaque PR affectée et nightly</w:t>
            </w:r>
          </w:p>
        </w:tc>
      </w:tr>
      <w:tr>
        <w:tc>
          <w:tcPr>
            <w:tcW w:type="dxa" w:w="1998"/>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Tests de contrat</w:t>
            </w:r>
          </w:p>
        </w:tc>
        <w:tc>
          <w:tcPr>
            <w:tcW w:type="dxa" w:w="4249"/>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Compatibilité OpenAPI et échanges Game Engine/Player/Catalog</w:t>
            </w:r>
          </w:p>
        </w:tc>
        <w:tc>
          <w:tcPr>
            <w:tcW w:type="dxa" w:w="311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Chaque PR de contrat</w:t>
            </w:r>
          </w:p>
        </w:tc>
      </w:tr>
      <w:tr>
        <w:tc>
          <w:tcPr>
            <w:tcW w:type="dxa" w:w="199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Tests frontend unitaires</w:t>
            </w:r>
          </w:p>
        </w:tc>
        <w:tc>
          <w:tcPr>
            <w:tcW w:type="dxa" w:w="424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Stores, composables, composants et règles d’affichage</w:t>
            </w:r>
          </w:p>
        </w:tc>
        <w:tc>
          <w:tcPr>
            <w:tcW w:type="dxa" w:w="311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Chaque PR frontend</w:t>
            </w:r>
          </w:p>
        </w:tc>
      </w:tr>
      <w:tr>
        <w:tc>
          <w:tcPr>
            <w:tcW w:type="dxa" w:w="1998"/>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Tests E2E</w:t>
            </w:r>
          </w:p>
        </w:tc>
        <w:tc>
          <w:tcPr>
            <w:tcW w:type="dxa" w:w="4249"/>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Compte, run, exploration, dialogue, combat, sauvegarde</w:t>
            </w:r>
          </w:p>
        </w:tc>
        <w:tc>
          <w:tcPr>
            <w:tcW w:type="dxa" w:w="311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PR ciblée, intégration et préproduction</w:t>
            </w:r>
          </w:p>
        </w:tc>
      </w:tr>
      <w:tr>
        <w:tc>
          <w:tcPr>
            <w:tcW w:type="dxa" w:w="1998"/>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Smoke tests</w:t>
            </w:r>
          </w:p>
        </w:tc>
        <w:tc>
          <w:tcPr>
            <w:tcW w:type="dxa" w:w="424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Santé, version, connexion DB et parcours minimal</w:t>
            </w:r>
          </w:p>
        </w:tc>
        <w:tc>
          <w:tcPr>
            <w:tcW w:type="dxa" w:w="31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Après chaque déploiement</w:t>
            </w:r>
          </w:p>
        </w:tc>
      </w:tr>
      <w:tr>
        <w:tc>
          <w:tcPr>
            <w:tcW w:type="dxa" w:w="1998"/>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Tests de résilience</w:t>
            </w:r>
          </w:p>
        </w:tc>
        <w:tc>
          <w:tcPr>
            <w:tcW w:type="dxa" w:w="4249"/>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reprise, concurrence, indisponibilité interservice</w:t>
            </w:r>
          </w:p>
        </w:tc>
        <w:tc>
          <w:tcPr>
            <w:tcW w:type="dxa" w:w="311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Nightly puis préproduction</w:t>
            </w:r>
          </w:p>
        </w:tc>
      </w:tr>
      <w:tr>
        <w:tc>
          <w:tcPr>
            <w:tcW w:type="dxa" w:w="1998"/>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Tests de performance</w:t>
            </w:r>
          </w:p>
        </w:tc>
        <w:tc>
          <w:tcPr>
            <w:tcW w:type="dxa" w:w="4249"/>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latence API et stabilité d’une session</w:t>
            </w:r>
          </w:p>
        </w:tc>
        <w:tc>
          <w:tcPr>
            <w:tcW w:type="dxa" w:w="31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Préproduction et avant release bêta</w:t>
            </w:r>
          </w:p>
        </w:tc>
      </w:tr>
    </w:tbl>
    <w:p>
      <w:pPr>
        <w:spacing w:after="20"/>
      </w:pPr>
    </w:p>
    <w:p>
      <w:pPr>
        <w:keepLines/>
        <w:spacing w:after="100" w:line="276" w:lineRule="auto"/>
        <w:jc w:val="left"/>
      </w:pPr>
      <w:r>
        <w:rPr>
          <w:rFonts w:ascii="Georgia" w:hAnsi="Georgia"/>
          <w:b w:val="0"/>
          <w:i w:val="0"/>
          <w:color w:val="1C2027"/>
          <w:sz w:val="20"/>
        </w:rPr>
        <w:t>Les tests doivent vérifier les comportements publics et les invariants, non reproduire l’implémentation interne. Les snapshots volumineux ne remplacent pas les assertions métier. Un test supprimé doit être remplacé lorsqu’il protégeait encore une exigence valide.</w:t>
      </w:r>
    </w:p>
    <w:p>
      <w:pPr>
        <w:pStyle w:val="Heading2"/>
        <w:keepNext/>
        <w:spacing w:before="200" w:after="100"/>
      </w:pPr>
      <w:r>
        <w:rPr>
          <w:rFonts w:ascii="Georgia" w:hAnsi="Georgia"/>
          <w:b/>
          <w:i w:val="0"/>
          <w:color w:val="525C6C"/>
          <w:sz w:val="26"/>
        </w:rPr>
        <w:t>5.2 Seuils de couverture</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855"/>
        <w:gridCol w:w="1383"/>
        <w:gridCol w:w="1383"/>
        <w:gridCol w:w="2356"/>
        <w:gridCol w:w="1383"/>
      </w:tblGrid>
      <w:tr>
        <w:trPr>
          <w:tblHeader w:val="true"/>
        </w:trPr>
        <w:tc>
          <w:tcPr>
            <w:tcW w:type="dxa" w:w="2855"/>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Unité de qualité</w:t>
            </w:r>
          </w:p>
        </w:tc>
        <w:tc>
          <w:tcPr>
            <w:tcW w:type="dxa" w:w="1383"/>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Lignes</w:t>
            </w:r>
          </w:p>
        </w:tc>
        <w:tc>
          <w:tcPr>
            <w:tcW w:type="dxa" w:w="1383"/>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Branches</w:t>
            </w:r>
          </w:p>
        </w:tc>
        <w:tc>
          <w:tcPr>
            <w:tcW w:type="dxa" w:w="2356"/>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Méthodes / fonctions</w:t>
            </w:r>
          </w:p>
        </w:tc>
        <w:tc>
          <w:tcPr>
            <w:tcW w:type="dxa" w:w="1383"/>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Statements</w:t>
            </w:r>
          </w:p>
        </w:tc>
      </w:tr>
      <w:tr>
        <w:tc>
          <w:tcPr>
            <w:tcW w:type="dxa" w:w="2855"/>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Game Engine</w:t>
            </w:r>
          </w:p>
        </w:tc>
        <w:tc>
          <w:tcPr>
            <w:tcW w:type="dxa" w:w="13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80 %</w:t>
            </w:r>
          </w:p>
        </w:tc>
        <w:tc>
          <w:tcPr>
            <w:tcW w:type="dxa" w:w="138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80 %</w:t>
            </w:r>
          </w:p>
        </w:tc>
        <w:tc>
          <w:tcPr>
            <w:tcW w:type="dxa" w:w="2356"/>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80 %</w:t>
            </w:r>
          </w:p>
        </w:tc>
        <w:tc>
          <w:tcPr>
            <w:tcW w:type="dxa" w:w="138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N/A</w:t>
            </w:r>
          </w:p>
        </w:tc>
      </w:tr>
      <w:tr>
        <w:tc>
          <w:tcPr>
            <w:tcW w:type="dxa" w:w="2855"/>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Player</w:t>
            </w:r>
          </w:p>
        </w:tc>
        <w:tc>
          <w:tcPr>
            <w:tcW w:type="dxa" w:w="138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80 %</w:t>
            </w:r>
          </w:p>
        </w:tc>
        <w:tc>
          <w:tcPr>
            <w:tcW w:type="dxa" w:w="1383"/>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80 %</w:t>
            </w:r>
          </w:p>
        </w:tc>
        <w:tc>
          <w:tcPr>
            <w:tcW w:type="dxa" w:w="2356"/>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80 %</w:t>
            </w:r>
          </w:p>
        </w:tc>
        <w:tc>
          <w:tcPr>
            <w:tcW w:type="dxa" w:w="1383"/>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N/A</w:t>
            </w:r>
          </w:p>
        </w:tc>
      </w:tr>
      <w:tr>
        <w:tc>
          <w:tcPr>
            <w:tcW w:type="dxa" w:w="2855"/>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Catalog</w:t>
            </w:r>
          </w:p>
        </w:tc>
        <w:tc>
          <w:tcPr>
            <w:tcW w:type="dxa" w:w="13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80 %</w:t>
            </w:r>
          </w:p>
        </w:tc>
        <w:tc>
          <w:tcPr>
            <w:tcW w:type="dxa" w:w="138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80 %</w:t>
            </w:r>
          </w:p>
        </w:tc>
        <w:tc>
          <w:tcPr>
            <w:tcW w:type="dxa" w:w="2356"/>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80 %</w:t>
            </w:r>
          </w:p>
        </w:tc>
        <w:tc>
          <w:tcPr>
            <w:tcW w:type="dxa" w:w="138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N/A</w:t>
            </w:r>
          </w:p>
        </w:tc>
      </w:tr>
      <w:tr>
        <w:tc>
          <w:tcPr>
            <w:tcW w:type="dxa" w:w="285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Shared Building Blocks</w:t>
            </w:r>
          </w:p>
        </w:tc>
        <w:tc>
          <w:tcPr>
            <w:tcW w:type="dxa" w:w="138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80 %</w:t>
            </w:r>
          </w:p>
        </w:tc>
        <w:tc>
          <w:tcPr>
            <w:tcW w:type="dxa" w:w="1383"/>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80 %</w:t>
            </w:r>
          </w:p>
        </w:tc>
        <w:tc>
          <w:tcPr>
            <w:tcW w:type="dxa" w:w="2356"/>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80 %</w:t>
            </w:r>
          </w:p>
        </w:tc>
        <w:tc>
          <w:tcPr>
            <w:tcW w:type="dxa" w:w="1383"/>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N/A</w:t>
            </w:r>
          </w:p>
        </w:tc>
      </w:tr>
      <w:tr>
        <w:tc>
          <w:tcPr>
            <w:tcW w:type="dxa" w:w="2855"/>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Game Client</w:t>
            </w:r>
          </w:p>
        </w:tc>
        <w:tc>
          <w:tcPr>
            <w:tcW w:type="dxa" w:w="13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80 %</w:t>
            </w:r>
          </w:p>
        </w:tc>
        <w:tc>
          <w:tcPr>
            <w:tcW w:type="dxa" w:w="138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80 %</w:t>
            </w:r>
          </w:p>
        </w:tc>
        <w:tc>
          <w:tcPr>
            <w:tcW w:type="dxa" w:w="2356"/>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80 %</w:t>
            </w:r>
          </w:p>
        </w:tc>
        <w:tc>
          <w:tcPr>
            <w:tcW w:type="dxa" w:w="138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80 %</w:t>
            </w:r>
          </w:p>
        </w:tc>
      </w:tr>
    </w:tbl>
    <w:p>
      <w:pPr>
        <w:spacing w:after="20"/>
      </w:pPr>
    </w:p>
    <w:p>
      <w:pPr>
        <w:keepLines/>
        <w:spacing w:after="100" w:line="276" w:lineRule="auto"/>
        <w:jc w:val="left"/>
      </w:pPr>
      <w:r>
        <w:rPr>
          <w:rFonts w:ascii="Georgia" w:hAnsi="Georgia"/>
          <w:b w:val="0"/>
          <w:i w:val="0"/>
          <w:color w:val="1C2027"/>
          <w:sz w:val="20"/>
        </w:rPr>
        <w:t>Pour .NET, les couvertures unitaires et d’intégration sont collectées en Cobertura puis fusionnées par service avant l’application du seuil. Pour le client, Vitest utilise le provider V8 avec des seuils globaux à 80 %. Un seuil par fichier peut être appliqué aux modules critiques — authentification, cycle de run, résolution de combat et persistance locale — après stabilisation.</w:t>
      </w:r>
    </w:p>
    <w:p>
      <w:pPr>
        <w:keepLines/>
        <w:spacing w:after="100" w:line="276" w:lineRule="auto"/>
        <w:jc w:val="left"/>
      </w:pPr>
      <w:r>
        <w:rPr>
          <w:rFonts w:ascii="Georgia" w:hAnsi="Georgia"/>
          <w:b w:val="0"/>
          <w:i w:val="0"/>
          <w:color w:val="1C2027"/>
          <w:sz w:val="20"/>
        </w:rPr>
        <w:t xml:space="preserve">Les seules exclusions automatiques admises sont le code généré, les fichiers </w:t>
      </w:r>
      <w:r>
        <w:rPr>
          <w:rFonts w:ascii="Consolas" w:hAnsi="Consolas"/>
          <w:b w:val="0"/>
          <w:i w:val="0"/>
          <w:color w:val="1C2027"/>
          <w:sz w:val="18"/>
        </w:rPr>
        <w:t>*.Designer.cs</w:t>
      </w:r>
      <w:r>
        <w:rPr>
          <w:rFonts w:ascii="Georgia" w:hAnsi="Georgia"/>
          <w:b w:val="0"/>
          <w:i w:val="0"/>
          <w:color w:val="1C2027"/>
          <w:sz w:val="20"/>
        </w:rPr>
        <w:t xml:space="preserve"> et les migrations EF générées. Toute autre exclusion doit apparaître dans un registre versionné avec justification. Les contrôleurs, gateways, mappers, règles métier, stores et composables restent inclus.</w:t>
      </w:r>
    </w:p>
    <w:p>
      <w:pPr>
        <w:pStyle w:val="Heading2"/>
        <w:keepNext/>
        <w:spacing w:before="200" w:after="100"/>
      </w:pPr>
      <w:r>
        <w:rPr>
          <w:rFonts w:ascii="Georgia" w:hAnsi="Georgia"/>
          <w:b/>
          <w:i w:val="0"/>
          <w:color w:val="525C6C"/>
          <w:sz w:val="26"/>
        </w:rPr>
        <w:t>5.3 Convergence depuis l’état rouge</w:t>
      </w:r>
    </w:p>
    <w:p>
      <w:pPr>
        <w:keepLines/>
        <w:spacing w:after="100" w:line="276" w:lineRule="auto"/>
        <w:jc w:val="left"/>
      </w:pPr>
      <w:r>
        <w:rPr>
          <w:rFonts w:ascii="Georgia" w:hAnsi="Georgia"/>
          <w:b w:val="0"/>
          <w:i w:val="0"/>
          <w:color w:val="1C2027"/>
          <w:sz w:val="20"/>
        </w:rPr>
        <w:t>La CI est installée en deux modes successifs :</w:t>
      </w:r>
    </w:p>
    <w:p>
      <w:pPr>
        <w:keepLines/>
        <w:spacing w:after="100" w:line="276" w:lineRule="auto"/>
        <w:jc w:val="left"/>
        <w:numPr>
          <w:ilvl w:val="0"/>
          <w:numId w:val="3"/>
        </w:numPr>
      </w:pPr>
      <w:r>
        <w:rPr>
          <w:rFonts w:ascii="Georgia" w:hAnsi="Georgia"/>
          <w:b/>
          <w:i w:val="0"/>
          <w:color w:val="1C2027"/>
          <w:sz w:val="20"/>
        </w:rPr>
        <w:t>Mode récupération.</w:t>
      </w:r>
      <w:r>
        <w:rPr>
          <w:rFonts w:ascii="Georgia" w:hAnsi="Georgia"/>
          <w:b w:val="0"/>
          <w:i w:val="0"/>
          <w:color w:val="1C2027"/>
          <w:sz w:val="20"/>
        </w:rPr>
        <w:t xml:space="preserve"> Toutes les suites sont exécutées et leurs échecs sont publiés ; aucun CD n’est autorisé. Les échecs sont classés entre régression réelle, test obsolète, défaut d’environnement et test instable.</w:t>
      </w:r>
    </w:p>
    <w:p>
      <w:pPr>
        <w:keepLines/>
        <w:spacing w:after="100" w:line="276" w:lineRule="auto"/>
        <w:jc w:val="left"/>
        <w:numPr>
          <w:ilvl w:val="0"/>
          <w:numId w:val="3"/>
        </w:numPr>
      </w:pPr>
      <w:r>
        <w:rPr>
          <w:rFonts w:ascii="Georgia" w:hAnsi="Georgia"/>
          <w:b/>
          <w:i w:val="0"/>
          <w:color w:val="1C2027"/>
          <w:sz w:val="20"/>
        </w:rPr>
        <w:t>Mode contraignant.</w:t>
      </w:r>
      <w:r>
        <w:rPr>
          <w:rFonts w:ascii="Georgia" w:hAnsi="Georgia"/>
          <w:b w:val="0"/>
          <w:i w:val="0"/>
          <w:color w:val="1C2027"/>
          <w:sz w:val="20"/>
        </w:rPr>
        <w:t xml:space="preserve"> Dès qu’une unité atteint zéro test rouge, son statut devient requis. Le seuil de couverture est ensuite relevé par paliers sans jamais pouvoir redescendre, jusqu’à 80 %.</w:t>
      </w:r>
    </w:p>
    <w:p>
      <w:pPr>
        <w:keepLines/>
        <w:spacing w:after="100" w:line="276" w:lineRule="auto"/>
        <w:jc w:val="left"/>
      </w:pPr>
      <w:r>
        <w:rPr>
          <w:rFonts w:ascii="Georgia" w:hAnsi="Georgia"/>
          <w:b w:val="0"/>
          <w:i w:val="0"/>
          <w:color w:val="1C2027"/>
          <w:sz w:val="20"/>
        </w:rPr>
        <w:t>La cible n’est considérée atteinte que lorsque toutes les unités sont simultanément vertes et au seuil final. Un manifeste temporaire de dette peut documenter les échecs pendant la récupération, mais ne transforme jamais un test rouge en succès et doit être vide avant le premier déploiement bêta.</w:t>
      </w:r>
    </w:p>
    <w:p>
      <w:pPr>
        <w:pStyle w:val="Heading2"/>
        <w:keepNext/>
        <w:spacing w:before="200" w:after="100"/>
      </w:pPr>
      <w:r>
        <w:rPr>
          <w:rFonts w:ascii="Georgia" w:hAnsi="Georgia"/>
          <w:b/>
          <w:i w:val="0"/>
          <w:color w:val="525C6C"/>
          <w:sz w:val="26"/>
        </w:rPr>
        <w:t>5.4 Qualité des tests</w:t>
      </w:r>
    </w:p>
    <w:p>
      <w:pPr>
        <w:keepLines/>
        <w:spacing w:after="100" w:line="276" w:lineRule="auto"/>
        <w:jc w:val="left"/>
        <w:numPr>
          <w:ilvl w:val="0"/>
          <w:numId w:val="1"/>
        </w:numPr>
      </w:pPr>
      <w:r>
        <w:rPr>
          <w:rFonts w:ascii="Georgia" w:hAnsi="Georgia"/>
          <w:b w:val="0"/>
          <w:i w:val="0"/>
          <w:color w:val="1C2027"/>
          <w:sz w:val="20"/>
        </w:rPr>
        <w:t xml:space="preserve">Aucun </w:t>
      </w:r>
      <w:r>
        <w:rPr>
          <w:rFonts w:ascii="Consolas" w:hAnsi="Consolas"/>
          <w:b w:val="0"/>
          <w:i w:val="0"/>
          <w:color w:val="1C2027"/>
          <w:sz w:val="18"/>
        </w:rPr>
        <w:t>Skip</w:t>
      </w:r>
      <w:r>
        <w:rPr>
          <w:rFonts w:ascii="Georgia" w:hAnsi="Georgia"/>
          <w:b w:val="0"/>
          <w:i w:val="0"/>
          <w:color w:val="1C2027"/>
          <w:sz w:val="20"/>
        </w:rPr>
        <w:t xml:space="preserve">, </w:t>
      </w:r>
      <w:r>
        <w:rPr>
          <w:rFonts w:ascii="Consolas" w:hAnsi="Consolas"/>
          <w:b w:val="0"/>
          <w:i w:val="0"/>
          <w:color w:val="1C2027"/>
          <w:sz w:val="18"/>
        </w:rPr>
        <w:t>Only</w:t>
      </w:r>
      <w:r>
        <w:rPr>
          <w:rFonts w:ascii="Georgia" w:hAnsi="Georgia"/>
          <w:b w:val="0"/>
          <w:i w:val="0"/>
          <w:color w:val="1C2027"/>
          <w:sz w:val="20"/>
        </w:rPr>
        <w:t xml:space="preserve">, </w:t>
      </w:r>
      <w:r>
        <w:rPr>
          <w:rFonts w:ascii="Consolas" w:hAnsi="Consolas"/>
          <w:b w:val="0"/>
          <w:i w:val="0"/>
          <w:color w:val="1C2027"/>
          <w:sz w:val="18"/>
        </w:rPr>
        <w:t>Todo</w:t>
      </w:r>
      <w:r>
        <w:rPr>
          <w:rFonts w:ascii="Georgia" w:hAnsi="Georgia"/>
          <w:b w:val="0"/>
          <w:i w:val="0"/>
          <w:color w:val="1C2027"/>
          <w:sz w:val="20"/>
        </w:rPr>
        <w:t xml:space="preserve"> ou exclusion durable sans ticket, propriétaire et date d’expiration.</w:t>
      </w:r>
    </w:p>
    <w:p>
      <w:pPr>
        <w:keepLines/>
        <w:spacing w:after="100" w:line="276" w:lineRule="auto"/>
        <w:jc w:val="left"/>
        <w:numPr>
          <w:ilvl w:val="0"/>
          <w:numId w:val="1"/>
        </w:numPr>
      </w:pPr>
      <w:r>
        <w:rPr>
          <w:rFonts w:ascii="Georgia" w:hAnsi="Georgia"/>
          <w:b w:val="0"/>
          <w:i w:val="0"/>
          <w:color w:val="1C2027"/>
          <w:sz w:val="20"/>
        </w:rPr>
        <w:t>Les tests d’intégration créent leurs propres données et n’utilisent aucune base partagée.</w:t>
      </w:r>
    </w:p>
    <w:p>
      <w:pPr>
        <w:keepLines/>
        <w:spacing w:after="100" w:line="276" w:lineRule="auto"/>
        <w:jc w:val="left"/>
        <w:numPr>
          <w:ilvl w:val="0"/>
          <w:numId w:val="1"/>
        </w:numPr>
      </w:pPr>
      <w:r>
        <w:rPr>
          <w:rFonts w:ascii="Georgia" w:hAnsi="Georgia"/>
          <w:b w:val="0"/>
          <w:i w:val="0"/>
          <w:color w:val="1C2027"/>
          <w:sz w:val="20"/>
        </w:rPr>
        <w:t>Les tests temporels utilisent une horloge contrôlable ; les tests aléatoires conservent la seed en cas d’échec.</w:t>
      </w:r>
    </w:p>
    <w:p>
      <w:pPr>
        <w:keepLines/>
        <w:spacing w:after="100" w:line="276" w:lineRule="auto"/>
        <w:jc w:val="left"/>
        <w:numPr>
          <w:ilvl w:val="0"/>
          <w:numId w:val="1"/>
        </w:numPr>
      </w:pPr>
      <w:r>
        <w:rPr>
          <w:rFonts w:ascii="Georgia" w:hAnsi="Georgia"/>
          <w:b w:val="0"/>
          <w:i w:val="0"/>
          <w:color w:val="1C2027"/>
          <w:sz w:val="20"/>
        </w:rPr>
        <w:t>Les tests E2E conservent trace, vidéo et capture uniquement sur échec.</w:t>
      </w:r>
    </w:p>
    <w:p>
      <w:pPr>
        <w:keepLines/>
        <w:spacing w:after="100" w:line="276" w:lineRule="auto"/>
        <w:jc w:val="left"/>
        <w:numPr>
          <w:ilvl w:val="0"/>
          <w:numId w:val="1"/>
        </w:numPr>
      </w:pPr>
      <w:r>
        <w:rPr>
          <w:rFonts w:ascii="Georgia" w:hAnsi="Georgia"/>
          <w:b w:val="0"/>
          <w:i w:val="0"/>
          <w:color w:val="1C2027"/>
          <w:sz w:val="20"/>
        </w:rPr>
        <w:t>Le mutation testing est exécuté la nuit sur les domaines critiques afin de détecter une couverture artificielle sans assertions efficaces.</w:t>
      </w:r>
    </w:p>
    <w:p>
      <w:pPr>
        <w:keepLines/>
        <w:spacing w:after="100" w:line="276" w:lineRule="auto"/>
        <w:jc w:val="left"/>
        <w:numPr>
          <w:ilvl w:val="0"/>
          <w:numId w:val="1"/>
        </w:numPr>
      </w:pPr>
      <w:r>
        <w:rPr>
          <w:rFonts w:ascii="Georgia" w:hAnsi="Georgia"/>
          <w:b w:val="0"/>
          <w:i w:val="0"/>
          <w:color w:val="1C2027"/>
          <w:sz w:val="20"/>
        </w:rPr>
        <w:t>Les résultats sont conservés quatorze jours sur les PR et quatre-vingt-dix jours sur les releases.</w:t>
      </w:r>
    </w:p>
    <w:p>
      <w:pPr>
        <w:keepNext/>
        <w:spacing w:before="280" w:after="80"/>
      </w:pPr>
      <w:r>
        <w:rPr>
          <w:rFonts w:ascii="Georgia" w:hAnsi="Georgia"/>
          <w:b/>
          <w:i w:val="0"/>
          <w:caps/>
          <w:color w:val="8997AA"/>
          <w:sz w:val="16"/>
        </w:rPr>
        <w:t>06    SECTION</w:t>
      </w:r>
    </w:p>
    <w:p>
      <w:pPr>
        <w:pStyle w:val="Heading1"/>
        <w:keepNext/>
        <w:spacing w:after="180"/>
      </w:pPr>
      <w:r>
        <w:rPr>
          <w:rFonts w:ascii="Georgia" w:hAnsi="Georgia"/>
          <w:b/>
          <w:i w:val="0"/>
          <w:color w:val="1C2027"/>
          <w:sz w:val="38"/>
        </w:rPr>
        <w:t>Construction et publication des artefacts</w:t>
      </w:r>
    </w:p>
    <w:p>
      <w:pPr>
        <w:pStyle w:val="Heading2"/>
        <w:keepNext/>
        <w:spacing w:before="200" w:after="100"/>
      </w:pPr>
      <w:r>
        <w:rPr>
          <w:rFonts w:ascii="Georgia" w:hAnsi="Georgia"/>
          <w:b/>
          <w:i w:val="0"/>
          <w:color w:val="525C6C"/>
          <w:sz w:val="26"/>
        </w:rPr>
        <w:t>6.1 Conteneurisation</w:t>
      </w:r>
    </w:p>
    <w:p>
      <w:pPr>
        <w:keepLines/>
        <w:spacing w:after="100" w:line="276" w:lineRule="auto"/>
        <w:jc w:val="left"/>
      </w:pPr>
      <w:r>
        <w:rPr>
          <w:rFonts w:ascii="Georgia" w:hAnsi="Georgia"/>
          <w:b w:val="0"/>
          <w:i w:val="0"/>
          <w:color w:val="1C2027"/>
          <w:sz w:val="20"/>
        </w:rPr>
        <w:t>Chaque API reçoit un Dockerfile multi-stage : SDK .NET 10 pour restore/build/publish, puis image runtime ASP.NET non-root. Le client est construit avec Node puis servi par une image web minimale configurée pour les routes SPA et les en-têtes de sécurité.</w:t>
      </w:r>
    </w:p>
    <w:p>
      <w:pPr>
        <w:keepLines/>
        <w:spacing w:after="100" w:line="276" w:lineRule="auto"/>
        <w:jc w:val="left"/>
      </w:pPr>
      <w:r>
        <w:rPr>
          <w:rFonts w:ascii="Georgia" w:hAnsi="Georgia"/>
          <w:b w:val="0"/>
          <w:i w:val="0"/>
          <w:color w:val="1C2027"/>
          <w:sz w:val="20"/>
        </w:rPr>
        <w:t>Les images produites sont :</w:t>
      </w:r>
    </w:p>
    <w:p>
      <w:pPr>
        <w:keepLines/>
        <w:spacing w:after="100" w:line="276" w:lineRule="auto"/>
        <w:jc w:val="left"/>
        <w:numPr>
          <w:ilvl w:val="0"/>
          <w:numId w:val="1"/>
        </w:numPr>
      </w:pPr>
      <w:r>
        <w:rPr>
          <w:rFonts w:ascii="Consolas" w:hAnsi="Consolas"/>
          <w:b w:val="0"/>
          <w:i w:val="0"/>
          <w:color w:val="1C2027"/>
          <w:sz w:val="18"/>
        </w:rPr>
        <w:t>ghcr.io/&lt;owner&gt;/leds-game-engine</w:t>
      </w:r>
      <w:r>
        <w:rPr>
          <w:rFonts w:ascii="Georgia" w:hAnsi="Georgia"/>
          <w:b w:val="0"/>
          <w:i w:val="0"/>
          <w:color w:val="1C2027"/>
          <w:sz w:val="20"/>
        </w:rPr>
        <w:t xml:space="preserve"> ;</w:t>
      </w:r>
    </w:p>
    <w:p>
      <w:pPr>
        <w:keepLines/>
        <w:spacing w:after="100" w:line="276" w:lineRule="auto"/>
        <w:jc w:val="left"/>
        <w:numPr>
          <w:ilvl w:val="0"/>
          <w:numId w:val="1"/>
        </w:numPr>
      </w:pPr>
      <w:r>
        <w:rPr>
          <w:rFonts w:ascii="Consolas" w:hAnsi="Consolas"/>
          <w:b w:val="0"/>
          <w:i w:val="0"/>
          <w:color w:val="1C2027"/>
          <w:sz w:val="18"/>
        </w:rPr>
        <w:t>ghcr.io/&lt;owner&gt;/leds-player</w:t>
      </w:r>
      <w:r>
        <w:rPr>
          <w:rFonts w:ascii="Georgia" w:hAnsi="Georgia"/>
          <w:b w:val="0"/>
          <w:i w:val="0"/>
          <w:color w:val="1C2027"/>
          <w:sz w:val="20"/>
        </w:rPr>
        <w:t xml:space="preserve"> ;</w:t>
      </w:r>
    </w:p>
    <w:p>
      <w:pPr>
        <w:keepLines/>
        <w:spacing w:after="100" w:line="276" w:lineRule="auto"/>
        <w:jc w:val="left"/>
        <w:numPr>
          <w:ilvl w:val="0"/>
          <w:numId w:val="1"/>
        </w:numPr>
      </w:pPr>
      <w:r>
        <w:rPr>
          <w:rFonts w:ascii="Consolas" w:hAnsi="Consolas"/>
          <w:b w:val="0"/>
          <w:i w:val="0"/>
          <w:color w:val="1C2027"/>
          <w:sz w:val="18"/>
        </w:rPr>
        <w:t>ghcr.io/&lt;owner&gt;/leds-catalog</w:t>
      </w:r>
      <w:r>
        <w:rPr>
          <w:rFonts w:ascii="Georgia" w:hAnsi="Georgia"/>
          <w:b w:val="0"/>
          <w:i w:val="0"/>
          <w:color w:val="1C2027"/>
          <w:sz w:val="20"/>
        </w:rPr>
        <w:t xml:space="preserve"> ;</w:t>
      </w:r>
    </w:p>
    <w:p>
      <w:pPr>
        <w:keepLines/>
        <w:spacing w:after="100" w:line="276" w:lineRule="auto"/>
        <w:jc w:val="left"/>
        <w:numPr>
          <w:ilvl w:val="0"/>
          <w:numId w:val="1"/>
        </w:numPr>
      </w:pPr>
      <w:r>
        <w:rPr>
          <w:rFonts w:ascii="Consolas" w:hAnsi="Consolas"/>
          <w:b w:val="0"/>
          <w:i w:val="0"/>
          <w:color w:val="1C2027"/>
          <w:sz w:val="18"/>
        </w:rPr>
        <w:t>ghcr.io/&lt;owner&gt;/leds-game-client</w:t>
      </w:r>
      <w:r>
        <w:rPr>
          <w:rFonts w:ascii="Georgia" w:hAnsi="Georgia"/>
          <w:b w:val="0"/>
          <w:i w:val="0"/>
          <w:color w:val="1C2027"/>
          <w:sz w:val="20"/>
        </w:rPr>
        <w:t>.</w:t>
      </w:r>
    </w:p>
    <w:p>
      <w:pPr>
        <w:keepLines/>
        <w:spacing w:after="100" w:line="276" w:lineRule="auto"/>
        <w:jc w:val="left"/>
      </w:pPr>
      <w:r>
        <w:rPr>
          <w:rFonts w:ascii="Georgia" w:hAnsi="Georgia"/>
          <w:b w:val="0"/>
          <w:i w:val="0"/>
          <w:color w:val="1C2027"/>
          <w:sz w:val="20"/>
        </w:rPr>
        <w:t xml:space="preserve">Chaque image porte les labels OCI de source, révision, version et date de création. Les tags humains facilitent la lecture, mais les déploiements utilisent exclusivement les digests </w:t>
      </w:r>
      <w:r>
        <w:rPr>
          <w:rFonts w:ascii="Consolas" w:hAnsi="Consolas"/>
          <w:b w:val="0"/>
          <w:i w:val="0"/>
          <w:color w:val="1C2027"/>
          <w:sz w:val="18"/>
        </w:rPr>
        <w:t>sha256</w:t>
      </w:r>
      <w:r>
        <w:rPr>
          <w:rFonts w:ascii="Georgia" w:hAnsi="Georgia"/>
          <w:b w:val="0"/>
          <w:i w:val="0"/>
          <w:color w:val="1C2027"/>
          <w:sz w:val="20"/>
        </w:rPr>
        <w:t>.</w:t>
      </w:r>
    </w:p>
    <w:p>
      <w:pPr>
        <w:pStyle w:val="Heading2"/>
        <w:keepNext/>
        <w:spacing w:before="200" w:after="100"/>
      </w:pPr>
      <w:r>
        <w:rPr>
          <w:rFonts w:ascii="Georgia" w:hAnsi="Georgia"/>
          <w:b/>
          <w:i w:val="0"/>
          <w:color w:val="525C6C"/>
          <w:sz w:val="26"/>
        </w:rPr>
        <w:t>6.2 Reproductibilité et dépendances</w:t>
      </w:r>
    </w:p>
    <w:p>
      <w:pPr>
        <w:keepLines/>
        <w:spacing w:after="100" w:line="276" w:lineRule="auto"/>
        <w:jc w:val="left"/>
        <w:numPr>
          <w:ilvl w:val="0"/>
          <w:numId w:val="1"/>
        </w:numPr>
      </w:pPr>
      <w:r>
        <w:rPr>
          <w:rFonts w:ascii="Georgia" w:hAnsi="Georgia"/>
          <w:b w:val="0"/>
          <w:i w:val="0"/>
          <w:color w:val="1C2027"/>
          <w:sz w:val="20"/>
        </w:rPr>
        <w:t xml:space="preserve">Le SDK .NET 10 est épinglé par </w:t>
      </w:r>
      <w:r>
        <w:rPr>
          <w:rFonts w:ascii="Consolas" w:hAnsi="Consolas"/>
          <w:b w:val="0"/>
          <w:i w:val="0"/>
          <w:color w:val="1C2027"/>
          <w:sz w:val="18"/>
        </w:rPr>
        <w:t>global.json</w:t>
      </w:r>
      <w:r>
        <w:rPr>
          <w:rFonts w:ascii="Georgia" w:hAnsi="Georgia"/>
          <w:b w:val="0"/>
          <w:i w:val="0"/>
          <w:color w:val="1C2027"/>
          <w:sz w:val="20"/>
        </w:rPr>
        <w:t>.</w:t>
      </w:r>
    </w:p>
    <w:p>
      <w:pPr>
        <w:keepLines/>
        <w:spacing w:after="100" w:line="276" w:lineRule="auto"/>
        <w:jc w:val="left"/>
        <w:numPr>
          <w:ilvl w:val="0"/>
          <w:numId w:val="1"/>
        </w:numPr>
      </w:pPr>
      <w:r>
        <w:rPr>
          <w:rFonts w:ascii="Georgia" w:hAnsi="Georgia"/>
          <w:b w:val="0"/>
          <w:i w:val="0"/>
          <w:color w:val="1C2027"/>
          <w:sz w:val="20"/>
        </w:rPr>
        <w:t>Les versions NuGet sont centralisées et les restores utilisent des fichiers de verrouillage en mode locked.</w:t>
      </w:r>
    </w:p>
    <w:p>
      <w:pPr>
        <w:keepLines/>
        <w:spacing w:after="100" w:line="276" w:lineRule="auto"/>
        <w:jc w:val="left"/>
        <w:numPr>
          <w:ilvl w:val="0"/>
          <w:numId w:val="1"/>
        </w:numPr>
      </w:pPr>
      <w:r>
        <w:rPr>
          <w:rFonts w:ascii="Georgia" w:hAnsi="Georgia"/>
          <w:b w:val="0"/>
          <w:i w:val="0"/>
          <w:color w:val="1C2027"/>
          <w:sz w:val="20"/>
        </w:rPr>
        <w:t xml:space="preserve">Le client utilise </w:t>
      </w:r>
      <w:r>
        <w:rPr>
          <w:rFonts w:ascii="Consolas" w:hAnsi="Consolas"/>
          <w:b w:val="0"/>
          <w:i w:val="0"/>
          <w:color w:val="1C2027"/>
          <w:sz w:val="18"/>
        </w:rPr>
        <w:t>npm ci</w:t>
      </w:r>
      <w:r>
        <w:rPr>
          <w:rFonts w:ascii="Georgia" w:hAnsi="Georgia"/>
          <w:b w:val="0"/>
          <w:i w:val="0"/>
          <w:color w:val="1C2027"/>
          <w:sz w:val="20"/>
        </w:rPr>
        <w:t xml:space="preserve"> et son lockfile versionné.</w:t>
      </w:r>
    </w:p>
    <w:p>
      <w:pPr>
        <w:keepLines/>
        <w:spacing w:after="100" w:line="276" w:lineRule="auto"/>
        <w:jc w:val="left"/>
        <w:numPr>
          <w:ilvl w:val="0"/>
          <w:numId w:val="1"/>
        </w:numPr>
      </w:pPr>
      <w:r>
        <w:rPr>
          <w:rFonts w:ascii="Georgia" w:hAnsi="Georgia"/>
          <w:b w:val="0"/>
          <w:i w:val="0"/>
          <w:color w:val="1C2027"/>
          <w:sz w:val="20"/>
        </w:rPr>
        <w:t>BuildKit utilise un cache GitHub Actions ou registry sans réutiliser les couches contenant des secrets.</w:t>
      </w:r>
    </w:p>
    <w:p>
      <w:pPr>
        <w:keepLines/>
        <w:spacing w:after="100" w:line="276" w:lineRule="auto"/>
        <w:jc w:val="left"/>
        <w:numPr>
          <w:ilvl w:val="0"/>
          <w:numId w:val="1"/>
        </w:numPr>
      </w:pPr>
      <w:r>
        <w:rPr>
          <w:rFonts w:ascii="Georgia" w:hAnsi="Georgia"/>
          <w:b w:val="0"/>
          <w:i w:val="0"/>
          <w:color w:val="1C2027"/>
          <w:sz w:val="20"/>
        </w:rPr>
        <w:t>Le contexte Docker exclut les résultats de tests, secrets, fichiers locaux et artefacts de développement.</w:t>
      </w:r>
    </w:p>
    <w:p>
      <w:pPr>
        <w:keepLines/>
        <w:spacing w:after="100" w:line="276" w:lineRule="auto"/>
        <w:jc w:val="left"/>
        <w:numPr>
          <w:ilvl w:val="0"/>
          <w:numId w:val="1"/>
        </w:numPr>
      </w:pPr>
      <w:r>
        <w:rPr>
          <w:rFonts w:ascii="Georgia" w:hAnsi="Georgia"/>
          <w:b w:val="0"/>
          <w:i w:val="0"/>
          <w:color w:val="1C2027"/>
          <w:sz w:val="20"/>
        </w:rPr>
        <w:t>Une reconstruction du même commit doit produire un contenu fonctionnellement identique et une provenance vérifiable.</w:t>
      </w:r>
    </w:p>
    <w:p>
      <w:pPr>
        <w:pStyle w:val="Heading2"/>
        <w:keepNext/>
        <w:spacing w:before="200" w:after="100"/>
      </w:pPr>
      <w:r>
        <w:rPr>
          <w:rFonts w:ascii="Georgia" w:hAnsi="Georgia"/>
          <w:b/>
          <w:i w:val="0"/>
          <w:color w:val="525C6C"/>
          <w:sz w:val="26"/>
        </w:rPr>
        <w:t>6.3 Artefacts de release</w:t>
      </w:r>
    </w:p>
    <w:p>
      <w:pPr>
        <w:keepLines/>
        <w:spacing w:after="100" w:line="276" w:lineRule="auto"/>
        <w:jc w:val="left"/>
      </w:pPr>
      <w:r>
        <w:rPr>
          <w:rFonts w:ascii="Georgia" w:hAnsi="Georgia"/>
          <w:b w:val="0"/>
          <w:i w:val="0"/>
          <w:color w:val="1C2027"/>
          <w:sz w:val="20"/>
        </w:rPr>
        <w:t>Une release publie le manifeste de digests, les images OCI, les bundles de migration EF, les rapports de tests, le rapport de couverture, les SBOM SPDX/CycloneDX et les attestations de provenance. Le manifeste est la seule entrée acceptée par le workflow de promotion.</w:t>
      </w:r>
    </w:p>
    <w:p>
      <w:pPr>
        <w:keepNext/>
        <w:spacing w:before="280" w:after="80"/>
      </w:pPr>
      <w:r>
        <w:rPr>
          <w:rFonts w:ascii="Georgia" w:hAnsi="Georgia"/>
          <w:b/>
          <w:i w:val="0"/>
          <w:caps/>
          <w:color w:val="8997AA"/>
          <w:sz w:val="16"/>
        </w:rPr>
        <w:t>07    SECTION</w:t>
      </w:r>
    </w:p>
    <w:p>
      <w:pPr>
        <w:pStyle w:val="Heading1"/>
        <w:keepNext/>
        <w:spacing w:after="180"/>
      </w:pPr>
      <w:r>
        <w:rPr>
          <w:rFonts w:ascii="Georgia" w:hAnsi="Georgia"/>
          <w:b/>
          <w:i w:val="0"/>
          <w:color w:val="1C2027"/>
          <w:sz w:val="38"/>
        </w:rPr>
        <w:t>Sécurité de la chaîne</w:t>
      </w:r>
    </w:p>
    <w:p>
      <w:pPr>
        <w:pStyle w:val="Heading2"/>
        <w:keepNext/>
        <w:spacing w:before="200" w:after="100"/>
      </w:pPr>
      <w:r>
        <w:rPr>
          <w:rFonts w:ascii="Georgia" w:hAnsi="Georgia"/>
          <w:b/>
          <w:i w:val="0"/>
          <w:color w:val="525C6C"/>
          <w:sz w:val="26"/>
        </w:rPr>
        <w:t>7.1 Contrôles obligatoires</w:t>
      </w:r>
    </w:p>
    <w:p>
      <w:pPr>
        <w:keepLines/>
        <w:spacing w:after="100" w:line="276" w:lineRule="auto"/>
        <w:jc w:val="left"/>
        <w:numPr>
          <w:ilvl w:val="0"/>
          <w:numId w:val="1"/>
        </w:numPr>
      </w:pPr>
      <w:r>
        <w:rPr>
          <w:rFonts w:ascii="Georgia" w:hAnsi="Georgia"/>
          <w:b w:val="0"/>
          <w:i w:val="0"/>
          <w:color w:val="1C2027"/>
          <w:sz w:val="20"/>
        </w:rPr>
        <w:t>CodeQL sur C# et JavaScript/TypeScript.</w:t>
      </w:r>
    </w:p>
    <w:p>
      <w:pPr>
        <w:keepLines/>
        <w:spacing w:after="100" w:line="276" w:lineRule="auto"/>
        <w:jc w:val="left"/>
        <w:numPr>
          <w:ilvl w:val="0"/>
          <w:numId w:val="1"/>
        </w:numPr>
      </w:pPr>
      <w:r>
        <w:rPr>
          <w:rFonts w:ascii="Georgia" w:hAnsi="Georgia"/>
          <w:b w:val="0"/>
          <w:i w:val="0"/>
          <w:color w:val="1C2027"/>
          <w:sz w:val="20"/>
        </w:rPr>
        <w:t>Revue des dépendances sur pull request et blocage des vulnérabilités critiques ou élevées non acceptées.</w:t>
      </w:r>
    </w:p>
    <w:p>
      <w:pPr>
        <w:keepLines/>
        <w:spacing w:after="100" w:line="276" w:lineRule="auto"/>
        <w:jc w:val="left"/>
        <w:numPr>
          <w:ilvl w:val="0"/>
          <w:numId w:val="1"/>
        </w:numPr>
      </w:pPr>
      <w:r>
        <w:rPr>
          <w:rFonts w:ascii="Georgia" w:hAnsi="Georgia"/>
          <w:b w:val="0"/>
          <w:i w:val="0"/>
          <w:color w:val="1C2027"/>
          <w:sz w:val="20"/>
        </w:rPr>
        <w:t>Dependabot pour NuGet, npm, Docker et GitHub Actions.</w:t>
      </w:r>
    </w:p>
    <w:p>
      <w:pPr>
        <w:keepLines/>
        <w:spacing w:after="100" w:line="276" w:lineRule="auto"/>
        <w:jc w:val="left"/>
        <w:numPr>
          <w:ilvl w:val="0"/>
          <w:numId w:val="1"/>
        </w:numPr>
      </w:pPr>
      <w:r>
        <w:rPr>
          <w:rFonts w:ascii="Georgia" w:hAnsi="Georgia"/>
          <w:b w:val="0"/>
          <w:i w:val="0"/>
          <w:color w:val="1C2027"/>
          <w:sz w:val="20"/>
        </w:rPr>
        <w:t>Secret scanning et push protection lorsque disponibles sur le dépôt.</w:t>
      </w:r>
    </w:p>
    <w:p>
      <w:pPr>
        <w:keepLines/>
        <w:spacing w:after="100" w:line="276" w:lineRule="auto"/>
        <w:jc w:val="left"/>
        <w:numPr>
          <w:ilvl w:val="0"/>
          <w:numId w:val="1"/>
        </w:numPr>
      </w:pPr>
      <w:r>
        <w:rPr>
          <w:rFonts w:ascii="Georgia" w:hAnsi="Georgia"/>
          <w:b w:val="0"/>
          <w:i w:val="0"/>
          <w:color w:val="1C2027"/>
          <w:sz w:val="20"/>
        </w:rPr>
        <w:t>Scan des images avant promotion et blocage des vulnérabilités critiques exploitables.</w:t>
      </w:r>
    </w:p>
    <w:p>
      <w:pPr>
        <w:keepLines/>
        <w:spacing w:after="100" w:line="276" w:lineRule="auto"/>
        <w:jc w:val="left"/>
        <w:numPr>
          <w:ilvl w:val="0"/>
          <w:numId w:val="1"/>
        </w:numPr>
      </w:pPr>
      <w:r>
        <w:rPr>
          <w:rFonts w:ascii="Georgia" w:hAnsi="Georgia"/>
          <w:b w:val="0"/>
          <w:i w:val="0"/>
          <w:color w:val="1C2027"/>
          <w:sz w:val="20"/>
        </w:rPr>
        <w:t>SBOM et provenance attachés aux images.</w:t>
      </w:r>
    </w:p>
    <w:p>
      <w:pPr>
        <w:keepLines/>
        <w:spacing w:after="100" w:line="276" w:lineRule="auto"/>
        <w:jc w:val="left"/>
        <w:numPr>
          <w:ilvl w:val="0"/>
          <w:numId w:val="1"/>
        </w:numPr>
      </w:pPr>
      <w:r>
        <w:rPr>
          <w:rFonts w:ascii="Georgia" w:hAnsi="Georgia"/>
          <w:b w:val="0"/>
          <w:i w:val="0"/>
          <w:color w:val="1C2027"/>
          <w:sz w:val="20"/>
        </w:rPr>
        <w:t>Vérification des attestations avant préproduction et bêta.</w:t>
      </w:r>
    </w:p>
    <w:p>
      <w:pPr>
        <w:keepLines/>
        <w:spacing w:after="100" w:line="276" w:lineRule="auto"/>
        <w:jc w:val="left"/>
        <w:numPr>
          <w:ilvl w:val="0"/>
          <w:numId w:val="1"/>
        </w:numPr>
      </w:pPr>
      <w:r>
        <w:rPr>
          <w:rFonts w:ascii="Georgia" w:hAnsi="Georgia"/>
          <w:b w:val="0"/>
          <w:i w:val="0"/>
          <w:color w:val="1C2027"/>
          <w:sz w:val="20"/>
        </w:rPr>
        <w:t>Actions tierces épinglées sur SHA complet.</w:t>
      </w:r>
    </w:p>
    <w:p>
      <w:pPr>
        <w:keepLines/>
        <w:spacing w:after="100" w:line="276" w:lineRule="auto"/>
        <w:jc w:val="left"/>
        <w:numPr>
          <w:ilvl w:val="0"/>
          <w:numId w:val="1"/>
        </w:numPr>
      </w:pPr>
      <w:r>
        <w:rPr>
          <w:rFonts w:ascii="Georgia" w:hAnsi="Georgia"/>
          <w:b w:val="0"/>
          <w:i w:val="0"/>
          <w:color w:val="1C2027"/>
          <w:sz w:val="20"/>
        </w:rPr>
        <w:t>Environnements GitHub avec approbateurs et secrets séparés.</w:t>
      </w:r>
    </w:p>
    <w:p>
      <w:pPr>
        <w:pStyle w:val="Heading2"/>
        <w:keepNext/>
        <w:spacing w:before="200" w:after="100"/>
      </w:pPr>
      <w:r>
        <w:rPr>
          <w:rFonts w:ascii="Georgia" w:hAnsi="Georgia"/>
          <w:b/>
          <w:i w:val="0"/>
          <w:color w:val="525C6C"/>
          <w:sz w:val="26"/>
        </w:rPr>
        <w:t>7.2 Identités de déploiement</w:t>
      </w:r>
    </w:p>
    <w:p>
      <w:pPr>
        <w:keepLines/>
        <w:spacing w:after="100" w:line="276" w:lineRule="auto"/>
        <w:jc w:val="left"/>
      </w:pPr>
      <w:r>
        <w:rPr>
          <w:rFonts w:ascii="Georgia" w:hAnsi="Georgia"/>
          <w:b w:val="0"/>
          <w:i w:val="0"/>
          <w:color w:val="1C2027"/>
          <w:sz w:val="20"/>
        </w:rPr>
        <w:t xml:space="preserve">Lorsqu’un fournisseur cloud compatible est retenu, GitHub OIDC fournit des jetons courts sans secret cloud permanent. Pour le profil Docker Compose initial, l’adaptateur SSH utilise un compte dédié sans shell administratif général, une clé limitée au déploiement, un fichier </w:t>
      </w:r>
      <w:r>
        <w:rPr>
          <w:rFonts w:ascii="Consolas" w:hAnsi="Consolas"/>
          <w:b w:val="0"/>
          <w:i w:val="0"/>
          <w:color w:val="1C2027"/>
          <w:sz w:val="18"/>
        </w:rPr>
        <w:t>authorized_keys</w:t>
      </w:r>
      <w:r>
        <w:rPr>
          <w:rFonts w:ascii="Georgia" w:hAnsi="Georgia"/>
          <w:b w:val="0"/>
          <w:i w:val="0"/>
          <w:color w:val="1C2027"/>
          <w:sz w:val="20"/>
        </w:rPr>
        <w:t xml:space="preserve"> contraint et des secrets propres à chaque environnement.</w:t>
      </w:r>
    </w:p>
    <w:p>
      <w:pPr>
        <w:keepLines/>
        <w:spacing w:after="100" w:line="276" w:lineRule="auto"/>
        <w:jc w:val="left"/>
      </w:pPr>
      <w:r>
        <w:rPr>
          <w:rFonts w:ascii="Georgia" w:hAnsi="Georgia"/>
          <w:b w:val="0"/>
          <w:i w:val="0"/>
          <w:color w:val="1C2027"/>
          <w:sz w:val="20"/>
        </w:rPr>
        <w:t>Les pull requests provenant de forks ou de Dependabot n’obtiennent jamais les secrets d’environnement ni le droit de publier un package.</w:t>
      </w:r>
    </w:p>
    <w:p>
      <w:pPr>
        <w:keepNext/>
        <w:spacing w:before="280" w:after="80"/>
      </w:pPr>
      <w:r>
        <w:rPr>
          <w:rFonts w:ascii="Georgia" w:hAnsi="Georgia"/>
          <w:b/>
          <w:i w:val="0"/>
          <w:caps/>
          <w:color w:val="8997AA"/>
          <w:sz w:val="16"/>
        </w:rPr>
        <w:t>08    SECTION</w:t>
      </w:r>
    </w:p>
    <w:p>
      <w:pPr>
        <w:pStyle w:val="Heading1"/>
        <w:keepNext/>
        <w:spacing w:after="180"/>
      </w:pPr>
      <w:r>
        <w:rPr>
          <w:rFonts w:ascii="Georgia" w:hAnsi="Georgia"/>
          <w:b/>
          <w:i w:val="0"/>
          <w:color w:val="1C2027"/>
          <w:sz w:val="38"/>
        </w:rPr>
        <w:t>Environnements et configuration</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1263"/>
        <w:gridCol w:w="1613"/>
        <w:gridCol w:w="2692"/>
        <w:gridCol w:w="3792"/>
      </w:tblGrid>
      <w:tr>
        <w:trPr>
          <w:tblHeader w:val="true"/>
        </w:trPr>
        <w:tc>
          <w:tcPr>
            <w:tcW w:type="dxa" w:w="1263"/>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Environnement</w:t>
            </w:r>
          </w:p>
        </w:tc>
        <w:tc>
          <w:tcPr>
            <w:tcW w:type="dxa" w:w="1613"/>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Déclenchement</w:t>
            </w:r>
          </w:p>
        </w:tc>
        <w:tc>
          <w:tcPr>
            <w:tcW w:type="dxa" w:w="2692"/>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Données</w:t>
            </w:r>
          </w:p>
        </w:tc>
        <w:tc>
          <w:tcPr>
            <w:tcW w:type="dxa" w:w="3792"/>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Protection</w:t>
            </w:r>
          </w:p>
        </w:tc>
      </w:tr>
      <w:tr>
        <w:tc>
          <w:tcPr>
            <w:tcW w:type="dxa" w:w="126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Intégration</w:t>
            </w:r>
          </w:p>
        </w:tc>
        <w:tc>
          <w:tcPr>
            <w:tcW w:type="dxa" w:w="16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Merge sur develop</w:t>
            </w:r>
          </w:p>
        </w:tc>
        <w:tc>
          <w:tcPr>
            <w:tcW w:type="dxa" w:w="269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Éphémères ou réinitialisables</w:t>
            </w:r>
          </w:p>
        </w:tc>
        <w:tc>
          <w:tcPr>
            <w:tcW w:type="dxa" w:w="379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Automatique, concurrence sérialisée</w:t>
            </w:r>
          </w:p>
        </w:tc>
      </w:tr>
      <w:tr>
        <w:tc>
          <w:tcPr>
            <w:tcW w:type="dxa" w:w="1263"/>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Préproduction</w:t>
            </w:r>
          </w:p>
        </w:tc>
        <w:tc>
          <w:tcPr>
            <w:tcW w:type="dxa" w:w="161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Tag release candidate</w:t>
            </w:r>
          </w:p>
        </w:tc>
        <w:tc>
          <w:tcPr>
            <w:tcW w:type="dxa" w:w="269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Copie anonymisée ou dataset contrôlé</w:t>
            </w:r>
          </w:p>
        </w:tc>
        <w:tc>
          <w:tcPr>
            <w:tcW w:type="dxa" w:w="379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Approbation, migrations vérifiées</w:t>
            </w:r>
          </w:p>
        </w:tc>
      </w:tr>
      <w:tr>
        <w:tc>
          <w:tcPr>
            <w:tcW w:type="dxa" w:w="126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Bêta</w:t>
            </w:r>
          </w:p>
        </w:tc>
        <w:tc>
          <w:tcPr>
            <w:tcW w:type="dxa" w:w="16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Release bêta</w:t>
            </w:r>
          </w:p>
        </w:tc>
        <w:tc>
          <w:tcPr>
            <w:tcW w:type="dxa" w:w="269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Persistantes, sauvegardées</w:t>
            </w:r>
          </w:p>
        </w:tc>
        <w:tc>
          <w:tcPr>
            <w:tcW w:type="dxa" w:w="379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Approbation, fenêtre de déploiement, rollback préparé</w:t>
            </w:r>
          </w:p>
        </w:tc>
      </w:tr>
    </w:tbl>
    <w:p>
      <w:pPr>
        <w:spacing w:after="20"/>
      </w:pPr>
    </w:p>
    <w:p>
      <w:pPr>
        <w:keepLines/>
        <w:spacing w:after="100" w:line="276" w:lineRule="auto"/>
        <w:jc w:val="left"/>
      </w:pPr>
      <w:r>
        <w:rPr>
          <w:rFonts w:ascii="Georgia" w:hAnsi="Georgia"/>
          <w:b w:val="0"/>
          <w:i w:val="0"/>
          <w:color w:val="1C2027"/>
          <w:sz w:val="20"/>
        </w:rPr>
        <w:t>La configuration non sensible est injectée par variables d’environnement versionnées dans un manifeste par environnement. Les secrets restent dans GitHub Environments ou dans un coffre externe. Les chaînes de connexion, clés de signature et secrets interservices ne sont jamais placés dans les fichiers Compose versionnés.</w:t>
      </w:r>
    </w:p>
    <w:p>
      <w:pPr>
        <w:keepLines/>
        <w:spacing w:after="100" w:line="276" w:lineRule="auto"/>
        <w:jc w:val="left"/>
      </w:pPr>
      <w:r>
        <w:rPr>
          <w:rFonts w:ascii="Georgia" w:hAnsi="Georgia"/>
          <w:b w:val="0"/>
          <w:i w:val="0"/>
          <w:color w:val="1C2027"/>
          <w:sz w:val="20"/>
        </w:rPr>
        <w:t>Chaque service expose au minimum :</w:t>
      </w:r>
    </w:p>
    <w:p>
      <w:pPr>
        <w:keepLines/>
        <w:spacing w:after="100" w:line="276" w:lineRule="auto"/>
        <w:jc w:val="left"/>
        <w:numPr>
          <w:ilvl w:val="0"/>
          <w:numId w:val="1"/>
        </w:numPr>
      </w:pPr>
      <w:r>
        <w:rPr>
          <w:rFonts w:ascii="Consolas" w:hAnsi="Consolas"/>
          <w:b w:val="0"/>
          <w:i w:val="0"/>
          <w:color w:val="1C2027"/>
          <w:sz w:val="18"/>
        </w:rPr>
        <w:t>/health/live</w:t>
      </w:r>
      <w:r>
        <w:rPr>
          <w:rFonts w:ascii="Georgia" w:hAnsi="Georgia"/>
          <w:b w:val="0"/>
          <w:i w:val="0"/>
          <w:color w:val="1C2027"/>
          <w:sz w:val="20"/>
        </w:rPr>
        <w:t xml:space="preserve"> pour vérifier le processus ;</w:t>
      </w:r>
    </w:p>
    <w:p>
      <w:pPr>
        <w:keepLines/>
        <w:spacing w:after="100" w:line="276" w:lineRule="auto"/>
        <w:jc w:val="left"/>
        <w:numPr>
          <w:ilvl w:val="0"/>
          <w:numId w:val="1"/>
        </w:numPr>
      </w:pPr>
      <w:r>
        <w:rPr>
          <w:rFonts w:ascii="Consolas" w:hAnsi="Consolas"/>
          <w:b w:val="0"/>
          <w:i w:val="0"/>
          <w:color w:val="1C2027"/>
          <w:sz w:val="18"/>
        </w:rPr>
        <w:t>/health/ready</w:t>
      </w:r>
      <w:r>
        <w:rPr>
          <w:rFonts w:ascii="Georgia" w:hAnsi="Georgia"/>
          <w:b w:val="0"/>
          <w:i w:val="0"/>
          <w:color w:val="1C2027"/>
          <w:sz w:val="20"/>
        </w:rPr>
        <w:t xml:space="preserve"> pour vérifier les dépendances nécessaires ;</w:t>
      </w:r>
    </w:p>
    <w:p>
      <w:pPr>
        <w:keepLines/>
        <w:spacing w:after="100" w:line="276" w:lineRule="auto"/>
        <w:jc w:val="left"/>
        <w:numPr>
          <w:ilvl w:val="0"/>
          <w:numId w:val="1"/>
        </w:numPr>
      </w:pPr>
      <w:r>
        <w:rPr>
          <w:rFonts w:ascii="Consolas" w:hAnsi="Consolas"/>
          <w:b w:val="0"/>
          <w:i w:val="0"/>
          <w:color w:val="1C2027"/>
          <w:sz w:val="18"/>
        </w:rPr>
        <w:t>/version</w:t>
      </w:r>
      <w:r>
        <w:rPr>
          <w:rFonts w:ascii="Georgia" w:hAnsi="Georgia"/>
          <w:b w:val="0"/>
          <w:i w:val="0"/>
          <w:color w:val="1C2027"/>
          <w:sz w:val="20"/>
        </w:rPr>
        <w:t xml:space="preserve"> pour exposer version, commit et digest ;</w:t>
      </w:r>
    </w:p>
    <w:p>
      <w:pPr>
        <w:keepLines/>
        <w:spacing w:after="100" w:line="276" w:lineRule="auto"/>
        <w:jc w:val="left"/>
        <w:numPr>
          <w:ilvl w:val="0"/>
          <w:numId w:val="1"/>
        </w:numPr>
      </w:pPr>
      <w:r>
        <w:rPr>
          <w:rFonts w:ascii="Georgia" w:hAnsi="Georgia"/>
          <w:b w:val="0"/>
          <w:i w:val="0"/>
          <w:color w:val="1C2027"/>
          <w:sz w:val="20"/>
        </w:rPr>
        <w:t>des logs JSON avec identifiant de corrélation ;</w:t>
      </w:r>
    </w:p>
    <w:p>
      <w:pPr>
        <w:keepLines/>
        <w:spacing w:after="100" w:line="276" w:lineRule="auto"/>
        <w:jc w:val="left"/>
        <w:numPr>
          <w:ilvl w:val="0"/>
          <w:numId w:val="1"/>
        </w:numPr>
      </w:pPr>
      <w:r>
        <w:rPr>
          <w:rFonts w:ascii="Georgia" w:hAnsi="Georgia"/>
          <w:b w:val="0"/>
          <w:i w:val="0"/>
          <w:color w:val="1C2027"/>
          <w:sz w:val="20"/>
        </w:rPr>
        <w:t>des métriques et traces OpenTelemetry exportables.</w:t>
      </w:r>
    </w:p>
    <w:p>
      <w:pPr>
        <w:keepNext/>
        <w:spacing w:before="280" w:after="80"/>
      </w:pPr>
      <w:r>
        <w:rPr>
          <w:rFonts w:ascii="Georgia" w:hAnsi="Georgia"/>
          <w:b/>
          <w:i w:val="0"/>
          <w:caps/>
          <w:color w:val="8997AA"/>
          <w:sz w:val="16"/>
        </w:rPr>
        <w:t>09    SECTION</w:t>
      </w:r>
    </w:p>
    <w:p>
      <w:pPr>
        <w:pStyle w:val="Heading1"/>
        <w:keepNext/>
        <w:spacing w:after="180"/>
      </w:pPr>
      <w:r>
        <w:rPr>
          <w:rFonts w:ascii="Georgia" w:hAnsi="Georgia"/>
          <w:b/>
          <w:i w:val="0"/>
          <w:color w:val="1C2027"/>
          <w:sz w:val="38"/>
        </w:rPr>
        <w:t>Déploiement et migrations</w:t>
      </w:r>
    </w:p>
    <w:p>
      <w:pPr>
        <w:keepNext/>
        <w:jc w:val="center"/>
      </w:pPr>
      <w:r>
        <w:drawing>
          <wp:inline xmlns:wp="http://schemas.openxmlformats.org/drawingml/2006/wordprocessingDrawing" xmlns:a="http://schemas.openxmlformats.org/drawingml/2006/main" xmlns:pic="http://schemas.openxmlformats.org/drawingml/2006/picture">
            <wp:extent cx="5806440" cy="3354098"/>
            <wp:docPr id="2" name="Picture 2" descr="Séquence contrôlée de déploiement et de migration" title="Séquence contrôlée de déploiement et de migration"/>
            <wp:cNvGraphicFramePr>
              <a:graphicFrameLocks noChangeAspect="1"/>
            </wp:cNvGraphicFramePr>
            <a:graphic>
              <a:graphicData uri="http://schemas.openxmlformats.org/drawingml/2006/picture">
                <pic:pic>
                  <pic:nvPicPr>
                    <pic:cNvPr id="0" name="deployment-sequence.png"/>
                    <pic:cNvPicPr/>
                  </pic:nvPicPr>
                  <pic:blipFill>
                    <a:blip r:embed="rId8"/>
                    <a:stretch>
                      <a:fillRect/>
                    </a:stretch>
                  </pic:blipFill>
                  <pic:spPr>
                    <a:xfrm>
                      <a:off x="0" y="0"/>
                      <a:ext cx="5806440" cy="3354098"/>
                    </a:xfrm>
                    <a:prstGeom prst="rect"/>
                  </pic:spPr>
                </pic:pic>
              </a:graphicData>
            </a:graphic>
          </wp:inline>
        </w:drawing>
      </w:r>
    </w:p>
    <w:p>
      <w:pPr>
        <w:spacing w:before="40" w:after="160"/>
        <w:jc w:val="center"/>
      </w:pPr>
      <w:r>
        <w:rPr>
          <w:rFonts w:ascii="Georgia" w:hAnsi="Georgia"/>
          <w:b w:val="0"/>
          <w:i/>
          <w:color w:val="8997AA"/>
          <w:sz w:val="16"/>
        </w:rPr>
        <w:t>Séquence contrôlée de déploiement et de migration</w:t>
      </w:r>
    </w:p>
    <w:p>
      <w:pPr>
        <w:pStyle w:val="Heading2"/>
        <w:keepNext/>
        <w:spacing w:before="200" w:after="100"/>
      </w:pPr>
      <w:r>
        <w:rPr>
          <w:rFonts w:ascii="Georgia" w:hAnsi="Georgia"/>
          <w:b/>
          <w:i w:val="0"/>
          <w:color w:val="525C6C"/>
          <w:sz w:val="26"/>
        </w:rPr>
        <w:t>9.1 Séquence nominale</w:t>
      </w:r>
    </w:p>
    <w:p>
      <w:pPr>
        <w:keepLines/>
        <w:spacing w:after="100" w:line="276" w:lineRule="auto"/>
        <w:jc w:val="left"/>
        <w:numPr>
          <w:ilvl w:val="0"/>
          <w:numId w:val="4"/>
        </w:numPr>
      </w:pPr>
      <w:r>
        <w:rPr>
          <w:rFonts w:ascii="Georgia" w:hAnsi="Georgia"/>
          <w:b w:val="0"/>
          <w:i w:val="0"/>
          <w:color w:val="1C2027"/>
          <w:sz w:val="20"/>
        </w:rPr>
        <w:t>Résoudre et vérifier les digests du manifeste de release.</w:t>
      </w:r>
    </w:p>
    <w:p>
      <w:pPr>
        <w:keepLines/>
        <w:spacing w:after="100" w:line="276" w:lineRule="auto"/>
        <w:jc w:val="left"/>
        <w:numPr>
          <w:ilvl w:val="0"/>
          <w:numId w:val="4"/>
        </w:numPr>
      </w:pPr>
      <w:r>
        <w:rPr>
          <w:rFonts w:ascii="Georgia" w:hAnsi="Georgia"/>
          <w:b w:val="0"/>
          <w:i w:val="0"/>
          <w:color w:val="1C2027"/>
          <w:sz w:val="20"/>
        </w:rPr>
        <w:t>Vérifier signatures, attestations, SBOM et résultats de qualification.</w:t>
      </w:r>
    </w:p>
    <w:p>
      <w:pPr>
        <w:keepLines/>
        <w:spacing w:after="100" w:line="276" w:lineRule="auto"/>
        <w:jc w:val="left"/>
        <w:numPr>
          <w:ilvl w:val="0"/>
          <w:numId w:val="4"/>
        </w:numPr>
      </w:pPr>
      <w:r>
        <w:rPr>
          <w:rFonts w:ascii="Georgia" w:hAnsi="Georgia"/>
          <w:b w:val="0"/>
          <w:i w:val="0"/>
          <w:color w:val="1C2027"/>
          <w:sz w:val="20"/>
        </w:rPr>
        <w:t>Acquérir le verrou exclusif de l’environnement.</w:t>
      </w:r>
    </w:p>
    <w:p>
      <w:pPr>
        <w:keepLines/>
        <w:spacing w:after="100" w:line="276" w:lineRule="auto"/>
        <w:jc w:val="left"/>
        <w:numPr>
          <w:ilvl w:val="0"/>
          <w:numId w:val="4"/>
        </w:numPr>
      </w:pPr>
      <w:r>
        <w:rPr>
          <w:rFonts w:ascii="Georgia" w:hAnsi="Georgia"/>
          <w:b w:val="0"/>
          <w:i w:val="0"/>
          <w:color w:val="1C2027"/>
          <w:sz w:val="20"/>
        </w:rPr>
        <w:t>Vérifier espace disque, santé PostgreSQL et capacité de sauvegarde.</w:t>
      </w:r>
    </w:p>
    <w:p>
      <w:pPr>
        <w:keepLines/>
        <w:spacing w:after="100" w:line="276" w:lineRule="auto"/>
        <w:jc w:val="left"/>
        <w:numPr>
          <w:ilvl w:val="0"/>
          <w:numId w:val="4"/>
        </w:numPr>
      </w:pPr>
      <w:r>
        <w:rPr>
          <w:rFonts w:ascii="Georgia" w:hAnsi="Georgia"/>
          <w:b w:val="0"/>
          <w:i w:val="0"/>
          <w:color w:val="1C2027"/>
          <w:sz w:val="20"/>
        </w:rPr>
        <w:t>Sauvegarder les trois bases et tester la présence des fichiers produits.</w:t>
      </w:r>
    </w:p>
    <w:p>
      <w:pPr>
        <w:keepLines/>
        <w:spacing w:after="100" w:line="276" w:lineRule="auto"/>
        <w:jc w:val="left"/>
        <w:numPr>
          <w:ilvl w:val="0"/>
          <w:numId w:val="4"/>
        </w:numPr>
      </w:pPr>
      <w:r>
        <w:rPr>
          <w:rFonts w:ascii="Georgia" w:hAnsi="Georgia"/>
          <w:b w:val="0"/>
          <w:i w:val="0"/>
          <w:color w:val="1C2027"/>
          <w:sz w:val="20"/>
        </w:rPr>
        <w:t>Exécuter les migrations EF en mode dry-run ou script revu, puis appliquer les bundles.</w:t>
      </w:r>
    </w:p>
    <w:p>
      <w:pPr>
        <w:keepLines/>
        <w:spacing w:after="100" w:line="276" w:lineRule="auto"/>
        <w:jc w:val="left"/>
        <w:numPr>
          <w:ilvl w:val="0"/>
          <w:numId w:val="4"/>
        </w:numPr>
      </w:pPr>
      <w:r>
        <w:rPr>
          <w:rFonts w:ascii="Georgia" w:hAnsi="Georgia"/>
          <w:b w:val="0"/>
          <w:i w:val="0"/>
          <w:color w:val="1C2027"/>
          <w:sz w:val="20"/>
        </w:rPr>
        <w:t>Déployer les nouvelles images avec leurs digests.</w:t>
      </w:r>
    </w:p>
    <w:p>
      <w:pPr>
        <w:keepLines/>
        <w:spacing w:after="100" w:line="276" w:lineRule="auto"/>
        <w:jc w:val="left"/>
        <w:numPr>
          <w:ilvl w:val="0"/>
          <w:numId w:val="4"/>
        </w:numPr>
      </w:pPr>
      <w:r>
        <w:rPr>
          <w:rFonts w:ascii="Georgia" w:hAnsi="Georgia"/>
          <w:b w:val="0"/>
          <w:i w:val="0"/>
          <w:color w:val="1C2027"/>
          <w:sz w:val="20"/>
        </w:rPr>
        <w:t>Attendre les readiness checks et la stabilisation des dépendances.</w:t>
      </w:r>
    </w:p>
    <w:p>
      <w:pPr>
        <w:keepLines/>
        <w:spacing w:after="100" w:line="276" w:lineRule="auto"/>
        <w:jc w:val="left"/>
        <w:numPr>
          <w:ilvl w:val="0"/>
          <w:numId w:val="4"/>
        </w:numPr>
      </w:pPr>
      <w:r>
        <w:rPr>
          <w:rFonts w:ascii="Georgia" w:hAnsi="Georgia"/>
          <w:b w:val="0"/>
          <w:i w:val="0"/>
          <w:color w:val="1C2027"/>
          <w:sz w:val="20"/>
        </w:rPr>
        <w:t>Exécuter les smoke tests et le parcours E2E critique.</w:t>
      </w:r>
    </w:p>
    <w:p>
      <w:pPr>
        <w:keepLines/>
        <w:spacing w:after="100" w:line="276" w:lineRule="auto"/>
        <w:jc w:val="left"/>
        <w:numPr>
          <w:ilvl w:val="0"/>
          <w:numId w:val="4"/>
        </w:numPr>
      </w:pPr>
      <w:r>
        <w:rPr>
          <w:rFonts w:ascii="Georgia" w:hAnsi="Georgia"/>
          <w:b w:val="0"/>
          <w:i w:val="0"/>
          <w:color w:val="1C2027"/>
          <w:sz w:val="20"/>
        </w:rPr>
        <w:t>Enregistrer le manifeste actif et lever le verrou.</w:t>
      </w:r>
    </w:p>
    <w:p>
      <w:pPr>
        <w:pStyle w:val="Heading2"/>
        <w:keepNext/>
        <w:spacing w:before="200" w:after="100"/>
      </w:pPr>
      <w:r>
        <w:rPr>
          <w:rFonts w:ascii="Georgia" w:hAnsi="Georgia"/>
          <w:b/>
          <w:i w:val="0"/>
          <w:color w:val="525C6C"/>
          <w:sz w:val="26"/>
        </w:rPr>
        <w:t>9.2 Politique EF Core</w:t>
      </w:r>
    </w:p>
    <w:p>
      <w:pPr>
        <w:keepLines/>
        <w:spacing w:after="100" w:line="276" w:lineRule="auto"/>
        <w:jc w:val="left"/>
      </w:pPr>
      <w:r>
        <w:rPr>
          <w:rFonts w:ascii="Georgia" w:hAnsi="Georgia"/>
          <w:b w:val="0"/>
          <w:i w:val="0"/>
          <w:color w:val="1C2027"/>
          <w:sz w:val="20"/>
        </w:rPr>
        <w:t>Un bundle de migration distinct est produit pour Game Engine, Player et Catalog. La CI vérifie qu’un changement de snapshot EF est accompagné d’une migration et qu’une base vide comme une base issue de la version précédente atteignent le même modèle attendu.</w:t>
      </w:r>
    </w:p>
    <w:p>
      <w:pPr>
        <w:keepLines/>
        <w:spacing w:after="100" w:line="276" w:lineRule="auto"/>
        <w:jc w:val="left"/>
      </w:pPr>
      <w:r>
        <w:rPr>
          <w:rFonts w:ascii="Georgia" w:hAnsi="Georgia"/>
          <w:b w:val="0"/>
          <w:i w:val="0"/>
          <w:color w:val="1C2027"/>
          <w:sz w:val="20"/>
        </w:rPr>
        <w:t xml:space="preserve">Les scripts SQL idempotents sont conservés pour revue et diagnostic. Aucune commande </w:t>
      </w:r>
      <w:r>
        <w:rPr>
          <w:rFonts w:ascii="Consolas" w:hAnsi="Consolas"/>
          <w:b w:val="0"/>
          <w:i w:val="0"/>
          <w:color w:val="1C2027"/>
          <w:sz w:val="18"/>
        </w:rPr>
        <w:t>database update</w:t>
      </w:r>
      <w:r>
        <w:rPr>
          <w:rFonts w:ascii="Georgia" w:hAnsi="Georgia"/>
          <w:b w:val="0"/>
          <w:i w:val="0"/>
          <w:color w:val="1C2027"/>
          <w:sz w:val="20"/>
        </w:rPr>
        <w:t xml:space="preserve"> exécutée depuis un poste développeur ne fait partie du processus de déploiement.</w:t>
      </w:r>
    </w:p>
    <w:p>
      <w:pPr>
        <w:pStyle w:val="Heading2"/>
        <w:keepNext/>
        <w:spacing w:before="200" w:after="100"/>
      </w:pPr>
      <w:r>
        <w:rPr>
          <w:rFonts w:ascii="Georgia" w:hAnsi="Georgia"/>
          <w:b/>
          <w:i w:val="0"/>
          <w:color w:val="525C6C"/>
          <w:sz w:val="26"/>
        </w:rPr>
        <w:t>9.3 Retour arrière</w:t>
      </w:r>
    </w:p>
    <w:p>
      <w:pPr>
        <w:keepLines/>
        <w:spacing w:after="100" w:line="276" w:lineRule="auto"/>
        <w:jc w:val="left"/>
      </w:pPr>
      <w:r>
        <w:rPr>
          <w:rFonts w:ascii="Georgia" w:hAnsi="Georgia"/>
          <w:b w:val="0"/>
          <w:i w:val="0"/>
          <w:color w:val="1C2027"/>
          <w:sz w:val="20"/>
        </w:rPr>
        <w:t xml:space="preserve">Le rollback applicatif redéploie les digests du dernier manifeste sain. Les migrations destructrices sont interdites dans la même release que la suppression du code compatible ; elles sont découpées selon expand/contract. Aucun </w:t>
      </w:r>
      <w:r>
        <w:rPr>
          <w:rFonts w:ascii="Consolas" w:hAnsi="Consolas"/>
          <w:b w:val="0"/>
          <w:i w:val="0"/>
          <w:color w:val="1C2027"/>
          <w:sz w:val="18"/>
        </w:rPr>
        <w:t>Down()</w:t>
      </w:r>
      <w:r>
        <w:rPr>
          <w:rFonts w:ascii="Georgia" w:hAnsi="Georgia"/>
          <w:b w:val="0"/>
          <w:i w:val="0"/>
          <w:color w:val="1C2027"/>
          <w:sz w:val="20"/>
        </w:rPr>
        <w:t xml:space="preserve"> ni restauration de base n’est lancé automatiquement.</w:t>
      </w:r>
    </w:p>
    <w:p>
      <w:pPr>
        <w:keepLines/>
        <w:spacing w:after="100" w:line="276" w:lineRule="auto"/>
        <w:jc w:val="left"/>
      </w:pPr>
      <w:r>
        <w:rPr>
          <w:rFonts w:ascii="Georgia" w:hAnsi="Georgia"/>
          <w:b w:val="0"/>
          <w:i w:val="0"/>
          <w:color w:val="1C2027"/>
          <w:sz w:val="20"/>
        </w:rPr>
        <w:t>Si une migration non compatible rend le rollback applicatif impossible, le déploiement s’arrête avant promotion et exige une décision manuelle : correction en avant ou restauration contrôlée des trois bases. Le plan de restauration est testé avant l’ouverture de la bêta.</w:t>
      </w:r>
    </w:p>
    <w:p>
      <w:pPr>
        <w:keepNext/>
        <w:spacing w:before="280" w:after="80"/>
      </w:pPr>
      <w:r>
        <w:rPr>
          <w:rFonts w:ascii="Georgia" w:hAnsi="Georgia"/>
          <w:b/>
          <w:i w:val="0"/>
          <w:caps/>
          <w:color w:val="8997AA"/>
          <w:sz w:val="16"/>
        </w:rPr>
        <w:t>10    SECTION</w:t>
      </w:r>
    </w:p>
    <w:p>
      <w:pPr>
        <w:pStyle w:val="Heading1"/>
        <w:keepNext/>
        <w:spacing w:after="180"/>
      </w:pPr>
      <w:r>
        <w:rPr>
          <w:rFonts w:ascii="Georgia" w:hAnsi="Georgia"/>
          <w:b/>
          <w:i w:val="0"/>
          <w:color w:val="1C2027"/>
          <w:sz w:val="38"/>
        </w:rPr>
        <w:t>Observabilité et exploitation</w:t>
      </w:r>
    </w:p>
    <w:p>
      <w:pPr>
        <w:keepLines/>
        <w:spacing w:after="100" w:line="276" w:lineRule="auto"/>
        <w:jc w:val="left"/>
      </w:pPr>
      <w:r>
        <w:rPr>
          <w:rFonts w:ascii="Georgia" w:hAnsi="Georgia"/>
          <w:b w:val="0"/>
          <w:i w:val="0"/>
          <w:color w:val="1C2027"/>
          <w:sz w:val="20"/>
        </w:rPr>
        <w:t>La réussite d’un job GitHub ne suffit pas à valider un déploiement. La plateforme doit corréler commit, digest, version de migration et événements runtime.</w:t>
      </w:r>
    </w:p>
    <w:p>
      <w:pPr>
        <w:keepLines/>
        <w:spacing w:after="100" w:line="276" w:lineRule="auto"/>
        <w:jc w:val="left"/>
      </w:pPr>
      <w:r>
        <w:rPr>
          <w:rFonts w:ascii="Georgia" w:hAnsi="Georgia"/>
          <w:b w:val="0"/>
          <w:i w:val="0"/>
          <w:color w:val="1C2027"/>
          <w:sz w:val="20"/>
        </w:rPr>
        <w:t>Les tableaux de bord minimaux suivent : disponibilité et latence des API, taux d’erreur HTTP, connexions PostgreSQL, durée et échec des migrations, démarrages de run, reprises de run, erreurs de dialogue/combat et erreurs frontend.</w:t>
      </w:r>
    </w:p>
    <w:p>
      <w:pPr>
        <w:keepLines/>
        <w:spacing w:after="100" w:line="276" w:lineRule="auto"/>
        <w:jc w:val="left"/>
      </w:pPr>
      <w:r>
        <w:rPr>
          <w:rFonts w:ascii="Georgia" w:hAnsi="Georgia"/>
          <w:b w:val="0"/>
          <w:i w:val="0"/>
          <w:color w:val="1C2027"/>
          <w:sz w:val="20"/>
        </w:rPr>
        <w:t>Les alertes bêta doivent couvrir : service indisponible, échec répété de readiness, erreur de migration, espace disque faible, taux d’erreur anormal et sauvegarde absente. Une release dispose d’un journal indiquant l’approbateur, les digests, la durée, les migrations et le résultat des smoke tests.</w:t>
      </w:r>
    </w:p>
    <w:p>
      <w:pPr>
        <w:keepNext/>
        <w:spacing w:before="280" w:after="80"/>
      </w:pPr>
      <w:r>
        <w:rPr>
          <w:rFonts w:ascii="Georgia" w:hAnsi="Georgia"/>
          <w:b/>
          <w:i w:val="0"/>
          <w:caps/>
          <w:color w:val="8997AA"/>
          <w:sz w:val="16"/>
        </w:rPr>
        <w:t>11    SECTION</w:t>
      </w:r>
    </w:p>
    <w:p>
      <w:pPr>
        <w:pStyle w:val="Heading1"/>
        <w:keepNext/>
        <w:spacing w:after="180"/>
      </w:pPr>
      <w:r>
        <w:rPr>
          <w:rFonts w:ascii="Georgia" w:hAnsi="Georgia"/>
          <w:b/>
          <w:i w:val="0"/>
          <w:color w:val="1C2027"/>
          <w:sz w:val="38"/>
        </w:rPr>
        <w:t>Contrats de qualité et protection de branche</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277"/>
        <w:gridCol w:w="7083"/>
      </w:tblGrid>
      <w:tr>
        <w:trPr>
          <w:tblHeader w:val="true"/>
        </w:trPr>
        <w:tc>
          <w:tcPr>
            <w:tcW w:type="dxa" w:w="2277"/>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Statut requis</w:t>
            </w:r>
          </w:p>
        </w:tc>
        <w:tc>
          <w:tcPr>
            <w:tcW w:type="dxa" w:w="7083"/>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Condition de succès</w:t>
            </w:r>
          </w:p>
        </w:tc>
      </w:tr>
      <w:tr>
        <w:tc>
          <w:tcPr>
            <w:tcW w:type="dxa" w:w="227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build-dotnet</w:t>
            </w:r>
          </w:p>
        </w:tc>
        <w:tc>
          <w:tcPr>
            <w:tcW w:type="dxa" w:w="70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Restore locked et build Release sans erreur</w:t>
            </w:r>
          </w:p>
        </w:tc>
      </w:tr>
      <w:tr>
        <w:tc>
          <w:tcPr>
            <w:tcW w:type="dxa" w:w="227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test-game-engine</w:t>
            </w:r>
          </w:p>
        </w:tc>
        <w:tc>
          <w:tcPr>
            <w:tcW w:type="dxa" w:w="708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Tous tests verts, couverture Game Engine ≥ 80 %</w:t>
            </w:r>
          </w:p>
        </w:tc>
      </w:tr>
      <w:tr>
        <w:tc>
          <w:tcPr>
            <w:tcW w:type="dxa" w:w="227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test-player</w:t>
            </w:r>
          </w:p>
        </w:tc>
        <w:tc>
          <w:tcPr>
            <w:tcW w:type="dxa" w:w="70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Tous tests verts, couverture Player ≥ 80 %</w:t>
            </w:r>
          </w:p>
        </w:tc>
      </w:tr>
      <w:tr>
        <w:tc>
          <w:tcPr>
            <w:tcW w:type="dxa" w:w="227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test-catalog</w:t>
            </w:r>
          </w:p>
        </w:tc>
        <w:tc>
          <w:tcPr>
            <w:tcW w:type="dxa" w:w="708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Tous tests verts, couverture Catalog ≥ 80 %</w:t>
            </w:r>
          </w:p>
        </w:tc>
      </w:tr>
      <w:tr>
        <w:tc>
          <w:tcPr>
            <w:tcW w:type="dxa" w:w="227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test-shared</w:t>
            </w:r>
          </w:p>
        </w:tc>
        <w:tc>
          <w:tcPr>
            <w:tcW w:type="dxa" w:w="70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Tous tests verts, couverture Shared ≥ 80 %</w:t>
            </w:r>
          </w:p>
        </w:tc>
      </w:tr>
      <w:tr>
        <w:tc>
          <w:tcPr>
            <w:tcW w:type="dxa" w:w="227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test-client</w:t>
            </w:r>
          </w:p>
        </w:tc>
        <w:tc>
          <w:tcPr>
            <w:tcW w:type="dxa" w:w="708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Typecheck, Vitest et build verts, couverture ≥ 80 %</w:t>
            </w:r>
          </w:p>
        </w:tc>
      </w:tr>
      <w:tr>
        <w:tc>
          <w:tcPr>
            <w:tcW w:type="dxa" w:w="227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test-e2e</w:t>
            </w:r>
          </w:p>
        </w:tc>
        <w:tc>
          <w:tcPr>
            <w:tcW w:type="dxa" w:w="70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Parcours critiques Playwright verts</w:t>
            </w:r>
          </w:p>
        </w:tc>
      </w:tr>
      <w:tr>
        <w:tc>
          <w:tcPr>
            <w:tcW w:type="dxa" w:w="227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security</w:t>
            </w:r>
          </w:p>
        </w:tc>
        <w:tc>
          <w:tcPr>
            <w:tcW w:type="dxa" w:w="708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Aucun finding bloquant non accepté</w:t>
            </w:r>
          </w:p>
        </w:tc>
      </w:tr>
      <w:tr>
        <w:tc>
          <w:tcPr>
            <w:tcW w:type="dxa" w:w="227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migration-check</w:t>
            </w:r>
          </w:p>
        </w:tc>
        <w:tc>
          <w:tcPr>
            <w:tcW w:type="dxa" w:w="708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Snapshots synchronisés et migrations testées</w:t>
            </w:r>
          </w:p>
        </w:tc>
      </w:tr>
      <w:tr>
        <w:tc>
          <w:tcPr>
            <w:tcW w:type="dxa" w:w="227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ci-required</w:t>
            </w:r>
          </w:p>
        </w:tc>
        <w:tc>
          <w:tcPr>
            <w:tcW w:type="dxa" w:w="708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Agrégation de tous les statuts applicables</w:t>
            </w:r>
          </w:p>
        </w:tc>
      </w:tr>
    </w:tbl>
    <w:p>
      <w:pPr>
        <w:spacing w:after="20"/>
      </w:pPr>
    </w:p>
    <w:p>
      <w:pPr>
        <w:keepLines/>
        <w:spacing w:after="100" w:line="276" w:lineRule="auto"/>
        <w:jc w:val="left"/>
      </w:pPr>
      <w:r>
        <w:rPr>
          <w:rFonts w:ascii="Georgia" w:hAnsi="Georgia"/>
          <w:b w:val="0"/>
          <w:i w:val="0"/>
          <w:color w:val="1C2027"/>
          <w:sz w:val="20"/>
        </w:rPr>
        <w:t>Une modification documentaire seule peut éviter les builds lourds, mais conserve les contrôles de structure et de liens. Une modification d’un workflow exécute systématiquement la CI complète avant fusion.</w:t>
      </w:r>
    </w:p>
    <w:p>
      <w:pPr>
        <w:keepNext/>
        <w:spacing w:before="280" w:after="80"/>
      </w:pPr>
      <w:r>
        <w:rPr>
          <w:rFonts w:ascii="Georgia" w:hAnsi="Georgia"/>
          <w:b/>
          <w:i w:val="0"/>
          <w:caps/>
          <w:color w:val="8997AA"/>
          <w:sz w:val="16"/>
        </w:rPr>
        <w:t>12    SECTION</w:t>
      </w:r>
    </w:p>
    <w:p>
      <w:pPr>
        <w:pStyle w:val="Heading1"/>
        <w:keepNext/>
        <w:spacing w:after="180"/>
      </w:pPr>
      <w:r>
        <w:rPr>
          <w:rFonts w:ascii="Georgia" w:hAnsi="Georgia"/>
          <w:b/>
          <w:i w:val="0"/>
          <w:color w:val="1C2027"/>
          <w:sz w:val="38"/>
        </w:rPr>
        <w:t>Plan de mise en œuvre</w:t>
      </w:r>
    </w:p>
    <w:p>
      <w:pPr>
        <w:pStyle w:val="Heading2"/>
        <w:keepNext/>
        <w:spacing w:before="200" w:after="100"/>
      </w:pPr>
      <w:r>
        <w:rPr>
          <w:rFonts w:ascii="Georgia" w:hAnsi="Georgia"/>
          <w:b/>
          <w:i w:val="0"/>
          <w:color w:val="525C6C"/>
          <w:sz w:val="26"/>
        </w:rPr>
        <w:t>12.1 Lot A — Mesure et remise à plat</w:t>
      </w:r>
    </w:p>
    <w:p>
      <w:pPr>
        <w:keepLines/>
        <w:spacing w:after="100" w:line="276" w:lineRule="auto"/>
        <w:jc w:val="left"/>
        <w:numPr>
          <w:ilvl w:val="0"/>
          <w:numId w:val="1"/>
        </w:numPr>
      </w:pPr>
      <w:r>
        <w:rPr>
          <w:rFonts w:ascii="Georgia" w:hAnsi="Georgia"/>
          <w:b w:val="0"/>
          <w:i w:val="0"/>
          <w:color w:val="1C2027"/>
          <w:sz w:val="20"/>
        </w:rPr>
        <w:t>Inventorier toutes les suites, tests ignorés, durées et causes d’échec.</w:t>
      </w:r>
    </w:p>
    <w:p>
      <w:pPr>
        <w:keepLines/>
        <w:spacing w:after="100" w:line="276" w:lineRule="auto"/>
        <w:jc w:val="left"/>
        <w:numPr>
          <w:ilvl w:val="0"/>
          <w:numId w:val="1"/>
        </w:numPr>
      </w:pPr>
      <w:r>
        <w:rPr>
          <w:rFonts w:ascii="Georgia" w:hAnsi="Georgia"/>
          <w:b w:val="0"/>
          <w:i w:val="0"/>
          <w:color w:val="1C2027"/>
          <w:sz w:val="20"/>
        </w:rPr>
        <w:t>Normaliser les versions de runners et collecteurs de couverture.</w:t>
      </w:r>
    </w:p>
    <w:p>
      <w:pPr>
        <w:keepLines/>
        <w:spacing w:after="100" w:line="276" w:lineRule="auto"/>
        <w:jc w:val="left"/>
        <w:numPr>
          <w:ilvl w:val="0"/>
          <w:numId w:val="1"/>
        </w:numPr>
      </w:pPr>
      <w:r>
        <w:rPr>
          <w:rFonts w:ascii="Georgia" w:hAnsi="Georgia"/>
          <w:b w:val="0"/>
          <w:i w:val="0"/>
          <w:color w:val="1C2027"/>
          <w:sz w:val="20"/>
        </w:rPr>
        <w:t xml:space="preserve">Ajouter </w:t>
      </w:r>
      <w:r>
        <w:rPr>
          <w:rFonts w:ascii="Consolas" w:hAnsi="Consolas"/>
          <w:b w:val="0"/>
          <w:i w:val="0"/>
          <w:color w:val="1C2027"/>
          <w:sz w:val="18"/>
        </w:rPr>
        <w:t>global.json</w:t>
      </w:r>
      <w:r>
        <w:rPr>
          <w:rFonts w:ascii="Georgia" w:hAnsi="Georgia"/>
          <w:b w:val="0"/>
          <w:i w:val="0"/>
          <w:color w:val="1C2027"/>
          <w:sz w:val="20"/>
        </w:rPr>
        <w:t>, configuration de couverture et scripts reproductibles locaux.</w:t>
      </w:r>
    </w:p>
    <w:p>
      <w:pPr>
        <w:keepLines/>
        <w:spacing w:after="100" w:line="276" w:lineRule="auto"/>
        <w:jc w:val="left"/>
        <w:numPr>
          <w:ilvl w:val="0"/>
          <w:numId w:val="1"/>
        </w:numPr>
      </w:pPr>
      <w:r>
        <w:rPr>
          <w:rFonts w:ascii="Georgia" w:hAnsi="Georgia"/>
          <w:b w:val="0"/>
          <w:i w:val="0"/>
          <w:color w:val="1C2027"/>
          <w:sz w:val="20"/>
        </w:rPr>
        <w:t>Produire la baseline par service sans masquer les échecs.</w:t>
      </w:r>
    </w:p>
    <w:p>
      <w:pPr>
        <w:pStyle w:val="Heading2"/>
        <w:keepNext/>
        <w:spacing w:before="200" w:after="100"/>
      </w:pPr>
      <w:r>
        <w:rPr>
          <w:rFonts w:ascii="Georgia" w:hAnsi="Georgia"/>
          <w:b/>
          <w:i w:val="0"/>
          <w:color w:val="525C6C"/>
          <w:sz w:val="26"/>
        </w:rPr>
        <w:t>12.2 Lot B — CI contraignante</w:t>
      </w:r>
    </w:p>
    <w:p>
      <w:pPr>
        <w:keepLines/>
        <w:spacing w:after="100" w:line="276" w:lineRule="auto"/>
        <w:jc w:val="left"/>
        <w:numPr>
          <w:ilvl w:val="0"/>
          <w:numId w:val="1"/>
        </w:numPr>
      </w:pPr>
      <w:r>
        <w:rPr>
          <w:rFonts w:ascii="Georgia" w:hAnsi="Georgia"/>
          <w:b w:val="0"/>
          <w:i w:val="0"/>
          <w:color w:val="1C2027"/>
          <w:sz w:val="20"/>
        </w:rPr>
        <w:t>Créer les workflows réutilisables et la détection monorepo.</w:t>
      </w:r>
    </w:p>
    <w:p>
      <w:pPr>
        <w:keepLines/>
        <w:spacing w:after="100" w:line="276" w:lineRule="auto"/>
        <w:jc w:val="left"/>
        <w:numPr>
          <w:ilvl w:val="0"/>
          <w:numId w:val="1"/>
        </w:numPr>
      </w:pPr>
      <w:r>
        <w:rPr>
          <w:rFonts w:ascii="Georgia" w:hAnsi="Georgia"/>
          <w:b w:val="0"/>
          <w:i w:val="0"/>
          <w:color w:val="1C2027"/>
          <w:sz w:val="20"/>
        </w:rPr>
        <w:t>Réparer les tests jusqu’à zéro échec.</w:t>
      </w:r>
    </w:p>
    <w:p>
      <w:pPr>
        <w:keepLines/>
        <w:spacing w:after="100" w:line="276" w:lineRule="auto"/>
        <w:jc w:val="left"/>
        <w:numPr>
          <w:ilvl w:val="0"/>
          <w:numId w:val="1"/>
        </w:numPr>
      </w:pPr>
      <w:r>
        <w:rPr>
          <w:rFonts w:ascii="Georgia" w:hAnsi="Georgia"/>
          <w:b w:val="0"/>
          <w:i w:val="0"/>
          <w:color w:val="1C2027"/>
          <w:sz w:val="20"/>
        </w:rPr>
        <w:t>Compléter les tests et relever progressivement les seuils jusqu’à 80 %.</w:t>
      </w:r>
    </w:p>
    <w:p>
      <w:pPr>
        <w:keepLines/>
        <w:spacing w:after="100" w:line="276" w:lineRule="auto"/>
        <w:jc w:val="left"/>
        <w:numPr>
          <w:ilvl w:val="0"/>
          <w:numId w:val="1"/>
        </w:numPr>
      </w:pPr>
      <w:r>
        <w:rPr>
          <w:rFonts w:ascii="Georgia" w:hAnsi="Georgia"/>
          <w:b w:val="0"/>
          <w:i w:val="0"/>
          <w:color w:val="1C2027"/>
          <w:sz w:val="20"/>
        </w:rPr>
        <w:t>Activer les protections de branche et les contrôles de sécurité.</w:t>
      </w:r>
    </w:p>
    <w:p>
      <w:pPr>
        <w:pStyle w:val="Heading2"/>
        <w:keepNext/>
        <w:spacing w:before="200" w:after="100"/>
      </w:pPr>
      <w:r>
        <w:rPr>
          <w:rFonts w:ascii="Georgia" w:hAnsi="Georgia"/>
          <w:b/>
          <w:i w:val="0"/>
          <w:color w:val="525C6C"/>
          <w:sz w:val="26"/>
        </w:rPr>
        <w:t>12.3 Lot C — Artefacts et CD</w:t>
      </w:r>
    </w:p>
    <w:p>
      <w:pPr>
        <w:keepLines/>
        <w:spacing w:after="100" w:line="276" w:lineRule="auto"/>
        <w:jc w:val="left"/>
        <w:numPr>
          <w:ilvl w:val="0"/>
          <w:numId w:val="1"/>
        </w:numPr>
      </w:pPr>
      <w:r>
        <w:rPr>
          <w:rFonts w:ascii="Georgia" w:hAnsi="Georgia"/>
          <w:b w:val="0"/>
          <w:i w:val="0"/>
          <w:color w:val="1C2027"/>
          <w:sz w:val="20"/>
        </w:rPr>
        <w:t>Créer les Dockerfiles multi-stage et le Compose de déploiement.</w:t>
      </w:r>
    </w:p>
    <w:p>
      <w:pPr>
        <w:keepLines/>
        <w:spacing w:after="100" w:line="276" w:lineRule="auto"/>
        <w:jc w:val="left"/>
        <w:numPr>
          <w:ilvl w:val="0"/>
          <w:numId w:val="1"/>
        </w:numPr>
      </w:pPr>
      <w:r>
        <w:rPr>
          <w:rFonts w:ascii="Georgia" w:hAnsi="Georgia"/>
          <w:b w:val="0"/>
          <w:i w:val="0"/>
          <w:color w:val="1C2027"/>
          <w:sz w:val="20"/>
        </w:rPr>
        <w:t>Publier les images, SBOM, attestations et bundles EF.</w:t>
      </w:r>
    </w:p>
    <w:p>
      <w:pPr>
        <w:keepLines/>
        <w:spacing w:after="100" w:line="276" w:lineRule="auto"/>
        <w:jc w:val="left"/>
        <w:numPr>
          <w:ilvl w:val="0"/>
          <w:numId w:val="1"/>
        </w:numPr>
      </w:pPr>
      <w:r>
        <w:rPr>
          <w:rFonts w:ascii="Georgia" w:hAnsi="Georgia"/>
          <w:b w:val="0"/>
          <w:i w:val="0"/>
          <w:color w:val="1C2027"/>
          <w:sz w:val="20"/>
        </w:rPr>
        <w:t>Configurer intégration, préproduction et bêta.</w:t>
      </w:r>
    </w:p>
    <w:p>
      <w:pPr>
        <w:keepLines/>
        <w:spacing w:after="100" w:line="276" w:lineRule="auto"/>
        <w:jc w:val="left"/>
        <w:numPr>
          <w:ilvl w:val="0"/>
          <w:numId w:val="1"/>
        </w:numPr>
      </w:pPr>
      <w:r>
        <w:rPr>
          <w:rFonts w:ascii="Georgia" w:hAnsi="Georgia"/>
          <w:b w:val="0"/>
          <w:i w:val="0"/>
          <w:color w:val="1C2027"/>
          <w:sz w:val="20"/>
        </w:rPr>
        <w:t>Automatiser les sauvegardes, smoke tests et rollback applicatif.</w:t>
      </w:r>
    </w:p>
    <w:p>
      <w:pPr>
        <w:keepLines/>
        <w:spacing w:after="100" w:line="276" w:lineRule="auto"/>
        <w:jc w:val="left"/>
        <w:numPr>
          <w:ilvl w:val="0"/>
          <w:numId w:val="1"/>
        </w:numPr>
      </w:pPr>
      <w:r>
        <w:rPr>
          <w:rFonts w:ascii="Georgia" w:hAnsi="Georgia"/>
          <w:b w:val="0"/>
          <w:i w:val="0"/>
          <w:color w:val="1C2027"/>
          <w:sz w:val="20"/>
        </w:rPr>
        <w:t>Réaliser un exercice complet de déploiement et de restauration.</w:t>
      </w:r>
    </w:p>
    <w:p>
      <w:pPr>
        <w:keepNext/>
        <w:spacing w:before="280" w:after="80"/>
      </w:pPr>
      <w:r>
        <w:rPr>
          <w:rFonts w:ascii="Georgia" w:hAnsi="Georgia"/>
          <w:b/>
          <w:i w:val="0"/>
          <w:caps/>
          <w:color w:val="8997AA"/>
          <w:sz w:val="16"/>
        </w:rPr>
        <w:t>13    SECTION</w:t>
      </w:r>
    </w:p>
    <w:p>
      <w:pPr>
        <w:pStyle w:val="Heading1"/>
        <w:keepNext/>
        <w:spacing w:after="180"/>
      </w:pPr>
      <w:r>
        <w:rPr>
          <w:rFonts w:ascii="Georgia" w:hAnsi="Georgia"/>
          <w:b/>
          <w:i w:val="0"/>
          <w:color w:val="1C2027"/>
          <w:sz w:val="38"/>
        </w:rPr>
        <w:t>Critères d’acceptation</w:t>
      </w:r>
    </w:p>
    <w:p>
      <w:pPr>
        <w:keepLines/>
        <w:spacing w:after="100" w:line="276" w:lineRule="auto"/>
        <w:jc w:val="left"/>
        <w:numPr>
          <w:ilvl w:val="0"/>
          <w:numId w:val="1"/>
        </w:numPr>
      </w:pPr>
      <w:r>
        <w:rPr>
          <w:rFonts w:ascii="Georgia" w:hAnsi="Georgia"/>
          <w:b w:val="0"/>
          <w:i w:val="0"/>
          <w:color w:val="1C2027"/>
          <w:sz w:val="20"/>
        </w:rPr>
        <w:t>Une pull request modifiant chaque service déclenche sa suite complète et le bon seuil de couverture.</w:t>
      </w:r>
    </w:p>
    <w:p>
      <w:pPr>
        <w:keepLines/>
        <w:spacing w:after="100" w:line="276" w:lineRule="auto"/>
        <w:jc w:val="left"/>
        <w:numPr>
          <w:ilvl w:val="0"/>
          <w:numId w:val="1"/>
        </w:numPr>
      </w:pPr>
      <w:r>
        <w:rPr>
          <w:rFonts w:ascii="Georgia" w:hAnsi="Georgia"/>
          <w:b w:val="0"/>
          <w:i w:val="0"/>
          <w:color w:val="1C2027"/>
          <w:sz w:val="20"/>
        </w:rPr>
        <w:t>Une modification de Shared Building Blocks déclenche les trois services consommateurs.</w:t>
      </w:r>
    </w:p>
    <w:p>
      <w:pPr>
        <w:keepLines/>
        <w:spacing w:after="100" w:line="276" w:lineRule="auto"/>
        <w:jc w:val="left"/>
        <w:numPr>
          <w:ilvl w:val="0"/>
          <w:numId w:val="1"/>
        </w:numPr>
      </w:pPr>
      <w:r>
        <w:rPr>
          <w:rFonts w:ascii="Georgia" w:hAnsi="Georgia"/>
          <w:b w:val="0"/>
          <w:i w:val="0"/>
          <w:color w:val="1C2027"/>
          <w:sz w:val="20"/>
        </w:rPr>
        <w:t>Toutes les unités atteignent 80 % selon les métriques définies.</w:t>
      </w:r>
    </w:p>
    <w:p>
      <w:pPr>
        <w:keepLines/>
        <w:spacing w:after="100" w:line="276" w:lineRule="auto"/>
        <w:jc w:val="left"/>
        <w:numPr>
          <w:ilvl w:val="0"/>
          <w:numId w:val="1"/>
        </w:numPr>
      </w:pPr>
      <w:r>
        <w:rPr>
          <w:rFonts w:ascii="Georgia" w:hAnsi="Georgia"/>
          <w:b w:val="0"/>
          <w:i w:val="0"/>
          <w:color w:val="1C2027"/>
          <w:sz w:val="20"/>
        </w:rPr>
        <w:t>Aucun test requis n’est rouge, ignoré sans justification ou instable sur trois exécutions successives.</w:t>
      </w:r>
    </w:p>
    <w:p>
      <w:pPr>
        <w:keepLines/>
        <w:spacing w:after="100" w:line="276" w:lineRule="auto"/>
        <w:jc w:val="left"/>
        <w:numPr>
          <w:ilvl w:val="0"/>
          <w:numId w:val="1"/>
        </w:numPr>
      </w:pPr>
      <w:r>
        <w:rPr>
          <w:rFonts w:ascii="Georgia" w:hAnsi="Georgia"/>
          <w:b w:val="0"/>
          <w:i w:val="0"/>
          <w:color w:val="1C2027"/>
          <w:sz w:val="20"/>
        </w:rPr>
        <w:t>Une release produit quatre images par digest, trois bundles EF, un manifeste, des SBOM et des attestations.</w:t>
      </w:r>
    </w:p>
    <w:p>
      <w:pPr>
        <w:keepLines/>
        <w:spacing w:after="100" w:line="276" w:lineRule="auto"/>
        <w:jc w:val="left"/>
        <w:numPr>
          <w:ilvl w:val="0"/>
          <w:numId w:val="1"/>
        </w:numPr>
      </w:pPr>
      <w:r>
        <w:rPr>
          <w:rFonts w:ascii="Georgia" w:hAnsi="Georgia"/>
          <w:b w:val="0"/>
          <w:i w:val="0"/>
          <w:color w:val="1C2027"/>
          <w:sz w:val="20"/>
        </w:rPr>
        <w:t xml:space="preserve">Le déploiement d’intégration est automatique après merge sur </w:t>
      </w:r>
      <w:r>
        <w:rPr>
          <w:rFonts w:ascii="Consolas" w:hAnsi="Consolas"/>
          <w:b w:val="0"/>
          <w:i w:val="0"/>
          <w:color w:val="1C2027"/>
          <w:sz w:val="18"/>
        </w:rPr>
        <w:t>develop</w:t>
      </w:r>
      <w:r>
        <w:rPr>
          <w:rFonts w:ascii="Georgia" w:hAnsi="Georgia"/>
          <w:b w:val="0"/>
          <w:i w:val="0"/>
          <w:color w:val="1C2027"/>
          <w:sz w:val="20"/>
        </w:rPr>
        <w:t>.</w:t>
      </w:r>
    </w:p>
    <w:p>
      <w:pPr>
        <w:keepLines/>
        <w:spacing w:after="100" w:line="276" w:lineRule="auto"/>
        <w:jc w:val="left"/>
        <w:numPr>
          <w:ilvl w:val="0"/>
          <w:numId w:val="1"/>
        </w:numPr>
      </w:pPr>
      <w:r>
        <w:rPr>
          <w:rFonts w:ascii="Georgia" w:hAnsi="Georgia"/>
          <w:b w:val="0"/>
          <w:i w:val="0"/>
          <w:color w:val="1C2027"/>
          <w:sz w:val="20"/>
        </w:rPr>
        <w:t>La préproduction et la bêta exigent une approbation GitHub Environment.</w:t>
      </w:r>
    </w:p>
    <w:p>
      <w:pPr>
        <w:keepLines/>
        <w:spacing w:after="100" w:line="276" w:lineRule="auto"/>
        <w:jc w:val="left"/>
        <w:numPr>
          <w:ilvl w:val="0"/>
          <w:numId w:val="1"/>
        </w:numPr>
      </w:pPr>
      <w:r>
        <w:rPr>
          <w:rFonts w:ascii="Georgia" w:hAnsi="Georgia"/>
          <w:b w:val="0"/>
          <w:i w:val="0"/>
          <w:color w:val="1C2027"/>
          <w:sz w:val="20"/>
        </w:rPr>
        <w:t>Un déploiement défectueux peut revenir au manifeste applicatif précédent.</w:t>
      </w:r>
    </w:p>
    <w:p>
      <w:pPr>
        <w:keepLines/>
        <w:spacing w:after="100" w:line="276" w:lineRule="auto"/>
        <w:jc w:val="left"/>
        <w:numPr>
          <w:ilvl w:val="0"/>
          <w:numId w:val="1"/>
        </w:numPr>
      </w:pPr>
      <w:r>
        <w:rPr>
          <w:rFonts w:ascii="Georgia" w:hAnsi="Georgia"/>
          <w:b w:val="0"/>
          <w:i w:val="0"/>
          <w:color w:val="1C2027"/>
          <w:sz w:val="20"/>
        </w:rPr>
        <w:t>Une restauration des bases a été testée et chronométrée.</w:t>
      </w:r>
    </w:p>
    <w:p>
      <w:pPr>
        <w:keepLines/>
        <w:spacing w:after="100" w:line="276" w:lineRule="auto"/>
        <w:jc w:val="left"/>
        <w:numPr>
          <w:ilvl w:val="0"/>
          <w:numId w:val="1"/>
        </w:numPr>
      </w:pPr>
      <w:r>
        <w:rPr>
          <w:rFonts w:ascii="Georgia" w:hAnsi="Georgia"/>
          <w:b w:val="0"/>
          <w:i w:val="0"/>
          <w:color w:val="1C2027"/>
          <w:sz w:val="20"/>
        </w:rPr>
        <w:t>Le parcours compte → run → exploration → combat → sauvegarde est exécutable en E2E avant l’ouverture de la bêta.</w:t>
      </w:r>
    </w:p>
    <w:p>
      <w:pPr>
        <w:keepNext/>
        <w:spacing w:before="280" w:after="80"/>
      </w:pPr>
      <w:r>
        <w:rPr>
          <w:rFonts w:ascii="Georgia" w:hAnsi="Georgia"/>
          <w:b/>
          <w:i w:val="0"/>
          <w:caps/>
          <w:color w:val="8997AA"/>
          <w:sz w:val="16"/>
        </w:rPr>
        <w:t>14    SECTION</w:t>
      </w:r>
    </w:p>
    <w:p>
      <w:pPr>
        <w:pStyle w:val="Heading1"/>
        <w:keepNext/>
        <w:spacing w:after="180"/>
      </w:pPr>
      <w:r>
        <w:rPr>
          <w:rFonts w:ascii="Georgia" w:hAnsi="Georgia"/>
          <w:b/>
          <w:i w:val="0"/>
          <w:color w:val="1C2027"/>
          <w:sz w:val="38"/>
        </w:rPr>
        <w:t>Sources techniques</w:t>
      </w:r>
    </w:p>
    <w:p>
      <w:pPr>
        <w:keepLines/>
        <w:spacing w:after="100" w:line="276" w:lineRule="auto"/>
        <w:jc w:val="left"/>
        <w:numPr>
          <w:ilvl w:val="0"/>
          <w:numId w:val="1"/>
        </w:numPr>
      </w:pPr>
      <w:r>
        <w:rPr>
          <w:rFonts w:ascii="Georgia" w:hAnsi="Georgia"/>
          <w:b w:val="0"/>
          <w:i w:val="0"/>
          <w:color w:val="1C2027"/>
          <w:sz w:val="20"/>
        </w:rPr>
        <w:t xml:space="preserve">GitHub Docs — Environments et règles de protection : </w:t>
      </w:r>
      <w:hyperlink r:id="rId9">
        <w:r>
          <w:rPr>
            <w:rFonts w:ascii="Georgia" w:hAnsi="Georgia"/>
            <w:color w:val="525C6C"/>
            <w:u w:val="single"/>
            <w:sz w:val="19"/>
          </w:rPr>
          <w:t>https://docs.github.com/actions/deployment/targeting-different-environments/using-environments-for-deployment</w:t>
        </w:r>
      </w:hyperlink>
    </w:p>
    <w:p>
      <w:pPr>
        <w:keepLines/>
        <w:spacing w:after="100" w:line="276" w:lineRule="auto"/>
        <w:jc w:val="left"/>
        <w:numPr>
          <w:ilvl w:val="0"/>
          <w:numId w:val="1"/>
        </w:numPr>
      </w:pPr>
      <w:r>
        <w:rPr>
          <w:rFonts w:ascii="Georgia" w:hAnsi="Georgia"/>
          <w:b w:val="0"/>
          <w:i w:val="0"/>
          <w:color w:val="1C2027"/>
          <w:sz w:val="20"/>
        </w:rPr>
        <w:t xml:space="preserve">GitHub Docs — OpenID Connect : </w:t>
      </w:r>
      <w:hyperlink r:id="rId10">
        <w:r>
          <w:rPr>
            <w:rFonts w:ascii="Georgia" w:hAnsi="Georgia"/>
            <w:color w:val="525C6C"/>
            <w:u w:val="single"/>
            <w:sz w:val="19"/>
          </w:rPr>
          <w:t>https://docs.github.com/actions/concepts/security/openid-connect</w:t>
        </w:r>
      </w:hyperlink>
    </w:p>
    <w:p>
      <w:pPr>
        <w:keepLines/>
        <w:spacing w:after="100" w:line="276" w:lineRule="auto"/>
        <w:jc w:val="left"/>
        <w:numPr>
          <w:ilvl w:val="0"/>
          <w:numId w:val="1"/>
        </w:numPr>
      </w:pPr>
      <w:r>
        <w:rPr>
          <w:rFonts w:ascii="Georgia" w:hAnsi="Georgia"/>
          <w:b w:val="0"/>
          <w:i w:val="0"/>
          <w:color w:val="1C2027"/>
          <w:sz w:val="20"/>
        </w:rPr>
        <w:t xml:space="preserve">GitHub Docs — Artifact attestations : </w:t>
      </w:r>
      <w:hyperlink r:id="rId11">
        <w:r>
          <w:rPr>
            <w:rFonts w:ascii="Georgia" w:hAnsi="Georgia"/>
            <w:color w:val="525C6C"/>
            <w:u w:val="single"/>
            <w:sz w:val="19"/>
          </w:rPr>
          <w:t>https://docs.github.com/actions/security-for-github-actions/using-artifact-attestations/using-artifact-attestations-to-establish-provenance-for-builds</w:t>
        </w:r>
      </w:hyperlink>
    </w:p>
    <w:p>
      <w:pPr>
        <w:keepLines/>
        <w:spacing w:after="100" w:line="276" w:lineRule="auto"/>
        <w:jc w:val="left"/>
        <w:numPr>
          <w:ilvl w:val="0"/>
          <w:numId w:val="1"/>
        </w:numPr>
      </w:pPr>
      <w:r>
        <w:rPr>
          <w:rFonts w:ascii="Georgia" w:hAnsi="Georgia"/>
          <w:b w:val="0"/>
          <w:i w:val="0"/>
          <w:color w:val="1C2027"/>
          <w:sz w:val="20"/>
        </w:rPr>
        <w:t xml:space="preserve">GitHub Docs — Sécurisation des workflows et épinglage SHA : </w:t>
      </w:r>
      <w:hyperlink r:id="rId12">
        <w:r>
          <w:rPr>
            <w:rFonts w:ascii="Georgia" w:hAnsi="Georgia"/>
            <w:color w:val="525C6C"/>
            <w:u w:val="single"/>
            <w:sz w:val="19"/>
          </w:rPr>
          <w:t>https://docs.github.com/en/actions/reference/security/secure-use</w:t>
        </w:r>
      </w:hyperlink>
    </w:p>
    <w:p>
      <w:pPr>
        <w:keepLines/>
        <w:spacing w:after="100" w:line="276" w:lineRule="auto"/>
        <w:jc w:val="left"/>
        <w:numPr>
          <w:ilvl w:val="0"/>
          <w:numId w:val="1"/>
        </w:numPr>
      </w:pPr>
      <w:r>
        <w:rPr>
          <w:rFonts w:ascii="Georgia" w:hAnsi="Georgia"/>
          <w:b w:val="0"/>
          <w:i w:val="0"/>
          <w:color w:val="1C2027"/>
          <w:sz w:val="20"/>
        </w:rPr>
        <w:t xml:space="preserve">GitHub Docs — Container Registry : </w:t>
      </w:r>
      <w:hyperlink r:id="rId13">
        <w:r>
          <w:rPr>
            <w:rFonts w:ascii="Georgia" w:hAnsi="Georgia"/>
            <w:color w:val="525C6C"/>
            <w:u w:val="single"/>
            <w:sz w:val="19"/>
          </w:rPr>
          <w:t>https://docs.github.com/packages/working-with-a-github-packages-registry/working-with-the-container-registry</w:t>
        </w:r>
      </w:hyperlink>
    </w:p>
    <w:p>
      <w:pPr>
        <w:keepLines/>
        <w:spacing w:after="100" w:line="276" w:lineRule="auto"/>
        <w:jc w:val="left"/>
        <w:numPr>
          <w:ilvl w:val="0"/>
          <w:numId w:val="1"/>
        </w:numPr>
      </w:pPr>
      <w:r>
        <w:rPr>
          <w:rFonts w:ascii="Georgia" w:hAnsi="Georgia"/>
          <w:b w:val="0"/>
          <w:i w:val="0"/>
          <w:color w:val="1C2027"/>
          <w:sz w:val="20"/>
        </w:rPr>
        <w:t xml:space="preserve">Microsoft Learn — Couverture des tests .NET : </w:t>
      </w:r>
      <w:hyperlink r:id="rId14">
        <w:r>
          <w:rPr>
            <w:rFonts w:ascii="Georgia" w:hAnsi="Georgia"/>
            <w:color w:val="525C6C"/>
            <w:u w:val="single"/>
            <w:sz w:val="19"/>
          </w:rPr>
          <w:t>https://learn.microsoft.com/en-us/dotnet/core/testing/unit-testing-code-coverage</w:t>
        </w:r>
      </w:hyperlink>
    </w:p>
    <w:p>
      <w:pPr>
        <w:keepLines/>
        <w:spacing w:after="100" w:line="276" w:lineRule="auto"/>
        <w:jc w:val="left"/>
        <w:numPr>
          <w:ilvl w:val="0"/>
          <w:numId w:val="1"/>
        </w:numPr>
      </w:pPr>
      <w:r>
        <w:rPr>
          <w:rFonts w:ascii="Georgia" w:hAnsi="Georgia"/>
          <w:b w:val="0"/>
          <w:i w:val="0"/>
          <w:color w:val="1C2027"/>
          <w:sz w:val="20"/>
        </w:rPr>
        <w:t xml:space="preserve">Microsoft Learn — Application des migrations EF Core : </w:t>
      </w:r>
      <w:hyperlink r:id="rId15">
        <w:r>
          <w:rPr>
            <w:rFonts w:ascii="Georgia" w:hAnsi="Georgia"/>
            <w:color w:val="525C6C"/>
            <w:u w:val="single"/>
            <w:sz w:val="19"/>
          </w:rPr>
          <w:t>https://learn.microsoft.com/en-us/ef/core/managing-schemas/migrations/applying</w:t>
        </w:r>
      </w:hyperlink>
    </w:p>
    <w:p>
      <w:pPr>
        <w:keepLines/>
        <w:spacing w:after="100" w:line="276" w:lineRule="auto"/>
        <w:jc w:val="left"/>
        <w:numPr>
          <w:ilvl w:val="0"/>
          <w:numId w:val="1"/>
        </w:numPr>
      </w:pPr>
      <w:r>
        <w:rPr>
          <w:rFonts w:ascii="Georgia" w:hAnsi="Georgia"/>
          <w:b w:val="0"/>
          <w:i w:val="0"/>
          <w:color w:val="1C2027"/>
          <w:sz w:val="20"/>
        </w:rPr>
        <w:t xml:space="preserve">Vitest — Seuils de couverture : </w:t>
      </w:r>
      <w:hyperlink r:id="rId16">
        <w:r>
          <w:rPr>
            <w:rFonts w:ascii="Georgia" w:hAnsi="Georgia"/>
            <w:color w:val="525C6C"/>
            <w:u w:val="single"/>
            <w:sz w:val="19"/>
          </w:rPr>
          <w:t>https://vitest.dev/config/coverage</w:t>
        </w:r>
      </w:hyperlink>
    </w:p>
    <w:p>
      <w:pPr>
        <w:keepLines/>
        <w:spacing w:after="100" w:line="276" w:lineRule="auto"/>
        <w:jc w:val="left"/>
        <w:numPr>
          <w:ilvl w:val="0"/>
          <w:numId w:val="1"/>
        </w:numPr>
      </w:pPr>
      <w:r>
        <w:rPr>
          <w:rFonts w:ascii="Georgia" w:hAnsi="Georgia"/>
          <w:b w:val="0"/>
          <w:i w:val="0"/>
          <w:color w:val="1C2027"/>
          <w:sz w:val="20"/>
        </w:rPr>
        <w:t xml:space="preserve">Playwright — Exécution en CI : </w:t>
      </w:r>
      <w:hyperlink r:id="rId17">
        <w:r>
          <w:rPr>
            <w:rFonts w:ascii="Georgia" w:hAnsi="Georgia"/>
            <w:color w:val="525C6C"/>
            <w:u w:val="single"/>
            <w:sz w:val="19"/>
          </w:rPr>
          <w:t>https://playwright.dev/docs/ci</w:t>
        </w:r>
      </w:hyperlink>
    </w:p>
    <w:p>
      <w:pPr>
        <w:keepLines/>
        <w:spacing w:after="100" w:line="276" w:lineRule="auto"/>
        <w:jc w:val="left"/>
        <w:numPr>
          <w:ilvl w:val="0"/>
          <w:numId w:val="1"/>
        </w:numPr>
      </w:pPr>
      <w:r>
        <w:rPr>
          <w:rFonts w:ascii="Georgia" w:hAnsi="Georgia"/>
          <w:b w:val="0"/>
          <w:i w:val="0"/>
          <w:color w:val="1C2027"/>
          <w:sz w:val="20"/>
        </w:rPr>
        <w:t xml:space="preserve">Docker Docs — SBOM et provenance avec GitHub Actions : </w:t>
      </w:r>
      <w:hyperlink r:id="rId18">
        <w:r>
          <w:rPr>
            <w:rFonts w:ascii="Georgia" w:hAnsi="Georgia"/>
            <w:color w:val="525C6C"/>
            <w:u w:val="single"/>
            <w:sz w:val="19"/>
          </w:rPr>
          <w:t>https://docs.docker.com/build/ci/github-actions/attestations/</w:t>
        </w:r>
      </w:hyperlink>
    </w:p>
    <w:p>
      <w:r>
        <w:br w:type="page"/>
      </w:r>
    </w:p>
    <w:p>
      <w:pPr>
        <w:keepNext/>
        <w:spacing w:before="280" w:after="80"/>
      </w:pPr>
      <w:r>
        <w:rPr>
          <w:rFonts w:ascii="Georgia" w:hAnsi="Georgia"/>
          <w:b/>
          <w:i w:val="0"/>
          <w:caps/>
          <w:color w:val="8997AA"/>
          <w:sz w:val="16"/>
        </w:rPr>
        <w:t>15    SECTION</w:t>
      </w:r>
    </w:p>
    <w:p>
      <w:pPr>
        <w:pStyle w:val="Heading1"/>
        <w:keepNext/>
        <w:spacing w:after="180"/>
      </w:pPr>
      <w:r>
        <w:rPr>
          <w:rFonts w:ascii="Georgia" w:hAnsi="Georgia"/>
          <w:b/>
          <w:i w:val="0"/>
          <w:color w:val="1C2027"/>
          <w:sz w:val="38"/>
        </w:rPr>
        <w:t>Historique</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1200"/>
        <w:gridCol w:w="1600"/>
        <w:gridCol w:w="4960"/>
        <w:gridCol w:w="1600"/>
      </w:tblGrid>
      <w:tr>
        <w:trPr>
          <w:tblHeader w:val="true"/>
        </w:trPr>
        <w:tc>
          <w:tcPr>
            <w:tcW w:type="dxa" w:w="1200"/>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Version</w:t>
            </w:r>
          </w:p>
        </w:tc>
        <w:tc>
          <w:tcPr>
            <w:tcW w:type="dxa" w:w="1600"/>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Date</w:t>
            </w:r>
          </w:p>
        </w:tc>
        <w:tc>
          <w:tcPr>
            <w:tcW w:type="dxa" w:w="4960"/>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Évolution</w:t>
            </w:r>
          </w:p>
        </w:tc>
        <w:tc>
          <w:tcPr>
            <w:tcW w:type="dxa" w:w="1600"/>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Statut</w:t>
            </w:r>
          </w:p>
        </w:tc>
      </w:tr>
      <w:tr>
        <w:tc>
          <w:tcPr>
            <w:tcW w:type="dxa" w:w="1200"/>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1.0</w:t>
            </w:r>
          </w:p>
        </w:tc>
        <w:tc>
          <w:tcPr>
            <w:tcW w:type="dxa" w:w="1600"/>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25/08/2026</w:t>
            </w:r>
          </w:p>
        </w:tc>
        <w:tc>
          <w:tcPr>
            <w:tcW w:type="dxa" w:w="4960"/>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Définition de la plateforme CI/CD cible et de son plan de convergence.</w:t>
            </w:r>
          </w:p>
        </w:tc>
        <w:tc>
          <w:tcPr>
            <w:tcW w:type="dxa" w:w="1600"/>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Référence de mise en œuvre</w:t>
            </w:r>
          </w:p>
        </w:tc>
      </w:tr>
    </w:tbl>
    <w:p>
      <w:pPr>
        <w:spacing w:after="20"/>
      </w:pPr>
    </w:p>
    <w:sectPr>
      <w:headerReference r:id="rId2"/>
      <w:footerReference r:id="rId3"/>
      <w:pgSz w:w="12240" w:h="15840"/>
      <w:pgMar w:top="1123" w:right="1181" w:bottom="1037" w:left="1181" w:header="504" w:footer="504" w:gutter="0"/>
    </w:sectPr>
  </w:body>
</w:document>
</file>

<file path=word/footer1.xml><?xml version="1.0" encoding="utf-8"?>
<w:ftr xmlns:w="http://schemas.openxmlformats.org/wordprocessingml/2006/main" xmlns:r="http://schemas.openxmlformats.org/officeDocument/2006/relationships">
  <w:p>
    <w:pPr>
      <w:tabs>
        <w:tab w:val="right" w:pos="10080"/>
      </w:tabs>
      <w:pBdr>
        <w:top w:val="single" w:sz="4" w:space="6" w:color="D6DAE0"/>
      </w:pBdr>
      <w:spacing w:before="0" w:after="0" w:line="240" w:lineRule="auto"/>
    </w:pPr>
    <w:r>
      <w:rPr>
        <w:rFonts w:ascii="Lato" w:hAnsi="Lato" w:cs="Lato"/>
        <w:caps/>
        <w:color w:val="8B96A5"/>
        <w:sz w:val="16"/>
        <w:szCs w:val="16"/>
        <w:spacing w:val="50"/>
      </w:rPr>
      <w:t xml:space="preserve">Kora — Confidentiel</w:t>
    </w:r>
    <w:r>
      <w:tab/>
    </w:r>
    <w:fldSimple w:instr=" PAGE ">
      <w:r>
        <w:rPr>
          <w:rFonts w:ascii="Lato" w:hAnsi="Lato"/>
          <w:color w:val="8B96A5"/>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Georgia" w:hAnsi="Georgia"/>
        <w:b w:val="0"/>
        <w:i w:val="0"/>
        <w:color w:val="8997AA"/>
        <w:sz w:val="14"/>
      </w:rPr>
      <w:t xml:space="preserve">DOCUMENT DE RÉFÉRENCE    ·    </w:t>
    </w:r>
    <w:fldSimple w:instr="PAGE"/>
  </w:p>
</w:ftr>
</file>

<file path=word/header1.xml><?xml version="1.0" encoding="utf-8"?>
<w:hdr xmlns:w="http://schemas.openxmlformats.org/wordprocessingml/2006/main" xmlns:r="http://schemas.openxmlformats.org/officeDocument/2006/relationships">
  <w:p>
    <w:pPr>
      <w:tabs>
        <w:tab w:val="right" w:pos="10080"/>
      </w:tabs>
      <w:pBdr>
        <w:bottom w:val="single" w:sz="4" w:space="6" w:color="D6DAE0"/>
      </w:pBdr>
      <w:spacing w:before="0" w:after="0" w:line="240" w:lineRule="auto"/>
    </w:pPr>
    <w:r>
      <w:rPr>
        <w:rFonts w:ascii="Lato" w:hAnsi="Lato" w:cs="Lato"/>
        <w:caps/>
        <w:color w:val="8B96A5"/>
        <w:sz w:val="16"/>
        <w:szCs w:val="16"/>
        <w:spacing w:val="50"/>
      </w:rPr>
      <w:t xml:space="preserve">KOR-SFD-014 · v1.4</w:t>
    </w:r>
    <w:r>
      <w:tab/>
    </w:r>
    <w:r>
      <w:rPr>
        <w:rFonts w:ascii="Lato" w:hAnsi="Lato" w:cs="Lato"/>
        <w:caps/>
        <w:color w:val="8B96A5"/>
        <w:sz w:val="16"/>
        <w:szCs w:val="16"/>
        <w:spacing w:val="50"/>
      </w:rPr>
      <w:t xml:space="preserve">Module de paiement marchand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Georgia" w:hAnsi="Georgia"/>
        <w:b/>
        <w:i w:val="0"/>
        <w:color w:val="8997AA"/>
        <w:sz w:val="15"/>
      </w:rPr>
      <w:t>L’ÉPOPÉE DES SILENCES    ·    LEDS-STD-CICD-001</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60"/>
      </w:pPr>
    </w:lvl>
  </w:abstractNum>
  <w:num w:numId="1">
    <w:abstractNumId w:val="0"/>
  </w:num>
  <w:abstractNum w:abstractNumId="1">
    <w:multiLevelType w:val="singleLevel"/>
    <w:lvl w:ilvl="0">
      <w:start w:val="1"/>
      <w:numFmt w:val="decimal"/>
      <w:lvlText w:val="%1."/>
      <w:lvlJc w:val="left"/>
      <w:pPr>
        <w:tabs>
          <w:tab w:val="num" w:pos="540"/>
        </w:tabs>
        <w:ind w:left="540" w:hanging="260"/>
      </w:pPr>
    </w:lvl>
  </w:abstractNum>
  <w:num w:numId="2">
    <w:abstractNumId w:val="1"/>
  </w:num>
  <w:abstractNum w:abstractNumId="2">
    <w:multiLevelType w:val="singleLevel"/>
    <w:lvl w:ilvl="0">
      <w:start w:val="1"/>
      <w:numFmt w:val="decimal"/>
      <w:lvlText w:val="%1."/>
      <w:lvlJc w:val="left"/>
      <w:pPr>
        <w:tabs>
          <w:tab w:val="num" w:pos="540"/>
        </w:tabs>
        <w:ind w:left="540" w:hanging="260"/>
      </w:pPr>
    </w:lvl>
  </w:abstractNum>
  <w:num w:numId="3">
    <w:abstractNumId w:val="2"/>
  </w:num>
  <w:abstractNum w:abstractNumId="3">
    <w:multiLevelType w:val="singleLevel"/>
    <w:lvl w:ilvl="0">
      <w:start w:val="1"/>
      <w:numFmt w:val="decimal"/>
      <w:lvlText w:val="%1."/>
      <w:lvlJc w:val="left"/>
      <w:pPr>
        <w:tabs>
          <w:tab w:val="num" w:pos="540"/>
        </w:tabs>
        <w:ind w:left="540" w:hanging="260"/>
      </w:pPr>
    </w:lvl>
  </w:abstractNum>
  <w:num w:numId="4">
    <w:abstractNumId w:val="3"/>
  </w:num>
</w:numbering>
</file>

<file path=word/styles.xml><?xml version="1.0" encoding="utf-8"?>
<w:styles xmlns:w="http://schemas.openxmlformats.org/wordprocessingml/2006/main">
  <w:docDefaults>
    <w:rPrDefault>
      <w:rPr>
        <w:rFonts w:ascii="Lato" w:hAnsi="Lato" w:cs="Lato"/>
        <w:color w:val="16191E"/>
        <w:sz w:val="22"/>
        <w:szCs w:val="22"/>
        <w:lang w:val="fr-FR"/>
      </w:rPr>
    </w:rPrDefault>
    <w:pPrDefault>
      <w:pPr>
        <w:spacing w:after="120" w:line="300" w:lineRule="auto"/>
      </w:pPr>
    </w:pPrDefault>
  </w:docDefaults>
  <w:style w:type="paragraph" w:default="1" w:styleId="Normal">
    <w:name w:val="Normal"/>
    <w:qFormat/>
    <w:pPr>
      <w:spacing w:after="120" w:line="276" w:lineRule="auto"/>
      <w:jc w:val="left"/>
    </w:pPr>
    <w:rPr>
      <w:rFonts w:ascii="Georgia" w:hAnsi="Georgia"/>
      <w:color w:val="1C2027"/>
      <w:sz w:val="20"/>
    </w:rPr>
  </w:style>
  <w:style w:type="paragraph" w:customStyle="1" w:styleId="Heading1">
    <w:name w:val="heading 1"/>
    <w:basedOn w:val="Normal"/>
    <w:next w:val="Normal"/>
    <w:pPr>
      <w:outlineLvl w:val="0"/>
    </w:pPr>
  </w:style>
  <w:style w:type="paragraph" w:customStyle="1" w:styleId="Heading2">
    <w:name w:val="heading 2"/>
    <w:basedOn w:val="Normal"/>
    <w:next w:val="Normal"/>
    <w:pPr>
      <w:outlineLvl w:val="1"/>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docs.github.com/actions/deployment/targeting-different-environments/using-environments-for-deployment" TargetMode="External"/><Relationship Id="rId10" Type="http://schemas.openxmlformats.org/officeDocument/2006/relationships/hyperlink" Target="https://docs.github.com/actions/concepts/security/openid-connect" TargetMode="External"/><Relationship Id="rId11" Type="http://schemas.openxmlformats.org/officeDocument/2006/relationships/hyperlink" Target="https://docs.github.com/actions/security-for-github-actions/using-artifact-attestations/using-artifact-attestations-to-establish-provenance-for-builds" TargetMode="External"/><Relationship Id="rId12" Type="http://schemas.openxmlformats.org/officeDocument/2006/relationships/hyperlink" Target="https://docs.github.com/en/actions/reference/security/secure-use" TargetMode="External"/><Relationship Id="rId13" Type="http://schemas.openxmlformats.org/officeDocument/2006/relationships/hyperlink" Target="https://docs.github.com/packages/working-with-a-github-packages-registry/working-with-the-container-registry" TargetMode="External"/><Relationship Id="rId14" Type="http://schemas.openxmlformats.org/officeDocument/2006/relationships/hyperlink" Target="https://learn.microsoft.com/en-us/dotnet/core/testing/unit-testing-code-coverage" TargetMode="External"/><Relationship Id="rId15" Type="http://schemas.openxmlformats.org/officeDocument/2006/relationships/hyperlink" Target="https://learn.microsoft.com/en-us/ef/core/managing-schemas/migrations/applying" TargetMode="External"/><Relationship Id="rId16" Type="http://schemas.openxmlformats.org/officeDocument/2006/relationships/hyperlink" Target="https://vitest.dev/config/coverage" TargetMode="External"/><Relationship Id="rId17" Type="http://schemas.openxmlformats.org/officeDocument/2006/relationships/hyperlink" Target="https://playwright.dev/docs/ci" TargetMode="External"/><Relationship Id="rId18" Type="http://schemas.openxmlformats.org/officeDocument/2006/relationships/hyperlink" Target="https://docs.docker.com/build/ci/github-actions/attestations/" TargetMode="External"/></Relationships>
</file>