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2240" w:type="dxa"/>
        <w:tblLayout w:type="fixed"/>
        <w:tblCellMar>
          <w:left w:w="0" w:type="dxa"/>
          <w:right w:w="0" w:type="dxa"/>
        </w:tblCellMar>
      </w:tblPr>
      <w:tblGrid>
        <w:gridCol w:w="12240"/>
      </w:tblGrid>
      <w:tr>
        <w:trPr>
          <w:trHeight w:val="14300" w:hRule="exact"/>
        </w:trPr>
        <w:tc>
          <w:tcPr>
            <w:tcW w:w="12240" w:type="dxa"/>
            <w:tcBorders>
              <w:top w:val="nil"/>
              <w:bottom w:val="nil"/>
              <w:left w:val="nil"/>
              <w:right w:val="nil"/>
            </w:tcBorders>
            <w:shd w:val="clear" w:color="auto" w:fill="0E1116"/>
            <w:tcMar>
              <w:top w:w="1160" w:type="dxa"/>
              <w:bottom w:w="1160" w:type="dxa"/>
              <w:left w:w="1260" w:type="dxa"/>
              <w:right w:w="1260" w:type="dxa"/>
            </w:tcMar>
          </w:tcPr>
          <w:p>
            <w:pPr>
              <w:tabs>
                <w:tab w:val="right" w:pos="9720"/>
              </w:tabs>
              <w:spacing w:before="0" w:after="0" w:line="240" w:lineRule="auto"/>
            </w:pPr>
            <w:r>
              <w:rPr>
                <w:rFonts w:ascii="Lato" w:hAnsi="Lato" w:cs="Lato"/>
                <w:caps/>
                <w:color w:val="9AA5B1"/>
                <w:sz w:val="17"/>
                <w:szCs w:val="17"/>
                <w:spacing w:val="40"/>
              </w:rPr>
              <w:t>L’ÉPOPÉE DES SILENCES</w:t>
              <w:tab/>
              <w:t>CONFIDENTIEL — DOCUMENT DE TRAVAIL</w:t>
            </w:r>
            <w:r/>
            <w:r>
              <w:rPr>
                <w:rFonts w:ascii="Lato" w:hAnsi="Lato" w:cs="Lato"/>
                <w:caps/>
                <w:color w:val="6B7688"/>
                <w:sz w:val="17"/>
                <w:szCs w:val="17"/>
                <w:spacing w:val="40"/>
              </w:rPr>
            </w:r>
          </w:p>
          <w:p>
            <w:pPr>
              <w:spacing w:before="0" w:after="3600" w:line="300" w:lineRule="auto"/>
            </w:pPr>
            <w:r>
              <w:rPr>
                <w:rFonts w:ascii="Lato" w:hAnsi="Lato" w:cs="Lato"/>
                <w:color w:val="16191E"/>
                <w:sz w:val="22"/>
                <w:szCs w:val="22"/>
              </w:rPr>
              <w:t xml:space="preserve"/>
            </w:r>
          </w:p>
          <w:p>
            <w:pPr>
              <w:spacing w:before="0" w:after="320" w:line="300" w:lineRule="auto"/>
            </w:pPr>
            <w:r>
              <w:rPr>
                <w:rFonts w:ascii="Lato" w:hAnsi="Lato" w:cs="Lato"/>
                <w:caps/>
                <w:color w:val="9AA5B1"/>
                <w:sz w:val="18"/>
                <w:szCs w:val="18"/>
                <w:spacing w:val="60"/>
              </w:rPr>
              <w:t>STD · SPÉCIFICATIONS TECHNIQUES DÉTAILLÉES</w:t>
            </w:r>
          </w:p>
          <w:p>
            <w:pPr>
              <w:spacing w:before="0" w:after="0" w:line="210" w:lineRule="auto"/>
            </w:pPr>
            <w:r>
              <w:rPr>
                <w:rFonts w:ascii="Lato" w:hAnsi="Lato" w:cs="Lato"/>
                <w:b/>
                <w:color w:val="E6E9EE"/>
                <w:sz w:val="80"/>
                <w:szCs w:val="80"/>
              </w:rPr>
              <w:t>Moteur d’acteurs</w:t>
            </w:r>
          </w:p>
          <w:p>
            <w:pPr>
              <w:spacing w:before="0" w:after="340" w:line="210" w:lineRule="auto"/>
            </w:pPr>
            <w:r>
              <w:rPr>
                <w:rFonts w:ascii="Lato" w:hAnsi="Lato" w:cs="Lato"/>
                <w:b/>
                <w:color w:val="6B7688"/>
                <w:sz w:val="80"/>
                <w:szCs w:val="80"/>
              </w:rPr>
              <w:t>d’exploration</w:t>
            </w:r>
          </w:p>
          <w:p>
            <w:pPr>
              <w:spacing w:before="0" w:after="0" w:line="340" w:lineRule="auto"/>
            </w:pPr>
            <w:r>
              <w:rPr>
                <w:rFonts w:ascii="Lato" w:hAnsi="Lato" w:cs="Lato"/>
                <w:color w:val="9AA5B1"/>
                <w:sz w:val="24"/>
                <w:szCs w:val="24"/>
              </w:rPr>
              <w:t>Contrats domaine, API, persistance et animation du nouveau modèle d'exploration.</w:t>
            </w:r>
          </w:p>
          <w:p>
            <w:pPr>
              <w:spacing w:before="0" w:after="3200" w:line="300" w:lineRule="auto"/>
            </w:pPr>
            <w:r>
              <w:rPr>
                <w:rFonts w:ascii="Lato" w:hAnsi="Lato" w:cs="Lato"/>
                <w:color w:val="16191E"/>
                <w:sz w:val="22"/>
                <w:szCs w:val="22"/>
              </w:rPr>
              <w:t xml:space="preserve"/>
            </w:r>
          </w:p>
          <w:tbl>
            <w:tblPr>
              <w:tblW w:w="97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2430"/>
              <w:gridCol w:w="2430"/>
              <w:gridCol w:w="2430"/>
              <w:gridCol w:w="2430"/>
            </w:tblGrid>
            <w:tr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Référence</w:t>
                  </w:r>
                </w:p>
              </w:tc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Version</w:t>
                  </w:r>
                </w:p>
              </w:tc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Auteur</w:t>
                  </w:r>
                </w:p>
              </w:tc>
              <w:tc>
                <w:tcPr>
                  <w:tcW w:w="2430" w:type="dxa"/>
                  <w:tcBorders>
                    <w:top w:val="single" w:sz="4" w:space="0" w:color="2B333D"/>
                    <w:bottom w:val="nil"/>
                    <w:left w:val="nil"/>
                    <w:right w:val="nil"/>
                  </w:tcBorders>
                  <w:tcMar>
                    <w:top w:w="120" w:type="dxa"/>
                    <w:bottom w:w="0" w:type="dxa"/>
                    <w:left w:w="0" w:type="dxa"/>
                    <w:right w:w="120" w:type="dxa"/>
                  </w:tcMar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Lato" w:hAnsi="Lato" w:cs="Lato"/>
                      <w:caps/>
                      <w:color w:val="6B7688"/>
                      <w:sz w:val="16"/>
                      <w:szCs w:val="16"/>
                      <w:spacing w:val="40"/>
                    </w:rPr>
                    <w:t xml:space="preserve">Statut</w:t>
                  </w:r>
                </w:p>
              </w:tc>
            </w:tr>
            <w:tr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LEDS-STD-EXP-001</w:t>
                  </w:r>
                </w:p>
              </w:tc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1.0 — 25/08/2026</w:t>
                  </w:r>
                </w:p>
              </w:tc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Équipe L’Épopée des Silences</w:t>
                  </w:r>
                </w:p>
              </w:tc>
              <w:tc>
                <w:tcPr>
                  <w:tcW w:w="2430" w:type="dxa"/>
                  <w:tcBorders>
                    <w:top w:val="nil"/>
                    <w:bottom w:val="nil"/>
                    <w:left w:val="nil"/>
                    <w:right w:val="nil"/>
                  </w:tcBorders>
                  <w:tcMar>
                    <w:top w:w="0" w:type="dxa"/>
                    <w:bottom w:w="140" w:type="dxa"/>
                    <w:left w:w="0" w:type="dxa"/>
                    <w:right w:w="12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Lato" w:hAnsi="Lato" w:cs="Lato"/>
                      <w:color w:val="E6E9EE"/>
                      <w:sz w:val="21"/>
                      <w:szCs w:val="21"/>
                    </w:rPr>
                    <w:t>Référence d'implémentation</w:t>
                  </w:r>
                </w:p>
              </w:tc>
            </w:tr>
          </w:tbl>
          <w:p>
            <w:pPr>
              <w:spacing w:before="0" w:after="0" w:line="300" w:lineRule="auto"/>
            </w:pPr>
            <w:r>
              <w:rPr>
                <w:rFonts w:ascii="Lato" w:hAnsi="Lato" w:cs="Lato"/>
                <w:color w:val="16191E"/>
                <w:sz w:val="2"/>
                <w:szCs w:val="2"/>
              </w:rPr>
              <w:t xml:space="preserve"/>
            </w:r>
          </w:p>
        </w:tc>
      </w:tr>
    </w:tbl>
    <w:p>
      <w:pPr>
        <w:spacing w:after="0" w:line="20" w:lineRule="exact"/>
        <w:rPr>
          <w:sz w:val="2"/>
        </w:rPr>
        <w:sectPr>
          <w:headerReference w:type="default" r:id="rId4"/>
          <w:footerReference w:type="default" r:id="rId5"/>
          <w:pgSz w:w="12240" w:h="15840"/>
          <w:pgMar w:top="0" w:right="0" w:bottom="0" w:left="0" w:header="0" w:footer="0" w:gutter="0"/>
        </w:sectPr>
      </w:pP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—    SOMMAIRE</w:t>
      </w:r>
    </w:p>
    <w:p>
      <w:pPr>
        <w:spacing w:after="320"/>
      </w:pPr>
      <w:r>
        <w:rPr>
          <w:rFonts w:ascii="Georgia" w:hAnsi="Georgia"/>
          <w:b/>
          <w:i w:val="0"/>
          <w:color w:val="1C2027"/>
          <w:sz w:val="44"/>
        </w:rPr>
        <w:t>Sommaire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E0E5EC"/>
          <w:left w:val="single" w:sz="4" w:color="E0E5EC"/>
          <w:bottom w:val="single" w:sz="4" w:color="E0E5EC"/>
          <w:right w:val="single" w:sz="4" w:color="E0E5EC"/>
          <w:insideH w:val="single" w:sz="4" w:color="E0E5EC"/>
          <w:insideV w:val="single" w:sz="4" w:color="E0E5EC"/>
        </w:tblBorders>
      </w:tblPr>
      <w:tblGrid>
        <w:gridCol w:w="900"/>
        <w:gridCol w:w="8460"/>
      </w:tblGrid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01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Portée technique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02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Décisions d'architecture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03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Contrat de domaine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04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API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05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Client Vue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06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Persistance et compatibilité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07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Observabilité et erreurs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08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Stratégie de tests</w:t>
            </w:r>
          </w:p>
        </w:tc>
      </w:tr>
      <w:tr>
        <w:tc>
          <w:tcPr>
            <w:tcW w:type="dxa" w:w="900"/>
          </w:tcPr>
          <w:p>
            <w:pPr>
              <w:spacing w:before="100" w:after="100"/>
            </w:pPr>
            <w:r>
              <w:rPr>
                <w:rFonts w:ascii="Georgia" w:hAnsi="Georgia"/>
                <w:b w:val="0"/>
                <w:i w:val="0"/>
                <w:color w:val="8997AA"/>
                <w:sz w:val="20"/>
              </w:rPr>
              <w:t>09</w:t>
            </w:r>
          </w:p>
        </w:tc>
        <w:tc>
          <w:tcPr>
            <w:tcW w:type="dxa" w:w="8460"/>
          </w:tcPr>
          <w:p>
            <w:pPr>
              <w:spacing w:before="100" w:after="100"/>
            </w:pPr>
            <w:r>
              <w:rPr>
                <w:rFonts w:ascii="Georgia" w:hAnsi="Georgia"/>
                <w:b/>
                <w:i w:val="0"/>
                <w:color w:val="1C2027"/>
                <w:sz w:val="20"/>
              </w:rPr>
              <w:t>Matrice de traçabilité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01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Portée technique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Cette STD traduit </w:t>
      </w:r>
      <w:r>
        <w:rPr>
          <w:rFonts w:ascii="Consolas" w:hAnsi="Consolas"/>
          <w:b w:val="0"/>
          <w:i w:val="0"/>
          <w:color w:val="1C2027"/>
          <w:sz w:val="19"/>
        </w:rPr>
        <w:t>LEDS-SFD-EXP-001</w:t>
      </w:r>
      <w:r>
        <w:rPr>
          <w:rFonts w:ascii="Georgia" w:hAnsi="Georgia"/>
          <w:b w:val="0"/>
          <w:i w:val="0"/>
          <w:color w:val="1C2027"/>
          <w:sz w:val="21"/>
        </w:rPr>
        <w:t xml:space="preserve"> dans l'architecture existante .NET / EF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Core / Vue. Elle réutilise </w:t>
      </w:r>
      <w:r>
        <w:rPr>
          <w:rFonts w:ascii="Consolas" w:hAnsi="Consolas"/>
          <w:b w:val="0"/>
          <w:i w:val="0"/>
          <w:color w:val="1C2027"/>
          <w:sz w:val="19"/>
        </w:rPr>
        <w:t>RoomNpc</w:t>
      </w:r>
      <w:r>
        <w:rPr>
          <w:rFonts w:ascii="Georgia" w:hAnsi="Georgia"/>
          <w:b w:val="0"/>
          <w:i w:val="0"/>
          <w:color w:val="1C2027"/>
          <w:sz w:val="21"/>
        </w:rPr>
        <w:t xml:space="preserve"> pour les acteurs neutres et </w:t>
      </w:r>
      <w:r>
        <w:rPr>
          <w:rFonts w:ascii="Consolas" w:hAnsi="Consolas"/>
          <w:b w:val="0"/>
          <w:i w:val="0"/>
          <w:color w:val="1C2027"/>
          <w:sz w:val="19"/>
        </w:rPr>
        <w:t>MapNode</w:t>
      </w:r>
      <w:r>
        <w:rPr>
          <w:rFonts w:ascii="Georgia" w:hAnsi="Georgia"/>
          <w:b w:val="0"/>
          <w:i w:val="0"/>
          <w:color w:val="1C2027"/>
          <w:sz w:val="21"/>
        </w:rPr>
        <w:t xml:space="preserve"> pour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la représentation d'exploration des rencontres. Aucun nouveau stockage n'est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nécessaire : les positions des deux agrégats sont déjà persistées.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02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Décisions d'architecture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ADR-EXP-001 — Horloge pilotée par le client, simulation serveur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Le client demande un tick lorsqu'il est en phase </w:t>
      </w:r>
      <w:r>
        <w:rPr>
          <w:rFonts w:ascii="Consolas" w:hAnsi="Consolas"/>
          <w:b w:val="0"/>
          <w:i w:val="0"/>
          <w:color w:val="1C2027"/>
          <w:sz w:val="19"/>
        </w:rPr>
        <w:t>Map</w:t>
      </w:r>
      <w:r>
        <w:rPr>
          <w:rFonts w:ascii="Georgia" w:hAnsi="Georgia"/>
          <w:b w:val="0"/>
          <w:i w:val="0"/>
          <w:color w:val="1C2027"/>
          <w:sz w:val="21"/>
        </w:rPr>
        <w:t>. Le domaine serveur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reste l'unique autorité sur l'éligibilité, les collisions, la destination et le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contact. Le tick ne dépend pas du temps mural côté serveur et reste donc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rejouable et testable.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ADR-EXP-002 — Rencontre mobile portée par `MapNode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Un nœud de type combat devient la présence ennemie sur la carte. Sa position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Lane/Row</w:t>
      </w:r>
      <w:r>
        <w:rPr>
          <w:rFonts w:ascii="Georgia" w:hAnsi="Georgia"/>
          <w:b w:val="0"/>
          <w:i w:val="0"/>
          <w:color w:val="1C2027"/>
          <w:sz w:val="21"/>
        </w:rPr>
        <w:t xml:space="preserve"> est mutable tant que le nœud est </w:t>
      </w:r>
      <w:r>
        <w:rPr>
          <w:rFonts w:ascii="Consolas" w:hAnsi="Consolas"/>
          <w:b w:val="0"/>
          <w:i w:val="0"/>
          <w:color w:val="1C2027"/>
          <w:sz w:val="19"/>
        </w:rPr>
        <w:t>Available</w:t>
      </w:r>
      <w:r>
        <w:rPr>
          <w:rFonts w:ascii="Georgia" w:hAnsi="Georgia"/>
          <w:b w:val="0"/>
          <w:i w:val="0"/>
          <w:color w:val="1C2027"/>
          <w:sz w:val="21"/>
        </w:rPr>
        <w:t>. Son identité, son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niveau de risque et son profil de récompense restent inchangés. Les combats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scénarisés continuent d'être produits par les résolveurs d'événements et les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règles locales, sans </w:t>
      </w:r>
      <w:r>
        <w:rPr>
          <w:rFonts w:ascii="Consolas" w:hAnsi="Consolas"/>
          <w:b w:val="0"/>
          <w:i w:val="0"/>
          <w:color w:val="1C2027"/>
          <w:sz w:val="19"/>
        </w:rPr>
        <w:t>MapNode</w:t>
      </w:r>
      <w:r>
        <w:rPr>
          <w:rFonts w:ascii="Georgia" w:hAnsi="Georgia"/>
          <w:b w:val="0"/>
          <w:i w:val="0"/>
          <w:color w:val="1C2027"/>
          <w:sz w:val="21"/>
        </w:rPr>
        <w:t xml:space="preserve"> mobile supplémentaire.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ADR-EXP-003 — Commande séparée du déplacement joueur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MoveParty</w:t>
      </w:r>
      <w:r>
        <w:rPr>
          <w:rFonts w:ascii="Georgia" w:hAnsi="Georgia"/>
          <w:b w:val="0"/>
          <w:i w:val="0"/>
          <w:color w:val="1C2027"/>
          <w:sz w:val="21"/>
        </w:rPr>
        <w:t xml:space="preserve"> ne déplace plus les PNJ. Une commande </w:t>
      </w:r>
      <w:r>
        <w:rPr>
          <w:rFonts w:ascii="Consolas" w:hAnsi="Consolas"/>
          <w:b w:val="0"/>
          <w:i w:val="0"/>
          <w:color w:val="1C2027"/>
          <w:sz w:val="19"/>
        </w:rPr>
        <w:t>AdvanceRoomActors</w:t>
      </w:r>
      <w:r>
        <w:rPr>
          <w:rFonts w:ascii="Georgia" w:hAnsi="Georgia"/>
          <w:b w:val="0"/>
          <w:i w:val="0"/>
          <w:color w:val="1C2027"/>
          <w:sz w:val="21"/>
        </w:rPr>
        <w:t xml:space="preserve"> produit un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pas autonome. Le mode </w:t>
      </w:r>
      <w:r>
        <w:rPr>
          <w:rFonts w:ascii="Consolas" w:hAnsi="Consolas"/>
          <w:b w:val="0"/>
          <w:i w:val="0"/>
          <w:color w:val="1C2027"/>
          <w:sz w:val="19"/>
        </w:rPr>
        <w:t>HostilesOnly</w:t>
      </w:r>
      <w:r>
        <w:rPr>
          <w:rFonts w:ascii="Georgia" w:hAnsi="Georgia"/>
          <w:b w:val="0"/>
          <w:i w:val="0"/>
          <w:color w:val="1C2027"/>
          <w:sz w:val="21"/>
        </w:rPr>
        <w:t xml:space="preserve"> est appelé après l'animation joueur ; le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mode complet est appelé par l'horloge d'inactivité.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ADR-EXP-004 — Animation par projection, état logique immédiat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Le serveur persiste immédiatement la position finale et renvoie la liste des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transitions. Le client conserve temporairement une position d'affichage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fractionnaire et interpole vers la position logique. Les collisions et les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clics utilisent toujours la position logique finale.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03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Contrat de domaine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3.1 `Room.AdvanceActors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Entrée : </w:t>
      </w:r>
      <w:r>
        <w:rPr>
          <w:rFonts w:ascii="Consolas" w:hAnsi="Consolas"/>
          <w:b w:val="0"/>
          <w:i w:val="0"/>
          <w:color w:val="1C2027"/>
          <w:sz w:val="19"/>
        </w:rPr>
        <w:t>ActorAdvanceMode</w:t>
      </w:r>
      <w:r>
        <w:rPr>
          <w:rFonts w:ascii="Georgia" w:hAnsi="Georgia"/>
          <w:b w:val="0"/>
          <w:i w:val="0"/>
          <w:color w:val="1C2027"/>
          <w:sz w:val="21"/>
        </w:rPr>
        <w:t xml:space="preserve"> (</w:t>
      </w:r>
      <w:r>
        <w:rPr>
          <w:rFonts w:ascii="Consolas" w:hAnsi="Consolas"/>
          <w:b w:val="0"/>
          <w:i w:val="0"/>
          <w:color w:val="1C2027"/>
          <w:sz w:val="19"/>
        </w:rPr>
        <w:t>All</w:t>
      </w:r>
      <w:r>
        <w:rPr>
          <w:rFonts w:ascii="Georgia" w:hAnsi="Georgia"/>
          <w:b w:val="0"/>
          <w:i w:val="0"/>
          <w:color w:val="1C2027"/>
          <w:sz w:val="21"/>
        </w:rPr>
        <w:t xml:space="preserve"> ou </w:t>
      </w:r>
      <w:r>
        <w:rPr>
          <w:rFonts w:ascii="Consolas" w:hAnsi="Consolas"/>
          <w:b w:val="0"/>
          <w:i w:val="0"/>
          <w:color w:val="1C2027"/>
          <w:sz w:val="19"/>
        </w:rPr>
        <w:t>HostilesOnly</w:t>
      </w:r>
      <w:r>
        <w:rPr>
          <w:rFonts w:ascii="Georgia" w:hAnsi="Georgia"/>
          <w:b w:val="0"/>
          <w:i w:val="0"/>
          <w:color w:val="1C2027"/>
          <w:sz w:val="21"/>
        </w:rPr>
        <w:t>).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Sortie 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5DAE2"/>
          <w:left w:val="single" w:sz="4" w:color="D5DAE2"/>
          <w:bottom w:val="single" w:sz="4" w:color="D5DAE2"/>
          <w:right w:val="single" w:sz="4" w:color="D5DAE2"/>
          <w:insideH w:val="single" w:sz="4" w:color="D5DAE2"/>
          <w:insideV w:val="single" w:sz="4" w:color="D5DAE2"/>
        </w:tblBorders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100" w:after="100"/>
            </w:pPr>
            <w:r>
              <w:rPr>
                <w:rFonts w:ascii="Consolas" w:hAnsi="Consolas"/>
                <w:b w:val="0"/>
                <w:i w:val="0"/>
                <w:color w:val="525C6C"/>
                <w:sz w:val="16"/>
              </w:rPr>
              <w:t>ActorAdvanceResult</w:t>
              <w:br/>
              <w:t xml:space="preserve">  Movements[]: ActorMovement(ActorId, ActorKind, FromX, FromY, ToX, ToY)</w:t>
              <w:br/>
              <w:t xml:space="preserve">  TriggeredNodeId?: Guid</w:t>
            </w:r>
          </w:p>
        </w:tc>
      </w:tr>
    </w:tbl>
    <w:p>
      <w:pPr>
        <w:spacing w:after="20"/>
      </w:pP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Préconditions : </w:t>
      </w:r>
      <w:r>
        <w:rPr>
          <w:rFonts w:ascii="Consolas" w:hAnsi="Consolas"/>
          <w:b w:val="0"/>
          <w:i w:val="0"/>
          <w:color w:val="1C2027"/>
          <w:sz w:val="19"/>
        </w:rPr>
        <w:t>Room.State == Active</w:t>
      </w:r>
      <w:r>
        <w:rPr>
          <w:rFonts w:ascii="Georgia" w:hAnsi="Georgia"/>
          <w:b w:val="0"/>
          <w:i w:val="0"/>
          <w:color w:val="1C2027"/>
          <w:sz w:val="21"/>
        </w:rPr>
        <w:t>. Sinon, aucun acteur ne progresse.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Ordre déterministe :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1. rafraîchir la perception des PNJ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 xml:space="preserve">2. si </w:t>
      </w:r>
      <w:r>
        <w:rPr>
          <w:rFonts w:ascii="Consolas" w:hAnsi="Consolas"/>
          <w:b w:val="0"/>
          <w:i w:val="0"/>
          <w:color w:val="1C2027"/>
          <w:sz w:val="19"/>
        </w:rPr>
        <w:t>All</w:t>
      </w:r>
      <w:r>
        <w:rPr>
          <w:rFonts w:ascii="Georgia" w:hAnsi="Georgia"/>
          <w:b w:val="0"/>
          <w:i w:val="0"/>
          <w:color w:val="1C2027"/>
          <w:sz w:val="21"/>
        </w:rPr>
        <w:t>, avancer les PNJ neutres par identifiant stable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3. avancer les nœuds de combat par identifiant stable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4. arrêter immédiatement après sélection d'un contact ennemi.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3.2 Collisions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L'ensemble d'occupation comprend : joueur, obstacles, trous, PNJ, nœuds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combat disponibles et nœuds bloquants. Avant chaque mouvement, l'ancienne case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l'acteur est libérée ; la destination n'est réservée qu'après validation.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Une destination invalide produit un mouvement nul, jamais une exception.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Pour le pathfinding du joueur uniquement, une case de PNJ neutre est praticable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en transit mais reste interdite comme destination finale. Les PNJ continuent de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se bloquer mutuellement durant leurs propres ticks.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3.3 Poursuite ennemie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Pour </w:t>
      </w:r>
      <w:r>
        <w:rPr>
          <w:rFonts w:ascii="Consolas" w:hAnsi="Consolas"/>
          <w:b w:val="0"/>
          <w:i w:val="0"/>
          <w:color w:val="1C2027"/>
          <w:sz w:val="19"/>
        </w:rPr>
        <w:t>d = |node.Lane-partyX| + |node.Row-partyY|</w:t>
      </w:r>
      <w:r>
        <w:rPr>
          <w:rFonts w:ascii="Georgia" w:hAnsi="Georgia"/>
          <w:b w:val="0"/>
          <w:i w:val="0"/>
          <w:color w:val="1C2027"/>
          <w:sz w:val="21"/>
        </w:rPr>
        <w:t xml:space="preserve"> :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d &lt;= 1</w:t>
      </w:r>
      <w:r>
        <w:rPr>
          <w:rFonts w:ascii="Georgia" w:hAnsi="Georgia"/>
          <w:b w:val="0"/>
          <w:i w:val="0"/>
          <w:color w:val="1C2027"/>
          <w:sz w:val="21"/>
        </w:rPr>
        <w:t xml:space="preserve"> : sélectionner le nœud, sans superposer les positions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2 &lt;= d &lt;= 3</w:t>
      </w:r>
      <w:r>
        <w:rPr>
          <w:rFonts w:ascii="Georgia" w:hAnsi="Georgia"/>
          <w:b w:val="0"/>
          <w:i w:val="0"/>
          <w:color w:val="1C2027"/>
          <w:sz w:val="21"/>
        </w:rPr>
        <w:t xml:space="preserve"> : tester d'abord l'axe de plus grand écart, puis l'autre axe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d &gt; 3</w:t>
      </w:r>
      <w:r>
        <w:rPr>
          <w:rFonts w:ascii="Georgia" w:hAnsi="Georgia"/>
          <w:b w:val="0"/>
          <w:i w:val="0"/>
          <w:color w:val="1C2027"/>
          <w:sz w:val="21"/>
        </w:rPr>
        <w:t xml:space="preserve"> : choisir un voisin orthogonal depuis un ordre pseudo-aléatoire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déterministe basé sur l'identité et la position courante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 xml:space="preserve">après déplacement, si </w:t>
      </w:r>
      <w:r>
        <w:rPr>
          <w:rFonts w:ascii="Consolas" w:hAnsi="Consolas"/>
          <w:b w:val="0"/>
          <w:i w:val="0"/>
          <w:color w:val="1C2027"/>
          <w:sz w:val="19"/>
        </w:rPr>
        <w:t>d &lt;= 1</w:t>
      </w:r>
      <w:r>
        <w:rPr>
          <w:rFonts w:ascii="Georgia" w:hAnsi="Georgia"/>
          <w:b w:val="0"/>
          <w:i w:val="0"/>
          <w:color w:val="1C2027"/>
          <w:sz w:val="21"/>
        </w:rPr>
        <w:t>, sélectionner le nœud.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3.4 Contact effectif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MapNode.TriggersOnContact</w:t>
      </w:r>
      <w:r>
        <w:rPr>
          <w:rFonts w:ascii="Georgia" w:hAnsi="Georgia"/>
          <w:b w:val="0"/>
          <w:i w:val="0"/>
          <w:color w:val="1C2027"/>
          <w:sz w:val="21"/>
        </w:rPr>
        <w:t xml:space="preserve"> vaut vrai pour tout type combat, même si une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sauvegarde historique porte </w:t>
      </w:r>
      <w:r>
        <w:rPr>
          <w:rFonts w:ascii="Consolas" w:hAnsi="Consolas"/>
          <w:b w:val="0"/>
          <w:i w:val="0"/>
          <w:color w:val="1C2027"/>
          <w:sz w:val="19"/>
        </w:rPr>
        <w:t>ContactBehavior.None</w:t>
      </w:r>
      <w:r>
        <w:rPr>
          <w:rFonts w:ascii="Georgia" w:hAnsi="Georgia"/>
          <w:b w:val="0"/>
          <w:i w:val="0"/>
          <w:color w:val="1C2027"/>
          <w:sz w:val="21"/>
        </w:rPr>
        <w:t>. Le DTO expose le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comportement effectif afin que le pathfinder client et le serveur restent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alignés. Les nœuds non-combat conservent leur valeur authored.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04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API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POST /api/v2/runs/{runId}/rooms/current/actors/advance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Corps 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5DAE2"/>
          <w:left w:val="single" w:sz="4" w:color="D5DAE2"/>
          <w:bottom w:val="single" w:sz="4" w:color="D5DAE2"/>
          <w:right w:val="single" w:sz="4" w:color="D5DAE2"/>
          <w:insideH w:val="single" w:sz="4" w:color="D5DAE2"/>
          <w:insideV w:val="single" w:sz="4" w:color="D5DAE2"/>
        </w:tblBorders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100" w:after="100"/>
            </w:pPr>
            <w:r>
              <w:rPr>
                <w:rFonts w:ascii="Consolas" w:hAnsi="Consolas"/>
                <w:b w:val="0"/>
                <w:i w:val="0"/>
                <w:color w:val="525C6C"/>
                <w:sz w:val="16"/>
              </w:rPr>
              <w:t>{ "mode": "All" }</w:t>
            </w:r>
          </w:p>
        </w:tc>
      </w:tr>
    </w:tbl>
    <w:p>
      <w:pPr>
        <w:spacing w:after="20"/>
      </w:pP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Réponse </w:t>
      </w:r>
      <w:r>
        <w:rPr>
          <w:rFonts w:ascii="Consolas" w:hAnsi="Consolas"/>
          <w:b w:val="0"/>
          <w:i w:val="0"/>
          <w:color w:val="1C2027"/>
          <w:sz w:val="19"/>
        </w:rPr>
        <w:t>200</w:t>
      </w:r>
      <w:r>
        <w:rPr>
          <w:rFonts w:ascii="Georgia" w:hAnsi="Georgia"/>
          <w:b w:val="0"/>
          <w:i w:val="0"/>
          <w:color w:val="1C2027"/>
          <w:sz w:val="21"/>
        </w:rPr>
        <w:t xml:space="preserve"> :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color="D5DAE2"/>
          <w:left w:val="single" w:sz="4" w:color="D5DAE2"/>
          <w:bottom w:val="single" w:sz="4" w:color="D5DAE2"/>
          <w:right w:val="single" w:sz="4" w:color="D5DAE2"/>
          <w:insideH w:val="single" w:sz="4" w:color="D5DAE2"/>
          <w:insideV w:val="single" w:sz="4" w:color="D5DAE2"/>
        </w:tblBorders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spacing w:before="100" w:after="100"/>
            </w:pPr>
            <w:r>
              <w:rPr>
                <w:rFonts w:ascii="Consolas" w:hAnsi="Consolas"/>
                <w:b w:val="0"/>
                <w:i w:val="0"/>
                <w:color w:val="525C6C"/>
                <w:sz w:val="16"/>
              </w:rPr>
              <w:t>{</w:t>
              <w:br/>
              <w:t xml:space="preserve">  "run": { "...": "RunDto" },</w:t>
              <w:br/>
              <w:t xml:space="preserve">  "movements": [</w:t>
              <w:br/>
              <w:t xml:space="preserve">    {</w:t>
              <w:br/>
              <w:t xml:space="preserve">      "actorId": "uuid",</w:t>
              <w:br/>
              <w:t xml:space="preserve">      "actorKind": "Npc",</w:t>
              <w:br/>
              <w:t xml:space="preserve">      "fromX": 4,</w:t>
              <w:br/>
              <w:t xml:space="preserve">      "fromY": 6,</w:t>
              <w:br/>
              <w:t xml:space="preserve">      "toX": 5,</w:t>
              <w:br/>
              <w:t xml:space="preserve">      "toY": 6</w:t>
              <w:br/>
              <w:t xml:space="preserve">    }</w:t>
              <w:br/>
              <w:t xml:space="preserve">  ],</w:t>
              <w:br/>
              <w:t xml:space="preserve">  "triggeredNodeId": null</w:t>
              <w:br/>
              <w:t>}</w:t>
            </w:r>
          </w:p>
        </w:tc>
      </w:tr>
    </w:tbl>
    <w:p>
      <w:pPr>
        <w:spacing w:after="20"/>
      </w:pP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Le mode est strictement validé. La commande est idempotente seulement au sens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transactionnel : deux appels réussis représentent deux ticks distincts.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Interaction et dialogue d'un PNJ physique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POST .../npcs/{roomNpcId}/interact</w:t>
      </w:r>
      <w:r>
        <w:rPr>
          <w:rFonts w:ascii="Georgia" w:hAnsi="Georgia"/>
          <w:b w:val="0"/>
          <w:i w:val="0"/>
          <w:color w:val="1C2027"/>
          <w:sz w:val="21"/>
        </w:rPr>
        <w:t xml:space="preserve"> vérifie l'adjacence, applique les règles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locales, initialise la relation de run et renvoie le premier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NpcDialogueViewDto</w:t>
      </w:r>
      <w:r>
        <w:rPr>
          <w:rFonts w:ascii="Georgia" w:hAnsi="Georgia"/>
          <w:b w:val="0"/>
          <w:i w:val="0"/>
          <w:color w:val="1C2027"/>
          <w:sz w:val="21"/>
        </w:rPr>
        <w:t xml:space="preserve"> issu du Catalogue.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POST .../npcs/{roomNpcId}/dialogue/choices</w:t>
      </w:r>
      <w:r>
        <w:rPr>
          <w:rFonts w:ascii="Georgia" w:hAnsi="Georgia"/>
          <w:b w:val="0"/>
          <w:i w:val="0"/>
          <w:color w:val="1C2027"/>
          <w:sz w:val="21"/>
        </w:rPr>
        <w:t xml:space="preserve"> applique un choix au graphe actif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sans exiger de </w:t>
      </w:r>
      <w:r>
        <w:rPr>
          <w:rFonts w:ascii="Consolas" w:hAnsi="Consolas"/>
          <w:b w:val="0"/>
          <w:i w:val="0"/>
          <w:color w:val="1C2027"/>
          <w:sz w:val="19"/>
        </w:rPr>
        <w:t>MapNode</w:t>
      </w:r>
      <w:r>
        <w:rPr>
          <w:rFonts w:ascii="Georgia" w:hAnsi="Georgia"/>
          <w:b w:val="0"/>
          <w:i w:val="0"/>
          <w:color w:val="1C2027"/>
          <w:sz w:val="21"/>
        </w:rPr>
        <w:t xml:space="preserve"> d'événement, puis renvoie le nœud suivant ou la fin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la rencontre.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Un PNJ sans définition Catalog conserve le retour protocolaire local et ne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fabrique aucun dialogue artificiel.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05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Client Vue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runStore.advanceRoomActors(mode)</w:t>
      </w:r>
      <w:r>
        <w:rPr>
          <w:rFonts w:ascii="Georgia" w:hAnsi="Georgia"/>
          <w:b w:val="0"/>
          <w:i w:val="0"/>
          <w:color w:val="1C2027"/>
          <w:sz w:val="21"/>
        </w:rPr>
        <w:t xml:space="preserve"> utilise un verrou </w:t>
      </w:r>
      <w:r>
        <w:rPr>
          <w:rFonts w:ascii="Consolas" w:hAnsi="Consolas"/>
          <w:b w:val="0"/>
          <w:i w:val="0"/>
          <w:color w:val="1C2027"/>
          <w:sz w:val="19"/>
        </w:rPr>
        <w:t>actorsAdvancing</w:t>
      </w:r>
      <w:r>
        <w:rPr>
          <w:rFonts w:ascii="Georgia" w:hAnsi="Georgia"/>
          <w:b w:val="0"/>
          <w:i w:val="0"/>
          <w:color w:val="1C2027"/>
          <w:sz w:val="21"/>
        </w:rPr>
        <w:t xml:space="preserve"> pour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interdire les appels concurrents.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RunPage</w:t>
      </w:r>
      <w:r>
        <w:rPr>
          <w:rFonts w:ascii="Georgia" w:hAnsi="Georgia"/>
          <w:b w:val="0"/>
          <w:i w:val="0"/>
          <w:color w:val="1C2027"/>
          <w:sz w:val="21"/>
        </w:rPr>
        <w:t xml:space="preserve"> demande un tick </w:t>
      </w:r>
      <w:r>
        <w:rPr>
          <w:rFonts w:ascii="Consolas" w:hAnsi="Consolas"/>
          <w:b w:val="0"/>
          <w:i w:val="0"/>
          <w:color w:val="1C2027"/>
          <w:sz w:val="19"/>
        </w:rPr>
        <w:t>All</w:t>
      </w:r>
      <w:r>
        <w:rPr>
          <w:rFonts w:ascii="Georgia" w:hAnsi="Georgia"/>
          <w:b w:val="0"/>
          <w:i w:val="0"/>
          <w:color w:val="1C2027"/>
          <w:sz w:val="21"/>
        </w:rPr>
        <w:t xml:space="preserve"> à intervalle régulier uniquement lorsque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gameplayPhase == Map</w:t>
      </w:r>
      <w:r>
        <w:rPr>
          <w:rFonts w:ascii="Georgia" w:hAnsi="Georgia"/>
          <w:b w:val="0"/>
          <w:i w:val="0"/>
          <w:color w:val="1C2027"/>
          <w:sz w:val="21"/>
        </w:rPr>
        <w:t xml:space="preserve">, que la salle est </w:t>
      </w:r>
      <w:r>
        <w:rPr>
          <w:rFonts w:ascii="Consolas" w:hAnsi="Consolas"/>
          <w:b w:val="0"/>
          <w:i w:val="0"/>
          <w:color w:val="1C2027"/>
          <w:sz w:val="19"/>
        </w:rPr>
        <w:t>Active</w:t>
      </w:r>
      <w:r>
        <w:rPr>
          <w:rFonts w:ascii="Georgia" w:hAnsi="Georgia"/>
          <w:b w:val="0"/>
          <w:i w:val="0"/>
          <w:color w:val="1C2027"/>
          <w:sz w:val="21"/>
        </w:rPr>
        <w:t xml:space="preserve"> et qu'aucune action n'est en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cours. La cadence nominale est de 1 800 ms.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movePartyTo</w:t>
      </w:r>
      <w:r>
        <w:rPr>
          <w:rFonts w:ascii="Georgia" w:hAnsi="Georgia"/>
          <w:b w:val="0"/>
          <w:i w:val="0"/>
          <w:color w:val="1C2027"/>
          <w:sz w:val="21"/>
        </w:rPr>
        <w:t xml:space="preserve"> attend l'animation du joueur puis demande </w:t>
      </w:r>
      <w:r>
        <w:rPr>
          <w:rFonts w:ascii="Consolas" w:hAnsi="Consolas"/>
          <w:b w:val="0"/>
          <w:i w:val="0"/>
          <w:color w:val="1C2027"/>
          <w:sz w:val="19"/>
        </w:rPr>
        <w:t>HostilesOnly</w:t>
      </w:r>
      <w:r>
        <w:rPr>
          <w:rFonts w:ascii="Georgia" w:hAnsi="Georgia"/>
          <w:b w:val="0"/>
          <w:i w:val="0"/>
          <w:color w:val="1C2027"/>
          <w:sz w:val="21"/>
        </w:rPr>
        <w:t xml:space="preserve"> avant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de résoudre un éventuel contact.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TacticalGridMap</w:t>
      </w:r>
      <w:r>
        <w:rPr>
          <w:rFonts w:ascii="Georgia" w:hAnsi="Georgia"/>
          <w:b w:val="0"/>
          <w:i w:val="0"/>
          <w:color w:val="1C2027"/>
          <w:sz w:val="21"/>
        </w:rPr>
        <w:t xml:space="preserve"> interpole les positions signalées par les DTO successifs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sur 420 ms, avec 70 ms de décalage entre acteurs.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 xml:space="preserve">Un clic sur un PNJ adjacent émet </w:t>
      </w:r>
      <w:r>
        <w:rPr>
          <w:rFonts w:ascii="Consolas" w:hAnsi="Consolas"/>
          <w:b w:val="0"/>
          <w:i w:val="0"/>
          <w:color w:val="1C2027"/>
          <w:sz w:val="19"/>
        </w:rPr>
        <w:t>interactRoomNpc</w:t>
      </w:r>
      <w:r>
        <w:rPr>
          <w:rFonts w:ascii="Georgia" w:hAnsi="Georgia"/>
          <w:b w:val="0"/>
          <w:i w:val="0"/>
          <w:color w:val="1C2027"/>
          <w:sz w:val="21"/>
        </w:rPr>
        <w:t>; un clic plus éloigné ne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tente jamais une destination occupée.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 xml:space="preserve">Les entrées du plateau sont désactivées pendant </w:t>
      </w:r>
      <w:r>
        <w:rPr>
          <w:rFonts w:ascii="Consolas" w:hAnsi="Consolas"/>
          <w:b w:val="0"/>
          <w:i w:val="0"/>
          <w:color w:val="1C2027"/>
          <w:sz w:val="19"/>
        </w:rPr>
        <w:t>isLoading</w:t>
      </w:r>
      <w:r>
        <w:rPr>
          <w:rFonts w:ascii="Georgia" w:hAnsi="Georgia"/>
          <w:b w:val="0"/>
          <w:i w:val="0"/>
          <w:color w:val="1C2027"/>
          <w:sz w:val="21"/>
        </w:rPr>
        <w:t xml:space="preserve"> ou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actorsAdvancing</w:t>
      </w:r>
      <w:r>
        <w:rPr>
          <w:rFonts w:ascii="Georgia" w:hAnsi="Georgia"/>
          <w:b w:val="0"/>
          <w:i w:val="0"/>
          <w:color w:val="1C2027"/>
          <w:sz w:val="21"/>
        </w:rPr>
        <w:t>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06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Persistance et compatibilité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RoomNpcEntity.X/Y</w:t>
      </w:r>
      <w:r>
        <w:rPr>
          <w:rFonts w:ascii="Georgia" w:hAnsi="Georgia"/>
          <w:b w:val="0"/>
          <w:i w:val="0"/>
          <w:color w:val="1C2027"/>
          <w:sz w:val="21"/>
        </w:rPr>
        <w:t xml:space="preserve"> persiste les PNJ comme aujourd'hui.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Consolas" w:hAnsi="Consolas"/>
          <w:b w:val="0"/>
          <w:i w:val="0"/>
          <w:color w:val="1C2027"/>
          <w:sz w:val="19"/>
        </w:rPr>
        <w:t>MapNodeEntity.Lane/Row</w:t>
      </w:r>
      <w:r>
        <w:rPr>
          <w:rFonts w:ascii="Georgia" w:hAnsi="Georgia"/>
          <w:b w:val="0"/>
          <w:i w:val="0"/>
          <w:color w:val="1C2027"/>
          <w:sz w:val="21"/>
        </w:rPr>
        <w:t xml:space="preserve"> persiste la position courante de l'ennemi.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Aucune migration n'est attendue.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Les anciennes runs obtiennent automatiquement le contact effectif pour leurs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nœuds de combat, même si </w:t>
      </w:r>
      <w:r>
        <w:rPr>
          <w:rFonts w:ascii="Consolas" w:hAnsi="Consolas"/>
          <w:b w:val="0"/>
          <w:i w:val="0"/>
          <w:color w:val="1C2027"/>
          <w:sz w:val="19"/>
        </w:rPr>
        <w:t>ContactBehavior</w:t>
      </w:r>
      <w:r>
        <w:rPr>
          <w:rFonts w:ascii="Georgia" w:hAnsi="Georgia"/>
          <w:b w:val="0"/>
          <w:i w:val="0"/>
          <w:color w:val="1C2027"/>
          <w:sz w:val="21"/>
        </w:rPr>
        <w:t xml:space="preserve"> vaut </w:t>
      </w:r>
      <w:r>
        <w:rPr>
          <w:rFonts w:ascii="Consolas" w:hAnsi="Consolas"/>
          <w:b w:val="0"/>
          <w:i w:val="0"/>
          <w:color w:val="1C2027"/>
          <w:sz w:val="19"/>
        </w:rPr>
        <w:t>None</w:t>
      </w:r>
      <w:r>
        <w:rPr>
          <w:rFonts w:ascii="Georgia" w:hAnsi="Georgia"/>
          <w:b w:val="0"/>
          <w:i w:val="0"/>
          <w:color w:val="1C2027"/>
          <w:sz w:val="21"/>
        </w:rPr>
        <w:t>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Le mapping de réhydratation conserve les identifiants et positions sans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recalcul.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07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Observabilité et erreurs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Un tick refusé pour état de salle non actif retourne une erreur métier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>cohérente avec les autres commandes de run.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Chaque réponse contient les mouvements réellement appliqués ; un acteur</w:t>
      </w:r>
    </w:p>
    <w:p>
      <w:pPr>
        <w:spacing w:after="100"/>
        <w:ind w:left="0" w:firstLine="0"/>
      </w:pPr>
      <w:r>
        <w:rPr>
          <w:rFonts w:ascii="Georgia" w:hAnsi="Georgia"/>
          <w:b w:val="0"/>
          <w:i w:val="0"/>
          <w:color w:val="1C2027"/>
          <w:sz w:val="21"/>
        </w:rPr>
        <w:t xml:space="preserve">bloqué n'apparaît pas dans </w:t>
      </w:r>
      <w:r>
        <w:rPr>
          <w:rFonts w:ascii="Consolas" w:hAnsi="Consolas"/>
          <w:b w:val="0"/>
          <w:i w:val="0"/>
          <w:color w:val="1C2027"/>
          <w:sz w:val="19"/>
        </w:rPr>
        <w:t>movements</w:t>
      </w:r>
      <w:r>
        <w:rPr>
          <w:rFonts w:ascii="Georgia" w:hAnsi="Georgia"/>
          <w:b w:val="0"/>
          <w:i w:val="0"/>
          <w:color w:val="1C2027"/>
          <w:sz w:val="21"/>
        </w:rPr>
        <w:t>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 xml:space="preserve">Une sélection par contact apparaît dans </w:t>
      </w:r>
      <w:r>
        <w:rPr>
          <w:rFonts w:ascii="Consolas" w:hAnsi="Consolas"/>
          <w:b w:val="0"/>
          <w:i w:val="0"/>
          <w:color w:val="1C2027"/>
          <w:sz w:val="19"/>
        </w:rPr>
        <w:t>triggeredNodeId</w:t>
      </w:r>
      <w:r>
        <w:rPr>
          <w:rFonts w:ascii="Georgia" w:hAnsi="Georgia"/>
          <w:b w:val="0"/>
          <w:i w:val="0"/>
          <w:color w:val="1C2027"/>
          <w:sz w:val="21"/>
        </w:rPr>
        <w:t xml:space="preserve"> et dans</w:t>
      </w:r>
    </w:p>
    <w:p>
      <w:pPr>
        <w:spacing w:after="100"/>
        <w:ind w:left="0" w:firstLine="0"/>
      </w:pPr>
      <w:r>
        <w:rPr>
          <w:rFonts w:ascii="Consolas" w:hAnsi="Consolas"/>
          <w:b w:val="0"/>
          <w:i w:val="0"/>
          <w:color w:val="1C2027"/>
          <w:sz w:val="19"/>
        </w:rPr>
        <w:t>run.currentRoom.state == NodeSelected</w:t>
      </w:r>
      <w:r>
        <w:rPr>
          <w:rFonts w:ascii="Georgia" w:hAnsi="Georgia"/>
          <w:b w:val="0"/>
          <w:i w:val="0"/>
          <w:color w:val="1C2027"/>
          <w:sz w:val="21"/>
        </w:rPr>
        <w:t>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08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Stratégie de tests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Domaine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le déplacement joueur ne modifie plus la position d'un PNJ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un PNJ à distance deux ne bouge pas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deux acteurs ne se superposent pas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un ennemi à distance trois réduit la distance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un ennemi adjacent sélectionne son nœud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tout type de combat déclenche au contact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un nœud d'événement non-combat conserve son déclencheur authored.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Application / API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commande avec run introuvable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mode invalide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réponse et persistance des mouvements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contact renvoyé puis résolu par le flux existant.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interaction physique renvoyant le dialogue Catalog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choix de dialogue physique résolu sans nœud d'événement.</w:t>
      </w:r>
    </w:p>
    <w:p>
      <w:pPr>
        <w:keepNext/>
        <w:spacing w:before="200" w:after="100"/>
      </w:pPr>
      <w:r>
        <w:rPr>
          <w:rFonts w:ascii="Georgia" w:hAnsi="Georgia"/>
          <w:b/>
          <w:i w:val="0"/>
          <w:color w:val="525C6C"/>
          <w:sz w:val="26"/>
        </w:rPr>
        <w:t>Client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verrouillage des ticks concurrents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phase hostile après animation joueur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clic adjacent sur PNJ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ouverture du dialogue Catalog et choix via l'API du PNJ physique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trajet possible à travers une case de PNJ non choisie comme destination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interpolation ancien → nouveau ;</w:t>
      </w:r>
    </w:p>
    <w:p>
      <w:pPr>
        <w:spacing w:after="100"/>
        <w:ind w:left="317" w:hanging="202"/>
      </w:pPr>
      <w:r>
        <w:rPr>
          <w:rFonts w:ascii="Georgia" w:hAnsi="Georgia"/>
          <w:b/>
          <w:i w:val="0"/>
          <w:color w:val="525C6C"/>
          <w:sz w:val="20"/>
        </w:rPr>
        <w:t xml:space="preserve">—  </w:t>
      </w:r>
      <w:r>
        <w:rPr>
          <w:rFonts w:ascii="Georgia" w:hAnsi="Georgia"/>
          <w:b w:val="0"/>
          <w:i w:val="0"/>
          <w:color w:val="1C2027"/>
          <w:sz w:val="21"/>
        </w:rPr>
        <w:t>aucune horloge pendant dialogue, événement ou combat.</w:t>
      </w:r>
    </w:p>
    <w:p>
      <w:pPr>
        <w:spacing w:before="280" w:after="80"/>
      </w:pPr>
      <w:r>
        <w:rPr>
          <w:rFonts w:ascii="Georgia" w:hAnsi="Georgia"/>
          <w:b/>
          <w:i w:val="0"/>
          <w:caps/>
          <w:color w:val="8997AA"/>
          <w:sz w:val="16"/>
        </w:rPr>
        <w:t>09    SECTION</w:t>
      </w:r>
    </w:p>
    <w:p>
      <w:pPr>
        <w:keepNext/>
        <w:spacing w:after="180"/>
      </w:pPr>
      <w:r>
        <w:rPr>
          <w:rFonts w:ascii="Georgia" w:hAnsi="Georgia"/>
          <w:b/>
          <w:i w:val="0"/>
          <w:color w:val="1C2027"/>
          <w:sz w:val="38"/>
        </w:rPr>
        <w:t>Matrice de traçabilité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6" w:color="D8DEE7"/>
          <w:left w:val="single" w:sz="6" w:color="D8DEE7"/>
          <w:bottom w:val="single" w:sz="6" w:color="D8DEE7"/>
          <w:right w:val="single" w:sz="6" w:color="D8DEE7"/>
          <w:insideH w:val="single" w:sz="6" w:color="D8DEE7"/>
          <w:insideV w:val="single" w:sz="6" w:color="D8DEE7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vAlign w:val="center"/>
            <w:shd w:fill="EEF1F5"/>
          </w:tcPr>
          <w:p>
            <w:pPr>
              <w:spacing w:before="60" w:after="60"/>
            </w:pPr>
            <w:r>
              <w:rPr>
                <w:rFonts w:ascii="Georgia" w:hAnsi="Georgia"/>
                <w:b/>
                <w:i w:val="0"/>
                <w:color w:val="525C6C"/>
                <w:sz w:val="17"/>
              </w:rPr>
              <w:t>Exigence</w:t>
            </w:r>
          </w:p>
        </w:tc>
        <w:tc>
          <w:tcPr>
            <w:tcW w:type="dxa" w:w="3120"/>
            <w:vAlign w:val="center"/>
            <w:shd w:fill="EEF1F5"/>
          </w:tcPr>
          <w:p>
            <w:pPr>
              <w:spacing w:before="60" w:after="60"/>
            </w:pPr>
            <w:r>
              <w:rPr>
                <w:rFonts w:ascii="Georgia" w:hAnsi="Georgia"/>
                <w:b/>
                <w:i w:val="0"/>
                <w:color w:val="525C6C"/>
                <w:sz w:val="17"/>
              </w:rPr>
              <w:t>Composants</w:t>
            </w:r>
          </w:p>
        </w:tc>
        <w:tc>
          <w:tcPr>
            <w:tcW w:type="dxa" w:w="3120"/>
            <w:vAlign w:val="center"/>
            <w:shd w:fill="EEF1F5"/>
          </w:tcPr>
          <w:p>
            <w:pPr>
              <w:spacing w:before="60" w:after="60"/>
            </w:pPr>
            <w:r>
              <w:rPr>
                <w:rFonts w:ascii="Georgia" w:hAnsi="Georgia"/>
                <w:b/>
                <w:i w:val="0"/>
                <w:color w:val="525C6C"/>
                <w:sz w:val="17"/>
              </w:rPr>
              <w:t>Tests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RG-EXP-001 à 003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`Room.MoveParty`, store, `RunPage`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domaine + store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RG-EXP-010 à 014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`Room.AdvanceActors`, `RoomNpc`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domaine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RG-EXP-020 à 026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`MapNode`, `Room`, resolvers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domaine + API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RG-EXP-030 à 032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règles locales existantes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régression protocoles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RG-EXP-040 à 043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`TacticalGridMap`</w:t>
            </w:r>
          </w:p>
        </w:tc>
        <w:tc>
          <w:tcPr>
            <w:tcW w:type="dxa" w:w="3120"/>
            <w:vAlign w:val="center"/>
          </w:tcPr>
          <w:p>
            <w:pPr>
              <w:spacing w:before="60" w:after="60"/>
            </w:pPr>
            <w:r>
              <w:rPr>
                <w:rFonts w:ascii="Georgia" w:hAnsi="Georgia"/>
                <w:b w:val="0"/>
                <w:i w:val="0"/>
                <w:color w:val="1C2027"/>
                <w:sz w:val="17"/>
              </w:rPr>
              <w:t>composables + manuel</w:t>
            </w:r>
          </w:p>
        </w:tc>
      </w:tr>
    </w:tbl>
    <w:p>
      <w:pPr>
        <w:spacing w:after="20"/>
      </w:pPr>
    </w:p>
    <w:sectPr>
      <w:headerReference r:id="rId2"/>
      <w:footerReference r:id="rId3"/>
      <w:pgSz w:w="12240" w:h="15840"/>
      <w:pgMar w:top="1123" w:right="1181" w:bottom="1037" w:left="1181" w:header="504" w:footer="504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tabs>
        <w:tab w:val="right" w:pos="10080"/>
      </w:tabs>
      <w:pBdr>
        <w:top w:val="single" w:sz="4" w:space="6" w:color="D6DAE0"/>
      </w:pBdr>
      <w:spacing w:before="0" w:after="0" w:line="240" w:lineRule="auto"/>
    </w:pPr>
    <w:r>
      <w:rPr>
        <w:rFonts w:ascii="Lato" w:hAnsi="Lato" w:cs="Lato"/>
        <w:caps/>
        <w:color w:val="8B96A5"/>
        <w:sz w:val="16"/>
        <w:szCs w:val="16"/>
        <w:spacing w:val="50"/>
      </w:rPr>
      <w:t xml:space="preserve">Kora — Confidentiel</w:t>
    </w:r>
    <w:r>
      <w:tab/>
    </w:r>
    <w:fldSimple w:instr=" PAGE ">
      <w:r>
        <w:rPr>
          <w:rFonts w:ascii="Lato" w:hAnsi="Lato"/>
          <w:color w:val="8B96A5"/>
          <w:sz w:val="1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Georgia" w:hAnsi="Georgia"/>
        <w:b w:val="0"/>
        <w:i w:val="0"/>
        <w:color w:val="8997AA"/>
        <w:sz w:val="14"/>
      </w:rPr>
      <w:t xml:space="preserve">DOCUMENT DE RÉFÉRENCE    ·  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tabs>
        <w:tab w:val="right" w:pos="10080"/>
      </w:tabs>
      <w:pBdr>
        <w:bottom w:val="single" w:sz="4" w:space="6" w:color="D6DAE0"/>
      </w:pBdr>
      <w:spacing w:before="0" w:after="0" w:line="240" w:lineRule="auto"/>
    </w:pPr>
    <w:r>
      <w:rPr>
        <w:rFonts w:ascii="Lato" w:hAnsi="Lato" w:cs="Lato"/>
        <w:caps/>
        <w:color w:val="8B96A5"/>
        <w:sz w:val="16"/>
        <w:szCs w:val="16"/>
        <w:spacing w:val="50"/>
      </w:rPr>
      <w:t xml:space="preserve">KOR-SFD-014 · v1.4</w:t>
    </w:r>
    <w:r>
      <w:tab/>
    </w:r>
    <w:r>
      <w:rPr>
        <w:rFonts w:ascii="Lato" w:hAnsi="Lato" w:cs="Lato"/>
        <w:caps/>
        <w:color w:val="8B96A5"/>
        <w:sz w:val="16"/>
        <w:szCs w:val="16"/>
        <w:spacing w:val="50"/>
      </w:rPr>
      <w:t xml:space="preserve">Module de paiement marchand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</w:pPr>
    <w:r>
      <w:rPr>
        <w:rFonts w:ascii="Georgia" w:hAnsi="Georgia"/>
        <w:b/>
        <w:i w:val="0"/>
        <w:color w:val="8997AA"/>
        <w:sz w:val="15"/>
      </w:rPr>
      <w:t>L’ÉPOPÉE DES SILENCES    ·    LEDS-STD-EXP-001</w:t>
    </w:r>
  </w:p>
</w:hdr>
</file>

<file path=word/styles.xml><?xml version="1.0" encoding="utf-8"?>
<w:styles xmlns:w="http://schemas.openxmlformats.org/wordprocessingml/2006/main">
  <w:docDefaults>
    <w:rPrDefault>
      <w:rPr>
        <w:rFonts w:ascii="Lato" w:hAnsi="Lato" w:cs="Lato"/>
        <w:color w:val="16191E"/>
        <w:sz w:val="22"/>
        <w:szCs w:val="22"/>
        <w:lang w:val="fr-FR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276" w:lineRule="auto"/>
    </w:pPr>
    <w:rPr>
      <w:rFonts w:ascii="Georgia" w:hAnsi="Georgia"/>
      <w:color w:val="1C2027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/Relationships>
</file>