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12240" w:type="dxa"/>
        <w:tblLayout w:type="fixed"/>
        <w:tblCellMar>
          <w:left w:w="0" w:type="dxa"/>
          <w:right w:w="0" w:type="dxa"/>
        </w:tblCellMar>
      </w:tblPr>
      <w:tblGrid>
        <w:gridCol w:w="12240"/>
      </w:tblGrid>
      <w:tr>
        <w:trPr>
          <w:trHeight w:val="14300" w:hRule="exact"/>
        </w:trPr>
        <w:tc>
          <w:tcPr>
            <w:tcW w:w="12240" w:type="dxa"/>
            <w:tcBorders>
              <w:top w:val="nil"/>
              <w:bottom w:val="nil"/>
              <w:left w:val="nil"/>
              <w:right w:val="nil"/>
            </w:tcBorders>
            <w:shd w:val="clear" w:color="auto" w:fill="0E1116"/>
            <w:tcMar>
              <w:top w:w="1160" w:type="dxa"/>
              <w:bottom w:w="1160" w:type="dxa"/>
              <w:left w:w="1260" w:type="dxa"/>
              <w:right w:w="1260" w:type="dxa"/>
            </w:tcMar>
          </w:tcPr>
          <w:p>
            <w:pPr>
              <w:tabs>
                <w:tab w:val="right" w:pos="9720"/>
              </w:tabs>
              <w:spacing w:before="0" w:after="0" w:line="240" w:lineRule="auto"/>
            </w:pPr>
            <w:r>
              <w:rPr>
                <w:rFonts w:ascii="Lato" w:hAnsi="Lato" w:cs="Lato"/>
                <w:caps/>
                <w:color w:val="9AA5B1"/>
                <w:sz w:val="17"/>
                <w:szCs w:val="17"/>
                <w:spacing w:val="40"/>
              </w:rPr>
              <w:t>L’ÉPOPÉE DES SILENCES</w:t>
              <w:tab/>
              <w:t>CONFIDENTIEL — DOCUMENT DE TRAVAIL</w:t>
            </w:r>
            <w:r/>
            <w:r>
              <w:rPr>
                <w:rFonts w:ascii="Lato" w:hAnsi="Lato" w:cs="Lato"/>
                <w:caps/>
                <w:color w:val="6B7688"/>
                <w:sz w:val="17"/>
                <w:szCs w:val="17"/>
                <w:spacing w:val="40"/>
              </w:rPr>
            </w:r>
          </w:p>
          <w:p>
            <w:pPr>
              <w:spacing w:before="0" w:after="3600" w:line="300" w:lineRule="auto"/>
            </w:pPr>
            <w:r>
              <w:rPr>
                <w:rFonts w:ascii="Lato" w:hAnsi="Lato" w:cs="Lato"/>
                <w:color w:val="16191E"/>
                <w:sz w:val="22"/>
                <w:szCs w:val="22"/>
              </w:rPr>
              <w:t xml:space="preserve"/>
            </w:r>
          </w:p>
          <w:p>
            <w:pPr>
              <w:spacing w:before="0" w:after="320" w:line="300" w:lineRule="auto"/>
            </w:pPr>
            <w:r>
              <w:rPr>
                <w:rFonts w:ascii="Lato" w:hAnsi="Lato" w:cs="Lato"/>
                <w:caps/>
                <w:color w:val="9AA5B1"/>
                <w:sz w:val="18"/>
                <w:szCs w:val="18"/>
                <w:spacing w:val="60"/>
              </w:rPr>
              <w:t>PLAN · ROADMAP DE DÉVELOPPEMENT</w:t>
            </w:r>
          </w:p>
          <w:p>
            <w:pPr>
              <w:spacing w:before="0" w:after="0" w:line="210" w:lineRule="auto"/>
            </w:pPr>
            <w:r>
              <w:rPr>
                <w:rFonts w:ascii="Lato" w:hAnsi="Lato" w:cs="Lato"/>
                <w:b/>
                <w:color w:val="E6E9EE"/>
                <w:sz w:val="80"/>
                <w:szCs w:val="80"/>
              </w:rPr>
              <w:t>Roadmap vers</w:t>
            </w:r>
          </w:p>
          <w:p>
            <w:pPr>
              <w:spacing w:before="0" w:after="340" w:line="210" w:lineRule="auto"/>
            </w:pPr>
            <w:r>
              <w:rPr>
                <w:rFonts w:ascii="Lato" w:hAnsi="Lato" w:cs="Lato"/>
                <w:b/>
                <w:color w:val="6B7688"/>
                <w:sz w:val="80"/>
                <w:szCs w:val="80"/>
              </w:rPr>
              <w:t>la bêta jouable</w:t>
            </w:r>
          </w:p>
          <w:p>
            <w:pPr>
              <w:spacing w:before="0" w:after="0" w:line="340" w:lineRule="auto"/>
            </w:pPr>
            <w:r>
              <w:rPr>
                <w:rFonts w:ascii="Lato" w:hAnsi="Lato" w:cs="Lato"/>
                <w:color w:val="9AA5B1"/>
                <w:sz w:val="24"/>
                <w:szCs w:val="24"/>
              </w:rPr>
              <w:t>CI/CD, comptes utilisateurs, tranche verticale, contenu et durcissement.</w:t>
            </w:r>
          </w:p>
          <w:p>
            <w:pPr>
              <w:spacing w:before="0" w:after="3200" w:line="300" w:lineRule="auto"/>
            </w:pPr>
            <w:r>
              <w:rPr>
                <w:rFonts w:ascii="Lato" w:hAnsi="Lato" w:cs="Lato"/>
                <w:color w:val="16191E"/>
                <w:sz w:val="22"/>
                <w:szCs w:val="22"/>
              </w:rPr>
              <w:t xml:space="preserve"/>
            </w:r>
          </w:p>
          <w:tbl>
            <w:tblPr>
              <w:tblW w:w="9720" w:type="dxa"/>
              <w:tblLayout w:type="fixed"/>
              <w:tblCellMar>
                <w:left w:w="0" w:type="dxa"/>
                <w:right w:w="0" w:type="dxa"/>
              </w:tblCellMar>
            </w:tblPr>
            <w:tblGrid>
              <w:gridCol w:w="2430"/>
              <w:gridCol w:w="2430"/>
              <w:gridCol w:w="2430"/>
              <w:gridCol w:w="2430"/>
            </w:tblGrid>
            <w:tr>
              <w:tc>
                <w:tcPr>
                  <w:tcW w:w="2430" w:type="dxa"/>
                  <w:tcBorders>
                    <w:top w:val="single" w:sz="4" w:space="0" w:color="2B333D"/>
                    <w:bottom w:val="nil"/>
                    <w:left w:val="nil"/>
                    <w:right w:val="nil"/>
                  </w:tcBorders>
                  <w:tcMar>
                    <w:top w:w="120" w:type="dxa"/>
                    <w:bottom w:w="0" w:type="dxa"/>
                    <w:left w:w="0" w:type="dxa"/>
                    <w:right w:w="120" w:type="dxa"/>
                  </w:tcMar>
                </w:tcPr>
                <w:p>
                  <w:pPr>
                    <w:spacing w:before="0" w:after="60" w:line="240" w:lineRule="auto"/>
                  </w:pPr>
                  <w:r>
                    <w:rPr>
                      <w:rFonts w:ascii="Lato" w:hAnsi="Lato" w:cs="Lato"/>
                      <w:caps/>
                      <w:color w:val="6B7688"/>
                      <w:sz w:val="16"/>
                      <w:szCs w:val="16"/>
                      <w:spacing w:val="40"/>
                    </w:rPr>
                    <w:t xml:space="preserve">Référence</w:t>
                  </w:r>
                </w:p>
              </w:tc>
              <w:tc>
                <w:tcPr>
                  <w:tcW w:w="2430" w:type="dxa"/>
                  <w:tcBorders>
                    <w:top w:val="single" w:sz="4" w:space="0" w:color="2B333D"/>
                    <w:bottom w:val="nil"/>
                    <w:left w:val="nil"/>
                    <w:right w:val="nil"/>
                  </w:tcBorders>
                  <w:tcMar>
                    <w:top w:w="120" w:type="dxa"/>
                    <w:bottom w:w="0" w:type="dxa"/>
                    <w:left w:w="0" w:type="dxa"/>
                    <w:right w:w="120" w:type="dxa"/>
                  </w:tcMar>
                </w:tcPr>
                <w:p>
                  <w:pPr>
                    <w:spacing w:before="0" w:after="60" w:line="240" w:lineRule="auto"/>
                  </w:pPr>
                  <w:r>
                    <w:rPr>
                      <w:rFonts w:ascii="Lato" w:hAnsi="Lato" w:cs="Lato"/>
                      <w:caps/>
                      <w:color w:val="6B7688"/>
                      <w:sz w:val="16"/>
                      <w:szCs w:val="16"/>
                      <w:spacing w:val="40"/>
                    </w:rPr>
                    <w:t xml:space="preserve">Version</w:t>
                  </w:r>
                </w:p>
              </w:tc>
              <w:tc>
                <w:tcPr>
                  <w:tcW w:w="2430" w:type="dxa"/>
                  <w:tcBorders>
                    <w:top w:val="single" w:sz="4" w:space="0" w:color="2B333D"/>
                    <w:bottom w:val="nil"/>
                    <w:left w:val="nil"/>
                    <w:right w:val="nil"/>
                  </w:tcBorders>
                  <w:tcMar>
                    <w:top w:w="120" w:type="dxa"/>
                    <w:bottom w:w="0" w:type="dxa"/>
                    <w:left w:w="0" w:type="dxa"/>
                    <w:right w:w="120" w:type="dxa"/>
                  </w:tcMar>
                </w:tcPr>
                <w:p>
                  <w:pPr>
                    <w:spacing w:before="0" w:after="60" w:line="240" w:lineRule="auto"/>
                  </w:pPr>
                  <w:r>
                    <w:rPr>
                      <w:rFonts w:ascii="Lato" w:hAnsi="Lato" w:cs="Lato"/>
                      <w:caps/>
                      <w:color w:val="6B7688"/>
                      <w:sz w:val="16"/>
                      <w:szCs w:val="16"/>
                      <w:spacing w:val="40"/>
                    </w:rPr>
                    <w:t xml:space="preserve">Auteur</w:t>
                  </w:r>
                </w:p>
              </w:tc>
              <w:tc>
                <w:tcPr>
                  <w:tcW w:w="2430" w:type="dxa"/>
                  <w:tcBorders>
                    <w:top w:val="single" w:sz="4" w:space="0" w:color="2B333D"/>
                    <w:bottom w:val="nil"/>
                    <w:left w:val="nil"/>
                    <w:right w:val="nil"/>
                  </w:tcBorders>
                  <w:tcMar>
                    <w:top w:w="120" w:type="dxa"/>
                    <w:bottom w:w="0" w:type="dxa"/>
                    <w:left w:w="0" w:type="dxa"/>
                    <w:right w:w="120" w:type="dxa"/>
                  </w:tcMar>
                </w:tcPr>
                <w:p>
                  <w:pPr>
                    <w:spacing w:before="0" w:after="60" w:line="240" w:lineRule="auto"/>
                  </w:pPr>
                  <w:r>
                    <w:rPr>
                      <w:rFonts w:ascii="Lato" w:hAnsi="Lato" w:cs="Lato"/>
                      <w:caps/>
                      <w:color w:val="6B7688"/>
                      <w:sz w:val="16"/>
                      <w:szCs w:val="16"/>
                      <w:spacing w:val="40"/>
                    </w:rPr>
                    <w:t xml:space="preserve">Statut</w:t>
                  </w:r>
                </w:p>
              </w:tc>
            </w:tr>
            <w:tr>
              <w:tc>
                <w:tcPr>
                  <w:tcW w:w="2430" w:type="dxa"/>
                  <w:tcBorders>
                    <w:top w:val="nil"/>
                    <w:bottom w:val="nil"/>
                    <w:left w:val="nil"/>
                    <w:right w:val="nil"/>
                  </w:tcBorders>
                  <w:tcMar>
                    <w:top w:w="0" w:type="dxa"/>
                    <w:bottom w:w="140" w:type="dxa"/>
                    <w:left w:w="0" w:type="dxa"/>
                    <w:right w:w="120" w:type="dxa"/>
                  </w:tcMar>
                </w:tcPr>
                <w:p>
                  <w:pPr>
                    <w:spacing w:before="0" w:after="0" w:line="240" w:lineRule="auto"/>
                  </w:pPr>
                  <w:r>
                    <w:rPr>
                      <w:rFonts w:ascii="Lato" w:hAnsi="Lato" w:cs="Lato"/>
                      <w:color w:val="E6E9EE"/>
                      <w:sz w:val="21"/>
                      <w:szCs w:val="21"/>
                    </w:rPr>
                    <w:t>LEDS-PLAN-BETA-001</w:t>
                  </w:r>
                </w:p>
              </w:tc>
              <w:tc>
                <w:tcPr>
                  <w:tcW w:w="2430" w:type="dxa"/>
                  <w:tcBorders>
                    <w:top w:val="nil"/>
                    <w:bottom w:val="nil"/>
                    <w:left w:val="nil"/>
                    <w:right w:val="nil"/>
                  </w:tcBorders>
                  <w:tcMar>
                    <w:top w:w="0" w:type="dxa"/>
                    <w:bottom w:w="140" w:type="dxa"/>
                    <w:left w:w="0" w:type="dxa"/>
                    <w:right w:w="120" w:type="dxa"/>
                  </w:tcMar>
                </w:tcPr>
                <w:p>
                  <w:pPr>
                    <w:spacing w:before="0" w:after="0" w:line="240" w:lineRule="auto"/>
                  </w:pPr>
                  <w:r>
                    <w:rPr>
                      <w:rFonts w:ascii="Lato" w:hAnsi="Lato" w:cs="Lato"/>
                      <w:color w:val="E6E9EE"/>
                      <w:sz w:val="21"/>
                      <w:szCs w:val="21"/>
                    </w:rPr>
                    <w:t>1.0 — 25/08/2026</w:t>
                  </w:r>
                </w:p>
              </w:tc>
              <w:tc>
                <w:tcPr>
                  <w:tcW w:w="2430" w:type="dxa"/>
                  <w:tcBorders>
                    <w:top w:val="nil"/>
                    <w:bottom w:val="nil"/>
                    <w:left w:val="nil"/>
                    <w:right w:val="nil"/>
                  </w:tcBorders>
                  <w:tcMar>
                    <w:top w:w="0" w:type="dxa"/>
                    <w:bottom w:w="140" w:type="dxa"/>
                    <w:left w:w="0" w:type="dxa"/>
                    <w:right w:w="120" w:type="dxa"/>
                  </w:tcMar>
                </w:tcPr>
                <w:p>
                  <w:pPr>
                    <w:spacing w:before="0" w:after="0" w:line="240" w:lineRule="auto"/>
                  </w:pPr>
                  <w:r>
                    <w:rPr>
                      <w:rFonts w:ascii="Lato" w:hAnsi="Lato" w:cs="Lato"/>
                      <w:color w:val="E6E9EE"/>
                      <w:sz w:val="21"/>
                      <w:szCs w:val="21"/>
                    </w:rPr>
                    <w:t>Équipe L’Épopée des Silences</w:t>
                  </w:r>
                </w:p>
              </w:tc>
              <w:tc>
                <w:tcPr>
                  <w:tcW w:w="2430" w:type="dxa"/>
                  <w:tcBorders>
                    <w:top w:val="nil"/>
                    <w:bottom w:val="nil"/>
                    <w:left w:val="nil"/>
                    <w:right w:val="nil"/>
                  </w:tcBorders>
                  <w:tcMar>
                    <w:top w:w="0" w:type="dxa"/>
                    <w:bottom w:w="140" w:type="dxa"/>
                    <w:left w:w="0" w:type="dxa"/>
                    <w:right w:w="120" w:type="dxa"/>
                  </w:tcMar>
                </w:tcPr>
                <w:p>
                  <w:pPr>
                    <w:spacing w:before="0" w:after="0" w:line="240" w:lineRule="auto"/>
                  </w:pPr>
                  <w:r>
                    <w:rPr>
                      <w:rFonts w:ascii="Lato" w:hAnsi="Lato" w:cs="Lato"/>
                      <w:color w:val="E6E9EE"/>
                      <w:sz w:val="21"/>
                      <w:szCs w:val="21"/>
                    </w:rPr>
                    <w:t>Plan directeur</w:t>
                  </w:r>
                </w:p>
              </w:tc>
            </w:tr>
          </w:tbl>
          <w:p>
            <w:pPr>
              <w:spacing w:before="0" w:after="0" w:line="300" w:lineRule="auto"/>
            </w:pPr>
            <w:r>
              <w:rPr>
                <w:rFonts w:ascii="Lato" w:hAnsi="Lato" w:cs="Lato"/>
                <w:color w:val="16191E"/>
                <w:sz w:val="2"/>
                <w:szCs w:val="2"/>
              </w:rPr>
              <w:t xml:space="preserve"/>
            </w:r>
          </w:p>
        </w:tc>
      </w:tr>
    </w:tbl>
    <w:p>
      <w:pPr>
        <w:spacing w:after="0" w:line="20" w:lineRule="exact"/>
        <w:rPr>
          <w:sz w:val="2"/>
        </w:rPr>
        <w:sectPr>
          <w:headerReference w:type="default" r:id="rId4"/>
          <w:footerReference w:type="default" r:id="rId5"/>
          <w:pgSz w:w="12240" w:h="15840"/>
          <w:pgMar w:top="0" w:right="0" w:bottom="0" w:left="0" w:header="0" w:footer="0" w:gutter="0"/>
        </w:sectPr>
      </w:pPr>
    </w:p>
    <w:p>
      <w:pPr>
        <w:keepNext/>
        <w:spacing w:before="280" w:after="80"/>
      </w:pPr>
      <w:r>
        <w:rPr>
          <w:rFonts w:ascii="Georgia" w:hAnsi="Georgia"/>
          <w:b/>
          <w:i w:val="0"/>
          <w:caps/>
          <w:color w:val="8997AA"/>
          <w:sz w:val="16"/>
        </w:rPr>
        <w:t>—    SOMMAIRE</w:t>
      </w:r>
    </w:p>
    <w:p>
      <w:pPr>
        <w:spacing w:after="320"/>
      </w:pPr>
      <w:r>
        <w:rPr>
          <w:rFonts w:ascii="Georgia" w:hAnsi="Georgia"/>
          <w:b/>
          <w:i w:val="0"/>
          <w:color w:val="1C2027"/>
          <w:sz w:val="44"/>
        </w:rPr>
        <w:t>Sommaire</w:t>
      </w:r>
    </w:p>
    <w:tbl>
      <w:tblPr>
        <w:tblW w:type="dxa" w:w="9360"/>
        <w:jc w:val="left"/>
        <w:tblLayout w:type="fixed"/>
        <w:tblLook w:firstColumn="1" w:firstRow="1" w:lastColumn="0" w:lastRow="0" w:noHBand="0" w:noVBand="1" w:val="04A0"/>
        <w:tblInd w:w="120" w:type="dxa"/>
        <w:tblBorders>
          <w:top w:val="single" w:sz="4" w:color="E0E5EC"/>
          <w:left w:val="single" w:sz="4" w:color="E0E5EC"/>
          <w:bottom w:val="single" w:sz="4" w:color="E0E5EC"/>
          <w:right w:val="single" w:sz="4" w:color="E0E5EC"/>
          <w:insideH w:val="single" w:sz="4" w:color="E0E5EC"/>
          <w:insideV w:val="single" w:sz="4" w:color="E0E5EC"/>
        </w:tblBorders>
      </w:tblPr>
      <w:tblGrid>
        <w:gridCol w:w="900"/>
        <w:gridCol w:w="8460"/>
      </w:tblGrid>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01</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Finalité de la roadmap</w:t>
            </w:r>
          </w:p>
        </w:tc>
      </w:tr>
      <w:tr>
        <w:tc>
          <w:tcPr>
            <w:tcW w:type="dxa" w:w="900"/>
            <w:tcMar>
              <w:top w:w="90" w:type="dxa"/>
              <w:start w:w="120" w:type="dxa"/>
              <w:bottom w:w="90" w:type="dxa"/>
              <w:end w:w="120" w:type="dxa"/>
            </w:tcMar>
            <w:shd w:fill="F7F8FA"/>
          </w:tcPr>
          <w:p>
            <w:pPr>
              <w:spacing w:before="60" w:after="60"/>
            </w:pPr>
            <w:r>
              <w:rPr>
                <w:rFonts w:ascii="Georgia" w:hAnsi="Georgia"/>
                <w:b w:val="0"/>
                <w:i w:val="0"/>
                <w:color w:val="8997AA"/>
                <w:sz w:val="18"/>
              </w:rPr>
              <w:t>02</w:t>
            </w:r>
          </w:p>
        </w:tc>
        <w:tc>
          <w:tcPr>
            <w:tcW w:type="dxa" w:w="8460"/>
            <w:tcMar>
              <w:top w:w="90" w:type="dxa"/>
              <w:start w:w="120" w:type="dxa"/>
              <w:bottom w:w="90" w:type="dxa"/>
              <w:end w:w="120" w:type="dxa"/>
            </w:tcMar>
            <w:shd w:fill="F7F8FA"/>
          </w:tcPr>
          <w:p>
            <w:pPr>
              <w:spacing w:before="60" w:after="60"/>
            </w:pPr>
            <w:r>
              <w:rPr>
                <w:rFonts w:ascii="Georgia" w:hAnsi="Georgia"/>
                <w:b/>
                <w:i w:val="0"/>
                <w:color w:val="1C2027"/>
                <w:sz w:val="18"/>
              </w:rPr>
              <w:t>État de départ</w:t>
            </w:r>
          </w:p>
        </w:tc>
      </w:tr>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03</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Vue d’ensemble</w:t>
            </w:r>
          </w:p>
        </w:tc>
      </w:tr>
      <w:tr>
        <w:tc>
          <w:tcPr>
            <w:tcW w:type="dxa" w:w="900"/>
            <w:tcMar>
              <w:top w:w="90" w:type="dxa"/>
              <w:start w:w="120" w:type="dxa"/>
              <w:bottom w:w="90" w:type="dxa"/>
              <w:end w:w="120" w:type="dxa"/>
            </w:tcMar>
            <w:shd w:fill="F7F8FA"/>
          </w:tcPr>
          <w:p>
            <w:pPr>
              <w:spacing w:before="60" w:after="60"/>
            </w:pPr>
            <w:r>
              <w:rPr>
                <w:rFonts w:ascii="Georgia" w:hAnsi="Georgia"/>
                <w:b w:val="0"/>
                <w:i w:val="0"/>
                <w:color w:val="8997AA"/>
                <w:sz w:val="18"/>
              </w:rPr>
              <w:t>04</w:t>
            </w:r>
          </w:p>
        </w:tc>
        <w:tc>
          <w:tcPr>
            <w:tcW w:type="dxa" w:w="8460"/>
            <w:tcMar>
              <w:top w:w="90" w:type="dxa"/>
              <w:start w:w="120" w:type="dxa"/>
              <w:bottom w:w="90" w:type="dxa"/>
              <w:end w:w="120" w:type="dxa"/>
            </w:tcMar>
            <w:shd w:fill="F7F8FA"/>
          </w:tcPr>
          <w:p>
            <w:pPr>
              <w:spacing w:before="60" w:after="60"/>
            </w:pPr>
            <w:r>
              <w:rPr>
                <w:rFonts w:ascii="Georgia" w:hAnsi="Georgia"/>
                <w:b/>
                <w:i w:val="0"/>
                <w:color w:val="1C2027"/>
                <w:sz w:val="18"/>
              </w:rPr>
              <w:t>Phase M0 — Baseline qualité et gouvernance</w:t>
            </w:r>
          </w:p>
        </w:tc>
      </w:tr>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05</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Phase M1 — CI verte et couverture à 80 %</w:t>
            </w:r>
          </w:p>
        </w:tc>
      </w:tr>
      <w:tr>
        <w:tc>
          <w:tcPr>
            <w:tcW w:type="dxa" w:w="900"/>
            <w:tcMar>
              <w:top w:w="90" w:type="dxa"/>
              <w:start w:w="120" w:type="dxa"/>
              <w:bottom w:w="90" w:type="dxa"/>
              <w:end w:w="120" w:type="dxa"/>
            </w:tcMar>
            <w:shd w:fill="F7F8FA"/>
          </w:tcPr>
          <w:p>
            <w:pPr>
              <w:spacing w:before="60" w:after="60"/>
            </w:pPr>
            <w:r>
              <w:rPr>
                <w:rFonts w:ascii="Georgia" w:hAnsi="Georgia"/>
                <w:b w:val="0"/>
                <w:i w:val="0"/>
                <w:color w:val="8997AA"/>
                <w:sz w:val="18"/>
              </w:rPr>
              <w:t>06</w:t>
            </w:r>
          </w:p>
        </w:tc>
        <w:tc>
          <w:tcPr>
            <w:tcW w:type="dxa" w:w="8460"/>
            <w:tcMar>
              <w:top w:w="90" w:type="dxa"/>
              <w:start w:w="120" w:type="dxa"/>
              <w:bottom w:w="90" w:type="dxa"/>
              <w:end w:w="120" w:type="dxa"/>
            </w:tcMar>
            <w:shd w:fill="F7F8FA"/>
          </w:tcPr>
          <w:p>
            <w:pPr>
              <w:spacing w:before="60" w:after="60"/>
            </w:pPr>
            <w:r>
              <w:rPr>
                <w:rFonts w:ascii="Georgia" w:hAnsi="Georgia"/>
                <w:b/>
                <w:i w:val="0"/>
                <w:color w:val="1C2027"/>
                <w:sz w:val="18"/>
              </w:rPr>
              <w:t>Phase M2 — Conteneurisation et CD</w:t>
            </w:r>
          </w:p>
        </w:tc>
      </w:tr>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07</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Phase M3 — Comptes utilisateurs et identité</w:t>
            </w:r>
          </w:p>
        </w:tc>
      </w:tr>
      <w:tr>
        <w:tc>
          <w:tcPr>
            <w:tcW w:type="dxa" w:w="900"/>
            <w:tcMar>
              <w:top w:w="90" w:type="dxa"/>
              <w:start w:w="120" w:type="dxa"/>
              <w:bottom w:w="90" w:type="dxa"/>
              <w:end w:w="120" w:type="dxa"/>
            </w:tcMar>
            <w:shd w:fill="F7F8FA"/>
          </w:tcPr>
          <w:p>
            <w:pPr>
              <w:spacing w:before="60" w:after="60"/>
            </w:pPr>
            <w:r>
              <w:rPr>
                <w:rFonts w:ascii="Georgia" w:hAnsi="Georgia"/>
                <w:b w:val="0"/>
                <w:i w:val="0"/>
                <w:color w:val="8997AA"/>
                <w:sz w:val="18"/>
              </w:rPr>
              <w:t>08</w:t>
            </w:r>
          </w:p>
        </w:tc>
        <w:tc>
          <w:tcPr>
            <w:tcW w:type="dxa" w:w="8460"/>
            <w:tcMar>
              <w:top w:w="90" w:type="dxa"/>
              <w:start w:w="120" w:type="dxa"/>
              <w:bottom w:w="90" w:type="dxa"/>
              <w:end w:w="120" w:type="dxa"/>
            </w:tcMar>
            <w:shd w:fill="F7F8FA"/>
          </w:tcPr>
          <w:p>
            <w:pPr>
              <w:spacing w:before="60" w:after="60"/>
            </w:pPr>
            <w:r>
              <w:rPr>
                <w:rFonts w:ascii="Georgia" w:hAnsi="Georgia"/>
                <w:b/>
                <w:i w:val="0"/>
                <w:color w:val="1C2027"/>
                <w:sz w:val="18"/>
              </w:rPr>
              <w:t>Phase M4 — Tranche verticale jouable</w:t>
            </w:r>
          </w:p>
        </w:tc>
      </w:tr>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09</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Phase M5 — Contenu et expérience bêta</w:t>
            </w:r>
          </w:p>
        </w:tc>
      </w:tr>
      <w:tr>
        <w:tc>
          <w:tcPr>
            <w:tcW w:type="dxa" w:w="900"/>
            <w:tcMar>
              <w:top w:w="90" w:type="dxa"/>
              <w:start w:w="120" w:type="dxa"/>
              <w:bottom w:w="90" w:type="dxa"/>
              <w:end w:w="120" w:type="dxa"/>
            </w:tcMar>
            <w:shd w:fill="F7F8FA"/>
          </w:tcPr>
          <w:p>
            <w:pPr>
              <w:spacing w:before="60" w:after="60"/>
            </w:pPr>
            <w:r>
              <w:rPr>
                <w:rFonts w:ascii="Georgia" w:hAnsi="Georgia"/>
                <w:b w:val="0"/>
                <w:i w:val="0"/>
                <w:color w:val="8997AA"/>
                <w:sz w:val="18"/>
              </w:rPr>
              <w:t>10</w:t>
            </w:r>
          </w:p>
        </w:tc>
        <w:tc>
          <w:tcPr>
            <w:tcW w:type="dxa" w:w="8460"/>
            <w:tcMar>
              <w:top w:w="90" w:type="dxa"/>
              <w:start w:w="120" w:type="dxa"/>
              <w:bottom w:w="90" w:type="dxa"/>
              <w:end w:w="120" w:type="dxa"/>
            </w:tcMar>
            <w:shd w:fill="F7F8FA"/>
          </w:tcPr>
          <w:p>
            <w:pPr>
              <w:spacing w:before="60" w:after="60"/>
            </w:pPr>
            <w:r>
              <w:rPr>
                <w:rFonts w:ascii="Georgia" w:hAnsi="Georgia"/>
                <w:b/>
                <w:i w:val="0"/>
                <w:color w:val="1C2027"/>
                <w:sz w:val="18"/>
              </w:rPr>
              <w:t>Phase M6 — Durcissement et ouverture bêta</w:t>
            </w:r>
          </w:p>
        </w:tc>
      </w:tr>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11</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Dépendances critiques</w:t>
            </w:r>
          </w:p>
        </w:tc>
      </w:tr>
      <w:tr>
        <w:tc>
          <w:tcPr>
            <w:tcW w:type="dxa" w:w="900"/>
            <w:tcMar>
              <w:top w:w="90" w:type="dxa"/>
              <w:start w:w="120" w:type="dxa"/>
              <w:bottom w:w="90" w:type="dxa"/>
              <w:end w:w="120" w:type="dxa"/>
            </w:tcMar>
            <w:shd w:fill="F7F8FA"/>
          </w:tcPr>
          <w:p>
            <w:pPr>
              <w:spacing w:before="60" w:after="60"/>
            </w:pPr>
            <w:r>
              <w:rPr>
                <w:rFonts w:ascii="Georgia" w:hAnsi="Georgia"/>
                <w:b w:val="0"/>
                <w:i w:val="0"/>
                <w:color w:val="8997AA"/>
                <w:sz w:val="18"/>
              </w:rPr>
              <w:t>12</w:t>
            </w:r>
          </w:p>
        </w:tc>
        <w:tc>
          <w:tcPr>
            <w:tcW w:type="dxa" w:w="8460"/>
            <w:tcMar>
              <w:top w:w="90" w:type="dxa"/>
              <w:start w:w="120" w:type="dxa"/>
              <w:bottom w:w="90" w:type="dxa"/>
              <w:end w:w="120" w:type="dxa"/>
            </w:tcMar>
            <w:shd w:fill="F7F8FA"/>
          </w:tcPr>
          <w:p>
            <w:pPr>
              <w:spacing w:before="60" w:after="60"/>
            </w:pPr>
            <w:r>
              <w:rPr>
                <w:rFonts w:ascii="Georgia" w:hAnsi="Georgia"/>
                <w:b/>
                <w:i w:val="0"/>
                <w:color w:val="1C2027"/>
                <w:sz w:val="18"/>
              </w:rPr>
              <w:t>Definition of Ready de la bêta</w:t>
            </w:r>
          </w:p>
        </w:tc>
      </w:tr>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13</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Risques et réponses</w:t>
            </w:r>
          </w:p>
        </w:tc>
      </w:tr>
      <w:tr>
        <w:tc>
          <w:tcPr>
            <w:tcW w:type="dxa" w:w="900"/>
            <w:tcMar>
              <w:top w:w="90" w:type="dxa"/>
              <w:start w:w="120" w:type="dxa"/>
              <w:bottom w:w="90" w:type="dxa"/>
              <w:end w:w="120" w:type="dxa"/>
            </w:tcMar>
            <w:shd w:fill="F7F8FA"/>
          </w:tcPr>
          <w:p>
            <w:pPr>
              <w:spacing w:before="60" w:after="60"/>
            </w:pPr>
            <w:r>
              <w:rPr>
                <w:rFonts w:ascii="Georgia" w:hAnsi="Georgia"/>
                <w:b w:val="0"/>
                <w:i w:val="0"/>
                <w:color w:val="8997AA"/>
                <w:sz w:val="18"/>
              </w:rPr>
              <w:t>14</w:t>
            </w:r>
          </w:p>
        </w:tc>
        <w:tc>
          <w:tcPr>
            <w:tcW w:type="dxa" w:w="8460"/>
            <w:tcMar>
              <w:top w:w="90" w:type="dxa"/>
              <w:start w:w="120" w:type="dxa"/>
              <w:bottom w:w="90" w:type="dxa"/>
              <w:end w:w="120" w:type="dxa"/>
            </w:tcMar>
            <w:shd w:fill="F7F8FA"/>
          </w:tcPr>
          <w:p>
            <w:pPr>
              <w:spacing w:before="60" w:after="60"/>
            </w:pPr>
            <w:r>
              <w:rPr>
                <w:rFonts w:ascii="Georgia" w:hAnsi="Georgia"/>
                <w:b/>
                <w:i w:val="0"/>
                <w:color w:val="1C2027"/>
                <w:sz w:val="18"/>
              </w:rPr>
              <w:t>Gouvernance et pilotage</w:t>
            </w:r>
          </w:p>
        </w:tc>
      </w:tr>
      <w:tr>
        <w:tc>
          <w:tcPr>
            <w:tcW w:type="dxa" w:w="900"/>
            <w:tcMar>
              <w:top w:w="90" w:type="dxa"/>
              <w:start w:w="120" w:type="dxa"/>
              <w:bottom w:w="90" w:type="dxa"/>
              <w:end w:w="120" w:type="dxa"/>
            </w:tcMar>
            <w:shd w:fill="FFFFFF"/>
          </w:tcPr>
          <w:p>
            <w:pPr>
              <w:spacing w:before="60" w:after="60"/>
            </w:pPr>
            <w:r>
              <w:rPr>
                <w:rFonts w:ascii="Georgia" w:hAnsi="Georgia"/>
                <w:b w:val="0"/>
                <w:i w:val="0"/>
                <w:color w:val="8997AA"/>
                <w:sz w:val="18"/>
              </w:rPr>
              <w:t>15</w:t>
            </w:r>
          </w:p>
        </w:tc>
        <w:tc>
          <w:tcPr>
            <w:tcW w:type="dxa" w:w="8460"/>
            <w:tcMar>
              <w:top w:w="90" w:type="dxa"/>
              <w:start w:w="120" w:type="dxa"/>
              <w:bottom w:w="90" w:type="dxa"/>
              <w:end w:w="120" w:type="dxa"/>
            </w:tcMar>
            <w:shd w:fill="FFFFFF"/>
          </w:tcPr>
          <w:p>
            <w:pPr>
              <w:spacing w:before="60" w:after="60"/>
            </w:pPr>
            <w:r>
              <w:rPr>
                <w:rFonts w:ascii="Georgia" w:hAnsi="Georgia"/>
                <w:b/>
                <w:i w:val="0"/>
                <w:color w:val="1C2027"/>
                <w:sz w:val="18"/>
              </w:rPr>
              <w:t>Historique</w:t>
            </w:r>
          </w:p>
        </w:tc>
      </w:tr>
    </w:tbl>
    <w:p>
      <w:r>
        <w:br w:type="page"/>
      </w:r>
    </w:p>
    <w:p>
      <w:pPr>
        <w:keepNext/>
        <w:spacing w:before="280" w:after="80"/>
      </w:pPr>
      <w:r>
        <w:rPr>
          <w:rFonts w:ascii="Georgia" w:hAnsi="Georgia"/>
          <w:b/>
          <w:i w:val="0"/>
          <w:caps/>
          <w:color w:val="8997AA"/>
          <w:sz w:val="16"/>
        </w:rPr>
        <w:t>01    SECTION</w:t>
      </w:r>
    </w:p>
    <w:p>
      <w:pPr>
        <w:pStyle w:val="Heading1"/>
        <w:keepNext/>
        <w:spacing w:after="180"/>
      </w:pPr>
      <w:r>
        <w:rPr>
          <w:rFonts w:ascii="Georgia" w:hAnsi="Georgia"/>
          <w:b/>
          <w:i w:val="0"/>
          <w:color w:val="1C2027"/>
          <w:sz w:val="38"/>
        </w:rPr>
        <w:t>Finalité de la roadmap</w:t>
      </w:r>
    </w:p>
    <w:p>
      <w:pPr>
        <w:keepLines/>
        <w:spacing w:after="100" w:line="276" w:lineRule="auto"/>
        <w:jc w:val="left"/>
      </w:pPr>
      <w:r>
        <w:rPr>
          <w:rFonts w:ascii="Georgia" w:hAnsi="Georgia"/>
          <w:b w:val="0"/>
          <w:i w:val="0"/>
          <w:color w:val="1C2027"/>
          <w:sz w:val="20"/>
        </w:rPr>
        <w:t>La roadmap ordonne le développement depuis l’état actuel de la branche T-RPG jusqu’à une bêta jouable et déployable. L’ordre imposé est : fiabiliser CI/CD, créer les comptes utilisateurs liés au domaine Player, terminer une tranche verticale jouable, enrichir le contenu puis durcir la plateforme avant ouverture.</w:t>
      </w:r>
    </w:p>
    <w:p>
      <w:pPr>
        <w:keepLines/>
        <w:spacing w:after="100" w:line="276" w:lineRule="auto"/>
        <w:jc w:val="left"/>
      </w:pPr>
      <w:r>
        <w:rPr>
          <w:rFonts w:ascii="Georgia" w:hAnsi="Georgia"/>
          <w:b w:val="0"/>
          <w:i w:val="0"/>
          <w:color w:val="1C2027"/>
          <w:sz w:val="20"/>
        </w:rPr>
        <w:t>Une bêta n’est pas définie par la présence de tous les contenus SFD. Elle est atteinte lorsqu’un utilisateur externe peut créer son compte, entrer dans le jeu, progresser dans un parcours cohérent, combattre, sauvegarder, reprendre et atteindre une conclusion temporaire sans assistance technique.</w:t>
      </w:r>
    </w:p>
    <w:p>
      <w:pPr>
        <w:pStyle w:val="Heading2"/>
        <w:keepNext/>
        <w:spacing w:before="200" w:after="100"/>
      </w:pPr>
      <w:r>
        <w:rPr>
          <w:rFonts w:ascii="Georgia" w:hAnsi="Georgia"/>
          <w:b/>
          <w:i w:val="0"/>
          <w:color w:val="525C6C"/>
          <w:sz w:val="26"/>
        </w:rPr>
        <w:t>1.1 Hypothèses de planification</w:t>
      </w:r>
    </w:p>
    <w:p>
      <w:pPr>
        <w:keepLines/>
        <w:spacing w:after="100" w:line="276" w:lineRule="auto"/>
        <w:jc w:val="left"/>
        <w:numPr>
          <w:ilvl w:val="0"/>
          <w:numId w:val="1"/>
        </w:numPr>
      </w:pPr>
      <w:r>
        <w:rPr>
          <w:rFonts w:ascii="Georgia" w:hAnsi="Georgia"/>
          <w:b w:val="0"/>
          <w:i w:val="0"/>
          <w:color w:val="1C2027"/>
          <w:sz w:val="20"/>
        </w:rPr>
        <w:t>Estimation exprimée pour un développeur principal, hors disponibilité d’un auteur de contenu ou d’un artiste.</w:t>
      </w:r>
    </w:p>
    <w:p>
      <w:pPr>
        <w:keepLines/>
        <w:spacing w:after="100" w:line="276" w:lineRule="auto"/>
        <w:jc w:val="left"/>
        <w:numPr>
          <w:ilvl w:val="0"/>
          <w:numId w:val="1"/>
        </w:numPr>
      </w:pPr>
      <w:r>
        <w:rPr>
          <w:rFonts w:ascii="Georgia" w:hAnsi="Georgia"/>
          <w:b w:val="0"/>
          <w:i w:val="0"/>
          <w:color w:val="1C2027"/>
          <w:sz w:val="20"/>
        </w:rPr>
        <w:t>Les durées sont des fourchettes de travail et doivent être recalibrées après l’inventaire réel des tests rouges.</w:t>
      </w:r>
    </w:p>
    <w:p>
      <w:pPr>
        <w:keepLines/>
        <w:spacing w:after="100" w:line="276" w:lineRule="auto"/>
        <w:jc w:val="left"/>
        <w:numPr>
          <w:ilvl w:val="0"/>
          <w:numId w:val="1"/>
        </w:numPr>
      </w:pPr>
      <w:r>
        <w:rPr>
          <w:rFonts w:ascii="Georgia" w:hAnsi="Georgia"/>
          <w:b w:val="0"/>
          <w:i w:val="0"/>
          <w:color w:val="1C2027"/>
          <w:sz w:val="20"/>
        </w:rPr>
        <w:t>La cible bêta utilise des conteneurs Docker et trois bases PostgreSQL distinctes.</w:t>
      </w:r>
    </w:p>
    <w:p>
      <w:pPr>
        <w:keepLines/>
        <w:spacing w:after="100" w:line="276" w:lineRule="auto"/>
        <w:jc w:val="left"/>
        <w:numPr>
          <w:ilvl w:val="0"/>
          <w:numId w:val="1"/>
        </w:numPr>
      </w:pPr>
      <w:r>
        <w:rPr>
          <w:rFonts w:ascii="Georgia" w:hAnsi="Georgia"/>
          <w:b w:val="0"/>
          <w:i w:val="0"/>
          <w:color w:val="1C2027"/>
          <w:sz w:val="20"/>
        </w:rPr>
        <w:t>GitHub Actions et GHCR constituent la plateforme de référence.</w:t>
      </w:r>
    </w:p>
    <w:p>
      <w:pPr>
        <w:keepLines/>
        <w:spacing w:after="100" w:line="276" w:lineRule="auto"/>
        <w:jc w:val="left"/>
        <w:numPr>
          <w:ilvl w:val="0"/>
          <w:numId w:val="1"/>
        </w:numPr>
      </w:pPr>
      <w:r>
        <w:rPr>
          <w:rFonts w:ascii="Georgia" w:hAnsi="Georgia"/>
          <w:b w:val="0"/>
          <w:i w:val="0"/>
          <w:color w:val="1C2027"/>
          <w:sz w:val="20"/>
        </w:rPr>
        <w:t>L’identité est séparée du profil joueur ; la décision détaillée sera formalisée par SFD, STD et ADR avant développement.</w:t>
      </w:r>
    </w:p>
    <w:p>
      <w:pPr>
        <w:keepLines/>
        <w:spacing w:after="100" w:line="276" w:lineRule="auto"/>
        <w:jc w:val="left"/>
        <w:numPr>
          <w:ilvl w:val="0"/>
          <w:numId w:val="1"/>
        </w:numPr>
      </w:pPr>
      <w:r>
        <w:rPr>
          <w:rFonts w:ascii="Georgia" w:hAnsi="Georgia"/>
          <w:b w:val="0"/>
          <w:i w:val="0"/>
          <w:color w:val="1C2027"/>
          <w:sz w:val="20"/>
        </w:rPr>
        <w:t>Les Talents, la totalité des vingt-sept salles et la normalisation exhaustive des 138 compétences ne bloquent pas la première bêta.</w:t>
      </w:r>
    </w:p>
    <w:p>
      <w:pPr>
        <w:keepNext/>
        <w:spacing w:before="280" w:after="80"/>
      </w:pPr>
      <w:r>
        <w:rPr>
          <w:rFonts w:ascii="Georgia" w:hAnsi="Georgia"/>
          <w:b/>
          <w:i w:val="0"/>
          <w:caps/>
          <w:color w:val="8997AA"/>
          <w:sz w:val="16"/>
        </w:rPr>
        <w:t>02    SECTION</w:t>
      </w:r>
    </w:p>
    <w:p>
      <w:pPr>
        <w:pStyle w:val="Heading1"/>
        <w:keepNext/>
        <w:spacing w:after="180"/>
      </w:pPr>
      <w:r>
        <w:rPr>
          <w:rFonts w:ascii="Georgia" w:hAnsi="Georgia"/>
          <w:b/>
          <w:i w:val="0"/>
          <w:color w:val="1C2027"/>
          <w:sz w:val="38"/>
        </w:rPr>
        <w:t>État de départ</w:t>
      </w:r>
    </w:p>
    <w:tbl>
      <w:tblPr>
        <w:tblW w:type="dxa" w:w="9360"/>
        <w:jc w:val="left"/>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1337"/>
        <w:gridCol w:w="4012"/>
        <w:gridCol w:w="4011"/>
      </w:tblGrid>
      <w:tr>
        <w:trPr>
          <w:tblHeader w:val="true"/>
        </w:trPr>
        <w:tc>
          <w:tcPr>
            <w:tcW w:type="dxa" w:w="1337"/>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Domaine</w:t>
            </w:r>
          </w:p>
        </w:tc>
        <w:tc>
          <w:tcPr>
            <w:tcW w:type="dxa" w:w="4012"/>
            <w:tcMar>
              <w:top w:w="90" w:type="dxa"/>
              <w:start w:w="120" w:type="dxa"/>
              <w:bottom w:w="90" w:type="dxa"/>
              <w:end w:w="120" w:type="dxa"/>
            </w:tcMar>
            <w:vAlign w:val="center"/>
            <w:shd w:fill="EEF1F5"/>
          </w:tcPr>
          <w:p>
            <w:pPr>
              <w:spacing w:before="40" w:after="40" w:line="259" w:lineRule="auto"/>
              <w:jc w:val="left"/>
            </w:pPr>
            <w:r>
              <w:rPr>
                <w:rFonts w:ascii="Georgia" w:hAnsi="Georgia"/>
                <w:b/>
                <w:i w:val="0"/>
                <w:color w:val="525C6C"/>
                <w:sz w:val="16"/>
              </w:rPr>
              <w:t>Acquis</w:t>
            </w:r>
          </w:p>
        </w:tc>
        <w:tc>
          <w:tcPr>
            <w:tcW w:type="dxa" w:w="4011"/>
            <w:tcMar>
              <w:top w:w="90" w:type="dxa"/>
              <w:start w:w="120" w:type="dxa"/>
              <w:bottom w:w="90" w:type="dxa"/>
              <w:end w:w="120" w:type="dxa"/>
            </w:tcMar>
            <w:vAlign w:val="center"/>
            <w:shd w:fill="EEF1F5"/>
          </w:tcPr>
          <w:p>
            <w:pPr>
              <w:spacing w:before="40" w:after="40" w:line="259" w:lineRule="auto"/>
              <w:jc w:val="left"/>
            </w:pPr>
            <w:r>
              <w:rPr>
                <w:rFonts w:ascii="Georgia" w:hAnsi="Georgia"/>
                <w:b/>
                <w:i w:val="0"/>
                <w:color w:val="525C6C"/>
                <w:sz w:val="16"/>
              </w:rPr>
              <w:t>Dette bloquante ou structurante</w:t>
            </w:r>
          </w:p>
        </w:tc>
      </w:tr>
      <w:tr>
        <w:tc>
          <w:tcPr>
            <w:tcW w:type="dxa" w:w="1337"/>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Exploration</w:t>
            </w:r>
          </w:p>
        </w:tc>
        <w:tc>
          <w:tcPr>
            <w:tcW w:type="dxa" w:w="4012"/>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Carte, déplacements, PNJ et ennemis mobiles, combat au contact</w:t>
            </w:r>
          </w:p>
        </w:tc>
        <w:tc>
          <w:tcPr>
            <w:tcW w:type="dxa" w:w="4011"/>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Connexions de certains événements et contenus incomplets</w:t>
            </w:r>
          </w:p>
        </w:tc>
      </w:tr>
      <w:tr>
        <w:tc>
          <w:tcPr>
            <w:tcW w:type="dxa" w:w="1337"/>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Combat</w:t>
            </w:r>
          </w:p>
        </w:tc>
        <w:tc>
          <w:tcPr>
            <w:tcW w:type="dxa" w:w="4012"/>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Système tactique, fuite, ressources persistées, équipement</w:t>
            </w:r>
          </w:p>
        </w:tc>
        <w:tc>
          <w:tcPr>
            <w:tcW w:type="dxa" w:w="4011"/>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Renforts génériques et équilibrage incomplets</w:t>
            </w:r>
          </w:p>
        </w:tc>
      </w:tr>
      <w:tr>
        <w:tc>
          <w:tcPr>
            <w:tcW w:type="dxa" w:w="1337"/>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Run</w:t>
            </w:r>
          </w:p>
        </w:tc>
        <w:tc>
          <w:tcPr>
            <w:tcW w:type="dxa" w:w="4012"/>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Création, reprise, abandon, persistance révisée</w:t>
            </w:r>
          </w:p>
        </w:tc>
        <w:tc>
          <w:tcPr>
            <w:tcW w:type="dxa" w:w="4011"/>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Validation de résilience et récupération à industrialiser</w:t>
            </w:r>
          </w:p>
        </w:tc>
      </w:tr>
      <w:tr>
        <w:tc>
          <w:tcPr>
            <w:tcW w:type="dxa" w:w="1337"/>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Story</w:t>
            </w:r>
          </w:p>
        </w:tc>
        <w:tc>
          <w:tcPr>
            <w:tcW w:type="dxa" w:w="4012"/>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Modèles de progression et overlay</w:t>
            </w:r>
          </w:p>
        </w:tc>
        <w:tc>
          <w:tcPr>
            <w:tcW w:type="dxa" w:w="4011"/>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Séquences réellement exécutables et événements Hall absents</w:t>
            </w:r>
          </w:p>
        </w:tc>
      </w:tr>
      <w:tr>
        <w:tc>
          <w:tcPr>
            <w:tcW w:type="dxa" w:w="1337"/>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Compte</w:t>
            </w:r>
          </w:p>
        </w:tc>
        <w:tc>
          <w:tcPr>
            <w:tcW w:type="dxa" w:w="4012"/>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Profil Player technique et identifiant de démonstration</w:t>
            </w:r>
          </w:p>
        </w:tc>
        <w:tc>
          <w:tcPr>
            <w:tcW w:type="dxa" w:w="4011"/>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Aucun compte, authentification ni autorisation</w:t>
            </w:r>
          </w:p>
        </w:tc>
      </w:tr>
      <w:tr>
        <w:tc>
          <w:tcPr>
            <w:tcW w:type="dxa" w:w="1337"/>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Tests</w:t>
            </w:r>
          </w:p>
        </w:tc>
        <w:tc>
          <w:tcPr>
            <w:tcW w:type="dxa" w:w="4012"/>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Suites xUnit, Vitest et Playwright présentes</w:t>
            </w:r>
          </w:p>
        </w:tc>
        <w:tc>
          <w:tcPr>
            <w:tcW w:type="dxa" w:w="4011"/>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Nombreux échecs, couverture non pilotée</w:t>
            </w:r>
          </w:p>
        </w:tc>
      </w:tr>
      <w:tr>
        <w:tc>
          <w:tcPr>
            <w:tcW w:type="dxa" w:w="1337"/>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Livraison</w:t>
            </w:r>
          </w:p>
        </w:tc>
        <w:tc>
          <w:tcPr>
            <w:tcW w:type="dxa" w:w="4012"/>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Compose local pour PostgreSQL</w:t>
            </w:r>
          </w:p>
        </w:tc>
        <w:tc>
          <w:tcPr>
            <w:tcW w:type="dxa" w:w="4011"/>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Pas de workflows, Dockerfiles applicatifs ni environnement bêta</w:t>
            </w:r>
          </w:p>
        </w:tc>
      </w:tr>
    </w:tbl>
    <w:p>
      <w:pPr>
        <w:spacing w:after="20"/>
      </w:pPr>
    </w:p>
    <w:p>
      <w:pPr>
        <w:keepNext/>
        <w:spacing w:before="280" w:after="80"/>
      </w:pPr>
      <w:r>
        <w:rPr>
          <w:rFonts w:ascii="Georgia" w:hAnsi="Georgia"/>
          <w:b/>
          <w:i w:val="0"/>
          <w:caps/>
          <w:color w:val="8997AA"/>
          <w:sz w:val="16"/>
        </w:rPr>
        <w:t>03    SECTION</w:t>
      </w:r>
    </w:p>
    <w:p>
      <w:pPr>
        <w:pStyle w:val="Heading1"/>
        <w:keepNext/>
        <w:spacing w:after="180"/>
      </w:pPr>
      <w:r>
        <w:rPr>
          <w:rFonts w:ascii="Georgia" w:hAnsi="Georgia"/>
          <w:b/>
          <w:i w:val="0"/>
          <w:color w:val="1C2027"/>
          <w:sz w:val="38"/>
        </w:rPr>
        <w:t>Vue d’ensemble</w:t>
      </w:r>
    </w:p>
    <w:p>
      <w:pPr>
        <w:keepNext/>
        <w:jc w:val="center"/>
      </w:pPr>
      <w:r>
        <w:drawing>
          <wp:inline xmlns:wp="http://schemas.openxmlformats.org/drawingml/2006/wordprocessingDrawing" xmlns:a="http://schemas.openxmlformats.org/drawingml/2006/main" xmlns:pic="http://schemas.openxmlformats.org/drawingml/2006/picture">
            <wp:extent cx="5806440" cy="3464069"/>
            <wp:docPr id="1" name="Picture 1" descr="Roadmap dépendancielle vers la bêta jouable" title="Roadmap dépendancielle vers la bêta jouable"/>
            <wp:cNvGraphicFramePr>
              <a:graphicFrameLocks noChangeAspect="1"/>
            </wp:cNvGraphicFramePr>
            <a:graphic>
              <a:graphicData uri="http://schemas.openxmlformats.org/drawingml/2006/picture">
                <pic:pic>
                  <pic:nvPicPr>
                    <pic:cNvPr id="0" name="roadmap-beta.png"/>
                    <pic:cNvPicPr/>
                  </pic:nvPicPr>
                  <pic:blipFill>
                    <a:blip r:embed="rId7"/>
                    <a:stretch>
                      <a:fillRect/>
                    </a:stretch>
                  </pic:blipFill>
                  <pic:spPr>
                    <a:xfrm>
                      <a:off x="0" y="0"/>
                      <a:ext cx="5806440" cy="3464069"/>
                    </a:xfrm>
                    <a:prstGeom prst="rect"/>
                  </pic:spPr>
                </pic:pic>
              </a:graphicData>
            </a:graphic>
          </wp:inline>
        </w:drawing>
      </w:r>
    </w:p>
    <w:p>
      <w:pPr>
        <w:spacing w:before="40" w:after="160"/>
        <w:jc w:val="center"/>
      </w:pPr>
      <w:r>
        <w:rPr>
          <w:rFonts w:ascii="Georgia" w:hAnsi="Georgia"/>
          <w:b w:val="0"/>
          <w:i/>
          <w:color w:val="8997AA"/>
          <w:sz w:val="16"/>
        </w:rPr>
        <w:t>Roadmap dépendancielle vers la bêta jouable</w:t>
      </w:r>
    </w:p>
    <w:tbl>
      <w:tblPr>
        <w:tblW w:type="dxa" w:w="9360"/>
        <w:jc w:val="left"/>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2334"/>
        <w:gridCol w:w="4623"/>
        <w:gridCol w:w="1464"/>
        <w:gridCol w:w="939"/>
      </w:tblGrid>
      <w:tr>
        <w:trPr>
          <w:tblHeader w:val="true"/>
        </w:trPr>
        <w:tc>
          <w:tcPr>
            <w:tcW w:type="dxa" w:w="2334"/>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Jalon</w:t>
            </w:r>
          </w:p>
        </w:tc>
        <w:tc>
          <w:tcPr>
            <w:tcW w:type="dxa" w:w="4623"/>
            <w:tcMar>
              <w:top w:w="90" w:type="dxa"/>
              <w:start w:w="120" w:type="dxa"/>
              <w:bottom w:w="90" w:type="dxa"/>
              <w:end w:w="120" w:type="dxa"/>
            </w:tcMar>
            <w:vAlign w:val="center"/>
            <w:shd w:fill="EEF1F5"/>
          </w:tcPr>
          <w:p>
            <w:pPr>
              <w:spacing w:before="40" w:after="40" w:line="259" w:lineRule="auto"/>
              <w:jc w:val="left"/>
            </w:pPr>
            <w:r>
              <w:rPr>
                <w:rFonts w:ascii="Georgia" w:hAnsi="Georgia"/>
                <w:b/>
                <w:i w:val="0"/>
                <w:color w:val="525C6C"/>
                <w:sz w:val="16"/>
              </w:rPr>
              <w:t>Résultat</w:t>
            </w:r>
          </w:p>
        </w:tc>
        <w:tc>
          <w:tcPr>
            <w:tcW w:type="dxa" w:w="1464"/>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Effort indicatif</w:t>
            </w:r>
          </w:p>
        </w:tc>
        <w:tc>
          <w:tcPr>
            <w:tcW w:type="dxa" w:w="939"/>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Dépendance</w:t>
            </w:r>
          </w:p>
        </w:tc>
      </w:tr>
      <w:tr>
        <w:tc>
          <w:tcPr>
            <w:tcW w:type="dxa" w:w="2334"/>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M0 — Baseline qualité</w:t>
            </w:r>
          </w:p>
        </w:tc>
        <w:tc>
          <w:tcPr>
            <w:tcW w:type="dxa" w:w="462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Inventaire fiable des tests et risques</w:t>
            </w:r>
          </w:p>
        </w:tc>
        <w:tc>
          <w:tcPr>
            <w:tcW w:type="dxa" w:w="1464"/>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3 à 5 JH</w:t>
            </w:r>
          </w:p>
        </w:tc>
        <w:tc>
          <w:tcPr>
            <w:tcW w:type="dxa" w:w="939"/>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Aucune</w:t>
            </w:r>
          </w:p>
        </w:tc>
      </w:tr>
      <w:tr>
        <w:tc>
          <w:tcPr>
            <w:tcW w:type="dxa" w:w="2334"/>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M1 — CI verte</w:t>
            </w:r>
          </w:p>
        </w:tc>
        <w:tc>
          <w:tcPr>
            <w:tcW w:type="dxa" w:w="462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Tous les tests requis passent, seuils pilotés</w:t>
            </w:r>
          </w:p>
        </w:tc>
        <w:tc>
          <w:tcPr>
            <w:tcW w:type="dxa" w:w="1464"/>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25 à 50 JH</w:t>
            </w:r>
          </w:p>
        </w:tc>
        <w:tc>
          <w:tcPr>
            <w:tcW w:type="dxa" w:w="939"/>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M0</w:t>
            </w:r>
          </w:p>
        </w:tc>
      </w:tr>
      <w:tr>
        <w:tc>
          <w:tcPr>
            <w:tcW w:type="dxa" w:w="2334"/>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M2 — CD opérationnel</w:t>
            </w:r>
          </w:p>
        </w:tc>
        <w:tc>
          <w:tcPr>
            <w:tcW w:type="dxa" w:w="462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Artefacts OCI et déploiements reproductibles</w:t>
            </w:r>
          </w:p>
        </w:tc>
        <w:tc>
          <w:tcPr>
            <w:tcW w:type="dxa" w:w="1464"/>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8 à 15 JH</w:t>
            </w:r>
          </w:p>
        </w:tc>
        <w:tc>
          <w:tcPr>
            <w:tcW w:type="dxa" w:w="939"/>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M1</w:t>
            </w:r>
          </w:p>
        </w:tc>
      </w:tr>
      <w:tr>
        <w:tc>
          <w:tcPr>
            <w:tcW w:type="dxa" w:w="2334"/>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M3 — Comptes utilisateurs</w:t>
            </w:r>
          </w:p>
        </w:tc>
        <w:tc>
          <w:tcPr>
            <w:tcW w:type="dxa" w:w="462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Inscription, connexion et lien Player sécurisés</w:t>
            </w:r>
          </w:p>
        </w:tc>
        <w:tc>
          <w:tcPr>
            <w:tcW w:type="dxa" w:w="1464"/>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20 à 35 JH</w:t>
            </w:r>
          </w:p>
        </w:tc>
        <w:tc>
          <w:tcPr>
            <w:tcW w:type="dxa" w:w="939"/>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M2</w:t>
            </w:r>
          </w:p>
        </w:tc>
      </w:tr>
      <w:tr>
        <w:tc>
          <w:tcPr>
            <w:tcW w:type="dxa" w:w="2334"/>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M4 — Tranche verticale</w:t>
            </w:r>
          </w:p>
        </w:tc>
        <w:tc>
          <w:tcPr>
            <w:tcW w:type="dxa" w:w="462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Parcours Hall → combat → récompense → reprise</w:t>
            </w:r>
          </w:p>
        </w:tc>
        <w:tc>
          <w:tcPr>
            <w:tcW w:type="dxa" w:w="1464"/>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20 à 35 JH</w:t>
            </w:r>
          </w:p>
        </w:tc>
        <w:tc>
          <w:tcPr>
            <w:tcW w:type="dxa" w:w="939"/>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M3</w:t>
            </w:r>
          </w:p>
        </w:tc>
      </w:tr>
      <w:tr>
        <w:tc>
          <w:tcPr>
            <w:tcW w:type="dxa" w:w="2334"/>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M5 — Contenu bêta</w:t>
            </w:r>
          </w:p>
        </w:tc>
        <w:tc>
          <w:tcPr>
            <w:tcW w:type="dxa" w:w="462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Parcours suffisamment varié et compréhensible</w:t>
            </w:r>
          </w:p>
        </w:tc>
        <w:tc>
          <w:tcPr>
            <w:tcW w:type="dxa" w:w="1464"/>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20 à 40 JH</w:t>
            </w:r>
          </w:p>
        </w:tc>
        <w:tc>
          <w:tcPr>
            <w:tcW w:type="dxa" w:w="939"/>
            <w:tcMar>
              <w:top w:w="90" w:type="dxa"/>
              <w:start w:w="120" w:type="dxa"/>
              <w:bottom w:w="90" w:type="dxa"/>
              <w:end w:w="120" w:type="dxa"/>
            </w:tcMar>
            <w:vAlign w:val="center"/>
            <w:shd w:fill="F7F8FA"/>
          </w:tcPr>
          <w:p>
            <w:pPr>
              <w:spacing w:before="40" w:after="40" w:line="259" w:lineRule="auto"/>
              <w:jc w:val="center"/>
            </w:pPr>
            <w:r>
              <w:rPr>
                <w:rFonts w:ascii="Georgia" w:hAnsi="Georgia"/>
                <w:b w:val="0"/>
                <w:i w:val="0"/>
                <w:color w:val="1C2027"/>
                <w:sz w:val="16"/>
              </w:rPr>
              <w:t>M4</w:t>
            </w:r>
          </w:p>
        </w:tc>
      </w:tr>
      <w:tr>
        <w:tc>
          <w:tcPr>
            <w:tcW w:type="dxa" w:w="2334"/>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M6 — Durcissement</w:t>
            </w:r>
          </w:p>
        </w:tc>
        <w:tc>
          <w:tcPr>
            <w:tcW w:type="dxa" w:w="462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Bêta observable, sauvegardée et réversible</w:t>
            </w:r>
          </w:p>
        </w:tc>
        <w:tc>
          <w:tcPr>
            <w:tcW w:type="dxa" w:w="1464"/>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10 à 20 JH</w:t>
            </w:r>
          </w:p>
        </w:tc>
        <w:tc>
          <w:tcPr>
            <w:tcW w:type="dxa" w:w="939"/>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M5</w:t>
            </w:r>
          </w:p>
        </w:tc>
      </w:tr>
    </w:tbl>
    <w:p>
      <w:pPr>
        <w:spacing w:after="20"/>
      </w:pPr>
    </w:p>
    <w:p>
      <w:pPr>
        <w:keepLines/>
        <w:spacing w:after="100" w:line="276" w:lineRule="auto"/>
        <w:jc w:val="left"/>
      </w:pPr>
      <w:r>
        <w:rPr>
          <w:rFonts w:ascii="Georgia" w:hAnsi="Georgia"/>
          <w:b w:val="0"/>
          <w:i w:val="0"/>
          <w:color w:val="1C2027"/>
          <w:sz w:val="20"/>
        </w:rPr>
        <w:t>La fourchette globale est de 106 à 200 JH. L’incertitude principale porte sur la remise en état des tests et la production de contenu. M0 doit réduire cette incertitude avant d’engager une date publique.</w:t>
      </w:r>
    </w:p>
    <w:p>
      <w:pPr>
        <w:keepNext/>
        <w:spacing w:before="280" w:after="80"/>
      </w:pPr>
      <w:r>
        <w:rPr>
          <w:rFonts w:ascii="Georgia" w:hAnsi="Georgia"/>
          <w:b/>
          <w:i w:val="0"/>
          <w:caps/>
          <w:color w:val="8997AA"/>
          <w:sz w:val="16"/>
        </w:rPr>
        <w:t>04    SECTION</w:t>
      </w:r>
    </w:p>
    <w:p>
      <w:pPr>
        <w:pStyle w:val="Heading1"/>
        <w:keepNext/>
        <w:spacing w:after="180"/>
      </w:pPr>
      <w:r>
        <w:rPr>
          <w:rFonts w:ascii="Georgia" w:hAnsi="Georgia"/>
          <w:b/>
          <w:i w:val="0"/>
          <w:color w:val="1C2027"/>
          <w:sz w:val="38"/>
        </w:rPr>
        <w:t>Phase M0 — Baseline qualité et gouvernance</w:t>
      </w:r>
    </w:p>
    <w:p>
      <w:pPr>
        <w:pStyle w:val="Heading2"/>
        <w:keepNext/>
        <w:spacing w:before="200" w:after="100"/>
      </w:pPr>
      <w:r>
        <w:rPr>
          <w:rFonts w:ascii="Georgia" w:hAnsi="Georgia"/>
          <w:b/>
          <w:i w:val="0"/>
          <w:color w:val="525C6C"/>
          <w:sz w:val="26"/>
        </w:rPr>
        <w:t>4.1 Objectif</w:t>
      </w:r>
    </w:p>
    <w:p>
      <w:pPr>
        <w:keepLines/>
        <w:spacing w:after="100" w:line="276" w:lineRule="auto"/>
        <w:jc w:val="left"/>
      </w:pPr>
      <w:r>
        <w:rPr>
          <w:rFonts w:ascii="Georgia" w:hAnsi="Georgia"/>
          <w:b w:val="0"/>
          <w:i w:val="0"/>
          <w:color w:val="1C2027"/>
          <w:sz w:val="20"/>
        </w:rPr>
        <w:t>Obtenir une vision exacte du build, des suites, de leurs échecs et de la couverture actuelle. Cette phase n’améliore pas artificiellement les indicateurs : elle rend la dette mesurable.</w:t>
      </w:r>
    </w:p>
    <w:p>
      <w:pPr>
        <w:pStyle w:val="Heading2"/>
        <w:keepNext/>
        <w:spacing w:before="200" w:after="100"/>
      </w:pPr>
      <w:r>
        <w:rPr>
          <w:rFonts w:ascii="Georgia" w:hAnsi="Georgia"/>
          <w:b/>
          <w:i w:val="0"/>
          <w:color w:val="525C6C"/>
          <w:sz w:val="26"/>
        </w:rPr>
        <w:t>4.2 Travaux</w:t>
      </w:r>
    </w:p>
    <w:p>
      <w:pPr>
        <w:keepLines/>
        <w:spacing w:after="100" w:line="276" w:lineRule="auto"/>
        <w:jc w:val="left"/>
        <w:numPr>
          <w:ilvl w:val="0"/>
          <w:numId w:val="2"/>
        </w:numPr>
      </w:pPr>
      <w:r>
        <w:rPr>
          <w:rFonts w:ascii="Georgia" w:hAnsi="Georgia"/>
          <w:b w:val="0"/>
          <w:i w:val="0"/>
          <w:color w:val="1C2027"/>
          <w:sz w:val="20"/>
        </w:rPr>
        <w:t>Exécuter séparément Shared, Catalog, Player, Game Engine, Vitest et Playwright.</w:t>
      </w:r>
    </w:p>
    <w:p>
      <w:pPr>
        <w:keepLines/>
        <w:spacing w:after="100" w:line="276" w:lineRule="auto"/>
        <w:jc w:val="left"/>
        <w:numPr>
          <w:ilvl w:val="0"/>
          <w:numId w:val="2"/>
        </w:numPr>
      </w:pPr>
      <w:r>
        <w:rPr>
          <w:rFonts w:ascii="Georgia" w:hAnsi="Georgia"/>
          <w:b w:val="0"/>
          <w:i w:val="0"/>
          <w:color w:val="1C2027"/>
          <w:sz w:val="20"/>
        </w:rPr>
        <w:t>Produire un inventaire des tests par projet, catégorie, durée et statut.</w:t>
      </w:r>
    </w:p>
    <w:p>
      <w:pPr>
        <w:keepLines/>
        <w:spacing w:after="100" w:line="276" w:lineRule="auto"/>
        <w:jc w:val="left"/>
        <w:numPr>
          <w:ilvl w:val="0"/>
          <w:numId w:val="2"/>
        </w:numPr>
      </w:pPr>
      <w:r>
        <w:rPr>
          <w:rFonts w:ascii="Georgia" w:hAnsi="Georgia"/>
          <w:b w:val="0"/>
          <w:i w:val="0"/>
          <w:color w:val="1C2027"/>
          <w:sz w:val="20"/>
        </w:rPr>
        <w:t>Classer chaque échec : défaut produit, test obsolète, dépendance, environnement, flakiness ou donnée incorrecte.</w:t>
      </w:r>
    </w:p>
    <w:p>
      <w:pPr>
        <w:keepLines/>
        <w:spacing w:after="100" w:line="276" w:lineRule="auto"/>
        <w:jc w:val="left"/>
        <w:numPr>
          <w:ilvl w:val="0"/>
          <w:numId w:val="2"/>
        </w:numPr>
      </w:pPr>
      <w:r>
        <w:rPr>
          <w:rFonts w:ascii="Georgia" w:hAnsi="Georgia"/>
          <w:b w:val="0"/>
          <w:i w:val="0"/>
          <w:color w:val="1C2027"/>
          <w:sz w:val="20"/>
        </w:rPr>
        <w:t>Identifier les tests ignorés, dupliqués, sans assertion utile ou dépendants de l’ordre.</w:t>
      </w:r>
    </w:p>
    <w:p>
      <w:pPr>
        <w:keepLines/>
        <w:spacing w:after="100" w:line="276" w:lineRule="auto"/>
        <w:jc w:val="left"/>
        <w:numPr>
          <w:ilvl w:val="0"/>
          <w:numId w:val="2"/>
        </w:numPr>
      </w:pPr>
      <w:r>
        <w:rPr>
          <w:rFonts w:ascii="Georgia" w:hAnsi="Georgia"/>
          <w:b w:val="0"/>
          <w:i w:val="0"/>
          <w:color w:val="1C2027"/>
          <w:sz w:val="20"/>
        </w:rPr>
        <w:t>Mesurer les couvertures initiales sans exclusion nouvelle.</w:t>
      </w:r>
    </w:p>
    <w:p>
      <w:pPr>
        <w:keepLines/>
        <w:spacing w:after="100" w:line="276" w:lineRule="auto"/>
        <w:jc w:val="left"/>
        <w:numPr>
          <w:ilvl w:val="0"/>
          <w:numId w:val="2"/>
        </w:numPr>
      </w:pPr>
      <w:r>
        <w:rPr>
          <w:rFonts w:ascii="Georgia" w:hAnsi="Georgia"/>
          <w:b w:val="0"/>
          <w:i w:val="0"/>
          <w:color w:val="1C2027"/>
          <w:sz w:val="20"/>
        </w:rPr>
        <w:t>Relier les parcours critiques aux tests existants et identifier les trous.</w:t>
      </w:r>
    </w:p>
    <w:p>
      <w:pPr>
        <w:keepLines/>
        <w:spacing w:after="100" w:line="276" w:lineRule="auto"/>
        <w:jc w:val="left"/>
        <w:numPr>
          <w:ilvl w:val="0"/>
          <w:numId w:val="2"/>
        </w:numPr>
      </w:pPr>
      <w:r>
        <w:rPr>
          <w:rFonts w:ascii="Georgia" w:hAnsi="Georgia"/>
          <w:b w:val="0"/>
          <w:i w:val="0"/>
          <w:color w:val="1C2027"/>
          <w:sz w:val="20"/>
        </w:rPr>
        <w:t>Établir le registre de dette et l’ordre de correction par service.</w:t>
      </w:r>
    </w:p>
    <w:p>
      <w:pPr>
        <w:pStyle w:val="Heading2"/>
        <w:keepNext/>
        <w:spacing w:before="200" w:after="100"/>
      </w:pPr>
      <w:r>
        <w:rPr>
          <w:rFonts w:ascii="Georgia" w:hAnsi="Georgia"/>
          <w:b/>
          <w:i w:val="0"/>
          <w:color w:val="525C6C"/>
          <w:sz w:val="26"/>
        </w:rPr>
        <w:t>4.3 Livrables</w:t>
      </w:r>
    </w:p>
    <w:p>
      <w:pPr>
        <w:keepLines/>
        <w:spacing w:after="100" w:line="276" w:lineRule="auto"/>
        <w:jc w:val="left"/>
        <w:numPr>
          <w:ilvl w:val="0"/>
          <w:numId w:val="1"/>
        </w:numPr>
      </w:pPr>
      <w:r>
        <w:rPr>
          <w:rFonts w:ascii="Georgia" w:hAnsi="Georgia"/>
          <w:b w:val="0"/>
          <w:i w:val="0"/>
          <w:color w:val="1C2027"/>
          <w:sz w:val="20"/>
        </w:rPr>
        <w:t>Rapport de baseline des tests et couvertures.</w:t>
      </w:r>
    </w:p>
    <w:p>
      <w:pPr>
        <w:keepLines/>
        <w:spacing w:after="100" w:line="276" w:lineRule="auto"/>
        <w:jc w:val="left"/>
        <w:numPr>
          <w:ilvl w:val="0"/>
          <w:numId w:val="1"/>
        </w:numPr>
      </w:pPr>
      <w:r>
        <w:rPr>
          <w:rFonts w:ascii="Georgia" w:hAnsi="Georgia"/>
          <w:b w:val="0"/>
          <w:i w:val="0"/>
          <w:color w:val="1C2027"/>
          <w:sz w:val="20"/>
        </w:rPr>
        <w:t>Registre des échecs avec cause, propriétaire et décision.</w:t>
      </w:r>
    </w:p>
    <w:p>
      <w:pPr>
        <w:keepLines/>
        <w:spacing w:after="100" w:line="276" w:lineRule="auto"/>
        <w:jc w:val="left"/>
        <w:numPr>
          <w:ilvl w:val="0"/>
          <w:numId w:val="1"/>
        </w:numPr>
      </w:pPr>
      <w:r>
        <w:rPr>
          <w:rFonts w:ascii="Georgia" w:hAnsi="Georgia"/>
          <w:b w:val="0"/>
          <w:i w:val="0"/>
          <w:color w:val="1C2027"/>
          <w:sz w:val="20"/>
        </w:rPr>
        <w:t>Matrice exigences critiques ↔ tests.</w:t>
      </w:r>
    </w:p>
    <w:p>
      <w:pPr>
        <w:keepLines/>
        <w:spacing w:after="100" w:line="276" w:lineRule="auto"/>
        <w:jc w:val="left"/>
        <w:numPr>
          <w:ilvl w:val="0"/>
          <w:numId w:val="1"/>
        </w:numPr>
      </w:pPr>
      <w:r>
        <w:rPr>
          <w:rFonts w:ascii="Georgia" w:hAnsi="Georgia"/>
          <w:b w:val="0"/>
          <w:i w:val="0"/>
          <w:color w:val="1C2027"/>
          <w:sz w:val="20"/>
        </w:rPr>
        <w:t>Commandes locales reproductibles identiques aux runners GitHub.</w:t>
      </w:r>
    </w:p>
    <w:p>
      <w:pPr>
        <w:pStyle w:val="Heading2"/>
        <w:keepNext/>
        <w:spacing w:before="200" w:after="100"/>
      </w:pPr>
      <w:r>
        <w:rPr>
          <w:rFonts w:ascii="Georgia" w:hAnsi="Georgia"/>
          <w:b/>
          <w:i w:val="0"/>
          <w:color w:val="525C6C"/>
          <w:sz w:val="26"/>
        </w:rPr>
        <w:t>4.4 Gate de sortie</w:t>
      </w:r>
    </w:p>
    <w:p>
      <w:pPr>
        <w:keepLines/>
        <w:spacing w:after="100" w:line="276" w:lineRule="auto"/>
        <w:jc w:val="left"/>
      </w:pPr>
      <w:r>
        <w:rPr>
          <w:rFonts w:ascii="Georgia" w:hAnsi="Georgia"/>
          <w:b w:val="0"/>
          <w:i w:val="0"/>
          <w:color w:val="1C2027"/>
          <w:sz w:val="20"/>
        </w:rPr>
        <w:t>Chaque test existant possède un statut expliqué ; chaque service produit un rapport de couverture exploitable ; aucune catégorie d’échec n’est laissée sous l’étiquette générique « test cassé ».</w:t>
      </w:r>
    </w:p>
    <w:p>
      <w:pPr>
        <w:keepNext/>
        <w:spacing w:before="280" w:after="80"/>
      </w:pPr>
      <w:r>
        <w:rPr>
          <w:rFonts w:ascii="Georgia" w:hAnsi="Georgia"/>
          <w:b/>
          <w:i w:val="0"/>
          <w:caps/>
          <w:color w:val="8997AA"/>
          <w:sz w:val="16"/>
        </w:rPr>
        <w:t>05    SECTION</w:t>
      </w:r>
    </w:p>
    <w:p>
      <w:pPr>
        <w:pStyle w:val="Heading1"/>
        <w:keepNext/>
        <w:spacing w:after="180"/>
      </w:pPr>
      <w:r>
        <w:rPr>
          <w:rFonts w:ascii="Georgia" w:hAnsi="Georgia"/>
          <w:b/>
          <w:i w:val="0"/>
          <w:color w:val="1C2027"/>
          <w:sz w:val="38"/>
        </w:rPr>
        <w:t>Phase M1 — CI verte et couverture à 80 %</w:t>
      </w:r>
    </w:p>
    <w:p>
      <w:pPr>
        <w:pStyle w:val="Heading2"/>
        <w:keepNext/>
        <w:spacing w:before="200" w:after="100"/>
      </w:pPr>
      <w:r>
        <w:rPr>
          <w:rFonts w:ascii="Georgia" w:hAnsi="Georgia"/>
          <w:b/>
          <w:i w:val="0"/>
          <w:color w:val="525C6C"/>
          <w:sz w:val="26"/>
        </w:rPr>
        <w:t>5.1 Objectif</w:t>
      </w:r>
    </w:p>
    <w:p>
      <w:pPr>
        <w:keepLines/>
        <w:spacing w:after="100" w:line="276" w:lineRule="auto"/>
        <w:jc w:val="left"/>
      </w:pPr>
      <w:r>
        <w:rPr>
          <w:rFonts w:ascii="Georgia" w:hAnsi="Georgia"/>
          <w:b w:val="0"/>
          <w:i w:val="0"/>
          <w:color w:val="1C2027"/>
          <w:sz w:val="20"/>
        </w:rPr>
        <w:t>Mettre en place la CI décrite dans LEDS-STD-CICD-001, réparer les suites et faire de 80 % un seuil réellement bloquant par unité logicielle.</w:t>
      </w:r>
    </w:p>
    <w:p>
      <w:pPr>
        <w:pStyle w:val="Heading2"/>
        <w:keepNext/>
        <w:spacing w:before="200" w:after="100"/>
      </w:pPr>
      <w:r>
        <w:rPr>
          <w:rFonts w:ascii="Georgia" w:hAnsi="Georgia"/>
          <w:b/>
          <w:i w:val="0"/>
          <w:color w:val="525C6C"/>
          <w:sz w:val="26"/>
        </w:rPr>
        <w:t>5.2 Lot M1-A — Infrastructure CI</w:t>
      </w:r>
    </w:p>
    <w:p>
      <w:pPr>
        <w:keepLines/>
        <w:spacing w:after="100" w:line="276" w:lineRule="auto"/>
        <w:jc w:val="left"/>
        <w:numPr>
          <w:ilvl w:val="0"/>
          <w:numId w:val="1"/>
        </w:numPr>
      </w:pPr>
      <w:r>
        <w:rPr>
          <w:rFonts w:ascii="Georgia" w:hAnsi="Georgia"/>
          <w:b w:val="0"/>
          <w:i w:val="0"/>
          <w:color w:val="1C2027"/>
          <w:sz w:val="20"/>
        </w:rPr>
        <w:t>Épingler le SDK .NET 10 et les dépendances.</w:t>
      </w:r>
    </w:p>
    <w:p>
      <w:pPr>
        <w:keepLines/>
        <w:spacing w:after="100" w:line="276" w:lineRule="auto"/>
        <w:jc w:val="left"/>
        <w:numPr>
          <w:ilvl w:val="0"/>
          <w:numId w:val="1"/>
        </w:numPr>
      </w:pPr>
      <w:r>
        <w:rPr>
          <w:rFonts w:ascii="Georgia" w:hAnsi="Georgia"/>
          <w:b w:val="0"/>
          <w:i w:val="0"/>
          <w:color w:val="1C2027"/>
          <w:sz w:val="20"/>
        </w:rPr>
        <w:t xml:space="preserve">Harmoniser </w:t>
      </w:r>
      <w:r>
        <w:rPr>
          <w:rFonts w:ascii="Consolas" w:hAnsi="Consolas"/>
          <w:b w:val="0"/>
          <w:i w:val="0"/>
          <w:color w:val="1C2027"/>
          <w:sz w:val="18"/>
        </w:rPr>
        <w:t>Microsoft.NET.Test.Sdk</w:t>
      </w:r>
      <w:r>
        <w:rPr>
          <w:rFonts w:ascii="Georgia" w:hAnsi="Georgia"/>
          <w:b w:val="0"/>
          <w:i w:val="0"/>
          <w:color w:val="1C2027"/>
          <w:sz w:val="20"/>
        </w:rPr>
        <w:t>, xUnit et Coverlet.</w:t>
      </w:r>
    </w:p>
    <w:p>
      <w:pPr>
        <w:keepLines/>
        <w:spacing w:after="100" w:line="276" w:lineRule="auto"/>
        <w:jc w:val="left"/>
        <w:numPr>
          <w:ilvl w:val="0"/>
          <w:numId w:val="1"/>
        </w:numPr>
      </w:pPr>
      <w:r>
        <w:rPr>
          <w:rFonts w:ascii="Georgia" w:hAnsi="Georgia"/>
          <w:b w:val="0"/>
          <w:i w:val="0"/>
          <w:color w:val="1C2027"/>
          <w:sz w:val="20"/>
        </w:rPr>
        <w:t>Configurer Vitest avec provider V8 et rapports LCOV/Cobertura.</w:t>
      </w:r>
    </w:p>
    <w:p>
      <w:pPr>
        <w:keepLines/>
        <w:spacing w:after="100" w:line="276" w:lineRule="auto"/>
        <w:jc w:val="left"/>
        <w:numPr>
          <w:ilvl w:val="0"/>
          <w:numId w:val="1"/>
        </w:numPr>
      </w:pPr>
      <w:r>
        <w:rPr>
          <w:rFonts w:ascii="Georgia" w:hAnsi="Georgia"/>
          <w:b w:val="0"/>
          <w:i w:val="0"/>
          <w:color w:val="1C2027"/>
          <w:sz w:val="20"/>
        </w:rPr>
        <w:t>Créer les workflows réutilisables backend et frontend.</w:t>
      </w:r>
    </w:p>
    <w:p>
      <w:pPr>
        <w:keepLines/>
        <w:spacing w:after="100" w:line="276" w:lineRule="auto"/>
        <w:jc w:val="left"/>
        <w:numPr>
          <w:ilvl w:val="0"/>
          <w:numId w:val="1"/>
        </w:numPr>
      </w:pPr>
      <w:r>
        <w:rPr>
          <w:rFonts w:ascii="Georgia" w:hAnsi="Georgia"/>
          <w:b w:val="0"/>
          <w:i w:val="0"/>
          <w:color w:val="1C2027"/>
          <w:sz w:val="20"/>
        </w:rPr>
        <w:t>Publier TRX/JUnit, traces Playwright et rapports de couverture.</w:t>
      </w:r>
    </w:p>
    <w:p>
      <w:pPr>
        <w:keepLines/>
        <w:spacing w:after="100" w:line="276" w:lineRule="auto"/>
        <w:jc w:val="left"/>
        <w:numPr>
          <w:ilvl w:val="0"/>
          <w:numId w:val="1"/>
        </w:numPr>
      </w:pPr>
      <w:r>
        <w:rPr>
          <w:rFonts w:ascii="Georgia" w:hAnsi="Georgia"/>
          <w:b w:val="0"/>
          <w:i w:val="0"/>
          <w:color w:val="1C2027"/>
          <w:sz w:val="20"/>
        </w:rPr>
        <w:t>Ajouter CodeQL, revue de dépendances et Dependabot.</w:t>
      </w:r>
    </w:p>
    <w:p>
      <w:pPr>
        <w:pStyle w:val="Heading2"/>
        <w:keepNext/>
        <w:spacing w:before="200" w:after="100"/>
      </w:pPr>
      <w:r>
        <w:rPr>
          <w:rFonts w:ascii="Georgia" w:hAnsi="Georgia"/>
          <w:b/>
          <w:i w:val="0"/>
          <w:color w:val="525C6C"/>
          <w:sz w:val="26"/>
        </w:rPr>
        <w:t>5.3 Lot M1-B — Retour à zéro échec</w:t>
      </w:r>
    </w:p>
    <w:p>
      <w:pPr>
        <w:keepLines/>
        <w:spacing w:after="100" w:line="276" w:lineRule="auto"/>
        <w:jc w:val="left"/>
      </w:pPr>
      <w:r>
        <w:rPr>
          <w:rFonts w:ascii="Georgia" w:hAnsi="Georgia"/>
          <w:b w:val="0"/>
          <w:i w:val="0"/>
          <w:color w:val="1C2027"/>
          <w:sz w:val="20"/>
        </w:rPr>
        <w:t>Ordre recommandé : Shared Building Blocks, Catalog, Player, Game Engine, Game Client, puis Playwright. Cet ordre suit les dépendances et évite de corriger plusieurs fois les mêmes contrats.</w:t>
      </w:r>
    </w:p>
    <w:p>
      <w:pPr>
        <w:keepLines/>
        <w:spacing w:after="100" w:line="276" w:lineRule="auto"/>
        <w:jc w:val="left"/>
      </w:pPr>
      <w:r>
        <w:rPr>
          <w:rFonts w:ascii="Georgia" w:hAnsi="Georgia"/>
          <w:b w:val="0"/>
          <w:i w:val="0"/>
          <w:color w:val="1C2027"/>
          <w:sz w:val="20"/>
        </w:rPr>
        <w:t>Pour chaque test rouge : vérifier d’abord l’exigence propriétaire, corriger le produit si le comportement attendu reste valide, sinon corriger ou remplacer le test. La suppression sans analyse est interdite.</w:t>
      </w:r>
    </w:p>
    <w:p>
      <w:pPr>
        <w:pStyle w:val="Heading2"/>
        <w:keepNext/>
        <w:spacing w:before="200" w:after="100"/>
      </w:pPr>
      <w:r>
        <w:rPr>
          <w:rFonts w:ascii="Georgia" w:hAnsi="Georgia"/>
          <w:b/>
          <w:i w:val="0"/>
          <w:color w:val="525C6C"/>
          <w:sz w:val="26"/>
        </w:rPr>
        <w:t>5.4 Lot M1-C — Couverture utile</w:t>
      </w:r>
    </w:p>
    <w:p>
      <w:pPr>
        <w:keepLines/>
        <w:spacing w:after="100" w:line="276" w:lineRule="auto"/>
        <w:jc w:val="left"/>
        <w:numPr>
          <w:ilvl w:val="0"/>
          <w:numId w:val="1"/>
        </w:numPr>
      </w:pPr>
      <w:r>
        <w:rPr>
          <w:rFonts w:ascii="Georgia" w:hAnsi="Georgia"/>
          <w:b w:val="0"/>
          <w:i w:val="0"/>
          <w:color w:val="1C2027"/>
          <w:sz w:val="20"/>
        </w:rPr>
        <w:t>Couvrir en priorité invariants, erreurs, concurrence et persistance.</w:t>
      </w:r>
    </w:p>
    <w:p>
      <w:pPr>
        <w:keepLines/>
        <w:spacing w:after="100" w:line="276" w:lineRule="auto"/>
        <w:jc w:val="left"/>
        <w:numPr>
          <w:ilvl w:val="0"/>
          <w:numId w:val="1"/>
        </w:numPr>
      </w:pPr>
      <w:r>
        <w:rPr>
          <w:rFonts w:ascii="Georgia" w:hAnsi="Georgia"/>
          <w:b w:val="0"/>
          <w:i w:val="0"/>
          <w:color w:val="1C2027"/>
          <w:sz w:val="20"/>
        </w:rPr>
        <w:t>Fusionner unitaires et intégration avant calcul du seuil backend.</w:t>
      </w:r>
    </w:p>
    <w:p>
      <w:pPr>
        <w:keepLines/>
        <w:spacing w:after="100" w:line="276" w:lineRule="auto"/>
        <w:jc w:val="left"/>
        <w:numPr>
          <w:ilvl w:val="0"/>
          <w:numId w:val="1"/>
        </w:numPr>
      </w:pPr>
      <w:r>
        <w:rPr>
          <w:rFonts w:ascii="Georgia" w:hAnsi="Georgia"/>
          <w:b w:val="0"/>
          <w:i w:val="0"/>
          <w:color w:val="1C2027"/>
          <w:sz w:val="20"/>
        </w:rPr>
        <w:t>Ajouter des tests de composant pour les interactions Vue complexes.</w:t>
      </w:r>
    </w:p>
    <w:p>
      <w:pPr>
        <w:keepLines/>
        <w:spacing w:after="100" w:line="276" w:lineRule="auto"/>
        <w:jc w:val="left"/>
        <w:numPr>
          <w:ilvl w:val="0"/>
          <w:numId w:val="1"/>
        </w:numPr>
      </w:pPr>
      <w:r>
        <w:rPr>
          <w:rFonts w:ascii="Georgia" w:hAnsi="Georgia"/>
          <w:b w:val="0"/>
          <w:i w:val="0"/>
          <w:color w:val="1C2027"/>
          <w:sz w:val="20"/>
        </w:rPr>
        <w:t>Ajouter des E2E pour les parcours critiques sans utiliser l’E2E pour gonfler artificiellement la couverture unitaire.</w:t>
      </w:r>
    </w:p>
    <w:p>
      <w:pPr>
        <w:keepLines/>
        <w:spacing w:after="100" w:line="276" w:lineRule="auto"/>
        <w:jc w:val="left"/>
        <w:numPr>
          <w:ilvl w:val="0"/>
          <w:numId w:val="1"/>
        </w:numPr>
      </w:pPr>
      <w:r>
        <w:rPr>
          <w:rFonts w:ascii="Georgia" w:hAnsi="Georgia"/>
          <w:b w:val="0"/>
          <w:i w:val="0"/>
          <w:color w:val="1C2027"/>
          <w:sz w:val="20"/>
        </w:rPr>
        <w:t>Relever les seuils par paliers contrôlés jusqu’à 80 % sur toutes les métriques définies.</w:t>
      </w:r>
    </w:p>
    <w:p>
      <w:pPr>
        <w:keepLines/>
        <w:spacing w:after="100" w:line="276" w:lineRule="auto"/>
        <w:jc w:val="left"/>
        <w:numPr>
          <w:ilvl w:val="0"/>
          <w:numId w:val="1"/>
        </w:numPr>
      </w:pPr>
      <w:r>
        <w:rPr>
          <w:rFonts w:ascii="Georgia" w:hAnsi="Georgia"/>
          <w:b w:val="0"/>
          <w:i w:val="0"/>
          <w:color w:val="1C2027"/>
          <w:sz w:val="20"/>
        </w:rPr>
        <w:t>Introduire le mutation testing nocturne sur les domaines critiques.</w:t>
      </w:r>
    </w:p>
    <w:p>
      <w:pPr>
        <w:pStyle w:val="Heading2"/>
        <w:keepNext/>
        <w:spacing w:before="200" w:after="100"/>
      </w:pPr>
      <w:r>
        <w:rPr>
          <w:rFonts w:ascii="Georgia" w:hAnsi="Georgia"/>
          <w:b/>
          <w:i w:val="0"/>
          <w:color w:val="525C6C"/>
          <w:sz w:val="26"/>
        </w:rPr>
        <w:t>5.5 Gate de sortie M1</w:t>
      </w:r>
    </w:p>
    <w:p>
      <w:pPr>
        <w:keepLines/>
        <w:spacing w:after="100" w:line="276" w:lineRule="auto"/>
        <w:jc w:val="left"/>
        <w:numPr>
          <w:ilvl w:val="0"/>
          <w:numId w:val="1"/>
        </w:numPr>
      </w:pPr>
      <w:r>
        <w:rPr>
          <w:rFonts w:ascii="Georgia" w:hAnsi="Georgia"/>
          <w:b w:val="0"/>
          <w:i w:val="0"/>
          <w:color w:val="1C2027"/>
          <w:sz w:val="20"/>
        </w:rPr>
        <w:t>Zéro test requis en échec sur trois exécutions consécutives.</w:t>
      </w:r>
    </w:p>
    <w:p>
      <w:pPr>
        <w:keepLines/>
        <w:spacing w:after="100" w:line="276" w:lineRule="auto"/>
        <w:jc w:val="left"/>
        <w:numPr>
          <w:ilvl w:val="0"/>
          <w:numId w:val="1"/>
        </w:numPr>
      </w:pPr>
      <w:r>
        <w:rPr>
          <w:rFonts w:ascii="Georgia" w:hAnsi="Georgia"/>
          <w:b w:val="0"/>
          <w:i w:val="0"/>
          <w:color w:val="1C2027"/>
          <w:sz w:val="20"/>
        </w:rPr>
        <w:t>Game Engine, Player, Catalog, Shared et Game Client atteignent chacun 80 %.</w:t>
      </w:r>
    </w:p>
    <w:p>
      <w:pPr>
        <w:keepLines/>
        <w:spacing w:after="100" w:line="276" w:lineRule="auto"/>
        <w:jc w:val="left"/>
        <w:numPr>
          <w:ilvl w:val="0"/>
          <w:numId w:val="1"/>
        </w:numPr>
      </w:pPr>
      <w:r>
        <w:rPr>
          <w:rFonts w:ascii="Georgia" w:hAnsi="Georgia"/>
          <w:b w:val="0"/>
          <w:i w:val="0"/>
          <w:color w:val="1C2027"/>
          <w:sz w:val="20"/>
        </w:rPr>
        <w:t xml:space="preserve">Les protections de </w:t>
      </w:r>
      <w:r>
        <w:rPr>
          <w:rFonts w:ascii="Consolas" w:hAnsi="Consolas"/>
          <w:b w:val="0"/>
          <w:i w:val="0"/>
          <w:color w:val="1C2027"/>
          <w:sz w:val="18"/>
        </w:rPr>
        <w:t>develop</w:t>
      </w:r>
      <w:r>
        <w:rPr>
          <w:rFonts w:ascii="Georgia" w:hAnsi="Georgia"/>
          <w:b w:val="0"/>
          <w:i w:val="0"/>
          <w:color w:val="1C2027"/>
          <w:sz w:val="20"/>
        </w:rPr>
        <w:t xml:space="preserve"> bloquent toute régression.</w:t>
      </w:r>
    </w:p>
    <w:p>
      <w:pPr>
        <w:keepLines/>
        <w:spacing w:after="100" w:line="276" w:lineRule="auto"/>
        <w:jc w:val="left"/>
        <w:numPr>
          <w:ilvl w:val="0"/>
          <w:numId w:val="1"/>
        </w:numPr>
      </w:pPr>
      <w:r>
        <w:rPr>
          <w:rFonts w:ascii="Georgia" w:hAnsi="Georgia"/>
          <w:b w:val="0"/>
          <w:i w:val="0"/>
          <w:color w:val="1C2027"/>
          <w:sz w:val="20"/>
        </w:rPr>
        <w:t>La suite complète peut être exécutée localement avec les mêmes résultats.</w:t>
      </w:r>
    </w:p>
    <w:p>
      <w:pPr>
        <w:keepLines/>
        <w:spacing w:after="100" w:line="276" w:lineRule="auto"/>
        <w:jc w:val="left"/>
        <w:numPr>
          <w:ilvl w:val="0"/>
          <w:numId w:val="1"/>
        </w:numPr>
      </w:pPr>
      <w:r>
        <w:rPr>
          <w:rFonts w:ascii="Georgia" w:hAnsi="Georgia"/>
          <w:b w:val="0"/>
          <w:i w:val="0"/>
          <w:color w:val="1C2027"/>
          <w:sz w:val="20"/>
        </w:rPr>
        <w:t>Aucun CD n’a été activé tant que ces conditions ne sont pas réunies.</w:t>
      </w:r>
    </w:p>
    <w:p>
      <w:pPr>
        <w:keepNext/>
        <w:spacing w:before="280" w:after="80"/>
      </w:pPr>
      <w:r>
        <w:rPr>
          <w:rFonts w:ascii="Georgia" w:hAnsi="Georgia"/>
          <w:b/>
          <w:i w:val="0"/>
          <w:caps/>
          <w:color w:val="8997AA"/>
          <w:sz w:val="16"/>
        </w:rPr>
        <w:t>06    SECTION</w:t>
      </w:r>
    </w:p>
    <w:p>
      <w:pPr>
        <w:pStyle w:val="Heading1"/>
        <w:keepNext/>
        <w:spacing w:after="180"/>
      </w:pPr>
      <w:r>
        <w:rPr>
          <w:rFonts w:ascii="Georgia" w:hAnsi="Georgia"/>
          <w:b/>
          <w:i w:val="0"/>
          <w:color w:val="1C2027"/>
          <w:sz w:val="38"/>
        </w:rPr>
        <w:t>Phase M2 — Conteneurisation et CD</w:t>
      </w:r>
    </w:p>
    <w:p>
      <w:pPr>
        <w:pStyle w:val="Heading2"/>
        <w:keepNext/>
        <w:spacing w:before="200" w:after="100"/>
      </w:pPr>
      <w:r>
        <w:rPr>
          <w:rFonts w:ascii="Georgia" w:hAnsi="Georgia"/>
          <w:b/>
          <w:i w:val="0"/>
          <w:color w:val="525C6C"/>
          <w:sz w:val="26"/>
        </w:rPr>
        <w:t>6.1 Objectif</w:t>
      </w:r>
    </w:p>
    <w:p>
      <w:pPr>
        <w:keepLines/>
        <w:spacing w:after="100" w:line="276" w:lineRule="auto"/>
        <w:jc w:val="left"/>
      </w:pPr>
      <w:r>
        <w:rPr>
          <w:rFonts w:ascii="Georgia" w:hAnsi="Georgia"/>
          <w:b w:val="0"/>
          <w:i w:val="0"/>
          <w:color w:val="1C2027"/>
          <w:sz w:val="20"/>
        </w:rPr>
        <w:t>Construire une release une seule fois, la publier dans GHCR et promouvoir les mêmes digests jusqu’à l’environnement bêta.</w:t>
      </w:r>
    </w:p>
    <w:p>
      <w:pPr>
        <w:pStyle w:val="Heading2"/>
        <w:keepNext/>
        <w:spacing w:before="200" w:after="100"/>
      </w:pPr>
      <w:r>
        <w:rPr>
          <w:rFonts w:ascii="Georgia" w:hAnsi="Georgia"/>
          <w:b/>
          <w:i w:val="0"/>
          <w:color w:val="525C6C"/>
          <w:sz w:val="26"/>
        </w:rPr>
        <w:t>6.2 Travaux</w:t>
      </w:r>
    </w:p>
    <w:p>
      <w:pPr>
        <w:keepLines/>
        <w:spacing w:after="100" w:line="276" w:lineRule="auto"/>
        <w:jc w:val="left"/>
        <w:numPr>
          <w:ilvl w:val="0"/>
          <w:numId w:val="3"/>
        </w:numPr>
      </w:pPr>
      <w:r>
        <w:rPr>
          <w:rFonts w:ascii="Georgia" w:hAnsi="Georgia"/>
          <w:b w:val="0"/>
          <w:i w:val="0"/>
          <w:color w:val="1C2027"/>
          <w:sz w:val="20"/>
        </w:rPr>
        <w:t>Créer les Dockerfiles multi-stage des trois API et du client.</w:t>
      </w:r>
    </w:p>
    <w:p>
      <w:pPr>
        <w:keepLines/>
        <w:spacing w:after="100" w:line="276" w:lineRule="auto"/>
        <w:jc w:val="left"/>
        <w:numPr>
          <w:ilvl w:val="0"/>
          <w:numId w:val="3"/>
        </w:numPr>
      </w:pPr>
      <w:r>
        <w:rPr>
          <w:rFonts w:ascii="Georgia" w:hAnsi="Georgia"/>
          <w:b w:val="0"/>
          <w:i w:val="0"/>
          <w:color w:val="1C2027"/>
          <w:sz w:val="20"/>
        </w:rPr>
        <w:t>Étendre Docker Compose aux applications, reverse proxy, healthchecks et réseaux privés.</w:t>
      </w:r>
    </w:p>
    <w:p>
      <w:pPr>
        <w:keepLines/>
        <w:spacing w:after="100" w:line="276" w:lineRule="auto"/>
        <w:jc w:val="left"/>
        <w:numPr>
          <w:ilvl w:val="0"/>
          <w:numId w:val="3"/>
        </w:numPr>
      </w:pPr>
      <w:r>
        <w:rPr>
          <w:rFonts w:ascii="Georgia" w:hAnsi="Georgia"/>
          <w:b w:val="0"/>
          <w:i w:val="0"/>
          <w:color w:val="1C2027"/>
          <w:sz w:val="20"/>
        </w:rPr>
        <w:t>Produire les bundles de migration EF de Game Engine, Player et Catalog.</w:t>
      </w:r>
    </w:p>
    <w:p>
      <w:pPr>
        <w:keepLines/>
        <w:spacing w:after="100" w:line="276" w:lineRule="auto"/>
        <w:jc w:val="left"/>
        <w:numPr>
          <w:ilvl w:val="0"/>
          <w:numId w:val="3"/>
        </w:numPr>
      </w:pPr>
      <w:r>
        <w:rPr>
          <w:rFonts w:ascii="Georgia" w:hAnsi="Georgia"/>
          <w:b w:val="0"/>
          <w:i w:val="0"/>
          <w:color w:val="1C2027"/>
          <w:sz w:val="20"/>
        </w:rPr>
        <w:t>Construire, scanner et attester les images avec SBOM et provenance.</w:t>
      </w:r>
    </w:p>
    <w:p>
      <w:pPr>
        <w:keepLines/>
        <w:spacing w:after="100" w:line="276" w:lineRule="auto"/>
        <w:jc w:val="left"/>
        <w:numPr>
          <w:ilvl w:val="0"/>
          <w:numId w:val="3"/>
        </w:numPr>
      </w:pPr>
      <w:r>
        <w:rPr>
          <w:rFonts w:ascii="Georgia" w:hAnsi="Georgia"/>
          <w:b w:val="0"/>
          <w:i w:val="0"/>
          <w:color w:val="1C2027"/>
          <w:sz w:val="20"/>
        </w:rPr>
        <w:t xml:space="preserve">Créer les environnements GitHub </w:t>
      </w:r>
      <w:r>
        <w:rPr>
          <w:rFonts w:ascii="Consolas" w:hAnsi="Consolas"/>
          <w:b w:val="0"/>
          <w:i w:val="0"/>
          <w:color w:val="1C2027"/>
          <w:sz w:val="18"/>
        </w:rPr>
        <w:t>integration</w:t>
      </w:r>
      <w:r>
        <w:rPr>
          <w:rFonts w:ascii="Georgia" w:hAnsi="Georgia"/>
          <w:b w:val="0"/>
          <w:i w:val="0"/>
          <w:color w:val="1C2027"/>
          <w:sz w:val="20"/>
        </w:rPr>
        <w:t xml:space="preserve">, </w:t>
      </w:r>
      <w:r>
        <w:rPr>
          <w:rFonts w:ascii="Consolas" w:hAnsi="Consolas"/>
          <w:b w:val="0"/>
          <w:i w:val="0"/>
          <w:color w:val="1C2027"/>
          <w:sz w:val="18"/>
        </w:rPr>
        <w:t>preproduction</w:t>
      </w:r>
      <w:r>
        <w:rPr>
          <w:rFonts w:ascii="Georgia" w:hAnsi="Georgia"/>
          <w:b w:val="0"/>
          <w:i w:val="0"/>
          <w:color w:val="1C2027"/>
          <w:sz w:val="20"/>
        </w:rPr>
        <w:t xml:space="preserve"> et </w:t>
      </w:r>
      <w:r>
        <w:rPr>
          <w:rFonts w:ascii="Consolas" w:hAnsi="Consolas"/>
          <w:b w:val="0"/>
          <w:i w:val="0"/>
          <w:color w:val="1C2027"/>
          <w:sz w:val="18"/>
        </w:rPr>
        <w:t>beta</w:t>
      </w:r>
      <w:r>
        <w:rPr>
          <w:rFonts w:ascii="Georgia" w:hAnsi="Georgia"/>
          <w:b w:val="0"/>
          <w:i w:val="0"/>
          <w:color w:val="1C2027"/>
          <w:sz w:val="20"/>
        </w:rPr>
        <w:t>.</w:t>
      </w:r>
    </w:p>
    <w:p>
      <w:pPr>
        <w:keepLines/>
        <w:spacing w:after="100" w:line="276" w:lineRule="auto"/>
        <w:jc w:val="left"/>
        <w:numPr>
          <w:ilvl w:val="0"/>
          <w:numId w:val="3"/>
        </w:numPr>
      </w:pPr>
      <w:r>
        <w:rPr>
          <w:rFonts w:ascii="Georgia" w:hAnsi="Georgia"/>
          <w:b w:val="0"/>
          <w:i w:val="0"/>
          <w:color w:val="1C2027"/>
          <w:sz w:val="20"/>
        </w:rPr>
        <w:t xml:space="preserve">Déployer automatiquement </w:t>
      </w:r>
      <w:r>
        <w:rPr>
          <w:rFonts w:ascii="Consolas" w:hAnsi="Consolas"/>
          <w:b w:val="0"/>
          <w:i w:val="0"/>
          <w:color w:val="1C2027"/>
          <w:sz w:val="18"/>
        </w:rPr>
        <w:t>develop</w:t>
      </w:r>
      <w:r>
        <w:rPr>
          <w:rFonts w:ascii="Georgia" w:hAnsi="Georgia"/>
          <w:b w:val="0"/>
          <w:i w:val="0"/>
          <w:color w:val="1C2027"/>
          <w:sz w:val="20"/>
        </w:rPr>
        <w:t xml:space="preserve"> vers l’intégration.</w:t>
      </w:r>
    </w:p>
    <w:p>
      <w:pPr>
        <w:keepLines/>
        <w:spacing w:after="100" w:line="276" w:lineRule="auto"/>
        <w:jc w:val="left"/>
        <w:numPr>
          <w:ilvl w:val="0"/>
          <w:numId w:val="3"/>
        </w:numPr>
      </w:pPr>
      <w:r>
        <w:rPr>
          <w:rFonts w:ascii="Georgia" w:hAnsi="Georgia"/>
          <w:b w:val="0"/>
          <w:i w:val="0"/>
          <w:color w:val="1C2027"/>
          <w:sz w:val="20"/>
        </w:rPr>
        <w:t>Ajouter approbation, sauvegarde, migrations, smoke tests et rollback pour préproduction et bêta.</w:t>
      </w:r>
    </w:p>
    <w:p>
      <w:pPr>
        <w:keepLines/>
        <w:spacing w:after="100" w:line="276" w:lineRule="auto"/>
        <w:jc w:val="left"/>
        <w:numPr>
          <w:ilvl w:val="0"/>
          <w:numId w:val="3"/>
        </w:numPr>
      </w:pPr>
      <w:r>
        <w:rPr>
          <w:rFonts w:ascii="Georgia" w:hAnsi="Georgia"/>
          <w:b w:val="0"/>
          <w:i w:val="0"/>
          <w:color w:val="1C2027"/>
          <w:sz w:val="20"/>
        </w:rPr>
        <w:t>Exécuter un exercice de panne : image invalide, migration échouée et restauration.</w:t>
      </w:r>
    </w:p>
    <w:p>
      <w:pPr>
        <w:pStyle w:val="Heading2"/>
        <w:keepNext/>
        <w:spacing w:before="200" w:after="100"/>
      </w:pPr>
      <w:r>
        <w:rPr>
          <w:rFonts w:ascii="Georgia" w:hAnsi="Georgia"/>
          <w:b/>
          <w:i w:val="0"/>
          <w:color w:val="525C6C"/>
          <w:sz w:val="26"/>
        </w:rPr>
        <w:t>6.3 Gate de sortie M2</w:t>
      </w:r>
    </w:p>
    <w:p>
      <w:pPr>
        <w:keepLines/>
        <w:spacing w:after="100" w:line="276" w:lineRule="auto"/>
        <w:jc w:val="left"/>
        <w:numPr>
          <w:ilvl w:val="0"/>
          <w:numId w:val="1"/>
        </w:numPr>
      </w:pPr>
      <w:r>
        <w:rPr>
          <w:rFonts w:ascii="Georgia" w:hAnsi="Georgia"/>
          <w:b w:val="0"/>
          <w:i w:val="0"/>
          <w:color w:val="1C2027"/>
          <w:sz w:val="20"/>
        </w:rPr>
        <w:t>Une release candidate est déployée sans compilation sur la cible.</w:t>
      </w:r>
    </w:p>
    <w:p>
      <w:pPr>
        <w:keepLines/>
        <w:spacing w:after="100" w:line="276" w:lineRule="auto"/>
        <w:jc w:val="left"/>
        <w:numPr>
          <w:ilvl w:val="0"/>
          <w:numId w:val="1"/>
        </w:numPr>
      </w:pPr>
      <w:r>
        <w:rPr>
          <w:rFonts w:ascii="Georgia" w:hAnsi="Georgia"/>
          <w:b w:val="0"/>
          <w:i w:val="0"/>
          <w:color w:val="1C2027"/>
          <w:sz w:val="20"/>
        </w:rPr>
        <w:t>Les versions et digests sont visibles depuis les services.</w:t>
      </w:r>
    </w:p>
    <w:p>
      <w:pPr>
        <w:keepLines/>
        <w:spacing w:after="100" w:line="276" w:lineRule="auto"/>
        <w:jc w:val="left"/>
        <w:numPr>
          <w:ilvl w:val="0"/>
          <w:numId w:val="1"/>
        </w:numPr>
      </w:pPr>
      <w:r>
        <w:rPr>
          <w:rFonts w:ascii="Georgia" w:hAnsi="Georgia"/>
          <w:b w:val="0"/>
          <w:i w:val="0"/>
          <w:color w:val="1C2027"/>
          <w:sz w:val="20"/>
        </w:rPr>
        <w:t>Les migrations d’une base vide et d’une base N-1 passent.</w:t>
      </w:r>
    </w:p>
    <w:p>
      <w:pPr>
        <w:keepLines/>
        <w:spacing w:after="100" w:line="276" w:lineRule="auto"/>
        <w:jc w:val="left"/>
        <w:numPr>
          <w:ilvl w:val="0"/>
          <w:numId w:val="1"/>
        </w:numPr>
      </w:pPr>
      <w:r>
        <w:rPr>
          <w:rFonts w:ascii="Georgia" w:hAnsi="Georgia"/>
          <w:b w:val="0"/>
          <w:i w:val="0"/>
          <w:color w:val="1C2027"/>
          <w:sz w:val="20"/>
        </w:rPr>
        <w:t>Le rollback applicatif et la restauration des données sont documentés et testés.</w:t>
      </w:r>
    </w:p>
    <w:p>
      <w:pPr>
        <w:keepLines/>
        <w:spacing w:after="100" w:line="276" w:lineRule="auto"/>
        <w:jc w:val="left"/>
        <w:numPr>
          <w:ilvl w:val="0"/>
          <w:numId w:val="1"/>
        </w:numPr>
      </w:pPr>
      <w:r>
        <w:rPr>
          <w:rFonts w:ascii="Georgia" w:hAnsi="Georgia"/>
          <w:b w:val="0"/>
          <w:i w:val="0"/>
          <w:color w:val="1C2027"/>
          <w:sz w:val="20"/>
        </w:rPr>
        <w:t>Les logs et alertes permettent de diagnostiquer un déploiement sans accès direct au code.</w:t>
      </w:r>
    </w:p>
    <w:p>
      <w:pPr>
        <w:keepNext/>
        <w:spacing w:before="280" w:after="80"/>
      </w:pPr>
      <w:r>
        <w:rPr>
          <w:rFonts w:ascii="Georgia" w:hAnsi="Georgia"/>
          <w:b/>
          <w:i w:val="0"/>
          <w:caps/>
          <w:color w:val="8997AA"/>
          <w:sz w:val="16"/>
        </w:rPr>
        <w:t>07    SECTION</w:t>
      </w:r>
    </w:p>
    <w:p>
      <w:pPr>
        <w:pStyle w:val="Heading1"/>
        <w:keepNext/>
        <w:spacing w:after="180"/>
      </w:pPr>
      <w:r>
        <w:rPr>
          <w:rFonts w:ascii="Georgia" w:hAnsi="Georgia"/>
          <w:b/>
          <w:i w:val="0"/>
          <w:color w:val="1C2027"/>
          <w:sz w:val="38"/>
        </w:rPr>
        <w:t>Phase M3 — Comptes utilisateurs et identité</w:t>
      </w:r>
    </w:p>
    <w:p>
      <w:pPr>
        <w:pStyle w:val="Heading2"/>
        <w:keepNext/>
        <w:spacing w:before="200" w:after="100"/>
      </w:pPr>
      <w:r>
        <w:rPr>
          <w:rFonts w:ascii="Georgia" w:hAnsi="Georgia"/>
          <w:b/>
          <w:i w:val="0"/>
          <w:color w:val="525C6C"/>
          <w:sz w:val="26"/>
        </w:rPr>
        <w:t>7.1 Cadrage obligatoire</w:t>
      </w:r>
    </w:p>
    <w:p>
      <w:pPr>
        <w:keepLines/>
        <w:spacing w:after="100" w:line="276" w:lineRule="auto"/>
        <w:jc w:val="left"/>
      </w:pPr>
      <w:r>
        <w:rPr>
          <w:rFonts w:ascii="Georgia" w:hAnsi="Georgia"/>
          <w:b w:val="0"/>
          <w:i w:val="0"/>
          <w:color w:val="1C2027"/>
          <w:sz w:val="20"/>
        </w:rPr>
        <w:t>Avant le code, produire :</w:t>
      </w:r>
    </w:p>
    <w:p>
      <w:pPr>
        <w:keepLines/>
        <w:spacing w:after="100" w:line="276" w:lineRule="auto"/>
        <w:jc w:val="left"/>
        <w:numPr>
          <w:ilvl w:val="0"/>
          <w:numId w:val="1"/>
        </w:numPr>
      </w:pPr>
      <w:r>
        <w:rPr>
          <w:rFonts w:ascii="Georgia" w:hAnsi="Georgia"/>
          <w:b w:val="0"/>
          <w:i w:val="0"/>
          <w:color w:val="1C2027"/>
          <w:sz w:val="20"/>
        </w:rPr>
        <w:t>une SFD Account/Identity précisant inscription, connexion, vérification, récupération et suppression ;</w:t>
      </w:r>
    </w:p>
    <w:p>
      <w:pPr>
        <w:keepLines/>
        <w:spacing w:after="100" w:line="276" w:lineRule="auto"/>
        <w:jc w:val="left"/>
        <w:numPr>
          <w:ilvl w:val="0"/>
          <w:numId w:val="1"/>
        </w:numPr>
      </w:pPr>
      <w:r>
        <w:rPr>
          <w:rFonts w:ascii="Georgia" w:hAnsi="Georgia"/>
          <w:b w:val="0"/>
          <w:i w:val="0"/>
          <w:color w:val="1C2027"/>
          <w:sz w:val="20"/>
        </w:rPr>
        <w:t>une STD définissant tokens, rotation, stockage des secrets et frontières interservices ;</w:t>
      </w:r>
    </w:p>
    <w:p>
      <w:pPr>
        <w:keepLines/>
        <w:spacing w:after="100" w:line="276" w:lineRule="auto"/>
        <w:jc w:val="left"/>
        <w:numPr>
          <w:ilvl w:val="0"/>
          <w:numId w:val="1"/>
        </w:numPr>
      </w:pPr>
      <w:r>
        <w:rPr>
          <w:rFonts w:ascii="Georgia" w:hAnsi="Georgia"/>
          <w:b w:val="0"/>
          <w:i w:val="0"/>
          <w:color w:val="1C2027"/>
          <w:sz w:val="20"/>
        </w:rPr>
        <w:t>un ADR statuant sur le service Identity séparé ou l’intégration au service Player ;</w:t>
      </w:r>
    </w:p>
    <w:p>
      <w:pPr>
        <w:keepLines/>
        <w:spacing w:after="100" w:line="276" w:lineRule="auto"/>
        <w:jc w:val="left"/>
        <w:numPr>
          <w:ilvl w:val="0"/>
          <w:numId w:val="1"/>
        </w:numPr>
      </w:pPr>
      <w:r>
        <w:rPr>
          <w:rFonts w:ascii="Georgia" w:hAnsi="Georgia"/>
          <w:b w:val="0"/>
          <w:i w:val="0"/>
          <w:color w:val="1C2027"/>
          <w:sz w:val="20"/>
        </w:rPr>
        <w:t>une matrice de menaces et de tests de sécurité ;</w:t>
      </w:r>
    </w:p>
    <w:p>
      <w:pPr>
        <w:keepLines/>
        <w:spacing w:after="100" w:line="276" w:lineRule="auto"/>
        <w:jc w:val="left"/>
        <w:numPr>
          <w:ilvl w:val="0"/>
          <w:numId w:val="1"/>
        </w:numPr>
      </w:pPr>
      <w:r>
        <w:rPr>
          <w:rFonts w:ascii="Georgia" w:hAnsi="Georgia"/>
          <w:b w:val="0"/>
          <w:i w:val="0"/>
          <w:color w:val="1C2027"/>
          <w:sz w:val="20"/>
        </w:rPr>
        <w:t xml:space="preserve">un plan de migration du </w:t>
      </w:r>
      <w:r>
        <w:rPr>
          <w:rFonts w:ascii="Consolas" w:hAnsi="Consolas"/>
          <w:b w:val="0"/>
          <w:i w:val="0"/>
          <w:color w:val="1C2027"/>
          <w:sz w:val="18"/>
        </w:rPr>
        <w:t>demoPlayerId</w:t>
      </w:r>
      <w:r>
        <w:rPr>
          <w:rFonts w:ascii="Georgia" w:hAnsi="Georgia"/>
          <w:b w:val="0"/>
          <w:i w:val="0"/>
          <w:color w:val="1C2027"/>
          <w:sz w:val="20"/>
        </w:rPr>
        <w:t xml:space="preserve"> et des profils existants.</w:t>
      </w:r>
    </w:p>
    <w:p>
      <w:pPr>
        <w:pStyle w:val="Heading2"/>
        <w:keepNext/>
        <w:spacing w:before="200" w:after="100"/>
      </w:pPr>
      <w:r>
        <w:rPr>
          <w:rFonts w:ascii="Georgia" w:hAnsi="Georgia"/>
          <w:b/>
          <w:i w:val="0"/>
          <w:color w:val="525C6C"/>
          <w:sz w:val="26"/>
        </w:rPr>
        <w:t>7.2 Modèle cible recommandé</w:t>
      </w:r>
    </w:p>
    <w:p>
      <w:pPr>
        <w:keepLines/>
        <w:spacing w:after="100" w:line="276" w:lineRule="auto"/>
        <w:jc w:val="left"/>
      </w:pPr>
      <w:r>
        <w:rPr>
          <w:rFonts w:ascii="Georgia" w:hAnsi="Georgia"/>
          <w:b w:val="0"/>
          <w:i w:val="0"/>
          <w:color w:val="1C2027"/>
          <w:sz w:val="20"/>
        </w:rPr>
        <w:t xml:space="preserve">Le compte représente l’identité et les droits. Le </w:t>
      </w:r>
      <w:r>
        <w:rPr>
          <w:rFonts w:ascii="Consolas" w:hAnsi="Consolas"/>
          <w:b w:val="0"/>
          <w:i w:val="0"/>
          <w:color w:val="1C2027"/>
          <w:sz w:val="18"/>
        </w:rPr>
        <w:t>PlayerProfile</w:t>
      </w:r>
      <w:r>
        <w:rPr>
          <w:rFonts w:ascii="Georgia" w:hAnsi="Georgia"/>
          <w:b w:val="0"/>
          <w:i w:val="0"/>
          <w:color w:val="1C2027"/>
          <w:sz w:val="20"/>
        </w:rPr>
        <w:t xml:space="preserve"> conserve la progression et l’équipe. Un compte possède un profil joueur principal ; ce profil possède le personnage initial puis ses compagnons. Cette séparation évite de confondre credential, personne connectée et personnage de jeu.</w:t>
      </w:r>
    </w:p>
    <w:p>
      <w:pPr>
        <w:keepLines/>
        <w:spacing w:after="100" w:line="276" w:lineRule="auto"/>
        <w:jc w:val="left"/>
      </w:pPr>
      <w:r>
        <w:rPr>
          <w:rFonts w:ascii="Georgia" w:hAnsi="Georgia"/>
          <w:b w:val="0"/>
          <w:i w:val="0"/>
          <w:color w:val="1C2027"/>
          <w:sz w:val="20"/>
        </w:rPr>
        <w:t xml:space="preserve">Le modèle minimal comprend : </w:t>
      </w:r>
      <w:r>
        <w:rPr>
          <w:rFonts w:ascii="Consolas" w:hAnsi="Consolas"/>
          <w:b w:val="0"/>
          <w:i w:val="0"/>
          <w:color w:val="1C2027"/>
          <w:sz w:val="18"/>
        </w:rPr>
        <w:t>UserAccount</w:t>
      </w:r>
      <w:r>
        <w:rPr>
          <w:rFonts w:ascii="Georgia" w:hAnsi="Georgia"/>
          <w:b w:val="0"/>
          <w:i w:val="0"/>
          <w:color w:val="1C2027"/>
          <w:sz w:val="20"/>
        </w:rPr>
        <w:t xml:space="preserve">, </w:t>
      </w:r>
      <w:r>
        <w:rPr>
          <w:rFonts w:ascii="Consolas" w:hAnsi="Consolas"/>
          <w:b w:val="0"/>
          <w:i w:val="0"/>
          <w:color w:val="1C2027"/>
          <w:sz w:val="18"/>
        </w:rPr>
        <w:t>Credential</w:t>
      </w:r>
      <w:r>
        <w:rPr>
          <w:rFonts w:ascii="Georgia" w:hAnsi="Georgia"/>
          <w:b w:val="0"/>
          <w:i w:val="0"/>
          <w:color w:val="1C2027"/>
          <w:sz w:val="20"/>
        </w:rPr>
        <w:t xml:space="preserve">, </w:t>
      </w:r>
      <w:r>
        <w:rPr>
          <w:rFonts w:ascii="Consolas" w:hAnsi="Consolas"/>
          <w:b w:val="0"/>
          <w:i w:val="0"/>
          <w:color w:val="1C2027"/>
          <w:sz w:val="18"/>
        </w:rPr>
        <w:t>Session</w:t>
      </w:r>
      <w:r>
        <w:rPr>
          <w:rFonts w:ascii="Georgia" w:hAnsi="Georgia"/>
          <w:b w:val="0"/>
          <w:i w:val="0"/>
          <w:color w:val="1C2027"/>
          <w:sz w:val="20"/>
        </w:rPr>
        <w:t xml:space="preserve"> ou </w:t>
      </w:r>
      <w:r>
        <w:rPr>
          <w:rFonts w:ascii="Consolas" w:hAnsi="Consolas"/>
          <w:b w:val="0"/>
          <w:i w:val="0"/>
          <w:color w:val="1C2027"/>
          <w:sz w:val="18"/>
        </w:rPr>
        <w:t>RefreshToken</w:t>
      </w:r>
      <w:r>
        <w:rPr>
          <w:rFonts w:ascii="Georgia" w:hAnsi="Georgia"/>
          <w:b w:val="0"/>
          <w:i w:val="0"/>
          <w:color w:val="1C2027"/>
          <w:sz w:val="20"/>
        </w:rPr>
        <w:t xml:space="preserve">, </w:t>
      </w:r>
      <w:r>
        <w:rPr>
          <w:rFonts w:ascii="Consolas" w:hAnsi="Consolas"/>
          <w:b w:val="0"/>
          <w:i w:val="0"/>
          <w:color w:val="1C2027"/>
          <w:sz w:val="18"/>
        </w:rPr>
        <w:t>PlayerProfileLink</w:t>
      </w:r>
      <w:r>
        <w:rPr>
          <w:rFonts w:ascii="Georgia" w:hAnsi="Georgia"/>
          <w:b w:val="0"/>
          <w:i w:val="0"/>
          <w:color w:val="1C2027"/>
          <w:sz w:val="20"/>
        </w:rPr>
        <w:t>, consentements et journal de sécurité. Les contraintes garantissent un compte unique par adresse normalisée et un seul profil principal actif par compte.</w:t>
      </w:r>
    </w:p>
    <w:p>
      <w:pPr>
        <w:pStyle w:val="Heading2"/>
        <w:keepNext/>
        <w:spacing w:before="200" w:after="100"/>
      </w:pPr>
      <w:r>
        <w:rPr>
          <w:rFonts w:ascii="Georgia" w:hAnsi="Georgia"/>
          <w:b/>
          <w:i w:val="0"/>
          <w:color w:val="525C6C"/>
          <w:sz w:val="26"/>
        </w:rPr>
        <w:t>7.3 Parcours fonctionnels</w:t>
      </w:r>
    </w:p>
    <w:p>
      <w:pPr>
        <w:keepLines/>
        <w:spacing w:after="100" w:line="276" w:lineRule="auto"/>
        <w:jc w:val="left"/>
        <w:numPr>
          <w:ilvl w:val="0"/>
          <w:numId w:val="1"/>
        </w:numPr>
      </w:pPr>
      <w:r>
        <w:rPr>
          <w:rFonts w:ascii="Georgia" w:hAnsi="Georgia"/>
          <w:b w:val="0"/>
          <w:i w:val="0"/>
          <w:color w:val="1C2027"/>
          <w:sz w:val="20"/>
        </w:rPr>
        <w:t>Création de compte et validation de l’adresse.</w:t>
      </w:r>
    </w:p>
    <w:p>
      <w:pPr>
        <w:keepLines/>
        <w:spacing w:after="100" w:line="276" w:lineRule="auto"/>
        <w:jc w:val="left"/>
        <w:numPr>
          <w:ilvl w:val="0"/>
          <w:numId w:val="1"/>
        </w:numPr>
      </w:pPr>
      <w:r>
        <w:rPr>
          <w:rFonts w:ascii="Georgia" w:hAnsi="Georgia"/>
          <w:b w:val="0"/>
          <w:i w:val="0"/>
          <w:color w:val="1C2027"/>
          <w:sz w:val="20"/>
        </w:rPr>
        <w:t>Création atomique du profil et du personnage initial.</w:t>
      </w:r>
    </w:p>
    <w:p>
      <w:pPr>
        <w:keepLines/>
        <w:spacing w:after="100" w:line="276" w:lineRule="auto"/>
        <w:jc w:val="left"/>
        <w:numPr>
          <w:ilvl w:val="0"/>
          <w:numId w:val="1"/>
        </w:numPr>
      </w:pPr>
      <w:r>
        <w:rPr>
          <w:rFonts w:ascii="Georgia" w:hAnsi="Georgia"/>
          <w:b w:val="0"/>
          <w:i w:val="0"/>
          <w:color w:val="1C2027"/>
          <w:sz w:val="20"/>
        </w:rPr>
        <w:t>Connexion et renouvellement sécurisé de session.</w:t>
      </w:r>
    </w:p>
    <w:p>
      <w:pPr>
        <w:keepLines/>
        <w:spacing w:after="100" w:line="276" w:lineRule="auto"/>
        <w:jc w:val="left"/>
        <w:numPr>
          <w:ilvl w:val="0"/>
          <w:numId w:val="1"/>
        </w:numPr>
      </w:pPr>
      <w:r>
        <w:rPr>
          <w:rFonts w:ascii="Georgia" w:hAnsi="Georgia"/>
          <w:b w:val="0"/>
          <w:i w:val="0"/>
          <w:color w:val="1C2027"/>
          <w:sz w:val="20"/>
        </w:rPr>
        <w:t>Déconnexion de la session courante et de toutes les sessions.</w:t>
      </w:r>
    </w:p>
    <w:p>
      <w:pPr>
        <w:keepLines/>
        <w:spacing w:after="100" w:line="276" w:lineRule="auto"/>
        <w:jc w:val="left"/>
        <w:numPr>
          <w:ilvl w:val="0"/>
          <w:numId w:val="1"/>
        </w:numPr>
      </w:pPr>
      <w:r>
        <w:rPr>
          <w:rFonts w:ascii="Georgia" w:hAnsi="Georgia"/>
          <w:b w:val="0"/>
          <w:i w:val="0"/>
          <w:color w:val="1C2027"/>
          <w:sz w:val="20"/>
        </w:rPr>
        <w:t>Mot de passe oublié et changement de mot de passe.</w:t>
      </w:r>
    </w:p>
    <w:p>
      <w:pPr>
        <w:keepLines/>
        <w:spacing w:after="100" w:line="276" w:lineRule="auto"/>
        <w:jc w:val="left"/>
        <w:numPr>
          <w:ilvl w:val="0"/>
          <w:numId w:val="1"/>
        </w:numPr>
      </w:pPr>
      <w:r>
        <w:rPr>
          <w:rFonts w:ascii="Georgia" w:hAnsi="Georgia"/>
          <w:b w:val="0"/>
          <w:i w:val="0"/>
          <w:color w:val="1C2027"/>
          <w:sz w:val="20"/>
        </w:rPr>
        <w:t>Consultation et modification des données autorisées.</w:t>
      </w:r>
    </w:p>
    <w:p>
      <w:pPr>
        <w:keepLines/>
        <w:spacing w:after="100" w:line="276" w:lineRule="auto"/>
        <w:jc w:val="left"/>
        <w:numPr>
          <w:ilvl w:val="0"/>
          <w:numId w:val="1"/>
        </w:numPr>
      </w:pPr>
      <w:r>
        <w:rPr>
          <w:rFonts w:ascii="Georgia" w:hAnsi="Georgia"/>
          <w:b w:val="0"/>
          <w:i w:val="0"/>
          <w:color w:val="1C2027"/>
          <w:sz w:val="20"/>
        </w:rPr>
        <w:t>Suspension, suppression et anonymisation selon la politique retenue.</w:t>
      </w:r>
    </w:p>
    <w:p>
      <w:pPr>
        <w:keepLines/>
        <w:spacing w:after="100" w:line="276" w:lineRule="auto"/>
        <w:jc w:val="left"/>
        <w:numPr>
          <w:ilvl w:val="0"/>
          <w:numId w:val="1"/>
        </w:numPr>
      </w:pPr>
      <w:r>
        <w:rPr>
          <w:rFonts w:ascii="Georgia" w:hAnsi="Georgia"/>
          <w:b w:val="0"/>
          <w:i w:val="0"/>
          <w:color w:val="1C2027"/>
          <w:sz w:val="20"/>
        </w:rPr>
        <w:t>Reprise d’une run appartenant uniquement au compte connecté.</w:t>
      </w:r>
    </w:p>
    <w:p>
      <w:pPr>
        <w:pStyle w:val="Heading2"/>
        <w:keepNext/>
        <w:spacing w:before="200" w:after="100"/>
      </w:pPr>
      <w:r>
        <w:rPr>
          <w:rFonts w:ascii="Georgia" w:hAnsi="Georgia"/>
          <w:b/>
          <w:i w:val="0"/>
          <w:color w:val="525C6C"/>
          <w:sz w:val="26"/>
        </w:rPr>
        <w:t>7.4 Sécurité et autorisation</w:t>
      </w:r>
    </w:p>
    <w:p>
      <w:pPr>
        <w:keepLines/>
        <w:spacing w:after="100" w:line="276" w:lineRule="auto"/>
        <w:jc w:val="left"/>
        <w:numPr>
          <w:ilvl w:val="0"/>
          <w:numId w:val="1"/>
        </w:numPr>
      </w:pPr>
      <w:r>
        <w:rPr>
          <w:rFonts w:ascii="Georgia" w:hAnsi="Georgia"/>
          <w:b w:val="0"/>
          <w:i w:val="0"/>
          <w:color w:val="1C2027"/>
          <w:sz w:val="20"/>
        </w:rPr>
        <w:t>Hashage mémoire-dur des mots de passe avec paramètres versionnés.</w:t>
      </w:r>
    </w:p>
    <w:p>
      <w:pPr>
        <w:keepLines/>
        <w:spacing w:after="100" w:line="276" w:lineRule="auto"/>
        <w:jc w:val="left"/>
        <w:numPr>
          <w:ilvl w:val="0"/>
          <w:numId w:val="1"/>
        </w:numPr>
      </w:pPr>
      <w:r>
        <w:rPr>
          <w:rFonts w:ascii="Georgia" w:hAnsi="Georgia"/>
          <w:b w:val="0"/>
          <w:i w:val="0"/>
          <w:color w:val="1C2027"/>
          <w:sz w:val="20"/>
        </w:rPr>
        <w:t>Access tokens courts et refresh tokens rotatifs, hachés en base.</w:t>
      </w:r>
    </w:p>
    <w:p>
      <w:pPr>
        <w:keepLines/>
        <w:spacing w:after="100" w:line="276" w:lineRule="auto"/>
        <w:jc w:val="left"/>
        <w:numPr>
          <w:ilvl w:val="0"/>
          <w:numId w:val="1"/>
        </w:numPr>
      </w:pPr>
      <w:r>
        <w:rPr>
          <w:rFonts w:ascii="Georgia" w:hAnsi="Georgia"/>
          <w:b w:val="0"/>
          <w:i w:val="0"/>
          <w:color w:val="1C2027"/>
          <w:sz w:val="20"/>
        </w:rPr>
        <w:t>Protection contre brute force et credential stuffing.</w:t>
      </w:r>
    </w:p>
    <w:p>
      <w:pPr>
        <w:keepLines/>
        <w:spacing w:after="100" w:line="276" w:lineRule="auto"/>
        <w:jc w:val="left"/>
        <w:numPr>
          <w:ilvl w:val="0"/>
          <w:numId w:val="1"/>
        </w:numPr>
      </w:pPr>
      <w:r>
        <w:rPr>
          <w:rFonts w:ascii="Georgia" w:hAnsi="Georgia"/>
          <w:b w:val="0"/>
          <w:i w:val="0"/>
          <w:color w:val="1C2027"/>
          <w:sz w:val="20"/>
        </w:rPr>
        <w:t xml:space="preserve">Aucun </w:t>
      </w:r>
      <w:r>
        <w:rPr>
          <w:rFonts w:ascii="Consolas" w:hAnsi="Consolas"/>
          <w:b w:val="0"/>
          <w:i w:val="0"/>
          <w:color w:val="1C2027"/>
          <w:sz w:val="18"/>
        </w:rPr>
        <w:t>playerId</w:t>
      </w:r>
      <w:r>
        <w:rPr>
          <w:rFonts w:ascii="Georgia" w:hAnsi="Georgia"/>
          <w:b w:val="0"/>
          <w:i w:val="0"/>
          <w:color w:val="1C2027"/>
          <w:sz w:val="20"/>
        </w:rPr>
        <w:t xml:space="preserve"> fourni par le client ne fait foi : l’identité est dérivée du token.</w:t>
      </w:r>
    </w:p>
    <w:p>
      <w:pPr>
        <w:keepLines/>
        <w:spacing w:after="100" w:line="276" w:lineRule="auto"/>
        <w:jc w:val="left"/>
        <w:numPr>
          <w:ilvl w:val="0"/>
          <w:numId w:val="1"/>
        </w:numPr>
      </w:pPr>
      <w:r>
        <w:rPr>
          <w:rFonts w:ascii="Georgia" w:hAnsi="Georgia"/>
          <w:b w:val="0"/>
          <w:i w:val="0"/>
          <w:color w:val="1C2027"/>
          <w:sz w:val="20"/>
        </w:rPr>
        <w:t>Authentification interservice distincte des tokens utilisateurs.</w:t>
      </w:r>
    </w:p>
    <w:p>
      <w:pPr>
        <w:keepLines/>
        <w:spacing w:after="100" w:line="276" w:lineRule="auto"/>
        <w:jc w:val="left"/>
        <w:numPr>
          <w:ilvl w:val="0"/>
          <w:numId w:val="1"/>
        </w:numPr>
      </w:pPr>
      <w:r>
        <w:rPr>
          <w:rFonts w:ascii="Georgia" w:hAnsi="Georgia"/>
          <w:b w:val="0"/>
          <w:i w:val="0"/>
          <w:color w:val="1C2027"/>
          <w:sz w:val="20"/>
        </w:rPr>
        <w:t>Devtools désactivés hors développement et protégés par une politique dédiée.</w:t>
      </w:r>
    </w:p>
    <w:p>
      <w:pPr>
        <w:keepLines/>
        <w:spacing w:after="100" w:line="276" w:lineRule="auto"/>
        <w:jc w:val="left"/>
        <w:numPr>
          <w:ilvl w:val="0"/>
          <w:numId w:val="1"/>
        </w:numPr>
      </w:pPr>
      <w:r>
        <w:rPr>
          <w:rFonts w:ascii="Georgia" w:hAnsi="Georgia"/>
          <w:b w:val="0"/>
          <w:i w:val="0"/>
          <w:color w:val="1C2027"/>
          <w:sz w:val="20"/>
        </w:rPr>
        <w:t>Journalisation sans mot de passe, token, secret ni donnée sensible.</w:t>
      </w:r>
    </w:p>
    <w:p>
      <w:pPr>
        <w:pStyle w:val="Heading2"/>
        <w:keepNext/>
        <w:spacing w:before="200" w:after="100"/>
      </w:pPr>
      <w:r>
        <w:rPr>
          <w:rFonts w:ascii="Georgia" w:hAnsi="Georgia"/>
          <w:b/>
          <w:i w:val="0"/>
          <w:color w:val="525C6C"/>
          <w:sz w:val="26"/>
        </w:rPr>
        <w:t>7.5 Tests obligatoires</w:t>
      </w:r>
    </w:p>
    <w:p>
      <w:pPr>
        <w:keepLines/>
        <w:spacing w:after="100" w:line="276" w:lineRule="auto"/>
        <w:jc w:val="left"/>
        <w:numPr>
          <w:ilvl w:val="0"/>
          <w:numId w:val="1"/>
        </w:numPr>
      </w:pPr>
      <w:r>
        <w:rPr>
          <w:rFonts w:ascii="Georgia" w:hAnsi="Georgia"/>
          <w:b w:val="0"/>
          <w:i w:val="0"/>
          <w:color w:val="1C2027"/>
          <w:sz w:val="20"/>
        </w:rPr>
        <w:t>Un compte ne peut lire ni modifier le profil ou la run d’un autre compte.</w:t>
      </w:r>
    </w:p>
    <w:p>
      <w:pPr>
        <w:keepLines/>
        <w:spacing w:after="100" w:line="276" w:lineRule="auto"/>
        <w:jc w:val="left"/>
        <w:numPr>
          <w:ilvl w:val="0"/>
          <w:numId w:val="1"/>
        </w:numPr>
      </w:pPr>
      <w:r>
        <w:rPr>
          <w:rFonts w:ascii="Georgia" w:hAnsi="Georgia"/>
          <w:b w:val="0"/>
          <w:i w:val="0"/>
          <w:color w:val="1C2027"/>
          <w:sz w:val="20"/>
        </w:rPr>
        <w:t>Une inscription concurrente ne crée pas de doublon.</w:t>
      </w:r>
    </w:p>
    <w:p>
      <w:pPr>
        <w:keepLines/>
        <w:spacing w:after="100" w:line="276" w:lineRule="auto"/>
        <w:jc w:val="left"/>
        <w:numPr>
          <w:ilvl w:val="0"/>
          <w:numId w:val="1"/>
        </w:numPr>
      </w:pPr>
      <w:r>
        <w:rPr>
          <w:rFonts w:ascii="Georgia" w:hAnsi="Georgia"/>
          <w:b w:val="0"/>
          <w:i w:val="0"/>
          <w:color w:val="1C2027"/>
          <w:sz w:val="20"/>
        </w:rPr>
        <w:t>Un refresh token réutilisé après rotation est rejeté et la famille de sessions est révoquée.</w:t>
      </w:r>
    </w:p>
    <w:p>
      <w:pPr>
        <w:keepLines/>
        <w:spacing w:after="100" w:line="276" w:lineRule="auto"/>
        <w:jc w:val="left"/>
        <w:numPr>
          <w:ilvl w:val="0"/>
          <w:numId w:val="1"/>
        </w:numPr>
      </w:pPr>
      <w:r>
        <w:rPr>
          <w:rFonts w:ascii="Georgia" w:hAnsi="Georgia"/>
          <w:b w:val="0"/>
          <w:i w:val="0"/>
          <w:color w:val="1C2027"/>
          <w:sz w:val="20"/>
        </w:rPr>
        <w:t>La création compte + profil + personnage est idempotente ou compensée.</w:t>
      </w:r>
    </w:p>
    <w:p>
      <w:pPr>
        <w:keepLines/>
        <w:spacing w:after="100" w:line="276" w:lineRule="auto"/>
        <w:jc w:val="left"/>
        <w:numPr>
          <w:ilvl w:val="0"/>
          <w:numId w:val="1"/>
        </w:numPr>
      </w:pPr>
      <w:r>
        <w:rPr>
          <w:rFonts w:ascii="Georgia" w:hAnsi="Georgia"/>
          <w:b w:val="0"/>
          <w:i w:val="0"/>
          <w:color w:val="1C2027"/>
          <w:sz w:val="20"/>
        </w:rPr>
        <w:t xml:space="preserve">Les anciennes routes acceptant un </w:t>
      </w:r>
      <w:r>
        <w:rPr>
          <w:rFonts w:ascii="Consolas" w:hAnsi="Consolas"/>
          <w:b w:val="0"/>
          <w:i w:val="0"/>
          <w:color w:val="1C2027"/>
          <w:sz w:val="18"/>
        </w:rPr>
        <w:t>playerId</w:t>
      </w:r>
      <w:r>
        <w:rPr>
          <w:rFonts w:ascii="Georgia" w:hAnsi="Georgia"/>
          <w:b w:val="0"/>
          <w:i w:val="0"/>
          <w:color w:val="1C2027"/>
          <w:sz w:val="20"/>
        </w:rPr>
        <w:t xml:space="preserve"> arbitraire deviennent internes ou autorisées par ownership.</w:t>
      </w:r>
    </w:p>
    <w:p>
      <w:pPr>
        <w:keepLines/>
        <w:spacing w:after="100" w:line="276" w:lineRule="auto"/>
        <w:jc w:val="left"/>
        <w:numPr>
          <w:ilvl w:val="0"/>
          <w:numId w:val="1"/>
        </w:numPr>
      </w:pPr>
      <w:r>
        <w:rPr>
          <w:rFonts w:ascii="Georgia" w:hAnsi="Georgia"/>
          <w:b w:val="0"/>
          <w:i w:val="0"/>
          <w:color w:val="1C2027"/>
          <w:sz w:val="20"/>
        </w:rPr>
        <w:t>Les parcours Playwright couvrent inscription, connexion, reprise, déconnexion et récupération.</w:t>
      </w:r>
    </w:p>
    <w:p>
      <w:pPr>
        <w:pStyle w:val="Heading2"/>
        <w:keepNext/>
        <w:spacing w:before="200" w:after="100"/>
      </w:pPr>
      <w:r>
        <w:rPr>
          <w:rFonts w:ascii="Georgia" w:hAnsi="Georgia"/>
          <w:b/>
          <w:i w:val="0"/>
          <w:color w:val="525C6C"/>
          <w:sz w:val="26"/>
        </w:rPr>
        <w:t>7.6 Gate de sortie M3</w:t>
      </w:r>
    </w:p>
    <w:p>
      <w:pPr>
        <w:keepLines/>
        <w:spacing w:after="100" w:line="276" w:lineRule="auto"/>
        <w:jc w:val="left"/>
      </w:pPr>
      <w:r>
        <w:rPr>
          <w:rFonts w:ascii="Georgia" w:hAnsi="Georgia"/>
          <w:b w:val="0"/>
          <w:i w:val="0"/>
          <w:color w:val="1C2027"/>
          <w:sz w:val="20"/>
        </w:rPr>
        <w:t>Un utilisateur neuf peut créer son compte, obtenir son personnage initial, se reconnecter sur une nouvelle session et retrouver exclusivement ses propres données. Aucun identifiant de démonstration n’est utilisé dans le parcours normal.</w:t>
      </w:r>
    </w:p>
    <w:p>
      <w:pPr>
        <w:keepNext/>
        <w:spacing w:before="280" w:after="80"/>
      </w:pPr>
      <w:r>
        <w:rPr>
          <w:rFonts w:ascii="Georgia" w:hAnsi="Georgia"/>
          <w:b/>
          <w:i w:val="0"/>
          <w:caps/>
          <w:color w:val="8997AA"/>
          <w:sz w:val="16"/>
        </w:rPr>
        <w:t>08    SECTION</w:t>
      </w:r>
    </w:p>
    <w:p>
      <w:pPr>
        <w:pStyle w:val="Heading1"/>
        <w:keepNext/>
        <w:spacing w:after="180"/>
      </w:pPr>
      <w:r>
        <w:rPr>
          <w:rFonts w:ascii="Georgia" w:hAnsi="Georgia"/>
          <w:b/>
          <w:i w:val="0"/>
          <w:color w:val="1C2027"/>
          <w:sz w:val="38"/>
        </w:rPr>
        <w:t>Phase M4 — Tranche verticale jouable</w:t>
      </w:r>
    </w:p>
    <w:p>
      <w:pPr>
        <w:pStyle w:val="Heading2"/>
        <w:keepNext/>
        <w:spacing w:before="200" w:after="100"/>
      </w:pPr>
      <w:r>
        <w:rPr>
          <w:rFonts w:ascii="Georgia" w:hAnsi="Georgia"/>
          <w:b/>
          <w:i w:val="0"/>
          <w:color w:val="525C6C"/>
          <w:sz w:val="26"/>
        </w:rPr>
        <w:t>8.1 Objectif</w:t>
      </w:r>
    </w:p>
    <w:p>
      <w:pPr>
        <w:keepLines/>
        <w:spacing w:after="100" w:line="276" w:lineRule="auto"/>
        <w:jc w:val="left"/>
      </w:pPr>
      <w:r>
        <w:rPr>
          <w:rFonts w:ascii="Georgia" w:hAnsi="Georgia"/>
          <w:b w:val="0"/>
          <w:i w:val="0"/>
          <w:color w:val="1C2027"/>
          <w:sz w:val="20"/>
        </w:rPr>
        <w:t>Rendre un segment court mais intégralement connecté : compte → Hall → dialogue ou événement → exploration → combat → récompense → changement de salle → sauvegarde → reprise → conclusion temporaire.</w:t>
      </w:r>
    </w:p>
    <w:p>
      <w:pPr>
        <w:pStyle w:val="Heading2"/>
        <w:keepNext/>
        <w:spacing w:before="200" w:after="100"/>
      </w:pPr>
      <w:r>
        <w:rPr>
          <w:rFonts w:ascii="Georgia" w:hAnsi="Georgia"/>
          <w:b/>
          <w:i w:val="0"/>
          <w:color w:val="525C6C"/>
          <w:sz w:val="26"/>
        </w:rPr>
        <w:t>8.2 Travaux prioritaires</w:t>
      </w:r>
    </w:p>
    <w:p>
      <w:pPr>
        <w:keepLines/>
        <w:spacing w:after="100" w:line="276" w:lineRule="auto"/>
        <w:jc w:val="left"/>
        <w:numPr>
          <w:ilvl w:val="0"/>
          <w:numId w:val="1"/>
        </w:numPr>
      </w:pPr>
      <w:r>
        <w:rPr>
          <w:rFonts w:ascii="Georgia" w:hAnsi="Georgia"/>
          <w:b w:val="0"/>
          <w:i w:val="0"/>
          <w:color w:val="1C2027"/>
          <w:sz w:val="20"/>
        </w:rPr>
        <w:t>Sélectionner le premier segment narratif du Hall et ses checkpoints.</w:t>
      </w:r>
    </w:p>
    <w:p>
      <w:pPr>
        <w:keepLines/>
        <w:spacing w:after="100" w:line="276" w:lineRule="auto"/>
        <w:jc w:val="left"/>
        <w:numPr>
          <w:ilvl w:val="0"/>
          <w:numId w:val="1"/>
        </w:numPr>
      </w:pPr>
      <w:r>
        <w:rPr>
          <w:rFonts w:ascii="Georgia" w:hAnsi="Georgia"/>
          <w:b w:val="0"/>
          <w:i w:val="0"/>
          <w:color w:val="1C2027"/>
          <w:sz w:val="20"/>
        </w:rPr>
        <w:t>Connecter les StorySteps et la progression Account réellement persistée.</w:t>
      </w:r>
    </w:p>
    <w:p>
      <w:pPr>
        <w:keepLines/>
        <w:spacing w:after="100" w:line="276" w:lineRule="auto"/>
        <w:jc w:val="left"/>
        <w:numPr>
          <w:ilvl w:val="0"/>
          <w:numId w:val="1"/>
        </w:numPr>
      </w:pPr>
      <w:r>
        <w:rPr>
          <w:rFonts w:ascii="Georgia" w:hAnsi="Georgia"/>
          <w:b w:val="0"/>
          <w:i w:val="0"/>
          <w:color w:val="1C2027"/>
          <w:sz w:val="20"/>
        </w:rPr>
        <w:t>Câbler les dialogues Catalog des PNJ indispensables.</w:t>
      </w:r>
    </w:p>
    <w:p>
      <w:pPr>
        <w:keepLines/>
        <w:spacing w:after="100" w:line="276" w:lineRule="auto"/>
        <w:jc w:val="left"/>
        <w:numPr>
          <w:ilvl w:val="0"/>
          <w:numId w:val="1"/>
        </w:numPr>
      </w:pPr>
      <w:r>
        <w:rPr>
          <w:rFonts w:ascii="Georgia" w:hAnsi="Georgia"/>
          <w:b w:val="0"/>
          <w:i w:val="0"/>
          <w:color w:val="1C2027"/>
          <w:sz w:val="20"/>
        </w:rPr>
        <w:t>Terminer les conséquences de règles locales utilisées par ce segment.</w:t>
      </w:r>
    </w:p>
    <w:p>
      <w:pPr>
        <w:keepLines/>
        <w:spacing w:after="100" w:line="276" w:lineRule="auto"/>
        <w:jc w:val="left"/>
        <w:numPr>
          <w:ilvl w:val="0"/>
          <w:numId w:val="1"/>
        </w:numPr>
      </w:pPr>
      <w:r>
        <w:rPr>
          <w:rFonts w:ascii="Georgia" w:hAnsi="Georgia"/>
          <w:b w:val="0"/>
          <w:i w:val="0"/>
          <w:color w:val="1C2027"/>
          <w:sz w:val="20"/>
        </w:rPr>
        <w:t>Garantir le déclenchement de tous les combats concernés au contact.</w:t>
      </w:r>
    </w:p>
    <w:p>
      <w:pPr>
        <w:keepLines/>
        <w:spacing w:after="100" w:line="276" w:lineRule="auto"/>
        <w:jc w:val="left"/>
        <w:numPr>
          <w:ilvl w:val="0"/>
          <w:numId w:val="1"/>
        </w:numPr>
      </w:pPr>
      <w:r>
        <w:rPr>
          <w:rFonts w:ascii="Georgia" w:hAnsi="Georgia"/>
          <w:b w:val="0"/>
          <w:i w:val="0"/>
          <w:color w:val="1C2027"/>
          <w:sz w:val="20"/>
        </w:rPr>
        <w:t>Finaliser récompenses, inventaire, équipement et synchronisation des caractéristiques.</w:t>
      </w:r>
    </w:p>
    <w:p>
      <w:pPr>
        <w:keepLines/>
        <w:spacing w:after="100" w:line="276" w:lineRule="auto"/>
        <w:jc w:val="left"/>
        <w:numPr>
          <w:ilvl w:val="0"/>
          <w:numId w:val="1"/>
        </w:numPr>
      </w:pPr>
      <w:r>
        <w:rPr>
          <w:rFonts w:ascii="Georgia" w:hAnsi="Georgia"/>
          <w:b w:val="0"/>
          <w:i w:val="0"/>
          <w:color w:val="1C2027"/>
          <w:sz w:val="20"/>
        </w:rPr>
        <w:t>Ajouter les transitions de salle et une conclusion de tranche clairement présentée.</w:t>
      </w:r>
    </w:p>
    <w:p>
      <w:pPr>
        <w:keepLines/>
        <w:spacing w:after="100" w:line="276" w:lineRule="auto"/>
        <w:jc w:val="left"/>
        <w:numPr>
          <w:ilvl w:val="0"/>
          <w:numId w:val="1"/>
        </w:numPr>
      </w:pPr>
      <w:r>
        <w:rPr>
          <w:rFonts w:ascii="Georgia" w:hAnsi="Georgia"/>
          <w:b w:val="0"/>
          <w:i w:val="0"/>
          <w:color w:val="1C2027"/>
          <w:sz w:val="20"/>
        </w:rPr>
        <w:t>Couvrir le parcours complet en E2E et en tests d’intégration.</w:t>
      </w:r>
    </w:p>
    <w:p>
      <w:pPr>
        <w:pStyle w:val="Heading2"/>
        <w:keepNext/>
        <w:spacing w:before="200" w:after="100"/>
      </w:pPr>
      <w:r>
        <w:rPr>
          <w:rFonts w:ascii="Georgia" w:hAnsi="Georgia"/>
          <w:b/>
          <w:i w:val="0"/>
          <w:color w:val="525C6C"/>
          <w:sz w:val="26"/>
        </w:rPr>
        <w:t>8.3 Gate de sortie M4</w:t>
      </w:r>
    </w:p>
    <w:p>
      <w:pPr>
        <w:keepLines/>
        <w:spacing w:after="100" w:line="276" w:lineRule="auto"/>
        <w:jc w:val="left"/>
      </w:pPr>
      <w:r>
        <w:rPr>
          <w:rFonts w:ascii="Georgia" w:hAnsi="Georgia"/>
          <w:b w:val="0"/>
          <w:i w:val="0"/>
          <w:color w:val="1C2027"/>
          <w:sz w:val="20"/>
        </w:rPr>
        <w:t>Un testeur externe peut terminer ou perdre la tranche sans DevTools, sans manipulation de base et sans état bloqué. Une fermeture du navigateur ou un redémarrage des services ne détruit pas sa progression validée.</w:t>
      </w:r>
    </w:p>
    <w:p>
      <w:pPr>
        <w:keepNext/>
        <w:spacing w:before="280" w:after="80"/>
      </w:pPr>
      <w:r>
        <w:rPr>
          <w:rFonts w:ascii="Georgia" w:hAnsi="Georgia"/>
          <w:b/>
          <w:i w:val="0"/>
          <w:caps/>
          <w:color w:val="8997AA"/>
          <w:sz w:val="16"/>
        </w:rPr>
        <w:t>09    SECTION</w:t>
      </w:r>
    </w:p>
    <w:p>
      <w:pPr>
        <w:pStyle w:val="Heading1"/>
        <w:keepNext/>
        <w:spacing w:after="180"/>
      </w:pPr>
      <w:r>
        <w:rPr>
          <w:rFonts w:ascii="Georgia" w:hAnsi="Georgia"/>
          <w:b/>
          <w:i w:val="0"/>
          <w:color w:val="1C2027"/>
          <w:sz w:val="38"/>
        </w:rPr>
        <w:t>Phase M5 — Contenu et expérience bêta</w:t>
      </w:r>
    </w:p>
    <w:p>
      <w:pPr>
        <w:pStyle w:val="Heading2"/>
        <w:keepNext/>
        <w:spacing w:before="200" w:after="100"/>
      </w:pPr>
      <w:r>
        <w:rPr>
          <w:rFonts w:ascii="Georgia" w:hAnsi="Georgia"/>
          <w:b/>
          <w:i w:val="0"/>
          <w:color w:val="525C6C"/>
          <w:sz w:val="26"/>
        </w:rPr>
        <w:t>9.1 Périmètre minimum recommandé</w:t>
      </w:r>
    </w:p>
    <w:p>
      <w:pPr>
        <w:keepLines/>
        <w:spacing w:after="100" w:line="276" w:lineRule="auto"/>
        <w:jc w:val="left"/>
        <w:numPr>
          <w:ilvl w:val="0"/>
          <w:numId w:val="1"/>
        </w:numPr>
      </w:pPr>
      <w:r>
        <w:rPr>
          <w:rFonts w:ascii="Georgia" w:hAnsi="Georgia"/>
          <w:b w:val="0"/>
          <w:i w:val="0"/>
          <w:color w:val="1C2027"/>
          <w:sz w:val="20"/>
        </w:rPr>
        <w:t>Hall d’entrée finalisé pour le parcours retenu.</w:t>
      </w:r>
    </w:p>
    <w:p>
      <w:pPr>
        <w:keepLines/>
        <w:spacing w:after="100" w:line="276" w:lineRule="auto"/>
        <w:jc w:val="left"/>
        <w:numPr>
          <w:ilvl w:val="0"/>
          <w:numId w:val="1"/>
        </w:numPr>
      </w:pPr>
      <w:r>
        <w:rPr>
          <w:rFonts w:ascii="Georgia" w:hAnsi="Georgia"/>
          <w:b w:val="0"/>
          <w:i w:val="0"/>
          <w:color w:val="1C2027"/>
          <w:sz w:val="20"/>
        </w:rPr>
        <w:t>Plusieurs salles reliées et visuellement distinctes.</w:t>
      </w:r>
    </w:p>
    <w:p>
      <w:pPr>
        <w:keepLines/>
        <w:spacing w:after="100" w:line="276" w:lineRule="auto"/>
        <w:jc w:val="left"/>
        <w:numPr>
          <w:ilvl w:val="0"/>
          <w:numId w:val="1"/>
        </w:numPr>
      </w:pPr>
      <w:r>
        <w:rPr>
          <w:rFonts w:ascii="Georgia" w:hAnsi="Georgia"/>
          <w:b w:val="0"/>
          <w:i w:val="0"/>
          <w:color w:val="1C2027"/>
          <w:sz w:val="20"/>
        </w:rPr>
        <w:t>Combats standards, au moins une rencontre élite et une conclusion forte.</w:t>
      </w:r>
    </w:p>
    <w:p>
      <w:pPr>
        <w:keepLines/>
        <w:spacing w:after="100" w:line="276" w:lineRule="auto"/>
        <w:jc w:val="left"/>
        <w:numPr>
          <w:ilvl w:val="0"/>
          <w:numId w:val="1"/>
        </w:numPr>
      </w:pPr>
      <w:r>
        <w:rPr>
          <w:rFonts w:ascii="Georgia" w:hAnsi="Georgia"/>
          <w:b w:val="0"/>
          <w:i w:val="0"/>
          <w:color w:val="1C2027"/>
          <w:sz w:val="20"/>
        </w:rPr>
        <w:t>Plusieurs PNJ avec dialogues et réactions réellement connectés.</w:t>
      </w:r>
    </w:p>
    <w:p>
      <w:pPr>
        <w:keepLines/>
        <w:spacing w:after="100" w:line="276" w:lineRule="auto"/>
        <w:jc w:val="left"/>
        <w:numPr>
          <w:ilvl w:val="0"/>
          <w:numId w:val="1"/>
        </w:numPr>
      </w:pPr>
      <w:r>
        <w:rPr>
          <w:rFonts w:ascii="Georgia" w:hAnsi="Georgia"/>
          <w:b w:val="0"/>
          <w:i w:val="0"/>
          <w:color w:val="1C2027"/>
          <w:sz w:val="20"/>
        </w:rPr>
        <w:t>Un ensemble contrôlé de compétences, équipements, objets et récompenses entièrement authorés.</w:t>
      </w:r>
    </w:p>
    <w:p>
      <w:pPr>
        <w:keepLines/>
        <w:spacing w:after="100" w:line="276" w:lineRule="auto"/>
        <w:jc w:val="left"/>
        <w:numPr>
          <w:ilvl w:val="0"/>
          <w:numId w:val="1"/>
        </w:numPr>
      </w:pPr>
      <w:r>
        <w:rPr>
          <w:rFonts w:ascii="Georgia" w:hAnsi="Georgia"/>
          <w:b w:val="0"/>
          <w:i w:val="0"/>
          <w:color w:val="1C2027"/>
          <w:sz w:val="20"/>
        </w:rPr>
        <w:t>Un objectif et une progression visibles depuis l’interface.</w:t>
      </w:r>
    </w:p>
    <w:p>
      <w:pPr>
        <w:keepLines/>
        <w:spacing w:after="100" w:line="276" w:lineRule="auto"/>
        <w:jc w:val="left"/>
        <w:numPr>
          <w:ilvl w:val="0"/>
          <w:numId w:val="1"/>
        </w:numPr>
      </w:pPr>
      <w:r>
        <w:rPr>
          <w:rFonts w:ascii="Georgia" w:hAnsi="Georgia"/>
          <w:b w:val="0"/>
          <w:i w:val="0"/>
          <w:color w:val="1C2027"/>
          <w:sz w:val="20"/>
        </w:rPr>
        <w:t>Une durée de jeu suffisante pour observer exploration, combat et progression.</w:t>
      </w:r>
    </w:p>
    <w:p>
      <w:pPr>
        <w:pStyle w:val="Heading2"/>
        <w:keepNext/>
        <w:spacing w:before="200" w:after="100"/>
      </w:pPr>
      <w:r>
        <w:rPr>
          <w:rFonts w:ascii="Georgia" w:hAnsi="Georgia"/>
          <w:b/>
          <w:i w:val="0"/>
          <w:color w:val="525C6C"/>
          <w:sz w:val="26"/>
        </w:rPr>
        <w:t>9.2 Travaux UX</w:t>
      </w:r>
    </w:p>
    <w:p>
      <w:pPr>
        <w:keepLines/>
        <w:spacing w:after="100" w:line="276" w:lineRule="auto"/>
        <w:jc w:val="left"/>
        <w:numPr>
          <w:ilvl w:val="0"/>
          <w:numId w:val="1"/>
        </w:numPr>
      </w:pPr>
      <w:r>
        <w:rPr>
          <w:rFonts w:ascii="Georgia" w:hAnsi="Georgia"/>
          <w:b w:val="0"/>
          <w:i w:val="0"/>
          <w:color w:val="1C2027"/>
          <w:sz w:val="20"/>
        </w:rPr>
        <w:t>Lisibilité de l’initiative, des portées, cibles, coûts et conséquences.</w:t>
      </w:r>
    </w:p>
    <w:p>
      <w:pPr>
        <w:keepLines/>
        <w:spacing w:after="100" w:line="276" w:lineRule="auto"/>
        <w:jc w:val="left"/>
        <w:numPr>
          <w:ilvl w:val="0"/>
          <w:numId w:val="1"/>
        </w:numPr>
      </w:pPr>
      <w:r>
        <w:rPr>
          <w:rFonts w:ascii="Georgia" w:hAnsi="Georgia"/>
          <w:b w:val="0"/>
          <w:i w:val="0"/>
          <w:color w:val="1C2027"/>
          <w:sz w:val="20"/>
        </w:rPr>
        <w:t>File d’animations unique empêchant les effets simultanés incohérents.</w:t>
      </w:r>
    </w:p>
    <w:p>
      <w:pPr>
        <w:keepLines/>
        <w:spacing w:after="100" w:line="276" w:lineRule="auto"/>
        <w:jc w:val="left"/>
        <w:numPr>
          <w:ilvl w:val="0"/>
          <w:numId w:val="1"/>
        </w:numPr>
      </w:pPr>
      <w:r>
        <w:rPr>
          <w:rFonts w:ascii="Georgia" w:hAnsi="Georgia"/>
          <w:b w:val="0"/>
          <w:i w:val="0"/>
          <w:color w:val="1C2027"/>
          <w:sz w:val="20"/>
        </w:rPr>
        <w:t>Caméra exploration/combat stable et adaptée à l’action.</w:t>
      </w:r>
    </w:p>
    <w:p>
      <w:pPr>
        <w:keepLines/>
        <w:spacing w:after="100" w:line="276" w:lineRule="auto"/>
        <w:jc w:val="left"/>
        <w:numPr>
          <w:ilvl w:val="0"/>
          <w:numId w:val="1"/>
        </w:numPr>
      </w:pPr>
      <w:r>
        <w:rPr>
          <w:rFonts w:ascii="Georgia" w:hAnsi="Georgia"/>
          <w:b w:val="0"/>
          <w:i w:val="0"/>
          <w:color w:val="1C2027"/>
          <w:sz w:val="20"/>
        </w:rPr>
        <w:t>Texte systématique à côté des icônes métier.</w:t>
      </w:r>
    </w:p>
    <w:p>
      <w:pPr>
        <w:keepLines/>
        <w:spacing w:after="100" w:line="276" w:lineRule="auto"/>
        <w:jc w:val="left"/>
        <w:numPr>
          <w:ilvl w:val="0"/>
          <w:numId w:val="1"/>
        </w:numPr>
      </w:pPr>
      <w:r>
        <w:rPr>
          <w:rFonts w:ascii="Georgia" w:hAnsi="Georgia"/>
          <w:b w:val="0"/>
          <w:i w:val="0"/>
          <w:color w:val="1C2027"/>
          <w:sz w:val="20"/>
        </w:rPr>
        <w:t>Feedback clair sur interaction impossible, sauvegarde, connexion et erreur réseau.</w:t>
      </w:r>
    </w:p>
    <w:p>
      <w:pPr>
        <w:keepLines/>
        <w:spacing w:after="100" w:line="276" w:lineRule="auto"/>
        <w:jc w:val="left"/>
        <w:numPr>
          <w:ilvl w:val="0"/>
          <w:numId w:val="1"/>
        </w:numPr>
      </w:pPr>
      <w:r>
        <w:rPr>
          <w:rFonts w:ascii="Georgia" w:hAnsi="Georgia"/>
          <w:b w:val="0"/>
          <w:i w:val="0"/>
          <w:color w:val="1C2027"/>
          <w:sz w:val="20"/>
        </w:rPr>
        <w:t>Navigation clavier, focus et contrastes sur les parcours principaux.</w:t>
      </w:r>
    </w:p>
    <w:p>
      <w:pPr>
        <w:pStyle w:val="Heading2"/>
        <w:keepNext/>
        <w:spacing w:before="200" w:after="100"/>
      </w:pPr>
      <w:r>
        <w:rPr>
          <w:rFonts w:ascii="Georgia" w:hAnsi="Georgia"/>
          <w:b/>
          <w:i w:val="0"/>
          <w:color w:val="525C6C"/>
          <w:sz w:val="26"/>
        </w:rPr>
        <w:t>9.3 Contenu reportable</w:t>
      </w:r>
    </w:p>
    <w:p>
      <w:pPr>
        <w:keepLines/>
        <w:spacing w:after="100" w:line="276" w:lineRule="auto"/>
        <w:jc w:val="left"/>
      </w:pPr>
      <w:r>
        <w:rPr>
          <w:rFonts w:ascii="Georgia" w:hAnsi="Georgia"/>
          <w:b w:val="0"/>
          <w:i w:val="0"/>
          <w:color w:val="1C2027"/>
          <w:sz w:val="20"/>
        </w:rPr>
        <w:t>Le système de Talents, la totalité des HF, les vingt-sept salles, la difficulté N complète, tous les renforts génériques et la normalisation des 138 compétences sont différés sauf lorsqu’un de ces éléments est indispensable au segment choisi.</w:t>
      </w:r>
    </w:p>
    <w:p>
      <w:pPr>
        <w:pStyle w:val="Heading2"/>
        <w:keepNext/>
        <w:spacing w:before="200" w:after="100"/>
      </w:pPr>
      <w:r>
        <w:rPr>
          <w:rFonts w:ascii="Georgia" w:hAnsi="Georgia"/>
          <w:b/>
          <w:i w:val="0"/>
          <w:color w:val="525C6C"/>
          <w:sz w:val="26"/>
        </w:rPr>
        <w:t>9.4 Gate de sortie M5</w:t>
      </w:r>
    </w:p>
    <w:p>
      <w:pPr>
        <w:keepLines/>
        <w:spacing w:after="100" w:line="276" w:lineRule="auto"/>
        <w:jc w:val="left"/>
      </w:pPr>
      <w:r>
        <w:rPr>
          <w:rFonts w:ascii="Georgia" w:hAnsi="Georgia"/>
          <w:b w:val="0"/>
          <w:i w:val="0"/>
          <w:color w:val="1C2027"/>
          <w:sz w:val="20"/>
        </w:rPr>
        <w:t>Le contenu ne présente aucun placeholder visible, aucune interaction sans conséquence annoncée et aucun objet non documenté. Les testeurs comprennent l’objectif, les règles de combat et la progression sans explication orale du développeur.</w:t>
      </w:r>
    </w:p>
    <w:p>
      <w:pPr>
        <w:keepNext/>
        <w:spacing w:before="280" w:after="80"/>
      </w:pPr>
      <w:r>
        <w:rPr>
          <w:rFonts w:ascii="Georgia" w:hAnsi="Georgia"/>
          <w:b/>
          <w:i w:val="0"/>
          <w:caps/>
          <w:color w:val="8997AA"/>
          <w:sz w:val="16"/>
        </w:rPr>
        <w:t>10    SECTION</w:t>
      </w:r>
    </w:p>
    <w:p>
      <w:pPr>
        <w:pStyle w:val="Heading1"/>
        <w:keepNext/>
        <w:spacing w:after="180"/>
      </w:pPr>
      <w:r>
        <w:rPr>
          <w:rFonts w:ascii="Georgia" w:hAnsi="Georgia"/>
          <w:b/>
          <w:i w:val="0"/>
          <w:color w:val="1C2027"/>
          <w:sz w:val="38"/>
        </w:rPr>
        <w:t>Phase M6 — Durcissement et ouverture bêta</w:t>
      </w:r>
    </w:p>
    <w:p>
      <w:pPr>
        <w:pStyle w:val="Heading2"/>
        <w:keepNext/>
        <w:spacing w:before="200" w:after="100"/>
      </w:pPr>
      <w:r>
        <w:rPr>
          <w:rFonts w:ascii="Georgia" w:hAnsi="Georgia"/>
          <w:b/>
          <w:i w:val="0"/>
          <w:color w:val="525C6C"/>
          <w:sz w:val="26"/>
        </w:rPr>
        <w:t>10.1 Qualification finale</w:t>
      </w:r>
    </w:p>
    <w:p>
      <w:pPr>
        <w:keepLines/>
        <w:spacing w:after="100" w:line="276" w:lineRule="auto"/>
        <w:jc w:val="left"/>
        <w:numPr>
          <w:ilvl w:val="0"/>
          <w:numId w:val="1"/>
        </w:numPr>
      </w:pPr>
      <w:r>
        <w:rPr>
          <w:rFonts w:ascii="Georgia" w:hAnsi="Georgia"/>
          <w:b w:val="0"/>
          <w:i w:val="0"/>
          <w:color w:val="1C2027"/>
          <w:sz w:val="20"/>
        </w:rPr>
        <w:t>Campagne E2E sur navigateur principal et résolutions supportées.</w:t>
      </w:r>
    </w:p>
    <w:p>
      <w:pPr>
        <w:keepLines/>
        <w:spacing w:after="100" w:line="276" w:lineRule="auto"/>
        <w:jc w:val="left"/>
        <w:numPr>
          <w:ilvl w:val="0"/>
          <w:numId w:val="1"/>
        </w:numPr>
      </w:pPr>
      <w:r>
        <w:rPr>
          <w:rFonts w:ascii="Georgia" w:hAnsi="Georgia"/>
          <w:b w:val="0"/>
          <w:i w:val="0"/>
          <w:color w:val="1C2027"/>
          <w:sz w:val="20"/>
        </w:rPr>
        <w:t>Tests de charge ciblés sur inscription, connexion, reprise et commandes de combat.</w:t>
      </w:r>
    </w:p>
    <w:p>
      <w:pPr>
        <w:keepLines/>
        <w:spacing w:after="100" w:line="276" w:lineRule="auto"/>
        <w:jc w:val="left"/>
        <w:numPr>
          <w:ilvl w:val="0"/>
          <w:numId w:val="1"/>
        </w:numPr>
      </w:pPr>
      <w:r>
        <w:rPr>
          <w:rFonts w:ascii="Georgia" w:hAnsi="Georgia"/>
          <w:b w:val="0"/>
          <w:i w:val="0"/>
          <w:color w:val="1C2027"/>
          <w:sz w:val="20"/>
        </w:rPr>
        <w:t>Tests de concurrence : double démarrage de run, double récompense et appels idempotents.</w:t>
      </w:r>
    </w:p>
    <w:p>
      <w:pPr>
        <w:keepLines/>
        <w:spacing w:after="100" w:line="276" w:lineRule="auto"/>
        <w:jc w:val="left"/>
        <w:numPr>
          <w:ilvl w:val="0"/>
          <w:numId w:val="1"/>
        </w:numPr>
      </w:pPr>
      <w:r>
        <w:rPr>
          <w:rFonts w:ascii="Georgia" w:hAnsi="Georgia"/>
          <w:b w:val="0"/>
          <w:i w:val="0"/>
          <w:color w:val="1C2027"/>
          <w:sz w:val="20"/>
        </w:rPr>
        <w:t>Tests de perte réseau et indisponibilité temporaire d’un service.</w:t>
      </w:r>
    </w:p>
    <w:p>
      <w:pPr>
        <w:keepLines/>
        <w:spacing w:after="100" w:line="276" w:lineRule="auto"/>
        <w:jc w:val="left"/>
        <w:numPr>
          <w:ilvl w:val="0"/>
          <w:numId w:val="1"/>
        </w:numPr>
      </w:pPr>
      <w:r>
        <w:rPr>
          <w:rFonts w:ascii="Georgia" w:hAnsi="Georgia"/>
          <w:b w:val="0"/>
          <w:i w:val="0"/>
          <w:color w:val="1C2027"/>
          <w:sz w:val="20"/>
        </w:rPr>
        <w:t>Revue sécurité des endpoints publics et internes.</w:t>
      </w:r>
    </w:p>
    <w:p>
      <w:pPr>
        <w:keepLines/>
        <w:spacing w:after="100" w:line="276" w:lineRule="auto"/>
        <w:jc w:val="left"/>
        <w:numPr>
          <w:ilvl w:val="0"/>
          <w:numId w:val="1"/>
        </w:numPr>
      </w:pPr>
      <w:r>
        <w:rPr>
          <w:rFonts w:ascii="Georgia" w:hAnsi="Georgia"/>
          <w:b w:val="0"/>
          <w:i w:val="0"/>
          <w:color w:val="1C2027"/>
          <w:sz w:val="20"/>
        </w:rPr>
        <w:t>Vérification des sauvegardes et restauration chronométrée.</w:t>
      </w:r>
    </w:p>
    <w:p>
      <w:pPr>
        <w:keepLines/>
        <w:spacing w:after="100" w:line="276" w:lineRule="auto"/>
        <w:jc w:val="left"/>
        <w:numPr>
          <w:ilvl w:val="0"/>
          <w:numId w:val="1"/>
        </w:numPr>
      </w:pPr>
      <w:r>
        <w:rPr>
          <w:rFonts w:ascii="Georgia" w:hAnsi="Georgia"/>
          <w:b w:val="0"/>
          <w:i w:val="0"/>
          <w:color w:val="1C2027"/>
          <w:sz w:val="20"/>
        </w:rPr>
        <w:t>Revue des données personnelles, rétention et suppression.</w:t>
      </w:r>
    </w:p>
    <w:p>
      <w:pPr>
        <w:keepLines/>
        <w:spacing w:after="100" w:line="276" w:lineRule="auto"/>
        <w:jc w:val="left"/>
        <w:numPr>
          <w:ilvl w:val="0"/>
          <w:numId w:val="1"/>
        </w:numPr>
      </w:pPr>
      <w:r>
        <w:rPr>
          <w:rFonts w:ascii="Georgia" w:hAnsi="Georgia"/>
          <w:b w:val="0"/>
          <w:i w:val="0"/>
          <w:color w:val="1C2027"/>
          <w:sz w:val="20"/>
        </w:rPr>
        <w:t>Sessions de jeu exploratoires avec collecte structurée des retours.</w:t>
      </w:r>
    </w:p>
    <w:p>
      <w:pPr>
        <w:pStyle w:val="Heading2"/>
        <w:keepNext/>
        <w:spacing w:before="200" w:after="100"/>
      </w:pPr>
      <w:r>
        <w:rPr>
          <w:rFonts w:ascii="Georgia" w:hAnsi="Georgia"/>
          <w:b/>
          <w:i w:val="0"/>
          <w:color w:val="525C6C"/>
          <w:sz w:val="26"/>
        </w:rPr>
        <w:t>10.2 Exploitation bêta</w:t>
      </w:r>
    </w:p>
    <w:p>
      <w:pPr>
        <w:keepLines/>
        <w:spacing w:after="100" w:line="276" w:lineRule="auto"/>
        <w:jc w:val="left"/>
        <w:numPr>
          <w:ilvl w:val="0"/>
          <w:numId w:val="1"/>
        </w:numPr>
      </w:pPr>
      <w:r>
        <w:rPr>
          <w:rFonts w:ascii="Georgia" w:hAnsi="Georgia"/>
          <w:b w:val="0"/>
          <w:i w:val="0"/>
          <w:color w:val="1C2027"/>
          <w:sz w:val="20"/>
        </w:rPr>
        <w:t>Tableau de bord technique et produit.</w:t>
      </w:r>
    </w:p>
    <w:p>
      <w:pPr>
        <w:keepLines/>
        <w:spacing w:after="100" w:line="276" w:lineRule="auto"/>
        <w:jc w:val="left"/>
        <w:numPr>
          <w:ilvl w:val="0"/>
          <w:numId w:val="1"/>
        </w:numPr>
      </w:pPr>
      <w:r>
        <w:rPr>
          <w:rFonts w:ascii="Georgia" w:hAnsi="Georgia"/>
          <w:b w:val="0"/>
          <w:i w:val="0"/>
          <w:color w:val="1C2027"/>
          <w:sz w:val="20"/>
        </w:rPr>
        <w:t>Alertes sur indisponibilité, erreurs, migrations et sauvegardes.</w:t>
      </w:r>
    </w:p>
    <w:p>
      <w:pPr>
        <w:keepLines/>
        <w:spacing w:after="100" w:line="276" w:lineRule="auto"/>
        <w:jc w:val="left"/>
        <w:numPr>
          <w:ilvl w:val="0"/>
          <w:numId w:val="1"/>
        </w:numPr>
      </w:pPr>
      <w:r>
        <w:rPr>
          <w:rFonts w:ascii="Georgia" w:hAnsi="Georgia"/>
          <w:b w:val="0"/>
          <w:i w:val="0"/>
          <w:color w:val="1C2027"/>
          <w:sz w:val="20"/>
        </w:rPr>
        <w:t>Formulaire de signalement avec version, run et identifiant de corrélation.</w:t>
      </w:r>
    </w:p>
    <w:p>
      <w:pPr>
        <w:keepLines/>
        <w:spacing w:after="100" w:line="276" w:lineRule="auto"/>
        <w:jc w:val="left"/>
        <w:numPr>
          <w:ilvl w:val="0"/>
          <w:numId w:val="1"/>
        </w:numPr>
      </w:pPr>
      <w:r>
        <w:rPr>
          <w:rFonts w:ascii="Georgia" w:hAnsi="Georgia"/>
          <w:b w:val="0"/>
          <w:i w:val="0"/>
          <w:color w:val="1C2027"/>
          <w:sz w:val="20"/>
        </w:rPr>
        <w:t>Procédure d’incident, rollback, restauration et communication.</w:t>
      </w:r>
    </w:p>
    <w:p>
      <w:pPr>
        <w:keepLines/>
        <w:spacing w:after="100" w:line="276" w:lineRule="auto"/>
        <w:jc w:val="left"/>
        <w:numPr>
          <w:ilvl w:val="0"/>
          <w:numId w:val="1"/>
        </w:numPr>
      </w:pPr>
      <w:r>
        <w:rPr>
          <w:rFonts w:ascii="Georgia" w:hAnsi="Georgia"/>
          <w:b w:val="0"/>
          <w:i w:val="0"/>
          <w:color w:val="1C2027"/>
          <w:sz w:val="20"/>
        </w:rPr>
        <w:t>Politique de versions bêta et notes de release.</w:t>
      </w:r>
    </w:p>
    <w:p>
      <w:pPr>
        <w:keepLines/>
        <w:spacing w:after="100" w:line="276" w:lineRule="auto"/>
        <w:jc w:val="left"/>
        <w:numPr>
          <w:ilvl w:val="0"/>
          <w:numId w:val="1"/>
        </w:numPr>
      </w:pPr>
      <w:r>
        <w:rPr>
          <w:rFonts w:ascii="Georgia" w:hAnsi="Georgia"/>
          <w:b w:val="0"/>
          <w:i w:val="0"/>
          <w:color w:val="1C2027"/>
          <w:sz w:val="20"/>
        </w:rPr>
        <w:t>Procédure de fermeture temporaire des inscriptions.</w:t>
      </w:r>
    </w:p>
    <w:p>
      <w:pPr>
        <w:pStyle w:val="Heading2"/>
        <w:keepNext/>
        <w:spacing w:before="200" w:after="100"/>
      </w:pPr>
      <w:r>
        <w:rPr>
          <w:rFonts w:ascii="Georgia" w:hAnsi="Georgia"/>
          <w:b/>
          <w:i w:val="0"/>
          <w:color w:val="525C6C"/>
          <w:sz w:val="26"/>
        </w:rPr>
        <w:t>10.3 Gate d’ouverture</w:t>
      </w:r>
    </w:p>
    <w:p>
      <w:pPr>
        <w:keepLines/>
        <w:spacing w:after="100" w:line="276" w:lineRule="auto"/>
        <w:jc w:val="left"/>
      </w:pPr>
      <w:r>
        <w:rPr>
          <w:rFonts w:ascii="Georgia" w:hAnsi="Georgia"/>
          <w:b w:val="0"/>
          <w:i w:val="0"/>
          <w:color w:val="1C2027"/>
          <w:sz w:val="20"/>
        </w:rPr>
        <w:t>La bêta est ouverte uniquement si les critères de la section 12 sont validés et si aucun défaut critique ou élevé sans mitigation n’est accepté.</w:t>
      </w:r>
    </w:p>
    <w:p>
      <w:pPr>
        <w:keepNext/>
        <w:spacing w:before="280" w:after="80"/>
      </w:pPr>
      <w:r>
        <w:rPr>
          <w:rFonts w:ascii="Georgia" w:hAnsi="Georgia"/>
          <w:b/>
          <w:i w:val="0"/>
          <w:caps/>
          <w:color w:val="8997AA"/>
          <w:sz w:val="16"/>
        </w:rPr>
        <w:t>11    SECTION</w:t>
      </w:r>
    </w:p>
    <w:p>
      <w:pPr>
        <w:pStyle w:val="Heading1"/>
        <w:keepNext/>
        <w:spacing w:after="180"/>
      </w:pPr>
      <w:r>
        <w:rPr>
          <w:rFonts w:ascii="Georgia" w:hAnsi="Georgia"/>
          <w:b/>
          <w:i w:val="0"/>
          <w:color w:val="1C2027"/>
          <w:sz w:val="38"/>
        </w:rPr>
        <w:t>Dépendances critiques</w:t>
      </w:r>
    </w:p>
    <w:tbl>
      <w:tblPr>
        <w:tblW w:type="dxa" w:w="9360"/>
        <w:jc w:val="left"/>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2902"/>
        <w:gridCol w:w="2615"/>
        <w:gridCol w:w="3843"/>
      </w:tblGrid>
      <w:tr>
        <w:trPr>
          <w:tblHeader w:val="true"/>
        </w:trPr>
        <w:tc>
          <w:tcPr>
            <w:tcW w:type="dxa" w:w="2902"/>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Dépendance</w:t>
            </w:r>
          </w:p>
        </w:tc>
        <w:tc>
          <w:tcPr>
            <w:tcW w:type="dxa" w:w="2615"/>
            <w:tcMar>
              <w:top w:w="90" w:type="dxa"/>
              <w:start w:w="120" w:type="dxa"/>
              <w:bottom w:w="90" w:type="dxa"/>
              <w:end w:w="120" w:type="dxa"/>
            </w:tcMar>
            <w:vAlign w:val="center"/>
            <w:shd w:fill="EEF1F5"/>
          </w:tcPr>
          <w:p>
            <w:pPr>
              <w:spacing w:before="40" w:after="40" w:line="259" w:lineRule="auto"/>
              <w:jc w:val="left"/>
            </w:pPr>
            <w:r>
              <w:rPr>
                <w:rFonts w:ascii="Georgia" w:hAnsi="Georgia"/>
                <w:b/>
                <w:i w:val="0"/>
                <w:color w:val="525C6C"/>
                <w:sz w:val="16"/>
              </w:rPr>
              <w:t>Bloque</w:t>
            </w:r>
          </w:p>
        </w:tc>
        <w:tc>
          <w:tcPr>
            <w:tcW w:type="dxa" w:w="3843"/>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Décision</w:t>
            </w:r>
          </w:p>
        </w:tc>
      </w:tr>
      <w:tr>
        <w:tc>
          <w:tcPr>
            <w:tcW w:type="dxa" w:w="2902"/>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Tests rouges</w:t>
            </w:r>
          </w:p>
        </w:tc>
        <w:tc>
          <w:tcPr>
            <w:tcW w:type="dxa" w:w="2615"/>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Toute activation CD</w:t>
            </w:r>
          </w:p>
        </w:tc>
        <w:tc>
          <w:tcPr>
            <w:tcW w:type="dxa" w:w="3843"/>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Résoudre avant M2</w:t>
            </w:r>
          </w:p>
        </w:tc>
      </w:tr>
      <w:tr>
        <w:tc>
          <w:tcPr>
            <w:tcW w:type="dxa" w:w="2902"/>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Couverture inférieure à 80 %</w:t>
            </w:r>
          </w:p>
        </w:tc>
        <w:tc>
          <w:tcPr>
            <w:tcW w:type="dxa" w:w="2615"/>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Protection de develop et release</w:t>
            </w:r>
          </w:p>
        </w:tc>
        <w:tc>
          <w:tcPr>
            <w:tcW w:type="dxa" w:w="384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Relever par service sans moyenne globale</w:t>
            </w:r>
          </w:p>
        </w:tc>
      </w:tr>
      <w:tr>
        <w:tc>
          <w:tcPr>
            <w:tcW w:type="dxa" w:w="2902"/>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Cible d’hébergement non choisie</w:t>
            </w:r>
          </w:p>
        </w:tc>
        <w:tc>
          <w:tcPr>
            <w:tcW w:type="dxa" w:w="2615"/>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Adaptateur final de déploiement</w:t>
            </w:r>
          </w:p>
        </w:tc>
        <w:tc>
          <w:tcPr>
            <w:tcW w:type="dxa" w:w="384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Docker Compose par défaut bêta</w:t>
            </w:r>
          </w:p>
        </w:tc>
      </w:tr>
      <w:tr>
        <w:tc>
          <w:tcPr>
            <w:tcW w:type="dxa" w:w="2902"/>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Modèle Account non arbitré</w:t>
            </w:r>
          </w:p>
        </w:tc>
        <w:tc>
          <w:tcPr>
            <w:tcW w:type="dxa" w:w="2615"/>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M3</w:t>
            </w:r>
          </w:p>
        </w:tc>
        <w:tc>
          <w:tcPr>
            <w:tcW w:type="dxa" w:w="384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SFD + STD + ADR obligatoires</w:t>
            </w:r>
          </w:p>
        </w:tc>
      </w:tr>
      <w:tr>
        <w:tc>
          <w:tcPr>
            <w:tcW w:type="dxa" w:w="2902"/>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Story Hall non sélectionnée</w:t>
            </w:r>
          </w:p>
        </w:tc>
        <w:tc>
          <w:tcPr>
            <w:tcW w:type="dxa" w:w="2615"/>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M4</w:t>
            </w:r>
          </w:p>
        </w:tc>
        <w:tc>
          <w:tcPr>
            <w:tcW w:type="dxa" w:w="384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Définir une tranche cohérente et finie</w:t>
            </w:r>
          </w:p>
        </w:tc>
      </w:tr>
      <w:tr>
        <w:tc>
          <w:tcPr>
            <w:tcW w:type="dxa" w:w="2902"/>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Contenu Catalog non normalisé</w:t>
            </w:r>
          </w:p>
        </w:tc>
        <w:tc>
          <w:tcPr>
            <w:tcW w:type="dxa" w:w="2615"/>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M5</w:t>
            </w:r>
          </w:p>
        </w:tc>
        <w:tc>
          <w:tcPr>
            <w:tcW w:type="dxa" w:w="384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Publier uniquement le sous-ensemble validé</w:t>
            </w:r>
          </w:p>
        </w:tc>
      </w:tr>
    </w:tbl>
    <w:p>
      <w:pPr>
        <w:spacing w:after="20"/>
      </w:pPr>
    </w:p>
    <w:p>
      <w:pPr>
        <w:keepNext/>
        <w:spacing w:before="280" w:after="80"/>
      </w:pPr>
      <w:r>
        <w:rPr>
          <w:rFonts w:ascii="Georgia" w:hAnsi="Georgia"/>
          <w:b/>
          <w:i w:val="0"/>
          <w:caps/>
          <w:color w:val="8997AA"/>
          <w:sz w:val="16"/>
        </w:rPr>
        <w:t>12    SECTION</w:t>
      </w:r>
    </w:p>
    <w:p>
      <w:pPr>
        <w:pStyle w:val="Heading1"/>
        <w:keepNext/>
        <w:spacing w:after="180"/>
      </w:pPr>
      <w:r>
        <w:rPr>
          <w:rFonts w:ascii="Georgia" w:hAnsi="Georgia"/>
          <w:b/>
          <w:i w:val="0"/>
          <w:color w:val="1C2027"/>
          <w:sz w:val="38"/>
        </w:rPr>
        <w:t>Definition of Ready de la bêta</w:t>
      </w:r>
    </w:p>
    <w:p>
      <w:pPr>
        <w:pStyle w:val="Heading2"/>
        <w:keepNext/>
        <w:spacing w:before="200" w:after="100"/>
      </w:pPr>
      <w:r>
        <w:rPr>
          <w:rFonts w:ascii="Georgia" w:hAnsi="Georgia"/>
          <w:b/>
          <w:i w:val="0"/>
          <w:color w:val="525C6C"/>
          <w:sz w:val="26"/>
        </w:rPr>
        <w:t>12.1 Qualité et livraison</w:t>
      </w:r>
    </w:p>
    <w:p>
      <w:pPr>
        <w:keepLines/>
        <w:spacing w:after="100" w:line="276" w:lineRule="auto"/>
        <w:jc w:val="left"/>
        <w:numPr>
          <w:ilvl w:val="0"/>
          <w:numId w:val="1"/>
        </w:numPr>
      </w:pPr>
      <w:r>
        <w:rPr>
          <w:rFonts w:ascii="Georgia" w:hAnsi="Georgia"/>
          <w:b w:val="0"/>
          <w:i w:val="0"/>
          <w:color w:val="1C2027"/>
          <w:sz w:val="20"/>
        </w:rPr>
        <w:t>Tous les statuts CI requis sont verts.</w:t>
      </w:r>
    </w:p>
    <w:p>
      <w:pPr>
        <w:keepLines/>
        <w:spacing w:after="100" w:line="276" w:lineRule="auto"/>
        <w:jc w:val="left"/>
        <w:numPr>
          <w:ilvl w:val="0"/>
          <w:numId w:val="1"/>
        </w:numPr>
      </w:pPr>
      <w:r>
        <w:rPr>
          <w:rFonts w:ascii="Georgia" w:hAnsi="Georgia"/>
          <w:b w:val="0"/>
          <w:i w:val="0"/>
          <w:color w:val="1C2027"/>
          <w:sz w:val="20"/>
        </w:rPr>
        <w:t>Chaque service backend, Shared et le frontend atteint au moins 80 %.</w:t>
      </w:r>
    </w:p>
    <w:p>
      <w:pPr>
        <w:keepLines/>
        <w:spacing w:after="100" w:line="276" w:lineRule="auto"/>
        <w:jc w:val="left"/>
        <w:numPr>
          <w:ilvl w:val="0"/>
          <w:numId w:val="1"/>
        </w:numPr>
      </w:pPr>
      <w:r>
        <w:rPr>
          <w:rFonts w:ascii="Georgia" w:hAnsi="Georgia"/>
          <w:b w:val="0"/>
          <w:i w:val="0"/>
          <w:color w:val="1C2027"/>
          <w:sz w:val="20"/>
        </w:rPr>
        <w:t>Aucun test critique n’est ignoré ou instable.</w:t>
      </w:r>
    </w:p>
    <w:p>
      <w:pPr>
        <w:keepLines/>
        <w:spacing w:after="100" w:line="276" w:lineRule="auto"/>
        <w:jc w:val="left"/>
        <w:numPr>
          <w:ilvl w:val="0"/>
          <w:numId w:val="1"/>
        </w:numPr>
      </w:pPr>
      <w:r>
        <w:rPr>
          <w:rFonts w:ascii="Georgia" w:hAnsi="Georgia"/>
          <w:b w:val="0"/>
          <w:i w:val="0"/>
          <w:color w:val="1C2027"/>
          <w:sz w:val="20"/>
        </w:rPr>
        <w:t>Les images déployées possèdent SBOM, provenance et digest vérifié.</w:t>
      </w:r>
    </w:p>
    <w:p>
      <w:pPr>
        <w:keepLines/>
        <w:spacing w:after="100" w:line="276" w:lineRule="auto"/>
        <w:jc w:val="left"/>
        <w:numPr>
          <w:ilvl w:val="0"/>
          <w:numId w:val="1"/>
        </w:numPr>
      </w:pPr>
      <w:r>
        <w:rPr>
          <w:rFonts w:ascii="Georgia" w:hAnsi="Georgia"/>
          <w:b w:val="0"/>
          <w:i w:val="0"/>
          <w:color w:val="1C2027"/>
          <w:sz w:val="20"/>
        </w:rPr>
        <w:t>Le déploiement et le rollback ont été testés sur préproduction.</w:t>
      </w:r>
    </w:p>
    <w:p>
      <w:pPr>
        <w:pStyle w:val="Heading2"/>
        <w:keepNext/>
        <w:spacing w:before="200" w:after="100"/>
      </w:pPr>
      <w:r>
        <w:rPr>
          <w:rFonts w:ascii="Georgia" w:hAnsi="Georgia"/>
          <w:b/>
          <w:i w:val="0"/>
          <w:color w:val="525C6C"/>
          <w:sz w:val="26"/>
        </w:rPr>
        <w:t>12.2 Comptes et sécurité</w:t>
      </w:r>
    </w:p>
    <w:p>
      <w:pPr>
        <w:keepLines/>
        <w:spacing w:after="100" w:line="276" w:lineRule="auto"/>
        <w:jc w:val="left"/>
        <w:numPr>
          <w:ilvl w:val="0"/>
          <w:numId w:val="1"/>
        </w:numPr>
      </w:pPr>
      <w:r>
        <w:rPr>
          <w:rFonts w:ascii="Georgia" w:hAnsi="Georgia"/>
          <w:b w:val="0"/>
          <w:i w:val="0"/>
          <w:color w:val="1C2027"/>
          <w:sz w:val="20"/>
        </w:rPr>
        <w:t>Inscription, connexion, récupération et déconnexion fonctionnent.</w:t>
      </w:r>
    </w:p>
    <w:p>
      <w:pPr>
        <w:keepLines/>
        <w:spacing w:after="100" w:line="276" w:lineRule="auto"/>
        <w:jc w:val="left"/>
        <w:numPr>
          <w:ilvl w:val="0"/>
          <w:numId w:val="1"/>
        </w:numPr>
      </w:pPr>
      <w:r>
        <w:rPr>
          <w:rFonts w:ascii="Georgia" w:hAnsi="Georgia"/>
          <w:b w:val="0"/>
          <w:i w:val="0"/>
          <w:color w:val="1C2027"/>
          <w:sz w:val="20"/>
        </w:rPr>
        <w:t>Chaque compte accède uniquement à son profil, son personnage et ses runs.</w:t>
      </w:r>
    </w:p>
    <w:p>
      <w:pPr>
        <w:keepLines/>
        <w:spacing w:after="100" w:line="276" w:lineRule="auto"/>
        <w:jc w:val="left"/>
        <w:numPr>
          <w:ilvl w:val="0"/>
          <w:numId w:val="1"/>
        </w:numPr>
      </w:pPr>
      <w:r>
        <w:rPr>
          <w:rFonts w:ascii="Georgia" w:hAnsi="Georgia"/>
          <w:b w:val="0"/>
          <w:i w:val="0"/>
          <w:color w:val="1C2027"/>
          <w:sz w:val="20"/>
        </w:rPr>
        <w:t xml:space="preserve">Les identifiants de démonstration et routes publiques par </w:t>
      </w:r>
      <w:r>
        <w:rPr>
          <w:rFonts w:ascii="Consolas" w:hAnsi="Consolas"/>
          <w:b w:val="0"/>
          <w:i w:val="0"/>
          <w:color w:val="1C2027"/>
          <w:sz w:val="18"/>
        </w:rPr>
        <w:t>playerId</w:t>
      </w:r>
      <w:r>
        <w:rPr>
          <w:rFonts w:ascii="Georgia" w:hAnsi="Georgia"/>
          <w:b w:val="0"/>
          <w:i w:val="0"/>
          <w:color w:val="1C2027"/>
          <w:sz w:val="20"/>
        </w:rPr>
        <w:t xml:space="preserve"> sont retirés du parcours normal.</w:t>
      </w:r>
    </w:p>
    <w:p>
      <w:pPr>
        <w:keepLines/>
        <w:spacing w:after="100" w:line="276" w:lineRule="auto"/>
        <w:jc w:val="left"/>
        <w:numPr>
          <w:ilvl w:val="0"/>
          <w:numId w:val="1"/>
        </w:numPr>
      </w:pPr>
      <w:r>
        <w:rPr>
          <w:rFonts w:ascii="Georgia" w:hAnsi="Georgia"/>
          <w:b w:val="0"/>
          <w:i w:val="0"/>
          <w:color w:val="1C2027"/>
          <w:sz w:val="20"/>
        </w:rPr>
        <w:t>Aucun secret n’est présent dans le dépôt ou les images.</w:t>
      </w:r>
    </w:p>
    <w:p>
      <w:pPr>
        <w:keepLines/>
        <w:spacing w:after="100" w:line="276" w:lineRule="auto"/>
        <w:jc w:val="left"/>
        <w:numPr>
          <w:ilvl w:val="0"/>
          <w:numId w:val="1"/>
        </w:numPr>
      </w:pPr>
      <w:r>
        <w:rPr>
          <w:rFonts w:ascii="Georgia" w:hAnsi="Georgia"/>
          <w:b w:val="0"/>
          <w:i w:val="0"/>
          <w:color w:val="1C2027"/>
          <w:sz w:val="20"/>
        </w:rPr>
        <w:t>Aucun finding critique ou élevé non accepté n’est ouvert.</w:t>
      </w:r>
    </w:p>
    <w:p>
      <w:pPr>
        <w:pStyle w:val="Heading2"/>
        <w:keepNext/>
        <w:spacing w:before="200" w:after="100"/>
      </w:pPr>
      <w:r>
        <w:rPr>
          <w:rFonts w:ascii="Georgia" w:hAnsi="Georgia"/>
          <w:b/>
          <w:i w:val="0"/>
          <w:color w:val="525C6C"/>
          <w:sz w:val="26"/>
        </w:rPr>
        <w:t>12.3 Jouabilité</w:t>
      </w:r>
    </w:p>
    <w:p>
      <w:pPr>
        <w:keepLines/>
        <w:spacing w:after="100" w:line="276" w:lineRule="auto"/>
        <w:jc w:val="left"/>
        <w:numPr>
          <w:ilvl w:val="0"/>
          <w:numId w:val="1"/>
        </w:numPr>
      </w:pPr>
      <w:r>
        <w:rPr>
          <w:rFonts w:ascii="Georgia" w:hAnsi="Georgia"/>
          <w:b w:val="0"/>
          <w:i w:val="0"/>
          <w:color w:val="1C2027"/>
          <w:sz w:val="20"/>
        </w:rPr>
        <w:t>Le joueur comprend son objectif dès le Hall.</w:t>
      </w:r>
    </w:p>
    <w:p>
      <w:pPr>
        <w:keepLines/>
        <w:spacing w:after="100" w:line="276" w:lineRule="auto"/>
        <w:jc w:val="left"/>
        <w:numPr>
          <w:ilvl w:val="0"/>
          <w:numId w:val="1"/>
        </w:numPr>
      </w:pPr>
      <w:r>
        <w:rPr>
          <w:rFonts w:ascii="Georgia" w:hAnsi="Georgia"/>
          <w:b w:val="0"/>
          <w:i w:val="0"/>
          <w:color w:val="1C2027"/>
          <w:sz w:val="20"/>
        </w:rPr>
        <w:t>Les PNJ utiles déclenchent un vrai dialogue ou événement.</w:t>
      </w:r>
    </w:p>
    <w:p>
      <w:pPr>
        <w:keepLines/>
        <w:spacing w:after="100" w:line="276" w:lineRule="auto"/>
        <w:jc w:val="left"/>
        <w:numPr>
          <w:ilvl w:val="0"/>
          <w:numId w:val="1"/>
        </w:numPr>
      </w:pPr>
      <w:r>
        <w:rPr>
          <w:rFonts w:ascii="Georgia" w:hAnsi="Georgia"/>
          <w:b w:val="0"/>
          <w:i w:val="0"/>
          <w:color w:val="1C2027"/>
          <w:sz w:val="20"/>
        </w:rPr>
        <w:t>Les ennemis poursuivent et déclenchent les combats au contact.</w:t>
      </w:r>
    </w:p>
    <w:p>
      <w:pPr>
        <w:keepLines/>
        <w:spacing w:after="100" w:line="276" w:lineRule="auto"/>
        <w:jc w:val="left"/>
        <w:numPr>
          <w:ilvl w:val="0"/>
          <w:numId w:val="1"/>
        </w:numPr>
      </w:pPr>
      <w:r>
        <w:rPr>
          <w:rFonts w:ascii="Georgia" w:hAnsi="Georgia"/>
          <w:b w:val="0"/>
          <w:i w:val="0"/>
          <w:color w:val="1C2027"/>
          <w:sz w:val="20"/>
        </w:rPr>
        <w:t>Les combats permettent victoire, défaite et fuite sans blocage.</w:t>
      </w:r>
    </w:p>
    <w:p>
      <w:pPr>
        <w:keepLines/>
        <w:spacing w:after="100" w:line="276" w:lineRule="auto"/>
        <w:jc w:val="left"/>
        <w:numPr>
          <w:ilvl w:val="0"/>
          <w:numId w:val="1"/>
        </w:numPr>
      </w:pPr>
      <w:r>
        <w:rPr>
          <w:rFonts w:ascii="Georgia" w:hAnsi="Georgia"/>
          <w:b w:val="0"/>
          <w:i w:val="0"/>
          <w:color w:val="1C2027"/>
          <w:sz w:val="20"/>
        </w:rPr>
        <w:t>Les récompenses et équipements ont un effet observable.</w:t>
      </w:r>
    </w:p>
    <w:p>
      <w:pPr>
        <w:keepLines/>
        <w:spacing w:after="100" w:line="276" w:lineRule="auto"/>
        <w:jc w:val="left"/>
        <w:numPr>
          <w:ilvl w:val="0"/>
          <w:numId w:val="1"/>
        </w:numPr>
      </w:pPr>
      <w:r>
        <w:rPr>
          <w:rFonts w:ascii="Georgia" w:hAnsi="Georgia"/>
          <w:b w:val="0"/>
          <w:i w:val="0"/>
          <w:color w:val="1C2027"/>
          <w:sz w:val="20"/>
        </w:rPr>
        <w:t>La sauvegarde et la reprise restaurent exactement l’état validé.</w:t>
      </w:r>
    </w:p>
    <w:p>
      <w:pPr>
        <w:keepLines/>
        <w:spacing w:after="100" w:line="276" w:lineRule="auto"/>
        <w:jc w:val="left"/>
        <w:numPr>
          <w:ilvl w:val="0"/>
          <w:numId w:val="1"/>
        </w:numPr>
      </w:pPr>
      <w:r>
        <w:rPr>
          <w:rFonts w:ascii="Georgia" w:hAnsi="Georgia"/>
          <w:b w:val="0"/>
          <w:i w:val="0"/>
          <w:color w:val="1C2027"/>
          <w:sz w:val="20"/>
        </w:rPr>
        <w:t>Une conclusion temporaire de la tranche est atteignable.</w:t>
      </w:r>
    </w:p>
    <w:p>
      <w:pPr>
        <w:pStyle w:val="Heading2"/>
        <w:keepNext/>
        <w:spacing w:before="200" w:after="100"/>
      </w:pPr>
      <w:r>
        <w:rPr>
          <w:rFonts w:ascii="Georgia" w:hAnsi="Georgia"/>
          <w:b/>
          <w:i w:val="0"/>
          <w:color w:val="525C6C"/>
          <w:sz w:val="26"/>
        </w:rPr>
        <w:t>12.4 Exploitation</w:t>
      </w:r>
    </w:p>
    <w:p>
      <w:pPr>
        <w:keepLines/>
        <w:spacing w:after="100" w:line="276" w:lineRule="auto"/>
        <w:jc w:val="left"/>
        <w:numPr>
          <w:ilvl w:val="0"/>
          <w:numId w:val="1"/>
        </w:numPr>
      </w:pPr>
      <w:r>
        <w:rPr>
          <w:rFonts w:ascii="Georgia" w:hAnsi="Georgia"/>
          <w:b w:val="0"/>
          <w:i w:val="0"/>
          <w:color w:val="1C2027"/>
          <w:sz w:val="20"/>
        </w:rPr>
        <w:t>Les sauvegardes sont automatiques et restaurables.</w:t>
      </w:r>
    </w:p>
    <w:p>
      <w:pPr>
        <w:keepLines/>
        <w:spacing w:after="100" w:line="276" w:lineRule="auto"/>
        <w:jc w:val="left"/>
        <w:numPr>
          <w:ilvl w:val="0"/>
          <w:numId w:val="1"/>
        </w:numPr>
      </w:pPr>
      <w:r>
        <w:rPr>
          <w:rFonts w:ascii="Georgia" w:hAnsi="Georgia"/>
          <w:b w:val="0"/>
          <w:i w:val="0"/>
          <w:color w:val="1C2027"/>
          <w:sz w:val="20"/>
        </w:rPr>
        <w:t>Les erreurs sont corrélées et observables.</w:t>
      </w:r>
    </w:p>
    <w:p>
      <w:pPr>
        <w:keepLines/>
        <w:spacing w:after="100" w:line="276" w:lineRule="auto"/>
        <w:jc w:val="left"/>
        <w:numPr>
          <w:ilvl w:val="0"/>
          <w:numId w:val="1"/>
        </w:numPr>
      </w:pPr>
      <w:r>
        <w:rPr>
          <w:rFonts w:ascii="Georgia" w:hAnsi="Georgia"/>
          <w:b w:val="0"/>
          <w:i w:val="0"/>
          <w:color w:val="1C2027"/>
          <w:sz w:val="20"/>
        </w:rPr>
        <w:t>Une procédure d’incident et une procédure de rollback existent.</w:t>
      </w:r>
    </w:p>
    <w:p>
      <w:pPr>
        <w:keepLines/>
        <w:spacing w:after="100" w:line="276" w:lineRule="auto"/>
        <w:jc w:val="left"/>
        <w:numPr>
          <w:ilvl w:val="0"/>
          <w:numId w:val="1"/>
        </w:numPr>
      </w:pPr>
      <w:r>
        <w:rPr>
          <w:rFonts w:ascii="Georgia" w:hAnsi="Georgia"/>
          <w:b w:val="0"/>
          <w:i w:val="0"/>
          <w:color w:val="1C2027"/>
          <w:sz w:val="20"/>
        </w:rPr>
        <w:t>Les retours testeurs peuvent être reliés à une version précise.</w:t>
      </w:r>
    </w:p>
    <w:p>
      <w:pPr>
        <w:keepNext/>
        <w:spacing w:before="280" w:after="80"/>
      </w:pPr>
      <w:r>
        <w:rPr>
          <w:rFonts w:ascii="Georgia" w:hAnsi="Georgia"/>
          <w:b/>
          <w:i w:val="0"/>
          <w:caps/>
          <w:color w:val="8997AA"/>
          <w:sz w:val="16"/>
        </w:rPr>
        <w:t>13    SECTION</w:t>
      </w:r>
    </w:p>
    <w:p>
      <w:pPr>
        <w:pStyle w:val="Heading1"/>
        <w:keepNext/>
        <w:spacing w:after="180"/>
      </w:pPr>
      <w:r>
        <w:rPr>
          <w:rFonts w:ascii="Georgia" w:hAnsi="Georgia"/>
          <w:b/>
          <w:i w:val="0"/>
          <w:color w:val="1C2027"/>
          <w:sz w:val="38"/>
        </w:rPr>
        <w:t>Risques et réponses</w:t>
      </w:r>
    </w:p>
    <w:tbl>
      <w:tblPr>
        <w:tblW w:type="dxa" w:w="9360"/>
        <w:jc w:val="left"/>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3472"/>
        <w:gridCol w:w="2113"/>
        <w:gridCol w:w="3775"/>
      </w:tblGrid>
      <w:tr>
        <w:trPr>
          <w:tblHeader w:val="true"/>
        </w:trPr>
        <w:tc>
          <w:tcPr>
            <w:tcW w:type="dxa" w:w="3472"/>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Risque</w:t>
            </w:r>
          </w:p>
        </w:tc>
        <w:tc>
          <w:tcPr>
            <w:tcW w:type="dxa" w:w="2113"/>
            <w:tcMar>
              <w:top w:w="90" w:type="dxa"/>
              <w:start w:w="120" w:type="dxa"/>
              <w:bottom w:w="90" w:type="dxa"/>
              <w:end w:w="120" w:type="dxa"/>
            </w:tcMar>
            <w:vAlign w:val="center"/>
            <w:shd w:fill="EEF1F5"/>
          </w:tcPr>
          <w:p>
            <w:pPr>
              <w:spacing w:before="40" w:after="40" w:line="259" w:lineRule="auto"/>
              <w:jc w:val="left"/>
            </w:pPr>
            <w:r>
              <w:rPr>
                <w:rFonts w:ascii="Georgia" w:hAnsi="Georgia"/>
                <w:b/>
                <w:i w:val="0"/>
                <w:color w:val="525C6C"/>
                <w:sz w:val="16"/>
              </w:rPr>
              <w:t>Impact</w:t>
            </w:r>
          </w:p>
        </w:tc>
        <w:tc>
          <w:tcPr>
            <w:tcW w:type="dxa" w:w="3775"/>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Réponse</w:t>
            </w:r>
          </w:p>
        </w:tc>
      </w:tr>
      <w:tr>
        <w:tc>
          <w:tcPr>
            <w:tcW w:type="dxa" w:w="3472"/>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Dette de tests supérieure aux estimations</w:t>
            </w:r>
          </w:p>
        </w:tc>
        <w:tc>
          <w:tcPr>
            <w:tcW w:type="dxa" w:w="211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Décalage de toute la roadmap</w:t>
            </w:r>
          </w:p>
        </w:tc>
        <w:tc>
          <w:tcPr>
            <w:tcW w:type="dxa" w:w="3775"/>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Baseline M0, réparation par dépendance, aucun CD prématuré</w:t>
            </w:r>
          </w:p>
        </w:tc>
      </w:tr>
      <w:tr>
        <w:tc>
          <w:tcPr>
            <w:tcW w:type="dxa" w:w="3472"/>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Couverture gonflée par tests faibles</w:t>
            </w:r>
          </w:p>
        </w:tc>
        <w:tc>
          <w:tcPr>
            <w:tcW w:type="dxa" w:w="211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Fausse confiance</w:t>
            </w:r>
          </w:p>
        </w:tc>
        <w:tc>
          <w:tcPr>
            <w:tcW w:type="dxa" w:w="3775"/>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Branches à 80 %, mutation testing et revue des assertions</w:t>
            </w:r>
          </w:p>
        </w:tc>
      </w:tr>
      <w:tr>
        <w:tc>
          <w:tcPr>
            <w:tcW w:type="dxa" w:w="3472"/>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Authentification ajoutée trop tard dans les API</w:t>
            </w:r>
          </w:p>
        </w:tc>
        <w:tc>
          <w:tcPr>
            <w:tcW w:type="dxa" w:w="211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Refonte des contrats</w:t>
            </w:r>
          </w:p>
        </w:tc>
        <w:tc>
          <w:tcPr>
            <w:tcW w:type="dxa" w:w="3775"/>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Ownership et identité dérivée du token dès M3</w:t>
            </w:r>
          </w:p>
        </w:tc>
      </w:tr>
      <w:tr>
        <w:tc>
          <w:tcPr>
            <w:tcW w:type="dxa" w:w="3472"/>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Migration EF non réversible</w:t>
            </w:r>
          </w:p>
        </w:tc>
        <w:tc>
          <w:tcPr>
            <w:tcW w:type="dxa" w:w="211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Perte de service ou données</w:t>
            </w:r>
          </w:p>
        </w:tc>
        <w:tc>
          <w:tcPr>
            <w:tcW w:type="dxa" w:w="3775"/>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Expand/contract, sauvegarde, bundle et répétition préproduction</w:t>
            </w:r>
          </w:p>
        </w:tc>
      </w:tr>
      <w:tr>
        <w:tc>
          <w:tcPr>
            <w:tcW w:type="dxa" w:w="3472"/>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Contenu trop large avant vertical slice</w:t>
            </w:r>
          </w:p>
        </w:tc>
        <w:tc>
          <w:tcPr>
            <w:tcW w:type="dxa" w:w="211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Bêta jamais stabilisée</w:t>
            </w:r>
          </w:p>
        </w:tc>
        <w:tc>
          <w:tcPr>
            <w:tcW w:type="dxa" w:w="3775"/>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Sous-ensemble authoré et gel du périmètre M4/M5</w:t>
            </w:r>
          </w:p>
        </w:tc>
      </w:tr>
      <w:tr>
        <w:tc>
          <w:tcPr>
            <w:tcW w:type="dxa" w:w="3472"/>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Charge d’un développeur unique</w:t>
            </w:r>
          </w:p>
        </w:tc>
        <w:tc>
          <w:tcPr>
            <w:tcW w:type="dxa" w:w="2113"/>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Délais et contexte fragmenté</w:t>
            </w:r>
          </w:p>
        </w:tc>
        <w:tc>
          <w:tcPr>
            <w:tcW w:type="dxa" w:w="3775"/>
            <w:tcMar>
              <w:top w:w="90" w:type="dxa"/>
              <w:start w:w="120" w:type="dxa"/>
              <w:bottom w:w="90" w:type="dxa"/>
              <w:end w:w="120" w:type="dxa"/>
            </w:tcMar>
            <w:vAlign w:val="center"/>
            <w:shd w:fill="F7F8FA"/>
          </w:tcPr>
          <w:p>
            <w:pPr>
              <w:spacing w:before="40" w:after="40" w:line="259" w:lineRule="auto"/>
              <w:jc w:val="left"/>
            </w:pPr>
            <w:r>
              <w:rPr>
                <w:rFonts w:ascii="Georgia" w:hAnsi="Georgia"/>
                <w:b w:val="0"/>
                <w:i w:val="0"/>
                <w:color w:val="1C2027"/>
                <w:sz w:val="16"/>
              </w:rPr>
              <w:t>Jalons fermés, WIP limité et gates explicites</w:t>
            </w:r>
          </w:p>
        </w:tc>
      </w:tr>
      <w:tr>
        <w:tc>
          <w:tcPr>
            <w:tcW w:type="dxa" w:w="3472"/>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Cible cloud changeante</w:t>
            </w:r>
          </w:p>
        </w:tc>
        <w:tc>
          <w:tcPr>
            <w:tcW w:type="dxa" w:w="2113"/>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Reprise du CD</w:t>
            </w:r>
          </w:p>
        </w:tc>
        <w:tc>
          <w:tcPr>
            <w:tcW w:type="dxa" w:w="3775"/>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Séparer build/promotion de l’adaptateur de déploiement</w:t>
            </w:r>
          </w:p>
        </w:tc>
      </w:tr>
    </w:tbl>
    <w:p>
      <w:pPr>
        <w:spacing w:after="20"/>
      </w:pPr>
    </w:p>
    <w:p>
      <w:pPr>
        <w:keepNext/>
        <w:spacing w:before="280" w:after="80"/>
      </w:pPr>
      <w:r>
        <w:rPr>
          <w:rFonts w:ascii="Georgia" w:hAnsi="Georgia"/>
          <w:b/>
          <w:i w:val="0"/>
          <w:caps/>
          <w:color w:val="8997AA"/>
          <w:sz w:val="16"/>
        </w:rPr>
        <w:t>14    SECTION</w:t>
      </w:r>
    </w:p>
    <w:p>
      <w:pPr>
        <w:pStyle w:val="Heading1"/>
        <w:keepNext/>
        <w:spacing w:after="180"/>
      </w:pPr>
      <w:r>
        <w:rPr>
          <w:rFonts w:ascii="Georgia" w:hAnsi="Georgia"/>
          <w:b/>
          <w:i w:val="0"/>
          <w:color w:val="1C2027"/>
          <w:sz w:val="38"/>
        </w:rPr>
        <w:t>Gouvernance et pilotage</w:t>
      </w:r>
    </w:p>
    <w:p>
      <w:pPr>
        <w:keepLines/>
        <w:spacing w:after="100" w:line="276" w:lineRule="auto"/>
        <w:jc w:val="left"/>
      </w:pPr>
      <w:r>
        <w:rPr>
          <w:rFonts w:ascii="Georgia" w:hAnsi="Georgia"/>
          <w:b w:val="0"/>
          <w:i w:val="0"/>
          <w:color w:val="1C2027"/>
          <w:sz w:val="20"/>
        </w:rPr>
        <w:t>Chaque phase dispose d’un backlog fermé, d’un responsable, d’un gate mesurable et d’une démonstration de sortie. Un chantier de phase suivante peut être préparé, mais ne doit pas consommer la capacité principale tant que le gate précédent est rouge.</w:t>
      </w:r>
    </w:p>
    <w:p>
      <w:pPr>
        <w:keepLines/>
        <w:spacing w:after="100" w:line="276" w:lineRule="auto"/>
        <w:jc w:val="left"/>
      </w:pPr>
      <w:r>
        <w:rPr>
          <w:rFonts w:ascii="Georgia" w:hAnsi="Georgia"/>
          <w:b w:val="0"/>
          <w:i w:val="0"/>
          <w:color w:val="1C2027"/>
          <w:sz w:val="20"/>
        </w:rPr>
        <w:t>Le pilotage hebdomadaire examine : tests rouges restants, couverture par service, durée CI, défauts bloquants, stabilité de l’environnement, progression du jalon et variation du périmètre. Toute nouvelle fonctionnalité doit indiquer le jalon qu’elle sert ou être placée après la bêta.</w:t>
      </w:r>
    </w:p>
    <w:p>
      <w:pPr>
        <w:keepNext/>
        <w:spacing w:before="280" w:after="80"/>
      </w:pPr>
      <w:r>
        <w:rPr>
          <w:rFonts w:ascii="Georgia" w:hAnsi="Georgia"/>
          <w:b/>
          <w:i w:val="0"/>
          <w:caps/>
          <w:color w:val="8997AA"/>
          <w:sz w:val="16"/>
        </w:rPr>
        <w:t>15    SECTION</w:t>
      </w:r>
    </w:p>
    <w:p>
      <w:pPr>
        <w:pStyle w:val="Heading1"/>
        <w:keepNext/>
        <w:spacing w:after="180"/>
      </w:pPr>
      <w:r>
        <w:rPr>
          <w:rFonts w:ascii="Georgia" w:hAnsi="Georgia"/>
          <w:b/>
          <w:i w:val="0"/>
          <w:color w:val="1C2027"/>
          <w:sz w:val="38"/>
        </w:rPr>
        <w:t>Historique</w:t>
      </w:r>
    </w:p>
    <w:tbl>
      <w:tblPr>
        <w:tblW w:type="dxa" w:w="9360"/>
        <w:jc w:val="left"/>
        <w:tblLayout w:type="fixed"/>
        <w:tblLook w:firstColumn="1" w:firstRow="1" w:lastColumn="0" w:lastRow="0" w:noHBand="0" w:noVBand="1" w:val="04A0"/>
        <w:tblInd w:w="120" w:type="dxa"/>
        <w:tblBorders>
          <w:top w:val="single" w:sz="5" w:color="D8DEE7"/>
          <w:left w:val="single" w:sz="5" w:color="D8DEE7"/>
          <w:bottom w:val="single" w:sz="5" w:color="D8DEE7"/>
          <w:right w:val="single" w:sz="5" w:color="D8DEE7"/>
          <w:insideH w:val="single" w:sz="5" w:color="D8DEE7"/>
          <w:insideV w:val="single" w:sz="5" w:color="D8DEE7"/>
        </w:tblBorders>
      </w:tblPr>
      <w:tblGrid>
        <w:gridCol w:w="1200"/>
        <w:gridCol w:w="1600"/>
        <w:gridCol w:w="4960"/>
        <w:gridCol w:w="1600"/>
      </w:tblGrid>
      <w:tr>
        <w:trPr>
          <w:tblHeader w:val="true"/>
        </w:trPr>
        <w:tc>
          <w:tcPr>
            <w:tcW w:type="dxa" w:w="1200"/>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Version</w:t>
            </w:r>
          </w:p>
        </w:tc>
        <w:tc>
          <w:tcPr>
            <w:tcW w:type="dxa" w:w="1600"/>
            <w:tcMar>
              <w:top w:w="90" w:type="dxa"/>
              <w:start w:w="120" w:type="dxa"/>
              <w:bottom w:w="90" w:type="dxa"/>
              <w:end w:w="120" w:type="dxa"/>
            </w:tcMar>
            <w:vAlign w:val="center"/>
            <w:shd w:fill="EEF1F5"/>
          </w:tcPr>
          <w:p>
            <w:pPr>
              <w:spacing w:before="40" w:after="40" w:line="259" w:lineRule="auto"/>
              <w:jc w:val="left"/>
            </w:pPr>
            <w:r>
              <w:rPr>
                <w:rFonts w:ascii="Georgia" w:hAnsi="Georgia"/>
                <w:b/>
                <w:i w:val="0"/>
                <w:color w:val="525C6C"/>
                <w:sz w:val="16"/>
              </w:rPr>
              <w:t>Date</w:t>
            </w:r>
          </w:p>
        </w:tc>
        <w:tc>
          <w:tcPr>
            <w:tcW w:type="dxa" w:w="4960"/>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Évolution</w:t>
            </w:r>
          </w:p>
        </w:tc>
        <w:tc>
          <w:tcPr>
            <w:tcW w:type="dxa" w:w="1600"/>
            <w:tcMar>
              <w:top w:w="90" w:type="dxa"/>
              <w:start w:w="120" w:type="dxa"/>
              <w:bottom w:w="90" w:type="dxa"/>
              <w:end w:w="120" w:type="dxa"/>
            </w:tcMar>
            <w:vAlign w:val="center"/>
            <w:shd w:fill="EEF1F5"/>
          </w:tcPr>
          <w:p>
            <w:pPr>
              <w:spacing w:before="40" w:after="40" w:line="259" w:lineRule="auto"/>
              <w:jc w:val="center"/>
            </w:pPr>
            <w:r>
              <w:rPr>
                <w:rFonts w:ascii="Georgia" w:hAnsi="Georgia"/>
                <w:b/>
                <w:i w:val="0"/>
                <w:color w:val="525C6C"/>
                <w:sz w:val="16"/>
              </w:rPr>
              <w:t>Statut</w:t>
            </w:r>
          </w:p>
        </w:tc>
      </w:tr>
      <w:tr>
        <w:tc>
          <w:tcPr>
            <w:tcW w:type="dxa" w:w="1200"/>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1.0</w:t>
            </w:r>
          </w:p>
        </w:tc>
        <w:tc>
          <w:tcPr>
            <w:tcW w:type="dxa" w:w="1600"/>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25/08/2026</w:t>
            </w:r>
          </w:p>
        </w:tc>
        <w:tc>
          <w:tcPr>
            <w:tcW w:type="dxa" w:w="4960"/>
            <w:tcMar>
              <w:top w:w="90" w:type="dxa"/>
              <w:start w:w="120" w:type="dxa"/>
              <w:bottom w:w="90" w:type="dxa"/>
              <w:end w:w="120" w:type="dxa"/>
            </w:tcMar>
            <w:vAlign w:val="center"/>
          </w:tcPr>
          <w:p>
            <w:pPr>
              <w:spacing w:before="40" w:after="40" w:line="259" w:lineRule="auto"/>
              <w:jc w:val="left"/>
            </w:pPr>
            <w:r>
              <w:rPr>
                <w:rFonts w:ascii="Georgia" w:hAnsi="Georgia"/>
                <w:b w:val="0"/>
                <w:i w:val="0"/>
                <w:color w:val="1C2027"/>
                <w:sz w:val="16"/>
              </w:rPr>
              <w:t>Roadmap ordonnée CI/CD → Accounts → vertical slice → bêta.</w:t>
            </w:r>
          </w:p>
        </w:tc>
        <w:tc>
          <w:tcPr>
            <w:tcW w:type="dxa" w:w="1600"/>
            <w:tcMar>
              <w:top w:w="90" w:type="dxa"/>
              <w:start w:w="120" w:type="dxa"/>
              <w:bottom w:w="90" w:type="dxa"/>
              <w:end w:w="120" w:type="dxa"/>
            </w:tcMar>
            <w:vAlign w:val="center"/>
          </w:tcPr>
          <w:p>
            <w:pPr>
              <w:spacing w:before="40" w:after="40" w:line="259" w:lineRule="auto"/>
              <w:jc w:val="center"/>
            </w:pPr>
            <w:r>
              <w:rPr>
                <w:rFonts w:ascii="Georgia" w:hAnsi="Georgia"/>
                <w:b w:val="0"/>
                <w:i w:val="0"/>
                <w:color w:val="1C2027"/>
                <w:sz w:val="16"/>
              </w:rPr>
              <w:t>Plan directeur</w:t>
            </w:r>
          </w:p>
        </w:tc>
      </w:tr>
    </w:tbl>
    <w:p>
      <w:pPr>
        <w:spacing w:after="20"/>
      </w:pPr>
    </w:p>
    <w:sectPr>
      <w:headerReference r:id="rId2"/>
      <w:footerReference r:id="rId3"/>
      <w:pgSz w:w="12240" w:h="15840"/>
      <w:pgMar w:top="1123" w:right="1181" w:bottom="1037" w:left="1181" w:header="504" w:footer="504" w:gutter="0"/>
    </w:sectPr>
  </w:body>
</w:document>
</file>

<file path=word/footer1.xml><?xml version="1.0" encoding="utf-8"?>
<w:ftr xmlns:w="http://schemas.openxmlformats.org/wordprocessingml/2006/main" xmlns:r="http://schemas.openxmlformats.org/officeDocument/2006/relationships">
  <w:p>
    <w:pPr>
      <w:tabs>
        <w:tab w:val="right" w:pos="10080"/>
      </w:tabs>
      <w:pBdr>
        <w:top w:val="single" w:sz="4" w:space="6" w:color="D6DAE0"/>
      </w:pBdr>
      <w:spacing w:before="0" w:after="0" w:line="240" w:lineRule="auto"/>
    </w:pPr>
    <w:r>
      <w:rPr>
        <w:rFonts w:ascii="Lato" w:hAnsi="Lato" w:cs="Lato"/>
        <w:caps/>
        <w:color w:val="8B96A5"/>
        <w:sz w:val="16"/>
        <w:szCs w:val="16"/>
        <w:spacing w:val="50"/>
      </w:rPr>
      <w:t xml:space="preserve">Kora — Confidentiel</w:t>
    </w:r>
    <w:r>
      <w:tab/>
    </w:r>
    <w:fldSimple w:instr=" PAGE ">
      <w:r>
        <w:rPr>
          <w:rFonts w:ascii="Lato" w:hAnsi="Lato"/>
          <w:color w:val="8B96A5"/>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Georgia" w:hAnsi="Georgia"/>
        <w:b w:val="0"/>
        <w:i w:val="0"/>
        <w:color w:val="8997AA"/>
        <w:sz w:val="14"/>
      </w:rPr>
      <w:t xml:space="preserve">DOCUMENT DE RÉFÉRENCE    ·    </w:t>
    </w:r>
    <w:fldSimple w:instr="PAGE"/>
  </w:p>
</w:ftr>
</file>

<file path=word/header1.xml><?xml version="1.0" encoding="utf-8"?>
<w:hdr xmlns:w="http://schemas.openxmlformats.org/wordprocessingml/2006/main" xmlns:r="http://schemas.openxmlformats.org/officeDocument/2006/relationships">
  <w:p>
    <w:pPr>
      <w:tabs>
        <w:tab w:val="right" w:pos="10080"/>
      </w:tabs>
      <w:pBdr>
        <w:bottom w:val="single" w:sz="4" w:space="6" w:color="D6DAE0"/>
      </w:pBdr>
      <w:spacing w:before="0" w:after="0" w:line="240" w:lineRule="auto"/>
    </w:pPr>
    <w:r>
      <w:rPr>
        <w:rFonts w:ascii="Lato" w:hAnsi="Lato" w:cs="Lato"/>
        <w:caps/>
        <w:color w:val="8B96A5"/>
        <w:sz w:val="16"/>
        <w:szCs w:val="16"/>
        <w:spacing w:val="50"/>
      </w:rPr>
      <w:t xml:space="preserve">KOR-SFD-014 · v1.4</w:t>
    </w:r>
    <w:r>
      <w:tab/>
    </w:r>
    <w:r>
      <w:rPr>
        <w:rFonts w:ascii="Lato" w:hAnsi="Lato" w:cs="Lato"/>
        <w:caps/>
        <w:color w:val="8B96A5"/>
        <w:sz w:val="16"/>
        <w:szCs w:val="16"/>
        <w:spacing w:val="50"/>
      </w:rPr>
      <w:t xml:space="preserve">Module de paiement marchand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Pr>
    <w:r>
      <w:rPr>
        <w:rFonts w:ascii="Georgia" w:hAnsi="Georgia"/>
        <w:b/>
        <w:i w:val="0"/>
        <w:color w:val="8997AA"/>
        <w:sz w:val="15"/>
      </w:rPr>
      <w:t>L’ÉPOPÉE DES SILENCES    ·    LEDS-PLAN-BETA-001</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60"/>
      </w:pPr>
    </w:lvl>
  </w:abstractNum>
  <w:num w:numId="1">
    <w:abstractNumId w:val="0"/>
  </w:num>
  <w:abstractNum w:abstractNumId="1">
    <w:multiLevelType w:val="singleLevel"/>
    <w:lvl w:ilvl="0">
      <w:start w:val="1"/>
      <w:numFmt w:val="decimal"/>
      <w:lvlText w:val="%1."/>
      <w:lvlJc w:val="left"/>
      <w:pPr>
        <w:tabs>
          <w:tab w:val="num" w:pos="540"/>
        </w:tabs>
        <w:ind w:left="540" w:hanging="260"/>
      </w:pPr>
    </w:lvl>
  </w:abstractNum>
  <w:num w:numId="2">
    <w:abstractNumId w:val="1"/>
  </w:num>
  <w:abstractNum w:abstractNumId="2">
    <w:multiLevelType w:val="singleLevel"/>
    <w:lvl w:ilvl="0">
      <w:start w:val="1"/>
      <w:numFmt w:val="decimal"/>
      <w:lvlText w:val="%1."/>
      <w:lvlJc w:val="left"/>
      <w:pPr>
        <w:tabs>
          <w:tab w:val="num" w:pos="540"/>
        </w:tabs>
        <w:ind w:left="540" w:hanging="260"/>
      </w:pPr>
    </w:lvl>
  </w:abstractNum>
  <w:num w:numId="3">
    <w:abstractNumId w:val="2"/>
  </w:num>
</w:numbering>
</file>

<file path=word/styles.xml><?xml version="1.0" encoding="utf-8"?>
<w:styles xmlns:w="http://schemas.openxmlformats.org/wordprocessingml/2006/main">
  <w:docDefaults>
    <w:rPrDefault>
      <w:rPr>
        <w:rFonts w:ascii="Lato" w:hAnsi="Lato" w:cs="Lato"/>
        <w:color w:val="16191E"/>
        <w:sz w:val="22"/>
        <w:szCs w:val="22"/>
        <w:lang w:val="fr-FR"/>
      </w:rPr>
    </w:rPrDefault>
    <w:pPrDefault>
      <w:pPr>
        <w:spacing w:after="120" w:line="300" w:lineRule="auto"/>
      </w:pPr>
    </w:pPrDefault>
  </w:docDefaults>
  <w:style w:type="paragraph" w:default="1" w:styleId="Normal">
    <w:name w:val="Normal"/>
    <w:qFormat/>
    <w:pPr>
      <w:spacing w:after="120" w:line="276" w:lineRule="auto"/>
      <w:jc w:val="left"/>
    </w:pPr>
    <w:rPr>
      <w:rFonts w:ascii="Georgia" w:hAnsi="Georgia"/>
      <w:color w:val="1C2027"/>
      <w:sz w:val="20"/>
    </w:rPr>
  </w:style>
  <w:style w:type="paragraph" w:customStyle="1" w:styleId="Heading1">
    <w:name w:val="heading 1"/>
    <w:basedOn w:val="Normal"/>
    <w:next w:val="Normal"/>
    <w:pPr>
      <w:outlineLvl w:val="0"/>
    </w:pPr>
  </w:style>
  <w:style w:type="paragraph" w:customStyle="1" w:styleId="Heading2">
    <w:name w:val="heading 2"/>
    <w:basedOn w:val="Normal"/>
    <w:next w:val="Normal"/>
    <w:pPr>
      <w:outlineLvl w:val="1"/>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image" Target="media/image1.png"/></Relationships>
</file>