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1591" w14:textId="77777777" w:rsidR="00BE3737" w:rsidRDefault="00000000">
      <w:pPr>
        <w:spacing w:before="2400" w:after="400"/>
        <w:jc w:val="center"/>
      </w:pPr>
      <w:r>
        <w:rPr>
          <w:b/>
          <w:bCs/>
          <w:color w:val="1F4E79"/>
          <w:sz w:val="56"/>
          <w:szCs w:val="56"/>
        </w:rPr>
        <w:t>DOCUMENTATION</w:t>
      </w:r>
    </w:p>
    <w:p w14:paraId="649520D5" w14:textId="77777777" w:rsidR="00BE3737" w:rsidRDefault="00000000">
      <w:pPr>
        <w:spacing w:after="200"/>
        <w:jc w:val="center"/>
      </w:pPr>
      <w:r>
        <w:rPr>
          <w:color w:val="1F4E79"/>
          <w:sz w:val="40"/>
          <w:szCs w:val="40"/>
        </w:rPr>
        <w:t>Pricer de Produits Structurés</w:t>
      </w:r>
    </w:p>
    <w:p w14:paraId="48197E52" w14:textId="77777777" w:rsidR="00BE3737" w:rsidRDefault="00000000">
      <w:pPr>
        <w:spacing w:after="800"/>
        <w:jc w:val="center"/>
        <w:rPr>
          <w:i/>
          <w:iCs/>
          <w:color w:val="555555"/>
          <w:sz w:val="28"/>
          <w:szCs w:val="28"/>
        </w:rPr>
      </w:pPr>
      <w:r>
        <w:rPr>
          <w:i/>
          <w:iCs/>
          <w:color w:val="555555"/>
          <w:sz w:val="28"/>
          <w:szCs w:val="28"/>
        </w:rPr>
        <w:t>Application Streamlit – Sous-jacent AAPL</w:t>
      </w:r>
    </w:p>
    <w:p w14:paraId="59CA6928" w14:textId="653E42A1" w:rsidR="00636471" w:rsidRDefault="00636471">
      <w:pPr>
        <w:spacing w:after="800"/>
        <w:jc w:val="center"/>
      </w:pPr>
      <w:r>
        <w:rPr>
          <w:i/>
          <w:iCs/>
          <w:color w:val="555555"/>
          <w:sz w:val="28"/>
          <w:szCs w:val="28"/>
        </w:rPr>
        <w:t>Thomas Betton / Pierre Berthold</w:t>
      </w:r>
    </w:p>
    <w:p w14:paraId="150FDBB2" w14:textId="77777777" w:rsidR="00BE3737" w:rsidRDefault="00000000">
      <w:pPr>
        <w:spacing w:after="200"/>
        <w:jc w:val="center"/>
      </w:pPr>
      <w:r>
        <w:rPr>
          <w:b/>
          <w:bCs/>
          <w:sz w:val="28"/>
          <w:szCs w:val="28"/>
        </w:rPr>
        <w:t>Documentation Technique &amp; Fonctionnelle</w:t>
      </w:r>
    </w:p>
    <w:p w14:paraId="1C6BEF38" w14:textId="77777777" w:rsidR="00BE3737" w:rsidRDefault="00000000">
      <w:pPr>
        <w:spacing w:before="1600"/>
        <w:jc w:val="center"/>
      </w:pPr>
      <w:r>
        <w:rPr>
          <w:sz w:val="24"/>
          <w:szCs w:val="24"/>
        </w:rPr>
        <w:t>Date : 26 avril 2026</w:t>
      </w:r>
    </w:p>
    <w:p w14:paraId="73C4E99E" w14:textId="77777777" w:rsidR="00BE3737" w:rsidRDefault="00000000">
      <w:pPr>
        <w:jc w:val="center"/>
      </w:pPr>
      <w:r>
        <w:rPr>
          <w:i/>
          <w:iCs/>
          <w:sz w:val="24"/>
          <w:szCs w:val="24"/>
        </w:rPr>
        <w:t>Date de valorisation : 27/02/2026</w:t>
      </w:r>
    </w:p>
    <w:p w14:paraId="1ECADE76" w14:textId="304F13CA" w:rsidR="00BE3737" w:rsidRDefault="00BE3737"/>
    <w:p w14:paraId="67C50C3D" w14:textId="77777777" w:rsidR="00BE3737" w:rsidRDefault="00000000">
      <w:pPr>
        <w:pStyle w:val="Heading1"/>
        <w:pageBreakBefore/>
      </w:pPr>
      <w:r>
        <w:lastRenderedPageBreak/>
        <w:t>1. Documentation Fonctionnelle</w:t>
      </w:r>
    </w:p>
    <w:p w14:paraId="0D7362EB" w14:textId="77777777" w:rsidR="00BE3737" w:rsidRDefault="00000000">
      <w:pPr>
        <w:pStyle w:val="Heading2"/>
      </w:pPr>
      <w:r>
        <w:t>1.1 Présentation générale</w:t>
      </w:r>
    </w:p>
    <w:p w14:paraId="1EA69449" w14:textId="77777777" w:rsidR="00BE3737" w:rsidRDefault="00000000">
      <w:pPr>
        <w:spacing w:after="120"/>
      </w:pPr>
      <w:r>
        <w:t>L'application est un pricer interactif de produits structurés financiers développé en Python avec l'interface utilisateur Streamlit. Elle permet de valoriser une large gamme d'instruments — obligations, swaps de taux, options vanilles, options exotiques, autocallables et notes structurées SSPA — sur le sous-jacent AAPL (Apple Inc.). L'outil consomme des données de marché réelles (US Treasury depuis FRED, prix et dividende AAPL depuis Yahoo Finance) et reconstruit en temps réel une courbe des taux zéro-coupon par calibration Nelson-Siegel.</w:t>
      </w:r>
    </w:p>
    <w:p w14:paraId="77936FDC" w14:textId="77777777" w:rsidR="00BE3737" w:rsidRDefault="00000000">
      <w:pPr>
        <w:spacing w:after="120"/>
      </w:pPr>
      <w:r>
        <w:t>L'utilisateur peut soit pricer un produit unitairement avec ses propres paramètres, soit charger un inventaire complet sous forme de fichier Excel et obtenir une vue agrégée portefeuille avec matrices de risque (Delta et Vega) ventilées par pilier de maturité.</w:t>
      </w:r>
    </w:p>
    <w:p w14:paraId="6E3745BA" w14:textId="77777777" w:rsidR="00BE3737" w:rsidRDefault="00000000">
      <w:pPr>
        <w:pStyle w:val="Heading2"/>
      </w:pPr>
      <w:r>
        <w:t>1.2 Objectifs métier</w:t>
      </w:r>
    </w:p>
    <w:p w14:paraId="597AE5AF" w14:textId="77777777" w:rsidR="00BE3737" w:rsidRDefault="00000000">
      <w:pPr>
        <w:pStyle w:val="ListParagraph"/>
        <w:numPr>
          <w:ilvl w:val="0"/>
          <w:numId w:val="2"/>
        </w:numPr>
        <w:spacing w:after="60"/>
      </w:pPr>
      <w:r>
        <w:t>Fournir un outil pédagogique et opérationnel de pricing pour le desk structurés.</w:t>
      </w:r>
    </w:p>
    <w:p w14:paraId="5ACA40D1" w14:textId="77777777" w:rsidR="00BE3737" w:rsidRDefault="00000000">
      <w:pPr>
        <w:pStyle w:val="ListParagraph"/>
        <w:numPr>
          <w:ilvl w:val="0"/>
          <w:numId w:val="2"/>
        </w:numPr>
        <w:spacing w:after="60"/>
      </w:pPr>
      <w:r>
        <w:t>Calibrer une courbe des taux à partir de données publiques (FRED – séries DGS).</w:t>
      </w:r>
    </w:p>
    <w:p w14:paraId="1C256E64" w14:textId="77777777" w:rsidR="00BE3737" w:rsidRDefault="00000000">
      <w:pPr>
        <w:pStyle w:val="ListParagraph"/>
        <w:numPr>
          <w:ilvl w:val="0"/>
          <w:numId w:val="2"/>
        </w:numPr>
        <w:spacing w:after="60"/>
      </w:pPr>
      <w:r>
        <w:t>Pricer en analytique (Black-Scholes) ou par simulation Monte Carlo selon le payoff.</w:t>
      </w:r>
    </w:p>
    <w:p w14:paraId="6308AB59" w14:textId="77777777" w:rsidR="00BE3737" w:rsidRDefault="00000000">
      <w:pPr>
        <w:pStyle w:val="ListParagraph"/>
        <w:numPr>
          <w:ilvl w:val="0"/>
          <w:numId w:val="2"/>
        </w:numPr>
        <w:spacing w:after="60"/>
      </w:pPr>
      <w:r>
        <w:t>Calculer les Greeks (Delta, Gamma, Vega, Theta, Rho, DV01) pour le suivi du risque.</w:t>
      </w:r>
    </w:p>
    <w:p w14:paraId="5EA257F0" w14:textId="77777777" w:rsidR="00BE3737" w:rsidRDefault="00000000">
      <w:pPr>
        <w:pStyle w:val="ListParagraph"/>
        <w:numPr>
          <w:ilvl w:val="0"/>
          <w:numId w:val="2"/>
        </w:numPr>
        <w:spacing w:after="60"/>
      </w:pPr>
      <w:r>
        <w:t>Agréger un portefeuille hétérogène et produire des matrices de risque par pilier de maturité.</w:t>
      </w:r>
    </w:p>
    <w:p w14:paraId="15146D87" w14:textId="77777777" w:rsidR="00BE3737" w:rsidRDefault="00000000">
      <w:pPr>
        <w:pStyle w:val="ListParagraph"/>
        <w:numPr>
          <w:ilvl w:val="0"/>
          <w:numId w:val="2"/>
        </w:numPr>
        <w:spacing w:after="60"/>
      </w:pPr>
      <w:r>
        <w:t>Permettre la simulation rapide d'un nouveau sous-jacent via un formulaire dédié.</w:t>
      </w:r>
    </w:p>
    <w:p w14:paraId="4BBA97A1" w14:textId="77777777" w:rsidR="00BE3737" w:rsidRDefault="00000000">
      <w:pPr>
        <w:pStyle w:val="Heading2"/>
      </w:pPr>
      <w:r>
        <w:t>1.3 Périmètre fonctionnel</w:t>
      </w:r>
    </w:p>
    <w:p w14:paraId="5057CF2F" w14:textId="77777777" w:rsidR="00BE3737" w:rsidRDefault="00000000">
      <w:pPr>
        <w:spacing w:after="120"/>
      </w:pPr>
      <w:r>
        <w:t>L'application est structurée en trois pages distinctes accessibles depuis la barre latérale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00"/>
        <w:gridCol w:w="2460"/>
      </w:tblGrid>
      <w:tr w:rsidR="00BE3737" w14:paraId="23D94805" w14:textId="77777777">
        <w:tblPrEx>
          <w:tblCellMar>
            <w:top w:w="0" w:type="dxa"/>
            <w:bottom w:w="0" w:type="dxa"/>
          </w:tblCellMar>
        </w:tblPrEx>
        <w:trPr>
          <w:tblHeader/>
        </w:trPr>
        <w:tc>
          <w:tcPr>
            <w:tcW w:w="24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53B413CB" w14:textId="77777777" w:rsidR="00BE3737" w:rsidRDefault="00000000">
            <w:r>
              <w:rPr>
                <w:b/>
                <w:bCs/>
                <w:color w:val="FFFFFF"/>
              </w:rPr>
              <w:t>Page</w:t>
            </w:r>
          </w:p>
        </w:tc>
        <w:tc>
          <w:tcPr>
            <w:tcW w:w="45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3E6824CB" w14:textId="77777777" w:rsidR="00BE3737" w:rsidRDefault="00000000">
            <w:r>
              <w:rPr>
                <w:b/>
                <w:bCs/>
                <w:color w:val="FFFFFF"/>
              </w:rPr>
              <w:t>Fonctionnalités</w:t>
            </w:r>
          </w:p>
        </w:tc>
        <w:tc>
          <w:tcPr>
            <w:tcW w:w="246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3C58559D" w14:textId="77777777" w:rsidR="00BE3737" w:rsidRDefault="00000000">
            <w:r>
              <w:rPr>
                <w:b/>
                <w:bCs/>
                <w:color w:val="FFFFFF"/>
              </w:rPr>
              <w:t>Source de données</w:t>
            </w:r>
          </w:p>
        </w:tc>
      </w:tr>
      <w:tr w:rsidR="00BE3737" w14:paraId="19B932D5"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1ACB571" w14:textId="77777777" w:rsidR="00BE3737" w:rsidRDefault="00000000">
            <w:r>
              <w:t>Marché &amp; Calibration</w:t>
            </w:r>
          </w:p>
        </w:tc>
        <w:tc>
          <w:tcPr>
            <w:tcW w:w="4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9B990C9" w14:textId="77777777" w:rsidR="00BE3737" w:rsidRDefault="00000000">
            <w:r>
              <w:t>Visualisation de la courbe des taux (Nelson-Siegel), historique AAPL 2 ans, vol réalisée 30j/90j, structure par terme.</w:t>
            </w:r>
          </w:p>
        </w:tc>
        <w:tc>
          <w:tcPr>
            <w:tcW w:w="2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EF4359B" w14:textId="77777777" w:rsidR="00BE3737" w:rsidRDefault="00000000">
            <w:r>
              <w:t>rate_curve.csv, AAPL_prices.csv, market_snapshot.json</w:t>
            </w:r>
          </w:p>
        </w:tc>
      </w:tr>
      <w:tr w:rsidR="00BE3737" w14:paraId="1DE6AD98"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70DFDFB5" w14:textId="77777777" w:rsidR="00BE3737" w:rsidRDefault="00000000">
            <w:r>
              <w:t>Pricer Unitaire</w:t>
            </w:r>
          </w:p>
        </w:tc>
        <w:tc>
          <w:tcPr>
            <w:tcW w:w="45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579603C9" w14:textId="77777777" w:rsidR="00BE3737" w:rsidRDefault="00000000">
            <w:r>
              <w:t>Pricing interactif de 10 types de produits avec édition libre des paramètres de marché et profils de payoff.</w:t>
            </w:r>
          </w:p>
        </w:tc>
        <w:tc>
          <w:tcPr>
            <w:tcW w:w="24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311C188D" w14:textId="77777777" w:rsidR="00BE3737" w:rsidRDefault="00000000">
            <w:r>
              <w:t>Saisie utilisateur + snapshot marché</w:t>
            </w:r>
          </w:p>
        </w:tc>
      </w:tr>
      <w:tr w:rsidR="00BE3737" w14:paraId="61DA84D2"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59E67ED" w14:textId="77777777" w:rsidR="00BE3737" w:rsidRDefault="00000000">
            <w:r>
              <w:t>Portefeuille</w:t>
            </w:r>
          </w:p>
        </w:tc>
        <w:tc>
          <w:tcPr>
            <w:tcW w:w="4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905C26C" w14:textId="77777777" w:rsidR="00BE3737" w:rsidRDefault="00000000">
            <w:r>
              <w:t>Chargement de Inventaire.xlsx, pricing global, matrices Delta/Vega, distribution par portefeuille, simulation d'un sous-jacent additionnel.</w:t>
            </w:r>
          </w:p>
        </w:tc>
        <w:tc>
          <w:tcPr>
            <w:tcW w:w="24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D005C1D" w14:textId="77777777" w:rsidR="00BE3737" w:rsidRDefault="00000000">
            <w:r>
              <w:t>Inventaire.xlsx (4 onglets)</w:t>
            </w:r>
          </w:p>
        </w:tc>
      </w:tr>
    </w:tbl>
    <w:p w14:paraId="172666A6" w14:textId="77777777" w:rsidR="00BE3737" w:rsidRDefault="00000000">
      <w:pPr>
        <w:pStyle w:val="Heading2"/>
      </w:pPr>
      <w:r>
        <w:t>1.4 Catalogue de produits supportés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BE3737" w14:paraId="1617F4C9" w14:textId="77777777">
        <w:tblPrEx>
          <w:tblCellMar>
            <w:top w:w="0" w:type="dxa"/>
            <w:bottom w:w="0" w:type="dxa"/>
          </w:tblCellMar>
        </w:tblPrEx>
        <w:trPr>
          <w:tblHeader/>
        </w:trPr>
        <w:tc>
          <w:tcPr>
            <w:tcW w:w="18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373CB989" w14:textId="77777777" w:rsidR="00BE3737" w:rsidRDefault="00000000">
            <w:r>
              <w:rPr>
                <w:b/>
                <w:bCs/>
                <w:color w:val="FFFFFF"/>
              </w:rPr>
              <w:t>Famille</w:t>
            </w:r>
          </w:p>
        </w:tc>
        <w:tc>
          <w:tcPr>
            <w:tcW w:w="38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2FA67E55" w14:textId="77777777" w:rsidR="00BE3737" w:rsidRDefault="00000000">
            <w:r>
              <w:rPr>
                <w:b/>
                <w:bCs/>
                <w:color w:val="FFFFFF"/>
              </w:rPr>
              <w:t>Produit</w:t>
            </w:r>
          </w:p>
        </w:tc>
        <w:tc>
          <w:tcPr>
            <w:tcW w:w="376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21495A3F" w14:textId="77777777" w:rsidR="00BE3737" w:rsidRDefault="00000000">
            <w:r>
              <w:rPr>
                <w:b/>
                <w:bCs/>
                <w:color w:val="FFFFFF"/>
              </w:rPr>
              <w:t>Méthode de valorisation</w:t>
            </w:r>
          </w:p>
        </w:tc>
      </w:tr>
      <w:tr w:rsidR="00BE3737" w14:paraId="763F4B6F"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0168AF4" w14:textId="77777777" w:rsidR="00BE3737" w:rsidRDefault="00000000">
            <w:r>
              <w:t>Taux</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BDD7480" w14:textId="77777777" w:rsidR="00BE3737" w:rsidRDefault="00000000">
            <w:r>
              <w:t>Obligation Zéro-Coupon</w:t>
            </w:r>
          </w:p>
        </w:tc>
        <w:tc>
          <w:tcPr>
            <w:tcW w:w="3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9CB45BE" w14:textId="77777777" w:rsidR="00BE3737" w:rsidRDefault="00000000">
            <w:r>
              <w:t>Actualisation analytique</w:t>
            </w:r>
          </w:p>
        </w:tc>
      </w:tr>
      <w:tr w:rsidR="00BE3737" w14:paraId="5C935EB3"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753DD11D" w14:textId="77777777" w:rsidR="00BE3737" w:rsidRDefault="00000000">
            <w:r>
              <w:t>Taux</w:t>
            </w:r>
          </w:p>
        </w:tc>
        <w:tc>
          <w:tcPr>
            <w:tcW w:w="38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5F8C4609" w14:textId="77777777" w:rsidR="00BE3737" w:rsidRDefault="00000000">
            <w:r>
              <w:t>Obligation à coupons</w:t>
            </w:r>
          </w:p>
        </w:tc>
        <w:tc>
          <w:tcPr>
            <w:tcW w:w="37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2367B4E4" w14:textId="77777777" w:rsidR="00BE3737" w:rsidRDefault="00000000">
            <w:r>
              <w:t>Somme actualisée + bisection YTM</w:t>
            </w:r>
          </w:p>
        </w:tc>
      </w:tr>
      <w:tr w:rsidR="00BE3737" w14:paraId="0519AB4E"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CA4EAFF" w14:textId="77777777" w:rsidR="00BE3737" w:rsidRDefault="00000000">
            <w:r>
              <w:t>Taux</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DD7F6AD" w14:textId="77777777" w:rsidR="00BE3737" w:rsidRDefault="00000000">
            <w:r>
              <w:t>Swap fixe / variable</w:t>
            </w:r>
          </w:p>
        </w:tc>
        <w:tc>
          <w:tcPr>
            <w:tcW w:w="3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11F33F8" w14:textId="77777777" w:rsidR="00BE3737" w:rsidRDefault="00000000">
            <w:r>
              <w:t>Réplication par obligation</w:t>
            </w:r>
          </w:p>
        </w:tc>
      </w:tr>
      <w:tr w:rsidR="00BE3737" w14:paraId="7DE05439"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44CD8CA1" w14:textId="77777777" w:rsidR="00BE3737" w:rsidRDefault="00000000">
            <w:r>
              <w:lastRenderedPageBreak/>
              <w:t>Taux</w:t>
            </w:r>
          </w:p>
        </w:tc>
        <w:tc>
          <w:tcPr>
            <w:tcW w:w="38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1C98C64C" w14:textId="77777777" w:rsidR="00BE3737" w:rsidRDefault="00000000">
            <w:r>
              <w:t>Basis Swap</w:t>
            </w:r>
          </w:p>
        </w:tc>
        <w:tc>
          <w:tcPr>
            <w:tcW w:w="37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2BFC01DD" w14:textId="77777777" w:rsidR="00BE3737" w:rsidRDefault="00000000">
            <w:r>
              <w:t>Forward-rates jambe par jambe</w:t>
            </w:r>
          </w:p>
        </w:tc>
      </w:tr>
      <w:tr w:rsidR="00BE3737" w14:paraId="0B2F9566"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20BFFDA" w14:textId="77777777" w:rsidR="00BE3737" w:rsidRDefault="00000000">
            <w:r>
              <w:t>Vol – Vanille</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1630C50" w14:textId="77777777" w:rsidR="00BE3737" w:rsidRDefault="00000000">
            <w:r>
              <w:t>Call / Put européen</w:t>
            </w:r>
          </w:p>
        </w:tc>
        <w:tc>
          <w:tcPr>
            <w:tcW w:w="3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FDC22CC" w14:textId="77777777" w:rsidR="00BE3737" w:rsidRDefault="00000000">
            <w:r>
              <w:t>Black-Scholes analytique</w:t>
            </w:r>
          </w:p>
        </w:tc>
      </w:tr>
      <w:tr w:rsidR="00BE3737" w14:paraId="33B887FA"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3B8320C1" w14:textId="77777777" w:rsidR="00BE3737" w:rsidRDefault="00000000">
            <w:r>
              <w:t>Vol – Spread</w:t>
            </w:r>
          </w:p>
        </w:tc>
        <w:tc>
          <w:tcPr>
            <w:tcW w:w="38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308C5685" w14:textId="77777777" w:rsidR="00BE3737" w:rsidRDefault="00000000">
            <w:r>
              <w:t>Call Spread / Put Spread / Butterfly</w:t>
            </w:r>
          </w:p>
        </w:tc>
        <w:tc>
          <w:tcPr>
            <w:tcW w:w="37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12DFEDF5" w14:textId="77777777" w:rsidR="00BE3737" w:rsidRDefault="00000000">
            <w:r>
              <w:t>Décomposition en options BS</w:t>
            </w:r>
          </w:p>
        </w:tc>
      </w:tr>
      <w:tr w:rsidR="00BE3737" w14:paraId="59709D42"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9454F98" w14:textId="77777777" w:rsidR="00BE3737" w:rsidRDefault="00000000">
            <w:r>
              <w:t>Vol – Exotique</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30B68E4" w14:textId="77777777" w:rsidR="00BE3737" w:rsidRDefault="00000000">
            <w:r>
              <w:t>Option à barrière (KO/KI)</w:t>
            </w:r>
          </w:p>
        </w:tc>
        <w:tc>
          <w:tcPr>
            <w:tcW w:w="3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7C3B12B" w14:textId="77777777" w:rsidR="00BE3737" w:rsidRDefault="00000000">
            <w:r>
              <w:t>Monte Carlo (50 000 trajectoires)</w:t>
            </w:r>
          </w:p>
        </w:tc>
      </w:tr>
      <w:tr w:rsidR="00BE3737" w14:paraId="691246E6"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504DC744" w14:textId="77777777" w:rsidR="00BE3737" w:rsidRDefault="00000000">
            <w:r>
              <w:t>Structurés</w:t>
            </w:r>
          </w:p>
        </w:tc>
        <w:tc>
          <w:tcPr>
            <w:tcW w:w="38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52E250D2" w14:textId="77777777" w:rsidR="00BE3737" w:rsidRDefault="00000000">
            <w:r>
              <w:t>Autocallable</w:t>
            </w:r>
          </w:p>
        </w:tc>
        <w:tc>
          <w:tcPr>
            <w:tcW w:w="37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4F436F51" w14:textId="77777777" w:rsidR="00BE3737" w:rsidRDefault="00000000">
            <w:r>
              <w:t>Monte Carlo avec schedule d'observations</w:t>
            </w:r>
          </w:p>
        </w:tc>
      </w:tr>
      <w:tr w:rsidR="00BE3737" w14:paraId="148A0918"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D36C28A" w14:textId="77777777" w:rsidR="00BE3737" w:rsidRDefault="00000000">
            <w:r>
              <w:t>Structurés</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8D211EF" w14:textId="77777777" w:rsidR="00BE3737" w:rsidRDefault="00000000">
            <w:r>
              <w:t>Note SSPA 1100/1130/1220/1320</w:t>
            </w:r>
          </w:p>
        </w:tc>
        <w:tc>
          <w:tcPr>
            <w:tcW w:w="3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E06C394" w14:textId="77777777" w:rsidR="00BE3737" w:rsidRDefault="00000000">
            <w:r>
              <w:t>Monte Carlo selon payoff</w:t>
            </w:r>
          </w:p>
        </w:tc>
      </w:tr>
    </w:tbl>
    <w:p w14:paraId="0E8B88A8" w14:textId="77777777" w:rsidR="00BE3737" w:rsidRDefault="00000000">
      <w:pPr>
        <w:pStyle w:val="Heading2"/>
      </w:pPr>
      <w:r>
        <w:t>1.5 Parcours utilisateur type</w:t>
      </w:r>
    </w:p>
    <w:p w14:paraId="1A064B95" w14:textId="77777777" w:rsidR="00BE3737" w:rsidRDefault="00000000">
      <w:pPr>
        <w:spacing w:after="120"/>
      </w:pPr>
      <w:r>
        <w:t>Le parcours nominal pour un trader / structureur se déroule comme suit :</w:t>
      </w:r>
    </w:p>
    <w:p w14:paraId="7E8E4F98" w14:textId="77777777" w:rsidR="00BE3737" w:rsidRDefault="00000000">
      <w:pPr>
        <w:pStyle w:val="ListParagraph"/>
        <w:numPr>
          <w:ilvl w:val="0"/>
          <w:numId w:val="3"/>
        </w:numPr>
      </w:pPr>
      <w:r>
        <w:t>Ouverture de l'application : la barre latérale affiche le snapshot marché (Spot, Vol 1Y, Taux 3M, Div yield).</w:t>
      </w:r>
    </w:p>
    <w:p w14:paraId="34906A76" w14:textId="77777777" w:rsidR="00BE3737" w:rsidRDefault="00000000">
      <w:pPr>
        <w:pStyle w:val="ListParagraph"/>
        <w:numPr>
          <w:ilvl w:val="0"/>
          <w:numId w:val="3"/>
        </w:numPr>
      </w:pPr>
      <w:r>
        <w:t>Vérification de la calibration (page Marché &amp; Calibration) : courbe NS vs points FRED, historique AAPL et structure par terme.</w:t>
      </w:r>
    </w:p>
    <w:p w14:paraId="23510E74" w14:textId="77777777" w:rsidR="00BE3737" w:rsidRDefault="00000000">
      <w:pPr>
        <w:pStyle w:val="ListParagraph"/>
        <w:numPr>
          <w:ilvl w:val="0"/>
          <w:numId w:val="3"/>
        </w:numPr>
      </w:pPr>
      <w:r>
        <w:t>Pricing unitaire : sélection du type de produit, ajustement éventuel des paramètres marché, lancement du pricing, lecture du prix, des Greeks et du payoff.</w:t>
      </w:r>
    </w:p>
    <w:p w14:paraId="77A44CF5" w14:textId="77777777" w:rsidR="00BE3737" w:rsidRDefault="00000000">
      <w:pPr>
        <w:pStyle w:val="ListParagraph"/>
        <w:numPr>
          <w:ilvl w:val="0"/>
          <w:numId w:val="3"/>
        </w:numPr>
      </w:pPr>
      <w:r>
        <w:t>Vue portefeuille : valeur totale, matrices de risque, distribution par sous-portefeuille.</w:t>
      </w:r>
    </w:p>
    <w:p w14:paraId="75294484" w14:textId="77777777" w:rsidR="00BE3737" w:rsidRDefault="00000000">
      <w:pPr>
        <w:pStyle w:val="ListParagraph"/>
        <w:numPr>
          <w:ilvl w:val="0"/>
          <w:numId w:val="3"/>
        </w:numPr>
      </w:pPr>
      <w:r>
        <w:t>Test d'un nouveau sous-jacent via le formulaire dédié (Call ATM avec ses Greeks).</w:t>
      </w:r>
    </w:p>
    <w:p w14:paraId="4B368359" w14:textId="77777777" w:rsidR="00BE3737" w:rsidRDefault="00000000">
      <w:pPr>
        <w:pStyle w:val="Heading2"/>
      </w:pPr>
      <w:r>
        <w:t>1.6 Données d'entrée</w:t>
      </w:r>
    </w:p>
    <w:p w14:paraId="0559CFDE" w14:textId="77777777" w:rsidR="00BE3737" w:rsidRDefault="00000000">
      <w:pPr>
        <w:pStyle w:val="ListParagraph"/>
        <w:numPr>
          <w:ilvl w:val="0"/>
          <w:numId w:val="2"/>
        </w:numPr>
        <w:spacing w:after="60"/>
      </w:pPr>
      <w:r>
        <w:t>docs/market_snapshot.json — spot, vol historique 1Y, dividende, structure par terme.</w:t>
      </w:r>
    </w:p>
    <w:p w14:paraId="618825A7" w14:textId="77777777" w:rsidR="00BE3737" w:rsidRDefault="00000000">
      <w:pPr>
        <w:pStyle w:val="ListParagraph"/>
        <w:numPr>
          <w:ilvl w:val="0"/>
          <w:numId w:val="2"/>
        </w:numPr>
        <w:spacing w:after="60"/>
      </w:pPr>
      <w:r>
        <w:t>docs/rate_curve.csv — taux zéro-coupon US Treasury par maturité (FRED).</w:t>
      </w:r>
    </w:p>
    <w:p w14:paraId="3F1965BD" w14:textId="77777777" w:rsidR="00BE3737" w:rsidRDefault="00000000">
      <w:pPr>
        <w:pStyle w:val="ListParagraph"/>
        <w:numPr>
          <w:ilvl w:val="0"/>
          <w:numId w:val="2"/>
        </w:numPr>
        <w:spacing w:after="60"/>
      </w:pPr>
      <w:r>
        <w:t>docs/AAPL_prices.csv — historique OHLCV AAPL (Yahoo Finance).</w:t>
      </w:r>
    </w:p>
    <w:p w14:paraId="4C60D6FB" w14:textId="77777777" w:rsidR="00BE3737" w:rsidRDefault="00000000">
      <w:pPr>
        <w:pStyle w:val="ListParagraph"/>
        <w:numPr>
          <w:ilvl w:val="0"/>
          <w:numId w:val="2"/>
        </w:numPr>
        <w:spacing w:after="60"/>
      </w:pPr>
      <w:r>
        <w:t>Inventaire.xlsx — 4 onglets : Swap, Options, Autocall, Notes structurées.</w:t>
      </w:r>
    </w:p>
    <w:p w14:paraId="3A24346D" w14:textId="77777777" w:rsidR="00BE3737" w:rsidRDefault="00000000">
      <w:pPr>
        <w:pStyle w:val="Heading2"/>
      </w:pPr>
      <w:r>
        <w:t>1.7 Sorties produites</w:t>
      </w:r>
    </w:p>
    <w:p w14:paraId="19FBF9E4" w14:textId="77777777" w:rsidR="00BE3737" w:rsidRDefault="00000000">
      <w:pPr>
        <w:pStyle w:val="ListParagraph"/>
        <w:numPr>
          <w:ilvl w:val="0"/>
          <w:numId w:val="2"/>
        </w:numPr>
        <w:spacing w:after="60"/>
      </w:pPr>
      <w:r>
        <w:t>Prix unitaire et prix total des positions (USD ou EUR selon l'instrument).</w:t>
      </w:r>
    </w:p>
    <w:p w14:paraId="72AE4D75" w14:textId="77777777" w:rsidR="00BE3737" w:rsidRDefault="00000000">
      <w:pPr>
        <w:pStyle w:val="ListParagraph"/>
        <w:numPr>
          <w:ilvl w:val="0"/>
          <w:numId w:val="2"/>
        </w:numPr>
        <w:spacing w:after="60"/>
      </w:pPr>
      <w:r>
        <w:t>Greeks par position : Delta, Gamma, Vega, Theta, Rho, DV01, Duration, YTM, par-rate.</w:t>
      </w:r>
    </w:p>
    <w:p w14:paraId="23DE7319" w14:textId="77777777" w:rsidR="00BE3737" w:rsidRDefault="00000000">
      <w:pPr>
        <w:pStyle w:val="ListParagraph"/>
        <w:numPr>
          <w:ilvl w:val="0"/>
          <w:numId w:val="2"/>
        </w:numPr>
        <w:spacing w:after="60"/>
      </w:pPr>
      <w:r>
        <w:t>Tableau de synthèse portefeuille (valeur totale, nombre de positions par sous-portefeuille).</w:t>
      </w:r>
    </w:p>
    <w:p w14:paraId="27F247A5" w14:textId="77777777" w:rsidR="00BE3737" w:rsidRDefault="00000000">
      <w:pPr>
        <w:pStyle w:val="ListParagraph"/>
        <w:numPr>
          <w:ilvl w:val="0"/>
          <w:numId w:val="2"/>
        </w:numPr>
        <w:spacing w:after="60"/>
      </w:pPr>
      <w:r>
        <w:t>Matrices de risque agrégées par pilier de maturité (0,25Y / 0,5Y / 1Y / 2Y / 3Y / 5Y / 7Y / 10Y).</w:t>
      </w:r>
    </w:p>
    <w:p w14:paraId="14B35C50" w14:textId="77777777" w:rsidR="00BE3737" w:rsidRDefault="00000000">
      <w:pPr>
        <w:pStyle w:val="ListParagraph"/>
        <w:numPr>
          <w:ilvl w:val="0"/>
          <w:numId w:val="2"/>
        </w:numPr>
        <w:spacing w:after="60"/>
      </w:pPr>
      <w:r>
        <w:t>Graphiques interactifs Plotly : payoffs, distributions, surfaces, séries temporelles.</w:t>
      </w:r>
    </w:p>
    <w:p w14:paraId="3FE91499" w14:textId="77777777" w:rsidR="00BE3737" w:rsidRDefault="00000000">
      <w:pPr>
        <w:pStyle w:val="Heading1"/>
        <w:pageBreakBefore/>
      </w:pPr>
      <w:r>
        <w:lastRenderedPageBreak/>
        <w:t>2. Documentation Technique</w:t>
      </w:r>
    </w:p>
    <w:p w14:paraId="6BC7F983" w14:textId="77777777" w:rsidR="00BE3737" w:rsidRDefault="00000000">
      <w:pPr>
        <w:pStyle w:val="Heading2"/>
      </w:pPr>
      <w:r>
        <w:t>2.1 Stack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3737" w14:paraId="1FC9D43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71BBFED0" w14:textId="77777777" w:rsidR="00BE3737" w:rsidRDefault="00000000">
            <w:r>
              <w:rPr>
                <w:b/>
                <w:bCs/>
                <w:color w:val="FFFFFF"/>
              </w:rPr>
              <w:t>Élément</w:t>
            </w:r>
          </w:p>
        </w:tc>
        <w:tc>
          <w:tcPr>
            <w:tcW w:w="656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542B64E0" w14:textId="77777777" w:rsidR="00BE3737" w:rsidRDefault="00000000">
            <w:r>
              <w:rPr>
                <w:b/>
                <w:bCs/>
                <w:color w:val="FFFFFF"/>
              </w:rPr>
              <w:t>Description</w:t>
            </w:r>
          </w:p>
        </w:tc>
      </w:tr>
      <w:tr w:rsidR="00BE3737" w14:paraId="5C4DA87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AF1F8"/>
            <w:tcMar>
              <w:top w:w="80" w:type="dxa"/>
              <w:left w:w="120" w:type="dxa"/>
              <w:bottom w:w="80" w:type="dxa"/>
              <w:right w:w="120" w:type="dxa"/>
            </w:tcMar>
          </w:tcPr>
          <w:p w14:paraId="1CDE4E72" w14:textId="77777777" w:rsidR="00BE3737" w:rsidRDefault="00000000">
            <w:r>
              <w:rPr>
                <w:b/>
                <w:bCs/>
                <w:color w:val="000000"/>
              </w:rPr>
              <w:t>Langage</w:t>
            </w:r>
          </w:p>
        </w:tc>
        <w:tc>
          <w:tcPr>
            <w:tcW w:w="65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17741B72" w14:textId="77777777" w:rsidR="00BE3737" w:rsidRDefault="00000000">
            <w:r>
              <w:rPr>
                <w:color w:val="000000"/>
              </w:rPr>
              <w:t>Python 3.x</w:t>
            </w:r>
          </w:p>
        </w:tc>
      </w:tr>
      <w:tr w:rsidR="00BE3737" w14:paraId="7C288FD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AF1F8"/>
            <w:tcMar>
              <w:top w:w="80" w:type="dxa"/>
              <w:left w:w="120" w:type="dxa"/>
              <w:bottom w:w="80" w:type="dxa"/>
              <w:right w:w="120" w:type="dxa"/>
            </w:tcMar>
          </w:tcPr>
          <w:p w14:paraId="2A441AEC" w14:textId="77777777" w:rsidR="00BE3737" w:rsidRDefault="00000000">
            <w:r>
              <w:rPr>
                <w:b/>
                <w:bCs/>
                <w:color w:val="000000"/>
              </w:rPr>
              <w:t>UI / Frontend</w:t>
            </w:r>
          </w:p>
        </w:tc>
        <w:tc>
          <w:tcPr>
            <w:tcW w:w="65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11C98CBB" w14:textId="77777777" w:rsidR="00BE3737" w:rsidRDefault="00000000">
            <w:r>
              <w:rPr>
                <w:color w:val="000000"/>
              </w:rPr>
              <w:t>Streamlit</w:t>
            </w:r>
          </w:p>
        </w:tc>
      </w:tr>
      <w:tr w:rsidR="00BE3737" w14:paraId="152DFFA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AF1F8"/>
            <w:tcMar>
              <w:top w:w="80" w:type="dxa"/>
              <w:left w:w="120" w:type="dxa"/>
              <w:bottom w:w="80" w:type="dxa"/>
              <w:right w:w="120" w:type="dxa"/>
            </w:tcMar>
          </w:tcPr>
          <w:p w14:paraId="3B23F863" w14:textId="77777777" w:rsidR="00BE3737" w:rsidRDefault="00000000">
            <w:r>
              <w:rPr>
                <w:b/>
                <w:bCs/>
                <w:color w:val="000000"/>
              </w:rPr>
              <w:t>Calcul scientifique</w:t>
            </w:r>
          </w:p>
        </w:tc>
        <w:tc>
          <w:tcPr>
            <w:tcW w:w="65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6DFCC567" w14:textId="77777777" w:rsidR="00BE3737" w:rsidRDefault="00000000">
            <w:r>
              <w:rPr>
                <w:color w:val="000000"/>
              </w:rPr>
              <w:t>NumPy, SciPy (norm, brentq, minimize, interp1d)</w:t>
            </w:r>
          </w:p>
        </w:tc>
      </w:tr>
      <w:tr w:rsidR="00BE3737" w14:paraId="7CBC641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AF1F8"/>
            <w:tcMar>
              <w:top w:w="80" w:type="dxa"/>
              <w:left w:w="120" w:type="dxa"/>
              <w:bottom w:w="80" w:type="dxa"/>
              <w:right w:w="120" w:type="dxa"/>
            </w:tcMar>
          </w:tcPr>
          <w:p w14:paraId="20B5471E" w14:textId="77777777" w:rsidR="00BE3737" w:rsidRDefault="00000000">
            <w:r>
              <w:rPr>
                <w:b/>
                <w:bCs/>
                <w:color w:val="000000"/>
              </w:rPr>
              <w:t>Données</w:t>
            </w:r>
          </w:p>
        </w:tc>
        <w:tc>
          <w:tcPr>
            <w:tcW w:w="65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65760C22" w14:textId="77777777" w:rsidR="00BE3737" w:rsidRDefault="00000000">
            <w:r>
              <w:rPr>
                <w:color w:val="000000"/>
              </w:rPr>
              <w:t>pandas, openpyxl</w:t>
            </w:r>
          </w:p>
        </w:tc>
      </w:tr>
      <w:tr w:rsidR="00BE3737" w14:paraId="645F85C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AF1F8"/>
            <w:tcMar>
              <w:top w:w="80" w:type="dxa"/>
              <w:left w:w="120" w:type="dxa"/>
              <w:bottom w:w="80" w:type="dxa"/>
              <w:right w:w="120" w:type="dxa"/>
            </w:tcMar>
          </w:tcPr>
          <w:p w14:paraId="6257D9B5" w14:textId="77777777" w:rsidR="00BE3737" w:rsidRDefault="00000000">
            <w:r>
              <w:rPr>
                <w:b/>
                <w:bCs/>
                <w:color w:val="000000"/>
              </w:rPr>
              <w:t>Visualisation</w:t>
            </w:r>
          </w:p>
        </w:tc>
        <w:tc>
          <w:tcPr>
            <w:tcW w:w="65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5F47E66B" w14:textId="77777777" w:rsidR="00BE3737" w:rsidRDefault="00000000">
            <w:r>
              <w:rPr>
                <w:color w:val="000000"/>
              </w:rPr>
              <w:t>Plotly Graph Objects &amp; Express</w:t>
            </w:r>
          </w:p>
        </w:tc>
      </w:tr>
      <w:tr w:rsidR="00BE3737" w14:paraId="68DEA82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AF1F8"/>
            <w:tcMar>
              <w:top w:w="80" w:type="dxa"/>
              <w:left w:w="120" w:type="dxa"/>
              <w:bottom w:w="80" w:type="dxa"/>
              <w:right w:w="120" w:type="dxa"/>
            </w:tcMar>
          </w:tcPr>
          <w:p w14:paraId="3F9B8373" w14:textId="77777777" w:rsidR="00BE3737" w:rsidRDefault="00000000">
            <w:r>
              <w:rPr>
                <w:b/>
                <w:bCs/>
                <w:color w:val="000000"/>
              </w:rPr>
              <w:t>Sources externes</w:t>
            </w:r>
          </w:p>
        </w:tc>
        <w:tc>
          <w:tcPr>
            <w:tcW w:w="65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4C0EA50C" w14:textId="77777777" w:rsidR="00BE3737" w:rsidRDefault="00000000">
            <w:r>
              <w:rPr>
                <w:color w:val="000000"/>
              </w:rPr>
              <w:t>FRED API (taux), yfinance (AAPL)</w:t>
            </w:r>
          </w:p>
        </w:tc>
      </w:tr>
      <w:tr w:rsidR="00BE3737" w14:paraId="350DD56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AF1F8"/>
            <w:tcMar>
              <w:top w:w="80" w:type="dxa"/>
              <w:left w:w="120" w:type="dxa"/>
              <w:bottom w:w="80" w:type="dxa"/>
              <w:right w:w="120" w:type="dxa"/>
            </w:tcMar>
          </w:tcPr>
          <w:p w14:paraId="40E4F3F9" w14:textId="77777777" w:rsidR="00BE3737" w:rsidRDefault="00000000">
            <w:r>
              <w:rPr>
                <w:b/>
                <w:bCs/>
                <w:color w:val="000000"/>
              </w:rPr>
              <w:t>Architecture</w:t>
            </w:r>
          </w:p>
        </w:tc>
        <w:tc>
          <w:tcPr>
            <w:tcW w:w="65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2A706635" w14:textId="77777777" w:rsidR="00BE3737" w:rsidRDefault="00000000">
            <w:r>
              <w:rPr>
                <w:color w:val="000000"/>
              </w:rPr>
              <w:t>Modules métiers découplés, classes orientées objet</w:t>
            </w:r>
          </w:p>
        </w:tc>
      </w:tr>
    </w:tbl>
    <w:p w14:paraId="6EC165BA" w14:textId="77777777" w:rsidR="00BE3737" w:rsidRDefault="00000000">
      <w:pPr>
        <w:pStyle w:val="Heading2"/>
      </w:pPr>
      <w:r>
        <w:t>2.2 Architecture du code</w:t>
      </w:r>
    </w:p>
    <w:p w14:paraId="0C687414" w14:textId="77777777" w:rsidR="00BE3737" w:rsidRDefault="00000000">
      <w:pPr>
        <w:spacing w:after="120"/>
      </w:pPr>
      <w:r>
        <w:t>Le projet est structuré en 5 modules Python avec un découplage clair entre données, modèles, produits, portefeuille et interface :</w:t>
      </w:r>
    </w:p>
    <w:p w14:paraId="1E39DF23" w14:textId="77777777" w:rsidR="00BE3737" w:rsidRDefault="00000000">
      <w:pPr>
        <w:pStyle w:val="Heading3"/>
      </w:pPr>
      <w:r>
        <w:t>2.2.1 Rôle de chaque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E3737" w14:paraId="750FF405" w14:textId="77777777">
        <w:tblPrEx>
          <w:tblCellMar>
            <w:top w:w="0" w:type="dxa"/>
            <w:bottom w:w="0" w:type="dxa"/>
          </w:tblCellMar>
        </w:tblPrEx>
        <w:trPr>
          <w:tblHeader/>
        </w:trPr>
        <w:tc>
          <w:tcPr>
            <w:tcW w:w="20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2D31FA36" w14:textId="77777777" w:rsidR="00BE3737" w:rsidRDefault="00000000">
            <w:r>
              <w:rPr>
                <w:b/>
                <w:bCs/>
                <w:color w:val="FFFFFF"/>
              </w:rPr>
              <w:t>Fichier</w:t>
            </w:r>
          </w:p>
        </w:tc>
        <w:tc>
          <w:tcPr>
            <w:tcW w:w="736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7158C1CE" w14:textId="77777777" w:rsidR="00BE3737" w:rsidRDefault="00000000">
            <w:r>
              <w:rPr>
                <w:b/>
                <w:bCs/>
                <w:color w:val="FFFFFF"/>
              </w:rPr>
              <w:t>Responsabilité</w:t>
            </w:r>
          </w:p>
        </w:tc>
      </w:tr>
      <w:tr w:rsidR="00BE3737" w14:paraId="6FC051F8"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0114B26" w14:textId="77777777" w:rsidR="00BE3737" w:rsidRDefault="00000000">
            <w:r>
              <w:t>data.py</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27C9080" w14:textId="77777777" w:rsidR="00BE3737" w:rsidRDefault="00000000">
            <w:r>
              <w:t>Récupération des données externes : FRED (US Treasury) et yfinance (prix AAPL, dividende, vol historique, structure par terme).</w:t>
            </w:r>
          </w:p>
        </w:tc>
      </w:tr>
      <w:tr w:rsidR="00BE3737" w14:paraId="7B637408"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40158BE8" w14:textId="77777777" w:rsidR="00BE3737" w:rsidRDefault="00000000">
            <w:r>
              <w:t>models.py</w:t>
            </w:r>
          </w:p>
        </w:tc>
        <w:tc>
          <w:tcPr>
            <w:tcW w:w="73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15A52404" w14:textId="77777777" w:rsidR="00BE3737" w:rsidRDefault="00000000">
            <w:r>
              <w:t>Modèles quantitatifs purs : RateCurve (Nelson-Siegel + interpolation), BlackScholes (analytique), MonteCarlo (GBM antithétique).</w:t>
            </w:r>
          </w:p>
        </w:tc>
      </w:tr>
      <w:tr w:rsidR="00BE3737" w14:paraId="3808D3D3"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1675B28" w14:textId="77777777" w:rsidR="00BE3737" w:rsidRDefault="00000000">
            <w:r>
              <w:t>products.py</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520D7EF" w14:textId="77777777" w:rsidR="00BE3737" w:rsidRDefault="00000000">
            <w:r>
              <w:t>Catalogue d'instruments financiers, hérités de BaseProduct (interface price() / greeks()).</w:t>
            </w:r>
          </w:p>
        </w:tc>
      </w:tr>
      <w:tr w:rsidR="00BE3737" w14:paraId="1B3B1E3F"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45B323FD" w14:textId="77777777" w:rsidR="00BE3737" w:rsidRDefault="00000000">
            <w:r>
              <w:t>portfolio.py</w:t>
            </w:r>
          </w:p>
        </w:tc>
        <w:tc>
          <w:tcPr>
            <w:tcW w:w="73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04786EB1" w14:textId="77777777" w:rsidR="00BE3737" w:rsidRDefault="00000000">
            <w:r>
              <w:t>Chargement d'Inventaire.xlsx, mapping vers instances de produits, pricing global et matrice de risque.</w:t>
            </w:r>
          </w:p>
        </w:tc>
      </w:tr>
      <w:tr w:rsidR="00BE3737" w14:paraId="4CEC530A"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604153A" w14:textId="77777777" w:rsidR="00BE3737" w:rsidRDefault="00000000">
            <w:r>
              <w:t>app.py</w:t>
            </w:r>
          </w:p>
        </w:tc>
        <w:tc>
          <w:tcPr>
            <w:tcW w:w="7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5AF30B5" w14:textId="77777777" w:rsidR="00BE3737" w:rsidRDefault="00000000">
            <w:r>
              <w:t>Interface Streamlit (3 pages), cache des données, formulaires interactifs, graphiques Plotly.</w:t>
            </w:r>
          </w:p>
        </w:tc>
      </w:tr>
    </w:tbl>
    <w:p w14:paraId="213A84D2" w14:textId="77777777" w:rsidR="00BE3737" w:rsidRDefault="00000000">
      <w:pPr>
        <w:pStyle w:val="Heading2"/>
      </w:pPr>
      <w:r>
        <w:t>2.3 Modules détaillés</w:t>
      </w:r>
    </w:p>
    <w:p w14:paraId="5D062C20" w14:textId="77777777" w:rsidR="00BE3737" w:rsidRDefault="00000000">
      <w:pPr>
        <w:pStyle w:val="Heading3"/>
      </w:pPr>
      <w:r>
        <w:t>2.3.1 models.py — RateCurve</w:t>
      </w:r>
    </w:p>
    <w:p w14:paraId="50D7BE89" w14:textId="77777777" w:rsidR="00BE3737" w:rsidRDefault="00000000">
      <w:pPr>
        <w:spacing w:after="120"/>
      </w:pPr>
      <w:r>
        <w:t>Représente une courbe de taux zéro-coupon. Construite par interpolation linéaire ou par calibration Nelson-Siegel.</w:t>
      </w:r>
    </w:p>
    <w:p w14:paraId="7FB571B8" w14:textId="77777777" w:rsidR="00BE3737" w:rsidRDefault="00000000">
      <w:pPr>
        <w:spacing w:after="120"/>
      </w:pPr>
      <w:r>
        <w:t>Méthodes principales :</w:t>
      </w:r>
    </w:p>
    <w:p w14:paraId="6ED8ABE2" w14:textId="77777777" w:rsidR="00BE3737" w:rsidRDefault="00000000">
      <w:pPr>
        <w:pStyle w:val="ListParagraph"/>
        <w:numPr>
          <w:ilvl w:val="0"/>
          <w:numId w:val="2"/>
        </w:numPr>
        <w:spacing w:after="60"/>
      </w:pPr>
      <w:r>
        <w:t>zero_rate(T) — taux zéro-coupon continu à maturité T.</w:t>
      </w:r>
    </w:p>
    <w:p w14:paraId="0946E9AD" w14:textId="77777777" w:rsidR="00BE3737" w:rsidRDefault="00000000">
      <w:pPr>
        <w:pStyle w:val="ListParagraph"/>
        <w:numPr>
          <w:ilvl w:val="0"/>
          <w:numId w:val="2"/>
        </w:numPr>
        <w:spacing w:after="60"/>
      </w:pPr>
      <w:r>
        <w:t>discount_factor(T) — facteur d'actualisation P(0,T) = exp(−r(T)·T).</w:t>
      </w:r>
    </w:p>
    <w:p w14:paraId="007F4CF8" w14:textId="77777777" w:rsidR="00BE3737" w:rsidRDefault="00000000">
      <w:pPr>
        <w:pStyle w:val="ListParagraph"/>
        <w:numPr>
          <w:ilvl w:val="0"/>
          <w:numId w:val="2"/>
        </w:numPr>
        <w:spacing w:after="60"/>
      </w:pPr>
      <w:r>
        <w:t>forward_rate(T1,T2) — taux forward instantané entre T1 et T2.</w:t>
      </w:r>
    </w:p>
    <w:p w14:paraId="2EB885A2" w14:textId="77777777" w:rsidR="00BE3737" w:rsidRDefault="00000000">
      <w:pPr>
        <w:pStyle w:val="ListParagraph"/>
        <w:numPr>
          <w:ilvl w:val="0"/>
          <w:numId w:val="2"/>
        </w:numPr>
        <w:spacing w:after="60"/>
      </w:pPr>
      <w:r>
        <w:lastRenderedPageBreak/>
        <w:t>par_swap_rate(dates) — taux fixe pair d'un swap.</w:t>
      </w:r>
    </w:p>
    <w:p w14:paraId="77EB72E3" w14:textId="77777777" w:rsidR="00BE3737" w:rsidRDefault="00000000">
      <w:pPr>
        <w:pStyle w:val="ListParagraph"/>
        <w:numPr>
          <w:ilvl w:val="0"/>
          <w:numId w:val="2"/>
        </w:numPr>
        <w:spacing w:after="60"/>
      </w:pPr>
      <w:r>
        <w:t>Constructeurs : flat(), from_dict(), nelson_siegel().</w:t>
      </w:r>
    </w:p>
    <w:p w14:paraId="1EA36E68" w14:textId="77777777" w:rsidR="00BE3737" w:rsidRDefault="00000000">
      <w:pPr>
        <w:pStyle w:val="Heading3"/>
      </w:pPr>
      <w:r>
        <w:t>2.3.2 models.py — BlackScholes</w:t>
      </w:r>
    </w:p>
    <w:p w14:paraId="7ECF5848" w14:textId="77777777" w:rsidR="00BE3737" w:rsidRDefault="00000000">
      <w:pPr>
        <w:spacing w:after="120"/>
      </w:pPr>
      <w:r>
        <w:t>Classe statique fournissant le pricing analytique et tous les Greeks pour Call/Put européens, ainsi que la volatilité implicite par Newton-Raphson.</w:t>
      </w:r>
    </w:p>
    <w:p w14:paraId="737AAD73" w14:textId="77777777" w:rsidR="00BE3737" w:rsidRDefault="00000000">
      <w:pPr>
        <w:pStyle w:val="Heading3"/>
      </w:pPr>
      <w:r>
        <w:t>2.3.3 models.py — MonteCarlo</w:t>
      </w:r>
    </w:p>
    <w:p w14:paraId="445D192D" w14:textId="77777777" w:rsidR="00BE3737" w:rsidRDefault="00000000">
      <w:pPr>
        <w:spacing w:after="120"/>
      </w:pPr>
      <w:r>
        <w:t>Simulateur de trajectoires sous mouvement Brownien géométrique avec variates antithétiques pour réduction de variance. Méthodes simulate() et price(payoff_fn).</w:t>
      </w:r>
    </w:p>
    <w:p w14:paraId="429BABB0" w14:textId="77777777" w:rsidR="00BE3737" w:rsidRDefault="00000000">
      <w:pPr>
        <w:pStyle w:val="Heading3"/>
      </w:pPr>
      <w:r>
        <w:t>2.3.4 products.py — Hiérarchie BaseProduct</w:t>
      </w:r>
    </w:p>
    <w:p w14:paraId="69165EB2" w14:textId="77777777" w:rsidR="00BE3737" w:rsidRDefault="00000000">
      <w:pPr>
        <w:spacing w:after="120"/>
      </w:pPr>
      <w:r>
        <w:t>Toutes les classes héritent de BaseProduct (ABC) avec deux méthodes : price() obligatoire et greeks() optionnelle. Cela garantit une interface uniforme côté portefeuille (boucle générique de pricing/agrégation).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BE3737" w14:paraId="194D5064" w14:textId="77777777">
        <w:tblPrEx>
          <w:tblCellMar>
            <w:top w:w="0" w:type="dxa"/>
            <w:bottom w:w="0" w:type="dxa"/>
          </w:tblCellMar>
        </w:tblPrEx>
        <w:trPr>
          <w:tblHeader/>
        </w:trPr>
        <w:tc>
          <w:tcPr>
            <w:tcW w:w="24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1A3BB1C0" w14:textId="77777777" w:rsidR="00BE3737" w:rsidRDefault="00000000">
            <w:r>
              <w:rPr>
                <w:b/>
                <w:bCs/>
                <w:color w:val="FFFFFF"/>
              </w:rPr>
              <w:t>Classe</w:t>
            </w:r>
          </w:p>
        </w:tc>
        <w:tc>
          <w:tcPr>
            <w:tcW w:w="30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7F1ED97B" w14:textId="77777777" w:rsidR="00BE3737" w:rsidRDefault="00000000">
            <w:r>
              <w:rPr>
                <w:b/>
                <w:bCs/>
                <w:color w:val="FFFFFF"/>
              </w:rPr>
              <w:t>Modèle utilisé</w:t>
            </w:r>
          </w:p>
        </w:tc>
        <w:tc>
          <w:tcPr>
            <w:tcW w:w="396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5D8A2F81" w14:textId="77777777" w:rsidR="00BE3737" w:rsidRDefault="00000000">
            <w:r>
              <w:rPr>
                <w:b/>
                <w:bCs/>
                <w:color w:val="FFFFFF"/>
              </w:rPr>
              <w:t>Greeks calculés</w:t>
            </w:r>
          </w:p>
        </w:tc>
      </w:tr>
      <w:tr w:rsidR="00BE3737" w14:paraId="617B42F9"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611CEB7" w14:textId="77777777" w:rsidR="00BE3737" w:rsidRDefault="00000000">
            <w:r>
              <w:t>ZeroCouponBond</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43419C6" w14:textId="77777777" w:rsidR="00BE3737" w:rsidRDefault="00000000">
            <w:r>
              <w:t>Discount Factor</w:t>
            </w:r>
          </w:p>
        </w:tc>
        <w:tc>
          <w:tcPr>
            <w:tcW w:w="3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DCD8BDC" w14:textId="77777777" w:rsidR="00BE3737" w:rsidRDefault="00000000">
            <w:r>
              <w:t>DV01 (bump ±1 bp), Duration</w:t>
            </w:r>
          </w:p>
        </w:tc>
      </w:tr>
      <w:tr w:rsidR="00BE3737" w14:paraId="51C4E700"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50C5324F" w14:textId="77777777" w:rsidR="00BE3737" w:rsidRDefault="00000000">
            <w:r>
              <w:t>CouponBond</w:t>
            </w:r>
          </w:p>
        </w:tc>
        <w:tc>
          <w:tcPr>
            <w:tcW w:w="30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3827D119" w14:textId="77777777" w:rsidR="00BE3737" w:rsidRDefault="00000000">
            <w:r>
              <w:t>Cash-flows actualisés</w:t>
            </w:r>
          </w:p>
        </w:tc>
        <w:tc>
          <w:tcPr>
            <w:tcW w:w="39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6A8D8219" w14:textId="77777777" w:rsidR="00BE3737" w:rsidRDefault="00000000">
            <w:r>
              <w:t>DV01, Duration de Macaulay, YTM (bisection)</w:t>
            </w:r>
          </w:p>
        </w:tc>
      </w:tr>
      <w:tr w:rsidR="00BE3737" w14:paraId="76C2EC42"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9DED6C0" w14:textId="77777777" w:rsidR="00BE3737" w:rsidRDefault="00000000">
            <w:r>
              <w:t>InterestRateSwap</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4E13EDE" w14:textId="77777777" w:rsidR="00BE3737" w:rsidRDefault="00000000">
            <w:r>
              <w:t>PV float = N·(1−DF(T))</w:t>
            </w:r>
          </w:p>
        </w:tc>
        <w:tc>
          <w:tcPr>
            <w:tcW w:w="3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035B08E" w14:textId="77777777" w:rsidR="00BE3737" w:rsidRDefault="00000000">
            <w:r>
              <w:t>DV01, par-rate</w:t>
            </w:r>
          </w:p>
        </w:tc>
      </w:tr>
      <w:tr w:rsidR="00BE3737" w14:paraId="56171CAA"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2EEE946B" w14:textId="77777777" w:rsidR="00BE3737" w:rsidRDefault="00000000">
            <w:r>
              <w:t>BasisSwap</w:t>
            </w:r>
          </w:p>
        </w:tc>
        <w:tc>
          <w:tcPr>
            <w:tcW w:w="30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11C08AB1" w14:textId="77777777" w:rsidR="00BE3737" w:rsidRDefault="00000000">
            <w:r>
              <w:t>Forward rates par jambe</w:t>
            </w:r>
          </w:p>
        </w:tc>
        <w:tc>
          <w:tcPr>
            <w:tcW w:w="39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22955629" w14:textId="77777777" w:rsidR="00BE3737" w:rsidRDefault="00000000">
            <w:r>
              <w:t>—</w:t>
            </w:r>
          </w:p>
        </w:tc>
      </w:tr>
      <w:tr w:rsidR="00BE3737" w14:paraId="43547641"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FB38152" w14:textId="77777777" w:rsidR="00BE3737" w:rsidRDefault="00000000">
            <w:r>
              <w:t>EuropeanOption</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474FF48" w14:textId="77777777" w:rsidR="00BE3737" w:rsidRDefault="00000000">
            <w:r>
              <w:t>Black-Scholes</w:t>
            </w:r>
          </w:p>
        </w:tc>
        <w:tc>
          <w:tcPr>
            <w:tcW w:w="3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772347E" w14:textId="77777777" w:rsidR="00BE3737" w:rsidRDefault="00000000">
            <w:r>
              <w:t>Delta, Gamma, Vega, Theta, Rho</w:t>
            </w:r>
          </w:p>
        </w:tc>
      </w:tr>
      <w:tr w:rsidR="00BE3737" w14:paraId="53F26530"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1A496319" w14:textId="77777777" w:rsidR="00BE3737" w:rsidRDefault="00000000">
            <w:r>
              <w:t>BarrierOption</w:t>
            </w:r>
          </w:p>
        </w:tc>
        <w:tc>
          <w:tcPr>
            <w:tcW w:w="30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0C6B7480" w14:textId="77777777" w:rsidR="00BE3737" w:rsidRDefault="00000000">
            <w:r>
              <w:t>Monte Carlo</w:t>
            </w:r>
          </w:p>
        </w:tc>
        <w:tc>
          <w:tcPr>
            <w:tcW w:w="39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116111BE" w14:textId="77777777" w:rsidR="00BE3737" w:rsidRDefault="00000000">
            <w:r>
              <w:t>Delta, Gamma, Vega (différences finies)</w:t>
            </w:r>
          </w:p>
        </w:tc>
      </w:tr>
      <w:tr w:rsidR="00BE3737" w14:paraId="25351DC3"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520C100" w14:textId="77777777" w:rsidR="00BE3737" w:rsidRDefault="00000000">
            <w:r>
              <w:t>CallSpread/PutSpread</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498D952" w14:textId="77777777" w:rsidR="00BE3737" w:rsidRDefault="00000000">
            <w:r>
              <w:t>2 × EuropeanOption</w:t>
            </w:r>
          </w:p>
        </w:tc>
        <w:tc>
          <w:tcPr>
            <w:tcW w:w="3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6D5DABC" w14:textId="77777777" w:rsidR="00BE3737" w:rsidRDefault="00000000">
            <w:r>
              <w:t>Somme des Greeks unitaires</w:t>
            </w:r>
          </w:p>
        </w:tc>
      </w:tr>
      <w:tr w:rsidR="00BE3737" w14:paraId="2B152D64"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01C395EA" w14:textId="77777777" w:rsidR="00BE3737" w:rsidRDefault="00000000">
            <w:r>
              <w:t>Butterfly</w:t>
            </w:r>
          </w:p>
        </w:tc>
        <w:tc>
          <w:tcPr>
            <w:tcW w:w="30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475ADDD7" w14:textId="77777777" w:rsidR="00BE3737" w:rsidRDefault="00000000">
            <w:r>
              <w:t>3 × EuropeanOption</w:t>
            </w:r>
          </w:p>
        </w:tc>
        <w:tc>
          <w:tcPr>
            <w:tcW w:w="39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03FD64EB" w14:textId="77777777" w:rsidR="00BE3737" w:rsidRDefault="00000000">
            <w:r>
              <w:t>Somme des Greeks unitaires</w:t>
            </w:r>
          </w:p>
        </w:tc>
      </w:tr>
      <w:tr w:rsidR="00BE3737" w14:paraId="7031E7E1"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67B1AA3" w14:textId="77777777" w:rsidR="00BE3737" w:rsidRDefault="00000000">
            <w:r>
              <w:t>AutocallProduct</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BB9B9BB" w14:textId="77777777" w:rsidR="00BE3737" w:rsidRDefault="00000000">
            <w:r>
              <w:t>Monte Carlo + schedule</w:t>
            </w:r>
          </w:p>
        </w:tc>
        <w:tc>
          <w:tcPr>
            <w:tcW w:w="39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F16FE98" w14:textId="77777777" w:rsidR="00BE3737" w:rsidRDefault="00000000">
            <w:r>
              <w:t>Delta, Vega (bump &amp; reprice)</w:t>
            </w:r>
          </w:p>
        </w:tc>
      </w:tr>
      <w:tr w:rsidR="00BE3737" w14:paraId="5598A5E4" w14:textId="77777777">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45999AB3" w14:textId="77777777" w:rsidR="00BE3737" w:rsidRDefault="00000000">
            <w:r>
              <w:t>StructuredNote</w:t>
            </w:r>
          </w:p>
        </w:tc>
        <w:tc>
          <w:tcPr>
            <w:tcW w:w="30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30D09786" w14:textId="77777777" w:rsidR="00BE3737" w:rsidRDefault="00000000">
            <w:r>
              <w:t>Monte Carlo + payoff SSPA</w:t>
            </w:r>
          </w:p>
        </w:tc>
        <w:tc>
          <w:tcPr>
            <w:tcW w:w="39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4D51C8FE" w14:textId="77777777" w:rsidR="00BE3737" w:rsidRDefault="00000000">
            <w:r>
              <w:t>Delta, Gamma, Vega</w:t>
            </w:r>
          </w:p>
        </w:tc>
      </w:tr>
    </w:tbl>
    <w:p w14:paraId="5C211210" w14:textId="77777777" w:rsidR="00BE3737" w:rsidRDefault="00000000">
      <w:pPr>
        <w:pStyle w:val="Heading3"/>
      </w:pPr>
      <w:r>
        <w:t>2.3.5 portfolio.py</w:t>
      </w:r>
    </w:p>
    <w:p w14:paraId="7BBEE1C6" w14:textId="77777777" w:rsidR="00BE3737" w:rsidRDefault="00000000">
      <w:pPr>
        <w:spacing w:after="120"/>
      </w:pPr>
      <w:r>
        <w:t>Mappe le contenu d'Inventaire.xlsx (4 feuilles) vers des instances de produits. Date de valorisation fixée au 27 février 2026. Génère une DataFrame complète et une matrice de risque agrégée par pilier.</w:t>
      </w:r>
    </w:p>
    <w:p w14:paraId="64E873B2" w14:textId="77777777" w:rsidR="00BE3737" w:rsidRDefault="00000000">
      <w:pPr>
        <w:spacing w:after="120"/>
      </w:pPr>
      <w:r>
        <w:t>Piliers de maturité utilisés :</w:t>
      </w:r>
    </w:p>
    <w:p w14:paraId="44AB5CCA" w14:textId="77777777" w:rsidR="00BE3737" w:rsidRDefault="00000000">
      <w:pPr>
        <w:shd w:val="clear" w:color="auto" w:fill="F2F2F2"/>
        <w:spacing w:before="80" w:after="80"/>
      </w:pPr>
      <w:r>
        <w:rPr>
          <w:rFonts w:ascii="Consolas" w:eastAsia="Consolas" w:hAnsi="Consolas" w:cs="Consolas"/>
          <w:sz w:val="20"/>
          <w:szCs w:val="20"/>
        </w:rPr>
        <w:t>piliers = [0.25, 0.5, 1.0, 2.0, 3.0, 5.0, 7.0, 10.0]   # années</w:t>
      </w:r>
    </w:p>
    <w:p w14:paraId="7D138526" w14:textId="77777777" w:rsidR="00BE3737" w:rsidRDefault="00000000">
      <w:pPr>
        <w:pStyle w:val="Heading3"/>
      </w:pPr>
      <w:r>
        <w:t>2.3.6 app.py</w:t>
      </w:r>
    </w:p>
    <w:p w14:paraId="70E805DA" w14:textId="77777777" w:rsidR="00BE3737" w:rsidRDefault="00000000">
      <w:pPr>
        <w:spacing w:after="120"/>
      </w:pPr>
      <w:r>
        <w:t>Application Streamlit. Utilise @st.cache_data pour éviter le rechargement de la courbe et le re-pricing du portefeuille à chaque interaction. Trois pages exposées via st.sidebar.radio.</w:t>
      </w:r>
    </w:p>
    <w:p w14:paraId="10357090" w14:textId="77777777" w:rsidR="00BE3737" w:rsidRDefault="00000000">
      <w:pPr>
        <w:pStyle w:val="Heading2"/>
      </w:pPr>
      <w:r>
        <w:t>2.4 Caching et performance</w:t>
      </w:r>
    </w:p>
    <w:p w14:paraId="6D2BFB3C" w14:textId="77777777" w:rsidR="00BE3737" w:rsidRDefault="00000000">
      <w:pPr>
        <w:pStyle w:val="ListParagraph"/>
        <w:numPr>
          <w:ilvl w:val="0"/>
          <w:numId w:val="2"/>
        </w:numPr>
        <w:spacing w:after="60"/>
      </w:pPr>
      <w:r>
        <w:t>@st.cache_data sur load_market_data() et price_portfolio() pour éviter les recalculs.</w:t>
      </w:r>
    </w:p>
    <w:p w14:paraId="4B520C1B" w14:textId="77777777" w:rsidR="00BE3737" w:rsidRDefault="00000000">
      <w:pPr>
        <w:pStyle w:val="ListParagraph"/>
        <w:numPr>
          <w:ilvl w:val="0"/>
          <w:numId w:val="2"/>
        </w:numPr>
        <w:spacing w:after="60"/>
      </w:pPr>
      <w:r>
        <w:lastRenderedPageBreak/>
        <w:t>Monte Carlo : 30 000 trajectoires côté portefeuille, jusqu'à 50 000 en pricing unitaire.</w:t>
      </w:r>
    </w:p>
    <w:p w14:paraId="25A74373" w14:textId="77777777" w:rsidR="00BE3737" w:rsidRDefault="00000000">
      <w:pPr>
        <w:pStyle w:val="ListParagraph"/>
        <w:numPr>
          <w:ilvl w:val="0"/>
          <w:numId w:val="2"/>
        </w:numPr>
        <w:spacing w:after="60"/>
      </w:pPr>
      <w:r>
        <w:t>Variance reduction par variates antithétiques (Z, −Z).</w:t>
      </w:r>
    </w:p>
    <w:p w14:paraId="1CD34BE0" w14:textId="77777777" w:rsidR="00BE3737" w:rsidRDefault="00000000">
      <w:pPr>
        <w:pStyle w:val="ListParagraph"/>
        <w:numPr>
          <w:ilvl w:val="0"/>
          <w:numId w:val="2"/>
        </w:numPr>
        <w:spacing w:after="60"/>
      </w:pPr>
      <w:r>
        <w:t>Caching interne dans MonteCarlo._paths pour ré-utiliser une même simulation.</w:t>
      </w:r>
    </w:p>
    <w:p w14:paraId="71129395" w14:textId="77777777" w:rsidR="00BE3737" w:rsidRDefault="00000000">
      <w:pPr>
        <w:pStyle w:val="ListParagraph"/>
        <w:numPr>
          <w:ilvl w:val="0"/>
          <w:numId w:val="2"/>
        </w:numPr>
        <w:spacing w:after="60"/>
      </w:pPr>
      <w:r>
        <w:t>Seed fixée (42) : pricing reproductible.</w:t>
      </w:r>
    </w:p>
    <w:p w14:paraId="70B4B8B5" w14:textId="77777777" w:rsidR="00BE3737" w:rsidRDefault="00000000">
      <w:pPr>
        <w:pStyle w:val="Heading2"/>
      </w:pPr>
      <w:r>
        <w:t>2.5 Conventions et hypothèses</w:t>
      </w:r>
    </w:p>
    <w:p w14:paraId="601EE213" w14:textId="77777777" w:rsidR="00BE3737" w:rsidRDefault="00000000">
      <w:pPr>
        <w:pStyle w:val="ListParagraph"/>
        <w:numPr>
          <w:ilvl w:val="0"/>
          <w:numId w:val="2"/>
        </w:numPr>
        <w:spacing w:after="60"/>
      </w:pPr>
      <w:r>
        <w:t>Date de valorisation : 27/02/2026 (constante VALUATION_DATE).</w:t>
      </w:r>
    </w:p>
    <w:p w14:paraId="1BD3E984" w14:textId="77777777" w:rsidR="00BE3737" w:rsidRDefault="00000000">
      <w:pPr>
        <w:pStyle w:val="ListParagraph"/>
        <w:numPr>
          <w:ilvl w:val="0"/>
          <w:numId w:val="2"/>
        </w:numPr>
        <w:spacing w:after="60"/>
      </w:pPr>
      <w:r>
        <w:t>Convention de taux : composition continue.</w:t>
      </w:r>
    </w:p>
    <w:p w14:paraId="2BB23509" w14:textId="77777777" w:rsidR="00BE3737" w:rsidRDefault="00000000">
      <w:pPr>
        <w:pStyle w:val="ListParagraph"/>
        <w:numPr>
          <w:ilvl w:val="0"/>
          <w:numId w:val="2"/>
        </w:numPr>
        <w:spacing w:after="60"/>
      </w:pPr>
      <w:r>
        <w:t>Année de marché : 365.25 jours pour la conversion date→années ; 252 jours pour l'annualisation des vols.</w:t>
      </w:r>
    </w:p>
    <w:p w14:paraId="6EA96A11" w14:textId="77777777" w:rsidR="00BE3737" w:rsidRDefault="00000000">
      <w:pPr>
        <w:pStyle w:val="ListParagraph"/>
        <w:numPr>
          <w:ilvl w:val="0"/>
          <w:numId w:val="2"/>
        </w:numPr>
        <w:spacing w:after="60"/>
      </w:pPr>
      <w:r>
        <w:t>Vega normalisé pour 1 point de vol (÷100), Theta journalier (÷365), Rho pour 1 point de taux.</w:t>
      </w:r>
    </w:p>
    <w:p w14:paraId="7456F92C" w14:textId="77777777" w:rsidR="00BE3737" w:rsidRDefault="00000000">
      <w:pPr>
        <w:pStyle w:val="ListParagraph"/>
        <w:numPr>
          <w:ilvl w:val="0"/>
          <w:numId w:val="2"/>
        </w:numPr>
        <w:spacing w:after="60"/>
      </w:pPr>
      <w:r>
        <w:t>Sous-jacent unique : AAPL — un sous-jacent additionnel est testable via formulaire (Call ATM).</w:t>
      </w:r>
    </w:p>
    <w:p w14:paraId="47A1F582" w14:textId="77777777" w:rsidR="00BE3737" w:rsidRDefault="00000000">
      <w:pPr>
        <w:pStyle w:val="Heading2"/>
      </w:pPr>
      <w:r>
        <w:t>2.6 Inventaire portefeuille</w:t>
      </w:r>
    </w:p>
    <w:p w14:paraId="2B54650E" w14:textId="77777777" w:rsidR="00BE3737" w:rsidRDefault="00000000">
      <w:pPr>
        <w:spacing w:after="120"/>
      </w:pPr>
      <w:r>
        <w:t>Le fichier Inventaire.xlsx contient 4 feuilles correspondant aux 4 sous-portefeuilles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500"/>
        <w:gridCol w:w="3160"/>
      </w:tblGrid>
      <w:tr w:rsidR="00BE3737" w14:paraId="7F17AB5F" w14:textId="77777777">
        <w:tblPrEx>
          <w:tblCellMar>
            <w:top w:w="0" w:type="dxa"/>
            <w:bottom w:w="0" w:type="dxa"/>
          </w:tblCellMar>
        </w:tblPrEx>
        <w:trPr>
          <w:tblHeader/>
        </w:trPr>
        <w:tc>
          <w:tcPr>
            <w:tcW w:w="17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5FB581FB" w14:textId="77777777" w:rsidR="00BE3737" w:rsidRDefault="00000000">
            <w:r>
              <w:rPr>
                <w:b/>
                <w:bCs/>
                <w:color w:val="FFFFFF"/>
              </w:rPr>
              <w:t>Feuille</w:t>
            </w:r>
          </w:p>
        </w:tc>
        <w:tc>
          <w:tcPr>
            <w:tcW w:w="45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5148675A" w14:textId="77777777" w:rsidR="00BE3737" w:rsidRDefault="00000000">
            <w:r>
              <w:rPr>
                <w:b/>
                <w:bCs/>
                <w:color w:val="FFFFFF"/>
              </w:rPr>
              <w:t>Colonnes attendues</w:t>
            </w:r>
          </w:p>
        </w:tc>
        <w:tc>
          <w:tcPr>
            <w:tcW w:w="316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61B1DA7C" w14:textId="77777777" w:rsidR="00BE3737" w:rsidRDefault="00000000">
            <w:r>
              <w:rPr>
                <w:b/>
                <w:bCs/>
                <w:color w:val="FFFFFF"/>
              </w:rPr>
              <w:t>Mapping produit</w:t>
            </w:r>
          </w:p>
        </w:tc>
      </w:tr>
      <w:tr w:rsidR="00BE3737" w14:paraId="5A2FC4AE"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A166408" w14:textId="77777777" w:rsidR="00BE3737" w:rsidRDefault="00000000">
            <w:r>
              <w:t>Swap</w:t>
            </w:r>
          </w:p>
        </w:tc>
        <w:tc>
          <w:tcPr>
            <w:tcW w:w="4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8085ECC" w14:textId="77777777" w:rsidR="00BE3737" w:rsidRDefault="00000000">
            <w:r>
              <w:t>Nominal, Taux fixe, Fréquence fixe, Taux Variable 1/2, Maturité</w:t>
            </w:r>
          </w:p>
        </w:tc>
        <w:tc>
          <w:tcPr>
            <w:tcW w:w="31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429946C" w14:textId="77777777" w:rsidR="00BE3737" w:rsidRDefault="00000000">
            <w:r>
              <w:t>InterestRateSwap ou BasisSwap</w:t>
            </w:r>
          </w:p>
        </w:tc>
      </w:tr>
      <w:tr w:rsidR="00BE3737" w14:paraId="0A6206C2"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7599320E" w14:textId="77777777" w:rsidR="00BE3737" w:rsidRDefault="00000000">
            <w:r>
              <w:t>Options</w:t>
            </w:r>
          </w:p>
        </w:tc>
        <w:tc>
          <w:tcPr>
            <w:tcW w:w="45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1122440A" w14:textId="77777777" w:rsidR="00BE3737" w:rsidRDefault="00000000">
            <w:r>
              <w:t>Produit, Quantité, Strike 1/2/3, Type Barrière, Niveau Barrière, Maturité</w:t>
            </w:r>
          </w:p>
        </w:tc>
        <w:tc>
          <w:tcPr>
            <w:tcW w:w="31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6A98FE56" w14:textId="77777777" w:rsidR="00BE3737" w:rsidRDefault="00000000">
            <w:r>
              <w:t>Call/Put, Spreads, Butterfly, BarrierOption</w:t>
            </w:r>
          </w:p>
        </w:tc>
      </w:tr>
      <w:tr w:rsidR="00BE3737" w14:paraId="337F7EED"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DA9E7F6" w14:textId="77777777" w:rsidR="00BE3737" w:rsidRDefault="00000000">
            <w:r>
              <w:t>Autocall</w:t>
            </w:r>
          </w:p>
        </w:tc>
        <w:tc>
          <w:tcPr>
            <w:tcW w:w="4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A34BE02" w14:textId="77777777" w:rsidR="00BE3737" w:rsidRDefault="00000000">
            <w:r>
              <w:t>Schedule reconstruit côté code (bi-mensuel, recall décroissant)</w:t>
            </w:r>
          </w:p>
        </w:tc>
        <w:tc>
          <w:tcPr>
            <w:tcW w:w="31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46A0CF2" w14:textId="77777777" w:rsidR="00BE3737" w:rsidRDefault="00000000">
            <w:r>
              <w:t>AutocallProduct (cpn=8%, mat 2028-02)</w:t>
            </w:r>
          </w:p>
        </w:tc>
      </w:tr>
      <w:tr w:rsidR="00BE3737" w14:paraId="6F5D68B9" w14:textId="77777777">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3D3509DD" w14:textId="77777777" w:rsidR="00BE3737" w:rsidRDefault="00000000">
            <w:r>
              <w:t>Notes structurées</w:t>
            </w:r>
          </w:p>
        </w:tc>
        <w:tc>
          <w:tcPr>
            <w:tcW w:w="45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36C82CDE" w14:textId="77777777" w:rsidR="00BE3737" w:rsidRDefault="00000000">
            <w:r>
              <w:t>Code produit SSPA, Quantité, Maturité, Cap, Barrières, Participation</w:t>
            </w:r>
          </w:p>
        </w:tc>
        <w:tc>
          <w:tcPr>
            <w:tcW w:w="31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386E025D" w14:textId="77777777" w:rsidR="00BE3737" w:rsidRDefault="00000000">
            <w:r>
              <w:t>StructuredNote (1100/1130/1220/1320)</w:t>
            </w:r>
          </w:p>
        </w:tc>
      </w:tr>
    </w:tbl>
    <w:p w14:paraId="6D877139" w14:textId="77777777" w:rsidR="00BE3737" w:rsidRDefault="00000000">
      <w:pPr>
        <w:pStyle w:val="Heading2"/>
      </w:pPr>
      <w:r>
        <w:t>2.7 Limitations connues</w:t>
      </w:r>
    </w:p>
    <w:p w14:paraId="000F86D4" w14:textId="77777777" w:rsidR="00BE3737" w:rsidRDefault="00000000">
      <w:pPr>
        <w:pStyle w:val="ListParagraph"/>
        <w:numPr>
          <w:ilvl w:val="0"/>
          <w:numId w:val="2"/>
        </w:numPr>
        <w:spacing w:after="60"/>
      </w:pPr>
      <w:r>
        <w:t>Surface de volatilité réduite à une vol unique (vol historique 1Y) — pas de smile/skew implicite.</w:t>
      </w:r>
    </w:p>
    <w:p w14:paraId="6EB434E0" w14:textId="77777777" w:rsidR="00BE3737" w:rsidRDefault="00000000">
      <w:pPr>
        <w:pStyle w:val="ListParagraph"/>
        <w:numPr>
          <w:ilvl w:val="0"/>
          <w:numId w:val="2"/>
        </w:numPr>
        <w:spacing w:after="60"/>
      </w:pPr>
      <w:r>
        <w:t>Greeks Monte Carlo bruités sur petits bumps — précision limitée par le nombre de trajectoires.</w:t>
      </w:r>
    </w:p>
    <w:p w14:paraId="125D689F" w14:textId="77777777" w:rsidR="00BE3737" w:rsidRDefault="00000000">
      <w:pPr>
        <w:pStyle w:val="ListParagraph"/>
        <w:numPr>
          <w:ilvl w:val="0"/>
          <w:numId w:val="2"/>
        </w:numPr>
        <w:spacing w:after="60"/>
      </w:pPr>
      <w:r>
        <w:t>Sous-jacent unique en production (AAPL) ; multi-sous-jacent non géré dans l'agrégation.</w:t>
      </w:r>
    </w:p>
    <w:p w14:paraId="24834473" w14:textId="77777777" w:rsidR="00BE3737" w:rsidRDefault="00000000">
      <w:pPr>
        <w:pStyle w:val="ListParagraph"/>
        <w:numPr>
          <w:ilvl w:val="0"/>
          <w:numId w:val="2"/>
        </w:numPr>
        <w:spacing w:after="60"/>
      </w:pPr>
      <w:r>
        <w:t>Nelson-Siegel à 4 paramètres — moins flexible que Nelson-Siegel-Svensson (6 paramètres).</w:t>
      </w:r>
    </w:p>
    <w:p w14:paraId="5AE5BB74" w14:textId="77777777" w:rsidR="00BE3737" w:rsidRDefault="00000000">
      <w:pPr>
        <w:pStyle w:val="ListParagraph"/>
        <w:numPr>
          <w:ilvl w:val="0"/>
          <w:numId w:val="2"/>
        </w:numPr>
        <w:spacing w:after="60"/>
      </w:pPr>
      <w:r>
        <w:t>Pas de gestion explicite des dividendes discrets (utilisation d'un yield continu q).</w:t>
      </w:r>
    </w:p>
    <w:p w14:paraId="3A553C83" w14:textId="77777777" w:rsidR="00BE3737" w:rsidRDefault="00000000">
      <w:pPr>
        <w:pStyle w:val="ListParagraph"/>
        <w:numPr>
          <w:ilvl w:val="0"/>
          <w:numId w:val="2"/>
        </w:numPr>
        <w:spacing w:after="60"/>
      </w:pPr>
      <w:r>
        <w:t>Clé API FRED en clair dans data.py — devrait être déportée en variable d'environnement.</w:t>
      </w:r>
    </w:p>
    <w:p w14:paraId="72FF5297" w14:textId="77777777" w:rsidR="00BE3737" w:rsidRDefault="00000000">
      <w:pPr>
        <w:pStyle w:val="Heading1"/>
        <w:pageBreakBefore/>
      </w:pPr>
      <w:r>
        <w:lastRenderedPageBreak/>
        <w:t>3. Annexes</w:t>
      </w:r>
    </w:p>
    <w:p w14:paraId="4810655D" w14:textId="77777777" w:rsidR="00BE3737" w:rsidRDefault="00000000">
      <w:pPr>
        <w:pStyle w:val="Heading2"/>
      </w:pPr>
      <w:r>
        <w:t>3.1 Dépendances Python (requirements.txt)</w:t>
      </w:r>
    </w:p>
    <w:p w14:paraId="380D7A07" w14:textId="77777777" w:rsidR="00BE3737" w:rsidRDefault="00000000">
      <w:pPr>
        <w:pStyle w:val="ListParagraph"/>
        <w:numPr>
          <w:ilvl w:val="0"/>
          <w:numId w:val="2"/>
        </w:numPr>
        <w:spacing w:after="60"/>
      </w:pPr>
      <w:r>
        <w:t>streamlit</w:t>
      </w:r>
    </w:p>
    <w:p w14:paraId="780F1ED4" w14:textId="77777777" w:rsidR="00BE3737" w:rsidRDefault="00000000">
      <w:pPr>
        <w:pStyle w:val="ListParagraph"/>
        <w:numPr>
          <w:ilvl w:val="0"/>
          <w:numId w:val="2"/>
        </w:numPr>
        <w:spacing w:after="60"/>
      </w:pPr>
      <w:r>
        <w:t>numpy, scipy, pandas</w:t>
      </w:r>
    </w:p>
    <w:p w14:paraId="771EA55F" w14:textId="77777777" w:rsidR="00BE3737" w:rsidRDefault="00000000">
      <w:pPr>
        <w:pStyle w:val="ListParagraph"/>
        <w:numPr>
          <w:ilvl w:val="0"/>
          <w:numId w:val="2"/>
        </w:numPr>
        <w:spacing w:after="60"/>
      </w:pPr>
      <w:r>
        <w:t>plotly</w:t>
      </w:r>
    </w:p>
    <w:p w14:paraId="6DBB1F2D" w14:textId="77777777" w:rsidR="00BE3737" w:rsidRDefault="00000000">
      <w:pPr>
        <w:pStyle w:val="ListParagraph"/>
        <w:numPr>
          <w:ilvl w:val="0"/>
          <w:numId w:val="2"/>
        </w:numPr>
        <w:spacing w:after="60"/>
      </w:pPr>
      <w:r>
        <w:t>yfinance, requests</w:t>
      </w:r>
    </w:p>
    <w:p w14:paraId="3EA7F051" w14:textId="77777777" w:rsidR="00BE3737" w:rsidRDefault="00000000">
      <w:pPr>
        <w:pStyle w:val="ListParagraph"/>
        <w:numPr>
          <w:ilvl w:val="0"/>
          <w:numId w:val="2"/>
        </w:numPr>
        <w:spacing w:after="60"/>
      </w:pPr>
      <w:r>
        <w:t>openpyxl (lecture xlsx)</w:t>
      </w:r>
    </w:p>
    <w:p w14:paraId="4BBB2DB7" w14:textId="77777777" w:rsidR="00BE3737" w:rsidRDefault="00000000">
      <w:pPr>
        <w:pStyle w:val="Heading2"/>
      </w:pPr>
      <w:r>
        <w:t>3.2 Lancement</w:t>
      </w:r>
    </w:p>
    <w:p w14:paraId="66D59A99" w14:textId="77777777" w:rsidR="00BE3737" w:rsidRDefault="00000000">
      <w:pPr>
        <w:shd w:val="clear" w:color="auto" w:fill="F2F2F2"/>
        <w:spacing w:before="80" w:after="80"/>
      </w:pPr>
      <w:r>
        <w:rPr>
          <w:rFonts w:ascii="Consolas" w:eastAsia="Consolas" w:hAnsi="Consolas" w:cs="Consolas"/>
          <w:sz w:val="20"/>
          <w:szCs w:val="20"/>
        </w:rPr>
        <w:t>$ pip install -r requirements.txt</w:t>
      </w:r>
    </w:p>
    <w:p w14:paraId="2B98C69C" w14:textId="77777777" w:rsidR="00BE3737" w:rsidRDefault="00000000">
      <w:pPr>
        <w:shd w:val="clear" w:color="auto" w:fill="F2F2F2"/>
        <w:spacing w:before="80" w:after="80"/>
      </w:pPr>
      <w:r>
        <w:rPr>
          <w:rFonts w:ascii="Consolas" w:eastAsia="Consolas" w:hAnsi="Consolas" w:cs="Consolas"/>
          <w:sz w:val="20"/>
          <w:szCs w:val="20"/>
        </w:rPr>
        <w:t>$ streamlit run app.py</w:t>
      </w:r>
    </w:p>
    <w:p w14:paraId="1F081F26" w14:textId="77777777" w:rsidR="00BE3737" w:rsidRDefault="00000000">
      <w:pPr>
        <w:pStyle w:val="Heading2"/>
      </w:pPr>
      <w:r>
        <w:t>3.3 Glossaire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BE3737" w14:paraId="3CB234D0" w14:textId="77777777">
        <w:tblPrEx>
          <w:tblCellMar>
            <w:top w:w="0" w:type="dxa"/>
            <w:bottom w:w="0" w:type="dxa"/>
          </w:tblCellMar>
        </w:tblPrEx>
        <w:trPr>
          <w:tblHeader/>
        </w:trPr>
        <w:tc>
          <w:tcPr>
            <w:tcW w:w="160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159FAB6E" w14:textId="77777777" w:rsidR="00BE3737" w:rsidRDefault="00000000">
            <w:r>
              <w:rPr>
                <w:b/>
                <w:bCs/>
                <w:color w:val="FFFFFF"/>
              </w:rPr>
              <w:t>Terme</w:t>
            </w:r>
          </w:p>
        </w:tc>
        <w:tc>
          <w:tcPr>
            <w:tcW w:w="7760" w:type="dxa"/>
            <w:tcBorders>
              <w:top w:val="single" w:sz="6" w:space="0" w:color="CCCCCC"/>
              <w:left w:val="single" w:sz="6" w:space="0" w:color="CCCCCC"/>
              <w:bottom w:val="single" w:sz="6" w:space="0" w:color="CCCCCC"/>
              <w:right w:val="single" w:sz="6" w:space="0" w:color="CCCCCC"/>
            </w:tcBorders>
            <w:shd w:val="clear" w:color="auto" w:fill="1F4E79"/>
            <w:tcMar>
              <w:top w:w="80" w:type="dxa"/>
              <w:left w:w="120" w:type="dxa"/>
              <w:bottom w:w="80" w:type="dxa"/>
              <w:right w:w="120" w:type="dxa"/>
            </w:tcMar>
          </w:tcPr>
          <w:p w14:paraId="29805E66" w14:textId="77777777" w:rsidR="00BE3737" w:rsidRDefault="00000000">
            <w:r>
              <w:rPr>
                <w:b/>
                <w:bCs/>
                <w:color w:val="FFFFFF"/>
              </w:rPr>
              <w:t>Définition</w:t>
            </w:r>
          </w:p>
        </w:tc>
      </w:tr>
      <w:tr w:rsidR="00BE3737" w14:paraId="2B7699BC"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BA0ED86" w14:textId="77777777" w:rsidR="00BE3737" w:rsidRDefault="00000000">
            <w:r>
              <w:t>BS</w:t>
            </w:r>
          </w:p>
        </w:tc>
        <w:tc>
          <w:tcPr>
            <w:tcW w:w="7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7C4FEFB" w14:textId="77777777" w:rsidR="00BE3737" w:rsidRDefault="00000000">
            <w:r>
              <w:t>Black-Scholes — modèle analytique pour options européennes</w:t>
            </w:r>
          </w:p>
        </w:tc>
      </w:tr>
      <w:tr w:rsidR="00BE3737" w14:paraId="75B60D36"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7FF47DC3" w14:textId="77777777" w:rsidR="00BE3737" w:rsidRDefault="00000000">
            <w:r>
              <w:t>GBM</w:t>
            </w:r>
          </w:p>
        </w:tc>
        <w:tc>
          <w:tcPr>
            <w:tcW w:w="77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61899215" w14:textId="77777777" w:rsidR="00BE3737" w:rsidRDefault="00000000">
            <w:r>
              <w:t>Geometric Brownian Motion — dynamique sous-jacente du modèle BS</w:t>
            </w:r>
          </w:p>
        </w:tc>
      </w:tr>
      <w:tr w:rsidR="00BE3737" w14:paraId="6CF0D514"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425CBCC" w14:textId="77777777" w:rsidR="00BE3737" w:rsidRDefault="00000000">
            <w:r>
              <w:t>DV01</w:t>
            </w:r>
          </w:p>
        </w:tc>
        <w:tc>
          <w:tcPr>
            <w:tcW w:w="7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90842A1" w14:textId="77777777" w:rsidR="00BE3737" w:rsidRDefault="00000000">
            <w:r>
              <w:t>Dollar Value of 1 basis point — sensibilité au taux pour ±1 bp</w:t>
            </w:r>
          </w:p>
        </w:tc>
      </w:tr>
      <w:tr w:rsidR="00BE3737" w14:paraId="27B3DCA2"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6E2B621D" w14:textId="77777777" w:rsidR="00BE3737" w:rsidRDefault="00000000">
            <w:r>
              <w:t>YTM</w:t>
            </w:r>
          </w:p>
        </w:tc>
        <w:tc>
          <w:tcPr>
            <w:tcW w:w="77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115FEA80" w14:textId="77777777" w:rsidR="00BE3737" w:rsidRDefault="00000000">
            <w:r>
              <w:t>Yield to Maturity — rendement actuariel à maturité</w:t>
            </w:r>
          </w:p>
        </w:tc>
      </w:tr>
      <w:tr w:rsidR="00BE3737" w14:paraId="02A34B9E"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A240C2B" w14:textId="77777777" w:rsidR="00BE3737" w:rsidRDefault="00000000">
            <w:r>
              <w:t>KO/KI</w:t>
            </w:r>
          </w:p>
        </w:tc>
        <w:tc>
          <w:tcPr>
            <w:tcW w:w="7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3F394E2" w14:textId="77777777" w:rsidR="00BE3737" w:rsidRDefault="00000000">
            <w:r>
              <w:t>Knock-Out / Knock-In — désactivation/activation par franchissement de barrière</w:t>
            </w:r>
          </w:p>
        </w:tc>
      </w:tr>
      <w:tr w:rsidR="00BE3737" w14:paraId="408FF387"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4D9891A3" w14:textId="77777777" w:rsidR="00BE3737" w:rsidRDefault="00000000">
            <w:r>
              <w:t>SSPA</w:t>
            </w:r>
          </w:p>
        </w:tc>
        <w:tc>
          <w:tcPr>
            <w:tcW w:w="77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7117FE9E" w14:textId="77777777" w:rsidR="00BE3737" w:rsidRDefault="00000000">
            <w:r>
              <w:t>Swiss Structured Products Association — classification standard des produits structurés</w:t>
            </w:r>
          </w:p>
        </w:tc>
      </w:tr>
      <w:tr w:rsidR="00BE3737" w14:paraId="0BEEFD69"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D7E4CBE" w14:textId="77777777" w:rsidR="00BE3737" w:rsidRDefault="00000000">
            <w:r>
              <w:t>FRED</w:t>
            </w:r>
          </w:p>
        </w:tc>
        <w:tc>
          <w:tcPr>
            <w:tcW w:w="77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15318E6" w14:textId="77777777" w:rsidR="00BE3737" w:rsidRDefault="00000000">
            <w:r>
              <w:t>Federal Reserve Economic Data — base de données publique de la Fed de St-Louis</w:t>
            </w:r>
          </w:p>
        </w:tc>
      </w:tr>
      <w:tr w:rsidR="00BE3737" w14:paraId="3BBC3221" w14:textId="77777777">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6A7C4E0E" w14:textId="77777777" w:rsidR="00BE3737" w:rsidRDefault="00000000">
            <w:r>
              <w:t>Nelson-Siegel</w:t>
            </w:r>
          </w:p>
        </w:tc>
        <w:tc>
          <w:tcPr>
            <w:tcW w:w="7760" w:type="dxa"/>
            <w:tcBorders>
              <w:top w:val="single" w:sz="6" w:space="0" w:color="CCCCCC"/>
              <w:left w:val="single" w:sz="6" w:space="0" w:color="CCCCCC"/>
              <w:bottom w:val="single" w:sz="6" w:space="0" w:color="CCCCCC"/>
              <w:right w:val="single" w:sz="6" w:space="0" w:color="CCCCCC"/>
            </w:tcBorders>
            <w:shd w:val="clear" w:color="auto" w:fill="F4F7FB"/>
            <w:tcMar>
              <w:top w:w="80" w:type="dxa"/>
              <w:left w:w="120" w:type="dxa"/>
              <w:bottom w:w="80" w:type="dxa"/>
              <w:right w:w="120" w:type="dxa"/>
            </w:tcMar>
          </w:tcPr>
          <w:p w14:paraId="3DCB4FAB" w14:textId="77777777" w:rsidR="00BE3737" w:rsidRDefault="00000000">
            <w:r>
              <w:t>Forme paramétrique standard de la courbe des taux</w:t>
            </w:r>
          </w:p>
        </w:tc>
      </w:tr>
    </w:tbl>
    <w:p w14:paraId="3DDC021E" w14:textId="77777777" w:rsidR="00465BC6" w:rsidRDefault="00465BC6"/>
    <w:sectPr w:rsidR="00465BC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9F72B" w14:textId="77777777" w:rsidR="00465BC6" w:rsidRDefault="00465BC6">
      <w:r>
        <w:separator/>
      </w:r>
    </w:p>
  </w:endnote>
  <w:endnote w:type="continuationSeparator" w:id="0">
    <w:p w14:paraId="2D4078A1" w14:textId="77777777" w:rsidR="00465BC6" w:rsidRDefault="00465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AC19" w14:textId="77777777" w:rsidR="00BE3737"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36471">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63647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DDAFA" w14:textId="77777777" w:rsidR="00465BC6" w:rsidRDefault="00465BC6">
      <w:r>
        <w:separator/>
      </w:r>
    </w:p>
  </w:footnote>
  <w:footnote w:type="continuationSeparator" w:id="0">
    <w:p w14:paraId="347BEE03" w14:textId="77777777" w:rsidR="00465BC6" w:rsidRDefault="00465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B19E5" w14:textId="77777777" w:rsidR="00BE3737" w:rsidRDefault="00000000">
    <w:pPr>
      <w:jc w:val="right"/>
    </w:pPr>
    <w:r>
      <w:rPr>
        <w:i/>
        <w:iCs/>
        <w:color w:val="888888"/>
        <w:sz w:val="18"/>
        <w:szCs w:val="18"/>
      </w:rPr>
      <w:t>Pricer Produits Structurés –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B3AC2"/>
    <w:multiLevelType w:val="hybridMultilevel"/>
    <w:tmpl w:val="6450EC7A"/>
    <w:lvl w:ilvl="0" w:tplc="ACD260A2">
      <w:start w:val="1"/>
      <w:numFmt w:val="bullet"/>
      <w:lvlText w:val="●"/>
      <w:lvlJc w:val="left"/>
      <w:pPr>
        <w:ind w:left="720" w:hanging="360"/>
      </w:pPr>
    </w:lvl>
    <w:lvl w:ilvl="1" w:tplc="B4ACB172">
      <w:start w:val="1"/>
      <w:numFmt w:val="bullet"/>
      <w:lvlText w:val="○"/>
      <w:lvlJc w:val="left"/>
      <w:pPr>
        <w:ind w:left="1440" w:hanging="360"/>
      </w:pPr>
    </w:lvl>
    <w:lvl w:ilvl="2" w:tplc="E0E2F556">
      <w:start w:val="1"/>
      <w:numFmt w:val="bullet"/>
      <w:lvlText w:val="■"/>
      <w:lvlJc w:val="left"/>
      <w:pPr>
        <w:ind w:left="2160" w:hanging="360"/>
      </w:pPr>
    </w:lvl>
    <w:lvl w:ilvl="3" w:tplc="758038E8">
      <w:start w:val="1"/>
      <w:numFmt w:val="bullet"/>
      <w:lvlText w:val="●"/>
      <w:lvlJc w:val="left"/>
      <w:pPr>
        <w:ind w:left="2880" w:hanging="360"/>
      </w:pPr>
    </w:lvl>
    <w:lvl w:ilvl="4" w:tplc="91BA2E0E">
      <w:start w:val="1"/>
      <w:numFmt w:val="bullet"/>
      <w:lvlText w:val="○"/>
      <w:lvlJc w:val="left"/>
      <w:pPr>
        <w:ind w:left="3600" w:hanging="360"/>
      </w:pPr>
    </w:lvl>
    <w:lvl w:ilvl="5" w:tplc="4E3CA9A8">
      <w:start w:val="1"/>
      <w:numFmt w:val="bullet"/>
      <w:lvlText w:val="■"/>
      <w:lvlJc w:val="left"/>
      <w:pPr>
        <w:ind w:left="4320" w:hanging="360"/>
      </w:pPr>
    </w:lvl>
    <w:lvl w:ilvl="6" w:tplc="FF26E748">
      <w:start w:val="1"/>
      <w:numFmt w:val="bullet"/>
      <w:lvlText w:val="●"/>
      <w:lvlJc w:val="left"/>
      <w:pPr>
        <w:ind w:left="5040" w:hanging="360"/>
      </w:pPr>
    </w:lvl>
    <w:lvl w:ilvl="7" w:tplc="6DBA0F4C">
      <w:start w:val="1"/>
      <w:numFmt w:val="bullet"/>
      <w:lvlText w:val="●"/>
      <w:lvlJc w:val="left"/>
      <w:pPr>
        <w:ind w:left="5760" w:hanging="360"/>
      </w:pPr>
    </w:lvl>
    <w:lvl w:ilvl="8" w:tplc="3844D3BE">
      <w:start w:val="1"/>
      <w:numFmt w:val="bullet"/>
      <w:lvlText w:val="●"/>
      <w:lvlJc w:val="left"/>
      <w:pPr>
        <w:ind w:left="6480" w:hanging="360"/>
      </w:pPr>
    </w:lvl>
  </w:abstractNum>
  <w:abstractNum w:abstractNumId="1" w15:restartNumberingAfterBreak="0">
    <w:nsid w:val="34C40575"/>
    <w:multiLevelType w:val="hybridMultilevel"/>
    <w:tmpl w:val="044420D6"/>
    <w:lvl w:ilvl="0" w:tplc="3C70FBB6">
      <w:start w:val="1"/>
      <w:numFmt w:val="bullet"/>
      <w:lvlText w:val="•"/>
      <w:lvlJc w:val="left"/>
      <w:pPr>
        <w:ind w:left="720" w:hanging="360"/>
      </w:pPr>
    </w:lvl>
    <w:lvl w:ilvl="1" w:tplc="3CF84166">
      <w:numFmt w:val="decimal"/>
      <w:lvlText w:val=""/>
      <w:lvlJc w:val="left"/>
    </w:lvl>
    <w:lvl w:ilvl="2" w:tplc="798EB888">
      <w:numFmt w:val="decimal"/>
      <w:lvlText w:val=""/>
      <w:lvlJc w:val="left"/>
    </w:lvl>
    <w:lvl w:ilvl="3" w:tplc="C7280558">
      <w:numFmt w:val="decimal"/>
      <w:lvlText w:val=""/>
      <w:lvlJc w:val="left"/>
    </w:lvl>
    <w:lvl w:ilvl="4" w:tplc="738E987C">
      <w:numFmt w:val="decimal"/>
      <w:lvlText w:val=""/>
      <w:lvlJc w:val="left"/>
    </w:lvl>
    <w:lvl w:ilvl="5" w:tplc="4BCC5732">
      <w:numFmt w:val="decimal"/>
      <w:lvlText w:val=""/>
      <w:lvlJc w:val="left"/>
    </w:lvl>
    <w:lvl w:ilvl="6" w:tplc="9E84AE14">
      <w:numFmt w:val="decimal"/>
      <w:lvlText w:val=""/>
      <w:lvlJc w:val="left"/>
    </w:lvl>
    <w:lvl w:ilvl="7" w:tplc="DAB00F3A">
      <w:numFmt w:val="decimal"/>
      <w:lvlText w:val=""/>
      <w:lvlJc w:val="left"/>
    </w:lvl>
    <w:lvl w:ilvl="8" w:tplc="AB0A19BA">
      <w:numFmt w:val="decimal"/>
      <w:lvlText w:val=""/>
      <w:lvlJc w:val="left"/>
    </w:lvl>
  </w:abstractNum>
  <w:abstractNum w:abstractNumId="2" w15:restartNumberingAfterBreak="0">
    <w:nsid w:val="3B281F25"/>
    <w:multiLevelType w:val="hybridMultilevel"/>
    <w:tmpl w:val="080639A8"/>
    <w:lvl w:ilvl="0" w:tplc="35485ABC">
      <w:start w:val="1"/>
      <w:numFmt w:val="decimal"/>
      <w:lvlText w:val="%1."/>
      <w:lvlJc w:val="left"/>
      <w:pPr>
        <w:ind w:left="720" w:hanging="360"/>
      </w:pPr>
    </w:lvl>
    <w:lvl w:ilvl="1" w:tplc="55B20100">
      <w:numFmt w:val="decimal"/>
      <w:lvlText w:val=""/>
      <w:lvlJc w:val="left"/>
    </w:lvl>
    <w:lvl w:ilvl="2" w:tplc="C264FEB8">
      <w:numFmt w:val="decimal"/>
      <w:lvlText w:val=""/>
      <w:lvlJc w:val="left"/>
    </w:lvl>
    <w:lvl w:ilvl="3" w:tplc="73981976">
      <w:numFmt w:val="decimal"/>
      <w:lvlText w:val=""/>
      <w:lvlJc w:val="left"/>
    </w:lvl>
    <w:lvl w:ilvl="4" w:tplc="12E43060">
      <w:numFmt w:val="decimal"/>
      <w:lvlText w:val=""/>
      <w:lvlJc w:val="left"/>
    </w:lvl>
    <w:lvl w:ilvl="5" w:tplc="2F60EF3A">
      <w:numFmt w:val="decimal"/>
      <w:lvlText w:val=""/>
      <w:lvlJc w:val="left"/>
    </w:lvl>
    <w:lvl w:ilvl="6" w:tplc="03AA0772">
      <w:numFmt w:val="decimal"/>
      <w:lvlText w:val=""/>
      <w:lvlJc w:val="left"/>
    </w:lvl>
    <w:lvl w:ilvl="7" w:tplc="0450E2F2">
      <w:numFmt w:val="decimal"/>
      <w:lvlText w:val=""/>
      <w:lvlJc w:val="left"/>
    </w:lvl>
    <w:lvl w:ilvl="8" w:tplc="EFF06D8A">
      <w:numFmt w:val="decimal"/>
      <w:lvlText w:val=""/>
      <w:lvlJc w:val="left"/>
    </w:lvl>
  </w:abstractNum>
  <w:num w:numId="1" w16cid:durableId="793518755">
    <w:abstractNumId w:val="0"/>
    <w:lvlOverride w:ilvl="0">
      <w:startOverride w:val="1"/>
    </w:lvlOverride>
  </w:num>
  <w:num w:numId="2" w16cid:durableId="1706058506">
    <w:abstractNumId w:val="1"/>
    <w:lvlOverride w:ilvl="0">
      <w:startOverride w:val="1"/>
    </w:lvlOverride>
  </w:num>
  <w:num w:numId="3" w16cid:durableId="17816074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737"/>
    <w:rsid w:val="00251BD6"/>
    <w:rsid w:val="00465BC6"/>
    <w:rsid w:val="00636471"/>
    <w:rsid w:val="00BE3737"/>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4813B191"/>
  <w15:docId w15:val="{B372DF9B-87CE-0C49-9178-A0C0921A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4B5"/>
      <w:sz w:val="28"/>
      <w:szCs w:val="28"/>
    </w:rPr>
  </w:style>
  <w:style w:type="paragraph" w:styleId="Heading3">
    <w:name w:val="heading 3"/>
    <w:uiPriority w:val="9"/>
    <w:unhideWhenUsed/>
    <w:qFormat/>
    <w:pPr>
      <w:spacing w:before="20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1588</Words>
  <Characters>9057</Characters>
  <Application>Microsoft Office Word</Application>
  <DocSecurity>0</DocSecurity>
  <Lines>75</Lines>
  <Paragraphs>21</Paragraphs>
  <ScaleCrop>false</ScaleCrop>
  <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Pricer Produits Structurés</dc:title>
  <dc:creator>Thomas</dc:creator>
  <cp:lastModifiedBy>BETTON Thomas</cp:lastModifiedBy>
  <cp:revision>2</cp:revision>
  <dcterms:created xsi:type="dcterms:W3CDTF">2026-04-26T08:17:00Z</dcterms:created>
  <dcterms:modified xsi:type="dcterms:W3CDTF">2026-04-26T08:28:00Z</dcterms:modified>
</cp:coreProperties>
</file>