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Impact of Digital Sovereignty on Global Governance</w:t>
      </w:r>
    </w:p>
    <w:p>
      <w:r>
        <w:t>Chapter 1: Introduction</w:t>
      </w:r>
    </w:p>
    <w:p>
      <w:r>
        <w:t>The contemporary geopolitical landscape is increasingly characterised by the emergence of digital sovereignty as a critical determinant of state power and international relations. This thesis investigates the multifaceted implications of digital sovereignty for global governance frameworks, examining how nation-states navigate the tension between technological interdependence and territorial control in the digital age. The research contends that traditional Westphalian conceptions of sovereignty are fundamentally challenged by the deterritorialised nature of digital infrastructure, necessitating a reconceptualisation of governance mechanisms at both national and supranational levels.</w:t>
      </w:r>
    </w:p>
    <w:p>
      <w:r>
        <w:t>The significance of this inquiry cannot be overstated. As computational systems become increasingly embedded within critical infrastructure, economic processes, and social institutions, questions of control, jurisdiction, and accountability assume unprecedented importance. The European Union's General Data Protection Regulation, China's cybersecurity legislation, and the United States' approach to platform governance represent divergent responses to these challenges, each reflecting particular ideological commitments and strategic interests. Understanding these divergences requires a theoretical framework capable of accounting for the complex interplay between technological affordances, institutional path dependencies, and normative contestation.</w:t>
      </w:r>
    </w:p>
    <w:p>
      <w:r>
        <w:t>This research addresses a notable lacuna in the existing scholarship. While considerable attention has been devoted to the technical dimensions of internet governance and the political economy of digital platforms, relatively few studies have systematically examined how digital sovereignty claims interact with established international law principles and multilateral institutional arrangements. The thesis therefore contributes to ongoing debates within International Relations theory regarding the transformation of state authority in conditions of globalisation and technological change.</w:t>
      </w:r>
    </w:p>
    <w:p>
      <w:r>
        <w:t>The research questions guiding this investigation are threefold. First, how do states articulate and operationalise claims to digital sovereignty, and what variations exist across different political systems? Second, what are the implications of digital sovereignty assertions for existing global governance regimes, particularly those governing trade, human rights, and security? Third, what theoretical resources are required to adequately conceptualise the relationship between digital sovereignty and legitimate authority in the twenty-first century?</w:t>
      </w:r>
    </w:p>
    <w:p>
      <w:r>
        <w:t>Methodologically, this thesis adopts an interpretivist approach, employing comparative case study analysis supplemented by discourse analysis of policy documents and elite interviews. The selection of cases—the European Union, the People's Republic of China, and the United States—reflects the diversity of approaches to digital governance among major powers whilst maintaining analytical tractability. The epistemological orientation acknowledges that social phenomena are constituted through intersubjective meaning-making processes, rendering purely positivist approaches insufficient for capturing the normative dimensions of sovereignty contestation.</w:t>
      </w:r>
    </w:p>
    <w:p>
      <w:r>
        <w:t>The thesis is structured as follows. Chapter Two provides a comprehensive review of the relevant literature, situating the research within broader theoretical debates concerning sovereignty, governance, and technology. Chapter Three elaborates the methodological framework, justifying the research design and discussing limitations. Subsequent chapters present empirical findings from each case study, followed by a comparative analysis identifying patterns and divergences. The concluding chapter synthesises findings, articulates theoretical contributions, and identifies avenues for future research.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