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Digital Sovereignty in Scholarly Discourse</w:t>
      </w:r>
    </w:p>
    <w:p>
      <w:r>
        <w:t>Chapter 2: Literature Review</w:t>
      </w:r>
    </w:p>
    <w:p>
      <w:r>
        <w:t>The concept of digital sovereignty has generated considerable scholarly attention in recent years, although consensus regarding its precise meaning and implications remains elusive. This chapter critically examines the existing literature, identifying key theoretical perspectives and empirical contributions whilst highlighting significant gaps that this thesis seeks to address.</w:t>
      </w:r>
    </w:p>
    <w:p>
      <w:r>
        <w:t>Early scholarship on internet governance tended to emphasise the inherently transnational character of digital networks, suggesting that cyberspace would fundamentally undermine traditional state authority (Barlow, 1996; Johnson and Post, 1996). These techno-utopian perspectives, whilst influential, have been extensively critiqued for their technological determinism and inadequate attention to political economy (Mueller, 2010; DeNardis, 2014). More recent work has demonstrated that states possess considerable capacity to shape digital spaces through regulatory intervention, infrastructure investment, and surveillance capabilities (Deibert et al., 2008; Goldsmith and Wu, 2006).</w:t>
      </w:r>
    </w:p>
    <w:p>
      <w:r>
        <w:t>The literature on sovereignty itself has undergone significant evolution. Classical formulations emphasising territorial exclusivity and supreme authority (Bodin, 1576; Hobbes, 1651) have been supplemented by constructivist accounts highlighting sovereignty's socially constituted character (Biersteker and Weber, 1996; Krasner, 1999). Arguably, these theoretical developments provide essential resources for understanding how sovereignty claims are articulated and contested in the digital domain. However, relatively few scholars have systematically applied these insights to contemporary digital governance debates.</w:t>
      </w:r>
    </w:p>
    <w:p>
      <w:r>
        <w:t>Several studies have examined specific manifestations of digital sovereignty. Pohle and Thiel (2020) suggest that the concept serves multiple functions, operating simultaneously as a descriptive category, normative aspiration, and political strategy. Their analysis indicates that digital sovereignty discourse varies significantly across contexts, reflecting different institutional configurations and ideological commitments. Similarly, Couture and Toupin (2019) identify multiple 'layers' of digital sovereignty, ranging from infrastructure control to data localisation requirements.</w:t>
      </w:r>
    </w:p>
    <w:p>
      <w:r>
        <w:t>The relationship between digital sovereignty and human rights has attracted particular attention. Some scholars contend that sovereignty claims frequently serve to justify restrictions on online expression and association (MacKinnon, 2012; Deibert, 2013). Others maintain that sovereignty assertions may protect citizens from foreign surveillance and commercial exploitation (Musiani et al., 2016). This tension appears to reflect deeper disagreements regarding the appropriate balance between collective self-determination and individual liberties in digital contexts.</w:t>
      </w:r>
    </w:p>
    <w:p>
      <w:r>
        <w:t>Empirical research on digital governance regimes has yielded important insights. Comparative studies suggest that regulatory approaches cluster into distinct 'models' reflecting underlying political-economic configurations (Bradford, 2020; Farrell and Newman, 2019). The European Union's emphasis on rights-based regulation, China's prioritisation of state control, and the United States' market-oriented approach represent paradigmatic examples. Nevertheless, these typologies may oversimplify the complexity of actual governance arrangements.</w:t>
      </w:r>
    </w:p>
    <w:p>
      <w:r>
        <w:t>Critical perspectives have highlighted the power asymmetries embedded within global digital infrastructure. Scholars working within political economy traditions emphasise how platform corporations and dominant states shape the technical architecture of the internet in ways that constrain the autonomy of less powerful actors (Couldry and Mejias, 2019; Srnicek, 2017). These structural dimensions of digital governance warrant further investigation.</w:t>
      </w:r>
    </w:p>
    <w:p>
      <w:r>
        <w:t>In summary, while the existing literature provides valuable theoretical and empirical resources, significant questions remain inadequately addressed. This thesis contributes to filling these gaps through systematic comparative analysis of digital sovereignty practices across major powers.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