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1: Introduction</w:t>
      </w:r>
    </w:p>
    <w:p>
      <w:pPr>
        <w:pStyle w:val="Heading2"/>
      </w:pPr>
      <w:r>
        <w:t>The Digital Panopticon in Urban Governance</w:t>
      </w:r>
    </w:p>
    <w:p>
      <w:pPr>
        <w:spacing w:after="240"/>
        <w:ind w:firstLine="720"/>
      </w:pPr>
      <w:r>
        <w:t>The proliferation of digital surveillance technologies within contemporary urban environments arguably represents one of the most significant transformations in the relationship between state apparatus and citizen subjectivity. This thesis contends that the emergence of what may be termed the 'digital panopticon' fundamentally reconfigures the modalities through which governmental power operates, particularly within the context of smart city initiatives. While scholars have extensively examined the implications of surveillance capitalism in commercial contexts, there appears to be a relative paucity of critical engagement with the ways in which municipal governance has appropriated and adapted these technological affordances for ostensibly public purposes.</w:t>
      </w:r>
    </w:p>
    <w:p>
      <w:pPr>
        <w:spacing w:after="240"/>
        <w:ind w:firstLine="720"/>
      </w:pPr>
      <w:r>
        <w:t>The conceptual framework underpinning this investigation draws substantially upon Foucauldian analytics of power, particularly the notion of disciplinary mechanisms that operate through visibility and normalisation. However, it would seem reductive to simply transpose Bentham's architectural metaphor onto digital infrastructures without attending to the qualitative differences that computational processing introduces. The capacity for algorithmic analysis of population-level data potentially enables forms of predictive governance that exceed the temporal constraints of traditional panoptic observation. Nevertheless, one might reasonably question whether such technological capabilities necessarily translate into effective governmental control, or whether they may paradoxically generate new forms of resistance and counter-surveillance.</w:t>
      </w:r>
    </w:p>
    <w:p>
      <w:pPr>
        <w:spacing w:after="240"/>
        <w:ind w:firstLine="720"/>
      </w:pPr>
      <w:r>
        <w:t>Urban governance in the twenty-first century increasingly relies upon networked sensor technologies, facial recognition systems, and predictive analytics platforms that collectively constitute what could be characterised as an ambient surveillance infrastructure. Cities such as Singapore, Dubai, and increasingly London have invested substantially in these technological assemblages, positioning them as essential components of efficient urban management. Proponents argue that such systems enhance public safety, optimise resource allocation, and enable more responsive municipal services. Critics, however, suggest that these justifications may obscure more troubling implications for civil liberties and democratic accountability.</w:t>
      </w:r>
    </w:p>
    <w:p>
      <w:pPr>
        <w:spacing w:after="240"/>
        <w:ind w:firstLine="720"/>
      </w:pPr>
      <w:r>
        <w:t>This research seeks to interrogate the discursive formations through which digital surveillance in urban contexts is legitimised, contested, and negotiated. Rather than adopting an a priori normative stance regarding the desirability or otherwise of such technologies, this study endeavours to map the complex terrain of competing rationalities that inform their deployment. It appears increasingly evident that simplistic binaries of freedom versus security inadequately capture the nuanced ways in which citizens navigate and make sense of their surveilled environments. The empirical component of this thesis therefore aims to foreground the lived experiences and interpretive frameworks of urban residents who find themselves enmeshed within these digital infrastructures.</w:t>
      </w:r>
    </w:p>
    <w:p>
      <w:pPr>
        <w:spacing w:after="240"/>
        <w:ind w:firstLine="720"/>
      </w:pPr>
      <w:r>
        <w:t>The methodological approach adopted herein combines critical discourse analysis with ethnographic sensibilities, recognising that technologies are never merely technical artefacts but are always already embedded within social, political, and economic relations. While quantitative metrics of surveillance density or camera placement may provide useful contextual information, they arguably fail to illuminate the phenomenological dimensions of being watched. This thesis therefore privileges qualitative methods that enable deeper engagement with the meanings that subjects attach to their experiences of urban surveillance.</w:t>
      </w:r>
    </w:p>
    <w:p>
      <w:pPr>
        <w:spacing w:after="240"/>
        <w:ind w:firstLine="720"/>
      </w:pPr>
      <w:r>
        <w:t>Several key research questions guide this investigation. Firstly, how do municipal authorities discursively frame digital surveillance as a governmental necessity, and what competing narratives challenge or complicate these framings? Secondly, in what ways do urban residents perceive, experience, and respond to the presence of digital surveillance technologies in their daily lives? Thirdly, what forms of resistance, adaptation, or accommodation emerge in response to the expanding surveillance apparatus? Finally, what implications might these findings have for theoretical understandings of power, governance, and citizenship in digitally mediated urban contexts?</w:t>
      </w:r>
    </w:p>
    <w:p>
      <w:pPr>
        <w:spacing w:after="240"/>
        <w:ind w:firstLine="720"/>
      </w:pPr>
      <w:r>
        <w:t>The structure of this thesis proceeds as follows. Chapter Two provides a comprehensive review of relevant literature, situating the research within broader scholarly conversations regarding surveillance studies, urban governance, and critical data studies. Chapter Three elaborates the methodological framework, justifying the selection of research methods and discussing ethical considerations. Chapter Four presents the empirical findings, organised thematically around the key research questions. Chapter Five discusses these findings in relation to the theoretical framework, identifying areas of convergence and tension. Finally, Chapter Six offers conclusions and considers the implications for policy and future research.</w:t>
      </w:r>
    </w:p>
    <w:p>
      <w:pPr>
        <w:spacing w:after="240"/>
        <w:ind w:firstLine="720"/>
      </w:pPr>
      <w:r>
        <w:t>It should perhaps be acknowledged at the outset that this research is conducted from a position that views uncritical technological solutionism with a degree of scepticism. This is not to suggest that digital technologies cannot serve beneficial purposes, but rather to insist upon the importance of subjecting their deployment to rigorous critical scrutiny. The normative commitment underlying this thesis is to the preservation and enhancement of democratic accountability, even as the meaning of such accountability may itself require renegotiation in light of technological change.</w:t>
      </w:r>
    </w:p>
    <w:p>
      <w:pPr>
        <w:spacing w:after="240"/>
        <w:ind w:firstLine="720"/>
      </w:pPr>
      <w:r>
        <w:t>The significance of this research extends beyond purely academic considerations. As cities worldwide continue to invest in smart infrastructure and data-driven governance, questions regarding privacy, consent, and the distribution of power become matters of pressing public concern. This thesis aims to contribute to these vital conversations by providing empirically grounded insights into how digital surveillance is experienced and contested at the grassroots level. Ultimately, it is hoped that this research may inform more reflexive and accountable approaches to the integration of digital technologies within urban governance frameworks.</w:t>
      </w:r>
    </w:p>
    <w:p>
      <w:pPr>
        <w:spacing w:after="240"/>
        <w:ind w:firstLine="720"/>
      </w:pPr>
      <w:r>
        <w:t>In conclusion, this introductory chapter has outlined the central problematic animating this thesis, introduced the key conceptual resources that will be deployed, and previewed the structure of the argument to follow. The subsequent chapters will develop these themes in greater detail, working towards a nuanced understanding of the digital panopticon as both a governmental technology and a site of ongoing social contestation.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