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3: Methodology</w:t>
      </w:r>
    </w:p>
    <w:p>
      <w:pPr>
        <w:pStyle w:val="Heading2"/>
      </w:pPr>
      <w:r>
        <w:t>A Qualitative Case Study Approach</w:t>
      </w:r>
    </w:p>
    <w:p>
      <w:pPr>
        <w:spacing w:after="240"/>
        <w:ind w:firstLine="720"/>
      </w:pPr>
      <w:r>
        <w:t>This chapter elaborates the methodological framework guiding this investigation, justifying the selection of a qualitative case study approach and addressing the ethical considerations that inform the research design. The methodological choices outlined herein are grounded in the epistemological commitments articulated in the preceding chapters, recognising that knowledge production is always situated and partial rather than objective and complete.</w:t>
      </w:r>
    </w:p>
    <w:p>
      <w:pPr>
        <w:spacing w:after="240"/>
        <w:ind w:firstLine="720"/>
      </w:pPr>
      <w:r>
        <w:t>The research adopts a qualitative case study methodology, which appears particularly well-suited to the exploratory and interpretive aims of this thesis. Case study research enables in-depth examination of complex social phenomena within their real-world contexts, attending to the particularities that may be obscured by more abstract methodological approaches (Yin, 2018). Given that this thesis seeks to understand how digital surveillance is experienced and negotiated within specific urban environments, the case study method offers appropriate tools for capturing contextual richness and nuance.</w:t>
      </w:r>
    </w:p>
    <w:p>
      <w:pPr>
        <w:spacing w:after="240"/>
        <w:ind w:firstLine="720"/>
      </w:pPr>
      <w:r>
        <w:t>The selection of London as the primary case study site reflects both pragmatic and substantive considerations. London arguably represents one of the most intensively surveilled cities in the democratic world, with extensive networks of CCTV cameras, facial recognition deployments, and smart city initiatives. Furthermore, the city has been the site of significant public debate regarding surveillance, providing rich discursive material for analysis. Access considerations also informed this selection, as the researcher's location in the United Kingdom facilitated sustained engagement with the research site.</w:t>
      </w:r>
    </w:p>
    <w:p>
      <w:pPr>
        <w:spacing w:after="240"/>
        <w:ind w:firstLine="720"/>
      </w:pPr>
      <w:r>
        <w:t>Data collection proceeded through multiple methods, triangulating sources to enhance the credibility and depth of findings. Semi-structured interviews constituted the primary data source, conducted with a purposive sample of urban residents, civil society activists, municipal officials, and technology professionals. Interview protocols were designed to elicit participants' experiences, perceptions, and interpretations of urban surveillance, while remaining sufficiently flexible to follow emergent themes. A total of twenty-five interviews were conducted over an eight-month period, with sessions ranging from forty-five minutes to two hours in duration.</w:t>
      </w:r>
    </w:p>
    <w:p>
      <w:pPr>
        <w:spacing w:after="240"/>
        <w:ind w:firstLine="720"/>
      </w:pPr>
      <w:r>
        <w:t>Complementing the interview data, documentary analysis examined relevant policy documents, media coverage, and promotional materials associated with London's surveillance infrastructure. This analysis provided contextual understanding of the official discourses framing digital surveillance and enabled identification of tensions between policy rhetoric and lived experience. Additionally, observational fieldwork was conducted in public spaces characterised by visible surveillance presence, generating field notes that informed interpretation of interview data.</w:t>
      </w:r>
    </w:p>
    <w:p>
      <w:pPr>
        <w:spacing w:after="240"/>
        <w:ind w:firstLine="720"/>
      </w:pPr>
      <w:r>
        <w:t>Ethical considerations were paramount throughout the research process. Full ethical approval was obtained from the Oxford Brookes Ethics Committee prior to commencement of data collection, ensuring that the research design met established standards for the protection of human participants. Informed consent was secured from all interview participants, who were provided with detailed information sheets explaining the purposes of the research, the voluntary nature of participation, and their right to withdraw at any time without consequence.</w:t>
      </w:r>
    </w:p>
    <w:p>
      <w:pPr>
        <w:spacing w:after="240"/>
        <w:ind w:firstLine="720"/>
      </w:pPr>
      <w:r>
        <w:t>Given the potentially sensitive nature of discussing surveillance experiences, particular attention was paid to confidentiality and anonymisation. Participant identities have been protected through the use of pseudonyms, and identifying details have been altered or omitted where necessary. Interview recordings were stored securely using encryption, and access was restricted to the research team. The Oxford Brookes Ethics Committee specifically reviewed the data management protocols to ensure compliance with GDPR requirements and institutional guidelines.</w:t>
      </w:r>
    </w:p>
    <w:p>
      <w:pPr>
        <w:spacing w:after="240"/>
        <w:ind w:firstLine="720"/>
      </w:pPr>
      <w:r>
        <w:t>The analytical approach drew upon thematic analysis as elaborated by Braun and Clarke (2006), involving systematic coding of interview transcripts and documentary materials. Initial open coding identified recurring patterns and concepts, which were subsequently organised into broader thematic categories. Throughout this process, analytical memos were maintained to document interpretive decisions and emerging insights. The analysis proceeded iteratively, with ongoing dialogue between data and theory informing the development of the final thematic structure.</w:t>
      </w:r>
    </w:p>
    <w:p>
      <w:pPr>
        <w:spacing w:after="240"/>
        <w:ind w:firstLine="720"/>
      </w:pPr>
      <w:r>
        <w:t>Reflexivity constitutes an essential component of qualitative research practice, acknowledging that the researcher is not a neutral observer but an active participant in knowledge construction (Finlay, 2002). As a researcher positioned within a particular social location—a doctoral student at a British university with prior professional experience in the technology sector—certain perspectives and blind spots inevitably shape the interpretation of data. Efforts to mitigate researcher bias included regular supervision discussions, peer debriefing, and the maintenance of a reflexive journal throughout the fieldwork period.</w:t>
      </w:r>
    </w:p>
    <w:p>
      <w:pPr>
        <w:spacing w:after="240"/>
        <w:ind w:firstLine="720"/>
      </w:pPr>
      <w:r>
        <w:t>Several limitations of the methodology should be acknowledged. The case study design, while enabling depth of analysis, necessarily constrains generalisability to other urban contexts. Findings from the London case cannot be straightforwardly extrapolated to cities with different surveillance configurations or cultural contexts. Furthermore, the purposive sampling strategy, while appropriate for exploratory research, may have introduced selection biases that affect the representativeness of participant perspectives. These limitations are acknowledged as inherent features of qualitative inquiry rather than methodological failures.</w:t>
      </w:r>
    </w:p>
    <w:p>
      <w:pPr>
        <w:spacing w:after="240"/>
        <w:ind w:firstLine="720"/>
      </w:pPr>
      <w:r>
        <w:t>In summary, this chapter has outlined a qualitative case study methodology grounded in interpretivist epistemology and attentive to ethical responsibilities. The subsequent chapters will present and discuss the findings generated through this methodological framework, contributing to scholarly understanding of digital surveillance in urban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