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Methodology: A Post-Positivist Framework</w:t>
      </w:r>
    </w:p>
    <w:p>
      <w:r>
        <w:t>Chapter 3: Methodology</w:t>
      </w:r>
    </w:p>
    <w:p>
      <w:r>
        <w:t>This chapter elaborates the methodological framework guiding the research, articulating the epistemological foundations, research design, and analytical procedures employed. The approach adopted reflects a post-positivist orientation that acknowledges the socially constructed nature of knowledge whilst maintaining commitment to systematic inquiry and evidential reasoning.</w:t>
      </w:r>
    </w:p>
    <w:p>
      <w:r>
        <w:t>The epistemological position underpinning this research rejects the positivist assumption that social phenomena can be studied using methods identical to those employed in natural science. Following critical realist scholars (Bhaskar, 1979; Sayer, 2000), this thesis recognises that social structures possess causal powers that are not directly observable but can be investigated through their empirical manifestations. This ontological commitment entails that explanation requires identifying generative mechanisms operating within specific contexts, rather than establishing universal covering laws.</w:t>
      </w:r>
    </w:p>
    <w:p>
      <w:r>
        <w:t>The research design employs comparative case study methodology, which is particularly suited to investigating complex social phenomena where multiple variables interact in context-dependent ways (Yin, 2018; George and Bennett, 2005). Case studies enable in-depth examination of causal processes whilst facilitating comparison across different settings. The selection of the European Union, China, and the United States as cases reflects considerations of theoretical relevance, empirical variation, and practical feasibility.</w:t>
      </w:r>
    </w:p>
    <w:p>
      <w:r>
        <w:t>Data collection proceeded through multiple methods to enhance validity through triangulation. Documentary analysis examined official policy statements, legislative texts, regulatory guidelines, and strategic documents produced by governmental and intergovernmental bodies. This material provides insight into how digital sovereignty is formally articulated and institutionalised within different governance frameworks. Additionally, semi-structured interviews were conducted with policy experts, government officials, and civil society representatives to capture perspectives not fully represented in official documentation.</w:t>
      </w:r>
    </w:p>
    <w:p>
      <w:r>
        <w:t>The analytical procedure combined thematic analysis with process tracing. Thematic analysis identified recurrent patterns, concepts, and narratives across the documentary corpus, enabling systematic comparison of how digital sovereignty is discursively constructed in different contexts. Process tracing complemented this approach by examining the causal mechanisms linking particular sovereignty claims to specific governance outcomes, thereby moving beyond correlation to explanation.</w:t>
      </w:r>
    </w:p>
    <w:p>
      <w:r>
        <w:t>Several limitations must be acknowledged. The reliance on English-language sources and translated materials may introduce bias, particularly regarding Chinese policy discourse. Access constraints limited the number of elite interviews that could be conducted, potentially affecting the comprehensiveness of findings. Furthermore, the rapidly evolving nature of digital governance means that some developments occurring after data collection concluded could not be incorporated.</w:t>
      </w:r>
    </w:p>
    <w:p>
      <w:r>
        <w:t>Reflexivity regarding the researcher's positionality constitutes an essential methodological consideration. As a researcher situated within a Western academic institution, particular assumptions and interpretive frameworks inevitably shape the analysis. Efforts to mitigate these biases included engagement with scholarship from diverse intellectual traditions and solicitation of feedback from colleagues with different regional expertise. Nevertheless, complete neutrality remains an unattainable ideal, and readers should interpret findings with awareness of these situational constraints.</w:t>
      </w:r>
    </w:p>
    <w:p>
      <w:r>
        <w:t>Ethical considerations were addressed throughout the research process. Interview participants provided informed consent and were offered anonymity where requested. Data storage complied with institutional requirements regarding confidentiality and security. The research received ethical approval from the relevant university committee prior to commencement.</w:t>
      </w:r>
    </w:p>
    <w:p>
      <w:r>
        <w:t>In conclusion, the methodological approach adopted enables rigorous investigation of digital sovereignty whilst remaining sensitive to the interpretive dimensions of social inquiry. The following chapters present findings emerging from this analytical framework.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