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38394" w14:textId="563FB4D4" w:rsidR="00B24B4E" w:rsidRPr="005E47C0" w:rsidRDefault="00B24B4E" w:rsidP="005E47C0">
      <w:pPr>
        <w:jc w:val="center"/>
        <w:rPr>
          <w:sz w:val="32"/>
          <w:szCs w:val="32"/>
        </w:rPr>
      </w:pPr>
      <w:r w:rsidRPr="005E47C0">
        <w:rPr>
          <w:sz w:val="32"/>
          <w:szCs w:val="32"/>
        </w:rPr>
        <w:t xml:space="preserve">The </w:t>
      </w:r>
      <w:r w:rsidRPr="005E47C0">
        <w:rPr>
          <w:b/>
          <w:bCs/>
          <w:sz w:val="32"/>
          <w:szCs w:val="32"/>
        </w:rPr>
        <w:t>NASSS</w:t>
      </w:r>
      <w:r w:rsidRPr="005E47C0">
        <w:rPr>
          <w:sz w:val="32"/>
          <w:szCs w:val="32"/>
        </w:rPr>
        <w:t xml:space="preserve"> (non-adoption, abandonment, scale-up, spread, sustainability) framework</w:t>
      </w:r>
    </w:p>
    <w:p w14:paraId="237C4A9F" w14:textId="192AFF1A" w:rsidR="00B24B4E" w:rsidRPr="00B24B4E" w:rsidRDefault="00B24B4E">
      <w:pPr>
        <w:rPr>
          <w:i/>
          <w:iCs/>
        </w:rPr>
      </w:pPr>
      <w:r w:rsidRPr="00B24B4E">
        <w:rPr>
          <w:i/>
          <w:iCs/>
        </w:rPr>
        <w:t xml:space="preserve">The information on this page is taken from the paper: </w:t>
      </w:r>
      <w:hyperlink r:id="rId4" w:history="1">
        <w:r w:rsidRPr="00B24B4E">
          <w:rPr>
            <w:rStyle w:val="Hyperlink"/>
            <w:i/>
            <w:iCs/>
          </w:rPr>
          <w:t>(Abimbola, et. al., 2019)</w:t>
        </w:r>
      </w:hyperlink>
    </w:p>
    <w:p w14:paraId="3BCD761B" w14:textId="60D6D7A2" w:rsidR="00B24B4E" w:rsidRDefault="00B24B4E">
      <w:r>
        <w:rPr>
          <w:noProof/>
        </w:rPr>
        <w:drawing>
          <wp:inline distT="0" distB="0" distL="0" distR="0" wp14:anchorId="36148A5D" wp14:editId="218944EA">
            <wp:extent cx="5731510" cy="4781550"/>
            <wp:effectExtent l="0" t="0" r="2540" b="0"/>
            <wp:docPr id="863311362"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781550"/>
                    </a:xfrm>
                    <a:prstGeom prst="rect">
                      <a:avLst/>
                    </a:prstGeom>
                    <a:noFill/>
                    <a:ln>
                      <a:noFill/>
                    </a:ln>
                  </pic:spPr>
                </pic:pic>
              </a:graphicData>
            </a:graphic>
          </wp:inline>
        </w:drawing>
      </w:r>
    </w:p>
    <w:p w14:paraId="3FD6F66D" w14:textId="77777777" w:rsidR="00B24B4E" w:rsidRDefault="00B24B4E"/>
    <w:p w14:paraId="442C8112" w14:textId="77777777" w:rsidR="00B24B4E" w:rsidRPr="00B24B4E" w:rsidRDefault="00B24B4E" w:rsidP="00B24B4E">
      <w:r w:rsidRPr="00B24B4E">
        <w:rPr>
          <w:b/>
          <w:bCs/>
        </w:rPr>
        <w:t>Domain 1 is the illness or condition.</w:t>
      </w:r>
      <w:r w:rsidRPr="00B24B4E">
        <w:t xml:space="preserve"> Complexity occurs when the condition is metabolically volatile (e.g. diabetes in pregnancy), inherently unstable (e.g. drug dependency), poorly described or understood (e.g. a newly discovered syndrome), associated with co-morbidities (most commonly in elders), or strongly influenced by socio-cultural factors (e.g. poverty, social exclusion) [</w:t>
      </w:r>
      <w:hyperlink r:id="rId6" w:anchor="ref-CR11" w:tooltip="Hart JT. The inverse care law. Lancet. 1971;297(7696):405–12." w:history="1">
        <w:r w:rsidRPr="00B24B4E">
          <w:rPr>
            <w:rStyle w:val="Hyperlink"/>
          </w:rPr>
          <w:t>11</w:t>
        </w:r>
      </w:hyperlink>
      <w:r w:rsidRPr="00B24B4E">
        <w:t>].</w:t>
      </w:r>
    </w:p>
    <w:p w14:paraId="7A6076A3" w14:textId="77777777" w:rsidR="00B24B4E" w:rsidRPr="00B24B4E" w:rsidRDefault="00B24B4E" w:rsidP="00B24B4E">
      <w:r w:rsidRPr="00B24B4E">
        <w:rPr>
          <w:b/>
          <w:bCs/>
        </w:rPr>
        <w:t>Domain 2 is the technology</w:t>
      </w:r>
      <w:r w:rsidRPr="00B24B4E">
        <w:t>. Complexity may relate to its material properties (e.g. functionality, dependability, speed), knowledge needed to use it, knowledge it brings into play (all technologies foreground some kinds of knowledge at the expense of others [</w:t>
      </w:r>
      <w:hyperlink r:id="rId7" w:anchor="ref-CR12" w:tooltip="Pols J. Care at a distance: on the closeness of technology. Amsterdam: Amsterdam University Press; 2012." w:history="1">
        <w:r w:rsidRPr="00B24B4E">
          <w:rPr>
            <w:rStyle w:val="Hyperlink"/>
          </w:rPr>
          <w:t>12</w:t>
        </w:r>
      </w:hyperlink>
      <w:r w:rsidRPr="00B24B4E">
        <w:t>]), supply model (e.g. is it substitutable?), and intellectual property (how easy is it to say who “owns” this?) [</w:t>
      </w:r>
      <w:hyperlink r:id="rId8" w:anchor="ref-CR13" w:tooltip="Terry N. Appification, AI, and healthcare’s new iron triangle; 2017." w:history="1">
        <w:r w:rsidRPr="00B24B4E">
          <w:rPr>
            <w:rStyle w:val="Hyperlink"/>
          </w:rPr>
          <w:t>13</w:t>
        </w:r>
      </w:hyperlink>
      <w:r w:rsidRPr="00B24B4E">
        <w:t>].</w:t>
      </w:r>
    </w:p>
    <w:p w14:paraId="61B44905" w14:textId="77777777" w:rsidR="00B24B4E" w:rsidRPr="00B24B4E" w:rsidRDefault="00B24B4E" w:rsidP="00B24B4E">
      <w:r w:rsidRPr="00B24B4E">
        <w:rPr>
          <w:b/>
          <w:bCs/>
        </w:rPr>
        <w:t>Domain 3 is the value proposition</w:t>
      </w:r>
      <w:r w:rsidRPr="00B24B4E">
        <w:t xml:space="preserve">—both supply-side (value to the developer) and demand-side (value to the patient, healthcare system, and taxpayer or insurer). </w:t>
      </w:r>
      <w:r w:rsidRPr="00B24B4E">
        <w:lastRenderedPageBreak/>
        <w:t>Complexity in this domain relates to difficulties in formulating a credible business plan (e.g. when efficacy or cost-effectiveness studies are unavailable or contested) [</w:t>
      </w:r>
      <w:hyperlink r:id="rId9" w:anchor="ref-CR14" w:tooltip="Lehoux P, Miller FA, Daudelin G, Denis J-L. Providing value to new health technology: the early contribution of entrepreneurs, investors, and regulatory agencies. Int J Health Policy Manag. 2017;6(x):1–10." w:history="1">
        <w:r w:rsidRPr="00B24B4E">
          <w:rPr>
            <w:rStyle w:val="Hyperlink"/>
          </w:rPr>
          <w:t>14</w:t>
        </w:r>
      </w:hyperlink>
      <w:r w:rsidRPr="00B24B4E">
        <w:t>, </w:t>
      </w:r>
      <w:hyperlink r:id="rId10" w:anchor="ref-CR15" w:tooltip="van Limburg M, van Gemert-Pijnen JE, Nijland N, Ossebaard HC, Hendrix RM, Seydel ER. Why business modeling is crucial in the development of eHealth technologies. J Med Internet Res. 2011;13(4):e124." w:history="1">
        <w:r w:rsidRPr="00B24B4E">
          <w:rPr>
            <w:rStyle w:val="Hyperlink"/>
          </w:rPr>
          <w:t>15</w:t>
        </w:r>
      </w:hyperlink>
      <w:r w:rsidRPr="00B24B4E">
        <w:t>].</w:t>
      </w:r>
    </w:p>
    <w:p w14:paraId="5C621DC1" w14:textId="77777777" w:rsidR="00B24B4E" w:rsidRPr="00B24B4E" w:rsidRDefault="00B24B4E" w:rsidP="00B24B4E">
      <w:r w:rsidRPr="00B24B4E">
        <w:rPr>
          <w:b/>
          <w:bCs/>
        </w:rPr>
        <w:t>Domain 4 is the adopter system:</w:t>
      </w:r>
      <w:r w:rsidRPr="00B24B4E">
        <w:t xml:space="preserve"> the staff, patients, and carers who will be expected to use the technology (but who may refuse to use it or find they are unable to use it). Complexity may arise, for example, when the roles and practices assumed by the technology threaten professional traditions and codes of conduct [</w:t>
      </w:r>
      <w:hyperlink r:id="rId11" w:anchor="ref-CR16" w:tooltip="Greenhalgh T, Swinglehurst D, Stones R. Rethinking ‘resistance’ to big IT: A sociological study of why and when healthcare staff do not use nationally mandated information and communication technologies. Health Serv Deliv Res. 2014;39(2):1–86." w:history="1">
        <w:r w:rsidRPr="00B24B4E">
          <w:rPr>
            <w:rStyle w:val="Hyperlink"/>
          </w:rPr>
          <w:t>16</w:t>
        </w:r>
      </w:hyperlink>
      <w:r w:rsidRPr="00B24B4E">
        <w:t>].</w:t>
      </w:r>
    </w:p>
    <w:p w14:paraId="3B1C6641" w14:textId="77777777" w:rsidR="00B24B4E" w:rsidRPr="00B24B4E" w:rsidRDefault="00B24B4E" w:rsidP="00B24B4E">
      <w:r w:rsidRPr="00B24B4E">
        <w:rPr>
          <w:b/>
          <w:bCs/>
        </w:rPr>
        <w:t>Domain 5 is the organisation(s).</w:t>
      </w:r>
      <w:r w:rsidRPr="00B24B4E">
        <w:t xml:space="preserve"> Complexity in this domain may relate to the organisation’s general capacity to innovate (such things as leadership, resources, and clinician-managerial relationships) [</w:t>
      </w:r>
      <w:hyperlink r:id="rId12" w:anchor="ref-CR17" w:tooltip="Greenhalgh T, Robert G, Macfarlane F, Bate P, Kyriakidou O. Diffusion of innovations in service organizations: systematic review and recommendations. Milbank Q. 2004;82(4):581–629." w:history="1">
        <w:r w:rsidRPr="00B24B4E">
          <w:rPr>
            <w:rStyle w:val="Hyperlink"/>
          </w:rPr>
          <w:t>17</w:t>
        </w:r>
      </w:hyperlink>
      <w:r w:rsidRPr="00B24B4E">
        <w:t>], its readiness for this particular technology (tension for change, balance of supporters and opponents) [</w:t>
      </w:r>
      <w:hyperlink r:id="rId13" w:anchor="ref-CR17" w:tooltip="Greenhalgh T, Robert G, Macfarlane F, Bate P, Kyriakidou O. Diffusion of innovations in service organizations: systematic review and recommendations. Milbank Q. 2004;82(4):581–629." w:history="1">
        <w:r w:rsidRPr="00B24B4E">
          <w:rPr>
            <w:rStyle w:val="Hyperlink"/>
          </w:rPr>
          <w:t>17</w:t>
        </w:r>
      </w:hyperlink>
      <w:r w:rsidRPr="00B24B4E">
        <w:t>], the nature of the adoption and funding decision (more complex if it depends on inter-organisational agreements and speculative cross-system savings), potential disruption to existing routines [</w:t>
      </w:r>
      <w:hyperlink r:id="rId14" w:anchor="ref-CR18" w:tooltip="Fitzgerald L, McDermott A. Challenging perspectives on organizational change in health care. London: Routledge; 2016." w:history="1">
        <w:r w:rsidRPr="00B24B4E">
          <w:rPr>
            <w:rStyle w:val="Hyperlink"/>
          </w:rPr>
          <w:t>18</w:t>
        </w:r>
      </w:hyperlink>
      <w:r w:rsidRPr="00B24B4E">
        <w:t>], and extent of work needed to implement the changes (including gaining buy-in, delivering the change, and evaluating the change) [</w:t>
      </w:r>
      <w:hyperlink r:id="rId15" w:anchor="ref-CR7" w:tooltip="May C, Finch T. Implementing, embedding, and integrating practices: an outline of normalization process theory. Sociology. 2009;43(3):535–54." w:history="1">
        <w:r w:rsidRPr="00B24B4E">
          <w:rPr>
            <w:rStyle w:val="Hyperlink"/>
          </w:rPr>
          <w:t>7</w:t>
        </w:r>
      </w:hyperlink>
      <w:r w:rsidRPr="00B24B4E">
        <w:t>].</w:t>
      </w:r>
    </w:p>
    <w:p w14:paraId="4B8BB017" w14:textId="77777777" w:rsidR="00B24B4E" w:rsidRPr="00B24B4E" w:rsidRDefault="00B24B4E" w:rsidP="00B24B4E">
      <w:r w:rsidRPr="00B24B4E">
        <w:rPr>
          <w:b/>
          <w:bCs/>
        </w:rPr>
        <w:t>Domain 6 is the wider system</w:t>
      </w:r>
      <w:r w:rsidRPr="00B24B4E">
        <w:t>, including the policy context, support from regulatory or professional bodies, and public perceptions [</w:t>
      </w:r>
      <w:hyperlink r:id="rId16" w:anchor="ref-CR5" w:tooltip="Greenhalgh T, Russell J. Why do evaluations of eHealth programs fail? An alternative set of guiding principles. PLoS Med. 2010;7(11):e1000360." w:history="1">
        <w:r w:rsidRPr="00B24B4E">
          <w:rPr>
            <w:rStyle w:val="Hyperlink"/>
          </w:rPr>
          <w:t>5</w:t>
        </w:r>
      </w:hyperlink>
      <w:r w:rsidRPr="00B24B4E">
        <w:t>]. This domain also includes inter-organisational networking (for example, via quality improvement collaboratives), which can be a powerful way of spreading organisational-level innovations [</w:t>
      </w:r>
      <w:hyperlink r:id="rId17" w:anchor="ref-CR17" w:tooltip="Greenhalgh T, Robert G, Macfarlane F, Bate P, Kyriakidou O. Diffusion of innovations in service organizations: systematic review and recommendations. Milbank Q. 2004;82(4):581–629." w:history="1">
        <w:r w:rsidRPr="00B24B4E">
          <w:rPr>
            <w:rStyle w:val="Hyperlink"/>
          </w:rPr>
          <w:t>17</w:t>
        </w:r>
      </w:hyperlink>
      <w:r w:rsidRPr="00B24B4E">
        <w:t>].</w:t>
      </w:r>
    </w:p>
    <w:p w14:paraId="48EF5273" w14:textId="77777777" w:rsidR="00B24B4E" w:rsidRPr="00B24B4E" w:rsidRDefault="00B24B4E" w:rsidP="00B24B4E">
      <w:r w:rsidRPr="00B24B4E">
        <w:rPr>
          <w:b/>
          <w:bCs/>
        </w:rPr>
        <w:t>Domain 7 is embedding and adapting over time.</w:t>
      </w:r>
      <w:r w:rsidRPr="00B24B4E">
        <w:t xml:space="preserve"> Complexity may arise from the technology’s “brittleness” (inability to adapt to changing context) or from the organisation’s lack of resilience (inability to withstand shocks and setbacks through learning and adaptation) [</w:t>
      </w:r>
      <w:hyperlink r:id="rId18" w:anchor="ref-CR19" w:tooltip="Hollnagel E, Braithwaite J, Wears RL. Resilient health care. Farnham: Ashgate Publishing Ltd; 2013." w:history="1">
        <w:r w:rsidRPr="00B24B4E">
          <w:rPr>
            <w:rStyle w:val="Hyperlink"/>
          </w:rPr>
          <w:t>19</w:t>
        </w:r>
      </w:hyperlink>
      <w:r w:rsidRPr="00B24B4E">
        <w:t>].</w:t>
      </w:r>
    </w:p>
    <w:sectPr w:rsidR="00B24B4E" w:rsidRPr="00B24B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B4E"/>
    <w:rsid w:val="005E47C0"/>
    <w:rsid w:val="00B24B4E"/>
    <w:rsid w:val="00CB34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5FCD6"/>
  <w15:chartTrackingRefBased/>
  <w15:docId w15:val="{39C8FC7E-D73E-4FF9-BFCD-3603F8143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4B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B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B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B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B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B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B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B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4B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B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B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B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B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B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B4E"/>
    <w:rPr>
      <w:rFonts w:eastAsiaTheme="majorEastAsia" w:cstheme="majorBidi"/>
      <w:color w:val="272727" w:themeColor="text1" w:themeTint="D8"/>
    </w:rPr>
  </w:style>
  <w:style w:type="paragraph" w:styleId="Title">
    <w:name w:val="Title"/>
    <w:basedOn w:val="Normal"/>
    <w:next w:val="Normal"/>
    <w:link w:val="TitleChar"/>
    <w:uiPriority w:val="10"/>
    <w:qFormat/>
    <w:rsid w:val="00B24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B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B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B4E"/>
    <w:pPr>
      <w:spacing w:before="160"/>
      <w:jc w:val="center"/>
    </w:pPr>
    <w:rPr>
      <w:i/>
      <w:iCs/>
      <w:color w:val="404040" w:themeColor="text1" w:themeTint="BF"/>
    </w:rPr>
  </w:style>
  <w:style w:type="character" w:customStyle="1" w:styleId="QuoteChar">
    <w:name w:val="Quote Char"/>
    <w:basedOn w:val="DefaultParagraphFont"/>
    <w:link w:val="Quote"/>
    <w:uiPriority w:val="29"/>
    <w:rsid w:val="00B24B4E"/>
    <w:rPr>
      <w:i/>
      <w:iCs/>
      <w:color w:val="404040" w:themeColor="text1" w:themeTint="BF"/>
    </w:rPr>
  </w:style>
  <w:style w:type="paragraph" w:styleId="ListParagraph">
    <w:name w:val="List Paragraph"/>
    <w:basedOn w:val="Normal"/>
    <w:uiPriority w:val="34"/>
    <w:qFormat/>
    <w:rsid w:val="00B24B4E"/>
    <w:pPr>
      <w:ind w:left="720"/>
      <w:contextualSpacing/>
    </w:pPr>
  </w:style>
  <w:style w:type="character" w:styleId="IntenseEmphasis">
    <w:name w:val="Intense Emphasis"/>
    <w:basedOn w:val="DefaultParagraphFont"/>
    <w:uiPriority w:val="21"/>
    <w:qFormat/>
    <w:rsid w:val="00B24B4E"/>
    <w:rPr>
      <w:i/>
      <w:iCs/>
      <w:color w:val="0F4761" w:themeColor="accent1" w:themeShade="BF"/>
    </w:rPr>
  </w:style>
  <w:style w:type="paragraph" w:styleId="IntenseQuote">
    <w:name w:val="Intense Quote"/>
    <w:basedOn w:val="Normal"/>
    <w:next w:val="Normal"/>
    <w:link w:val="IntenseQuoteChar"/>
    <w:uiPriority w:val="30"/>
    <w:qFormat/>
    <w:rsid w:val="00B24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B4E"/>
    <w:rPr>
      <w:i/>
      <w:iCs/>
      <w:color w:val="0F4761" w:themeColor="accent1" w:themeShade="BF"/>
    </w:rPr>
  </w:style>
  <w:style w:type="character" w:styleId="IntenseReference">
    <w:name w:val="Intense Reference"/>
    <w:basedOn w:val="DefaultParagraphFont"/>
    <w:uiPriority w:val="32"/>
    <w:qFormat/>
    <w:rsid w:val="00B24B4E"/>
    <w:rPr>
      <w:b/>
      <w:bCs/>
      <w:smallCaps/>
      <w:color w:val="0F4761" w:themeColor="accent1" w:themeShade="BF"/>
      <w:spacing w:val="5"/>
    </w:rPr>
  </w:style>
  <w:style w:type="character" w:styleId="Hyperlink">
    <w:name w:val="Hyperlink"/>
    <w:basedOn w:val="DefaultParagraphFont"/>
    <w:uiPriority w:val="99"/>
    <w:unhideWhenUsed/>
    <w:rsid w:val="00B24B4E"/>
    <w:rPr>
      <w:color w:val="467886" w:themeColor="hyperlink"/>
      <w:u w:val="single"/>
    </w:rPr>
  </w:style>
  <w:style w:type="character" w:styleId="UnresolvedMention">
    <w:name w:val="Unresolved Mention"/>
    <w:basedOn w:val="DefaultParagraphFont"/>
    <w:uiPriority w:val="99"/>
    <w:semiHidden/>
    <w:unhideWhenUsed/>
    <w:rsid w:val="00B24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65996">
      <w:bodyDiv w:val="1"/>
      <w:marLeft w:val="0"/>
      <w:marRight w:val="0"/>
      <w:marTop w:val="0"/>
      <w:marBottom w:val="0"/>
      <w:divBdr>
        <w:top w:val="none" w:sz="0" w:space="0" w:color="auto"/>
        <w:left w:val="none" w:sz="0" w:space="0" w:color="auto"/>
        <w:bottom w:val="none" w:sz="0" w:space="0" w:color="auto"/>
        <w:right w:val="none" w:sz="0" w:space="0" w:color="auto"/>
      </w:divBdr>
    </w:div>
    <w:div w:id="153519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cmedicine.biomedcentral.com/articles/10.1186/s12916-019-1463-x" TargetMode="External"/><Relationship Id="rId13" Type="http://schemas.openxmlformats.org/officeDocument/2006/relationships/hyperlink" Target="https://bmcmedicine.biomedcentral.com/articles/10.1186/s12916-019-1463-x" TargetMode="External"/><Relationship Id="rId18" Type="http://schemas.openxmlformats.org/officeDocument/2006/relationships/hyperlink" Target="https://bmcmedicine.biomedcentral.com/articles/10.1186/s12916-019-1463-x" TargetMode="External"/><Relationship Id="rId3" Type="http://schemas.openxmlformats.org/officeDocument/2006/relationships/webSettings" Target="webSettings.xml"/><Relationship Id="rId7" Type="http://schemas.openxmlformats.org/officeDocument/2006/relationships/hyperlink" Target="https://bmcmedicine.biomedcentral.com/articles/10.1186/s12916-019-1463-x" TargetMode="External"/><Relationship Id="rId12" Type="http://schemas.openxmlformats.org/officeDocument/2006/relationships/hyperlink" Target="https://bmcmedicine.biomedcentral.com/articles/10.1186/s12916-019-1463-x" TargetMode="External"/><Relationship Id="rId17" Type="http://schemas.openxmlformats.org/officeDocument/2006/relationships/hyperlink" Target="https://bmcmedicine.biomedcentral.com/articles/10.1186/s12916-019-1463-x" TargetMode="External"/><Relationship Id="rId2" Type="http://schemas.openxmlformats.org/officeDocument/2006/relationships/settings" Target="settings.xml"/><Relationship Id="rId16" Type="http://schemas.openxmlformats.org/officeDocument/2006/relationships/hyperlink" Target="https://bmcmedicine.biomedcentral.com/articles/10.1186/s12916-019-1463-x"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bmcmedicine.biomedcentral.com/articles/10.1186/s12916-019-1463-x" TargetMode="External"/><Relationship Id="rId11" Type="http://schemas.openxmlformats.org/officeDocument/2006/relationships/hyperlink" Target="https://bmcmedicine.biomedcentral.com/articles/10.1186/s12916-019-1463-x" TargetMode="External"/><Relationship Id="rId5" Type="http://schemas.openxmlformats.org/officeDocument/2006/relationships/image" Target="media/image1.png"/><Relationship Id="rId15" Type="http://schemas.openxmlformats.org/officeDocument/2006/relationships/hyperlink" Target="https://bmcmedicine.biomedcentral.com/articles/10.1186/s12916-019-1463-x" TargetMode="External"/><Relationship Id="rId10" Type="http://schemas.openxmlformats.org/officeDocument/2006/relationships/hyperlink" Target="https://bmcmedicine.biomedcentral.com/articles/10.1186/s12916-019-1463-x" TargetMode="External"/><Relationship Id="rId19" Type="http://schemas.openxmlformats.org/officeDocument/2006/relationships/fontTable" Target="fontTable.xml"/><Relationship Id="rId4" Type="http://schemas.openxmlformats.org/officeDocument/2006/relationships/hyperlink" Target="https://bmcmedicine.biomedcentral.com/articles/10.1186/s12916-019-1463-x" TargetMode="External"/><Relationship Id="rId9" Type="http://schemas.openxmlformats.org/officeDocument/2006/relationships/hyperlink" Target="https://bmcmedicine.biomedcentral.com/articles/10.1186/s12916-019-1463-x" TargetMode="External"/><Relationship Id="rId14" Type="http://schemas.openxmlformats.org/officeDocument/2006/relationships/hyperlink" Target="https://bmcmedicine.biomedcentral.com/articles/10.1186/s12916-019-1463-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932</Words>
  <Characters>5319</Characters>
  <Application>Microsoft Office Word</Application>
  <DocSecurity>0</DocSecurity>
  <Lines>44</Lines>
  <Paragraphs>12</Paragraphs>
  <ScaleCrop>false</ScaleCrop>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Thomasina Donovan</dc:creator>
  <cp:keywords/>
  <dc:description/>
  <cp:lastModifiedBy>Thomasina Donovan</cp:lastModifiedBy>
  <cp:revision>2</cp:revision>
  <dcterms:created xsi:type="dcterms:W3CDTF">2024-11-29T04:47:00Z</dcterms:created>
  <dcterms:modified xsi:type="dcterms:W3CDTF">2024-11-29T04:51:00Z</dcterms:modified>
</cp:coreProperties>
</file>