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092C"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Style w:val="s3"/>
          <w:b/>
          <w:bCs/>
          <w:color w:val="000000"/>
          <w:sz w:val="18"/>
          <w:szCs w:val="18"/>
        </w:rPr>
        <w:t>S1 Fig.</w:t>
      </w:r>
      <w:r>
        <w:rPr>
          <w:rStyle w:val="apple-converted-space"/>
          <w:b/>
          <w:bCs/>
          <w:color w:val="000000"/>
          <w:sz w:val="18"/>
          <w:szCs w:val="18"/>
        </w:rPr>
        <w:t> </w:t>
      </w:r>
      <w:r>
        <w:rPr>
          <w:rStyle w:val="s3"/>
          <w:b/>
          <w:bCs/>
          <w:color w:val="000000"/>
          <w:sz w:val="18"/>
          <w:szCs w:val="18"/>
        </w:rPr>
        <w:t>Maximum likelihood tree based on concatenation of COI, 16S, and 12S genes from Conus.</w:t>
      </w:r>
      <w:r>
        <w:rPr>
          <w:rStyle w:val="apple-converted-space"/>
          <w:b/>
          <w:bCs/>
          <w:color w:val="000000"/>
          <w:sz w:val="18"/>
          <w:szCs w:val="18"/>
        </w:rPr>
        <w:t> </w:t>
      </w:r>
      <w:r>
        <w:rPr>
          <w:rStyle w:val="s5"/>
          <w:color w:val="000000"/>
          <w:sz w:val="18"/>
          <w:szCs w:val="18"/>
        </w:rPr>
        <w:t>The bolded species were included in the venom gland transcriptomes analyzed</w:t>
      </w:r>
      <w:r>
        <w:rPr>
          <w:rStyle w:val="apple-converted-space"/>
          <w:color w:val="000000"/>
          <w:sz w:val="18"/>
          <w:szCs w:val="18"/>
        </w:rPr>
        <w:t> </w:t>
      </w:r>
      <w:r>
        <w:rPr>
          <w:rStyle w:val="s5"/>
          <w:color w:val="000000"/>
          <w:sz w:val="18"/>
          <w:szCs w:val="18"/>
        </w:rPr>
        <w:t>in this study. The presence and absence of identified DREPs are marked next to the species name. The tree is rooted with</w:t>
      </w:r>
      <w:r>
        <w:rPr>
          <w:rStyle w:val="apple-converted-space"/>
          <w:color w:val="000000"/>
          <w:sz w:val="18"/>
          <w:szCs w:val="18"/>
        </w:rPr>
        <w:t> </w:t>
      </w:r>
      <w:proofErr w:type="spellStart"/>
      <w:r>
        <w:rPr>
          <w:rStyle w:val="s10"/>
          <w:i/>
          <w:iCs/>
          <w:color w:val="000000"/>
          <w:sz w:val="18"/>
          <w:szCs w:val="18"/>
        </w:rPr>
        <w:t>Californiconus</w:t>
      </w:r>
      <w:proofErr w:type="spellEnd"/>
      <w:r>
        <w:rPr>
          <w:rStyle w:val="apple-converted-space"/>
          <w:i/>
          <w:iCs/>
          <w:color w:val="000000"/>
          <w:sz w:val="18"/>
          <w:szCs w:val="18"/>
        </w:rPr>
        <w:t> </w:t>
      </w:r>
      <w:proofErr w:type="spellStart"/>
      <w:r>
        <w:rPr>
          <w:rStyle w:val="s10"/>
          <w:i/>
          <w:iCs/>
          <w:color w:val="000000"/>
          <w:sz w:val="18"/>
          <w:szCs w:val="18"/>
        </w:rPr>
        <w:t>californicus</w:t>
      </w:r>
      <w:proofErr w:type="spellEnd"/>
      <w:r>
        <w:rPr>
          <w:rStyle w:val="apple-converted-space"/>
          <w:i/>
          <w:iCs/>
          <w:color w:val="000000"/>
          <w:sz w:val="18"/>
          <w:szCs w:val="18"/>
        </w:rPr>
        <w:t> </w:t>
      </w:r>
      <w:r>
        <w:rPr>
          <w:rStyle w:val="s5"/>
          <w:color w:val="000000"/>
          <w:sz w:val="18"/>
          <w:szCs w:val="18"/>
        </w:rPr>
        <w:t>genes.</w:t>
      </w:r>
      <w:r>
        <w:rPr>
          <w:rStyle w:val="apple-converted-space"/>
          <w:color w:val="000000"/>
          <w:sz w:val="18"/>
          <w:szCs w:val="18"/>
        </w:rPr>
        <w:t> </w:t>
      </w:r>
    </w:p>
    <w:p w14:paraId="7C64D3F8"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Fonts w:ascii="-webkit-standard" w:hAnsi="-webkit-standard"/>
          <w:color w:val="000000"/>
          <w:sz w:val="18"/>
          <w:szCs w:val="18"/>
        </w:rPr>
        <w:t> </w:t>
      </w:r>
    </w:p>
    <w:p w14:paraId="4324BC04"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Style w:val="s3"/>
          <w:b/>
          <w:bCs/>
          <w:color w:val="000000"/>
          <w:sz w:val="18"/>
          <w:szCs w:val="18"/>
        </w:rPr>
        <w:t>S2 Fig.</w:t>
      </w:r>
      <w:r>
        <w:rPr>
          <w:rStyle w:val="apple-converted-space"/>
          <w:b/>
          <w:bCs/>
          <w:color w:val="000000"/>
          <w:sz w:val="18"/>
          <w:szCs w:val="18"/>
        </w:rPr>
        <w:t> </w:t>
      </w:r>
      <w:r>
        <w:rPr>
          <w:rStyle w:val="s3"/>
          <w:b/>
          <w:bCs/>
          <w:color w:val="000000"/>
          <w:sz w:val="18"/>
          <w:szCs w:val="18"/>
        </w:rPr>
        <w:t>Amino acid identity of doppelganger toxins to prey.</w:t>
      </w:r>
      <w:r>
        <w:rPr>
          <w:rStyle w:val="apple-converted-space"/>
          <w:b/>
          <w:bCs/>
          <w:color w:val="000000"/>
          <w:sz w:val="18"/>
          <w:szCs w:val="18"/>
        </w:rPr>
        <w:t> </w:t>
      </w:r>
      <w:r>
        <w:rPr>
          <w:rStyle w:val="s5"/>
          <w:color w:val="000000"/>
          <w:sz w:val="18"/>
          <w:szCs w:val="18"/>
        </w:rPr>
        <w:t>Amino acid identity of doppelganger toxins to prey DREP separated into the signal sequence, peptide/toxin region, and where applicable spacer region(s). Significance is calculated by Wilcoxon rank-sum test and p-values compared to the peptide/toxin regions are shown.</w:t>
      </w:r>
    </w:p>
    <w:p w14:paraId="734DC715"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Fonts w:ascii="-webkit-standard" w:hAnsi="-webkit-standard"/>
          <w:color w:val="000000"/>
          <w:sz w:val="18"/>
          <w:szCs w:val="18"/>
        </w:rPr>
        <w:t> </w:t>
      </w:r>
    </w:p>
    <w:p w14:paraId="09DB6479"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Style w:val="s3"/>
          <w:b/>
          <w:bCs/>
          <w:color w:val="000000"/>
          <w:sz w:val="18"/>
          <w:szCs w:val="18"/>
        </w:rPr>
        <w:t>S3 Fig.</w:t>
      </w:r>
      <w:r>
        <w:rPr>
          <w:rStyle w:val="apple-converted-space"/>
          <w:b/>
          <w:bCs/>
          <w:color w:val="000000"/>
          <w:sz w:val="18"/>
          <w:szCs w:val="18"/>
        </w:rPr>
        <w:t> </w:t>
      </w:r>
      <w:r>
        <w:rPr>
          <w:rStyle w:val="s3"/>
          <w:b/>
          <w:bCs/>
          <w:color w:val="000000"/>
          <w:sz w:val="18"/>
          <w:szCs w:val="18"/>
        </w:rPr>
        <w:t>Mean doppelganger toxin gene expression in cone snail venom glands</w:t>
      </w:r>
      <w:r>
        <w:rPr>
          <w:rStyle w:val="s5"/>
          <w:color w:val="000000"/>
          <w:sz w:val="18"/>
          <w:szCs w:val="18"/>
        </w:rPr>
        <w:t>. Dots represent individual data points.</w:t>
      </w:r>
    </w:p>
    <w:p w14:paraId="40AA2264"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Fonts w:ascii="-webkit-standard" w:hAnsi="-webkit-standard"/>
          <w:color w:val="000000"/>
          <w:sz w:val="18"/>
          <w:szCs w:val="18"/>
        </w:rPr>
        <w:t> </w:t>
      </w:r>
    </w:p>
    <w:p w14:paraId="59F62527"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Style w:val="s3"/>
          <w:b/>
          <w:bCs/>
          <w:color w:val="000000"/>
          <w:sz w:val="18"/>
          <w:szCs w:val="18"/>
        </w:rPr>
        <w:t>S4 Fig. Mass spectrometry of doppelganger toxins.</w:t>
      </w:r>
      <w:r>
        <w:rPr>
          <w:rStyle w:val="apple-converted-space"/>
          <w:color w:val="000000"/>
          <w:sz w:val="18"/>
          <w:szCs w:val="18"/>
        </w:rPr>
        <w:t> </w:t>
      </w:r>
      <w:r>
        <w:rPr>
          <w:rStyle w:val="s32"/>
          <w:color w:val="2E2E2E"/>
          <w:sz w:val="18"/>
          <w:szCs w:val="18"/>
        </w:rPr>
        <w:t>MS</w:t>
      </w:r>
      <w:r>
        <w:rPr>
          <w:rStyle w:val="apple-converted-space"/>
          <w:color w:val="2E2E2E"/>
          <w:sz w:val="18"/>
          <w:szCs w:val="18"/>
        </w:rPr>
        <w:t> </w:t>
      </w:r>
      <w:r>
        <w:rPr>
          <w:rStyle w:val="s32"/>
          <w:color w:val="2E2E2E"/>
          <w:sz w:val="18"/>
          <w:szCs w:val="18"/>
        </w:rPr>
        <w:t>(upper) and</w:t>
      </w:r>
      <w:r>
        <w:rPr>
          <w:rStyle w:val="apple-converted-space"/>
          <w:color w:val="2E2E2E"/>
          <w:sz w:val="18"/>
          <w:szCs w:val="18"/>
        </w:rPr>
        <w:t> </w:t>
      </w:r>
      <w:r>
        <w:rPr>
          <w:rStyle w:val="s32"/>
          <w:color w:val="2E2E2E"/>
          <w:sz w:val="18"/>
          <w:szCs w:val="18"/>
        </w:rPr>
        <w:t>MS/MS (lower)</w:t>
      </w:r>
      <w:r>
        <w:rPr>
          <w:rStyle w:val="apple-converted-space"/>
          <w:color w:val="2E2E2E"/>
          <w:sz w:val="18"/>
          <w:szCs w:val="18"/>
        </w:rPr>
        <w:t> </w:t>
      </w:r>
      <w:r>
        <w:rPr>
          <w:rStyle w:val="s32"/>
          <w:color w:val="2E2E2E"/>
          <w:sz w:val="18"/>
          <w:szCs w:val="18"/>
        </w:rPr>
        <w:t>spectra</w:t>
      </w:r>
      <w:r>
        <w:rPr>
          <w:rStyle w:val="apple-converted-space"/>
          <w:color w:val="2E2E2E"/>
          <w:sz w:val="18"/>
          <w:szCs w:val="18"/>
        </w:rPr>
        <w:t> </w:t>
      </w:r>
      <w:r>
        <w:rPr>
          <w:rStyle w:val="s32"/>
          <w:color w:val="2E2E2E"/>
          <w:sz w:val="18"/>
          <w:szCs w:val="18"/>
        </w:rPr>
        <w:t>of Tail and</w:t>
      </w:r>
      <w:r>
        <w:rPr>
          <w:rStyle w:val="apple-converted-space"/>
          <w:color w:val="2E2E2E"/>
          <w:sz w:val="18"/>
          <w:szCs w:val="18"/>
        </w:rPr>
        <w:t> </w:t>
      </w:r>
      <w:r>
        <w:rPr>
          <w:rStyle w:val="s32"/>
          <w:color w:val="2E2E2E"/>
          <w:sz w:val="18"/>
          <w:szCs w:val="18"/>
        </w:rPr>
        <w:t>Medial doppelganger toxins. (A)</w:t>
      </w:r>
      <w:r>
        <w:rPr>
          <w:rStyle w:val="apple-converted-space"/>
          <w:color w:val="2E2E2E"/>
          <w:sz w:val="18"/>
          <w:szCs w:val="18"/>
        </w:rPr>
        <w:t> </w:t>
      </w:r>
      <w:r>
        <w:rPr>
          <w:rStyle w:val="s33"/>
          <w:i/>
          <w:iCs/>
          <w:color w:val="2E2E2E"/>
          <w:sz w:val="18"/>
          <w:szCs w:val="18"/>
        </w:rPr>
        <w:t>Conus terebra</w:t>
      </w:r>
      <w:r>
        <w:rPr>
          <w:rStyle w:val="apple-converted-space"/>
          <w:i/>
          <w:iCs/>
          <w:color w:val="2E2E2E"/>
          <w:sz w:val="18"/>
          <w:szCs w:val="18"/>
        </w:rPr>
        <w:t> </w:t>
      </w:r>
      <w:r>
        <w:rPr>
          <w:rStyle w:val="s32"/>
          <w:color w:val="2E2E2E"/>
          <w:sz w:val="18"/>
          <w:szCs w:val="18"/>
        </w:rPr>
        <w:t>Tail doppelganger toxin is C-terminally amidated, (B)</w:t>
      </w:r>
      <w:r>
        <w:rPr>
          <w:rStyle w:val="apple-converted-space"/>
          <w:color w:val="2E2E2E"/>
          <w:sz w:val="18"/>
          <w:szCs w:val="18"/>
        </w:rPr>
        <w:t> </w:t>
      </w:r>
      <w:r>
        <w:rPr>
          <w:rStyle w:val="s33"/>
          <w:i/>
          <w:iCs/>
          <w:color w:val="2E2E2E"/>
          <w:sz w:val="18"/>
          <w:szCs w:val="18"/>
        </w:rPr>
        <w:t>Conus textile</w:t>
      </w:r>
      <w:r>
        <w:rPr>
          <w:rStyle w:val="apple-converted-space"/>
          <w:i/>
          <w:iCs/>
          <w:color w:val="2E2E2E"/>
          <w:sz w:val="18"/>
          <w:szCs w:val="18"/>
        </w:rPr>
        <w:t> </w:t>
      </w:r>
      <w:r>
        <w:rPr>
          <w:rStyle w:val="s32"/>
          <w:color w:val="2E2E2E"/>
          <w:sz w:val="18"/>
          <w:szCs w:val="18"/>
        </w:rPr>
        <w:t>Medial doppelganger toxin 1, (C)</w:t>
      </w:r>
      <w:r>
        <w:rPr>
          <w:rStyle w:val="apple-converted-space"/>
          <w:color w:val="2E2E2E"/>
          <w:sz w:val="18"/>
          <w:szCs w:val="18"/>
        </w:rPr>
        <w:t> </w:t>
      </w:r>
      <w:r>
        <w:rPr>
          <w:rStyle w:val="s33"/>
          <w:i/>
          <w:iCs/>
          <w:color w:val="2E2E2E"/>
          <w:sz w:val="18"/>
          <w:szCs w:val="18"/>
        </w:rPr>
        <w:t>Conus</w:t>
      </w:r>
      <w:r>
        <w:rPr>
          <w:rStyle w:val="apple-converted-space"/>
          <w:i/>
          <w:iCs/>
          <w:color w:val="2E2E2E"/>
          <w:sz w:val="18"/>
          <w:szCs w:val="18"/>
        </w:rPr>
        <w:t> </w:t>
      </w:r>
      <w:proofErr w:type="spellStart"/>
      <w:r>
        <w:rPr>
          <w:rStyle w:val="s33"/>
          <w:i/>
          <w:iCs/>
          <w:color w:val="2E2E2E"/>
          <w:sz w:val="18"/>
          <w:szCs w:val="18"/>
        </w:rPr>
        <w:t>marmoreus</w:t>
      </w:r>
      <w:proofErr w:type="spellEnd"/>
      <w:r>
        <w:rPr>
          <w:rStyle w:val="apple-converted-space"/>
          <w:i/>
          <w:iCs/>
          <w:color w:val="2E2E2E"/>
          <w:sz w:val="18"/>
          <w:szCs w:val="18"/>
        </w:rPr>
        <w:t> </w:t>
      </w:r>
      <w:r>
        <w:rPr>
          <w:rStyle w:val="s32"/>
          <w:color w:val="2E2E2E"/>
          <w:sz w:val="18"/>
          <w:szCs w:val="18"/>
        </w:rPr>
        <w:t>Medial doppelganger toxin 2.</w:t>
      </w:r>
    </w:p>
    <w:p w14:paraId="52FC264E"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Fonts w:ascii="-webkit-standard" w:hAnsi="-webkit-standard"/>
          <w:color w:val="000000"/>
          <w:sz w:val="18"/>
          <w:szCs w:val="18"/>
        </w:rPr>
        <w:t> </w:t>
      </w:r>
    </w:p>
    <w:p w14:paraId="2E564FB6"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Style w:val="s3"/>
          <w:b/>
          <w:bCs/>
          <w:color w:val="000000"/>
          <w:sz w:val="18"/>
          <w:szCs w:val="18"/>
        </w:rPr>
        <w:t>S5 Fig. DREP transcript expression.</w:t>
      </w:r>
      <w:r>
        <w:rPr>
          <w:rStyle w:val="apple-converted-space"/>
          <w:b/>
          <w:bCs/>
          <w:color w:val="000000"/>
          <w:sz w:val="18"/>
          <w:szCs w:val="18"/>
        </w:rPr>
        <w:t> </w:t>
      </w:r>
      <w:r>
        <w:rPr>
          <w:rStyle w:val="s5"/>
          <w:color w:val="000000"/>
          <w:sz w:val="18"/>
          <w:szCs w:val="18"/>
        </w:rPr>
        <w:t>Mean (</w:t>
      </w:r>
      <w:r>
        <w:rPr>
          <w:rStyle w:val="s3"/>
          <w:b/>
          <w:bCs/>
          <w:color w:val="000000"/>
          <w:sz w:val="18"/>
          <w:szCs w:val="18"/>
        </w:rPr>
        <w:t>A</w:t>
      </w:r>
      <w:r>
        <w:rPr>
          <w:rStyle w:val="s5"/>
          <w:color w:val="000000"/>
          <w:sz w:val="18"/>
          <w:szCs w:val="18"/>
        </w:rPr>
        <w:t>) Aplysia-DREP, (</w:t>
      </w:r>
      <w:r>
        <w:rPr>
          <w:rStyle w:val="s3"/>
          <w:b/>
          <w:bCs/>
          <w:color w:val="000000"/>
          <w:sz w:val="18"/>
          <w:szCs w:val="18"/>
        </w:rPr>
        <w:t>B</w:t>
      </w:r>
      <w:r>
        <w:rPr>
          <w:rStyle w:val="s5"/>
          <w:color w:val="000000"/>
          <w:sz w:val="18"/>
          <w:szCs w:val="18"/>
        </w:rPr>
        <w:t>)</w:t>
      </w:r>
      <w:r>
        <w:rPr>
          <w:rStyle w:val="apple-converted-space"/>
          <w:color w:val="000000"/>
          <w:sz w:val="18"/>
          <w:szCs w:val="18"/>
        </w:rPr>
        <w:t> </w:t>
      </w:r>
      <w:proofErr w:type="spellStart"/>
      <w:r>
        <w:rPr>
          <w:rStyle w:val="s5"/>
          <w:color w:val="000000"/>
          <w:sz w:val="18"/>
          <w:szCs w:val="18"/>
        </w:rPr>
        <w:t>Lumbricus</w:t>
      </w:r>
      <w:proofErr w:type="spellEnd"/>
      <w:r>
        <w:rPr>
          <w:rStyle w:val="s5"/>
          <w:color w:val="000000"/>
          <w:sz w:val="18"/>
          <w:szCs w:val="18"/>
        </w:rPr>
        <w:t>-DREP, and (</w:t>
      </w:r>
      <w:r>
        <w:rPr>
          <w:rStyle w:val="s3"/>
          <w:b/>
          <w:bCs/>
          <w:color w:val="000000"/>
          <w:sz w:val="18"/>
          <w:szCs w:val="18"/>
        </w:rPr>
        <w:t>C</w:t>
      </w:r>
      <w:r>
        <w:rPr>
          <w:rStyle w:val="s5"/>
          <w:color w:val="000000"/>
          <w:sz w:val="18"/>
          <w:szCs w:val="18"/>
        </w:rPr>
        <w:t>)</w:t>
      </w:r>
      <w:r>
        <w:rPr>
          <w:rStyle w:val="apple-converted-space"/>
          <w:color w:val="000000"/>
          <w:sz w:val="18"/>
          <w:szCs w:val="18"/>
        </w:rPr>
        <w:t> </w:t>
      </w:r>
      <w:proofErr w:type="spellStart"/>
      <w:r>
        <w:rPr>
          <w:rStyle w:val="s5"/>
          <w:color w:val="000000"/>
          <w:sz w:val="18"/>
          <w:szCs w:val="18"/>
        </w:rPr>
        <w:t>Doryteuthis</w:t>
      </w:r>
      <w:proofErr w:type="spellEnd"/>
      <w:r>
        <w:rPr>
          <w:rStyle w:val="s5"/>
          <w:color w:val="000000"/>
          <w:sz w:val="18"/>
          <w:szCs w:val="18"/>
        </w:rPr>
        <w:t>-DREP transcript expression in different tissues.</w:t>
      </w:r>
    </w:p>
    <w:p w14:paraId="403CB6A2"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Fonts w:ascii="-webkit-standard" w:hAnsi="-webkit-standard"/>
          <w:color w:val="000000"/>
          <w:sz w:val="18"/>
          <w:szCs w:val="18"/>
        </w:rPr>
        <w:t> </w:t>
      </w:r>
    </w:p>
    <w:p w14:paraId="7437438F"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Style w:val="s3"/>
          <w:b/>
          <w:bCs/>
          <w:color w:val="000000"/>
          <w:sz w:val="18"/>
          <w:szCs w:val="18"/>
        </w:rPr>
        <w:t>S6 Fig.</w:t>
      </w:r>
      <w:r>
        <w:rPr>
          <w:rStyle w:val="apple-converted-space"/>
          <w:b/>
          <w:bCs/>
          <w:color w:val="000000"/>
          <w:sz w:val="18"/>
          <w:szCs w:val="18"/>
        </w:rPr>
        <w:t> </w:t>
      </w:r>
      <w:r>
        <w:rPr>
          <w:rStyle w:val="s3"/>
          <w:b/>
          <w:bCs/>
          <w:color w:val="000000"/>
          <w:sz w:val="18"/>
          <w:szCs w:val="18"/>
        </w:rPr>
        <w:t>BLOSUM62 map of doppelganger toxins and DREPs</w:t>
      </w:r>
      <w:r>
        <w:rPr>
          <w:rStyle w:val="s5"/>
          <w:color w:val="000000"/>
          <w:sz w:val="18"/>
          <w:szCs w:val="18"/>
        </w:rPr>
        <w:t>. The nodes represent individual precursor sequences, and the edges correspond to the</w:t>
      </w:r>
      <w:r>
        <w:rPr>
          <w:rStyle w:val="apple-converted-space"/>
          <w:color w:val="000000"/>
          <w:sz w:val="18"/>
          <w:szCs w:val="18"/>
        </w:rPr>
        <w:t> </w:t>
      </w:r>
      <w:proofErr w:type="spellStart"/>
      <w:r>
        <w:rPr>
          <w:rStyle w:val="s5"/>
          <w:color w:val="000000"/>
          <w:sz w:val="18"/>
          <w:szCs w:val="18"/>
        </w:rPr>
        <w:t>BLASTp</w:t>
      </w:r>
      <w:proofErr w:type="spellEnd"/>
      <w:r>
        <w:rPr>
          <w:rStyle w:val="apple-converted-space"/>
          <w:color w:val="000000"/>
          <w:sz w:val="18"/>
          <w:szCs w:val="18"/>
        </w:rPr>
        <w:t> </w:t>
      </w:r>
      <w:r>
        <w:rPr>
          <w:rStyle w:val="s5"/>
          <w:color w:val="000000"/>
          <w:sz w:val="18"/>
          <w:szCs w:val="18"/>
        </w:rPr>
        <w:t>p-values linking the ends.</w:t>
      </w:r>
    </w:p>
    <w:p w14:paraId="0727B592" w14:textId="77777777" w:rsidR="00302D71" w:rsidRDefault="00302D71" w:rsidP="00302D71">
      <w:pPr>
        <w:pStyle w:val="s7"/>
        <w:spacing w:before="0" w:beforeAutospacing="0" w:after="0" w:afterAutospacing="0" w:line="480" w:lineRule="auto"/>
        <w:jc w:val="both"/>
        <w:rPr>
          <w:rFonts w:ascii="-webkit-standard" w:hAnsi="-webkit-standard"/>
          <w:color w:val="000000"/>
          <w:sz w:val="18"/>
          <w:szCs w:val="18"/>
        </w:rPr>
      </w:pPr>
      <w:r>
        <w:rPr>
          <w:rFonts w:ascii="-webkit-standard" w:hAnsi="-webkit-standard"/>
          <w:color w:val="000000"/>
          <w:sz w:val="18"/>
          <w:szCs w:val="18"/>
        </w:rPr>
        <w:t> </w:t>
      </w:r>
    </w:p>
    <w:p w14:paraId="196D55D1" w14:textId="77777777" w:rsidR="00302D71" w:rsidRDefault="00302D71" w:rsidP="00302D71">
      <w:pPr>
        <w:pStyle w:val="s7"/>
        <w:spacing w:before="0" w:beforeAutospacing="0" w:after="0" w:afterAutospacing="0" w:line="480" w:lineRule="auto"/>
        <w:jc w:val="both"/>
        <w:rPr>
          <w:rFonts w:ascii="-webkit-standard" w:hAnsi="-webkit-standard"/>
          <w:color w:val="000000"/>
          <w:sz w:val="18"/>
          <w:szCs w:val="18"/>
        </w:rPr>
      </w:pPr>
      <w:r>
        <w:rPr>
          <w:rStyle w:val="s3"/>
          <w:b/>
          <w:bCs/>
          <w:color w:val="000000"/>
          <w:sz w:val="18"/>
          <w:szCs w:val="18"/>
        </w:rPr>
        <w:t>S7 Fig.</w:t>
      </w:r>
      <w:r>
        <w:rPr>
          <w:rStyle w:val="apple-converted-space"/>
          <w:color w:val="000000"/>
          <w:sz w:val="18"/>
          <w:szCs w:val="18"/>
        </w:rPr>
        <w:t> </w:t>
      </w:r>
      <w:r>
        <w:rPr>
          <w:rStyle w:val="s3"/>
          <w:b/>
          <w:bCs/>
          <w:color w:val="000000"/>
          <w:sz w:val="18"/>
          <w:szCs w:val="18"/>
        </w:rPr>
        <w:t>Evolutionary trace analyses.</w:t>
      </w:r>
      <w:r>
        <w:rPr>
          <w:rStyle w:val="apple-converted-space"/>
          <w:color w:val="000000"/>
          <w:sz w:val="18"/>
          <w:szCs w:val="18"/>
        </w:rPr>
        <w:t> </w:t>
      </w:r>
      <w:r>
        <w:rPr>
          <w:rStyle w:val="s5"/>
          <w:color w:val="000000"/>
          <w:sz w:val="18"/>
          <w:szCs w:val="18"/>
        </w:rPr>
        <w:t>Evolutionary trace analyses show different conservation (rate4site) scores in the toxin/peptide regions compared to the signal sequence and spacer</w:t>
      </w:r>
      <w:r>
        <w:rPr>
          <w:rStyle w:val="apple-converted-space"/>
          <w:color w:val="000000"/>
          <w:sz w:val="18"/>
          <w:szCs w:val="18"/>
        </w:rPr>
        <w:t> </w:t>
      </w:r>
      <w:r>
        <w:rPr>
          <w:rStyle w:val="s5"/>
          <w:color w:val="000000"/>
          <w:sz w:val="18"/>
          <w:szCs w:val="18"/>
        </w:rPr>
        <w:t>region(s). (Left) Position-specific rate4site scores for doppelganger toxin and DREPs. (Right) Wilcoxon rank-sum test shows differences between the toxin region compared to the signal sequence and spacer region. The signal peptide is depicted in light blue, processing sites are in red, and cysteines in yellow. The peptide and toxin regions are shown above the graphs. Spacer regions are defined as the non-signal sequence/peptide/processing site regions.</w:t>
      </w:r>
    </w:p>
    <w:p w14:paraId="1281FA1C"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Fonts w:ascii="-webkit-standard" w:hAnsi="-webkit-standard"/>
          <w:color w:val="000000"/>
          <w:sz w:val="18"/>
          <w:szCs w:val="18"/>
        </w:rPr>
        <w:t> </w:t>
      </w:r>
    </w:p>
    <w:p w14:paraId="1F64CD14" w14:textId="77777777" w:rsidR="00302D71" w:rsidRDefault="00302D71" w:rsidP="00302D71">
      <w:pPr>
        <w:pStyle w:val="s4"/>
        <w:spacing w:before="0" w:beforeAutospacing="0" w:after="0" w:afterAutospacing="0" w:line="480" w:lineRule="auto"/>
        <w:rPr>
          <w:rFonts w:ascii="-webkit-standard" w:hAnsi="-webkit-standard"/>
          <w:color w:val="000000"/>
          <w:sz w:val="18"/>
          <w:szCs w:val="18"/>
        </w:rPr>
      </w:pPr>
      <w:r>
        <w:rPr>
          <w:rStyle w:val="s3"/>
          <w:b/>
          <w:bCs/>
          <w:color w:val="000000"/>
          <w:sz w:val="18"/>
          <w:szCs w:val="18"/>
        </w:rPr>
        <w:t>S8 Fig.</w:t>
      </w:r>
      <w:r>
        <w:rPr>
          <w:rStyle w:val="apple-converted-space"/>
          <w:b/>
          <w:bCs/>
          <w:color w:val="000000"/>
          <w:sz w:val="18"/>
          <w:szCs w:val="18"/>
        </w:rPr>
        <w:t> </w:t>
      </w:r>
      <w:r>
        <w:rPr>
          <w:rStyle w:val="s3"/>
          <w:b/>
          <w:bCs/>
          <w:color w:val="000000"/>
          <w:sz w:val="18"/>
          <w:szCs w:val="18"/>
        </w:rPr>
        <w:t>Wilcoxon rank-sum test of rate4site scores of exon1 and exon2 of Triangle doppelganger toxin.</w:t>
      </w:r>
    </w:p>
    <w:p w14:paraId="3CF37248" w14:textId="77777777" w:rsidR="007C018F" w:rsidRDefault="007C018F"/>
    <w:sectPr w:rsidR="007C0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71"/>
    <w:rsid w:val="0002292D"/>
    <w:rsid w:val="00103A55"/>
    <w:rsid w:val="00110CD4"/>
    <w:rsid w:val="001942C6"/>
    <w:rsid w:val="001E63EE"/>
    <w:rsid w:val="002749FC"/>
    <w:rsid w:val="002943CD"/>
    <w:rsid w:val="00295DB8"/>
    <w:rsid w:val="00302D71"/>
    <w:rsid w:val="0046086C"/>
    <w:rsid w:val="004770E1"/>
    <w:rsid w:val="004B429E"/>
    <w:rsid w:val="004D1B72"/>
    <w:rsid w:val="00586AD6"/>
    <w:rsid w:val="00616FE1"/>
    <w:rsid w:val="00646043"/>
    <w:rsid w:val="00661DD2"/>
    <w:rsid w:val="00680FAE"/>
    <w:rsid w:val="006F382F"/>
    <w:rsid w:val="006F750A"/>
    <w:rsid w:val="00753A0F"/>
    <w:rsid w:val="007C018F"/>
    <w:rsid w:val="007D6F13"/>
    <w:rsid w:val="008029AF"/>
    <w:rsid w:val="008934CB"/>
    <w:rsid w:val="0092283D"/>
    <w:rsid w:val="00A56A64"/>
    <w:rsid w:val="00AA6430"/>
    <w:rsid w:val="00BD098A"/>
    <w:rsid w:val="00C6053A"/>
    <w:rsid w:val="00C92363"/>
    <w:rsid w:val="00CA3466"/>
    <w:rsid w:val="00D049F6"/>
    <w:rsid w:val="00D84671"/>
    <w:rsid w:val="00E61399"/>
    <w:rsid w:val="00F02DC5"/>
    <w:rsid w:val="00F7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D7495"/>
  <w15:chartTrackingRefBased/>
  <w15:docId w15:val="{A5E106C3-717B-C445-94C6-FDF6AB25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4">
    <w:name w:val="s4"/>
    <w:basedOn w:val="Normal"/>
    <w:rsid w:val="00302D71"/>
    <w:pPr>
      <w:spacing w:before="100" w:beforeAutospacing="1" w:after="100" w:afterAutospacing="1"/>
    </w:pPr>
    <w:rPr>
      <w:rFonts w:ascii="Times New Roman" w:eastAsia="Times New Roman" w:hAnsi="Times New Roman" w:cs="Times New Roman"/>
      <w:kern w:val="0"/>
      <w14:ligatures w14:val="none"/>
    </w:rPr>
  </w:style>
  <w:style w:type="character" w:customStyle="1" w:styleId="s3">
    <w:name w:val="s3"/>
    <w:basedOn w:val="DefaultParagraphFont"/>
    <w:rsid w:val="00302D71"/>
  </w:style>
  <w:style w:type="character" w:customStyle="1" w:styleId="apple-converted-space">
    <w:name w:val="apple-converted-space"/>
    <w:basedOn w:val="DefaultParagraphFont"/>
    <w:rsid w:val="00302D71"/>
  </w:style>
  <w:style w:type="character" w:customStyle="1" w:styleId="s5">
    <w:name w:val="s5"/>
    <w:basedOn w:val="DefaultParagraphFont"/>
    <w:rsid w:val="00302D71"/>
  </w:style>
  <w:style w:type="character" w:customStyle="1" w:styleId="s10">
    <w:name w:val="s10"/>
    <w:basedOn w:val="DefaultParagraphFont"/>
    <w:rsid w:val="00302D71"/>
  </w:style>
  <w:style w:type="character" w:customStyle="1" w:styleId="s32">
    <w:name w:val="s32"/>
    <w:basedOn w:val="DefaultParagraphFont"/>
    <w:rsid w:val="00302D71"/>
  </w:style>
  <w:style w:type="character" w:customStyle="1" w:styleId="s33">
    <w:name w:val="s33"/>
    <w:basedOn w:val="DefaultParagraphFont"/>
    <w:rsid w:val="00302D71"/>
  </w:style>
  <w:style w:type="paragraph" w:customStyle="1" w:styleId="s7">
    <w:name w:val="s7"/>
    <w:basedOn w:val="Normal"/>
    <w:rsid w:val="00302D7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Koch</dc:creator>
  <cp:keywords/>
  <dc:description/>
  <cp:lastModifiedBy>Thomas Koch</cp:lastModifiedBy>
  <cp:revision>1</cp:revision>
  <dcterms:created xsi:type="dcterms:W3CDTF">2023-07-03T09:23:00Z</dcterms:created>
  <dcterms:modified xsi:type="dcterms:W3CDTF">2023-07-03T09:23:00Z</dcterms:modified>
</cp:coreProperties>
</file>