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aps/>
          <w:color w:val="8E1B22"/>
          <w:sz w:val="17"/>
          <w:szCs w:val="17"/>
        </w:rPr>
        <w:t xml:space="preserve">BANQUE DE DÉCISIONS</w:t>
      </w:r>
    </w:p>
    <w:p>
      <w:pPr>
        <w:spacing w:after="140"/>
      </w:pPr>
      <w:r>
        <w:rPr>
          <w:rFonts w:ascii="Calibri" w:cs="Calibri" w:eastAsia="Calibri" w:hAnsi="Calibri"/>
          <w:b/>
          <w:bCs/>
          <w:color w:val="1B1618"/>
          <w:sz w:val="36"/>
          <w:szCs w:val="36"/>
        </w:rPr>
        <w:t xml:space="preserve">Quinze décisions à commenter — Grand oral CRFPA</w:t>
      </w:r>
    </w:p>
    <w:p>
      <w:pPr>
        <w:spacing w:after="100" w:before="0"/>
      </w:pPr>
      <w:r>
        <w:rPr>
          <w:rFonts w:ascii="Calibri" w:cs="Calibri" w:eastAsia="Calibri" w:hAnsi="Calibri"/>
          <w:color w:val="6E6467"/>
          <w:sz w:val="21"/>
          <w:szCs w:val="21"/>
        </w:rPr>
        <w:t xml:space="preserve">Chaque référence a été vérifiée sur une source officielle ou de première main. Les fiches ci-dessous ne sont pas des corrigés à réciter : ce sont les repères qui doivent apparaître dans ta fiche de préparation, et le plan que la décision commande. Si ton plan diverge mais reste tiré de la décision, il est bon.</w:t>
      </w:r>
    </w:p>
    <w:p>
      <w:pPr>
        <w:spacing w:after="100" w:before="0"/>
      </w:pPr>
      <w:r>
        <w:rPr>
          <w:rFonts w:ascii="Calibri" w:cs="Calibri" w:eastAsia="Calibri" w:hAnsi="Calibri"/>
          <w:color w:val="6E6467"/>
          <w:sz w:val="21"/>
          <w:szCs w:val="21"/>
        </w:rPr>
        <w:t xml:space="preserve">Mode d'emploi. Une séance = une décision, une heure de préparation chronométrée, quinze minutes d'exposé enregistré. Tu ne lis la fiche qu'après. Tu notes l'écart, pas la note.</w:t>
      </w:r>
    </w:p>
    <w:p>
      <w:pPr>
        <w:spacing w:after="100" w:before="200"/>
      </w:pPr>
      <w:r>
        <w:rPr>
          <w:rFonts w:ascii="Calibri" w:cs="Calibri" w:eastAsia="Calibri" w:hAnsi="Calibri"/>
          <w:b/>
          <w:bCs/>
          <w:color w:val="1B1618"/>
          <w:sz w:val="24"/>
          <w:szCs w:val="24"/>
        </w:rPr>
        <w:t xml:space="preserve">Le contrôle du plan, avant de développer</w:t>
      </w:r>
    </w:p>
    <w:p>
      <w:pPr>
        <w:spacing w:after="70"/>
        <w:ind w:left="280" w:hanging="280"/>
      </w:pPr>
      <w:r>
        <w:rPr>
          <w:rFonts w:ascii="Calibri" w:cs="Calibri" w:eastAsia="Calibri" w:hAnsi="Calibri"/>
          <w:b/>
          <w:bCs/>
          <w:color w:val="8E1B22"/>
          <w:sz w:val="21"/>
          <w:szCs w:val="21"/>
        </w:rPr>
        <w:t xml:space="preserve">1.  </w:t>
      </w:r>
      <w:r>
        <w:rPr>
          <w:rFonts w:ascii="Calibri" w:cs="Calibri" w:eastAsia="Calibri" w:hAnsi="Calibri"/>
          <w:color w:val="1B1618"/>
          <w:sz w:val="21"/>
          <w:szCs w:val="21"/>
        </w:rPr>
        <w:t xml:space="preserve">La problématique est une question à laquelle on peut répondre — pas « quel est le régime de… ».</w:t>
      </w:r>
    </w:p>
    <w:p>
      <w:pPr>
        <w:spacing w:after="70"/>
        <w:ind w:left="280" w:hanging="280"/>
      </w:pPr>
      <w:r>
        <w:rPr>
          <w:rFonts w:ascii="Calibri" w:cs="Calibri" w:eastAsia="Calibri" w:hAnsi="Calibri"/>
          <w:b/>
          <w:bCs/>
          <w:color w:val="8E1B22"/>
          <w:sz w:val="21"/>
          <w:szCs w:val="21"/>
        </w:rPr>
        <w:t xml:space="preserve">2.  </w:t>
      </w:r>
      <w:r>
        <w:rPr>
          <w:rFonts w:ascii="Calibri" w:cs="Calibri" w:eastAsia="Calibri" w:hAnsi="Calibri"/>
          <w:color w:val="1B1618"/>
          <w:sz w:val="21"/>
          <w:szCs w:val="21"/>
        </w:rPr>
        <w:t xml:space="preserve">Les deux titres ne pourraient pas coiffer une autre décision sur la même liberté.</w:t>
      </w:r>
    </w:p>
    <w:p>
      <w:pPr>
        <w:spacing w:after="70"/>
        <w:ind w:left="280" w:hanging="280"/>
      </w:pPr>
      <w:r>
        <w:rPr>
          <w:rFonts w:ascii="Calibri" w:cs="Calibri" w:eastAsia="Calibri" w:hAnsi="Calibri"/>
          <w:b/>
          <w:bCs/>
          <w:color w:val="8E1B22"/>
          <w:sz w:val="21"/>
          <w:szCs w:val="21"/>
        </w:rPr>
        <w:t xml:space="preserve">3.  </w:t>
      </w:r>
      <w:r>
        <w:rPr>
          <w:rFonts w:ascii="Calibri" w:cs="Calibri" w:eastAsia="Calibri" w:hAnsi="Calibri"/>
          <w:color w:val="1B1618"/>
          <w:sz w:val="21"/>
          <w:szCs w:val="21"/>
        </w:rPr>
        <w:t xml:space="preserve">Chaque sous-partie tient en une phrase affirmative avant d'être développée.</w:t>
      </w:r>
    </w:p>
    <w:p>
      <w:pPr>
        <w:spacing w:after="70"/>
        <w:ind w:left="280" w:hanging="280"/>
      </w:pPr>
      <w:r>
        <w:rPr>
          <w:rFonts w:ascii="Calibri" w:cs="Calibri" w:eastAsia="Calibri" w:hAnsi="Calibri"/>
          <w:b/>
          <w:bCs/>
          <w:color w:val="8E1B22"/>
          <w:sz w:val="21"/>
          <w:szCs w:val="21"/>
        </w:rPr>
        <w:t xml:space="preserve">4.  </w:t>
      </w:r>
      <w:r>
        <w:rPr>
          <w:rFonts w:ascii="Calibri" w:cs="Calibri" w:eastAsia="Calibri" w:hAnsi="Calibri"/>
          <w:color w:val="1B1618"/>
          <w:sz w:val="21"/>
          <w:szCs w:val="21"/>
        </w:rPr>
        <w:t xml:space="preserve">Le plan est étanche : rien de la première partie ne pourrait être dit dans la seconde.</w:t>
      </w:r>
    </w:p>
    <w:p>
      <w:pPr>
        <w:spacing w:after="70"/>
        <w:ind w:left="280" w:hanging="280"/>
      </w:pPr>
      <w:r>
        <w:rPr>
          <w:rFonts w:ascii="Calibri" w:cs="Calibri" w:eastAsia="Calibri" w:hAnsi="Calibri"/>
          <w:b/>
          <w:bCs/>
          <w:color w:val="8E1B22"/>
          <w:sz w:val="21"/>
          <w:szCs w:val="21"/>
        </w:rPr>
        <w:t xml:space="preserve">5.  </w:t>
      </w:r>
      <w:r>
        <w:rPr>
          <w:rFonts w:ascii="Calibri" w:cs="Calibri" w:eastAsia="Calibri" w:hAnsi="Calibri"/>
          <w:color w:val="1B1618"/>
          <w:sz w:val="21"/>
          <w:szCs w:val="21"/>
        </w:rPr>
        <w:t xml:space="preserve">Un texte au moins est visé dans chaque partie, et il figure dans le code que tu auras le jour J.</w:t>
      </w:r>
    </w:p>
    <w:p>
      <w:pPr>
        <w:spacing w:after="70"/>
        <w:ind w:left="280" w:hanging="280"/>
      </w:pPr>
      <w:r>
        <w:rPr>
          <w:rFonts w:ascii="Calibri" w:cs="Calibri" w:eastAsia="Calibri" w:hAnsi="Calibri"/>
          <w:b/>
          <w:bCs/>
          <w:color w:val="8E1B22"/>
          <w:sz w:val="21"/>
          <w:szCs w:val="21"/>
        </w:rPr>
        <w:t xml:space="preserve">6.  </w:t>
      </w:r>
      <w:r>
        <w:rPr>
          <w:rFonts w:ascii="Calibri" w:cs="Calibri" w:eastAsia="Calibri" w:hAnsi="Calibri"/>
          <w:color w:val="1B1618"/>
          <w:sz w:val="21"/>
          <w:szCs w:val="21"/>
        </w:rPr>
        <w:t xml:space="preserve">Le contrôle de proportionnalité apparaît quelque part — sinon, en libertés fondamentales, il manque le cœur.</w:t>
      </w:r>
    </w:p>
    <w:p>
      <w:pPr>
        <w:spacing w:after="70"/>
        <w:ind w:left="280" w:hanging="280"/>
      </w:pPr>
      <w:r>
        <w:rPr>
          <w:rFonts w:ascii="Calibri" w:cs="Calibri" w:eastAsia="Calibri" w:hAnsi="Calibri"/>
          <w:b/>
          <w:bCs/>
          <w:color w:val="8E1B22"/>
          <w:sz w:val="21"/>
          <w:szCs w:val="21"/>
        </w:rPr>
        <w:t xml:space="preserve">7.  </w:t>
      </w:r>
      <w:r>
        <w:rPr>
          <w:rFonts w:ascii="Calibri" w:cs="Calibri" w:eastAsia="Calibri" w:hAnsi="Calibri"/>
          <w:color w:val="1B1618"/>
          <w:sz w:val="21"/>
          <w:szCs w:val="21"/>
        </w:rPr>
        <w:t xml:space="preserve">Un exemple d'actualité daté, au moins un.</w:t>
      </w:r>
    </w:p>
    <w:p>
      <w:pPr>
        <w:spacing w:after="70"/>
        <w:ind w:left="280" w:hanging="280"/>
      </w:pPr>
      <w:r>
        <w:rPr>
          <w:rFonts w:ascii="Calibri" w:cs="Calibri" w:eastAsia="Calibri" w:hAnsi="Calibri"/>
          <w:b/>
          <w:bCs/>
          <w:color w:val="8E1B22"/>
          <w:sz w:val="21"/>
          <w:szCs w:val="21"/>
        </w:rPr>
        <w:t xml:space="preserve">8.  </w:t>
      </w:r>
      <w:r>
        <w:rPr>
          <w:rFonts w:ascii="Calibri" w:cs="Calibri" w:eastAsia="Calibri" w:hAnsi="Calibri"/>
          <w:color w:val="1B1618"/>
          <w:sz w:val="21"/>
          <w:szCs w:val="21"/>
        </w:rPr>
        <w:t xml:space="preserve">Le minutage : introduction 4 minutes au plus, parties équilibrées à trente secondes près, conclusion 2 minutes.</w:t>
      </w:r>
    </w:p>
    <w:p>
      <w:pPr>
        <w:spacing w:after="120" w:before="220"/>
      </w:pPr>
      <w:r>
        <w:rPr>
          <w:rFonts w:ascii="Calibri" w:cs="Calibri" w:eastAsia="Calibri" w:hAnsi="Calibri"/>
          <w:b/>
          <w:bCs/>
          <w:color w:val="1B1618"/>
          <w:sz w:val="24"/>
          <w:szCs w:val="24"/>
        </w:rPr>
        <w:t xml:space="preserve">Les quinze décisions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3400"/>
        <w:gridCol w:w="3200"/>
        <w:gridCol w:w="1806"/>
      </w:tblGrid>
      <w:tr>
        <w:tc>
          <w:tcPr>
            <w:tcW w:type="dxa" w:w="620"/>
            <w:shd w:fill="F3EFEE" w:val="clear"/>
            <w:tcMar>
              <w:top w:type="dxa" w:w="80"/>
              <w:left w:type="dxa" w:w="120"/>
              <w:bottom w:type="dxa" w:w="80"/>
              <w:right w:type="dxa" w:w="120"/>
            </w:tcMar>
          </w:tcPr>
          <w:p>
            <w:r>
              <w:rPr>
                <w:rFonts w:ascii="Calibri" w:cs="Calibri" w:eastAsia="Calibri" w:hAnsi="Calibri"/>
                <w:b w:val="1"/>
                <w:bCs w:val="1"/>
                <w:color w:val="6E6467"/>
                <w:sz w:val="17"/>
                <w:szCs w:val="17"/>
              </w:rPr>
              <w:t xml:space="preserve">N°</w:t>
            </w:r>
          </w:p>
        </w:tc>
        <w:tc>
          <w:tcPr>
            <w:tcW w:type="dxa" w:w="3400"/>
            <w:shd w:fill="F3EFEE" w:val="clear"/>
            <w:tcMar>
              <w:top w:type="dxa" w:w="80"/>
              <w:left w:type="dxa" w:w="120"/>
              <w:bottom w:type="dxa" w:w="80"/>
              <w:right w:type="dxa" w:w="120"/>
            </w:tcMar>
          </w:tcPr>
          <w:p>
            <w:r>
              <w:rPr>
                <w:rFonts w:ascii="Calibri" w:cs="Calibri" w:eastAsia="Calibri" w:hAnsi="Calibri"/>
                <w:b w:val="1"/>
                <w:bCs w:val="1"/>
                <w:color w:val="6E6467"/>
                <w:sz w:val="17"/>
                <w:szCs w:val="17"/>
              </w:rPr>
              <w:t xml:space="preserve">Décision</w:t>
            </w:r>
          </w:p>
        </w:tc>
        <w:tc>
          <w:tcPr>
            <w:tcW w:type="dxa" w:w="3200"/>
            <w:shd w:fill="F3EFEE" w:val="clear"/>
            <w:tcMar>
              <w:top w:type="dxa" w:w="80"/>
              <w:left w:type="dxa" w:w="120"/>
              <w:bottom w:type="dxa" w:w="80"/>
              <w:right w:type="dxa" w:w="120"/>
            </w:tcMar>
          </w:tcPr>
          <w:p>
            <w:r>
              <w:rPr>
                <w:rFonts w:ascii="Calibri" w:cs="Calibri" w:eastAsia="Calibri" w:hAnsi="Calibri"/>
                <w:b w:val="1"/>
                <w:bCs w:val="1"/>
                <w:color w:val="6E6467"/>
                <w:sz w:val="17"/>
                <w:szCs w:val="17"/>
              </w:rPr>
              <w:t xml:space="preserve">Ce qu'elle fait travailler</w:t>
            </w:r>
          </w:p>
        </w:tc>
        <w:tc>
          <w:tcPr>
            <w:tcW w:type="dxa" w:w="1806"/>
            <w:shd w:fill="F3EFEE" w:val="clear"/>
            <w:tcMar>
              <w:top w:type="dxa" w:w="80"/>
              <w:left w:type="dxa" w:w="120"/>
              <w:bottom w:type="dxa" w:w="80"/>
              <w:right w:type="dxa" w:w="120"/>
            </w:tcMar>
          </w:tcPr>
          <w:p>
            <w:r>
              <w:rPr>
                <w:rFonts w:ascii="Calibri" w:cs="Calibri" w:eastAsia="Calibri" w:hAnsi="Calibri"/>
                <w:b w:val="1"/>
                <w:bCs w:val="1"/>
                <w:color w:val="6E6467"/>
                <w:sz w:val="17"/>
                <w:szCs w:val="17"/>
              </w:rPr>
              <w:t xml:space="preserve">Difficulté</w:t>
            </w:r>
          </w:p>
        </w:tc>
      </w:tr>
      <w:tr>
        <w:tc>
          <w:tcPr>
            <w:tcW w:type="dxa" w:w="620"/>
            <w:tcMar>
              <w:top w:type="dxa" w:w="80"/>
              <w:left w:type="dxa" w:w="120"/>
              <w:bottom w:type="dxa" w:w="80"/>
              <w:right w:type="dxa" w:w="120"/>
            </w:tcMar>
          </w:tcPr>
          <w:p>
            <w:r>
              <w:rPr>
                <w:rFonts w:ascii="Calibri" w:cs="Calibri" w:eastAsia="Calibri" w:hAnsi="Calibri"/>
                <w:color w:val="1B1618"/>
                <w:sz w:val="17"/>
                <w:szCs w:val="17"/>
              </w:rPr>
              <w:t xml:space="preserve">1</w:t>
            </w:r>
          </w:p>
        </w:tc>
        <w:tc>
          <w:tcPr>
            <w:tcW w:type="dxa" w:w="3400"/>
            <w:tcMar>
              <w:top w:type="dxa" w:w="80"/>
              <w:left w:type="dxa" w:w="120"/>
              <w:bottom w:type="dxa" w:w="80"/>
              <w:right w:type="dxa" w:w="120"/>
            </w:tcMar>
          </w:tcPr>
          <w:p>
            <w:r>
              <w:rPr>
                <w:rFonts w:ascii="Calibri" w:cs="Calibri" w:eastAsia="Calibri" w:hAnsi="Calibri"/>
                <w:color w:val="1B1618"/>
                <w:sz w:val="17"/>
                <w:szCs w:val="17"/>
              </w:rPr>
              <w:t xml:space="preserve">CC, 16 juillet 1971, n° 71-44 DC</w:t>
            </w:r>
          </w:p>
        </w:tc>
        <w:tc>
          <w:tcPr>
            <w:tcW w:type="dxa" w:w="3200"/>
            <w:tcMar>
              <w:top w:type="dxa" w:w="80"/>
              <w:left w:type="dxa" w:w="120"/>
              <w:bottom w:type="dxa" w:w="80"/>
              <w:right w:type="dxa" w:w="120"/>
            </w:tcMar>
          </w:tcPr>
          <w:p>
            <w:r>
              <w:rPr>
                <w:rFonts w:ascii="Calibri" w:cs="Calibri" w:eastAsia="Calibri" w:hAnsi="Calibri"/>
                <w:color w:val="1B1618"/>
                <w:sz w:val="17"/>
                <w:szCs w:val="17"/>
              </w:rPr>
              <w:t xml:space="preserve">Sources · bloc de constitutionnalité</w:t>
            </w:r>
          </w:p>
        </w:tc>
        <w:tc>
          <w:tcPr>
            <w:tcW w:type="dxa" w:w="1806"/>
            <w:tcMar>
              <w:top w:type="dxa" w:w="80"/>
              <w:left w:type="dxa" w:w="120"/>
              <w:bottom w:type="dxa" w:w="80"/>
              <w:right w:type="dxa" w:w="120"/>
            </w:tcMar>
          </w:tcPr>
          <w:p>
            <w:r>
              <w:rPr>
                <w:rFonts w:ascii="Calibri" w:cs="Calibri" w:eastAsia="Calibri" w:hAnsi="Calibri"/>
                <w:color w:val="1B1618"/>
                <w:sz w:val="17"/>
                <w:szCs w:val="17"/>
              </w:rPr>
              <w:t xml:space="preserve">Fondamentale</w:t>
            </w:r>
          </w:p>
        </w:tc>
      </w:tr>
      <w:tr>
        <w:tc>
          <w:tcPr>
            <w:tcW w:type="dxa" w:w="620"/>
            <w:tcMar>
              <w:top w:type="dxa" w:w="80"/>
              <w:left w:type="dxa" w:w="120"/>
              <w:bottom w:type="dxa" w:w="80"/>
              <w:right w:type="dxa" w:w="120"/>
            </w:tcMar>
          </w:tcPr>
          <w:p>
            <w:r>
              <w:rPr>
                <w:rFonts w:ascii="Calibri" w:cs="Calibri" w:eastAsia="Calibri" w:hAnsi="Calibri"/>
                <w:color w:val="1B1618"/>
                <w:sz w:val="17"/>
                <w:szCs w:val="17"/>
              </w:rPr>
              <w:t xml:space="preserve">2</w:t>
            </w:r>
          </w:p>
        </w:tc>
        <w:tc>
          <w:tcPr>
            <w:tcW w:type="dxa" w:w="3400"/>
            <w:tcMar>
              <w:top w:type="dxa" w:w="80"/>
              <w:left w:type="dxa" w:w="120"/>
              <w:bottom w:type="dxa" w:w="80"/>
              <w:right w:type="dxa" w:w="120"/>
            </w:tcMar>
          </w:tcPr>
          <w:p>
            <w:r>
              <w:rPr>
                <w:rFonts w:ascii="Calibri" w:cs="Calibri" w:eastAsia="Calibri" w:hAnsi="Calibri"/>
                <w:color w:val="1B1618"/>
                <w:sz w:val="17"/>
                <w:szCs w:val="17"/>
              </w:rPr>
              <w:t xml:space="preserve">CE, ass., 27 octobre 1995, n° 136727, Commune de Morsang-sur-Orge</w:t>
            </w:r>
          </w:p>
        </w:tc>
        <w:tc>
          <w:tcPr>
            <w:tcW w:type="dxa" w:w="3200"/>
            <w:tcMar>
              <w:top w:type="dxa" w:w="80"/>
              <w:left w:type="dxa" w:w="120"/>
              <w:bottom w:type="dxa" w:w="80"/>
              <w:right w:type="dxa" w:w="120"/>
            </w:tcMar>
          </w:tcPr>
          <w:p>
            <w:r>
              <w:rPr>
                <w:rFonts w:ascii="Calibri" w:cs="Calibri" w:eastAsia="Calibri" w:hAnsi="Calibri"/>
                <w:color w:val="1B1618"/>
                <w:sz w:val="17"/>
                <w:szCs w:val="17"/>
              </w:rPr>
              <w:t xml:space="preserve">Dignité · police administrative</w:t>
            </w:r>
          </w:p>
        </w:tc>
        <w:tc>
          <w:tcPr>
            <w:tcW w:type="dxa" w:w="1806"/>
            <w:tcMar>
              <w:top w:type="dxa" w:w="80"/>
              <w:left w:type="dxa" w:w="120"/>
              <w:bottom w:type="dxa" w:w="80"/>
              <w:right w:type="dxa" w:w="120"/>
            </w:tcMar>
          </w:tcPr>
          <w:p>
            <w:r>
              <w:rPr>
                <w:rFonts w:ascii="Calibri" w:cs="Calibri" w:eastAsia="Calibri" w:hAnsi="Calibri"/>
                <w:color w:val="1B1618"/>
                <w:sz w:val="17"/>
                <w:szCs w:val="17"/>
              </w:rPr>
              <w:t xml:space="preserve">Fondamentale</w:t>
            </w:r>
          </w:p>
        </w:tc>
      </w:tr>
      <w:tr>
        <w:tc>
          <w:tcPr>
            <w:tcW w:type="dxa" w:w="620"/>
            <w:tcMar>
              <w:top w:type="dxa" w:w="80"/>
              <w:left w:type="dxa" w:w="120"/>
              <w:bottom w:type="dxa" w:w="80"/>
              <w:right w:type="dxa" w:w="120"/>
            </w:tcMar>
          </w:tcPr>
          <w:p>
            <w:r>
              <w:rPr>
                <w:rFonts w:ascii="Calibri" w:cs="Calibri" w:eastAsia="Calibri" w:hAnsi="Calibri"/>
                <w:color w:val="1B1618"/>
                <w:sz w:val="17"/>
                <w:szCs w:val="17"/>
              </w:rPr>
              <w:t xml:space="preserve">3</w:t>
            </w:r>
          </w:p>
        </w:tc>
        <w:tc>
          <w:tcPr>
            <w:tcW w:type="dxa" w:w="3400"/>
            <w:tcMar>
              <w:top w:type="dxa" w:w="80"/>
              <w:left w:type="dxa" w:w="120"/>
              <w:bottom w:type="dxa" w:w="80"/>
              <w:right w:type="dxa" w:w="120"/>
            </w:tcMar>
          </w:tcPr>
          <w:p>
            <w:r>
              <w:rPr>
                <w:rFonts w:ascii="Calibri" w:cs="Calibri" w:eastAsia="Calibri" w:hAnsi="Calibri"/>
                <w:color w:val="1B1618"/>
                <w:sz w:val="17"/>
                <w:szCs w:val="17"/>
              </w:rPr>
              <w:t xml:space="preserve">CE, ord. réf., 9 janvier 2014, n° 374508, Ministre de l'Intérieur c/ Sté Les Productions de la Plume et M. M'Bala M'Bala</w:t>
            </w:r>
          </w:p>
        </w:tc>
        <w:tc>
          <w:tcPr>
            <w:tcW w:type="dxa" w:w="3200"/>
            <w:tcMar>
              <w:top w:type="dxa" w:w="80"/>
              <w:left w:type="dxa" w:w="120"/>
              <w:bottom w:type="dxa" w:w="80"/>
              <w:right w:type="dxa" w:w="120"/>
            </w:tcMar>
          </w:tcPr>
          <w:p>
            <w:r>
              <w:rPr>
                <w:rFonts w:ascii="Calibri" w:cs="Calibri" w:eastAsia="Calibri" w:hAnsi="Calibri"/>
                <w:color w:val="1B1618"/>
                <w:sz w:val="17"/>
                <w:szCs w:val="17"/>
              </w:rPr>
              <w:t xml:space="preserve">Réunion et expression · référé-liberté</w:t>
            </w:r>
          </w:p>
        </w:tc>
        <w:tc>
          <w:tcPr>
            <w:tcW w:type="dxa" w:w="1806"/>
            <w:tcMar>
              <w:top w:type="dxa" w:w="80"/>
              <w:left w:type="dxa" w:w="120"/>
              <w:bottom w:type="dxa" w:w="80"/>
              <w:right w:type="dxa" w:w="120"/>
            </w:tcMar>
          </w:tcPr>
          <w:p>
            <w:r>
              <w:rPr>
                <w:rFonts w:ascii="Calibri" w:cs="Calibri" w:eastAsia="Calibri" w:hAnsi="Calibri"/>
                <w:color w:val="1B1618"/>
                <w:sz w:val="17"/>
                <w:szCs w:val="17"/>
              </w:rPr>
              <w:t xml:space="preserve">Moyenne</w:t>
            </w:r>
          </w:p>
        </w:tc>
      </w:tr>
      <w:tr>
        <w:tc>
          <w:tcPr>
            <w:tcW w:type="dxa" w:w="620"/>
            <w:tcMar>
              <w:top w:type="dxa" w:w="80"/>
              <w:left w:type="dxa" w:w="120"/>
              <w:bottom w:type="dxa" w:w="80"/>
              <w:right w:type="dxa" w:w="120"/>
            </w:tcMar>
          </w:tcPr>
          <w:p>
            <w:r>
              <w:rPr>
                <w:rFonts w:ascii="Calibri" w:cs="Calibri" w:eastAsia="Calibri" w:hAnsi="Calibri"/>
                <w:color w:val="1B1618"/>
                <w:sz w:val="17"/>
                <w:szCs w:val="17"/>
              </w:rPr>
              <w:t xml:space="preserve">4</w:t>
            </w:r>
          </w:p>
        </w:tc>
        <w:tc>
          <w:tcPr>
            <w:tcW w:type="dxa" w:w="3400"/>
            <w:tcMar>
              <w:top w:type="dxa" w:w="80"/>
              <w:left w:type="dxa" w:w="120"/>
              <w:bottom w:type="dxa" w:w="80"/>
              <w:right w:type="dxa" w:w="120"/>
            </w:tcMar>
          </w:tcPr>
          <w:p>
            <w:r>
              <w:rPr>
                <w:rFonts w:ascii="Calibri" w:cs="Calibri" w:eastAsia="Calibri" w:hAnsi="Calibri"/>
                <w:color w:val="1B1618"/>
                <w:sz w:val="17"/>
                <w:szCs w:val="17"/>
              </w:rPr>
              <w:t xml:space="preserve">CEDH, gr. ch., 1er juillet 2014, S.A.S. c/ France, n° 43835/11</w:t>
            </w:r>
          </w:p>
        </w:tc>
        <w:tc>
          <w:tcPr>
            <w:tcW w:type="dxa" w:w="3200"/>
            <w:tcMar>
              <w:top w:type="dxa" w:w="80"/>
              <w:left w:type="dxa" w:w="120"/>
              <w:bottom w:type="dxa" w:w="80"/>
              <w:right w:type="dxa" w:w="120"/>
            </w:tcMar>
          </w:tcPr>
          <w:p>
            <w:r>
              <w:rPr>
                <w:rFonts w:ascii="Calibri" w:cs="Calibri" w:eastAsia="Calibri" w:hAnsi="Calibri"/>
                <w:color w:val="1B1618"/>
                <w:sz w:val="17"/>
                <w:szCs w:val="17"/>
              </w:rPr>
              <w:t xml:space="preserve">Religion, vie privée, expression · marge d'appréciation</w:t>
            </w:r>
          </w:p>
        </w:tc>
        <w:tc>
          <w:tcPr>
            <w:tcW w:type="dxa" w:w="1806"/>
            <w:tcMar>
              <w:top w:type="dxa" w:w="80"/>
              <w:left w:type="dxa" w:w="120"/>
              <w:bottom w:type="dxa" w:w="80"/>
              <w:right w:type="dxa" w:w="120"/>
            </w:tcMar>
          </w:tcPr>
          <w:p>
            <w:r>
              <w:rPr>
                <w:rFonts w:ascii="Calibri" w:cs="Calibri" w:eastAsia="Calibri" w:hAnsi="Calibri"/>
                <w:color w:val="1B1618"/>
                <w:sz w:val="17"/>
                <w:szCs w:val="17"/>
              </w:rPr>
              <w:t xml:space="preserve">Élevée</w:t>
            </w:r>
          </w:p>
        </w:tc>
      </w:tr>
      <w:tr>
        <w:tc>
          <w:tcPr>
            <w:tcW w:type="dxa" w:w="620"/>
            <w:tcMar>
              <w:top w:type="dxa" w:w="80"/>
              <w:left w:type="dxa" w:w="120"/>
              <w:bottom w:type="dxa" w:w="80"/>
              <w:right w:type="dxa" w:w="120"/>
            </w:tcMar>
          </w:tcPr>
          <w:p>
            <w:r>
              <w:rPr>
                <w:rFonts w:ascii="Calibri" w:cs="Calibri" w:eastAsia="Calibri" w:hAnsi="Calibri"/>
                <w:color w:val="1B1618"/>
                <w:sz w:val="17"/>
                <w:szCs w:val="17"/>
              </w:rPr>
              <w:t xml:space="preserve">5</w:t>
            </w:r>
          </w:p>
        </w:tc>
        <w:tc>
          <w:tcPr>
            <w:tcW w:type="dxa" w:w="3400"/>
            <w:tcMar>
              <w:top w:type="dxa" w:w="80"/>
              <w:left w:type="dxa" w:w="120"/>
              <w:bottom w:type="dxa" w:w="80"/>
              <w:right w:type="dxa" w:w="120"/>
            </w:tcMar>
          </w:tcPr>
          <w:p>
            <w:r>
              <w:rPr>
                <w:rFonts w:ascii="Calibri" w:cs="Calibri" w:eastAsia="Calibri" w:hAnsi="Calibri"/>
                <w:color w:val="1B1618"/>
                <w:sz w:val="17"/>
                <w:szCs w:val="17"/>
              </w:rPr>
              <w:t xml:space="preserve">Cass., ass. plén., 25 juin 2014, n° 13-28.369, Baby Loup</w:t>
            </w:r>
          </w:p>
        </w:tc>
        <w:tc>
          <w:tcPr>
            <w:tcW w:type="dxa" w:w="3200"/>
            <w:tcMar>
              <w:top w:type="dxa" w:w="80"/>
              <w:left w:type="dxa" w:w="120"/>
              <w:bottom w:type="dxa" w:w="80"/>
              <w:right w:type="dxa" w:w="120"/>
            </w:tcMar>
          </w:tcPr>
          <w:p>
            <w:r>
              <w:rPr>
                <w:rFonts w:ascii="Calibri" w:cs="Calibri" w:eastAsia="Calibri" w:hAnsi="Calibri"/>
                <w:color w:val="1B1618"/>
                <w:sz w:val="17"/>
                <w:szCs w:val="17"/>
              </w:rPr>
              <w:t xml:space="preserve">Religion · effet horizontal des libertés</w:t>
            </w:r>
          </w:p>
        </w:tc>
        <w:tc>
          <w:tcPr>
            <w:tcW w:type="dxa" w:w="1806"/>
            <w:tcMar>
              <w:top w:type="dxa" w:w="80"/>
              <w:left w:type="dxa" w:w="120"/>
              <w:bottom w:type="dxa" w:w="80"/>
              <w:right w:type="dxa" w:w="120"/>
            </w:tcMar>
          </w:tcPr>
          <w:p>
            <w:r>
              <w:rPr>
                <w:rFonts w:ascii="Calibri" w:cs="Calibri" w:eastAsia="Calibri" w:hAnsi="Calibri"/>
                <w:color w:val="1B1618"/>
                <w:sz w:val="17"/>
                <w:szCs w:val="17"/>
              </w:rPr>
              <w:t xml:space="preserve">Moyenne</w:t>
            </w:r>
          </w:p>
        </w:tc>
      </w:tr>
      <w:tr>
        <w:tc>
          <w:tcPr>
            <w:tcW w:type="dxa" w:w="620"/>
            <w:tcMar>
              <w:top w:type="dxa" w:w="80"/>
              <w:left w:type="dxa" w:w="120"/>
              <w:bottom w:type="dxa" w:w="80"/>
              <w:right w:type="dxa" w:w="120"/>
            </w:tcMar>
          </w:tcPr>
          <w:p>
            <w:r>
              <w:rPr>
                <w:rFonts w:ascii="Calibri" w:cs="Calibri" w:eastAsia="Calibri" w:hAnsi="Calibri"/>
                <w:color w:val="1B1618"/>
                <w:sz w:val="17"/>
                <w:szCs w:val="17"/>
              </w:rPr>
              <w:t xml:space="preserve">6</w:t>
            </w:r>
          </w:p>
        </w:tc>
        <w:tc>
          <w:tcPr>
            <w:tcW w:type="dxa" w:w="3400"/>
            <w:tcMar>
              <w:top w:type="dxa" w:w="80"/>
              <w:left w:type="dxa" w:w="120"/>
              <w:bottom w:type="dxa" w:w="80"/>
              <w:right w:type="dxa" w:w="120"/>
            </w:tcMar>
          </w:tcPr>
          <w:p>
            <w:r>
              <w:rPr>
                <w:rFonts w:ascii="Calibri" w:cs="Calibri" w:eastAsia="Calibri" w:hAnsi="Calibri"/>
                <w:color w:val="1B1618"/>
                <w:sz w:val="17"/>
                <w:szCs w:val="17"/>
              </w:rPr>
              <w:t xml:space="preserve">Cass., 1re civ., 4 décembre 2013, n° 12-26.066</w:t>
            </w:r>
          </w:p>
        </w:tc>
        <w:tc>
          <w:tcPr>
            <w:tcW w:type="dxa" w:w="3200"/>
            <w:tcMar>
              <w:top w:type="dxa" w:w="80"/>
              <w:left w:type="dxa" w:w="120"/>
              <w:bottom w:type="dxa" w:w="80"/>
              <w:right w:type="dxa" w:w="120"/>
            </w:tcMar>
          </w:tcPr>
          <w:p>
            <w:r>
              <w:rPr>
                <w:rFonts w:ascii="Calibri" w:cs="Calibri" w:eastAsia="Calibri" w:hAnsi="Calibri"/>
                <w:color w:val="1B1618"/>
                <w:sz w:val="17"/>
                <w:szCs w:val="17"/>
              </w:rPr>
              <w:t xml:space="preserve">Vie privée et familiale · contrôle in concreto</w:t>
            </w:r>
          </w:p>
        </w:tc>
        <w:tc>
          <w:tcPr>
            <w:tcW w:type="dxa" w:w="1806"/>
            <w:tcMar>
              <w:top w:type="dxa" w:w="80"/>
              <w:left w:type="dxa" w:w="120"/>
              <w:bottom w:type="dxa" w:w="80"/>
              <w:right w:type="dxa" w:w="120"/>
            </w:tcMar>
          </w:tcPr>
          <w:p>
            <w:r>
              <w:rPr>
                <w:rFonts w:ascii="Calibri" w:cs="Calibri" w:eastAsia="Calibri" w:hAnsi="Calibri"/>
                <w:color w:val="1B1618"/>
                <w:sz w:val="17"/>
                <w:szCs w:val="17"/>
              </w:rPr>
              <w:t xml:space="preserve">Élevée</w:t>
            </w:r>
          </w:p>
        </w:tc>
      </w:tr>
      <w:tr>
        <w:tc>
          <w:tcPr>
            <w:tcW w:type="dxa" w:w="620"/>
            <w:tcMar>
              <w:top w:type="dxa" w:w="80"/>
              <w:left w:type="dxa" w:w="120"/>
              <w:bottom w:type="dxa" w:w="80"/>
              <w:right w:type="dxa" w:w="120"/>
            </w:tcMar>
          </w:tcPr>
          <w:p>
            <w:r>
              <w:rPr>
                <w:rFonts w:ascii="Calibri" w:cs="Calibri" w:eastAsia="Calibri" w:hAnsi="Calibri"/>
                <w:color w:val="1B1618"/>
                <w:sz w:val="17"/>
                <w:szCs w:val="17"/>
              </w:rPr>
              <w:t xml:space="preserve">7</w:t>
            </w:r>
          </w:p>
        </w:tc>
        <w:tc>
          <w:tcPr>
            <w:tcW w:type="dxa" w:w="3400"/>
            <w:tcMar>
              <w:top w:type="dxa" w:w="80"/>
              <w:left w:type="dxa" w:w="120"/>
              <w:bottom w:type="dxa" w:w="80"/>
              <w:right w:type="dxa" w:w="120"/>
            </w:tcMar>
          </w:tcPr>
          <w:p>
            <w:r>
              <w:rPr>
                <w:rFonts w:ascii="Calibri" w:cs="Calibri" w:eastAsia="Calibri" w:hAnsi="Calibri"/>
                <w:color w:val="1B1618"/>
                <w:sz w:val="17"/>
                <w:szCs w:val="17"/>
              </w:rPr>
              <w:t xml:space="preserve">CC, 30 juillet 2010, n° 2010-14/22 QPC, M. Daniel W. [Garde à vue]</w:t>
            </w:r>
          </w:p>
        </w:tc>
        <w:tc>
          <w:tcPr>
            <w:tcW w:type="dxa" w:w="3200"/>
            <w:tcMar>
              <w:top w:type="dxa" w:w="80"/>
              <w:left w:type="dxa" w:w="120"/>
              <w:bottom w:type="dxa" w:w="80"/>
              <w:right w:type="dxa" w:w="120"/>
            </w:tcMar>
          </w:tcPr>
          <w:p>
            <w:r>
              <w:rPr>
                <w:rFonts w:ascii="Calibri" w:cs="Calibri" w:eastAsia="Calibri" w:hAnsi="Calibri"/>
                <w:color w:val="1B1618"/>
                <w:sz w:val="17"/>
                <w:szCs w:val="17"/>
              </w:rPr>
              <w:t xml:space="preserve">Sûreté, droits de la défense · effets dans le temps</w:t>
            </w:r>
          </w:p>
        </w:tc>
        <w:tc>
          <w:tcPr>
            <w:tcW w:type="dxa" w:w="1806"/>
            <w:tcMar>
              <w:top w:type="dxa" w:w="80"/>
              <w:left w:type="dxa" w:w="120"/>
              <w:bottom w:type="dxa" w:w="80"/>
              <w:right w:type="dxa" w:w="120"/>
            </w:tcMar>
          </w:tcPr>
          <w:p>
            <w:r>
              <w:rPr>
                <w:rFonts w:ascii="Calibri" w:cs="Calibri" w:eastAsia="Calibri" w:hAnsi="Calibri"/>
                <w:color w:val="1B1618"/>
                <w:sz w:val="17"/>
                <w:szCs w:val="17"/>
              </w:rPr>
              <w:t xml:space="preserve">Élevée</w:t>
            </w:r>
          </w:p>
        </w:tc>
      </w:tr>
      <w:tr>
        <w:tc>
          <w:tcPr>
            <w:tcW w:type="dxa" w:w="620"/>
            <w:tcMar>
              <w:top w:type="dxa" w:w="80"/>
              <w:left w:type="dxa" w:w="120"/>
              <w:bottom w:type="dxa" w:w="80"/>
              <w:right w:type="dxa" w:w="120"/>
            </w:tcMar>
          </w:tcPr>
          <w:p>
            <w:r>
              <w:rPr>
                <w:rFonts w:ascii="Calibri" w:cs="Calibri" w:eastAsia="Calibri" w:hAnsi="Calibri"/>
                <w:color w:val="1B1618"/>
                <w:sz w:val="17"/>
                <w:szCs w:val="17"/>
              </w:rPr>
              <w:t xml:space="preserve">8</w:t>
            </w:r>
          </w:p>
        </w:tc>
        <w:tc>
          <w:tcPr>
            <w:tcW w:type="dxa" w:w="3400"/>
            <w:tcMar>
              <w:top w:type="dxa" w:w="80"/>
              <w:left w:type="dxa" w:w="120"/>
              <w:bottom w:type="dxa" w:w="80"/>
              <w:right w:type="dxa" w:w="120"/>
            </w:tcMar>
          </w:tcPr>
          <w:p>
            <w:r>
              <w:rPr>
                <w:rFonts w:ascii="Calibri" w:cs="Calibri" w:eastAsia="Calibri" w:hAnsi="Calibri"/>
                <w:color w:val="1B1618"/>
                <w:sz w:val="17"/>
                <w:szCs w:val="17"/>
              </w:rPr>
              <w:t xml:space="preserve">CE, ass., 24 juin 2014, n° 375081, Mme Lambert</w:t>
            </w:r>
          </w:p>
        </w:tc>
        <w:tc>
          <w:tcPr>
            <w:tcW w:type="dxa" w:w="3200"/>
            <w:tcMar>
              <w:top w:type="dxa" w:w="80"/>
              <w:left w:type="dxa" w:w="120"/>
              <w:bottom w:type="dxa" w:w="80"/>
              <w:right w:type="dxa" w:w="120"/>
            </w:tcMar>
          </w:tcPr>
          <w:p>
            <w:r>
              <w:rPr>
                <w:rFonts w:ascii="Calibri" w:cs="Calibri" w:eastAsia="Calibri" w:hAnsi="Calibri"/>
                <w:color w:val="1B1618"/>
                <w:sz w:val="17"/>
                <w:szCs w:val="17"/>
              </w:rPr>
              <w:t xml:space="preserve">Droit à la vie, dignité · office du juge des référés</w:t>
            </w:r>
          </w:p>
        </w:tc>
        <w:tc>
          <w:tcPr>
            <w:tcW w:type="dxa" w:w="1806"/>
            <w:tcMar>
              <w:top w:type="dxa" w:w="80"/>
              <w:left w:type="dxa" w:w="120"/>
              <w:bottom w:type="dxa" w:w="80"/>
              <w:right w:type="dxa" w:w="120"/>
            </w:tcMar>
          </w:tcPr>
          <w:p>
            <w:r>
              <w:rPr>
                <w:rFonts w:ascii="Calibri" w:cs="Calibri" w:eastAsia="Calibri" w:hAnsi="Calibri"/>
                <w:color w:val="1B1618"/>
                <w:sz w:val="17"/>
                <w:szCs w:val="17"/>
              </w:rPr>
              <w:t xml:space="preserve">Moyenne</w:t>
            </w:r>
          </w:p>
        </w:tc>
      </w:tr>
      <w:tr>
        <w:tc>
          <w:tcPr>
            <w:tcW w:type="dxa" w:w="620"/>
            <w:tcMar>
              <w:top w:type="dxa" w:w="80"/>
              <w:left w:type="dxa" w:w="120"/>
              <w:bottom w:type="dxa" w:w="80"/>
              <w:right w:type="dxa" w:w="120"/>
            </w:tcMar>
          </w:tcPr>
          <w:p>
            <w:r>
              <w:rPr>
                <w:rFonts w:ascii="Calibri" w:cs="Calibri" w:eastAsia="Calibri" w:hAnsi="Calibri"/>
                <w:color w:val="1B1618"/>
                <w:sz w:val="17"/>
                <w:szCs w:val="17"/>
              </w:rPr>
              <w:t xml:space="preserve">9</w:t>
            </w:r>
          </w:p>
        </w:tc>
        <w:tc>
          <w:tcPr>
            <w:tcW w:type="dxa" w:w="3400"/>
            <w:tcMar>
              <w:top w:type="dxa" w:w="80"/>
              <w:left w:type="dxa" w:w="120"/>
              <w:bottom w:type="dxa" w:w="80"/>
              <w:right w:type="dxa" w:w="120"/>
            </w:tcMar>
          </w:tcPr>
          <w:p>
            <w:r>
              <w:rPr>
                <w:rFonts w:ascii="Calibri" w:cs="Calibri" w:eastAsia="Calibri" w:hAnsi="Calibri"/>
                <w:color w:val="1B1618"/>
                <w:sz w:val="17"/>
                <w:szCs w:val="17"/>
              </w:rPr>
              <w:t xml:space="preserve">CC, 6 juillet 2018, n° 2018-717/718 QPC, M. Cédric H. [Délit d'aide au séjour irrégulier]</w:t>
            </w:r>
          </w:p>
        </w:tc>
        <w:tc>
          <w:tcPr>
            <w:tcW w:type="dxa" w:w="3200"/>
            <w:tcMar>
              <w:top w:type="dxa" w:w="80"/>
              <w:left w:type="dxa" w:w="120"/>
              <w:bottom w:type="dxa" w:w="80"/>
              <w:right w:type="dxa" w:w="120"/>
            </w:tcMar>
          </w:tcPr>
          <w:p>
            <w:r>
              <w:rPr>
                <w:rFonts w:ascii="Calibri" w:cs="Calibri" w:eastAsia="Calibri" w:hAnsi="Calibri"/>
                <w:color w:val="1B1618"/>
                <w:sz w:val="17"/>
                <w:szCs w:val="17"/>
              </w:rPr>
              <w:t xml:space="preserve">Sources · principe de fraternité</w:t>
            </w:r>
          </w:p>
        </w:tc>
        <w:tc>
          <w:tcPr>
            <w:tcW w:type="dxa" w:w="1806"/>
            <w:tcMar>
              <w:top w:type="dxa" w:w="80"/>
              <w:left w:type="dxa" w:w="120"/>
              <w:bottom w:type="dxa" w:w="80"/>
              <w:right w:type="dxa" w:w="120"/>
            </w:tcMar>
          </w:tcPr>
          <w:p>
            <w:r>
              <w:rPr>
                <w:rFonts w:ascii="Calibri" w:cs="Calibri" w:eastAsia="Calibri" w:hAnsi="Calibri"/>
                <w:color w:val="1B1618"/>
                <w:sz w:val="17"/>
                <w:szCs w:val="17"/>
              </w:rPr>
              <w:t xml:space="preserve">Moyenne</w:t>
            </w:r>
          </w:p>
        </w:tc>
      </w:tr>
      <w:tr>
        <w:tc>
          <w:tcPr>
            <w:tcW w:type="dxa" w:w="620"/>
            <w:tcMar>
              <w:top w:type="dxa" w:w="80"/>
              <w:left w:type="dxa" w:w="120"/>
              <w:bottom w:type="dxa" w:w="80"/>
              <w:right w:type="dxa" w:w="120"/>
            </w:tcMar>
          </w:tcPr>
          <w:p>
            <w:r>
              <w:rPr>
                <w:rFonts w:ascii="Calibri" w:cs="Calibri" w:eastAsia="Calibri" w:hAnsi="Calibri"/>
                <w:color w:val="1B1618"/>
                <w:sz w:val="17"/>
                <w:szCs w:val="17"/>
              </w:rPr>
              <w:t xml:space="preserve">10</w:t>
            </w:r>
          </w:p>
        </w:tc>
        <w:tc>
          <w:tcPr>
            <w:tcW w:type="dxa" w:w="3400"/>
            <w:tcMar>
              <w:top w:type="dxa" w:w="80"/>
              <w:left w:type="dxa" w:w="120"/>
              <w:bottom w:type="dxa" w:w="80"/>
              <w:right w:type="dxa" w:w="120"/>
            </w:tcMar>
          </w:tcPr>
          <w:p>
            <w:r>
              <w:rPr>
                <w:rFonts w:ascii="Calibri" w:cs="Calibri" w:eastAsia="Calibri" w:hAnsi="Calibri"/>
                <w:color w:val="1B1618"/>
                <w:sz w:val="17"/>
                <w:szCs w:val="17"/>
              </w:rPr>
              <w:t xml:space="preserve">CC, 4 avril 2019, n° 2019-780 DC</w:t>
            </w:r>
          </w:p>
        </w:tc>
        <w:tc>
          <w:tcPr>
            <w:tcW w:type="dxa" w:w="3200"/>
            <w:tcMar>
              <w:top w:type="dxa" w:w="80"/>
              <w:left w:type="dxa" w:w="120"/>
              <w:bottom w:type="dxa" w:w="80"/>
              <w:right w:type="dxa" w:w="120"/>
            </w:tcMar>
          </w:tcPr>
          <w:p>
            <w:r>
              <w:rPr>
                <w:rFonts w:ascii="Calibri" w:cs="Calibri" w:eastAsia="Calibri" w:hAnsi="Calibri"/>
                <w:color w:val="1B1618"/>
                <w:sz w:val="17"/>
                <w:szCs w:val="17"/>
              </w:rPr>
              <w:t xml:space="preserve">Manifestation · police administrative</w:t>
            </w:r>
          </w:p>
        </w:tc>
        <w:tc>
          <w:tcPr>
            <w:tcW w:type="dxa" w:w="1806"/>
            <w:tcMar>
              <w:top w:type="dxa" w:w="80"/>
              <w:left w:type="dxa" w:w="120"/>
              <w:bottom w:type="dxa" w:w="80"/>
              <w:right w:type="dxa" w:w="120"/>
            </w:tcMar>
          </w:tcPr>
          <w:p>
            <w:r>
              <w:rPr>
                <w:rFonts w:ascii="Calibri" w:cs="Calibri" w:eastAsia="Calibri" w:hAnsi="Calibri"/>
                <w:color w:val="1B1618"/>
                <w:sz w:val="17"/>
                <w:szCs w:val="17"/>
              </w:rPr>
              <w:t xml:space="preserve">Moyenne</w:t>
            </w:r>
          </w:p>
        </w:tc>
      </w:tr>
      <w:tr>
        <w:tc>
          <w:tcPr>
            <w:tcW w:type="dxa" w:w="620"/>
            <w:tcMar>
              <w:top w:type="dxa" w:w="80"/>
              <w:left w:type="dxa" w:w="120"/>
              <w:bottom w:type="dxa" w:w="80"/>
              <w:right w:type="dxa" w:w="120"/>
            </w:tcMar>
          </w:tcPr>
          <w:p>
            <w:r>
              <w:rPr>
                <w:rFonts w:ascii="Calibri" w:cs="Calibri" w:eastAsia="Calibri" w:hAnsi="Calibri"/>
                <w:color w:val="1B1618"/>
                <w:sz w:val="17"/>
                <w:szCs w:val="17"/>
              </w:rPr>
              <w:t xml:space="preserve">11</w:t>
            </w:r>
          </w:p>
        </w:tc>
        <w:tc>
          <w:tcPr>
            <w:tcW w:type="dxa" w:w="3400"/>
            <w:tcMar>
              <w:top w:type="dxa" w:w="80"/>
              <w:left w:type="dxa" w:w="120"/>
              <w:bottom w:type="dxa" w:w="80"/>
              <w:right w:type="dxa" w:w="120"/>
            </w:tcMar>
          </w:tcPr>
          <w:p>
            <w:r>
              <w:rPr>
                <w:rFonts w:ascii="Calibri" w:cs="Calibri" w:eastAsia="Calibri" w:hAnsi="Calibri"/>
                <w:color w:val="1B1618"/>
                <w:sz w:val="17"/>
                <w:szCs w:val="17"/>
              </w:rPr>
              <w:t xml:space="preserve">CC, 11 mai 2020, n° 2020-800 DC</w:t>
            </w:r>
          </w:p>
        </w:tc>
        <w:tc>
          <w:tcPr>
            <w:tcW w:type="dxa" w:w="3200"/>
            <w:tcMar>
              <w:top w:type="dxa" w:w="80"/>
              <w:left w:type="dxa" w:w="120"/>
              <w:bottom w:type="dxa" w:w="80"/>
              <w:right w:type="dxa" w:w="120"/>
            </w:tcMar>
          </w:tcPr>
          <w:p>
            <w:r>
              <w:rPr>
                <w:rFonts w:ascii="Calibri" w:cs="Calibri" w:eastAsia="Calibri" w:hAnsi="Calibri"/>
                <w:color w:val="1B1618"/>
                <w:sz w:val="17"/>
                <w:szCs w:val="17"/>
              </w:rPr>
              <w:t xml:space="preserve">Circonstances exceptionnelles · conciliation</w:t>
            </w:r>
          </w:p>
        </w:tc>
        <w:tc>
          <w:tcPr>
            <w:tcW w:type="dxa" w:w="1806"/>
            <w:tcMar>
              <w:top w:type="dxa" w:w="80"/>
              <w:left w:type="dxa" w:w="120"/>
              <w:bottom w:type="dxa" w:w="80"/>
              <w:right w:type="dxa" w:w="120"/>
            </w:tcMar>
          </w:tcPr>
          <w:p>
            <w:r>
              <w:rPr>
                <w:rFonts w:ascii="Calibri" w:cs="Calibri" w:eastAsia="Calibri" w:hAnsi="Calibri"/>
                <w:color w:val="1B1618"/>
                <w:sz w:val="17"/>
                <w:szCs w:val="17"/>
              </w:rPr>
              <w:t xml:space="preserve">Élevée</w:t>
            </w:r>
          </w:p>
        </w:tc>
      </w:tr>
      <w:tr>
        <w:tc>
          <w:tcPr>
            <w:tcW w:type="dxa" w:w="620"/>
            <w:tcMar>
              <w:top w:type="dxa" w:w="80"/>
              <w:left w:type="dxa" w:w="120"/>
              <w:bottom w:type="dxa" w:w="80"/>
              <w:right w:type="dxa" w:w="120"/>
            </w:tcMar>
          </w:tcPr>
          <w:p>
            <w:r>
              <w:rPr>
                <w:rFonts w:ascii="Calibri" w:cs="Calibri" w:eastAsia="Calibri" w:hAnsi="Calibri"/>
                <w:color w:val="1B1618"/>
                <w:sz w:val="17"/>
                <w:szCs w:val="17"/>
              </w:rPr>
              <w:t xml:space="preserve">12</w:t>
            </w:r>
          </w:p>
        </w:tc>
        <w:tc>
          <w:tcPr>
            <w:tcW w:type="dxa" w:w="3400"/>
            <w:tcMar>
              <w:top w:type="dxa" w:w="80"/>
              <w:left w:type="dxa" w:w="120"/>
              <w:bottom w:type="dxa" w:w="80"/>
              <w:right w:type="dxa" w:w="120"/>
            </w:tcMar>
          </w:tcPr>
          <w:p>
            <w:r>
              <w:rPr>
                <w:rFonts w:ascii="Calibri" w:cs="Calibri" w:eastAsia="Calibri" w:hAnsi="Calibri"/>
                <w:color w:val="1B1618"/>
                <w:sz w:val="17"/>
                <w:szCs w:val="17"/>
              </w:rPr>
              <w:t xml:space="preserve">CC, 18 juin 2020, n° 2020-801 DC</w:t>
            </w:r>
          </w:p>
        </w:tc>
        <w:tc>
          <w:tcPr>
            <w:tcW w:type="dxa" w:w="3200"/>
            <w:tcMar>
              <w:top w:type="dxa" w:w="80"/>
              <w:left w:type="dxa" w:w="120"/>
              <w:bottom w:type="dxa" w:w="80"/>
              <w:right w:type="dxa" w:w="120"/>
            </w:tcMar>
          </w:tcPr>
          <w:p>
            <w:r>
              <w:rPr>
                <w:rFonts w:ascii="Calibri" w:cs="Calibri" w:eastAsia="Calibri" w:hAnsi="Calibri"/>
                <w:color w:val="1B1618"/>
                <w:sz w:val="17"/>
                <w:szCs w:val="17"/>
              </w:rPr>
              <w:t xml:space="preserve">Expression · numérique</w:t>
            </w:r>
          </w:p>
        </w:tc>
        <w:tc>
          <w:tcPr>
            <w:tcW w:type="dxa" w:w="1806"/>
            <w:tcMar>
              <w:top w:type="dxa" w:w="80"/>
              <w:left w:type="dxa" w:w="120"/>
              <w:bottom w:type="dxa" w:w="80"/>
              <w:right w:type="dxa" w:w="120"/>
            </w:tcMar>
          </w:tcPr>
          <w:p>
            <w:r>
              <w:rPr>
                <w:rFonts w:ascii="Calibri" w:cs="Calibri" w:eastAsia="Calibri" w:hAnsi="Calibri"/>
                <w:color w:val="1B1618"/>
                <w:sz w:val="17"/>
                <w:szCs w:val="17"/>
              </w:rPr>
              <w:t xml:space="preserve">Moyenne</w:t>
            </w:r>
          </w:p>
        </w:tc>
      </w:tr>
      <w:tr>
        <w:tc>
          <w:tcPr>
            <w:tcW w:type="dxa" w:w="620"/>
            <w:tcMar>
              <w:top w:type="dxa" w:w="80"/>
              <w:left w:type="dxa" w:w="120"/>
              <w:bottom w:type="dxa" w:w="80"/>
              <w:right w:type="dxa" w:w="120"/>
            </w:tcMar>
          </w:tcPr>
          <w:p>
            <w:r>
              <w:rPr>
                <w:rFonts w:ascii="Calibri" w:cs="Calibri" w:eastAsia="Calibri" w:hAnsi="Calibri"/>
                <w:color w:val="1B1618"/>
                <w:sz w:val="17"/>
                <w:szCs w:val="17"/>
              </w:rPr>
              <w:t xml:space="preserve">13</w:t>
            </w:r>
          </w:p>
        </w:tc>
        <w:tc>
          <w:tcPr>
            <w:tcW w:type="dxa" w:w="3400"/>
            <w:tcMar>
              <w:top w:type="dxa" w:w="80"/>
              <w:left w:type="dxa" w:w="120"/>
              <w:bottom w:type="dxa" w:w="80"/>
              <w:right w:type="dxa" w:w="120"/>
            </w:tcMar>
          </w:tcPr>
          <w:p>
            <w:r>
              <w:rPr>
                <w:rFonts w:ascii="Calibri" w:cs="Calibri" w:eastAsia="Calibri" w:hAnsi="Calibri"/>
                <w:color w:val="1B1618"/>
                <w:sz w:val="17"/>
                <w:szCs w:val="17"/>
              </w:rPr>
              <w:t xml:space="preserve">CE, ass., 21 avril 2021, n° 393099, French Data Network et autres</w:t>
            </w:r>
          </w:p>
        </w:tc>
        <w:tc>
          <w:tcPr>
            <w:tcW w:type="dxa" w:w="3200"/>
            <w:tcMar>
              <w:top w:type="dxa" w:w="80"/>
              <w:left w:type="dxa" w:w="120"/>
              <w:bottom w:type="dxa" w:w="80"/>
              <w:right w:type="dxa" w:w="120"/>
            </w:tcMar>
          </w:tcPr>
          <w:p>
            <w:r>
              <w:rPr>
                <w:rFonts w:ascii="Calibri" w:cs="Calibri" w:eastAsia="Calibri" w:hAnsi="Calibri"/>
                <w:color w:val="1B1618"/>
                <w:sz w:val="17"/>
                <w:szCs w:val="17"/>
              </w:rPr>
              <w:t xml:space="preserve">Sources · articulation des ordres juridiques</w:t>
            </w:r>
          </w:p>
        </w:tc>
        <w:tc>
          <w:tcPr>
            <w:tcW w:type="dxa" w:w="1806"/>
            <w:tcMar>
              <w:top w:type="dxa" w:w="80"/>
              <w:left w:type="dxa" w:w="120"/>
              <w:bottom w:type="dxa" w:w="80"/>
              <w:right w:type="dxa" w:w="120"/>
            </w:tcMar>
          </w:tcPr>
          <w:p>
            <w:r>
              <w:rPr>
                <w:rFonts w:ascii="Calibri" w:cs="Calibri" w:eastAsia="Calibri" w:hAnsi="Calibri"/>
                <w:color w:val="1B1618"/>
                <w:sz w:val="17"/>
                <w:szCs w:val="17"/>
              </w:rPr>
              <w:t xml:space="preserve">Élevée</w:t>
            </w:r>
          </w:p>
        </w:tc>
      </w:tr>
      <w:tr>
        <w:tc>
          <w:tcPr>
            <w:tcW w:type="dxa" w:w="620"/>
            <w:tcMar>
              <w:top w:type="dxa" w:w="80"/>
              <w:left w:type="dxa" w:w="120"/>
              <w:bottom w:type="dxa" w:w="80"/>
              <w:right w:type="dxa" w:w="120"/>
            </w:tcMar>
          </w:tcPr>
          <w:p>
            <w:r>
              <w:rPr>
                <w:rFonts w:ascii="Calibri" w:cs="Calibri" w:eastAsia="Calibri" w:hAnsi="Calibri"/>
                <w:color w:val="1B1618"/>
                <w:sz w:val="17"/>
                <w:szCs w:val="17"/>
              </w:rPr>
              <w:t xml:space="preserve">14</w:t>
            </w:r>
          </w:p>
        </w:tc>
        <w:tc>
          <w:tcPr>
            <w:tcW w:type="dxa" w:w="3400"/>
            <w:tcMar>
              <w:top w:type="dxa" w:w="80"/>
              <w:left w:type="dxa" w:w="120"/>
              <w:bottom w:type="dxa" w:w="80"/>
              <w:right w:type="dxa" w:w="120"/>
            </w:tcMar>
          </w:tcPr>
          <w:p>
            <w:r>
              <w:rPr>
                <w:rFonts w:ascii="Calibri" w:cs="Calibri" w:eastAsia="Calibri" w:hAnsi="Calibri"/>
                <w:color w:val="1B1618"/>
                <w:sz w:val="17"/>
                <w:szCs w:val="17"/>
              </w:rPr>
              <w:t xml:space="preserve">CC, 20 mai 2021, n° 2021-817 DC</w:t>
            </w:r>
          </w:p>
        </w:tc>
        <w:tc>
          <w:tcPr>
            <w:tcW w:type="dxa" w:w="3200"/>
            <w:tcMar>
              <w:top w:type="dxa" w:w="80"/>
              <w:left w:type="dxa" w:w="120"/>
              <w:bottom w:type="dxa" w:w="80"/>
              <w:right w:type="dxa" w:w="120"/>
            </w:tcMar>
          </w:tcPr>
          <w:p>
            <w:r>
              <w:rPr>
                <w:rFonts w:ascii="Calibri" w:cs="Calibri" w:eastAsia="Calibri" w:hAnsi="Calibri"/>
                <w:color w:val="1B1618"/>
                <w:sz w:val="17"/>
                <w:szCs w:val="17"/>
              </w:rPr>
              <w:t xml:space="preserve">Vie privée · surveillance</w:t>
            </w:r>
          </w:p>
        </w:tc>
        <w:tc>
          <w:tcPr>
            <w:tcW w:type="dxa" w:w="1806"/>
            <w:tcMar>
              <w:top w:type="dxa" w:w="80"/>
              <w:left w:type="dxa" w:w="120"/>
              <w:bottom w:type="dxa" w:w="80"/>
              <w:right w:type="dxa" w:w="120"/>
            </w:tcMar>
          </w:tcPr>
          <w:p>
            <w:r>
              <w:rPr>
                <w:rFonts w:ascii="Calibri" w:cs="Calibri" w:eastAsia="Calibri" w:hAnsi="Calibri"/>
                <w:color w:val="1B1618"/>
                <w:sz w:val="17"/>
                <w:szCs w:val="17"/>
              </w:rPr>
              <w:t xml:space="preserve">Moyenne</w:t>
            </w:r>
          </w:p>
        </w:tc>
      </w:tr>
      <w:tr>
        <w:tc>
          <w:tcPr>
            <w:tcW w:type="dxa" w:w="620"/>
            <w:tcMar>
              <w:top w:type="dxa" w:w="80"/>
              <w:left w:type="dxa" w:w="120"/>
              <w:bottom w:type="dxa" w:w="80"/>
              <w:right w:type="dxa" w:w="120"/>
            </w:tcMar>
          </w:tcPr>
          <w:p>
            <w:r>
              <w:rPr>
                <w:rFonts w:ascii="Calibri" w:cs="Calibri" w:eastAsia="Calibri" w:hAnsi="Calibri"/>
                <w:color w:val="1B1618"/>
                <w:sz w:val="17"/>
                <w:szCs w:val="17"/>
              </w:rPr>
              <w:t xml:space="preserve">15</w:t>
            </w:r>
          </w:p>
        </w:tc>
        <w:tc>
          <w:tcPr>
            <w:tcW w:type="dxa" w:w="3400"/>
            <w:tcMar>
              <w:top w:type="dxa" w:w="80"/>
              <w:left w:type="dxa" w:w="120"/>
              <w:bottom w:type="dxa" w:w="80"/>
              <w:right w:type="dxa" w:w="120"/>
            </w:tcMar>
          </w:tcPr>
          <w:p>
            <w:r>
              <w:rPr>
                <w:rFonts w:ascii="Calibri" w:cs="Calibri" w:eastAsia="Calibri" w:hAnsi="Calibri"/>
                <w:color w:val="1B1618"/>
                <w:sz w:val="17"/>
                <w:szCs w:val="17"/>
              </w:rPr>
              <w:t xml:space="preserve">CEDH, gr. ch., 8 avril 2021, Vavřička et autres c/ République tchèque, n° 47621/13</w:t>
            </w:r>
          </w:p>
        </w:tc>
        <w:tc>
          <w:tcPr>
            <w:tcW w:type="dxa" w:w="3200"/>
            <w:tcMar>
              <w:top w:type="dxa" w:w="80"/>
              <w:left w:type="dxa" w:w="120"/>
              <w:bottom w:type="dxa" w:w="80"/>
              <w:right w:type="dxa" w:w="120"/>
            </w:tcMar>
          </w:tcPr>
          <w:p>
            <w:r>
              <w:rPr>
                <w:rFonts w:ascii="Calibri" w:cs="Calibri" w:eastAsia="Calibri" w:hAnsi="Calibri"/>
                <w:color w:val="1B1618"/>
                <w:sz w:val="17"/>
                <w:szCs w:val="17"/>
              </w:rPr>
              <w:t xml:space="preserve">Intégrité, vie privée · obligations positives</w:t>
            </w:r>
          </w:p>
        </w:tc>
        <w:tc>
          <w:tcPr>
            <w:tcW w:type="dxa" w:w="1806"/>
            <w:tcMar>
              <w:top w:type="dxa" w:w="80"/>
              <w:left w:type="dxa" w:w="120"/>
              <w:bottom w:type="dxa" w:w="80"/>
              <w:right w:type="dxa" w:w="120"/>
            </w:tcMar>
          </w:tcPr>
          <w:p>
            <w:r>
              <w:rPr>
                <w:rFonts w:ascii="Calibri" w:cs="Calibri" w:eastAsia="Calibri" w:hAnsi="Calibri"/>
                <w:color w:val="1B1618"/>
                <w:sz w:val="17"/>
                <w:szCs w:val="17"/>
              </w:rPr>
              <w:t xml:space="preserve">Moyenne</w:t>
            </w:r>
          </w:p>
        </w:tc>
      </w:tr>
    </w:tbl>
    <w:p>
      <w:r>
        <w:br w:type="page"/>
      </w:r>
    </w:p>
    <w:p>
      <w:pPr>
        <w:pBdr>
          <w:bottom w:val="single" w:color="E5DEDE" w:sz="6" w:space="6"/>
        </w:pBdr>
        <w:spacing w:after="20" w:before="0"/>
      </w:pPr>
      <w:r>
        <w:rPr>
          <w:rFonts w:ascii="Calibri" w:cs="Calibri" w:eastAsia="Calibri" w:hAnsi="Calibri"/>
          <w:b/>
          <w:bCs/>
          <w:color w:val="8E1B22"/>
          <w:sz w:val="24"/>
          <w:szCs w:val="24"/>
        </w:rPr>
        <w:t xml:space="preserve">1 · </w:t>
      </w:r>
      <w:r>
        <w:rPr>
          <w:rFonts w:ascii="Calibri" w:cs="Calibri" w:eastAsia="Calibri" w:hAnsi="Calibri"/>
          <w:b/>
          <w:bCs/>
          <w:color w:val="1B1618"/>
          <w:sz w:val="24"/>
          <w:szCs w:val="24"/>
        </w:rPr>
        <w:t xml:space="preserve">CC, 16 juillet 1971, n° 71-44 DC — Liberté d'association</w:t>
      </w:r>
    </w:p>
    <w:p>
      <w:pPr>
        <w:spacing w:after="130" w:before="80"/>
      </w:pPr>
      <w:r>
        <w:rPr>
          <w:rFonts w:ascii="Calibri" w:cs="Calibri" w:eastAsia="Calibri" w:hAnsi="Calibri"/>
          <w:i/>
          <w:iCs/>
          <w:color w:val="6E6467"/>
          <w:sz w:val="18"/>
          <w:szCs w:val="18"/>
        </w:rPr>
        <w:t xml:space="preserve">Sources · bloc de constitutionnalité</w:t>
      </w:r>
    </w:p>
    <w:p>
      <w:pPr>
        <w:spacing w:after="90"/>
      </w:pPr>
      <w:r>
        <w:rPr>
          <w:rFonts w:ascii="Calibri" w:cs="Calibri" w:eastAsia="Calibri" w:hAnsi="Calibri"/>
          <w:b/>
          <w:bCs/>
          <w:caps/>
          <w:color w:val="8E1B22"/>
          <w:sz w:val="17"/>
          <w:szCs w:val="17"/>
        </w:rPr>
        <w:t xml:space="preserve">Faits  </w:t>
      </w:r>
      <w:r>
        <w:rPr>
          <w:rFonts w:ascii="Calibri" w:cs="Calibri" w:eastAsia="Calibri" w:hAnsi="Calibri"/>
          <w:color w:val="1B1618"/>
          <w:sz w:val="21"/>
          <w:szCs w:val="21"/>
        </w:rPr>
        <w:t xml:space="preserve">Une loi modifie la loi du 1er juillet 1901 pour soumettre l'acquisition de la capacité juridique par une association déclarée à un contrôle judiciaire préalable de licéité. Le président du Sénat saisit le Conseil.</w:t>
      </w:r>
    </w:p>
    <w:p>
      <w:pPr>
        <w:spacing w:after="90"/>
      </w:pPr>
      <w:r>
        <w:rPr>
          <w:rFonts w:ascii="Calibri" w:cs="Calibri" w:eastAsia="Calibri" w:hAnsi="Calibri"/>
          <w:b/>
          <w:bCs/>
          <w:caps/>
          <w:color w:val="8E1B22"/>
          <w:sz w:val="17"/>
          <w:szCs w:val="17"/>
        </w:rPr>
        <w:t xml:space="preserve">Procédure  </w:t>
      </w:r>
      <w:r>
        <w:rPr>
          <w:rFonts w:ascii="Calibri" w:cs="Calibri" w:eastAsia="Calibri" w:hAnsi="Calibri"/>
          <w:color w:val="1B1618"/>
          <w:sz w:val="21"/>
          <w:szCs w:val="21"/>
        </w:rPr>
        <w:t xml:space="preserve">Contrôle a priori, sur le fondement de l'article 61 alinéa 2 de la Constitution.</w:t>
      </w:r>
    </w:p>
    <w:p>
      <w:pPr>
        <w:spacing w:after="90"/>
      </w:pPr>
      <w:r>
        <w:rPr>
          <w:rFonts w:ascii="Calibri" w:cs="Calibri" w:eastAsia="Calibri" w:hAnsi="Calibri"/>
          <w:b/>
          <w:bCs/>
          <w:caps/>
          <w:color w:val="8E1B22"/>
          <w:sz w:val="17"/>
          <w:szCs w:val="17"/>
        </w:rPr>
        <w:t xml:space="preserve">Question  </w:t>
      </w:r>
      <w:r>
        <w:rPr>
          <w:rFonts w:ascii="Calibri" w:cs="Calibri" w:eastAsia="Calibri" w:hAnsi="Calibri"/>
          <w:color w:val="1B1618"/>
          <w:sz w:val="21"/>
          <w:szCs w:val="21"/>
        </w:rPr>
        <w:t xml:space="preserve">Le préambule de la Constitution de 1958, et à travers lui les principes fondamentaux reconnus par les lois de la République, ont-ils valeur constitutionnelle ?</w:t>
      </w:r>
    </w:p>
    <w:p>
      <w:pPr>
        <w:spacing w:after="90"/>
      </w:pPr>
      <w:r>
        <w:rPr>
          <w:rFonts w:ascii="Calibri" w:cs="Calibri" w:eastAsia="Calibri" w:hAnsi="Calibri"/>
          <w:b/>
          <w:bCs/>
          <w:caps/>
          <w:color w:val="8E1B22"/>
          <w:sz w:val="17"/>
          <w:szCs w:val="17"/>
        </w:rPr>
        <w:t xml:space="preserve">Solution  </w:t>
      </w:r>
      <w:r>
        <w:rPr>
          <w:rFonts w:ascii="Calibri" w:cs="Calibri" w:eastAsia="Calibri" w:hAnsi="Calibri"/>
          <w:color w:val="1B1618"/>
          <w:sz w:val="21"/>
          <w:szCs w:val="21"/>
        </w:rPr>
        <w:t xml:space="preserve">Oui. Le Conseil se réfère au préambule, consacre la liberté d'association comme principe fondamental reconnu par les lois de la République et censure la loi. C'est la naissance du bloc de constitutionnalité.</w:t>
      </w:r>
    </w:p>
    <w:p>
      <w:pPr>
        <w:spacing w:after="90"/>
      </w:pPr>
      <w:r>
        <w:rPr>
          <w:rFonts w:ascii="Calibri" w:cs="Calibri" w:eastAsia="Calibri" w:hAnsi="Calibri"/>
          <w:b/>
          <w:bCs/>
          <w:caps/>
          <w:color w:val="8E1B22"/>
          <w:sz w:val="17"/>
          <w:szCs w:val="17"/>
        </w:rPr>
        <w:t xml:space="preserve">Ce qu'elle travaille  </w:t>
      </w:r>
      <w:r>
        <w:rPr>
          <w:rFonts w:ascii="Calibri" w:cs="Calibri" w:eastAsia="Calibri" w:hAnsi="Calibri"/>
          <w:color w:val="1B1618"/>
          <w:sz w:val="21"/>
          <w:szCs w:val="21"/>
        </w:rPr>
        <w:t xml:space="preserve">La fabrique des sources : comment une norme entre dans le bloc, et par quelle technique. C'est la décision à connaître pour toute question sur l'origine des droits fondamentaux.</w:t>
      </w:r>
    </w:p>
    <w:p>
      <w:pPr>
        <w:spacing w:after="50" w:before="60"/>
      </w:pPr>
      <w:r>
        <w:rPr>
          <w:rFonts w:ascii="Calibri" w:cs="Calibri" w:eastAsia="Calibri" w:hAnsi="Calibri"/>
          <w:b/>
          <w:bCs/>
          <w:color w:val="8E1B22"/>
          <w:sz w:val="18"/>
          <w:szCs w:val="18"/>
        </w:rPr>
        <w:t xml:space="preserve">Le plan que la décision commande</w:t>
      </w:r>
    </w:p>
    <w:p>
      <w:pPr>
        <w:spacing w:after="50"/>
        <w:ind w:left="240"/>
      </w:pPr>
      <w:r>
        <w:rPr>
          <w:rFonts w:ascii="Calibri" w:cs="Calibri" w:eastAsia="Calibri" w:hAnsi="Calibri"/>
          <w:color w:val="1B1618"/>
          <w:sz w:val="20"/>
          <w:szCs w:val="20"/>
        </w:rPr>
        <w:t xml:space="preserve">I. La consécration d'une norme de référence nouvelle — A. Le détour par le préambule · B. La technique du principe fondamental reconnu par les lois de la République</w:t>
      </w:r>
    </w:p>
    <w:p>
      <w:pPr>
        <w:spacing w:after="90"/>
        <w:ind w:left="240"/>
      </w:pPr>
      <w:r>
        <w:rPr>
          <w:rFonts w:ascii="Calibri" w:cs="Calibri" w:eastAsia="Calibri" w:hAnsi="Calibri"/>
          <w:color w:val="1B1618"/>
          <w:sz w:val="20"/>
          <w:szCs w:val="20"/>
        </w:rPr>
        <w:t xml:space="preserve">II. La transformation de l'office du Conseil — A. Du régulateur des pouvoirs publics au juge des libertés · B. Les prolongements : la saisine parlementaire de 1974, la QPC de 2008</w:t>
      </w:r>
    </w:p>
    <w:p>
      <w:pPr>
        <w:spacing w:after="90"/>
      </w:pPr>
      <w:r>
        <w:rPr>
          <w:rFonts w:ascii="Calibri" w:cs="Calibri" w:eastAsia="Calibri" w:hAnsi="Calibri"/>
          <w:b/>
          <w:bCs/>
          <w:caps/>
          <w:color w:val="8E1B22"/>
          <w:sz w:val="17"/>
          <w:szCs w:val="17"/>
        </w:rPr>
        <w:t xml:space="preserve">Le piège  </w:t>
      </w:r>
      <w:r>
        <w:rPr>
          <w:rFonts w:ascii="Calibri" w:cs="Calibri" w:eastAsia="Calibri" w:hAnsi="Calibri"/>
          <w:color w:val="1B1618"/>
          <w:sz w:val="21"/>
          <w:szCs w:val="21"/>
        </w:rPr>
        <w:t xml:space="preserve">Raconter l'histoire du Conseil constitutionnel au lieu de commenter la décision. Le récit n'est pas un commentaire.</w:t>
      </w:r>
    </w:p>
    <w:p>
      <w:pPr>
        <w:spacing w:after="90"/>
      </w:pPr>
      <w:r>
        <w:rPr>
          <w:rFonts w:ascii="Calibri" w:cs="Calibri" w:eastAsia="Calibri" w:hAnsi="Calibri"/>
          <w:b/>
          <w:bCs/>
          <w:caps/>
          <w:color w:val="8E1B22"/>
          <w:sz w:val="17"/>
          <w:szCs w:val="17"/>
        </w:rPr>
        <w:t xml:space="preserve">Question d'entretien  </w:t>
      </w:r>
      <w:r>
        <w:rPr>
          <w:rFonts w:ascii="Calibri" w:cs="Calibri" w:eastAsia="Calibri" w:hAnsi="Calibri"/>
          <w:color w:val="1B1618"/>
          <w:sz w:val="21"/>
          <w:szCs w:val="21"/>
        </w:rPr>
        <w:t xml:space="preserve">Quelles conditions un principe doit-il réunir pour être reconnu comme PFRLR ? Citez-en deux autres.</w:t>
      </w:r>
    </w:p>
    <w:p>
      <w:pPr>
        <w:pBdr>
          <w:bottom w:val="single" w:color="E5DEDE" w:sz="6" w:space="6"/>
        </w:pBdr>
        <w:spacing w:after="20" w:before="220"/>
      </w:pPr>
      <w:r>
        <w:rPr>
          <w:rFonts w:ascii="Calibri" w:cs="Calibri" w:eastAsia="Calibri" w:hAnsi="Calibri"/>
          <w:b/>
          <w:bCs/>
          <w:color w:val="8E1B22"/>
          <w:sz w:val="24"/>
          <w:szCs w:val="24"/>
        </w:rPr>
        <w:t xml:space="preserve">2 · </w:t>
      </w:r>
      <w:r>
        <w:rPr>
          <w:rFonts w:ascii="Calibri" w:cs="Calibri" w:eastAsia="Calibri" w:hAnsi="Calibri"/>
          <w:b/>
          <w:bCs/>
          <w:color w:val="1B1618"/>
          <w:sz w:val="24"/>
          <w:szCs w:val="24"/>
        </w:rPr>
        <w:t xml:space="preserve">CE, ass., 27 octobre 1995, n° 136727, Commune de Morsang-sur-Orge</w:t>
      </w:r>
    </w:p>
    <w:p>
      <w:pPr>
        <w:spacing w:after="130" w:before="80"/>
      </w:pPr>
      <w:r>
        <w:rPr>
          <w:rFonts w:ascii="Calibri" w:cs="Calibri" w:eastAsia="Calibri" w:hAnsi="Calibri"/>
          <w:i/>
          <w:iCs/>
          <w:color w:val="6E6467"/>
          <w:sz w:val="18"/>
          <w:szCs w:val="18"/>
        </w:rPr>
        <w:t xml:space="preserve">Dignité · police administrative</w:t>
      </w:r>
    </w:p>
    <w:p>
      <w:pPr>
        <w:spacing w:after="90"/>
      </w:pPr>
      <w:r>
        <w:rPr>
          <w:rFonts w:ascii="Calibri" w:cs="Calibri" w:eastAsia="Calibri" w:hAnsi="Calibri"/>
          <w:b/>
          <w:bCs/>
          <w:caps/>
          <w:color w:val="8E1B22"/>
          <w:sz w:val="17"/>
          <w:szCs w:val="17"/>
        </w:rPr>
        <w:t xml:space="preserve">Faits  </w:t>
      </w:r>
      <w:r>
        <w:rPr>
          <w:rFonts w:ascii="Calibri" w:cs="Calibri" w:eastAsia="Calibri" w:hAnsi="Calibri"/>
          <w:color w:val="1B1618"/>
          <w:sz w:val="21"/>
          <w:szCs w:val="21"/>
        </w:rPr>
        <w:t xml:space="preserve">Un spectacle dit de « lancer de nain » se tient dans une discothèque. Le maire l'interdit. Aucun trouble matériel n'est constaté et la personne concernée est consentante : elle y voit son emploi.</w:t>
      </w:r>
    </w:p>
    <w:p>
      <w:pPr>
        <w:spacing w:after="90"/>
      </w:pPr>
      <w:r>
        <w:rPr>
          <w:rFonts w:ascii="Calibri" w:cs="Calibri" w:eastAsia="Calibri" w:hAnsi="Calibri"/>
          <w:b/>
          <w:bCs/>
          <w:caps/>
          <w:color w:val="8E1B22"/>
          <w:sz w:val="17"/>
          <w:szCs w:val="17"/>
        </w:rPr>
        <w:t xml:space="preserve">Procédure  </w:t>
      </w:r>
      <w:r>
        <w:rPr>
          <w:rFonts w:ascii="Calibri" w:cs="Calibri" w:eastAsia="Calibri" w:hAnsi="Calibri"/>
          <w:color w:val="1B1618"/>
          <w:sz w:val="21"/>
          <w:szCs w:val="21"/>
        </w:rPr>
        <w:t xml:space="preserve">Le tribunal administratif annule l'arrêté municipal. Le Conseil d'État, en formation d'Assemblée, censure ce jugement.</w:t>
      </w:r>
    </w:p>
    <w:p>
      <w:pPr>
        <w:spacing w:after="90"/>
      </w:pPr>
      <w:r>
        <w:rPr>
          <w:rFonts w:ascii="Calibri" w:cs="Calibri" w:eastAsia="Calibri" w:hAnsi="Calibri"/>
          <w:b/>
          <w:bCs/>
          <w:caps/>
          <w:color w:val="8E1B22"/>
          <w:sz w:val="17"/>
          <w:szCs w:val="17"/>
        </w:rPr>
        <w:t xml:space="preserve">Question  </w:t>
      </w:r>
      <w:r>
        <w:rPr>
          <w:rFonts w:ascii="Calibri" w:cs="Calibri" w:eastAsia="Calibri" w:hAnsi="Calibri"/>
          <w:color w:val="1B1618"/>
          <w:sz w:val="21"/>
          <w:szCs w:val="21"/>
        </w:rPr>
        <w:t xml:space="preserve">Le respect de la dignité de la personne humaine est-il une composante de l'ordre public que la police administrative peut protéger, même en l'absence de trouble matériel et malgré le consentement de l'intéressé ?</w:t>
      </w:r>
    </w:p>
    <w:p>
      <w:pPr>
        <w:spacing w:after="90"/>
      </w:pPr>
      <w:r>
        <w:rPr>
          <w:rFonts w:ascii="Calibri" w:cs="Calibri" w:eastAsia="Calibri" w:hAnsi="Calibri"/>
          <w:b/>
          <w:bCs/>
          <w:caps/>
          <w:color w:val="8E1B22"/>
          <w:sz w:val="17"/>
          <w:szCs w:val="17"/>
        </w:rPr>
        <w:t xml:space="preserve">Solution  </w:t>
      </w:r>
      <w:r>
        <w:rPr>
          <w:rFonts w:ascii="Calibri" w:cs="Calibri" w:eastAsia="Calibri" w:hAnsi="Calibri"/>
          <w:color w:val="1B1618"/>
          <w:sz w:val="21"/>
          <w:szCs w:val="21"/>
        </w:rPr>
        <w:t xml:space="preserve">Oui. La dignité de la personne humaine est une composante de l'ordre public ; l'autorité de police peut interdire une attraction qui y porte atteinte, et le consentement de la personne est indifférent.</w:t>
      </w:r>
    </w:p>
    <w:p>
      <w:pPr>
        <w:spacing w:after="90"/>
      </w:pPr>
      <w:r>
        <w:rPr>
          <w:rFonts w:ascii="Calibri" w:cs="Calibri" w:eastAsia="Calibri" w:hAnsi="Calibri"/>
          <w:b/>
          <w:bCs/>
          <w:caps/>
          <w:color w:val="8E1B22"/>
          <w:sz w:val="17"/>
          <w:szCs w:val="17"/>
        </w:rPr>
        <w:t xml:space="preserve">Ce qu'elle travaille  </w:t>
      </w:r>
      <w:r>
        <w:rPr>
          <w:rFonts w:ascii="Calibri" w:cs="Calibri" w:eastAsia="Calibri" w:hAnsi="Calibri"/>
          <w:color w:val="1B1618"/>
          <w:sz w:val="21"/>
          <w:szCs w:val="21"/>
        </w:rPr>
        <w:t xml:space="preserve">L'ordre public immatériel, et la dignité prise comme limite à la liberté plutôt que comme droit subjectif. Décision charnière pour toute question sur les rapports entre liberté et ordre public.</w:t>
      </w:r>
    </w:p>
    <w:p>
      <w:pPr>
        <w:spacing w:after="50" w:before="60"/>
      </w:pPr>
      <w:r>
        <w:rPr>
          <w:rFonts w:ascii="Calibri" w:cs="Calibri" w:eastAsia="Calibri" w:hAnsi="Calibri"/>
          <w:b/>
          <w:bCs/>
          <w:color w:val="8E1B22"/>
          <w:sz w:val="18"/>
          <w:szCs w:val="18"/>
        </w:rPr>
        <w:t xml:space="preserve">Le plan que la décision commande</w:t>
      </w:r>
    </w:p>
    <w:p>
      <w:pPr>
        <w:spacing w:after="50"/>
        <w:ind w:left="240"/>
      </w:pPr>
      <w:r>
        <w:rPr>
          <w:rFonts w:ascii="Calibri" w:cs="Calibri" w:eastAsia="Calibri" w:hAnsi="Calibri"/>
          <w:color w:val="1B1618"/>
          <w:sz w:val="20"/>
          <w:szCs w:val="20"/>
        </w:rPr>
        <w:t xml:space="preserve">I. La dignité, composante nouvelle de l'ordre public — A. L'abandon de l'exigence d'un trouble matériel · B. Une conception objective de la dignité</w:t>
      </w:r>
    </w:p>
    <w:p>
      <w:pPr>
        <w:spacing w:after="90"/>
        <w:ind w:left="240"/>
      </w:pPr>
      <w:r>
        <w:rPr>
          <w:rFonts w:ascii="Calibri" w:cs="Calibri" w:eastAsia="Calibri" w:hAnsi="Calibri"/>
          <w:color w:val="1B1618"/>
          <w:sz w:val="20"/>
          <w:szCs w:val="20"/>
        </w:rPr>
        <w:t xml:space="preserve">II. Une extension placée sous surveillance — A. L'indifférence du consentement et ses critiques · B. Une portée circonscrite : circonstances locales, article 16 du Code civil, prolongements ultérieurs</w:t>
      </w:r>
    </w:p>
    <w:p>
      <w:pPr>
        <w:spacing w:after="90"/>
      </w:pPr>
      <w:r>
        <w:rPr>
          <w:rFonts w:ascii="Calibri" w:cs="Calibri" w:eastAsia="Calibri" w:hAnsi="Calibri"/>
          <w:b/>
          <w:bCs/>
          <w:caps/>
          <w:color w:val="8E1B22"/>
          <w:sz w:val="17"/>
          <w:szCs w:val="17"/>
        </w:rPr>
        <w:t xml:space="preserve">Le piège  </w:t>
      </w:r>
      <w:r>
        <w:rPr>
          <w:rFonts w:ascii="Calibri" w:cs="Calibri" w:eastAsia="Calibri" w:hAnsi="Calibri"/>
          <w:color w:val="1B1618"/>
          <w:sz w:val="21"/>
          <w:szCs w:val="21"/>
        </w:rPr>
        <w:t xml:space="preserve">Faire une dissertation sur la dignité. Ce qui se commente ici, c'est le raisonnement du Conseil d'État, pas la notion.</w:t>
      </w:r>
    </w:p>
    <w:p>
      <w:pPr>
        <w:spacing w:after="90"/>
      </w:pPr>
      <w:r>
        <w:rPr>
          <w:rFonts w:ascii="Calibri" w:cs="Calibri" w:eastAsia="Calibri" w:hAnsi="Calibri"/>
          <w:b/>
          <w:bCs/>
          <w:caps/>
          <w:color w:val="8E1B22"/>
          <w:sz w:val="17"/>
          <w:szCs w:val="17"/>
        </w:rPr>
        <w:t xml:space="preserve">Question d'entretien  </w:t>
      </w:r>
      <w:r>
        <w:rPr>
          <w:rFonts w:ascii="Calibri" w:cs="Calibri" w:eastAsia="Calibri" w:hAnsi="Calibri"/>
          <w:color w:val="1B1618"/>
          <w:sz w:val="21"/>
          <w:szCs w:val="21"/>
        </w:rPr>
        <w:t xml:space="preserve">La dignité est-elle un droit subjectif ou un principe objectif ? Que devient alors le consentement de la personne ?</w:t>
      </w:r>
    </w:p>
    <w:p>
      <w:pPr>
        <w:pBdr>
          <w:bottom w:val="single" w:color="E5DEDE" w:sz="6" w:space="6"/>
        </w:pBdr>
        <w:spacing w:after="20" w:before="220"/>
      </w:pPr>
      <w:r>
        <w:rPr>
          <w:rFonts w:ascii="Calibri" w:cs="Calibri" w:eastAsia="Calibri" w:hAnsi="Calibri"/>
          <w:b/>
          <w:bCs/>
          <w:color w:val="8E1B22"/>
          <w:sz w:val="24"/>
          <w:szCs w:val="24"/>
        </w:rPr>
        <w:t xml:space="preserve">3 · </w:t>
      </w:r>
      <w:r>
        <w:rPr>
          <w:rFonts w:ascii="Calibri" w:cs="Calibri" w:eastAsia="Calibri" w:hAnsi="Calibri"/>
          <w:b/>
          <w:bCs/>
          <w:color w:val="1B1618"/>
          <w:sz w:val="24"/>
          <w:szCs w:val="24"/>
        </w:rPr>
        <w:t xml:space="preserve">CE, ord. réf., 9 janvier 2014, n° 374508, Ministre de l'Intérieur c/ Sté Les Productions de la Plume et M. M'Bala M'Bala</w:t>
      </w:r>
    </w:p>
    <w:p>
      <w:pPr>
        <w:spacing w:after="130" w:before="80"/>
      </w:pPr>
      <w:r>
        <w:rPr>
          <w:rFonts w:ascii="Calibri" w:cs="Calibri" w:eastAsia="Calibri" w:hAnsi="Calibri"/>
          <w:i/>
          <w:iCs/>
          <w:color w:val="6E6467"/>
          <w:sz w:val="18"/>
          <w:szCs w:val="18"/>
        </w:rPr>
        <w:t xml:space="preserve">Réunion et expression · référé-liberté</w:t>
      </w:r>
    </w:p>
    <w:p>
      <w:pPr>
        <w:spacing w:after="90"/>
      </w:pPr>
      <w:r>
        <w:rPr>
          <w:rFonts w:ascii="Calibri" w:cs="Calibri" w:eastAsia="Calibri" w:hAnsi="Calibri"/>
          <w:b/>
          <w:bCs/>
          <w:caps/>
          <w:color w:val="8E1B22"/>
          <w:sz w:val="17"/>
          <w:szCs w:val="17"/>
        </w:rPr>
        <w:t xml:space="preserve">Faits  </w:t>
      </w:r>
      <w:r>
        <w:rPr>
          <w:rFonts w:ascii="Calibri" w:cs="Calibri" w:eastAsia="Calibri" w:hAnsi="Calibri"/>
          <w:color w:val="1B1618"/>
          <w:sz w:val="21"/>
          <w:szCs w:val="21"/>
        </w:rPr>
        <w:t xml:space="preserve">Un arrêté préfectoral interdit la représentation d'un spectacle à Nantes, en raison des propos antisémites tenus lors des représentations antérieures.</w:t>
      </w:r>
    </w:p>
    <w:p>
      <w:pPr>
        <w:spacing w:after="90"/>
      </w:pPr>
      <w:r>
        <w:rPr>
          <w:rFonts w:ascii="Calibri" w:cs="Calibri" w:eastAsia="Calibri" w:hAnsi="Calibri"/>
          <w:b/>
          <w:bCs/>
          <w:caps/>
          <w:color w:val="8E1B22"/>
          <w:sz w:val="17"/>
          <w:szCs w:val="17"/>
        </w:rPr>
        <w:t xml:space="preserve">Procédure  </w:t>
      </w:r>
      <w:r>
        <w:rPr>
          <w:rFonts w:ascii="Calibri" w:cs="Calibri" w:eastAsia="Calibri" w:hAnsi="Calibri"/>
          <w:color w:val="1B1618"/>
          <w:sz w:val="21"/>
          <w:szCs w:val="21"/>
        </w:rPr>
        <w:t xml:space="preserve">Le juge des référés du tribunal administratif suspend l'arrêté. Le ministre fait appel. Le juge des référés du Conseil d'État annule l'ordonnance et rétablit l'interdiction, en quelques heures.</w:t>
      </w:r>
    </w:p>
    <w:p>
      <w:pPr>
        <w:spacing w:after="90"/>
      </w:pPr>
      <w:r>
        <w:rPr>
          <w:rFonts w:ascii="Calibri" w:cs="Calibri" w:eastAsia="Calibri" w:hAnsi="Calibri"/>
          <w:b/>
          <w:bCs/>
          <w:caps/>
          <w:color w:val="8E1B22"/>
          <w:sz w:val="17"/>
          <w:szCs w:val="17"/>
        </w:rPr>
        <w:t xml:space="preserve">Question  </w:t>
      </w:r>
      <w:r>
        <w:rPr>
          <w:rFonts w:ascii="Calibri" w:cs="Calibri" w:eastAsia="Calibri" w:hAnsi="Calibri"/>
          <w:color w:val="1B1618"/>
          <w:sz w:val="21"/>
          <w:szCs w:val="21"/>
        </w:rPr>
        <w:t xml:space="preserve">Une mesure de police peut-elle interdire préventivement un spectacle au nom de la dignité et de la cohésion nationale sans porter une atteinte grave et manifestement illégale à la liberté d'expression et de réunion ?</w:t>
      </w:r>
    </w:p>
    <w:p>
      <w:pPr>
        <w:spacing w:after="90"/>
      </w:pPr>
      <w:r>
        <w:rPr>
          <w:rFonts w:ascii="Calibri" w:cs="Calibri" w:eastAsia="Calibri" w:hAnsi="Calibri"/>
          <w:b/>
          <w:bCs/>
          <w:caps/>
          <w:color w:val="8E1B22"/>
          <w:sz w:val="17"/>
          <w:szCs w:val="17"/>
        </w:rPr>
        <w:t xml:space="preserve">Solution  </w:t>
      </w:r>
      <w:r>
        <w:rPr>
          <w:rFonts w:ascii="Calibri" w:cs="Calibri" w:eastAsia="Calibri" w:hAnsi="Calibri"/>
          <w:color w:val="1B1618"/>
          <w:sz w:val="21"/>
          <w:szCs w:val="21"/>
        </w:rPr>
        <w:t xml:space="preserve">Oui en l'espèce. Le risque sérieux d'atteinte à la dignité et de commission d'infractions pénales, établi par les représentations passées, justifie l'interdiction.</w:t>
      </w:r>
    </w:p>
    <w:p>
      <w:pPr>
        <w:spacing w:after="90"/>
      </w:pPr>
      <w:r>
        <w:rPr>
          <w:rFonts w:ascii="Calibri" w:cs="Calibri" w:eastAsia="Calibri" w:hAnsi="Calibri"/>
          <w:b/>
          <w:bCs/>
          <w:caps/>
          <w:color w:val="8E1B22"/>
          <w:sz w:val="17"/>
          <w:szCs w:val="17"/>
        </w:rPr>
        <w:t xml:space="preserve">Ce qu'elle travaille  </w:t>
      </w:r>
      <w:r>
        <w:rPr>
          <w:rFonts w:ascii="Calibri" w:cs="Calibri" w:eastAsia="Calibri" w:hAnsi="Calibri"/>
          <w:color w:val="1B1618"/>
          <w:sz w:val="21"/>
          <w:szCs w:val="21"/>
        </w:rPr>
        <w:t xml:space="preserve">Les trois conditions de l'article L. 521-2 du CJA déroulées l'une après l'autre, l'office du juge des référés, et la logique de la police préventive héritée de l'arrêt Benjamin.</w:t>
      </w:r>
    </w:p>
    <w:p>
      <w:pPr>
        <w:spacing w:after="50" w:before="60"/>
      </w:pPr>
      <w:r>
        <w:rPr>
          <w:rFonts w:ascii="Calibri" w:cs="Calibri" w:eastAsia="Calibri" w:hAnsi="Calibri"/>
          <w:b/>
          <w:bCs/>
          <w:color w:val="8E1B22"/>
          <w:sz w:val="18"/>
          <w:szCs w:val="18"/>
        </w:rPr>
        <w:t xml:space="preserve">Le plan que la décision commande</w:t>
      </w:r>
    </w:p>
    <w:p>
      <w:pPr>
        <w:spacing w:after="50"/>
        <w:ind w:left="240"/>
      </w:pPr>
      <w:r>
        <w:rPr>
          <w:rFonts w:ascii="Calibri" w:cs="Calibri" w:eastAsia="Calibri" w:hAnsi="Calibri"/>
          <w:color w:val="1B1618"/>
          <w:sz w:val="20"/>
          <w:szCs w:val="20"/>
        </w:rPr>
        <w:t xml:space="preserve">I. Un contrôle formellement classique — A. Les conditions du référé-liberté · B. Le rappel de la logique Benjamin : l'interdiction reste l'exception</w:t>
      </w:r>
    </w:p>
    <w:p>
      <w:pPr>
        <w:spacing w:after="90"/>
        <w:ind w:left="240"/>
      </w:pPr>
      <w:r>
        <w:rPr>
          <w:rFonts w:ascii="Calibri" w:cs="Calibri" w:eastAsia="Calibri" w:hAnsi="Calibri"/>
          <w:color w:val="1B1618"/>
          <w:sz w:val="20"/>
          <w:szCs w:val="20"/>
        </w:rPr>
        <w:t xml:space="preserve">II. Un contrôle matériellement infléchi — A. Le recours à la dignité et aux atteintes non matérielles · B. L'appréciation par anticipation et le risque pour la liberté d'expression</w:t>
      </w:r>
    </w:p>
    <w:p>
      <w:pPr>
        <w:spacing w:after="90"/>
      </w:pPr>
      <w:r>
        <w:rPr>
          <w:rFonts w:ascii="Calibri" w:cs="Calibri" w:eastAsia="Calibri" w:hAnsi="Calibri"/>
          <w:b/>
          <w:bCs/>
          <w:caps/>
          <w:color w:val="8E1B22"/>
          <w:sz w:val="17"/>
          <w:szCs w:val="17"/>
        </w:rPr>
        <w:t xml:space="preserve">Le piège  </w:t>
      </w:r>
      <w:r>
        <w:rPr>
          <w:rFonts w:ascii="Calibri" w:cs="Calibri" w:eastAsia="Calibri" w:hAnsi="Calibri"/>
          <w:color w:val="1B1618"/>
          <w:sz w:val="21"/>
          <w:szCs w:val="21"/>
        </w:rPr>
        <w:t xml:space="preserve">Commenter le personnage plutôt que la décision. Le jury attend un raisonnement de police administrative.</w:t>
      </w:r>
    </w:p>
    <w:p>
      <w:pPr>
        <w:spacing w:after="90"/>
      </w:pPr>
      <w:r>
        <w:rPr>
          <w:rFonts w:ascii="Calibri" w:cs="Calibri" w:eastAsia="Calibri" w:hAnsi="Calibri"/>
          <w:b/>
          <w:bCs/>
          <w:caps/>
          <w:color w:val="8E1B22"/>
          <w:sz w:val="17"/>
          <w:szCs w:val="17"/>
        </w:rPr>
        <w:t xml:space="preserve">Question d'entretien  </w:t>
      </w:r>
      <w:r>
        <w:rPr>
          <w:rFonts w:ascii="Calibri" w:cs="Calibri" w:eastAsia="Calibri" w:hAnsi="Calibri"/>
          <w:color w:val="1B1618"/>
          <w:sz w:val="21"/>
          <w:szCs w:val="21"/>
        </w:rPr>
        <w:t xml:space="preserve">Où passe la frontière entre police préventive et censure ?</w:t>
      </w:r>
    </w:p>
    <w:p>
      <w:pPr>
        <w:pBdr>
          <w:bottom w:val="single" w:color="E5DEDE" w:sz="6" w:space="6"/>
        </w:pBdr>
        <w:spacing w:after="20" w:before="220"/>
      </w:pPr>
      <w:r>
        <w:rPr>
          <w:rFonts w:ascii="Calibri" w:cs="Calibri" w:eastAsia="Calibri" w:hAnsi="Calibri"/>
          <w:b/>
          <w:bCs/>
          <w:color w:val="8E1B22"/>
          <w:sz w:val="24"/>
          <w:szCs w:val="24"/>
        </w:rPr>
        <w:t xml:space="preserve">4 · </w:t>
      </w:r>
      <w:r>
        <w:rPr>
          <w:rFonts w:ascii="Calibri" w:cs="Calibri" w:eastAsia="Calibri" w:hAnsi="Calibri"/>
          <w:b/>
          <w:bCs/>
          <w:color w:val="1B1618"/>
          <w:sz w:val="24"/>
          <w:szCs w:val="24"/>
        </w:rPr>
        <w:t xml:space="preserve">CEDH, gr. ch., 1er juillet 2014, S.A.S. c/ France, n° 43835/11</w:t>
      </w:r>
    </w:p>
    <w:p>
      <w:pPr>
        <w:spacing w:after="130" w:before="80"/>
      </w:pPr>
      <w:r>
        <w:rPr>
          <w:rFonts w:ascii="Calibri" w:cs="Calibri" w:eastAsia="Calibri" w:hAnsi="Calibri"/>
          <w:i/>
          <w:iCs/>
          <w:color w:val="6E6467"/>
          <w:sz w:val="18"/>
          <w:szCs w:val="18"/>
        </w:rPr>
        <w:t xml:space="preserve">Religion, vie privée, expression · marge d'appréciation</w:t>
      </w:r>
    </w:p>
    <w:p>
      <w:pPr>
        <w:spacing w:after="90"/>
      </w:pPr>
      <w:r>
        <w:rPr>
          <w:rFonts w:ascii="Calibri" w:cs="Calibri" w:eastAsia="Calibri" w:hAnsi="Calibri"/>
          <w:b/>
          <w:bCs/>
          <w:caps/>
          <w:color w:val="8E1B22"/>
          <w:sz w:val="17"/>
          <w:szCs w:val="17"/>
        </w:rPr>
        <w:t xml:space="preserve">Faits  </w:t>
      </w:r>
      <w:r>
        <w:rPr>
          <w:rFonts w:ascii="Calibri" w:cs="Calibri" w:eastAsia="Calibri" w:hAnsi="Calibri"/>
          <w:color w:val="1B1618"/>
          <w:sz w:val="21"/>
          <w:szCs w:val="21"/>
        </w:rPr>
        <w:t xml:space="preserve">Une ressortissante française de confession musulmane porte volontairement le voile intégral. La loi du 11 octobre 2010 interdit la dissimulation du visage dans l'espace public.</w:t>
      </w:r>
    </w:p>
    <w:p>
      <w:pPr>
        <w:spacing w:after="90"/>
      </w:pPr>
      <w:r>
        <w:rPr>
          <w:rFonts w:ascii="Calibri" w:cs="Calibri" w:eastAsia="Calibri" w:hAnsi="Calibri"/>
          <w:b/>
          <w:bCs/>
          <w:caps/>
          <w:color w:val="8E1B22"/>
          <w:sz w:val="17"/>
          <w:szCs w:val="17"/>
        </w:rPr>
        <w:t xml:space="preserve">Procédure  </w:t>
      </w:r>
      <w:r>
        <w:rPr>
          <w:rFonts w:ascii="Calibri" w:cs="Calibri" w:eastAsia="Calibri" w:hAnsi="Calibri"/>
          <w:color w:val="1B1618"/>
          <w:sz w:val="21"/>
          <w:szCs w:val="21"/>
        </w:rPr>
        <w:t xml:space="preserve">Requête directe devant la Cour, la requérante étant admise comme victime potentielle sans avoir été poursuivie.</w:t>
      </w:r>
    </w:p>
    <w:p>
      <w:pPr>
        <w:spacing w:after="90"/>
      </w:pPr>
      <w:r>
        <w:rPr>
          <w:rFonts w:ascii="Calibri" w:cs="Calibri" w:eastAsia="Calibri" w:hAnsi="Calibri"/>
          <w:b/>
          <w:bCs/>
          <w:caps/>
          <w:color w:val="8E1B22"/>
          <w:sz w:val="17"/>
          <w:szCs w:val="17"/>
        </w:rPr>
        <w:t xml:space="preserve">Question  </w:t>
      </w:r>
      <w:r>
        <w:rPr>
          <w:rFonts w:ascii="Calibri" w:cs="Calibri" w:eastAsia="Calibri" w:hAnsi="Calibri"/>
          <w:color w:val="1B1618"/>
          <w:sz w:val="21"/>
          <w:szCs w:val="21"/>
        </w:rPr>
        <w:t xml:space="preserve">Une interdiction générale de dissimuler son visage dans l'espace public porte-t-elle une atteinte disproportionnée aux articles 8, 9 et 10 de la Convention ?</w:t>
      </w:r>
    </w:p>
    <w:p>
      <w:pPr>
        <w:spacing w:after="90"/>
      </w:pPr>
      <w:r>
        <w:rPr>
          <w:rFonts w:ascii="Calibri" w:cs="Calibri" w:eastAsia="Calibri" w:hAnsi="Calibri"/>
          <w:b/>
          <w:bCs/>
          <w:caps/>
          <w:color w:val="8E1B22"/>
          <w:sz w:val="17"/>
          <w:szCs w:val="17"/>
        </w:rPr>
        <w:t xml:space="preserve">Solution  </w:t>
      </w:r>
      <w:r>
        <w:rPr>
          <w:rFonts w:ascii="Calibri" w:cs="Calibri" w:eastAsia="Calibri" w:hAnsi="Calibri"/>
          <w:color w:val="1B1618"/>
          <w:sz w:val="21"/>
          <w:szCs w:val="21"/>
        </w:rPr>
        <w:t xml:space="preserve">Non-violation. La Cour écarte les buts tirés de la sécurité publique et de l'égalité, mais retient le « vivre ensemble » comme composante de la protection des droits d'autrui, et reconnaît à l'État une ample marge d'appréciation.</w:t>
      </w:r>
    </w:p>
    <w:p>
      <w:pPr>
        <w:spacing w:after="90"/>
      </w:pPr>
      <w:r>
        <w:rPr>
          <w:rFonts w:ascii="Calibri" w:cs="Calibri" w:eastAsia="Calibri" w:hAnsi="Calibri"/>
          <w:b/>
          <w:bCs/>
          <w:caps/>
          <w:color w:val="8E1B22"/>
          <w:sz w:val="17"/>
          <w:szCs w:val="17"/>
        </w:rPr>
        <w:t xml:space="preserve">Ce qu'elle travaille  </w:t>
      </w:r>
      <w:r>
        <w:rPr>
          <w:rFonts w:ascii="Calibri" w:cs="Calibri" w:eastAsia="Calibri" w:hAnsi="Calibri"/>
          <w:color w:val="1B1618"/>
          <w:sz w:val="21"/>
          <w:szCs w:val="21"/>
        </w:rPr>
        <w:t xml:space="preserve">Le triple test appliqué en entier, la construction d'un but légitime, et le maniement de la marge nationale d'appréciation — avec une opinion dissidente qui donne le contre-argument tout fait.</w:t>
      </w:r>
    </w:p>
    <w:p>
      <w:pPr>
        <w:spacing w:after="50" w:before="60"/>
      </w:pPr>
      <w:r>
        <w:rPr>
          <w:rFonts w:ascii="Calibri" w:cs="Calibri" w:eastAsia="Calibri" w:hAnsi="Calibri"/>
          <w:b/>
          <w:bCs/>
          <w:color w:val="8E1B22"/>
          <w:sz w:val="18"/>
          <w:szCs w:val="18"/>
        </w:rPr>
        <w:t xml:space="preserve">Le plan que la décision commande</w:t>
      </w:r>
    </w:p>
    <w:p>
      <w:pPr>
        <w:spacing w:after="50"/>
        <w:ind w:left="240"/>
      </w:pPr>
      <w:r>
        <w:rPr>
          <w:rFonts w:ascii="Calibri" w:cs="Calibri" w:eastAsia="Calibri" w:hAnsi="Calibri"/>
          <w:color w:val="1B1618"/>
          <w:sz w:val="20"/>
          <w:szCs w:val="20"/>
        </w:rPr>
        <w:t xml:space="preserve">I. Un contrôle rigoureux des buts invoqués — A. Le rejet de la sécurité publique et de l'égalité · B. L'admission discutée du vivre ensemble</w:t>
      </w:r>
    </w:p>
    <w:p>
      <w:pPr>
        <w:spacing w:after="90"/>
        <w:ind w:left="240"/>
      </w:pPr>
      <w:r>
        <w:rPr>
          <w:rFonts w:ascii="Calibri" w:cs="Calibri" w:eastAsia="Calibri" w:hAnsi="Calibri"/>
          <w:color w:val="1B1618"/>
          <w:sz w:val="20"/>
          <w:szCs w:val="20"/>
        </w:rPr>
        <w:t xml:space="preserve">II. Un contrôle de proportionnalité en retrait — A. L'ampleur de la marge d'appréciation · B. Les réserves de l'opinion dissidente et la portée pour le modèle français</w:t>
      </w:r>
    </w:p>
    <w:p>
      <w:pPr>
        <w:spacing w:after="90"/>
      </w:pPr>
      <w:r>
        <w:rPr>
          <w:rFonts w:ascii="Calibri" w:cs="Calibri" w:eastAsia="Calibri" w:hAnsi="Calibri"/>
          <w:b/>
          <w:bCs/>
          <w:caps/>
          <w:color w:val="8E1B22"/>
          <w:sz w:val="17"/>
          <w:szCs w:val="17"/>
        </w:rPr>
        <w:t xml:space="preserve">Le piège  </w:t>
      </w:r>
      <w:r>
        <w:rPr>
          <w:rFonts w:ascii="Calibri" w:cs="Calibri" w:eastAsia="Calibri" w:hAnsi="Calibri"/>
          <w:color w:val="1B1618"/>
          <w:sz w:val="21"/>
          <w:szCs w:val="21"/>
        </w:rPr>
        <w:t xml:space="preserve">Traiter « la laïcité » en dissertation. La Cour ne raisonne pas sur la laïcité mais sur le vivre ensemble : le commentaire doit suivre son terrain.</w:t>
      </w:r>
    </w:p>
    <w:p>
      <w:pPr>
        <w:spacing w:after="90"/>
      </w:pPr>
      <w:r>
        <w:rPr>
          <w:rFonts w:ascii="Calibri" w:cs="Calibri" w:eastAsia="Calibri" w:hAnsi="Calibri"/>
          <w:b/>
          <w:bCs/>
          <w:caps/>
          <w:color w:val="8E1B22"/>
          <w:sz w:val="17"/>
          <w:szCs w:val="17"/>
        </w:rPr>
        <w:t xml:space="preserve">Question d'entretien  </w:t>
      </w:r>
      <w:r>
        <w:rPr>
          <w:rFonts w:ascii="Calibri" w:cs="Calibri" w:eastAsia="Calibri" w:hAnsi="Calibri"/>
          <w:color w:val="1B1618"/>
          <w:sz w:val="21"/>
          <w:szCs w:val="21"/>
        </w:rPr>
        <w:t xml:space="preserve">Qu'est-ce qui fait varier l'ampleur de la marge nationale d'appréciation ?</w:t>
      </w:r>
    </w:p>
    <w:p>
      <w:pPr>
        <w:pBdr>
          <w:bottom w:val="single" w:color="E5DEDE" w:sz="6" w:space="6"/>
        </w:pBdr>
        <w:spacing w:after="20" w:before="220"/>
      </w:pPr>
      <w:r>
        <w:rPr>
          <w:rFonts w:ascii="Calibri" w:cs="Calibri" w:eastAsia="Calibri" w:hAnsi="Calibri"/>
          <w:b/>
          <w:bCs/>
          <w:color w:val="8E1B22"/>
          <w:sz w:val="24"/>
          <w:szCs w:val="24"/>
        </w:rPr>
        <w:t xml:space="preserve">5 · </w:t>
      </w:r>
      <w:r>
        <w:rPr>
          <w:rFonts w:ascii="Calibri" w:cs="Calibri" w:eastAsia="Calibri" w:hAnsi="Calibri"/>
          <w:b/>
          <w:bCs/>
          <w:color w:val="1B1618"/>
          <w:sz w:val="24"/>
          <w:szCs w:val="24"/>
        </w:rPr>
        <w:t xml:space="preserve">Cass., ass. plén., 25 juin 2014, n° 13-28.369, Baby Loup</w:t>
      </w:r>
    </w:p>
    <w:p>
      <w:pPr>
        <w:spacing w:after="130" w:before="80"/>
      </w:pPr>
      <w:r>
        <w:rPr>
          <w:rFonts w:ascii="Calibri" w:cs="Calibri" w:eastAsia="Calibri" w:hAnsi="Calibri"/>
          <w:i/>
          <w:iCs/>
          <w:color w:val="6E6467"/>
          <w:sz w:val="18"/>
          <w:szCs w:val="18"/>
        </w:rPr>
        <w:t xml:space="preserve">Religion · effet horizontal des libertés</w:t>
      </w:r>
    </w:p>
    <w:p>
      <w:pPr>
        <w:spacing w:after="90"/>
      </w:pPr>
      <w:r>
        <w:rPr>
          <w:rFonts w:ascii="Calibri" w:cs="Calibri" w:eastAsia="Calibri" w:hAnsi="Calibri"/>
          <w:b/>
          <w:bCs/>
          <w:caps/>
          <w:color w:val="8E1B22"/>
          <w:sz w:val="17"/>
          <w:szCs w:val="17"/>
        </w:rPr>
        <w:t xml:space="preserve">Faits  </w:t>
      </w:r>
      <w:r>
        <w:rPr>
          <w:rFonts w:ascii="Calibri" w:cs="Calibri" w:eastAsia="Calibri" w:hAnsi="Calibri"/>
          <w:color w:val="1B1618"/>
          <w:sz w:val="21"/>
          <w:szCs w:val="21"/>
        </w:rPr>
        <w:t xml:space="preserve">Une salariée d'une crèche associative privée est licenciée pour port du voile, sur le fondement d'une clause de neutralité inscrite au règlement intérieur.</w:t>
      </w:r>
    </w:p>
    <w:p>
      <w:pPr>
        <w:spacing w:after="90"/>
      </w:pPr>
      <w:r>
        <w:rPr>
          <w:rFonts w:ascii="Calibri" w:cs="Calibri" w:eastAsia="Calibri" w:hAnsi="Calibri"/>
          <w:b/>
          <w:bCs/>
          <w:caps/>
          <w:color w:val="8E1B22"/>
          <w:sz w:val="17"/>
          <w:szCs w:val="17"/>
        </w:rPr>
        <w:t xml:space="preserve">Procédure  </w:t>
      </w:r>
      <w:r>
        <w:rPr>
          <w:rFonts w:ascii="Calibri" w:cs="Calibri" w:eastAsia="Calibri" w:hAnsi="Calibri"/>
          <w:color w:val="1B1618"/>
          <w:sz w:val="21"/>
          <w:szCs w:val="21"/>
        </w:rPr>
        <w:t xml:space="preserve">Après une première cassation, la cour d'appel de Paris confirme le licenciement. Le pourvoi est rejeté par l'assemblée plénière.</w:t>
      </w:r>
    </w:p>
    <w:p>
      <w:pPr>
        <w:spacing w:after="90"/>
      </w:pPr>
      <w:r>
        <w:rPr>
          <w:rFonts w:ascii="Calibri" w:cs="Calibri" w:eastAsia="Calibri" w:hAnsi="Calibri"/>
          <w:b/>
          <w:bCs/>
          <w:caps/>
          <w:color w:val="8E1B22"/>
          <w:sz w:val="17"/>
          <w:szCs w:val="17"/>
        </w:rPr>
        <w:t xml:space="preserve">Question  </w:t>
      </w:r>
      <w:r>
        <w:rPr>
          <w:rFonts w:ascii="Calibri" w:cs="Calibri" w:eastAsia="Calibri" w:hAnsi="Calibri"/>
          <w:color w:val="1B1618"/>
          <w:sz w:val="21"/>
          <w:szCs w:val="21"/>
        </w:rPr>
        <w:t xml:space="preserve">Une personne morale de droit privé peut-elle restreindre par son règlement intérieur la liberté religieuse de ses salariés ?</w:t>
      </w:r>
    </w:p>
    <w:p>
      <w:pPr>
        <w:spacing w:after="90"/>
      </w:pPr>
      <w:r>
        <w:rPr>
          <w:rFonts w:ascii="Calibri" w:cs="Calibri" w:eastAsia="Calibri" w:hAnsi="Calibri"/>
          <w:b/>
          <w:bCs/>
          <w:caps/>
          <w:color w:val="8E1B22"/>
          <w:sz w:val="17"/>
          <w:szCs w:val="17"/>
        </w:rPr>
        <w:t xml:space="preserve">Solution  </w:t>
      </w:r>
      <w:r>
        <w:rPr>
          <w:rFonts w:ascii="Calibri" w:cs="Calibri" w:eastAsia="Calibri" w:hAnsi="Calibri"/>
          <w:color w:val="1B1618"/>
          <w:sz w:val="21"/>
          <w:szCs w:val="21"/>
        </w:rPr>
        <w:t xml:space="preserve">Oui, à la double condition que la restriction soit justifiée par la nature de la tâche à accomplir et proportionnée au but recherché (art. L. 1121-1 et L. 1321-3 du Code du travail). La crèche n'est pas une entreprise de conviction, mais la clause était en l'espèce suffisamment précise et limitée.</w:t>
      </w:r>
    </w:p>
    <w:p>
      <w:pPr>
        <w:spacing w:after="90"/>
      </w:pPr>
      <w:r>
        <w:rPr>
          <w:rFonts w:ascii="Calibri" w:cs="Calibri" w:eastAsia="Calibri" w:hAnsi="Calibri"/>
          <w:b/>
          <w:bCs/>
          <w:caps/>
          <w:color w:val="8E1B22"/>
          <w:sz w:val="17"/>
          <w:szCs w:val="17"/>
        </w:rPr>
        <w:t xml:space="preserve">Ce qu'elle travaille  </w:t>
      </w:r>
      <w:r>
        <w:rPr>
          <w:rFonts w:ascii="Calibri" w:cs="Calibri" w:eastAsia="Calibri" w:hAnsi="Calibri"/>
          <w:color w:val="1B1618"/>
          <w:sz w:val="21"/>
          <w:szCs w:val="21"/>
        </w:rPr>
        <w:t xml:space="preserve">L'effet horizontal des libertés fondamentales et le contrôle de proportionnalité en droit du travail. La formation solennelle signale à elle seule la portée.</w:t>
      </w:r>
    </w:p>
    <w:p>
      <w:pPr>
        <w:spacing w:after="50" w:before="60"/>
      </w:pPr>
      <w:r>
        <w:rPr>
          <w:rFonts w:ascii="Calibri" w:cs="Calibri" w:eastAsia="Calibri" w:hAnsi="Calibri"/>
          <w:b/>
          <w:bCs/>
          <w:color w:val="8E1B22"/>
          <w:sz w:val="18"/>
          <w:szCs w:val="18"/>
        </w:rPr>
        <w:t xml:space="preserve">Le plan que la décision commande</w:t>
      </w:r>
    </w:p>
    <w:p>
      <w:pPr>
        <w:spacing w:after="50"/>
        <w:ind w:left="240"/>
      </w:pPr>
      <w:r>
        <w:rPr>
          <w:rFonts w:ascii="Calibri" w:cs="Calibri" w:eastAsia="Calibri" w:hAnsi="Calibri"/>
          <w:color w:val="1B1618"/>
          <w:sz w:val="20"/>
          <w:szCs w:val="20"/>
        </w:rPr>
        <w:t xml:space="preserve">I. Le rejet d'une neutralité de principe dans l'entreprise privée — A. L'écart de la laïcité, réservée au service public · B. Le refus de la qualification d'entreprise de conviction</w:t>
      </w:r>
    </w:p>
    <w:p>
      <w:pPr>
        <w:spacing w:after="90"/>
        <w:ind w:left="240"/>
      </w:pPr>
      <w:r>
        <w:rPr>
          <w:rFonts w:ascii="Calibri" w:cs="Calibri" w:eastAsia="Calibri" w:hAnsi="Calibri"/>
          <w:color w:val="1B1618"/>
          <w:sz w:val="20"/>
          <w:szCs w:val="20"/>
        </w:rPr>
        <w:t xml:space="preserve">II. L'admission d'une restriction contrôlée — A. Le double test de l'article L. 1121-1 · B. L'exigence de précision du règlement intérieur, et les suites (CJUE, loi du 8 août 2016)</w:t>
      </w:r>
    </w:p>
    <w:p>
      <w:pPr>
        <w:spacing w:after="90"/>
      </w:pPr>
      <w:r>
        <w:rPr>
          <w:rFonts w:ascii="Calibri" w:cs="Calibri" w:eastAsia="Calibri" w:hAnsi="Calibri"/>
          <w:b/>
          <w:bCs/>
          <w:caps/>
          <w:color w:val="8E1B22"/>
          <w:sz w:val="17"/>
          <w:szCs w:val="17"/>
        </w:rPr>
        <w:t xml:space="preserve">Le piège  </w:t>
      </w:r>
      <w:r>
        <w:rPr>
          <w:rFonts w:ascii="Calibri" w:cs="Calibri" w:eastAsia="Calibri" w:hAnsi="Calibri"/>
          <w:color w:val="1B1618"/>
          <w:sz w:val="21"/>
          <w:szCs w:val="21"/>
        </w:rPr>
        <w:t xml:space="preserve">Parler de laïcité. Elle ne s'applique pas ici : le fondement est le droit du travail, et c'est exactement ce que dit la Cour.</w:t>
      </w:r>
    </w:p>
    <w:p>
      <w:pPr>
        <w:spacing w:after="90"/>
      </w:pPr>
      <w:r>
        <w:rPr>
          <w:rFonts w:ascii="Calibri" w:cs="Calibri" w:eastAsia="Calibri" w:hAnsi="Calibri"/>
          <w:b/>
          <w:bCs/>
          <w:caps/>
          <w:color w:val="8E1B22"/>
          <w:sz w:val="17"/>
          <w:szCs w:val="17"/>
        </w:rPr>
        <w:t xml:space="preserve">Question d'entretien  </w:t>
      </w:r>
      <w:r>
        <w:rPr>
          <w:rFonts w:ascii="Calibri" w:cs="Calibri" w:eastAsia="Calibri" w:hAnsi="Calibri"/>
          <w:color w:val="1B1618"/>
          <w:sz w:val="21"/>
          <w:szCs w:val="21"/>
        </w:rPr>
        <w:t xml:space="preserve">Le principe de laïcité s'impose-t-il à une entreprise privée ? À une entreprise délégataire d'un service public ?</w:t>
      </w:r>
    </w:p>
    <w:p>
      <w:pPr>
        <w:pBdr>
          <w:bottom w:val="single" w:color="E5DEDE" w:sz="6" w:space="6"/>
        </w:pBdr>
        <w:spacing w:after="20" w:before="220"/>
      </w:pPr>
      <w:r>
        <w:rPr>
          <w:rFonts w:ascii="Calibri" w:cs="Calibri" w:eastAsia="Calibri" w:hAnsi="Calibri"/>
          <w:b/>
          <w:bCs/>
          <w:color w:val="8E1B22"/>
          <w:sz w:val="24"/>
          <w:szCs w:val="24"/>
        </w:rPr>
        <w:t xml:space="preserve">6 · </w:t>
      </w:r>
      <w:r>
        <w:rPr>
          <w:rFonts w:ascii="Calibri" w:cs="Calibri" w:eastAsia="Calibri" w:hAnsi="Calibri"/>
          <w:b/>
          <w:bCs/>
          <w:color w:val="1B1618"/>
          <w:sz w:val="24"/>
          <w:szCs w:val="24"/>
        </w:rPr>
        <w:t xml:space="preserve">Cass., 1re civ., 4 décembre 2013, n° 12-26.066</w:t>
      </w:r>
    </w:p>
    <w:p>
      <w:pPr>
        <w:spacing w:after="130" w:before="80"/>
      </w:pPr>
      <w:r>
        <w:rPr>
          <w:rFonts w:ascii="Calibri" w:cs="Calibri" w:eastAsia="Calibri" w:hAnsi="Calibri"/>
          <w:i/>
          <w:iCs/>
          <w:color w:val="6E6467"/>
          <w:sz w:val="18"/>
          <w:szCs w:val="18"/>
        </w:rPr>
        <w:t xml:space="preserve">Vie privée et familiale · contrôle in concreto</w:t>
      </w:r>
    </w:p>
    <w:p>
      <w:pPr>
        <w:spacing w:after="90"/>
      </w:pPr>
      <w:r>
        <w:rPr>
          <w:rFonts w:ascii="Calibri" w:cs="Calibri" w:eastAsia="Calibri" w:hAnsi="Calibri"/>
          <w:b/>
          <w:bCs/>
          <w:caps/>
          <w:color w:val="8E1B22"/>
          <w:sz w:val="17"/>
          <w:szCs w:val="17"/>
        </w:rPr>
        <w:t xml:space="preserve">Faits  </w:t>
      </w:r>
      <w:r>
        <w:rPr>
          <w:rFonts w:ascii="Calibri" w:cs="Calibri" w:eastAsia="Calibri" w:hAnsi="Calibri"/>
          <w:color w:val="1B1618"/>
          <w:sz w:val="21"/>
          <w:szCs w:val="21"/>
        </w:rPr>
        <w:t xml:space="preserve">Un mariage est célébré entre un beau-père et son ancienne belle-fille, en méconnaissance de l'article 161 du Code civil. Plus de vingt ans après, le fils du mari décédé en demande l'annulation.</w:t>
      </w:r>
    </w:p>
    <w:p>
      <w:pPr>
        <w:spacing w:after="90"/>
      </w:pPr>
      <w:r>
        <w:rPr>
          <w:rFonts w:ascii="Calibri" w:cs="Calibri" w:eastAsia="Calibri" w:hAnsi="Calibri"/>
          <w:b/>
          <w:bCs/>
          <w:caps/>
          <w:color w:val="8E1B22"/>
          <w:sz w:val="17"/>
          <w:szCs w:val="17"/>
        </w:rPr>
        <w:t xml:space="preserve">Procédure  </w:t>
      </w:r>
      <w:r>
        <w:rPr>
          <w:rFonts w:ascii="Calibri" w:cs="Calibri" w:eastAsia="Calibri" w:hAnsi="Calibri"/>
          <w:color w:val="1B1618"/>
          <w:sz w:val="21"/>
          <w:szCs w:val="21"/>
        </w:rPr>
        <w:t xml:space="preserve">La cour d'appel refuse d'annuler. Le pourvoi est rejeté.</w:t>
      </w:r>
    </w:p>
    <w:p>
      <w:pPr>
        <w:spacing w:after="90"/>
      </w:pPr>
      <w:r>
        <w:rPr>
          <w:rFonts w:ascii="Calibri" w:cs="Calibri" w:eastAsia="Calibri" w:hAnsi="Calibri"/>
          <w:b/>
          <w:bCs/>
          <w:caps/>
          <w:color w:val="8E1B22"/>
          <w:sz w:val="17"/>
          <w:szCs w:val="17"/>
        </w:rPr>
        <w:t xml:space="preserve">Question  </w:t>
      </w:r>
      <w:r>
        <w:rPr>
          <w:rFonts w:ascii="Calibri" w:cs="Calibri" w:eastAsia="Calibri" w:hAnsi="Calibri"/>
          <w:color w:val="1B1618"/>
          <w:sz w:val="21"/>
          <w:szCs w:val="21"/>
        </w:rPr>
        <w:t xml:space="preserve">L'annulation d'un mariage prohibé par la loi peut-elle être écartée au nom du droit au respect de la vie privée et familiale ?</w:t>
      </w:r>
    </w:p>
    <w:p>
      <w:pPr>
        <w:spacing w:after="90"/>
      </w:pPr>
      <w:r>
        <w:rPr>
          <w:rFonts w:ascii="Calibri" w:cs="Calibri" w:eastAsia="Calibri" w:hAnsi="Calibri"/>
          <w:b/>
          <w:bCs/>
          <w:caps/>
          <w:color w:val="8E1B22"/>
          <w:sz w:val="17"/>
          <w:szCs w:val="17"/>
        </w:rPr>
        <w:t xml:space="preserve">Solution  </w:t>
      </w:r>
      <w:r>
        <w:rPr>
          <w:rFonts w:ascii="Calibri" w:cs="Calibri" w:eastAsia="Calibri" w:hAnsi="Calibri"/>
          <w:color w:val="1B1618"/>
          <w:sz w:val="21"/>
          <w:szCs w:val="21"/>
        </w:rPr>
        <w:t xml:space="preserve">Oui. Au regard de la durée de l'union et de l'absence d'atteinte concrète, l'annulation revêtait un caractère disproportionné au regard de l'article 8 de la Convention.</w:t>
      </w:r>
    </w:p>
    <w:p>
      <w:pPr>
        <w:spacing w:after="90"/>
      </w:pPr>
      <w:r>
        <w:rPr>
          <w:rFonts w:ascii="Calibri" w:cs="Calibri" w:eastAsia="Calibri" w:hAnsi="Calibri"/>
          <w:b/>
          <w:bCs/>
          <w:caps/>
          <w:color w:val="8E1B22"/>
          <w:sz w:val="17"/>
          <w:szCs w:val="17"/>
        </w:rPr>
        <w:t xml:space="preserve">Ce qu'elle travaille  </w:t>
      </w:r>
      <w:r>
        <w:rPr>
          <w:rFonts w:ascii="Calibri" w:cs="Calibri" w:eastAsia="Calibri" w:hAnsi="Calibri"/>
          <w:color w:val="1B1618"/>
          <w:sz w:val="21"/>
          <w:szCs w:val="21"/>
        </w:rPr>
        <w:t xml:space="preserve">Le contrôle de conventionnalité in concreto : la loi n'est pas censurée, elle est écartée au cas d'espèce. C'est la décision de référence pour distinguer les deux contrôles.</w:t>
      </w:r>
    </w:p>
    <w:p>
      <w:pPr>
        <w:spacing w:after="50" w:before="60"/>
      </w:pPr>
      <w:r>
        <w:rPr>
          <w:rFonts w:ascii="Calibri" w:cs="Calibri" w:eastAsia="Calibri" w:hAnsi="Calibri"/>
          <w:b/>
          <w:bCs/>
          <w:color w:val="8E1B22"/>
          <w:sz w:val="18"/>
          <w:szCs w:val="18"/>
        </w:rPr>
        <w:t xml:space="preserve">Le plan que la décision commande</w:t>
      </w:r>
    </w:p>
    <w:p>
      <w:pPr>
        <w:spacing w:after="50"/>
        <w:ind w:left="240"/>
      </w:pPr>
      <w:r>
        <w:rPr>
          <w:rFonts w:ascii="Calibri" w:cs="Calibri" w:eastAsia="Calibri" w:hAnsi="Calibri"/>
          <w:color w:val="1B1618"/>
          <w:sz w:val="20"/>
          <w:szCs w:val="20"/>
        </w:rPr>
        <w:t xml:space="preserve">I. La consécration d'un contrôle de proportionnalité au cas par cas — A. Le déplacement du contrôle de la norme vers son application · B. Les critères mobilisés par la Cour</w:t>
      </w:r>
    </w:p>
    <w:p>
      <w:pPr>
        <w:spacing w:after="90"/>
        <w:ind w:left="240"/>
      </w:pPr>
      <w:r>
        <w:rPr>
          <w:rFonts w:ascii="Calibri" w:cs="Calibri" w:eastAsia="Calibri" w:hAnsi="Calibri"/>
          <w:color w:val="1B1618"/>
          <w:sz w:val="20"/>
          <w:szCs w:val="20"/>
        </w:rPr>
        <w:t xml:space="preserve">II. Une méthode contestée — A. L'atteinte à la prévisibilité de la loi et à l'office du juge · B. L'encadrement progressif du contrôle in concreto</w:t>
      </w:r>
    </w:p>
    <w:p>
      <w:pPr>
        <w:spacing w:after="90"/>
      </w:pPr>
      <w:r>
        <w:rPr>
          <w:rFonts w:ascii="Calibri" w:cs="Calibri" w:eastAsia="Calibri" w:hAnsi="Calibri"/>
          <w:b/>
          <w:bCs/>
          <w:caps/>
          <w:color w:val="8E1B22"/>
          <w:sz w:val="17"/>
          <w:szCs w:val="17"/>
        </w:rPr>
        <w:t xml:space="preserve">Le piège  </w:t>
      </w:r>
      <w:r>
        <w:rPr>
          <w:rFonts w:ascii="Calibri" w:cs="Calibri" w:eastAsia="Calibri" w:hAnsi="Calibri"/>
          <w:color w:val="1B1618"/>
          <w:sz w:val="21"/>
          <w:szCs w:val="21"/>
        </w:rPr>
        <w:t xml:space="preserve">Confondre contrôle abstrait et contrôle in concreto. C'est précisément la ligne de partage que la décision installe.</w:t>
      </w:r>
    </w:p>
    <w:p>
      <w:pPr>
        <w:spacing w:after="90"/>
      </w:pPr>
      <w:r>
        <w:rPr>
          <w:rFonts w:ascii="Calibri" w:cs="Calibri" w:eastAsia="Calibri" w:hAnsi="Calibri"/>
          <w:b/>
          <w:bCs/>
          <w:caps/>
          <w:color w:val="8E1B22"/>
          <w:sz w:val="17"/>
          <w:szCs w:val="17"/>
        </w:rPr>
        <w:t xml:space="preserve">Question d'entretien  </w:t>
      </w:r>
      <w:r>
        <w:rPr>
          <w:rFonts w:ascii="Calibri" w:cs="Calibri" w:eastAsia="Calibri" w:hAnsi="Calibri"/>
          <w:color w:val="1B1618"/>
          <w:sz w:val="21"/>
          <w:szCs w:val="21"/>
        </w:rPr>
        <w:t xml:space="preserve">Qu'est-ce qui distingue ce contrôle de la question prioritaire de constitutionnalité ?</w:t>
      </w:r>
    </w:p>
    <w:p>
      <w:pPr>
        <w:pBdr>
          <w:bottom w:val="single" w:color="E5DEDE" w:sz="6" w:space="6"/>
        </w:pBdr>
        <w:spacing w:after="20" w:before="220"/>
      </w:pPr>
      <w:r>
        <w:rPr>
          <w:rFonts w:ascii="Calibri" w:cs="Calibri" w:eastAsia="Calibri" w:hAnsi="Calibri"/>
          <w:b/>
          <w:bCs/>
          <w:color w:val="8E1B22"/>
          <w:sz w:val="24"/>
          <w:szCs w:val="24"/>
        </w:rPr>
        <w:t xml:space="preserve">7 · </w:t>
      </w:r>
      <w:r>
        <w:rPr>
          <w:rFonts w:ascii="Calibri" w:cs="Calibri" w:eastAsia="Calibri" w:hAnsi="Calibri"/>
          <w:b/>
          <w:bCs/>
          <w:color w:val="1B1618"/>
          <w:sz w:val="24"/>
          <w:szCs w:val="24"/>
        </w:rPr>
        <w:t xml:space="preserve">CC, 30 juillet 2010, n° 2010-14/22 QPC, M. Daniel W. [Garde à vue]</w:t>
      </w:r>
    </w:p>
    <w:p>
      <w:pPr>
        <w:spacing w:after="130" w:before="80"/>
      </w:pPr>
      <w:r>
        <w:rPr>
          <w:rFonts w:ascii="Calibri" w:cs="Calibri" w:eastAsia="Calibri" w:hAnsi="Calibri"/>
          <w:i/>
          <w:iCs/>
          <w:color w:val="6E6467"/>
          <w:sz w:val="18"/>
          <w:szCs w:val="18"/>
        </w:rPr>
        <w:t xml:space="preserve">Sûreté, droits de la défense · effets dans le temps</w:t>
      </w:r>
    </w:p>
    <w:p>
      <w:pPr>
        <w:spacing w:after="90"/>
      </w:pPr>
      <w:r>
        <w:rPr>
          <w:rFonts w:ascii="Calibri" w:cs="Calibri" w:eastAsia="Calibri" w:hAnsi="Calibri"/>
          <w:b/>
          <w:bCs/>
          <w:caps/>
          <w:color w:val="8E1B22"/>
          <w:sz w:val="17"/>
          <w:szCs w:val="17"/>
        </w:rPr>
        <w:t xml:space="preserve">Faits  </w:t>
      </w:r>
      <w:r>
        <w:rPr>
          <w:rFonts w:ascii="Calibri" w:cs="Calibri" w:eastAsia="Calibri" w:hAnsi="Calibri"/>
          <w:color w:val="1B1618"/>
          <w:sz w:val="21"/>
          <w:szCs w:val="21"/>
        </w:rPr>
        <w:t xml:space="preserve">Des questions prioritaires de constitutionnalité portent sur les articles 62, 63, 63-1, 63-4 et 77 du Code de procédure pénale, relatifs au régime de droit commun de la garde à vue.</w:t>
      </w:r>
    </w:p>
    <w:p>
      <w:pPr>
        <w:spacing w:after="90"/>
      </w:pPr>
      <w:r>
        <w:rPr>
          <w:rFonts w:ascii="Calibri" w:cs="Calibri" w:eastAsia="Calibri" w:hAnsi="Calibri"/>
          <w:b/>
          <w:bCs/>
          <w:caps/>
          <w:color w:val="8E1B22"/>
          <w:sz w:val="17"/>
          <w:szCs w:val="17"/>
        </w:rPr>
        <w:t xml:space="preserve">Procédure  </w:t>
      </w:r>
      <w:r>
        <w:rPr>
          <w:rFonts w:ascii="Calibri" w:cs="Calibri" w:eastAsia="Calibri" w:hAnsi="Calibri"/>
          <w:color w:val="1B1618"/>
          <w:sz w:val="21"/>
          <w:szCs w:val="21"/>
        </w:rPr>
        <w:t xml:space="preserve">Transmission par la Cour de cassation. Le Conseil avait validé des dispositions comparables en 1993.</w:t>
      </w:r>
    </w:p>
    <w:p>
      <w:pPr>
        <w:spacing w:after="90"/>
      </w:pPr>
      <w:r>
        <w:rPr>
          <w:rFonts w:ascii="Calibri" w:cs="Calibri" w:eastAsia="Calibri" w:hAnsi="Calibri"/>
          <w:b/>
          <w:bCs/>
          <w:caps/>
          <w:color w:val="8E1B22"/>
          <w:sz w:val="17"/>
          <w:szCs w:val="17"/>
        </w:rPr>
        <w:t xml:space="preserve">Question  </w:t>
      </w:r>
      <w:r>
        <w:rPr>
          <w:rFonts w:ascii="Calibri" w:cs="Calibri" w:eastAsia="Calibri" w:hAnsi="Calibri"/>
          <w:color w:val="1B1618"/>
          <w:sz w:val="21"/>
          <w:szCs w:val="21"/>
        </w:rPr>
        <w:t xml:space="preserve">Le régime de la garde à vue, dépourvu d'assistance effective de l'avocat et de notification du droit au silence, méconnaît-il les droits de la défense ?</w:t>
      </w:r>
    </w:p>
    <w:p>
      <w:pPr>
        <w:spacing w:after="90"/>
      </w:pPr>
      <w:r>
        <w:rPr>
          <w:rFonts w:ascii="Calibri" w:cs="Calibri" w:eastAsia="Calibri" w:hAnsi="Calibri"/>
          <w:b/>
          <w:bCs/>
          <w:caps/>
          <w:color w:val="8E1B22"/>
          <w:sz w:val="17"/>
          <w:szCs w:val="17"/>
        </w:rPr>
        <w:t xml:space="preserve">Solution  </w:t>
      </w:r>
      <w:r>
        <w:rPr>
          <w:rFonts w:ascii="Calibri" w:cs="Calibri" w:eastAsia="Calibri" w:hAnsi="Calibri"/>
          <w:color w:val="1B1618"/>
          <w:sz w:val="21"/>
          <w:szCs w:val="21"/>
        </w:rPr>
        <w:t xml:space="preserve">Non-conformité, prononcée grâce à un changement de circonstances. Mais l'abrogation est reportée au 1er juillet 2011 et les mesures prises avant cette date ne sont pas remises en cause.</w:t>
      </w:r>
    </w:p>
    <w:p>
      <w:pPr>
        <w:spacing w:after="90"/>
      </w:pPr>
      <w:r>
        <w:rPr>
          <w:rFonts w:ascii="Calibri" w:cs="Calibri" w:eastAsia="Calibri" w:hAnsi="Calibri"/>
          <w:b/>
          <w:bCs/>
          <w:caps/>
          <w:color w:val="8E1B22"/>
          <w:sz w:val="17"/>
          <w:szCs w:val="17"/>
        </w:rPr>
        <w:t xml:space="preserve">Ce qu'elle travaille  </w:t>
      </w:r>
      <w:r>
        <w:rPr>
          <w:rFonts w:ascii="Calibri" w:cs="Calibri" w:eastAsia="Calibri" w:hAnsi="Calibri"/>
          <w:color w:val="1B1618"/>
          <w:sz w:val="21"/>
          <w:szCs w:val="21"/>
        </w:rPr>
        <w:t xml:space="preserve">La QPC en pratique, le changement de circonstances qui autorise le revirement, et surtout l'article 62 alinéa 2 de la Constitution : le report des effets d'une censure.</w:t>
      </w:r>
    </w:p>
    <w:p>
      <w:pPr>
        <w:spacing w:after="50" w:before="60"/>
      </w:pPr>
      <w:r>
        <w:rPr>
          <w:rFonts w:ascii="Calibri" w:cs="Calibri" w:eastAsia="Calibri" w:hAnsi="Calibri"/>
          <w:b/>
          <w:bCs/>
          <w:color w:val="8E1B22"/>
          <w:sz w:val="18"/>
          <w:szCs w:val="18"/>
        </w:rPr>
        <w:t xml:space="preserve">Le plan que la décision commande</w:t>
      </w:r>
    </w:p>
    <w:p>
      <w:pPr>
        <w:spacing w:after="50"/>
        <w:ind w:left="240"/>
      </w:pPr>
      <w:r>
        <w:rPr>
          <w:rFonts w:ascii="Calibri" w:cs="Calibri" w:eastAsia="Calibri" w:hAnsi="Calibri"/>
          <w:color w:val="1B1618"/>
          <w:sz w:val="20"/>
          <w:szCs w:val="20"/>
        </w:rPr>
        <w:t xml:space="preserve">I. Une censure rendue possible par un changement de circonstances — A. L'évolution de la procédure pénale depuis 1993 · B. Les griefs retenus contre le régime de la garde à vue</w:t>
      </w:r>
    </w:p>
    <w:p>
      <w:pPr>
        <w:spacing w:after="90"/>
        <w:ind w:left="240"/>
      </w:pPr>
      <w:r>
        <w:rPr>
          <w:rFonts w:ascii="Calibri" w:cs="Calibri" w:eastAsia="Calibri" w:hAnsi="Calibri"/>
          <w:color w:val="1B1618"/>
          <w:sz w:val="20"/>
          <w:szCs w:val="20"/>
        </w:rPr>
        <w:t xml:space="preserve">II. Une censure aux effets maîtrisés — A. L'abrogation différée et sa justification · B. La reprise en main par les juridictions ordinaires et l'influence de la jurisprudence européenne</w:t>
      </w:r>
    </w:p>
    <w:p>
      <w:pPr>
        <w:spacing w:after="90"/>
      </w:pPr>
      <w:r>
        <w:rPr>
          <w:rFonts w:ascii="Calibri" w:cs="Calibri" w:eastAsia="Calibri" w:hAnsi="Calibri"/>
          <w:b/>
          <w:bCs/>
          <w:caps/>
          <w:color w:val="8E1B22"/>
          <w:sz w:val="17"/>
          <w:szCs w:val="17"/>
        </w:rPr>
        <w:t xml:space="preserve">Le piège  </w:t>
      </w:r>
      <w:r>
        <w:rPr>
          <w:rFonts w:ascii="Calibri" w:cs="Calibri" w:eastAsia="Calibri" w:hAnsi="Calibri"/>
          <w:color w:val="1B1618"/>
          <w:sz w:val="21"/>
          <w:szCs w:val="21"/>
        </w:rPr>
        <w:t xml:space="preserve">Oublier les effets dans le temps. C'est l'apport principal de la décision, et c'est là que le jury attend.</w:t>
      </w:r>
    </w:p>
    <w:p>
      <w:pPr>
        <w:spacing w:after="90"/>
      </w:pPr>
      <w:r>
        <w:rPr>
          <w:rFonts w:ascii="Calibri" w:cs="Calibri" w:eastAsia="Calibri" w:hAnsi="Calibri"/>
          <w:b/>
          <w:bCs/>
          <w:caps/>
          <w:color w:val="8E1B22"/>
          <w:sz w:val="17"/>
          <w:szCs w:val="17"/>
        </w:rPr>
        <w:t xml:space="preserve">Question d'entretien  </w:t>
      </w:r>
      <w:r>
        <w:rPr>
          <w:rFonts w:ascii="Calibri" w:cs="Calibri" w:eastAsia="Calibri" w:hAnsi="Calibri"/>
          <w:color w:val="1B1618"/>
          <w:sz w:val="21"/>
          <w:szCs w:val="21"/>
        </w:rPr>
        <w:t xml:space="preserve">Que devient une instance en cours lorsque le Conseil abroge la disposition applicable ?</w:t>
      </w:r>
    </w:p>
    <w:p>
      <w:pPr>
        <w:pBdr>
          <w:bottom w:val="single" w:color="E5DEDE" w:sz="6" w:space="6"/>
        </w:pBdr>
        <w:spacing w:after="20" w:before="220"/>
      </w:pPr>
      <w:r>
        <w:rPr>
          <w:rFonts w:ascii="Calibri" w:cs="Calibri" w:eastAsia="Calibri" w:hAnsi="Calibri"/>
          <w:b/>
          <w:bCs/>
          <w:color w:val="8E1B22"/>
          <w:sz w:val="24"/>
          <w:szCs w:val="24"/>
        </w:rPr>
        <w:t xml:space="preserve">8 · </w:t>
      </w:r>
      <w:r>
        <w:rPr>
          <w:rFonts w:ascii="Calibri" w:cs="Calibri" w:eastAsia="Calibri" w:hAnsi="Calibri"/>
          <w:b/>
          <w:bCs/>
          <w:color w:val="1B1618"/>
          <w:sz w:val="24"/>
          <w:szCs w:val="24"/>
        </w:rPr>
        <w:t xml:space="preserve">CE, ass., 24 juin 2014, n° 375081, Mme Lambert</w:t>
      </w:r>
    </w:p>
    <w:p>
      <w:pPr>
        <w:spacing w:after="130" w:before="80"/>
      </w:pPr>
      <w:r>
        <w:rPr>
          <w:rFonts w:ascii="Calibri" w:cs="Calibri" w:eastAsia="Calibri" w:hAnsi="Calibri"/>
          <w:i/>
          <w:iCs/>
          <w:color w:val="6E6467"/>
          <w:sz w:val="18"/>
          <w:szCs w:val="18"/>
        </w:rPr>
        <w:t xml:space="preserve">Droit à la vie, dignité · office du juge des référés</w:t>
      </w:r>
    </w:p>
    <w:p>
      <w:pPr>
        <w:spacing w:after="90"/>
      </w:pPr>
      <w:r>
        <w:rPr>
          <w:rFonts w:ascii="Calibri" w:cs="Calibri" w:eastAsia="Calibri" w:hAnsi="Calibri"/>
          <w:b/>
          <w:bCs/>
          <w:caps/>
          <w:color w:val="8E1B22"/>
          <w:sz w:val="17"/>
          <w:szCs w:val="17"/>
        </w:rPr>
        <w:t xml:space="preserve">Faits  </w:t>
      </w:r>
      <w:r>
        <w:rPr>
          <w:rFonts w:ascii="Calibri" w:cs="Calibri" w:eastAsia="Calibri" w:hAnsi="Calibri"/>
          <w:color w:val="1B1618"/>
          <w:sz w:val="21"/>
          <w:szCs w:val="21"/>
        </w:rPr>
        <w:t xml:space="preserve">Un médecin décide, selon la procédure collégiale prévue par la loi du 22 avril 2005, d'arrêter l'alimentation et l'hydratation artificielles d'un patient en état végétatif chronique.</w:t>
      </w:r>
    </w:p>
    <w:p>
      <w:pPr>
        <w:spacing w:after="90"/>
      </w:pPr>
      <w:r>
        <w:rPr>
          <w:rFonts w:ascii="Calibri" w:cs="Calibri" w:eastAsia="Calibri" w:hAnsi="Calibri"/>
          <w:b/>
          <w:bCs/>
          <w:caps/>
          <w:color w:val="8E1B22"/>
          <w:sz w:val="17"/>
          <w:szCs w:val="17"/>
        </w:rPr>
        <w:t xml:space="preserve">Procédure  </w:t>
      </w:r>
      <w:r>
        <w:rPr>
          <w:rFonts w:ascii="Calibri" w:cs="Calibri" w:eastAsia="Calibri" w:hAnsi="Calibri"/>
          <w:color w:val="1B1618"/>
          <w:sz w:val="21"/>
          <w:szCs w:val="21"/>
        </w:rPr>
        <w:t xml:space="preserve">Référé-liberté. Le tribunal administratif suspend la décision. Le Conseil d'État statue en formation d'Assemblée — chose inhabituelle pour un référé — après avoir ordonné une expertise.</w:t>
      </w:r>
    </w:p>
    <w:p>
      <w:pPr>
        <w:spacing w:after="90"/>
      </w:pPr>
      <w:r>
        <w:rPr>
          <w:rFonts w:ascii="Calibri" w:cs="Calibri" w:eastAsia="Calibri" w:hAnsi="Calibri"/>
          <w:b/>
          <w:bCs/>
          <w:caps/>
          <w:color w:val="8E1B22"/>
          <w:sz w:val="17"/>
          <w:szCs w:val="17"/>
        </w:rPr>
        <w:t xml:space="preserve">Question  </w:t>
      </w:r>
      <w:r>
        <w:rPr>
          <w:rFonts w:ascii="Calibri" w:cs="Calibri" w:eastAsia="Calibri" w:hAnsi="Calibri"/>
          <w:color w:val="1B1618"/>
          <w:sz w:val="21"/>
          <w:szCs w:val="21"/>
        </w:rPr>
        <w:t xml:space="preserve">Selon quel office le juge du référé-liberté contrôle-t-il une décision d'arrêt des traitements ?</w:t>
      </w:r>
    </w:p>
    <w:p>
      <w:pPr>
        <w:spacing w:after="90"/>
      </w:pPr>
      <w:r>
        <w:rPr>
          <w:rFonts w:ascii="Calibri" w:cs="Calibri" w:eastAsia="Calibri" w:hAnsi="Calibri"/>
          <w:b/>
          <w:bCs/>
          <w:caps/>
          <w:color w:val="8E1B22"/>
          <w:sz w:val="17"/>
          <w:szCs w:val="17"/>
        </w:rPr>
        <w:t xml:space="preserve">Solution  </w:t>
      </w:r>
      <w:r>
        <w:rPr>
          <w:rFonts w:ascii="Calibri" w:cs="Calibri" w:eastAsia="Calibri" w:hAnsi="Calibri"/>
          <w:color w:val="1B1618"/>
          <w:sz w:val="21"/>
          <w:szCs w:val="21"/>
        </w:rPr>
        <w:t xml:space="preserve">L'office du juge des référés est élargi : il ne se borne pas à sanctionner l'illégalité manifeste mais procède à un examen complet. La décision médicale est jugée légale.</w:t>
      </w:r>
    </w:p>
    <w:p>
      <w:pPr>
        <w:spacing w:after="90"/>
      </w:pPr>
      <w:r>
        <w:rPr>
          <w:rFonts w:ascii="Calibri" w:cs="Calibri" w:eastAsia="Calibri" w:hAnsi="Calibri"/>
          <w:b/>
          <w:bCs/>
          <w:caps/>
          <w:color w:val="8E1B22"/>
          <w:sz w:val="17"/>
          <w:szCs w:val="17"/>
        </w:rPr>
        <w:t xml:space="preserve">Ce qu'elle travaille  </w:t>
      </w:r>
      <w:r>
        <w:rPr>
          <w:rFonts w:ascii="Calibri" w:cs="Calibri" w:eastAsia="Calibri" w:hAnsi="Calibri"/>
          <w:color w:val="1B1618"/>
          <w:sz w:val="21"/>
          <w:szCs w:val="21"/>
        </w:rPr>
        <w:t xml:space="preserve">L'office variable du juge des référés selon l'irréversibilité de la mesure, la qualification de l'alimentation artificielle comme traitement, et la notion d'obstination déraisonnable.</w:t>
      </w:r>
    </w:p>
    <w:p>
      <w:pPr>
        <w:spacing w:after="50" w:before="60"/>
      </w:pPr>
      <w:r>
        <w:rPr>
          <w:rFonts w:ascii="Calibri" w:cs="Calibri" w:eastAsia="Calibri" w:hAnsi="Calibri"/>
          <w:b/>
          <w:bCs/>
          <w:color w:val="8E1B22"/>
          <w:sz w:val="18"/>
          <w:szCs w:val="18"/>
        </w:rPr>
        <w:t xml:space="preserve">Le plan que la décision commande</w:t>
      </w:r>
    </w:p>
    <w:p>
      <w:pPr>
        <w:spacing w:after="50"/>
        <w:ind w:left="240"/>
      </w:pPr>
      <w:r>
        <w:rPr>
          <w:rFonts w:ascii="Calibri" w:cs="Calibri" w:eastAsia="Calibri" w:hAnsi="Calibri"/>
          <w:color w:val="1B1618"/>
          <w:sz w:val="20"/>
          <w:szCs w:val="20"/>
        </w:rPr>
        <w:t xml:space="preserve">I. Un office du juge des référés exceptionnellement approfondi — A. L'abandon du seul contrôle de l'illégalité manifeste · B. Les moyens mobilisés : expertise et formation solennelle</w:t>
      </w:r>
    </w:p>
    <w:p>
      <w:pPr>
        <w:spacing w:after="90"/>
        <w:ind w:left="240"/>
      </w:pPr>
      <w:r>
        <w:rPr>
          <w:rFonts w:ascii="Calibri" w:cs="Calibri" w:eastAsia="Calibri" w:hAnsi="Calibri"/>
          <w:color w:val="1B1618"/>
          <w:sz w:val="20"/>
          <w:szCs w:val="20"/>
        </w:rPr>
        <w:t xml:space="preserve">II. Un contrôle porté sur le fond de la décision médicale — A. Les critères de l'obstination déraisonnable · B. La place de la volonté du patient, et l'apport de la loi du 2 février 2016</w:t>
      </w:r>
    </w:p>
    <w:p>
      <w:pPr>
        <w:spacing w:after="90"/>
      </w:pPr>
      <w:r>
        <w:rPr>
          <w:rFonts w:ascii="Calibri" w:cs="Calibri" w:eastAsia="Calibri" w:hAnsi="Calibri"/>
          <w:b/>
          <w:bCs/>
          <w:caps/>
          <w:color w:val="8E1B22"/>
          <w:sz w:val="17"/>
          <w:szCs w:val="17"/>
        </w:rPr>
        <w:t xml:space="preserve">Le piège  </w:t>
      </w:r>
      <w:r>
        <w:rPr>
          <w:rFonts w:ascii="Calibri" w:cs="Calibri" w:eastAsia="Calibri" w:hAnsi="Calibri"/>
          <w:color w:val="1B1618"/>
          <w:sz w:val="21"/>
          <w:szCs w:val="21"/>
        </w:rPr>
        <w:t xml:space="preserve">Réciter le débat de société sur la fin de vie. Le sujet juridique est l'office du juge.</w:t>
      </w:r>
    </w:p>
    <w:p>
      <w:pPr>
        <w:spacing w:after="90"/>
      </w:pPr>
      <w:r>
        <w:rPr>
          <w:rFonts w:ascii="Calibri" w:cs="Calibri" w:eastAsia="Calibri" w:hAnsi="Calibri"/>
          <w:b/>
          <w:bCs/>
          <w:caps/>
          <w:color w:val="8E1B22"/>
          <w:sz w:val="17"/>
          <w:szCs w:val="17"/>
        </w:rPr>
        <w:t xml:space="preserve">Question d'entretien  </w:t>
      </w:r>
      <w:r>
        <w:rPr>
          <w:rFonts w:ascii="Calibri" w:cs="Calibri" w:eastAsia="Calibri" w:hAnsi="Calibri"/>
          <w:color w:val="1B1618"/>
          <w:sz w:val="21"/>
          <w:szCs w:val="21"/>
        </w:rPr>
        <w:t xml:space="preserve">Qu'a changé la loi Claeys-Leonetti du 2 février 2016 sur ce point ?</w:t>
      </w:r>
    </w:p>
    <w:p>
      <w:pPr>
        <w:pBdr>
          <w:bottom w:val="single" w:color="E5DEDE" w:sz="6" w:space="6"/>
        </w:pBdr>
        <w:spacing w:after="20" w:before="220"/>
      </w:pPr>
      <w:r>
        <w:rPr>
          <w:rFonts w:ascii="Calibri" w:cs="Calibri" w:eastAsia="Calibri" w:hAnsi="Calibri"/>
          <w:b/>
          <w:bCs/>
          <w:color w:val="8E1B22"/>
          <w:sz w:val="24"/>
          <w:szCs w:val="24"/>
        </w:rPr>
        <w:t xml:space="preserve">9 · </w:t>
      </w:r>
      <w:r>
        <w:rPr>
          <w:rFonts w:ascii="Calibri" w:cs="Calibri" w:eastAsia="Calibri" w:hAnsi="Calibri"/>
          <w:b/>
          <w:bCs/>
          <w:color w:val="1B1618"/>
          <w:sz w:val="24"/>
          <w:szCs w:val="24"/>
        </w:rPr>
        <w:t xml:space="preserve">CC, 6 juillet 2018, n° 2018-717/718 QPC, M. Cédric H. [Délit d'aide au séjour irrégulier]</w:t>
      </w:r>
    </w:p>
    <w:p>
      <w:pPr>
        <w:spacing w:after="130" w:before="80"/>
      </w:pPr>
      <w:r>
        <w:rPr>
          <w:rFonts w:ascii="Calibri" w:cs="Calibri" w:eastAsia="Calibri" w:hAnsi="Calibri"/>
          <w:i/>
          <w:iCs/>
          <w:color w:val="6E6467"/>
          <w:sz w:val="18"/>
          <w:szCs w:val="18"/>
        </w:rPr>
        <w:t xml:space="preserve">Sources · principe de fraternité</w:t>
      </w:r>
    </w:p>
    <w:p>
      <w:pPr>
        <w:spacing w:after="90"/>
      </w:pPr>
      <w:r>
        <w:rPr>
          <w:rFonts w:ascii="Calibri" w:cs="Calibri" w:eastAsia="Calibri" w:hAnsi="Calibri"/>
          <w:b/>
          <w:bCs/>
          <w:caps/>
          <w:color w:val="8E1B22"/>
          <w:sz w:val="17"/>
          <w:szCs w:val="17"/>
        </w:rPr>
        <w:t xml:space="preserve">Faits  </w:t>
      </w:r>
      <w:r>
        <w:rPr>
          <w:rFonts w:ascii="Calibri" w:cs="Calibri" w:eastAsia="Calibri" w:hAnsi="Calibri"/>
          <w:color w:val="1B1618"/>
          <w:sz w:val="21"/>
          <w:szCs w:val="21"/>
        </w:rPr>
        <w:t xml:space="preserve">Des poursuites sont engagées sur le fondement de l'article L. 622-1 du CESEDA contre des personnes ayant aidé des étrangers en situation irrégulière, dans un but qu'elles disent humanitaire.</w:t>
      </w:r>
    </w:p>
    <w:p>
      <w:pPr>
        <w:spacing w:after="90"/>
      </w:pPr>
      <w:r>
        <w:rPr>
          <w:rFonts w:ascii="Calibri" w:cs="Calibri" w:eastAsia="Calibri" w:hAnsi="Calibri"/>
          <w:b/>
          <w:bCs/>
          <w:caps/>
          <w:color w:val="8E1B22"/>
          <w:sz w:val="17"/>
          <w:szCs w:val="17"/>
        </w:rPr>
        <w:t xml:space="preserve">Procédure  </w:t>
      </w:r>
      <w:r>
        <w:rPr>
          <w:rFonts w:ascii="Calibri" w:cs="Calibri" w:eastAsia="Calibri" w:hAnsi="Calibri"/>
          <w:color w:val="1B1618"/>
          <w:sz w:val="21"/>
          <w:szCs w:val="21"/>
        </w:rPr>
        <w:t xml:space="preserve">Deux QPC jointes, transmises par la Cour de cassation.</w:t>
      </w:r>
    </w:p>
    <w:p>
      <w:pPr>
        <w:spacing w:after="90"/>
      </w:pPr>
      <w:r>
        <w:rPr>
          <w:rFonts w:ascii="Calibri" w:cs="Calibri" w:eastAsia="Calibri" w:hAnsi="Calibri"/>
          <w:b/>
          <w:bCs/>
          <w:caps/>
          <w:color w:val="8E1B22"/>
          <w:sz w:val="17"/>
          <w:szCs w:val="17"/>
        </w:rPr>
        <w:t xml:space="preserve">Question  </w:t>
      </w:r>
      <w:r>
        <w:rPr>
          <w:rFonts w:ascii="Calibri" w:cs="Calibri" w:eastAsia="Calibri" w:hAnsi="Calibri"/>
          <w:color w:val="1B1618"/>
          <w:sz w:val="21"/>
          <w:szCs w:val="21"/>
        </w:rPr>
        <w:t xml:space="preserve">La fraternité a-t-elle valeur constitutionnelle, et le délit d'aide au séjour irrégulier lui porte-t-il atteinte ?</w:t>
      </w:r>
    </w:p>
    <w:p>
      <w:pPr>
        <w:spacing w:after="90"/>
      </w:pPr>
      <w:r>
        <w:rPr>
          <w:rFonts w:ascii="Calibri" w:cs="Calibri" w:eastAsia="Calibri" w:hAnsi="Calibri"/>
          <w:b/>
          <w:bCs/>
          <w:caps/>
          <w:color w:val="8E1B22"/>
          <w:sz w:val="17"/>
          <w:szCs w:val="17"/>
        </w:rPr>
        <w:t xml:space="preserve">Solution  </w:t>
      </w:r>
      <w:r>
        <w:rPr>
          <w:rFonts w:ascii="Calibri" w:cs="Calibri" w:eastAsia="Calibri" w:hAnsi="Calibri"/>
          <w:color w:val="1B1618"/>
          <w:sz w:val="21"/>
          <w:szCs w:val="21"/>
        </w:rPr>
        <w:t xml:space="preserve">La fraternité est un principe à valeur constitutionnelle, dont découle la liberté d'aider autrui dans un but humanitaire. Censure partielle de l'article L. 622-4, assortie d'une réserve d'interprétation et d'une abrogation différée au 1er décembre 2018.</w:t>
      </w:r>
    </w:p>
    <w:p>
      <w:pPr>
        <w:spacing w:after="90"/>
      </w:pPr>
      <w:r>
        <w:rPr>
          <w:rFonts w:ascii="Calibri" w:cs="Calibri" w:eastAsia="Calibri" w:hAnsi="Calibri"/>
          <w:b/>
          <w:bCs/>
          <w:caps/>
          <w:color w:val="8E1B22"/>
          <w:sz w:val="17"/>
          <w:szCs w:val="17"/>
        </w:rPr>
        <w:t xml:space="preserve">Ce qu'elle travaille  </w:t>
      </w:r>
      <w:r>
        <w:rPr>
          <w:rFonts w:ascii="Calibri" w:cs="Calibri" w:eastAsia="Calibri" w:hAnsi="Calibri"/>
          <w:color w:val="1B1618"/>
          <w:sz w:val="21"/>
          <w:szCs w:val="21"/>
        </w:rPr>
        <w:t xml:space="preserve">Trois techniques dans une seule décision : la consécration d'un principe nouveau, la conciliation avec un objectif de valeur constitutionnelle, la réserve d'interprétation avec effet différé.</w:t>
      </w:r>
    </w:p>
    <w:p>
      <w:pPr>
        <w:spacing w:after="50" w:before="60"/>
      </w:pPr>
      <w:r>
        <w:rPr>
          <w:rFonts w:ascii="Calibri" w:cs="Calibri" w:eastAsia="Calibri" w:hAnsi="Calibri"/>
          <w:b/>
          <w:bCs/>
          <w:color w:val="8E1B22"/>
          <w:sz w:val="18"/>
          <w:szCs w:val="18"/>
        </w:rPr>
        <w:t xml:space="preserve">Le plan que la décision commande</w:t>
      </w:r>
    </w:p>
    <w:p>
      <w:pPr>
        <w:spacing w:after="50"/>
        <w:ind w:left="240"/>
      </w:pPr>
      <w:r>
        <w:rPr>
          <w:rFonts w:ascii="Calibri" w:cs="Calibri" w:eastAsia="Calibri" w:hAnsi="Calibri"/>
          <w:color w:val="1B1618"/>
          <w:sz w:val="20"/>
          <w:szCs w:val="20"/>
        </w:rPr>
        <w:t xml:space="preserve">I. La consécration d'un principe — A. Les fondements textuels mobilisés · B. Sa portée normative : une liberté d'aider, non un droit d'entrer ou de séjourner</w:t>
      </w:r>
    </w:p>
    <w:p>
      <w:pPr>
        <w:spacing w:after="90"/>
        <w:ind w:left="240"/>
      </w:pPr>
      <w:r>
        <w:rPr>
          <w:rFonts w:ascii="Calibri" w:cs="Calibri" w:eastAsia="Calibri" w:hAnsi="Calibri"/>
          <w:color w:val="1B1618"/>
          <w:sz w:val="20"/>
          <w:szCs w:val="20"/>
        </w:rPr>
        <w:t xml:space="preserve">II. Une consécration immédiatement encadrée — A. La conciliation avec la lutte contre l'immigration irrégulière · B. Les techniques employées : réserve d'interprétation et abrogation différée</w:t>
      </w:r>
    </w:p>
    <w:p>
      <w:pPr>
        <w:spacing w:after="90"/>
      </w:pPr>
      <w:r>
        <w:rPr>
          <w:rFonts w:ascii="Calibri" w:cs="Calibri" w:eastAsia="Calibri" w:hAnsi="Calibri"/>
          <w:b/>
          <w:bCs/>
          <w:caps/>
          <w:color w:val="8E1B22"/>
          <w:sz w:val="17"/>
          <w:szCs w:val="17"/>
        </w:rPr>
        <w:t xml:space="preserve">Le piège  </w:t>
      </w:r>
      <w:r>
        <w:rPr>
          <w:rFonts w:ascii="Calibri" w:cs="Calibri" w:eastAsia="Calibri" w:hAnsi="Calibri"/>
          <w:color w:val="1B1618"/>
          <w:sz w:val="21"/>
          <w:szCs w:val="21"/>
        </w:rPr>
        <w:t xml:space="preserve">Traiter le sujet en droit des étrangers. La décision intéresse d'abord les sources et la conciliation.</w:t>
      </w:r>
    </w:p>
    <w:p>
      <w:pPr>
        <w:spacing w:after="90"/>
      </w:pPr>
      <w:r>
        <w:rPr>
          <w:rFonts w:ascii="Calibri" w:cs="Calibri" w:eastAsia="Calibri" w:hAnsi="Calibri"/>
          <w:b/>
          <w:bCs/>
          <w:caps/>
          <w:color w:val="8E1B22"/>
          <w:sz w:val="17"/>
          <w:szCs w:val="17"/>
        </w:rPr>
        <w:t xml:space="preserve">Question d'entretien  </w:t>
      </w:r>
      <w:r>
        <w:rPr>
          <w:rFonts w:ascii="Calibri" w:cs="Calibri" w:eastAsia="Calibri" w:hAnsi="Calibri"/>
          <w:color w:val="1B1618"/>
          <w:sz w:val="21"/>
          <w:szCs w:val="21"/>
        </w:rPr>
        <w:t xml:space="preserve">Citez un autre principe consacré récemment par le Conseil, et dites ce qui dans le texte l'a permis.</w:t>
      </w:r>
    </w:p>
    <w:p>
      <w:pPr>
        <w:pBdr>
          <w:bottom w:val="single" w:color="E5DEDE" w:sz="6" w:space="6"/>
        </w:pBdr>
        <w:spacing w:after="20" w:before="220"/>
      </w:pPr>
      <w:r>
        <w:rPr>
          <w:rFonts w:ascii="Calibri" w:cs="Calibri" w:eastAsia="Calibri" w:hAnsi="Calibri"/>
          <w:b/>
          <w:bCs/>
          <w:color w:val="8E1B22"/>
          <w:sz w:val="24"/>
          <w:szCs w:val="24"/>
        </w:rPr>
        <w:t xml:space="preserve">10 · </w:t>
      </w:r>
      <w:r>
        <w:rPr>
          <w:rFonts w:ascii="Calibri" w:cs="Calibri" w:eastAsia="Calibri" w:hAnsi="Calibri"/>
          <w:b/>
          <w:bCs/>
          <w:color w:val="1B1618"/>
          <w:sz w:val="24"/>
          <w:szCs w:val="24"/>
        </w:rPr>
        <w:t xml:space="preserve">CC, 4 avril 2019, n° 2019-780 DC, Loi « anti-casseurs »</w:t>
      </w:r>
    </w:p>
    <w:p>
      <w:pPr>
        <w:spacing w:after="130" w:before="80"/>
      </w:pPr>
      <w:r>
        <w:rPr>
          <w:rFonts w:ascii="Calibri" w:cs="Calibri" w:eastAsia="Calibri" w:hAnsi="Calibri"/>
          <w:i/>
          <w:iCs/>
          <w:color w:val="6E6467"/>
          <w:sz w:val="18"/>
          <w:szCs w:val="18"/>
        </w:rPr>
        <w:t xml:space="preserve">Manifestation · police administrative</w:t>
      </w:r>
    </w:p>
    <w:p>
      <w:pPr>
        <w:spacing w:after="90"/>
      </w:pPr>
      <w:r>
        <w:rPr>
          <w:rFonts w:ascii="Calibri" w:cs="Calibri" w:eastAsia="Calibri" w:hAnsi="Calibri"/>
          <w:b/>
          <w:bCs/>
          <w:caps/>
          <w:color w:val="8E1B22"/>
          <w:sz w:val="17"/>
          <w:szCs w:val="17"/>
        </w:rPr>
        <w:t xml:space="preserve">Faits  </w:t>
      </w:r>
      <w:r>
        <w:rPr>
          <w:rFonts w:ascii="Calibri" w:cs="Calibri" w:eastAsia="Calibri" w:hAnsi="Calibri"/>
          <w:color w:val="1B1618"/>
          <w:sz w:val="21"/>
          <w:szCs w:val="21"/>
        </w:rPr>
        <w:t xml:space="preserve">L'article 3 de la loi permet à l'autorité administrative de prononcer une interdiction individuelle de manifester à l'encontre d'une personne représentant une menace d'une particulière gravité pour l'ordre public.</w:t>
      </w:r>
    </w:p>
    <w:p>
      <w:pPr>
        <w:spacing w:after="90"/>
      </w:pPr>
      <w:r>
        <w:rPr>
          <w:rFonts w:ascii="Calibri" w:cs="Calibri" w:eastAsia="Calibri" w:hAnsi="Calibri"/>
          <w:b/>
          <w:bCs/>
          <w:caps/>
          <w:color w:val="8E1B22"/>
          <w:sz w:val="17"/>
          <w:szCs w:val="17"/>
        </w:rPr>
        <w:t xml:space="preserve">Procédure  </w:t>
      </w:r>
      <w:r>
        <w:rPr>
          <w:rFonts w:ascii="Calibri" w:cs="Calibri" w:eastAsia="Calibri" w:hAnsi="Calibri"/>
          <w:color w:val="1B1618"/>
          <w:sz w:val="21"/>
          <w:szCs w:val="21"/>
        </w:rPr>
        <w:t xml:space="preserve">Saisine parlementaire, contrôle a priori. Le président de la République avait lui-même saisi le Conseil.</w:t>
      </w:r>
    </w:p>
    <w:p>
      <w:pPr>
        <w:spacing w:after="90"/>
      </w:pPr>
      <w:r>
        <w:rPr>
          <w:rFonts w:ascii="Calibri" w:cs="Calibri" w:eastAsia="Calibri" w:hAnsi="Calibri"/>
          <w:b/>
          <w:bCs/>
          <w:caps/>
          <w:color w:val="8E1B22"/>
          <w:sz w:val="17"/>
          <w:szCs w:val="17"/>
        </w:rPr>
        <w:t xml:space="preserve">Question  </w:t>
      </w:r>
      <w:r>
        <w:rPr>
          <w:rFonts w:ascii="Calibri" w:cs="Calibri" w:eastAsia="Calibri" w:hAnsi="Calibri"/>
          <w:color w:val="1B1618"/>
          <w:sz w:val="21"/>
          <w:szCs w:val="21"/>
        </w:rPr>
        <w:t xml:space="preserve">Cette interdiction administrative de manifester est-elle conciliable avec le droit d'expression collective des idées et des opinions ?</w:t>
      </w:r>
    </w:p>
    <w:p>
      <w:pPr>
        <w:spacing w:after="90"/>
      </w:pPr>
      <w:r>
        <w:rPr>
          <w:rFonts w:ascii="Calibri" w:cs="Calibri" w:eastAsia="Calibri" w:hAnsi="Calibri"/>
          <w:b/>
          <w:bCs/>
          <w:caps/>
          <w:color w:val="8E1B22"/>
          <w:sz w:val="17"/>
          <w:szCs w:val="17"/>
        </w:rPr>
        <w:t xml:space="preserve">Solution  </w:t>
      </w:r>
      <w:r>
        <w:rPr>
          <w:rFonts w:ascii="Calibri" w:cs="Calibri" w:eastAsia="Calibri" w:hAnsi="Calibri"/>
          <w:color w:val="1B1618"/>
          <w:sz w:val="21"/>
          <w:szCs w:val="21"/>
        </w:rPr>
        <w:t xml:space="preserve">Censure de l'article 3. L'autorité administrative disposait d'une latitude excessive, les motifs d'interdiction étaient trop larges et les garanties, notamment de recours, insuffisantes.</w:t>
      </w:r>
    </w:p>
    <w:p>
      <w:pPr>
        <w:spacing w:after="90"/>
      </w:pPr>
      <w:r>
        <w:rPr>
          <w:rFonts w:ascii="Calibri" w:cs="Calibri" w:eastAsia="Calibri" w:hAnsi="Calibri"/>
          <w:b/>
          <w:bCs/>
          <w:caps/>
          <w:color w:val="8E1B22"/>
          <w:sz w:val="17"/>
          <w:szCs w:val="17"/>
        </w:rPr>
        <w:t xml:space="preserve">Ce qu'elle travaille  </w:t>
      </w:r>
      <w:r>
        <w:rPr>
          <w:rFonts w:ascii="Calibri" w:cs="Calibri" w:eastAsia="Calibri" w:hAnsi="Calibri"/>
          <w:color w:val="1B1618"/>
          <w:sz w:val="21"/>
          <w:szCs w:val="21"/>
        </w:rPr>
        <w:t xml:space="preserve">Le contrôle d'une loi de police à l'aune d'une liberté, l'exigence de précision des critères et de garanties procédurales effectives.</w:t>
      </w:r>
    </w:p>
    <w:p>
      <w:pPr>
        <w:spacing w:after="50" w:before="60"/>
      </w:pPr>
      <w:r>
        <w:rPr>
          <w:rFonts w:ascii="Calibri" w:cs="Calibri" w:eastAsia="Calibri" w:hAnsi="Calibri"/>
          <w:b/>
          <w:bCs/>
          <w:color w:val="8E1B22"/>
          <w:sz w:val="18"/>
          <w:szCs w:val="18"/>
        </w:rPr>
        <w:t xml:space="preserve">Le plan que la décision commande</w:t>
      </w:r>
    </w:p>
    <w:p>
      <w:pPr>
        <w:spacing w:after="50"/>
        <w:ind w:left="240"/>
      </w:pPr>
      <w:r>
        <w:rPr>
          <w:rFonts w:ascii="Calibri" w:cs="Calibri" w:eastAsia="Calibri" w:hAnsi="Calibri"/>
          <w:color w:val="1B1618"/>
          <w:sz w:val="20"/>
          <w:szCs w:val="20"/>
        </w:rPr>
        <w:t xml:space="preserve">I. Une liberté protégée par le contrôle des critères — A. Le fondement : le droit d'expression collective des idées · B. L'imprécision des motifs d'interdiction</w:t>
      </w:r>
    </w:p>
    <w:p>
      <w:pPr>
        <w:spacing w:after="90"/>
        <w:ind w:left="240"/>
      </w:pPr>
      <w:r>
        <w:rPr>
          <w:rFonts w:ascii="Calibri" w:cs="Calibri" w:eastAsia="Calibri" w:hAnsi="Calibri"/>
          <w:color w:val="1B1618"/>
          <w:sz w:val="20"/>
          <w:szCs w:val="20"/>
        </w:rPr>
        <w:t xml:space="preserve">II. Une censure fondée sur l'insuffisance des garanties — A. L'étendue du pouvoir laissé à l'administration · B. L'absence de recours utile avant la manifestation</w:t>
      </w:r>
    </w:p>
    <w:p>
      <w:pPr>
        <w:spacing w:after="90"/>
      </w:pPr>
      <w:r>
        <w:rPr>
          <w:rFonts w:ascii="Calibri" w:cs="Calibri" w:eastAsia="Calibri" w:hAnsi="Calibri"/>
          <w:b/>
          <w:bCs/>
          <w:caps/>
          <w:color w:val="8E1B22"/>
          <w:sz w:val="17"/>
          <w:szCs w:val="17"/>
        </w:rPr>
        <w:t xml:space="preserve">Le piège  </w:t>
      </w:r>
      <w:r>
        <w:rPr>
          <w:rFonts w:ascii="Calibri" w:cs="Calibri" w:eastAsia="Calibri" w:hAnsi="Calibri"/>
          <w:color w:val="1B1618"/>
          <w:sz w:val="21"/>
          <w:szCs w:val="21"/>
        </w:rPr>
        <w:t xml:space="preserve">Commenter la loi plutôt que la décision. Ce qui se commente, c'est le standard de contrôle appliqué.</w:t>
      </w:r>
    </w:p>
    <w:p>
      <w:pPr>
        <w:spacing w:after="90"/>
      </w:pPr>
      <w:r>
        <w:rPr>
          <w:rFonts w:ascii="Calibri" w:cs="Calibri" w:eastAsia="Calibri" w:hAnsi="Calibri"/>
          <w:b/>
          <w:bCs/>
          <w:caps/>
          <w:color w:val="8E1B22"/>
          <w:sz w:val="17"/>
          <w:szCs w:val="17"/>
        </w:rPr>
        <w:t xml:space="preserve">Question d'entretien  </w:t>
      </w:r>
      <w:r>
        <w:rPr>
          <w:rFonts w:ascii="Calibri" w:cs="Calibri" w:eastAsia="Calibri" w:hAnsi="Calibri"/>
          <w:color w:val="1B1618"/>
          <w:sz w:val="21"/>
          <w:szCs w:val="21"/>
        </w:rPr>
        <w:t xml:space="preserve">Qu'est-ce qu'un recours « utile » lorsque la mesure contestée est brève par nature ?</w:t>
      </w:r>
    </w:p>
    <w:p>
      <w:pPr>
        <w:pBdr>
          <w:bottom w:val="single" w:color="E5DEDE" w:sz="6" w:space="6"/>
        </w:pBdr>
        <w:spacing w:after="20" w:before="220"/>
      </w:pPr>
      <w:r>
        <w:rPr>
          <w:rFonts w:ascii="Calibri" w:cs="Calibri" w:eastAsia="Calibri" w:hAnsi="Calibri"/>
          <w:b/>
          <w:bCs/>
          <w:color w:val="8E1B22"/>
          <w:sz w:val="24"/>
          <w:szCs w:val="24"/>
        </w:rPr>
        <w:t xml:space="preserve">11 · </w:t>
      </w:r>
      <w:r>
        <w:rPr>
          <w:rFonts w:ascii="Calibri" w:cs="Calibri" w:eastAsia="Calibri" w:hAnsi="Calibri"/>
          <w:b/>
          <w:bCs/>
          <w:color w:val="1B1618"/>
          <w:sz w:val="24"/>
          <w:szCs w:val="24"/>
        </w:rPr>
        <w:t xml:space="preserve">CC, 11 mai 2020, n° 2020-800 DC, Loi prorogeant l'état d'urgence sanitaire</w:t>
      </w:r>
    </w:p>
    <w:p>
      <w:pPr>
        <w:spacing w:after="130" w:before="80"/>
      </w:pPr>
      <w:r>
        <w:rPr>
          <w:rFonts w:ascii="Calibri" w:cs="Calibri" w:eastAsia="Calibri" w:hAnsi="Calibri"/>
          <w:i/>
          <w:iCs/>
          <w:color w:val="6E6467"/>
          <w:sz w:val="18"/>
          <w:szCs w:val="18"/>
        </w:rPr>
        <w:t xml:space="preserve">Circonstances exceptionnelles · conciliation</w:t>
      </w:r>
    </w:p>
    <w:p>
      <w:pPr>
        <w:spacing w:after="90"/>
      </w:pPr>
      <w:r>
        <w:rPr>
          <w:rFonts w:ascii="Calibri" w:cs="Calibri" w:eastAsia="Calibri" w:hAnsi="Calibri"/>
          <w:b/>
          <w:bCs/>
          <w:caps/>
          <w:color w:val="8E1B22"/>
          <w:sz w:val="17"/>
          <w:szCs w:val="17"/>
        </w:rPr>
        <w:t xml:space="preserve">Faits  </w:t>
      </w:r>
      <w:r>
        <w:rPr>
          <w:rFonts w:ascii="Calibri" w:cs="Calibri" w:eastAsia="Calibri" w:hAnsi="Calibri"/>
          <w:color w:val="1B1618"/>
          <w:sz w:val="21"/>
          <w:szCs w:val="21"/>
        </w:rPr>
        <w:t xml:space="preserve">La loi proroge l'état d'urgence sanitaire, organise les mises en quarantaine et placements à l'isolement, et crée un système d'information de suivi des personnes contaminées.</w:t>
      </w:r>
    </w:p>
    <w:p>
      <w:pPr>
        <w:spacing w:after="90"/>
      </w:pPr>
      <w:r>
        <w:rPr>
          <w:rFonts w:ascii="Calibri" w:cs="Calibri" w:eastAsia="Calibri" w:hAnsi="Calibri"/>
          <w:b/>
          <w:bCs/>
          <w:caps/>
          <w:color w:val="8E1B22"/>
          <w:sz w:val="17"/>
          <w:szCs w:val="17"/>
        </w:rPr>
        <w:t xml:space="preserve">Procédure  </w:t>
      </w:r>
      <w:r>
        <w:rPr>
          <w:rFonts w:ascii="Calibri" w:cs="Calibri" w:eastAsia="Calibri" w:hAnsi="Calibri"/>
          <w:color w:val="1B1618"/>
          <w:sz w:val="21"/>
          <w:szCs w:val="21"/>
        </w:rPr>
        <w:t xml:space="preserve">Contrôle a priori, saisines parlementaires, dans des délais très contraints.</w:t>
      </w:r>
    </w:p>
    <w:p>
      <w:pPr>
        <w:spacing w:after="90"/>
      </w:pPr>
      <w:r>
        <w:rPr>
          <w:rFonts w:ascii="Calibri" w:cs="Calibri" w:eastAsia="Calibri" w:hAnsi="Calibri"/>
          <w:b/>
          <w:bCs/>
          <w:caps/>
          <w:color w:val="8E1B22"/>
          <w:sz w:val="17"/>
          <w:szCs w:val="17"/>
        </w:rPr>
        <w:t xml:space="preserve">Question  </w:t>
      </w:r>
      <w:r>
        <w:rPr>
          <w:rFonts w:ascii="Calibri" w:cs="Calibri" w:eastAsia="Calibri" w:hAnsi="Calibri"/>
          <w:color w:val="1B1618"/>
          <w:sz w:val="21"/>
          <w:szCs w:val="21"/>
        </w:rPr>
        <w:t xml:space="preserve">Ces mesures concilient-elles de façon équilibrée la protection de la santé et les libertés constitutionnellement garanties ?</w:t>
      </w:r>
    </w:p>
    <w:p>
      <w:pPr>
        <w:spacing w:after="90"/>
      </w:pPr>
      <w:r>
        <w:rPr>
          <w:rFonts w:ascii="Calibri" w:cs="Calibri" w:eastAsia="Calibri" w:hAnsi="Calibri"/>
          <w:b/>
          <w:bCs/>
          <w:caps/>
          <w:color w:val="8E1B22"/>
          <w:sz w:val="17"/>
          <w:szCs w:val="17"/>
        </w:rPr>
        <w:t xml:space="preserve">Solution  </w:t>
      </w:r>
      <w:r>
        <w:rPr>
          <w:rFonts w:ascii="Calibri" w:cs="Calibri" w:eastAsia="Calibri" w:hAnsi="Calibri"/>
          <w:color w:val="1B1618"/>
          <w:sz w:val="21"/>
          <w:szCs w:val="21"/>
        </w:rPr>
        <w:t xml:space="preserve">Non-conformité partielle, assortie de réserves. Le Conseil exige l'intervention du juge judiciaire au-delà d'une certaine durée pour les mesures qui deviennent privatives de liberté, et encadre par des réserves le traitement des données de santé.</w:t>
      </w:r>
    </w:p>
    <w:p>
      <w:pPr>
        <w:spacing w:after="90"/>
      </w:pPr>
      <w:r>
        <w:rPr>
          <w:rFonts w:ascii="Calibri" w:cs="Calibri" w:eastAsia="Calibri" w:hAnsi="Calibri"/>
          <w:b/>
          <w:bCs/>
          <w:caps/>
          <w:color w:val="8E1B22"/>
          <w:sz w:val="17"/>
          <w:szCs w:val="17"/>
        </w:rPr>
        <w:t xml:space="preserve">Ce qu'elle travaille  </w:t>
      </w:r>
      <w:r>
        <w:rPr>
          <w:rFonts w:ascii="Calibri" w:cs="Calibri" w:eastAsia="Calibri" w:hAnsi="Calibri"/>
          <w:color w:val="1B1618"/>
          <w:sz w:val="21"/>
          <w:szCs w:val="21"/>
        </w:rPr>
        <w:t xml:space="preserve">L'article 66 de la Constitution et la frontière entre restriction et privation de liberté ; la conciliation avec l'objectif de valeur constitutionnelle de protection de la santé ; la réserve d'interprétation.</w:t>
      </w:r>
    </w:p>
    <w:p>
      <w:pPr>
        <w:spacing w:after="50" w:before="60"/>
      </w:pPr>
      <w:r>
        <w:rPr>
          <w:rFonts w:ascii="Calibri" w:cs="Calibri" w:eastAsia="Calibri" w:hAnsi="Calibri"/>
          <w:b/>
          <w:bCs/>
          <w:color w:val="8E1B22"/>
          <w:sz w:val="18"/>
          <w:szCs w:val="18"/>
        </w:rPr>
        <w:t xml:space="preserve">Le plan que la décision commande</w:t>
      </w:r>
    </w:p>
    <w:p>
      <w:pPr>
        <w:spacing w:after="50"/>
        <w:ind w:left="240"/>
      </w:pPr>
      <w:r>
        <w:rPr>
          <w:rFonts w:ascii="Calibri" w:cs="Calibri" w:eastAsia="Calibri" w:hAnsi="Calibri"/>
          <w:color w:val="1B1618"/>
          <w:sz w:val="20"/>
          <w:szCs w:val="20"/>
        </w:rPr>
        <w:t xml:space="preserve">I. Une conciliation admise au profit de la protection de la santé — A. L'objectif de valeur constitutionnelle mobilisé · B. L'admission d'un régime d'exception temporaire</w:t>
      </w:r>
    </w:p>
    <w:p>
      <w:pPr>
        <w:spacing w:after="90"/>
        <w:ind w:left="240"/>
      </w:pPr>
      <w:r>
        <w:rPr>
          <w:rFonts w:ascii="Calibri" w:cs="Calibri" w:eastAsia="Calibri" w:hAnsi="Calibri"/>
          <w:color w:val="1B1618"/>
          <w:sz w:val="20"/>
          <w:szCs w:val="20"/>
        </w:rPr>
        <w:t xml:space="preserve">II. Une conciliation soumise à conditions — A. Le basculement dans la privation de liberté et l'intervention du juge judiciaire · B. Les réserves relatives aux données de santé</w:t>
      </w:r>
    </w:p>
    <w:p>
      <w:pPr>
        <w:spacing w:after="90"/>
      </w:pPr>
      <w:r>
        <w:rPr>
          <w:rFonts w:ascii="Calibri" w:cs="Calibri" w:eastAsia="Calibri" w:hAnsi="Calibri"/>
          <w:b/>
          <w:bCs/>
          <w:caps/>
          <w:color w:val="8E1B22"/>
          <w:sz w:val="17"/>
          <w:szCs w:val="17"/>
        </w:rPr>
        <w:t xml:space="preserve">Le piège  </w:t>
      </w:r>
      <w:r>
        <w:rPr>
          <w:rFonts w:ascii="Calibri" w:cs="Calibri" w:eastAsia="Calibri" w:hAnsi="Calibri"/>
          <w:color w:val="1B1618"/>
          <w:sz w:val="21"/>
          <w:szCs w:val="21"/>
        </w:rPr>
        <w:t xml:space="preserve">Dissertation sur l'état d'urgence. Le commentaire doit suivre les dispositions effectivement censurées ou réservées.</w:t>
      </w:r>
    </w:p>
    <w:p>
      <w:pPr>
        <w:spacing w:after="90"/>
      </w:pPr>
      <w:r>
        <w:rPr>
          <w:rFonts w:ascii="Calibri" w:cs="Calibri" w:eastAsia="Calibri" w:hAnsi="Calibri"/>
          <w:b/>
          <w:bCs/>
          <w:caps/>
          <w:color w:val="8E1B22"/>
          <w:sz w:val="17"/>
          <w:szCs w:val="17"/>
        </w:rPr>
        <w:t xml:space="preserve">Question d'entretien  </w:t>
      </w:r>
      <w:r>
        <w:rPr>
          <w:rFonts w:ascii="Calibri" w:cs="Calibri" w:eastAsia="Calibri" w:hAnsi="Calibri"/>
          <w:color w:val="1B1618"/>
          <w:sz w:val="21"/>
          <w:szCs w:val="21"/>
        </w:rPr>
        <w:t xml:space="preserve">À partir de quel moment une restriction de liberté devient-elle une privation de liberté ?</w:t>
      </w:r>
    </w:p>
    <w:p>
      <w:pPr>
        <w:pBdr>
          <w:bottom w:val="single" w:color="E5DEDE" w:sz="6" w:space="6"/>
        </w:pBdr>
        <w:spacing w:after="20" w:before="220"/>
      </w:pPr>
      <w:r>
        <w:rPr>
          <w:rFonts w:ascii="Calibri" w:cs="Calibri" w:eastAsia="Calibri" w:hAnsi="Calibri"/>
          <w:b/>
          <w:bCs/>
          <w:color w:val="8E1B22"/>
          <w:sz w:val="24"/>
          <w:szCs w:val="24"/>
        </w:rPr>
        <w:t xml:space="preserve">12 · </w:t>
      </w:r>
      <w:r>
        <w:rPr>
          <w:rFonts w:ascii="Calibri" w:cs="Calibri" w:eastAsia="Calibri" w:hAnsi="Calibri"/>
          <w:b/>
          <w:bCs/>
          <w:color w:val="1B1618"/>
          <w:sz w:val="24"/>
          <w:szCs w:val="24"/>
        </w:rPr>
        <w:t xml:space="preserve">CC, 18 juin 2020, n° 2020-801 DC, Loi Avia</w:t>
      </w:r>
    </w:p>
    <w:p>
      <w:pPr>
        <w:spacing w:after="130" w:before="80"/>
      </w:pPr>
      <w:r>
        <w:rPr>
          <w:rFonts w:ascii="Calibri" w:cs="Calibri" w:eastAsia="Calibri" w:hAnsi="Calibri"/>
          <w:i/>
          <w:iCs/>
          <w:color w:val="6E6467"/>
          <w:sz w:val="18"/>
          <w:szCs w:val="18"/>
        </w:rPr>
        <w:t xml:space="preserve">Expression · numérique</w:t>
      </w:r>
    </w:p>
    <w:p>
      <w:pPr>
        <w:spacing w:after="90"/>
      </w:pPr>
      <w:r>
        <w:rPr>
          <w:rFonts w:ascii="Calibri" w:cs="Calibri" w:eastAsia="Calibri" w:hAnsi="Calibri"/>
          <w:b/>
          <w:bCs/>
          <w:caps/>
          <w:color w:val="8E1B22"/>
          <w:sz w:val="17"/>
          <w:szCs w:val="17"/>
        </w:rPr>
        <w:t xml:space="preserve">Faits  </w:t>
      </w:r>
      <w:r>
        <w:rPr>
          <w:rFonts w:ascii="Calibri" w:cs="Calibri" w:eastAsia="Calibri" w:hAnsi="Calibri"/>
          <w:color w:val="1B1618"/>
          <w:sz w:val="21"/>
          <w:szCs w:val="21"/>
        </w:rPr>
        <w:t xml:space="preserve">La loi impose aux opérateurs de plateformes de retirer, sous vingt-quatre heures et parfois une heure, des contenus manifestement illicites, sous peine de sanction pénale.</w:t>
      </w:r>
    </w:p>
    <w:p>
      <w:pPr>
        <w:spacing w:after="90"/>
      </w:pPr>
      <w:r>
        <w:rPr>
          <w:rFonts w:ascii="Calibri" w:cs="Calibri" w:eastAsia="Calibri" w:hAnsi="Calibri"/>
          <w:b/>
          <w:bCs/>
          <w:caps/>
          <w:color w:val="8E1B22"/>
          <w:sz w:val="17"/>
          <w:szCs w:val="17"/>
        </w:rPr>
        <w:t xml:space="preserve">Procédure  </w:t>
      </w:r>
      <w:r>
        <w:rPr>
          <w:rFonts w:ascii="Calibri" w:cs="Calibri" w:eastAsia="Calibri" w:hAnsi="Calibri"/>
          <w:color w:val="1B1618"/>
          <w:sz w:val="21"/>
          <w:szCs w:val="21"/>
        </w:rPr>
        <w:t xml:space="preserve">Contrôle a priori, saisine parlementaire.</w:t>
      </w:r>
    </w:p>
    <w:p>
      <w:pPr>
        <w:spacing w:after="90"/>
      </w:pPr>
      <w:r>
        <w:rPr>
          <w:rFonts w:ascii="Calibri" w:cs="Calibri" w:eastAsia="Calibri" w:hAnsi="Calibri"/>
          <w:b/>
          <w:bCs/>
          <w:caps/>
          <w:color w:val="8E1B22"/>
          <w:sz w:val="17"/>
          <w:szCs w:val="17"/>
        </w:rPr>
        <w:t xml:space="preserve">Question  </w:t>
      </w:r>
      <w:r>
        <w:rPr>
          <w:rFonts w:ascii="Calibri" w:cs="Calibri" w:eastAsia="Calibri" w:hAnsi="Calibri"/>
          <w:color w:val="1B1618"/>
          <w:sz w:val="21"/>
          <w:szCs w:val="21"/>
        </w:rPr>
        <w:t xml:space="preserve">Cette obligation porte-t-elle à la liberté d'expression et de communication une atteinte qui ne soit pas nécessaire, adaptée et proportionnée ?</w:t>
      </w:r>
    </w:p>
    <w:p>
      <w:pPr>
        <w:spacing w:after="90"/>
      </w:pPr>
      <w:r>
        <w:rPr>
          <w:rFonts w:ascii="Calibri" w:cs="Calibri" w:eastAsia="Calibri" w:hAnsi="Calibri"/>
          <w:b/>
          <w:bCs/>
          <w:caps/>
          <w:color w:val="8E1B22"/>
          <w:sz w:val="17"/>
          <w:szCs w:val="17"/>
        </w:rPr>
        <w:t xml:space="preserve">Solution  </w:t>
      </w:r>
      <w:r>
        <w:rPr>
          <w:rFonts w:ascii="Calibri" w:cs="Calibri" w:eastAsia="Calibri" w:hAnsi="Calibri"/>
          <w:color w:val="1B1618"/>
          <w:sz w:val="21"/>
          <w:szCs w:val="21"/>
        </w:rPr>
        <w:t xml:space="preserve">Censure des dispositions centrales. La brièveté des délais, l'absence d'intervention préalable du juge, l'appréciation confiée à l'opérateur et la lourdeur de la sanction incitent au retrait excessif de contenus licites.</w:t>
      </w:r>
    </w:p>
    <w:p>
      <w:pPr>
        <w:spacing w:after="90"/>
      </w:pPr>
      <w:r>
        <w:rPr>
          <w:rFonts w:ascii="Calibri" w:cs="Calibri" w:eastAsia="Calibri" w:hAnsi="Calibri"/>
          <w:b/>
          <w:bCs/>
          <w:caps/>
          <w:color w:val="8E1B22"/>
          <w:sz w:val="17"/>
          <w:szCs w:val="17"/>
        </w:rPr>
        <w:t xml:space="preserve">Ce qu'elle travaille  </w:t>
      </w:r>
      <w:r>
        <w:rPr>
          <w:rFonts w:ascii="Calibri" w:cs="Calibri" w:eastAsia="Calibri" w:hAnsi="Calibri"/>
          <w:color w:val="1B1618"/>
          <w:sz w:val="21"/>
          <w:szCs w:val="21"/>
        </w:rPr>
        <w:t xml:space="preserve">L'article 11 de la Déclaration de 1789 et le triple test appliqué au numérique ; la délégation de la police de l'expression à des acteurs privés ; l'effet de sur-censure.</w:t>
      </w:r>
    </w:p>
    <w:p>
      <w:pPr>
        <w:spacing w:after="50" w:before="60"/>
      </w:pPr>
      <w:r>
        <w:rPr>
          <w:rFonts w:ascii="Calibri" w:cs="Calibri" w:eastAsia="Calibri" w:hAnsi="Calibri"/>
          <w:b/>
          <w:bCs/>
          <w:color w:val="8E1B22"/>
          <w:sz w:val="18"/>
          <w:szCs w:val="18"/>
        </w:rPr>
        <w:t xml:space="preserve">Le plan que la décision commande</w:t>
      </w:r>
    </w:p>
    <w:p>
      <w:pPr>
        <w:spacing w:after="50"/>
        <w:ind w:left="240"/>
      </w:pPr>
      <w:r>
        <w:rPr>
          <w:rFonts w:ascii="Calibri" w:cs="Calibri" w:eastAsia="Calibri" w:hAnsi="Calibri"/>
          <w:color w:val="1B1618"/>
          <w:sz w:val="20"/>
          <w:szCs w:val="20"/>
        </w:rPr>
        <w:t xml:space="preserve">I. Une atteinte à l'exercice de la liberté d'expression en ligne — A. La brièveté des délais imposés · B. L'absence d'intervention préalable du juge</w:t>
      </w:r>
    </w:p>
    <w:p>
      <w:pPr>
        <w:spacing w:after="90"/>
        <w:ind w:left="240"/>
      </w:pPr>
      <w:r>
        <w:rPr>
          <w:rFonts w:ascii="Calibri" w:cs="Calibri" w:eastAsia="Calibri" w:hAnsi="Calibri"/>
          <w:color w:val="1B1618"/>
          <w:sz w:val="20"/>
          <w:szCs w:val="20"/>
        </w:rPr>
        <w:t xml:space="preserve">II. Une atteinte que rien ne rendait nécessaire — A. L'appréciation abandonnée à l'opérateur privé · B. La disproportion de la sanction et l'incitation au sur-retrait</w:t>
      </w:r>
    </w:p>
    <w:p>
      <w:pPr>
        <w:spacing w:after="90"/>
      </w:pPr>
      <w:r>
        <w:rPr>
          <w:rFonts w:ascii="Calibri" w:cs="Calibri" w:eastAsia="Calibri" w:hAnsi="Calibri"/>
          <w:b/>
          <w:bCs/>
          <w:caps/>
          <w:color w:val="8E1B22"/>
          <w:sz w:val="17"/>
          <w:szCs w:val="17"/>
        </w:rPr>
        <w:t xml:space="preserve">Le piège  </w:t>
      </w:r>
      <w:r>
        <w:rPr>
          <w:rFonts w:ascii="Calibri" w:cs="Calibri" w:eastAsia="Calibri" w:hAnsi="Calibri"/>
          <w:color w:val="1B1618"/>
          <w:sz w:val="21"/>
          <w:szCs w:val="21"/>
        </w:rPr>
        <w:t xml:space="preserve">Oublier que la liberté protégée est aussi celle du public de recevoir des informations, et pas seulement celle de l'émetteur.</w:t>
      </w:r>
    </w:p>
    <w:p>
      <w:pPr>
        <w:spacing w:after="90"/>
      </w:pPr>
      <w:r>
        <w:rPr>
          <w:rFonts w:ascii="Calibri" w:cs="Calibri" w:eastAsia="Calibri" w:hAnsi="Calibri"/>
          <w:b/>
          <w:bCs/>
          <w:caps/>
          <w:color w:val="8E1B22"/>
          <w:sz w:val="17"/>
          <w:szCs w:val="17"/>
        </w:rPr>
        <w:t xml:space="preserve">Question d'entretien  </w:t>
      </w:r>
      <w:r>
        <w:rPr>
          <w:rFonts w:ascii="Calibri" w:cs="Calibri" w:eastAsia="Calibri" w:hAnsi="Calibri"/>
          <w:color w:val="1B1618"/>
          <w:sz w:val="21"/>
          <w:szCs w:val="21"/>
        </w:rPr>
        <w:t xml:space="preserve">Le règlement européen sur les services numériques change-t-il l'analyse ?</w:t>
      </w:r>
    </w:p>
    <w:p>
      <w:pPr>
        <w:pBdr>
          <w:bottom w:val="single" w:color="E5DEDE" w:sz="6" w:space="6"/>
        </w:pBdr>
        <w:spacing w:after="20" w:before="220"/>
      </w:pPr>
      <w:r>
        <w:rPr>
          <w:rFonts w:ascii="Calibri" w:cs="Calibri" w:eastAsia="Calibri" w:hAnsi="Calibri"/>
          <w:b/>
          <w:bCs/>
          <w:color w:val="8E1B22"/>
          <w:sz w:val="24"/>
          <w:szCs w:val="24"/>
        </w:rPr>
        <w:t xml:space="preserve">13 · </w:t>
      </w:r>
      <w:r>
        <w:rPr>
          <w:rFonts w:ascii="Calibri" w:cs="Calibri" w:eastAsia="Calibri" w:hAnsi="Calibri"/>
          <w:b/>
          <w:bCs/>
          <w:color w:val="1B1618"/>
          <w:sz w:val="24"/>
          <w:szCs w:val="24"/>
        </w:rPr>
        <w:t xml:space="preserve">CE, ass., 21 avril 2021, n° 393099, French Data Network et autres</w:t>
      </w:r>
    </w:p>
    <w:p>
      <w:pPr>
        <w:spacing w:after="130" w:before="80"/>
      </w:pPr>
      <w:r>
        <w:rPr>
          <w:rFonts w:ascii="Calibri" w:cs="Calibri" w:eastAsia="Calibri" w:hAnsi="Calibri"/>
          <w:i/>
          <w:iCs/>
          <w:color w:val="6E6467"/>
          <w:sz w:val="18"/>
          <w:szCs w:val="18"/>
        </w:rPr>
        <w:t xml:space="preserve">Sources · articulation des ordres juridiques</w:t>
      </w:r>
    </w:p>
    <w:p>
      <w:pPr>
        <w:spacing w:after="90"/>
      </w:pPr>
      <w:r>
        <w:rPr>
          <w:rFonts w:ascii="Calibri" w:cs="Calibri" w:eastAsia="Calibri" w:hAnsi="Calibri"/>
          <w:b/>
          <w:bCs/>
          <w:caps/>
          <w:color w:val="8E1B22"/>
          <w:sz w:val="17"/>
          <w:szCs w:val="17"/>
        </w:rPr>
        <w:t xml:space="preserve">Faits  </w:t>
      </w:r>
      <w:r>
        <w:rPr>
          <w:rFonts w:ascii="Calibri" w:cs="Calibri" w:eastAsia="Calibri" w:hAnsi="Calibri"/>
          <w:color w:val="1B1618"/>
          <w:sz w:val="21"/>
          <w:szCs w:val="21"/>
        </w:rPr>
        <w:t xml:space="preserve">Des associations demandent l'abrogation des dispositions imposant aux opérateurs la conservation généralisée des données de connexion, au regard de la jurisprudence de la Cour de justice.</w:t>
      </w:r>
    </w:p>
    <w:p>
      <w:pPr>
        <w:spacing w:after="90"/>
      </w:pPr>
      <w:r>
        <w:rPr>
          <w:rFonts w:ascii="Calibri" w:cs="Calibri" w:eastAsia="Calibri" w:hAnsi="Calibri"/>
          <w:b/>
          <w:bCs/>
          <w:caps/>
          <w:color w:val="8E1B22"/>
          <w:sz w:val="17"/>
          <w:szCs w:val="17"/>
        </w:rPr>
        <w:t xml:space="preserve">Procédure  </w:t>
      </w:r>
      <w:r>
        <w:rPr>
          <w:rFonts w:ascii="Calibri" w:cs="Calibri" w:eastAsia="Calibri" w:hAnsi="Calibri"/>
          <w:color w:val="1B1618"/>
          <w:sz w:val="21"/>
          <w:szCs w:val="21"/>
        </w:rPr>
        <w:t xml:space="preserve">Recours pour excès de pouvoir, formation d'Assemblée, après renvoi préjudiciel et arrêt de la CJUE.</w:t>
      </w:r>
    </w:p>
    <w:p>
      <w:pPr>
        <w:spacing w:after="90"/>
      </w:pPr>
      <w:r>
        <w:rPr>
          <w:rFonts w:ascii="Calibri" w:cs="Calibri" w:eastAsia="Calibri" w:hAnsi="Calibri"/>
          <w:b/>
          <w:bCs/>
          <w:caps/>
          <w:color w:val="8E1B22"/>
          <w:sz w:val="17"/>
          <w:szCs w:val="17"/>
        </w:rPr>
        <w:t xml:space="preserve">Question  </w:t>
      </w:r>
      <w:r>
        <w:rPr>
          <w:rFonts w:ascii="Calibri" w:cs="Calibri" w:eastAsia="Calibri" w:hAnsi="Calibri"/>
          <w:color w:val="1B1618"/>
          <w:sz w:val="21"/>
          <w:szCs w:val="21"/>
        </w:rPr>
        <w:t xml:space="preserve">Le juge administratif peut-il écarter le droit de l'Union au nom d'exigences constitutionnelles françaises, et à quelles conditions la conservation généralisée peut-elle être maintenue ?</w:t>
      </w:r>
    </w:p>
    <w:p>
      <w:pPr>
        <w:spacing w:after="90"/>
      </w:pPr>
      <w:r>
        <w:rPr>
          <w:rFonts w:ascii="Calibri" w:cs="Calibri" w:eastAsia="Calibri" w:hAnsi="Calibri"/>
          <w:b/>
          <w:bCs/>
          <w:caps/>
          <w:color w:val="8E1B22"/>
          <w:sz w:val="17"/>
          <w:szCs w:val="17"/>
        </w:rPr>
        <w:t xml:space="preserve">Solution  </w:t>
      </w:r>
      <w:r>
        <w:rPr>
          <w:rFonts w:ascii="Calibri" w:cs="Calibri" w:eastAsia="Calibri" w:hAnsi="Calibri"/>
          <w:color w:val="1B1618"/>
          <w:sz w:val="21"/>
          <w:szCs w:val="21"/>
        </w:rPr>
        <w:t xml:space="preserve">Le Conseil d'État refuse tout contrôle ultra vires et applique la jurisprudence de la Cour de justice, mais vérifie qu'elle ne prive pas de garanties effectives les exigences constitutionnelles françaises. Il admet la conservation généralisée en cas de menace grave pour la sécurité nationale.</w:t>
      </w:r>
    </w:p>
    <w:p>
      <w:pPr>
        <w:spacing w:after="90"/>
      </w:pPr>
      <w:r>
        <w:rPr>
          <w:rFonts w:ascii="Calibri" w:cs="Calibri" w:eastAsia="Calibri" w:hAnsi="Calibri"/>
          <w:b/>
          <w:bCs/>
          <w:caps/>
          <w:color w:val="8E1B22"/>
          <w:sz w:val="17"/>
          <w:szCs w:val="17"/>
        </w:rPr>
        <w:t xml:space="preserve">Ce qu'elle travaille  </w:t>
      </w:r>
      <w:r>
        <w:rPr>
          <w:rFonts w:ascii="Calibri" w:cs="Calibri" w:eastAsia="Calibri" w:hAnsi="Calibri"/>
          <w:color w:val="1B1618"/>
          <w:sz w:val="21"/>
          <w:szCs w:val="21"/>
        </w:rPr>
        <w:t xml:space="preserve">La primauté du droit de l'Union et sa limite constitutionnelle. À mettre en regard des arrêts Arcelor et Sarran : c'est le meilleur terrain pour une question sur l'articulation des ordres.</w:t>
      </w:r>
    </w:p>
    <w:p>
      <w:pPr>
        <w:spacing w:after="50" w:before="60"/>
      </w:pPr>
      <w:r>
        <w:rPr>
          <w:rFonts w:ascii="Calibri" w:cs="Calibri" w:eastAsia="Calibri" w:hAnsi="Calibri"/>
          <w:b/>
          <w:bCs/>
          <w:color w:val="8E1B22"/>
          <w:sz w:val="18"/>
          <w:szCs w:val="18"/>
        </w:rPr>
        <w:t xml:space="preserve">Le plan que la décision commande</w:t>
      </w:r>
    </w:p>
    <w:p>
      <w:pPr>
        <w:spacing w:after="50"/>
        <w:ind w:left="240"/>
      </w:pPr>
      <w:r>
        <w:rPr>
          <w:rFonts w:ascii="Calibri" w:cs="Calibri" w:eastAsia="Calibri" w:hAnsi="Calibri"/>
          <w:color w:val="1B1618"/>
          <w:sz w:val="20"/>
          <w:szCs w:val="20"/>
        </w:rPr>
        <w:t xml:space="preserve">I. Le refus de l'affrontement — A. L'écart du contrôle ultra vires · B. La mise en œuvre loyale de la jurisprudence de la Cour de justice</w:t>
      </w:r>
    </w:p>
    <w:p>
      <w:pPr>
        <w:spacing w:after="90"/>
        <w:ind w:left="240"/>
      </w:pPr>
      <w:r>
        <w:rPr>
          <w:rFonts w:ascii="Calibri" w:cs="Calibri" w:eastAsia="Calibri" w:hAnsi="Calibri"/>
          <w:color w:val="1B1618"/>
          <w:sz w:val="20"/>
          <w:szCs w:val="20"/>
        </w:rPr>
        <w:t xml:space="preserve">II. La réserve d'une garantie constitutionnelle — A. L'exigence d'une protection équivalente · B. Une clause de sauvegarde plutôt qu'une résistance</w:t>
      </w:r>
    </w:p>
    <w:p>
      <w:pPr>
        <w:spacing w:after="90"/>
      </w:pPr>
      <w:r>
        <w:rPr>
          <w:rFonts w:ascii="Calibri" w:cs="Calibri" w:eastAsia="Calibri" w:hAnsi="Calibri"/>
          <w:b/>
          <w:bCs/>
          <w:caps/>
          <w:color w:val="8E1B22"/>
          <w:sz w:val="17"/>
          <w:szCs w:val="17"/>
        </w:rPr>
        <w:t xml:space="preserve">Le piège  </w:t>
      </w:r>
      <w:r>
        <w:rPr>
          <w:rFonts w:ascii="Calibri" w:cs="Calibri" w:eastAsia="Calibri" w:hAnsi="Calibri"/>
          <w:color w:val="1B1618"/>
          <w:sz w:val="21"/>
          <w:szCs w:val="21"/>
        </w:rPr>
        <w:t xml:space="preserve">Écrire que le Conseil d'État désobéit à la CJUE. Il ne désobéit pas : il pose une condition.</w:t>
      </w:r>
    </w:p>
    <w:p>
      <w:pPr>
        <w:spacing w:after="90"/>
      </w:pPr>
      <w:r>
        <w:rPr>
          <w:rFonts w:ascii="Calibri" w:cs="Calibri" w:eastAsia="Calibri" w:hAnsi="Calibri"/>
          <w:b/>
          <w:bCs/>
          <w:caps/>
          <w:color w:val="8E1B22"/>
          <w:sz w:val="17"/>
          <w:szCs w:val="17"/>
        </w:rPr>
        <w:t xml:space="preserve">Question d'entretien  </w:t>
      </w:r>
      <w:r>
        <w:rPr>
          <w:rFonts w:ascii="Calibri" w:cs="Calibri" w:eastAsia="Calibri" w:hAnsi="Calibri"/>
          <w:color w:val="1B1618"/>
          <w:sz w:val="21"/>
          <w:szCs w:val="21"/>
        </w:rPr>
        <w:t xml:space="preserve">Quelle différence avec la jurisprudence Arcelor ?</w:t>
      </w:r>
    </w:p>
    <w:p>
      <w:pPr>
        <w:pBdr>
          <w:bottom w:val="single" w:color="E5DEDE" w:sz="6" w:space="6"/>
        </w:pBdr>
        <w:spacing w:after="20" w:before="220"/>
      </w:pPr>
      <w:r>
        <w:rPr>
          <w:rFonts w:ascii="Calibri" w:cs="Calibri" w:eastAsia="Calibri" w:hAnsi="Calibri"/>
          <w:b/>
          <w:bCs/>
          <w:color w:val="8E1B22"/>
          <w:sz w:val="24"/>
          <w:szCs w:val="24"/>
        </w:rPr>
        <w:t xml:space="preserve">14 · </w:t>
      </w:r>
      <w:r>
        <w:rPr>
          <w:rFonts w:ascii="Calibri" w:cs="Calibri" w:eastAsia="Calibri" w:hAnsi="Calibri"/>
          <w:b/>
          <w:bCs/>
          <w:color w:val="1B1618"/>
          <w:sz w:val="24"/>
          <w:szCs w:val="24"/>
        </w:rPr>
        <w:t xml:space="preserve">CC, 20 mai 2021, n° 2021-817 DC, Loi pour une sécurité globale</w:t>
      </w:r>
    </w:p>
    <w:p>
      <w:pPr>
        <w:spacing w:after="130" w:before="80"/>
      </w:pPr>
      <w:r>
        <w:rPr>
          <w:rFonts w:ascii="Calibri" w:cs="Calibri" w:eastAsia="Calibri" w:hAnsi="Calibri"/>
          <w:i/>
          <w:iCs/>
          <w:color w:val="6E6467"/>
          <w:sz w:val="18"/>
          <w:szCs w:val="18"/>
        </w:rPr>
        <w:t xml:space="preserve">Vie privée · surveillance</w:t>
      </w:r>
    </w:p>
    <w:p>
      <w:pPr>
        <w:spacing w:after="90"/>
      </w:pPr>
      <w:r>
        <w:rPr>
          <w:rFonts w:ascii="Calibri" w:cs="Calibri" w:eastAsia="Calibri" w:hAnsi="Calibri"/>
          <w:b/>
          <w:bCs/>
          <w:caps/>
          <w:color w:val="8E1B22"/>
          <w:sz w:val="17"/>
          <w:szCs w:val="17"/>
        </w:rPr>
        <w:t xml:space="preserve">Faits  </w:t>
      </w:r>
      <w:r>
        <w:rPr>
          <w:rFonts w:ascii="Calibri" w:cs="Calibri" w:eastAsia="Calibri" w:hAnsi="Calibri"/>
          <w:color w:val="1B1618"/>
          <w:sz w:val="21"/>
          <w:szCs w:val="21"/>
        </w:rPr>
        <w:t xml:space="preserve">La loi autorise la captation d'images par aéronefs sans équipage et par caméras embarquées, et pénalise la diffusion d'images des membres des forces de l'ordre.</w:t>
      </w:r>
    </w:p>
    <w:p>
      <w:pPr>
        <w:spacing w:after="90"/>
      </w:pPr>
      <w:r>
        <w:rPr>
          <w:rFonts w:ascii="Calibri" w:cs="Calibri" w:eastAsia="Calibri" w:hAnsi="Calibri"/>
          <w:b/>
          <w:bCs/>
          <w:caps/>
          <w:color w:val="8E1B22"/>
          <w:sz w:val="17"/>
          <w:szCs w:val="17"/>
        </w:rPr>
        <w:t xml:space="preserve">Procédure  </w:t>
      </w:r>
      <w:r>
        <w:rPr>
          <w:rFonts w:ascii="Calibri" w:cs="Calibri" w:eastAsia="Calibri" w:hAnsi="Calibri"/>
          <w:color w:val="1B1618"/>
          <w:sz w:val="21"/>
          <w:szCs w:val="21"/>
        </w:rPr>
        <w:t xml:space="preserve">Contrôle a priori, saisines parlementaires.</w:t>
      </w:r>
    </w:p>
    <w:p>
      <w:pPr>
        <w:spacing w:after="90"/>
      </w:pPr>
      <w:r>
        <w:rPr>
          <w:rFonts w:ascii="Calibri" w:cs="Calibri" w:eastAsia="Calibri" w:hAnsi="Calibri"/>
          <w:b/>
          <w:bCs/>
          <w:caps/>
          <w:color w:val="8E1B22"/>
          <w:sz w:val="17"/>
          <w:szCs w:val="17"/>
        </w:rPr>
        <w:t xml:space="preserve">Question  </w:t>
      </w:r>
      <w:r>
        <w:rPr>
          <w:rFonts w:ascii="Calibri" w:cs="Calibri" w:eastAsia="Calibri" w:hAnsi="Calibri"/>
          <w:color w:val="1B1618"/>
          <w:sz w:val="21"/>
          <w:szCs w:val="21"/>
        </w:rPr>
        <w:t xml:space="preserve">Ces dispositifs sont-ils conciliables avec le droit au respect de la vie privée, et la loi pénale est-elle suffisamment précise ?</w:t>
      </w:r>
    </w:p>
    <w:p>
      <w:pPr>
        <w:spacing w:after="90"/>
      </w:pPr>
      <w:r>
        <w:rPr>
          <w:rFonts w:ascii="Calibri" w:cs="Calibri" w:eastAsia="Calibri" w:hAnsi="Calibri"/>
          <w:b/>
          <w:bCs/>
          <w:caps/>
          <w:color w:val="8E1B22"/>
          <w:sz w:val="17"/>
          <w:szCs w:val="17"/>
        </w:rPr>
        <w:t xml:space="preserve">Solution  </w:t>
      </w:r>
      <w:r>
        <w:rPr>
          <w:rFonts w:ascii="Calibri" w:cs="Calibri" w:eastAsia="Calibri" w:hAnsi="Calibri"/>
          <w:color w:val="1B1618"/>
          <w:sz w:val="21"/>
          <w:szCs w:val="21"/>
        </w:rPr>
        <w:t xml:space="preserve">Censure des dispositions relatives aux drones, faute de garanties propres à assurer une conciliation équilibrée compte tenu des caractéristiques de ces appareils. Censure également de l'article relatif à la diffusion d'images, pour imprécision.</w:t>
      </w:r>
    </w:p>
    <w:p>
      <w:pPr>
        <w:spacing w:after="90"/>
      </w:pPr>
      <w:r>
        <w:rPr>
          <w:rFonts w:ascii="Calibri" w:cs="Calibri" w:eastAsia="Calibri" w:hAnsi="Calibri"/>
          <w:b/>
          <w:bCs/>
          <w:caps/>
          <w:color w:val="8E1B22"/>
          <w:sz w:val="17"/>
          <w:szCs w:val="17"/>
        </w:rPr>
        <w:t xml:space="preserve">Ce qu'elle travaille  </w:t>
      </w:r>
      <w:r>
        <w:rPr>
          <w:rFonts w:ascii="Calibri" w:cs="Calibri" w:eastAsia="Calibri" w:hAnsi="Calibri"/>
          <w:color w:val="1B1618"/>
          <w:sz w:val="21"/>
          <w:szCs w:val="21"/>
        </w:rPr>
        <w:t xml:space="preserve">Le droit à la vie privée tiré de l'article 2 de la Déclaration, le contrôle des techniques de surveillance, et l'incompétence négative comme grief de liberté.</w:t>
      </w:r>
    </w:p>
    <w:p>
      <w:pPr>
        <w:spacing w:after="50" w:before="60"/>
      </w:pPr>
      <w:r>
        <w:rPr>
          <w:rFonts w:ascii="Calibri" w:cs="Calibri" w:eastAsia="Calibri" w:hAnsi="Calibri"/>
          <w:b/>
          <w:bCs/>
          <w:color w:val="8E1B22"/>
          <w:sz w:val="18"/>
          <w:szCs w:val="18"/>
        </w:rPr>
        <w:t xml:space="preserve">Le plan que la décision commande</w:t>
      </w:r>
    </w:p>
    <w:p>
      <w:pPr>
        <w:spacing w:after="50"/>
        <w:ind w:left="240"/>
      </w:pPr>
      <w:r>
        <w:rPr>
          <w:rFonts w:ascii="Calibri" w:cs="Calibri" w:eastAsia="Calibri" w:hAnsi="Calibri"/>
          <w:color w:val="1B1618"/>
          <w:sz w:val="20"/>
          <w:szCs w:val="20"/>
        </w:rPr>
        <w:t xml:space="preserve">I. Le contrôle des moyens de surveillance à l'aune de la vie privée — A. Les caractéristiques propres des aéronefs · B. L'absence de garanties adaptées</w:t>
      </w:r>
    </w:p>
    <w:p>
      <w:pPr>
        <w:spacing w:after="90"/>
        <w:ind w:left="240"/>
      </w:pPr>
      <w:r>
        <w:rPr>
          <w:rFonts w:ascii="Calibri" w:cs="Calibri" w:eastAsia="Calibri" w:hAnsi="Calibri"/>
          <w:color w:val="1B1618"/>
          <w:sz w:val="20"/>
          <w:szCs w:val="20"/>
        </w:rPr>
        <w:t xml:space="preserve">II. Le contrôle de la qualité de la loi — A. L'exigence de précision de la loi pénale · B. Les effets de l'imprécision sur la liberté d'expression et d'information</w:t>
      </w:r>
    </w:p>
    <w:p>
      <w:pPr>
        <w:spacing w:after="90"/>
      </w:pPr>
      <w:r>
        <w:rPr>
          <w:rFonts w:ascii="Calibri" w:cs="Calibri" w:eastAsia="Calibri" w:hAnsi="Calibri"/>
          <w:b/>
          <w:bCs/>
          <w:caps/>
          <w:color w:val="8E1B22"/>
          <w:sz w:val="17"/>
          <w:szCs w:val="17"/>
        </w:rPr>
        <w:t xml:space="preserve">Le piège  </w:t>
      </w:r>
      <w:r>
        <w:rPr>
          <w:rFonts w:ascii="Calibri" w:cs="Calibri" w:eastAsia="Calibri" w:hAnsi="Calibri"/>
          <w:color w:val="1B1618"/>
          <w:sz w:val="21"/>
          <w:szCs w:val="21"/>
        </w:rPr>
        <w:t xml:space="preserve">Mélanger les deux séries de dispositions : elles sont censurées pour des raisons différentes, et le plan doit les séparer.</w:t>
      </w:r>
    </w:p>
    <w:p>
      <w:pPr>
        <w:spacing w:after="90"/>
      </w:pPr>
      <w:r>
        <w:rPr>
          <w:rFonts w:ascii="Calibri" w:cs="Calibri" w:eastAsia="Calibri" w:hAnsi="Calibri"/>
          <w:b/>
          <w:bCs/>
          <w:caps/>
          <w:color w:val="8E1B22"/>
          <w:sz w:val="17"/>
          <w:szCs w:val="17"/>
        </w:rPr>
        <w:t xml:space="preserve">Question d'entretien  </w:t>
      </w:r>
      <w:r>
        <w:rPr>
          <w:rFonts w:ascii="Calibri" w:cs="Calibri" w:eastAsia="Calibri" w:hAnsi="Calibri"/>
          <w:color w:val="1B1618"/>
          <w:sz w:val="21"/>
          <w:szCs w:val="21"/>
        </w:rPr>
        <w:t xml:space="preserve">Qu'est-ce que l'incompétence négative, et pourquoi est-ce un grief de liberté ?</w:t>
      </w:r>
    </w:p>
    <w:p>
      <w:pPr>
        <w:pBdr>
          <w:bottom w:val="single" w:color="E5DEDE" w:sz="6" w:space="6"/>
        </w:pBdr>
        <w:spacing w:after="20" w:before="220"/>
      </w:pPr>
      <w:r>
        <w:rPr>
          <w:rFonts w:ascii="Calibri" w:cs="Calibri" w:eastAsia="Calibri" w:hAnsi="Calibri"/>
          <w:b/>
          <w:bCs/>
          <w:color w:val="8E1B22"/>
          <w:sz w:val="24"/>
          <w:szCs w:val="24"/>
        </w:rPr>
        <w:t xml:space="preserve">15 · </w:t>
      </w:r>
      <w:r>
        <w:rPr>
          <w:rFonts w:ascii="Calibri" w:cs="Calibri" w:eastAsia="Calibri" w:hAnsi="Calibri"/>
          <w:b/>
          <w:bCs/>
          <w:color w:val="1B1618"/>
          <w:sz w:val="24"/>
          <w:szCs w:val="24"/>
        </w:rPr>
        <w:t xml:space="preserve">CEDH, gr. ch., 8 avril 2021, Vavřička et autres c/ République tchèque, n° 47621/13</w:t>
      </w:r>
    </w:p>
    <w:p>
      <w:pPr>
        <w:spacing w:after="130" w:before="80"/>
      </w:pPr>
      <w:r>
        <w:rPr>
          <w:rFonts w:ascii="Calibri" w:cs="Calibri" w:eastAsia="Calibri" w:hAnsi="Calibri"/>
          <w:i/>
          <w:iCs/>
          <w:color w:val="6E6467"/>
          <w:sz w:val="18"/>
          <w:szCs w:val="18"/>
        </w:rPr>
        <w:t xml:space="preserve">Intégrité, vie privée · obligations positives</w:t>
      </w:r>
    </w:p>
    <w:p>
      <w:pPr>
        <w:spacing w:after="90"/>
      </w:pPr>
      <w:r>
        <w:rPr>
          <w:rFonts w:ascii="Calibri" w:cs="Calibri" w:eastAsia="Calibri" w:hAnsi="Calibri"/>
          <w:b/>
          <w:bCs/>
          <w:caps/>
          <w:color w:val="8E1B22"/>
          <w:sz w:val="17"/>
          <w:szCs w:val="17"/>
        </w:rPr>
        <w:t xml:space="preserve">Faits  </w:t>
      </w:r>
      <w:r>
        <w:rPr>
          <w:rFonts w:ascii="Calibri" w:cs="Calibri" w:eastAsia="Calibri" w:hAnsi="Calibri"/>
          <w:color w:val="1B1618"/>
          <w:sz w:val="21"/>
          <w:szCs w:val="21"/>
        </w:rPr>
        <w:t xml:space="preserve">Le droit tchèque impose la vaccination des enfants contre plusieurs maladies, sous peine d'amende et de refus d'admission en école maternelle.</w:t>
      </w:r>
    </w:p>
    <w:p>
      <w:pPr>
        <w:spacing w:after="90"/>
      </w:pPr>
      <w:r>
        <w:rPr>
          <w:rFonts w:ascii="Calibri" w:cs="Calibri" w:eastAsia="Calibri" w:hAnsi="Calibri"/>
          <w:b/>
          <w:bCs/>
          <w:caps/>
          <w:color w:val="8E1B22"/>
          <w:sz w:val="17"/>
          <w:szCs w:val="17"/>
        </w:rPr>
        <w:t xml:space="preserve">Procédure  </w:t>
      </w:r>
      <w:r>
        <w:rPr>
          <w:rFonts w:ascii="Calibri" w:cs="Calibri" w:eastAsia="Calibri" w:hAnsi="Calibri"/>
          <w:color w:val="1B1618"/>
          <w:sz w:val="21"/>
          <w:szCs w:val="21"/>
        </w:rPr>
        <w:t xml:space="preserve">Requêtes jointes, renvoi devant la grande chambre.</w:t>
      </w:r>
    </w:p>
    <w:p>
      <w:pPr>
        <w:spacing w:after="90"/>
      </w:pPr>
      <w:r>
        <w:rPr>
          <w:rFonts w:ascii="Calibri" w:cs="Calibri" w:eastAsia="Calibri" w:hAnsi="Calibri"/>
          <w:b/>
          <w:bCs/>
          <w:caps/>
          <w:color w:val="8E1B22"/>
          <w:sz w:val="17"/>
          <w:szCs w:val="17"/>
        </w:rPr>
        <w:t xml:space="preserve">Question  </w:t>
      </w:r>
      <w:r>
        <w:rPr>
          <w:rFonts w:ascii="Calibri" w:cs="Calibri" w:eastAsia="Calibri" w:hAnsi="Calibri"/>
          <w:color w:val="1B1618"/>
          <w:sz w:val="21"/>
          <w:szCs w:val="21"/>
        </w:rPr>
        <w:t xml:space="preserve">Une obligation vaccinale infantile ainsi sanctionnée viole-t-elle le droit au respect de la vie privée garanti par l'article 8 ?</w:t>
      </w:r>
    </w:p>
    <w:p>
      <w:pPr>
        <w:spacing w:after="90"/>
      </w:pPr>
      <w:r>
        <w:rPr>
          <w:rFonts w:ascii="Calibri" w:cs="Calibri" w:eastAsia="Calibri" w:hAnsi="Calibri"/>
          <w:b/>
          <w:bCs/>
          <w:caps/>
          <w:color w:val="8E1B22"/>
          <w:sz w:val="17"/>
          <w:szCs w:val="17"/>
        </w:rPr>
        <w:t xml:space="preserve">Solution  </w:t>
      </w:r>
      <w:r>
        <w:rPr>
          <w:rFonts w:ascii="Calibri" w:cs="Calibri" w:eastAsia="Calibri" w:hAnsi="Calibri"/>
          <w:color w:val="1B1618"/>
          <w:sz w:val="21"/>
          <w:szCs w:val="21"/>
        </w:rPr>
        <w:t xml:space="preserve">Non-violation. L'ingérence est prévue par la loi, poursuit la protection de la santé, et est nécessaire dans une société démocratique ; la Cour reconnaît une large marge d'appréciation et invoque la solidarité sociale.</w:t>
      </w:r>
    </w:p>
    <w:p>
      <w:pPr>
        <w:spacing w:after="90"/>
      </w:pPr>
      <w:r>
        <w:rPr>
          <w:rFonts w:ascii="Calibri" w:cs="Calibri" w:eastAsia="Calibri" w:hAnsi="Calibri"/>
          <w:b/>
          <w:bCs/>
          <w:caps/>
          <w:color w:val="8E1B22"/>
          <w:sz w:val="17"/>
          <w:szCs w:val="17"/>
        </w:rPr>
        <w:t xml:space="preserve">Ce qu'elle travaille  </w:t>
      </w:r>
      <w:r>
        <w:rPr>
          <w:rFonts w:ascii="Calibri" w:cs="Calibri" w:eastAsia="Calibri" w:hAnsi="Calibri"/>
          <w:color w:val="1B1618"/>
          <w:sz w:val="21"/>
          <w:szCs w:val="21"/>
        </w:rPr>
        <w:t xml:space="preserve">Le triple test au complet, la notion de besoin social impérieux, et les obligations positives de l'État en matière de santé publique.</w:t>
      </w:r>
    </w:p>
    <w:p>
      <w:pPr>
        <w:spacing w:after="50" w:before="60"/>
      </w:pPr>
      <w:r>
        <w:rPr>
          <w:rFonts w:ascii="Calibri" w:cs="Calibri" w:eastAsia="Calibri" w:hAnsi="Calibri"/>
          <w:b/>
          <w:bCs/>
          <w:color w:val="8E1B22"/>
          <w:sz w:val="18"/>
          <w:szCs w:val="18"/>
        </w:rPr>
        <w:t xml:space="preserve">Le plan que la décision commande</w:t>
      </w:r>
    </w:p>
    <w:p>
      <w:pPr>
        <w:spacing w:after="50"/>
        <w:ind w:left="240"/>
      </w:pPr>
      <w:r>
        <w:rPr>
          <w:rFonts w:ascii="Calibri" w:cs="Calibri" w:eastAsia="Calibri" w:hAnsi="Calibri"/>
          <w:color w:val="1B1618"/>
          <w:sz w:val="20"/>
          <w:szCs w:val="20"/>
        </w:rPr>
        <w:t xml:space="preserve">I. Une ingérence justifiée par un impératif de santé publique — A. La qualification de l'ingérence · B. La solidarité sociale comme but légitime</w:t>
      </w:r>
    </w:p>
    <w:p>
      <w:pPr>
        <w:spacing w:after="90"/>
        <w:ind w:left="240"/>
      </w:pPr>
      <w:r>
        <w:rPr>
          <w:rFonts w:ascii="Calibri" w:cs="Calibri" w:eastAsia="Calibri" w:hAnsi="Calibri"/>
          <w:color w:val="1B1618"/>
          <w:sz w:val="20"/>
          <w:szCs w:val="20"/>
        </w:rPr>
        <w:t xml:space="preserve">II. Un contrôle de proportionnalité déférent — A. L'ampleur de la marge d'appréciation · B. Les limites posées : ni vaccination forcée, ni sanction disproportionnée</w:t>
      </w:r>
    </w:p>
    <w:p>
      <w:pPr>
        <w:spacing w:after="90"/>
      </w:pPr>
      <w:r>
        <w:rPr>
          <w:rFonts w:ascii="Calibri" w:cs="Calibri" w:eastAsia="Calibri" w:hAnsi="Calibri"/>
          <w:b/>
          <w:bCs/>
          <w:caps/>
          <w:color w:val="8E1B22"/>
          <w:sz w:val="17"/>
          <w:szCs w:val="17"/>
        </w:rPr>
        <w:t xml:space="preserve">Le piège  </w:t>
      </w:r>
      <w:r>
        <w:rPr>
          <w:rFonts w:ascii="Calibri" w:cs="Calibri" w:eastAsia="Calibri" w:hAnsi="Calibri"/>
          <w:color w:val="1B1618"/>
          <w:sz w:val="21"/>
          <w:szCs w:val="21"/>
        </w:rPr>
        <w:t xml:space="preserve">Transposer directement au débat français sans distinguer les régimes juridiques en cause.</w:t>
      </w:r>
    </w:p>
    <w:p>
      <w:pPr>
        <w:spacing w:after="90"/>
      </w:pPr>
      <w:r>
        <w:rPr>
          <w:rFonts w:ascii="Calibri" w:cs="Calibri" w:eastAsia="Calibri" w:hAnsi="Calibri"/>
          <w:b/>
          <w:bCs/>
          <w:caps/>
          <w:color w:val="8E1B22"/>
          <w:sz w:val="17"/>
          <w:szCs w:val="17"/>
        </w:rPr>
        <w:t xml:space="preserve">Question d'entretien  </w:t>
      </w:r>
      <w:r>
        <w:rPr>
          <w:rFonts w:ascii="Calibri" w:cs="Calibri" w:eastAsia="Calibri" w:hAnsi="Calibri"/>
          <w:color w:val="1B1618"/>
          <w:sz w:val="21"/>
          <w:szCs w:val="21"/>
        </w:rPr>
        <w:t xml:space="preserve">La France aurait-elle pu être condamnée sur le passe sanitaire ?</w:t>
      </w:r>
    </w:p>
    <w:sectPr>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2026-09-09T08:37:42.048Z</dcterms:created>
  <dcterms:modified xsi:type="dcterms:W3CDTF">2026-09-09T08:37:42.061Z</dcterms:modified>
</cp:coreProperties>
</file>

<file path=docProps/custom.xml><?xml version="1.0" encoding="utf-8"?>
<Properties xmlns="http://schemas.openxmlformats.org/officeDocument/2006/custom-properties" xmlns:vt="http://schemas.openxmlformats.org/officeDocument/2006/docPropsVTypes"/>
</file>