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2E5A88"/>
          <w:spacing w:val="50"/>
          <w:sz w:val="17"/>
          <w:szCs w:val="17"/>
        </w:rPr>
        <w:t xml:space="preserve">CRFPA 2026 — GRAND ORAL</w:t>
      </w:r>
    </w:p>
    <w:p>
      <w:pPr>
        <w:spacing w:after="50"/>
      </w:pPr>
      <w:r>
        <w:rPr>
          <w:rFonts w:ascii="Cambria" w:cs="Cambria" w:eastAsia="Cambria" w:hAnsi="Cambria"/>
          <w:b/>
          <w:bCs/>
          <w:color w:val="1F3864"/>
          <w:sz w:val="38"/>
          <w:szCs w:val="38"/>
        </w:rPr>
        <w:t xml:space="preserve">Libertés publiques et droits fondamentaux</w:t>
      </w:r>
    </w:p>
    <w:p>
      <w:pPr>
        <w:pBdr>
          <w:bottom w:val="single" w:color="C7D2E0" w:sz="10"/>
        </w:pBdr>
        <w:spacing w:after="140"/>
      </w:pPr>
      <w:r>
        <w:rPr>
          <w:rFonts w:ascii="Cambria" w:cs="Cambria" w:eastAsia="Cambria" w:hAnsi="Cambria"/>
          <w:i/>
          <w:iCs/>
          <w:color w:val="5A5A5A"/>
          <w:sz w:val="21"/>
          <w:szCs w:val="21"/>
        </w:rPr>
        <w:t xml:space="preserve">Carte du fascicule — ce que chaque liberté est, d’où elle vient, où elle s’arrête</w:t>
      </w:r>
    </w:p>
    <w:p>
      <w:pPr>
        <w:spacing w:after="70" w:before="0" w:line="264"/>
        <w:jc w:val="both"/>
      </w:pPr>
      <w:r>
        <w:rPr>
          <w:rFonts w:ascii="Calibri" w:cs="Calibri" w:eastAsia="Calibri" w:hAnsi="Calibri"/>
          <w:color w:val="1A1A1A"/>
          <w:sz w:val="19"/>
          <w:szCs w:val="19"/>
        </w:rPr>
        <w:t xml:space="preserve">Ce document n’est pas un résumé du cours : c’est sa carte. Il sert à savoir, avant d’apprendre, ce qu’il y a dans le fascicule et comment les fiches s’articulent — mais il définit chaque notion, pour que la carte se lise seule.</w:t>
      </w:r>
    </w:p>
    <w:p>
      <w:pPr>
        <w:spacing w:after="70" w:before="0" w:line="264"/>
        <w:jc w:val="both"/>
      </w:pPr>
      <w:r>
        <w:rPr>
          <w:rFonts w:ascii="Calibri" w:cs="Calibri" w:eastAsia="Calibri" w:hAnsi="Calibri"/>
          <w:color w:val="1A1A1A"/>
          <w:sz w:val="19"/>
          <w:szCs w:val="19"/>
        </w:rPr>
        <w:t xml:space="preserve">Les fiches 1 à 25 posent le cadre, les sources et les juges : elles sont présentées par leurs notions, chacune définie en une ligne. Les fiches 26 à 56 forment le catalogue des droits : chacune est présentée en quatre temps — ce que le droit est, les textes qui le fondent, ce qu’il contient, et son régime, c’est-à-dire jusqu’où il peut être limité.</w:t>
      </w:r>
    </w:p>
    <w:p>
      <w:pPr>
        <w:spacing w:after="130" w:before="0" w:line="264"/>
        <w:jc w:val="both"/>
      </w:pPr>
      <w:r>
        <w:rPr>
          <w:rFonts w:ascii="Calibri" w:cs="Calibri" w:eastAsia="Calibri" w:hAnsi="Calibri"/>
          <w:color w:val="1A1A1A"/>
          <w:sz w:val="19"/>
          <w:szCs w:val="19"/>
        </w:rPr>
        <w:t xml:space="preserve">Les numéros de page renvoient au fascicule. Toutes les définitions en viennent ; rien n’a été ajouté qui n’y figure.</w:t>
      </w:r>
    </w:p>
    <w:p>
      <w:pPr>
        <w:spacing w:after="70" w:before="60"/>
      </w:pPr>
      <w:r>
        <w:rPr>
          <w:rFonts w:ascii="Cambria" w:cs="Cambria" w:eastAsia="Cambria" w:hAnsi="Cambria"/>
          <w:b/>
          <w:bCs/>
          <w:color w:val="1F3864"/>
          <w:sz w:val="24"/>
          <w:szCs w:val="24"/>
        </w:rPr>
        <w:t xml:space="preserve">La logique d’ensemble</w:t>
      </w:r>
    </w:p>
    <w:p>
      <w:pPr>
        <w:spacing w:after="120" w:before="0" w:line="264"/>
        <w:jc w:val="both"/>
      </w:pPr>
      <w:r>
        <w:rPr>
          <w:rFonts w:ascii="Calibri" w:cs="Calibri" w:eastAsia="Calibri" w:hAnsi="Calibri"/>
          <w:color w:val="1A1A1A"/>
          <w:sz w:val="19"/>
          <w:szCs w:val="19"/>
        </w:rPr>
        <w:t xml:space="preserve">Le fascicule se lit en trois temps, puis un catalogue. Le cadre (partie I) donne les notions et la mécanique d’exercice des libertés. Les sources (II et III) répondent à « d’où vient le droit invoqué ». Les mécanismes (IV et V) répondent à « qui le fait respecter ». Le catalogue (VI à VIII) fournit la matière. La technique de raisonnement tient dans le premier tiers ; les trois quarts du volume sont dans le catalogue.</w:t>
      </w:r>
    </w:p>
    <w:tbl>
      <w:tblPr>
        <w:tblW w:type="dxa" w:w="8200"/>
        <w:tblBorders>
          <w:top w:val="single" w:color="C7D2E0" w:sz="4"/>
          <w:left w:val="none" w:color="FFFFFF" w:sz="0"/>
          <w:bottom w:val="single" w:color="C7D2E0" w:sz="4"/>
          <w:right w:val="none" w:color="FFFFFF" w:sz="0"/>
          <w:insideH w:val="single" w:color="C7D2E0" w:sz="2"/>
          <w:insideV w:val="none" w:color="FFFFFF" w:sz="0"/>
        </w:tblBorders>
      </w:tblPr>
      <w:tblGrid>
        <w:gridCol w:w="800"/>
        <w:gridCol w:w="4700"/>
        <w:gridCol w:w="1250"/>
        <w:gridCol w:w="1450"/>
      </w:tblGrid>
      <w:tr>
        <w:trPr>
          <w:tblHeader/>
        </w:trPr>
        <w:tc>
          <w:tcPr>
            <w:tcW w:type="dxa" w:w="800"/>
            <w:shd w:fill="1F3864" w:color="auto" w:val="clear"/>
            <w:tcMar>
              <w:top w:type="dxa" w:w="45"/>
              <w:left w:type="dxa" w:w="100"/>
              <w:bottom w:type="dxa" w:w="45"/>
              <w:right w:type="dxa" w:w="100"/>
            </w:tcMar>
          </w:tcPr>
          <w:p>
            <w:pPr>
              <w:spacing w:after="0"/>
              <w:jc w:val="center"/>
            </w:pPr>
            <w:r>
              <w:rPr>
                <w:rFonts w:ascii="Calibri" w:cs="Calibri" w:eastAsia="Calibri" w:hAnsi="Calibri"/>
                <w:b/>
                <w:bCs/>
                <w:color w:val="FFFFFF"/>
                <w:sz w:val="17"/>
                <w:szCs w:val="17"/>
              </w:rPr>
              <w:t xml:space="preserve">Partie</w:t>
            </w:r>
          </w:p>
        </w:tc>
        <w:tc>
          <w:tcPr>
            <w:tcW w:type="dxa" w:w="4700"/>
            <w:shd w:fill="1F3864" w:color="auto" w:val="clear"/>
            <w:tcMar>
              <w:top w:type="dxa" w:w="45"/>
              <w:left w:type="dxa" w:w="100"/>
              <w:bottom w:type="dxa" w:w="45"/>
              <w:right w:type="dxa" w:w="100"/>
            </w:tcMar>
          </w:tcPr>
          <w:p>
            <w:pPr>
              <w:spacing w:after="0"/>
              <w:jc w:val="left"/>
            </w:pPr>
            <w:r>
              <w:rPr>
                <w:rFonts w:ascii="Calibri" w:cs="Calibri" w:eastAsia="Calibri" w:hAnsi="Calibri"/>
                <w:b/>
                <w:bCs/>
                <w:color w:val="FFFFFF"/>
                <w:sz w:val="17"/>
                <w:szCs w:val="17"/>
              </w:rPr>
              <w:t xml:space="preserve">Intitulé</w:t>
            </w:r>
          </w:p>
        </w:tc>
        <w:tc>
          <w:tcPr>
            <w:tcW w:type="dxa" w:w="1250"/>
            <w:shd w:fill="1F3864" w:color="auto" w:val="clear"/>
            <w:tcMar>
              <w:top w:type="dxa" w:w="45"/>
              <w:left w:type="dxa" w:w="100"/>
              <w:bottom w:type="dxa" w:w="45"/>
              <w:right w:type="dxa" w:w="100"/>
            </w:tcMar>
          </w:tcPr>
          <w:p>
            <w:pPr>
              <w:spacing w:after="0"/>
              <w:jc w:val="center"/>
            </w:pPr>
            <w:r>
              <w:rPr>
                <w:rFonts w:ascii="Calibri" w:cs="Calibri" w:eastAsia="Calibri" w:hAnsi="Calibri"/>
                <w:b/>
                <w:bCs/>
                <w:color w:val="FFFFFF"/>
                <w:sz w:val="17"/>
                <w:szCs w:val="17"/>
              </w:rPr>
              <w:t xml:space="preserve">Fiches</w:t>
            </w:r>
          </w:p>
        </w:tc>
        <w:tc>
          <w:tcPr>
            <w:tcW w:type="dxa" w:w="1450"/>
            <w:shd w:fill="1F3864" w:color="auto" w:val="clear"/>
            <w:tcMar>
              <w:top w:type="dxa" w:w="45"/>
              <w:left w:type="dxa" w:w="100"/>
              <w:bottom w:type="dxa" w:w="45"/>
              <w:right w:type="dxa" w:w="100"/>
            </w:tcMar>
          </w:tcPr>
          <w:p>
            <w:pPr>
              <w:spacing w:after="0"/>
              <w:jc w:val="center"/>
            </w:pPr>
            <w:r>
              <w:rPr>
                <w:rFonts w:ascii="Calibri" w:cs="Calibri" w:eastAsia="Calibri" w:hAnsi="Calibri"/>
                <w:b/>
                <w:bCs/>
                <w:color w:val="FFFFFF"/>
                <w:sz w:val="17"/>
                <w:szCs w:val="17"/>
              </w:rPr>
              <w:t xml:space="preserve">Pages</w:t>
            </w:r>
          </w:p>
        </w:tc>
      </w:tr>
      <w:tr>
        <w:tc>
          <w:tcPr>
            <w:tcW w:type="dxa" w:w="800"/>
            <w:tcMar>
              <w:top w:type="dxa" w:w="45"/>
              <w:left w:type="dxa" w:w="100"/>
              <w:bottom w:type="dxa" w:w="45"/>
              <w:right w:type="dxa" w:w="100"/>
            </w:tcMar>
          </w:tcPr>
          <w:p>
            <w:pPr>
              <w:spacing w:after="0"/>
              <w:jc w:val="center"/>
            </w:pPr>
            <w:r>
              <w:rPr>
                <w:rFonts w:ascii="Calibri" w:cs="Calibri" w:eastAsia="Calibri" w:hAnsi="Calibri"/>
                <w:b/>
                <w:bCs/>
                <w:color w:val="1F3864"/>
                <w:sz w:val="17"/>
                <w:szCs w:val="17"/>
              </w:rPr>
              <w:t xml:space="preserve">I</w:t>
            </w:r>
          </w:p>
        </w:tc>
        <w:tc>
          <w:tcPr>
            <w:tcW w:type="dxa" w:w="4700"/>
            <w:tcMar>
              <w:top w:type="dxa" w:w="45"/>
              <w:left w:type="dxa" w:w="100"/>
              <w:bottom w:type="dxa" w:w="45"/>
              <w:right w:type="dxa" w:w="100"/>
            </w:tcMar>
          </w:tcPr>
          <w:p>
            <w:pPr>
              <w:spacing w:after="0"/>
              <w:jc w:val="left"/>
            </w:pPr>
            <w:r>
              <w:rPr>
                <w:rFonts w:ascii="Calibri" w:cs="Calibri" w:eastAsia="Calibri" w:hAnsi="Calibri"/>
                <w:color w:val="1A1A1A"/>
                <w:sz w:val="17"/>
                <w:szCs w:val="17"/>
              </w:rPr>
              <w:t xml:space="preserve">Éléments introductifs</w:t>
            </w:r>
          </w:p>
        </w:tc>
        <w:tc>
          <w:tcPr>
            <w:tcW w:type="dxa" w:w="1250"/>
            <w:tcMar>
              <w:top w:type="dxa" w:w="45"/>
              <w:left w:type="dxa" w:w="100"/>
              <w:bottom w:type="dxa" w:w="45"/>
              <w:right w:type="dxa" w:w="100"/>
            </w:tcMar>
          </w:tcPr>
          <w:p>
            <w:pPr>
              <w:spacing w:after="0"/>
              <w:jc w:val="center"/>
            </w:pPr>
            <w:r>
              <w:rPr>
                <w:rFonts w:ascii="Calibri" w:cs="Calibri" w:eastAsia="Calibri" w:hAnsi="Calibri"/>
                <w:color w:val="1A1A1A"/>
                <w:sz w:val="17"/>
                <w:szCs w:val="17"/>
              </w:rPr>
              <w:t xml:space="preserve">1 à 8</w:t>
            </w:r>
          </w:p>
        </w:tc>
        <w:tc>
          <w:tcPr>
            <w:tcW w:type="dxa" w:w="1450"/>
            <w:tcMar>
              <w:top w:type="dxa" w:w="45"/>
              <w:left w:type="dxa" w:w="100"/>
              <w:bottom w:type="dxa" w:w="45"/>
              <w:right w:type="dxa" w:w="100"/>
            </w:tcMar>
          </w:tcPr>
          <w:p>
            <w:pPr>
              <w:spacing w:after="0"/>
              <w:jc w:val="center"/>
            </w:pPr>
            <w:r>
              <w:rPr>
                <w:rFonts w:ascii="Calibri" w:cs="Calibri" w:eastAsia="Calibri" w:hAnsi="Calibri"/>
                <w:color w:val="1A1A1A"/>
                <w:sz w:val="17"/>
                <w:szCs w:val="17"/>
              </w:rPr>
              <w:t xml:space="preserve">4 – 81</w:t>
            </w:r>
          </w:p>
        </w:tc>
      </w:tr>
      <w:tr>
        <w:tc>
          <w:tcPr>
            <w:tcW w:type="dxa" w:w="800"/>
            <w:shd w:fill="EDF1F7" w:color="auto" w:val="clear"/>
            <w:tcMar>
              <w:top w:type="dxa" w:w="45"/>
              <w:left w:type="dxa" w:w="100"/>
              <w:bottom w:type="dxa" w:w="45"/>
              <w:right w:type="dxa" w:w="100"/>
            </w:tcMar>
          </w:tcPr>
          <w:p>
            <w:pPr>
              <w:spacing w:after="0"/>
              <w:jc w:val="center"/>
            </w:pPr>
            <w:r>
              <w:rPr>
                <w:rFonts w:ascii="Calibri" w:cs="Calibri" w:eastAsia="Calibri" w:hAnsi="Calibri"/>
                <w:b/>
                <w:bCs/>
                <w:color w:val="1F3864"/>
                <w:sz w:val="17"/>
                <w:szCs w:val="17"/>
              </w:rPr>
              <w:t xml:space="preserve">II</w:t>
            </w:r>
          </w:p>
        </w:tc>
        <w:tc>
          <w:tcPr>
            <w:tcW w:type="dxa" w:w="4700"/>
            <w:shd w:fill="EDF1F7" w:color="auto" w:val="clear"/>
            <w:tcMar>
              <w:top w:type="dxa" w:w="45"/>
              <w:left w:type="dxa" w:w="100"/>
              <w:bottom w:type="dxa" w:w="45"/>
              <w:right w:type="dxa" w:w="100"/>
            </w:tcMar>
          </w:tcPr>
          <w:p>
            <w:pPr>
              <w:spacing w:after="0"/>
              <w:jc w:val="left"/>
            </w:pPr>
            <w:r>
              <w:rPr>
                <w:rFonts w:ascii="Calibri" w:cs="Calibri" w:eastAsia="Calibri" w:hAnsi="Calibri"/>
                <w:color w:val="1A1A1A"/>
                <w:sz w:val="17"/>
                <w:szCs w:val="17"/>
              </w:rPr>
              <w:t xml:space="preserve">Les sources internes</w:t>
            </w:r>
          </w:p>
        </w:tc>
        <w:tc>
          <w:tcPr>
            <w:tcW w:type="dxa" w:w="1250"/>
            <w:shd w:fill="EDF1F7" w:color="auto" w:val="clear"/>
            <w:tcMar>
              <w:top w:type="dxa" w:w="45"/>
              <w:left w:type="dxa" w:w="100"/>
              <w:bottom w:type="dxa" w:w="45"/>
              <w:right w:type="dxa" w:w="100"/>
            </w:tcMar>
          </w:tcPr>
          <w:p>
            <w:pPr>
              <w:spacing w:after="0"/>
              <w:jc w:val="center"/>
            </w:pPr>
            <w:r>
              <w:rPr>
                <w:rFonts w:ascii="Calibri" w:cs="Calibri" w:eastAsia="Calibri" w:hAnsi="Calibri"/>
                <w:color w:val="1A1A1A"/>
                <w:sz w:val="17"/>
                <w:szCs w:val="17"/>
              </w:rPr>
              <w:t xml:space="preserve">9 à 11</w:t>
            </w:r>
          </w:p>
        </w:tc>
        <w:tc>
          <w:tcPr>
            <w:tcW w:type="dxa" w:w="1450"/>
            <w:shd w:fill="EDF1F7" w:color="auto" w:val="clear"/>
            <w:tcMar>
              <w:top w:type="dxa" w:w="45"/>
              <w:left w:type="dxa" w:w="100"/>
              <w:bottom w:type="dxa" w:w="45"/>
              <w:right w:type="dxa" w:w="100"/>
            </w:tcMar>
          </w:tcPr>
          <w:p>
            <w:pPr>
              <w:spacing w:after="0"/>
              <w:jc w:val="center"/>
            </w:pPr>
            <w:r>
              <w:rPr>
                <w:rFonts w:ascii="Calibri" w:cs="Calibri" w:eastAsia="Calibri" w:hAnsi="Calibri"/>
                <w:color w:val="1A1A1A"/>
                <w:sz w:val="17"/>
                <w:szCs w:val="17"/>
              </w:rPr>
              <w:t xml:space="preserve">82 – 114</w:t>
            </w:r>
          </w:p>
        </w:tc>
      </w:tr>
      <w:tr>
        <w:tc>
          <w:tcPr>
            <w:tcW w:type="dxa" w:w="800"/>
            <w:tcMar>
              <w:top w:type="dxa" w:w="45"/>
              <w:left w:type="dxa" w:w="100"/>
              <w:bottom w:type="dxa" w:w="45"/>
              <w:right w:type="dxa" w:w="100"/>
            </w:tcMar>
          </w:tcPr>
          <w:p>
            <w:pPr>
              <w:spacing w:after="0"/>
              <w:jc w:val="center"/>
            </w:pPr>
            <w:r>
              <w:rPr>
                <w:rFonts w:ascii="Calibri" w:cs="Calibri" w:eastAsia="Calibri" w:hAnsi="Calibri"/>
                <w:b/>
                <w:bCs/>
                <w:color w:val="1F3864"/>
                <w:sz w:val="17"/>
                <w:szCs w:val="17"/>
              </w:rPr>
              <w:t xml:space="preserve">III</w:t>
            </w:r>
          </w:p>
        </w:tc>
        <w:tc>
          <w:tcPr>
            <w:tcW w:type="dxa" w:w="4700"/>
            <w:tcMar>
              <w:top w:type="dxa" w:w="45"/>
              <w:left w:type="dxa" w:w="100"/>
              <w:bottom w:type="dxa" w:w="45"/>
              <w:right w:type="dxa" w:w="100"/>
            </w:tcMar>
          </w:tcPr>
          <w:p>
            <w:pPr>
              <w:spacing w:after="0"/>
              <w:jc w:val="left"/>
            </w:pPr>
            <w:r>
              <w:rPr>
                <w:rFonts w:ascii="Calibri" w:cs="Calibri" w:eastAsia="Calibri" w:hAnsi="Calibri"/>
                <w:color w:val="1A1A1A"/>
                <w:sz w:val="17"/>
                <w:szCs w:val="17"/>
              </w:rPr>
              <w:t xml:space="preserve">Les sources externes</w:t>
            </w:r>
          </w:p>
        </w:tc>
        <w:tc>
          <w:tcPr>
            <w:tcW w:type="dxa" w:w="1250"/>
            <w:tcMar>
              <w:top w:type="dxa" w:w="45"/>
              <w:left w:type="dxa" w:w="100"/>
              <w:bottom w:type="dxa" w:w="45"/>
              <w:right w:type="dxa" w:w="100"/>
            </w:tcMar>
          </w:tcPr>
          <w:p>
            <w:pPr>
              <w:spacing w:after="0"/>
              <w:jc w:val="center"/>
            </w:pPr>
            <w:r>
              <w:rPr>
                <w:rFonts w:ascii="Calibri" w:cs="Calibri" w:eastAsia="Calibri" w:hAnsi="Calibri"/>
                <w:color w:val="1A1A1A"/>
                <w:sz w:val="17"/>
                <w:szCs w:val="17"/>
              </w:rPr>
              <w:t xml:space="preserve">12 à 15</w:t>
            </w:r>
          </w:p>
        </w:tc>
        <w:tc>
          <w:tcPr>
            <w:tcW w:type="dxa" w:w="1450"/>
            <w:tcMar>
              <w:top w:type="dxa" w:w="45"/>
              <w:left w:type="dxa" w:w="100"/>
              <w:bottom w:type="dxa" w:w="45"/>
              <w:right w:type="dxa" w:w="100"/>
            </w:tcMar>
          </w:tcPr>
          <w:p>
            <w:pPr>
              <w:spacing w:after="0"/>
              <w:jc w:val="center"/>
            </w:pPr>
            <w:r>
              <w:rPr>
                <w:rFonts w:ascii="Calibri" w:cs="Calibri" w:eastAsia="Calibri" w:hAnsi="Calibri"/>
                <w:color w:val="1A1A1A"/>
                <w:sz w:val="17"/>
                <w:szCs w:val="17"/>
              </w:rPr>
              <w:t xml:space="preserve">115 – 152</w:t>
            </w:r>
          </w:p>
        </w:tc>
      </w:tr>
      <w:tr>
        <w:tc>
          <w:tcPr>
            <w:tcW w:type="dxa" w:w="800"/>
            <w:shd w:fill="EDF1F7" w:color="auto" w:val="clear"/>
            <w:tcMar>
              <w:top w:type="dxa" w:w="45"/>
              <w:left w:type="dxa" w:w="100"/>
              <w:bottom w:type="dxa" w:w="45"/>
              <w:right w:type="dxa" w:w="100"/>
            </w:tcMar>
          </w:tcPr>
          <w:p>
            <w:pPr>
              <w:spacing w:after="0"/>
              <w:jc w:val="center"/>
            </w:pPr>
            <w:r>
              <w:rPr>
                <w:rFonts w:ascii="Calibri" w:cs="Calibri" w:eastAsia="Calibri" w:hAnsi="Calibri"/>
                <w:b/>
                <w:bCs/>
                <w:color w:val="1F3864"/>
                <w:sz w:val="17"/>
                <w:szCs w:val="17"/>
              </w:rPr>
              <w:t xml:space="preserve">IV</w:t>
            </w:r>
          </w:p>
        </w:tc>
        <w:tc>
          <w:tcPr>
            <w:tcW w:type="dxa" w:w="4700"/>
            <w:shd w:fill="EDF1F7" w:color="auto" w:val="clear"/>
            <w:tcMar>
              <w:top w:type="dxa" w:w="45"/>
              <w:left w:type="dxa" w:w="100"/>
              <w:bottom w:type="dxa" w:w="45"/>
              <w:right w:type="dxa" w:w="100"/>
            </w:tcMar>
          </w:tcPr>
          <w:p>
            <w:pPr>
              <w:spacing w:after="0"/>
              <w:jc w:val="left"/>
            </w:pPr>
            <w:r>
              <w:rPr>
                <w:rFonts w:ascii="Calibri" w:cs="Calibri" w:eastAsia="Calibri" w:hAnsi="Calibri"/>
                <w:color w:val="1A1A1A"/>
                <w:sz w:val="17"/>
                <w:szCs w:val="17"/>
              </w:rPr>
              <w:t xml:space="preserve">Les mécanismes internes de protection</w:t>
            </w:r>
          </w:p>
        </w:tc>
        <w:tc>
          <w:tcPr>
            <w:tcW w:type="dxa" w:w="1250"/>
            <w:shd w:fill="EDF1F7" w:color="auto" w:val="clear"/>
            <w:tcMar>
              <w:top w:type="dxa" w:w="45"/>
              <w:left w:type="dxa" w:w="100"/>
              <w:bottom w:type="dxa" w:w="45"/>
              <w:right w:type="dxa" w:w="100"/>
            </w:tcMar>
          </w:tcPr>
          <w:p>
            <w:pPr>
              <w:spacing w:after="0"/>
              <w:jc w:val="center"/>
            </w:pPr>
            <w:r>
              <w:rPr>
                <w:rFonts w:ascii="Calibri" w:cs="Calibri" w:eastAsia="Calibri" w:hAnsi="Calibri"/>
                <w:color w:val="1A1A1A"/>
                <w:sz w:val="17"/>
                <w:szCs w:val="17"/>
              </w:rPr>
              <w:t xml:space="preserve">16 à 20</w:t>
            </w:r>
          </w:p>
        </w:tc>
        <w:tc>
          <w:tcPr>
            <w:tcW w:type="dxa" w:w="1450"/>
            <w:shd w:fill="EDF1F7" w:color="auto" w:val="clear"/>
            <w:tcMar>
              <w:top w:type="dxa" w:w="45"/>
              <w:left w:type="dxa" w:w="100"/>
              <w:bottom w:type="dxa" w:w="45"/>
              <w:right w:type="dxa" w:w="100"/>
            </w:tcMar>
          </w:tcPr>
          <w:p>
            <w:pPr>
              <w:spacing w:after="0"/>
              <w:jc w:val="center"/>
            </w:pPr>
            <w:r>
              <w:rPr>
                <w:rFonts w:ascii="Calibri" w:cs="Calibri" w:eastAsia="Calibri" w:hAnsi="Calibri"/>
                <w:color w:val="1A1A1A"/>
                <w:sz w:val="17"/>
                <w:szCs w:val="17"/>
              </w:rPr>
              <w:t xml:space="preserve">153 – 207</w:t>
            </w:r>
          </w:p>
        </w:tc>
      </w:tr>
      <w:tr>
        <w:tc>
          <w:tcPr>
            <w:tcW w:type="dxa" w:w="800"/>
            <w:tcMar>
              <w:top w:type="dxa" w:w="45"/>
              <w:left w:type="dxa" w:w="100"/>
              <w:bottom w:type="dxa" w:w="45"/>
              <w:right w:type="dxa" w:w="100"/>
            </w:tcMar>
          </w:tcPr>
          <w:p>
            <w:pPr>
              <w:spacing w:after="0"/>
              <w:jc w:val="center"/>
            </w:pPr>
            <w:r>
              <w:rPr>
                <w:rFonts w:ascii="Calibri" w:cs="Calibri" w:eastAsia="Calibri" w:hAnsi="Calibri"/>
                <w:b/>
                <w:bCs/>
                <w:color w:val="1F3864"/>
                <w:sz w:val="17"/>
                <w:szCs w:val="17"/>
              </w:rPr>
              <w:t xml:space="preserve">V</w:t>
            </w:r>
          </w:p>
        </w:tc>
        <w:tc>
          <w:tcPr>
            <w:tcW w:type="dxa" w:w="4700"/>
            <w:tcMar>
              <w:top w:type="dxa" w:w="45"/>
              <w:left w:type="dxa" w:w="100"/>
              <w:bottom w:type="dxa" w:w="45"/>
              <w:right w:type="dxa" w:w="100"/>
            </w:tcMar>
          </w:tcPr>
          <w:p>
            <w:pPr>
              <w:spacing w:after="0"/>
              <w:jc w:val="left"/>
            </w:pPr>
            <w:r>
              <w:rPr>
                <w:rFonts w:ascii="Calibri" w:cs="Calibri" w:eastAsia="Calibri" w:hAnsi="Calibri"/>
                <w:color w:val="1A1A1A"/>
                <w:sz w:val="17"/>
                <w:szCs w:val="17"/>
              </w:rPr>
              <w:t xml:space="preserve">Les mécanismes internationaux et européens de protection</w:t>
            </w:r>
          </w:p>
        </w:tc>
        <w:tc>
          <w:tcPr>
            <w:tcW w:type="dxa" w:w="1250"/>
            <w:tcMar>
              <w:top w:type="dxa" w:w="45"/>
              <w:left w:type="dxa" w:w="100"/>
              <w:bottom w:type="dxa" w:w="45"/>
              <w:right w:type="dxa" w:w="100"/>
            </w:tcMar>
          </w:tcPr>
          <w:p>
            <w:pPr>
              <w:spacing w:after="0"/>
              <w:jc w:val="center"/>
            </w:pPr>
            <w:r>
              <w:rPr>
                <w:rFonts w:ascii="Calibri" w:cs="Calibri" w:eastAsia="Calibri" w:hAnsi="Calibri"/>
                <w:color w:val="1A1A1A"/>
                <w:sz w:val="17"/>
                <w:szCs w:val="17"/>
              </w:rPr>
              <w:t xml:space="preserve">21 à 25</w:t>
            </w:r>
          </w:p>
        </w:tc>
        <w:tc>
          <w:tcPr>
            <w:tcW w:type="dxa" w:w="1450"/>
            <w:tcMar>
              <w:top w:type="dxa" w:w="45"/>
              <w:left w:type="dxa" w:w="100"/>
              <w:bottom w:type="dxa" w:w="45"/>
              <w:right w:type="dxa" w:w="100"/>
            </w:tcMar>
          </w:tcPr>
          <w:p>
            <w:pPr>
              <w:spacing w:after="0"/>
              <w:jc w:val="center"/>
            </w:pPr>
            <w:r>
              <w:rPr>
                <w:rFonts w:ascii="Calibri" w:cs="Calibri" w:eastAsia="Calibri" w:hAnsi="Calibri"/>
                <w:color w:val="1A1A1A"/>
                <w:sz w:val="17"/>
                <w:szCs w:val="17"/>
              </w:rPr>
              <w:t xml:space="preserve">208 – 253</w:t>
            </w:r>
          </w:p>
        </w:tc>
      </w:tr>
      <w:tr>
        <w:tc>
          <w:tcPr>
            <w:tcW w:type="dxa" w:w="800"/>
            <w:shd w:fill="EDF1F7" w:color="auto" w:val="clear"/>
            <w:tcMar>
              <w:top w:type="dxa" w:w="45"/>
              <w:left w:type="dxa" w:w="100"/>
              <w:bottom w:type="dxa" w:w="45"/>
              <w:right w:type="dxa" w:w="100"/>
            </w:tcMar>
          </w:tcPr>
          <w:p>
            <w:pPr>
              <w:spacing w:after="0"/>
              <w:jc w:val="center"/>
            </w:pPr>
            <w:r>
              <w:rPr>
                <w:rFonts w:ascii="Calibri" w:cs="Calibri" w:eastAsia="Calibri" w:hAnsi="Calibri"/>
                <w:b/>
                <w:bCs/>
                <w:color w:val="1F3864"/>
                <w:sz w:val="17"/>
                <w:szCs w:val="17"/>
              </w:rPr>
              <w:t xml:space="preserve">VI</w:t>
            </w:r>
          </w:p>
        </w:tc>
        <w:tc>
          <w:tcPr>
            <w:tcW w:type="dxa" w:w="4700"/>
            <w:shd w:fill="EDF1F7" w:color="auto" w:val="clear"/>
            <w:tcMar>
              <w:top w:type="dxa" w:w="45"/>
              <w:left w:type="dxa" w:w="100"/>
              <w:bottom w:type="dxa" w:w="45"/>
              <w:right w:type="dxa" w:w="100"/>
            </w:tcMar>
          </w:tcPr>
          <w:p>
            <w:pPr>
              <w:spacing w:after="0"/>
              <w:jc w:val="left"/>
            </w:pPr>
            <w:r>
              <w:rPr>
                <w:rFonts w:ascii="Calibri" w:cs="Calibri" w:eastAsia="Calibri" w:hAnsi="Calibri"/>
                <w:color w:val="1A1A1A"/>
                <w:sz w:val="17"/>
                <w:szCs w:val="17"/>
              </w:rPr>
              <w:t xml:space="preserve">Les droits civils et politiques</w:t>
            </w:r>
          </w:p>
        </w:tc>
        <w:tc>
          <w:tcPr>
            <w:tcW w:type="dxa" w:w="1250"/>
            <w:shd w:fill="EDF1F7" w:color="auto" w:val="clear"/>
            <w:tcMar>
              <w:top w:type="dxa" w:w="45"/>
              <w:left w:type="dxa" w:w="100"/>
              <w:bottom w:type="dxa" w:w="45"/>
              <w:right w:type="dxa" w:w="100"/>
            </w:tcMar>
          </w:tcPr>
          <w:p>
            <w:pPr>
              <w:spacing w:after="0"/>
              <w:jc w:val="center"/>
            </w:pPr>
            <w:r>
              <w:rPr>
                <w:rFonts w:ascii="Calibri" w:cs="Calibri" w:eastAsia="Calibri" w:hAnsi="Calibri"/>
                <w:color w:val="1A1A1A"/>
                <w:sz w:val="17"/>
                <w:szCs w:val="17"/>
              </w:rPr>
              <w:t xml:space="preserve">26 à 44</w:t>
            </w:r>
          </w:p>
        </w:tc>
        <w:tc>
          <w:tcPr>
            <w:tcW w:type="dxa" w:w="1450"/>
            <w:shd w:fill="EDF1F7" w:color="auto" w:val="clear"/>
            <w:tcMar>
              <w:top w:type="dxa" w:w="45"/>
              <w:left w:type="dxa" w:w="100"/>
              <w:bottom w:type="dxa" w:w="45"/>
              <w:right w:type="dxa" w:w="100"/>
            </w:tcMar>
          </w:tcPr>
          <w:p>
            <w:pPr>
              <w:spacing w:after="0"/>
              <w:jc w:val="center"/>
            </w:pPr>
            <w:r>
              <w:rPr>
                <w:rFonts w:ascii="Calibri" w:cs="Calibri" w:eastAsia="Calibri" w:hAnsi="Calibri"/>
                <w:color w:val="1A1A1A"/>
                <w:sz w:val="17"/>
                <w:szCs w:val="17"/>
              </w:rPr>
              <w:t xml:space="preserve">254 – 466</w:t>
            </w:r>
          </w:p>
        </w:tc>
      </w:tr>
      <w:tr>
        <w:tc>
          <w:tcPr>
            <w:tcW w:type="dxa" w:w="800"/>
            <w:tcMar>
              <w:top w:type="dxa" w:w="45"/>
              <w:left w:type="dxa" w:w="100"/>
              <w:bottom w:type="dxa" w:w="45"/>
              <w:right w:type="dxa" w:w="100"/>
            </w:tcMar>
          </w:tcPr>
          <w:p>
            <w:pPr>
              <w:spacing w:after="0"/>
              <w:jc w:val="center"/>
            </w:pPr>
            <w:r>
              <w:rPr>
                <w:rFonts w:ascii="Calibri" w:cs="Calibri" w:eastAsia="Calibri" w:hAnsi="Calibri"/>
                <w:b/>
                <w:bCs/>
                <w:color w:val="1F3864"/>
                <w:sz w:val="17"/>
                <w:szCs w:val="17"/>
              </w:rPr>
              <w:t xml:space="preserve">VII</w:t>
            </w:r>
          </w:p>
        </w:tc>
        <w:tc>
          <w:tcPr>
            <w:tcW w:type="dxa" w:w="4700"/>
            <w:tcMar>
              <w:top w:type="dxa" w:w="45"/>
              <w:left w:type="dxa" w:w="100"/>
              <w:bottom w:type="dxa" w:w="45"/>
              <w:right w:type="dxa" w:w="100"/>
            </w:tcMar>
          </w:tcPr>
          <w:p>
            <w:pPr>
              <w:spacing w:after="0"/>
              <w:jc w:val="left"/>
            </w:pPr>
            <w:r>
              <w:rPr>
                <w:rFonts w:ascii="Calibri" w:cs="Calibri" w:eastAsia="Calibri" w:hAnsi="Calibri"/>
                <w:color w:val="1A1A1A"/>
                <w:sz w:val="17"/>
                <w:szCs w:val="17"/>
              </w:rPr>
              <w:t xml:space="preserve">Les droits économiques, sociaux et culturels</w:t>
            </w:r>
          </w:p>
        </w:tc>
        <w:tc>
          <w:tcPr>
            <w:tcW w:type="dxa" w:w="1250"/>
            <w:tcMar>
              <w:top w:type="dxa" w:w="45"/>
              <w:left w:type="dxa" w:w="100"/>
              <w:bottom w:type="dxa" w:w="45"/>
              <w:right w:type="dxa" w:w="100"/>
            </w:tcMar>
          </w:tcPr>
          <w:p>
            <w:pPr>
              <w:spacing w:after="0"/>
              <w:jc w:val="center"/>
            </w:pPr>
            <w:r>
              <w:rPr>
                <w:rFonts w:ascii="Calibri" w:cs="Calibri" w:eastAsia="Calibri" w:hAnsi="Calibri"/>
                <w:color w:val="1A1A1A"/>
                <w:sz w:val="17"/>
                <w:szCs w:val="17"/>
              </w:rPr>
              <w:t xml:space="preserve">45 à 53</w:t>
            </w:r>
          </w:p>
        </w:tc>
        <w:tc>
          <w:tcPr>
            <w:tcW w:type="dxa" w:w="1450"/>
            <w:tcMar>
              <w:top w:type="dxa" w:w="45"/>
              <w:left w:type="dxa" w:w="100"/>
              <w:bottom w:type="dxa" w:w="45"/>
              <w:right w:type="dxa" w:w="100"/>
            </w:tcMar>
          </w:tcPr>
          <w:p>
            <w:pPr>
              <w:spacing w:after="0"/>
              <w:jc w:val="center"/>
            </w:pPr>
            <w:r>
              <w:rPr>
                <w:rFonts w:ascii="Calibri" w:cs="Calibri" w:eastAsia="Calibri" w:hAnsi="Calibri"/>
                <w:color w:val="1A1A1A"/>
                <w:sz w:val="17"/>
                <w:szCs w:val="17"/>
              </w:rPr>
              <w:t xml:space="preserve">467 – 545</w:t>
            </w:r>
          </w:p>
        </w:tc>
      </w:tr>
      <w:tr>
        <w:tc>
          <w:tcPr>
            <w:tcW w:type="dxa" w:w="800"/>
            <w:shd w:fill="EDF1F7" w:color="auto" w:val="clear"/>
            <w:tcMar>
              <w:top w:type="dxa" w:w="45"/>
              <w:left w:type="dxa" w:w="100"/>
              <w:bottom w:type="dxa" w:w="45"/>
              <w:right w:type="dxa" w:w="100"/>
            </w:tcMar>
          </w:tcPr>
          <w:p>
            <w:pPr>
              <w:spacing w:after="0"/>
              <w:jc w:val="center"/>
            </w:pPr>
            <w:r>
              <w:rPr>
                <w:rFonts w:ascii="Calibri" w:cs="Calibri" w:eastAsia="Calibri" w:hAnsi="Calibri"/>
                <w:b/>
                <w:bCs/>
                <w:color w:val="1F3864"/>
                <w:sz w:val="17"/>
                <w:szCs w:val="17"/>
              </w:rPr>
              <w:t xml:space="preserve">VIII</w:t>
            </w:r>
          </w:p>
        </w:tc>
        <w:tc>
          <w:tcPr>
            <w:tcW w:type="dxa" w:w="4700"/>
            <w:shd w:fill="EDF1F7" w:color="auto" w:val="clear"/>
            <w:tcMar>
              <w:top w:type="dxa" w:w="45"/>
              <w:left w:type="dxa" w:w="100"/>
              <w:bottom w:type="dxa" w:w="45"/>
              <w:right w:type="dxa" w:w="100"/>
            </w:tcMar>
          </w:tcPr>
          <w:p>
            <w:pPr>
              <w:spacing w:after="0"/>
              <w:jc w:val="left"/>
            </w:pPr>
            <w:r>
              <w:rPr>
                <w:rFonts w:ascii="Calibri" w:cs="Calibri" w:eastAsia="Calibri" w:hAnsi="Calibri"/>
                <w:color w:val="1A1A1A"/>
                <w:sz w:val="17"/>
                <w:szCs w:val="17"/>
              </w:rPr>
              <w:t xml:space="preserve">L’égalité et la non-discrimination</w:t>
            </w:r>
          </w:p>
        </w:tc>
        <w:tc>
          <w:tcPr>
            <w:tcW w:type="dxa" w:w="1250"/>
            <w:shd w:fill="EDF1F7" w:color="auto" w:val="clear"/>
            <w:tcMar>
              <w:top w:type="dxa" w:w="45"/>
              <w:left w:type="dxa" w:w="100"/>
              <w:bottom w:type="dxa" w:w="45"/>
              <w:right w:type="dxa" w:w="100"/>
            </w:tcMar>
          </w:tcPr>
          <w:p>
            <w:pPr>
              <w:spacing w:after="0"/>
              <w:jc w:val="center"/>
            </w:pPr>
            <w:r>
              <w:rPr>
                <w:rFonts w:ascii="Calibri" w:cs="Calibri" w:eastAsia="Calibri" w:hAnsi="Calibri"/>
                <w:color w:val="1A1A1A"/>
                <w:sz w:val="17"/>
                <w:szCs w:val="17"/>
              </w:rPr>
              <w:t xml:space="preserve">54 à 56</w:t>
            </w:r>
          </w:p>
        </w:tc>
        <w:tc>
          <w:tcPr>
            <w:tcW w:type="dxa" w:w="1450"/>
            <w:shd w:fill="EDF1F7" w:color="auto" w:val="clear"/>
            <w:tcMar>
              <w:top w:type="dxa" w:w="45"/>
              <w:left w:type="dxa" w:w="100"/>
              <w:bottom w:type="dxa" w:w="45"/>
              <w:right w:type="dxa" w:w="100"/>
            </w:tcMar>
          </w:tcPr>
          <w:p>
            <w:pPr>
              <w:spacing w:after="0"/>
              <w:jc w:val="center"/>
            </w:pPr>
            <w:r>
              <w:rPr>
                <w:rFonts w:ascii="Calibri" w:cs="Calibri" w:eastAsia="Calibri" w:hAnsi="Calibri"/>
                <w:color w:val="1A1A1A"/>
                <w:sz w:val="17"/>
                <w:szCs w:val="17"/>
              </w:rPr>
              <w:t xml:space="preserve">546 – 580</w:t>
            </w:r>
          </w:p>
        </w:tc>
      </w:tr>
    </w:tbl>
    <w:p>
      <w:pPr>
        <w:pBdr>
          <w:bottom w:val="single" w:color="C7D2E0" w:sz="8"/>
        </w:pBdr>
        <w:spacing w:after="50" w:before="320"/>
      </w:pPr>
      <w:r>
        <w:rPr>
          <w:rFonts w:ascii="Calibri" w:cs="Calibri" w:eastAsia="Calibri" w:hAnsi="Calibri"/>
          <w:b/>
          <w:bCs/>
          <w:color w:val="2E5A88"/>
          <w:spacing w:val="30"/>
          <w:sz w:val="17"/>
          <w:szCs w:val="17"/>
        </w:rPr>
        <w:t xml:space="preserve">PARTIE I  ·  </w:t>
      </w:r>
      <w:r>
        <w:rPr>
          <w:rFonts w:ascii="Cambria" w:cs="Cambria" w:eastAsia="Cambria" w:hAnsi="Cambria"/>
          <w:b/>
          <w:bCs/>
          <w:color w:val="1F3864"/>
          <w:sz w:val="26"/>
          <w:szCs w:val="26"/>
        </w:rPr>
        <w:t xml:space="preserve">Éléments introductifs</w:t>
      </w:r>
    </w:p>
    <w:p>
      <w:pPr>
        <w:spacing w:after="120" w:before="60"/>
        <w:jc w:val="both"/>
      </w:pPr>
      <w:r>
        <w:rPr>
          <w:rFonts w:ascii="Calibri" w:cs="Calibri" w:eastAsia="Calibri" w:hAnsi="Calibri"/>
          <w:i/>
          <w:iCs/>
          <w:color w:val="5A5A5A"/>
          <w:sz w:val="18"/>
          <w:szCs w:val="18"/>
        </w:rPr>
        <w:t xml:space="preserve">Le vocabulaire, la double généalogie, les grilles de rangement, les principes transversaux, puis la mécanique : régimes d’exercice en temps normal, états d’exception en temps de crise. La partie la plus rentable pour construire une introduction et une problématique.</w:t>
      </w:r>
    </w:p>
    <w:p>
      <w:pPr>
        <w:keepNext/>
        <w:spacing w:after="60" w:before="210"/>
      </w:pPr>
      <w:r>
        <w:rPr>
          <w:rFonts w:ascii="Calibri" w:cs="Calibri" w:eastAsia="Calibri" w:hAnsi="Calibri"/>
          <w:b/>
          <w:bCs/>
          <w:color w:val="2E5A88"/>
          <w:sz w:val="22"/>
          <w:szCs w:val="22"/>
        </w:rPr>
        <w:t xml:space="preserve">1. </w:t>
      </w:r>
      <w:r>
        <w:rPr>
          <w:rFonts w:ascii="Cambria" w:cs="Cambria" w:eastAsia="Cambria" w:hAnsi="Cambria"/>
          <w:b/>
          <w:bCs/>
          <w:color w:val="1F3864"/>
          <w:sz w:val="22"/>
          <w:szCs w:val="22"/>
        </w:rPr>
        <w:t xml:space="preserve">Les notions</w:t>
      </w:r>
      <w:r>
        <w:rPr>
          <w:rFonts w:ascii="Calibri" w:cs="Calibri" w:eastAsia="Calibri" w:hAnsi="Calibri"/>
          <w:color w:val="757575"/>
          <w:sz w:val="15"/>
          <w:szCs w:val="15"/>
        </w:rPr>
        <w:t xml:space="preserve">   p. 5</w:t>
      </w:r>
    </w:p>
    <w:p>
      <w:pPr>
        <w:spacing w:after="70" w:before="0" w:line="264"/>
        <w:ind w:left="200"/>
        <w:jc w:val="both"/>
      </w:pPr>
      <w:r>
        <w:rPr>
          <w:rFonts w:ascii="Calibri" w:cs="Calibri" w:eastAsia="Calibri" w:hAnsi="Calibri"/>
          <w:color w:val="1A1A1A"/>
          <w:sz w:val="19"/>
          <w:szCs w:val="19"/>
        </w:rPr>
        <w:t xml:space="preserve">Fiche de vocabulaire. Elle montre que toute définition suppose un choix préalable, puis installe les deux mouvements de fond du cours et les débats contemporains.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Approche formelle — </w:t>
      </w:r>
      <w:r>
        <w:rPr>
          <w:rFonts w:ascii="Calibri" w:cs="Calibri" w:eastAsia="Calibri" w:hAnsi="Calibri"/>
          <w:color w:val="2A2A2A"/>
          <w:sz w:val="18"/>
          <w:szCs w:val="18"/>
        </w:rPr>
        <w:t xml:space="preserve">est fondamental ce qui figure dans un texte à valeur supra-législative : Déclaration de 1789, préambule de 1946, Constitution de 1958, Charte de l’environnement, traités ratifiés.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Approche substantielle — </w:t>
      </w:r>
      <w:r>
        <w:rPr>
          <w:rFonts w:ascii="Calibri" w:cs="Calibri" w:eastAsia="Calibri" w:hAnsi="Calibri"/>
          <w:color w:val="2A2A2A"/>
          <w:sz w:val="18"/>
          <w:szCs w:val="18"/>
        </w:rPr>
        <w:t xml:space="preserve">est fondamental ce qui touche à un ordre de valeurs, indépendamment de l’ancrage textuel : elle transcende la stricte hiérarchie des normes.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Libertés publiques — </w:t>
      </w:r>
      <w:r>
        <w:rPr>
          <w:rFonts w:ascii="Calibri" w:cs="Calibri" w:eastAsia="Calibri" w:hAnsi="Calibri"/>
          <w:color w:val="2A2A2A"/>
          <w:sz w:val="18"/>
          <w:szCs w:val="18"/>
        </w:rPr>
        <w:t xml:space="preserve">l’adjectif « publiques » ne les oppose pas à des libertés privées : il désigne la source de la contrainte susceptible de s’exercer sur l’individu.</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Fondamentalisation — </w:t>
      </w:r>
      <w:r>
        <w:rPr>
          <w:rFonts w:ascii="Calibri" w:cs="Calibri" w:eastAsia="Calibri" w:hAnsi="Calibri"/>
          <w:color w:val="2A2A2A"/>
          <w:sz w:val="18"/>
          <w:szCs w:val="18"/>
        </w:rPr>
        <w:t xml:space="preserve">l’importance croissante des sources supra-législatives dans la protection des droits et libertés.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Subjectivisation — </w:t>
      </w:r>
      <w:r>
        <w:rPr>
          <w:rFonts w:ascii="Calibri" w:cs="Calibri" w:eastAsia="Calibri" w:hAnsi="Calibri"/>
          <w:color w:val="2A2A2A"/>
          <w:sz w:val="18"/>
          <w:szCs w:val="18"/>
        </w:rPr>
        <w:t xml:space="preserve">le mouvement par lequel le droit se pense de plus en plus à partir des droits subjectifs de la personne, la dignité constituant le socle.</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Prolégomènes historiques  ·  La fondamentalisation des droits et libertés : l’importance croissante des sources supra-législatives  ·  Les débats contemporains autour de la notion de droits humains</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Cons. const., déc. no 71-44 DC, 16 juillet 1971  ·  Cons. const., déc. no 74-54 DC, 15 janvier 1975  ·  CE, Assemblée, 30 octobre 1998, Sarran et Levacher  ·  Cour de cassation, Assemblée plénière, 2 juin 2000</w:t>
      </w:r>
    </w:p>
    <w:p>
      <w:pPr>
        <w:keepNext/>
        <w:spacing w:after="60" w:before="210"/>
      </w:pPr>
      <w:r>
        <w:rPr>
          <w:rFonts w:ascii="Calibri" w:cs="Calibri" w:eastAsia="Calibri" w:hAnsi="Calibri"/>
          <w:b/>
          <w:bCs/>
          <w:color w:val="2E5A88"/>
          <w:sz w:val="22"/>
          <w:szCs w:val="22"/>
        </w:rPr>
        <w:t xml:space="preserve">2. </w:t>
      </w:r>
      <w:r>
        <w:rPr>
          <w:rFonts w:ascii="Cambria" w:cs="Cambria" w:eastAsia="Cambria" w:hAnsi="Cambria"/>
          <w:b/>
          <w:bCs/>
          <w:color w:val="1F3864"/>
          <w:sz w:val="22"/>
          <w:szCs w:val="22"/>
        </w:rPr>
        <w:t xml:space="preserve">Les origines philosophiques et religieuses</w:t>
      </w:r>
      <w:r>
        <w:rPr>
          <w:rFonts w:ascii="Calibri" w:cs="Calibri" w:eastAsia="Calibri" w:hAnsi="Calibri"/>
          <w:color w:val="757575"/>
          <w:sz w:val="15"/>
          <w:szCs w:val="15"/>
        </w:rPr>
        <w:t xml:space="preserve">   p. 17</w:t>
      </w:r>
    </w:p>
    <w:p>
      <w:pPr>
        <w:spacing w:after="70" w:before="0" w:line="264"/>
        <w:ind w:left="200"/>
        <w:jc w:val="both"/>
      </w:pPr>
      <w:r>
        <w:rPr>
          <w:rFonts w:ascii="Calibri" w:cs="Calibri" w:eastAsia="Calibri" w:hAnsi="Calibri"/>
          <w:color w:val="1A1A1A"/>
          <w:sz w:val="19"/>
          <w:szCs w:val="19"/>
        </w:rPr>
        <w:t xml:space="preserve">Généalogie philosophique, explicitement non linéaire et impossible à dater précisément.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Jusnaturalisme — </w:t>
      </w:r>
      <w:r>
        <w:rPr>
          <w:rFonts w:ascii="Calibri" w:cs="Calibri" w:eastAsia="Calibri" w:hAnsi="Calibri"/>
          <w:color w:val="2A2A2A"/>
          <w:sz w:val="18"/>
          <w:szCs w:val="18"/>
        </w:rPr>
        <w:t xml:space="preserve">le droit naturel est un droit intrinsèque à l’individu, antérieur et supérieur au droit posé par l’État.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Contrat social — </w:t>
      </w:r>
      <w:r>
        <w:rPr>
          <w:rFonts w:ascii="Calibri" w:cs="Calibri" w:eastAsia="Calibri" w:hAnsi="Calibri"/>
          <w:color w:val="2A2A2A"/>
          <w:sz w:val="18"/>
          <w:szCs w:val="18"/>
        </w:rPr>
        <w:t xml:space="preserve">les théories du XVIe-XVIIe siècle qui fondent le pouvoir sur un accord et limitent par là l’autorité de l’État.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Séquence du cours — </w:t>
      </w:r>
      <w:r>
        <w:rPr>
          <w:rFonts w:ascii="Calibri" w:cs="Calibri" w:eastAsia="Calibri" w:hAnsi="Calibri"/>
          <w:color w:val="2A2A2A"/>
          <w:sz w:val="18"/>
          <w:szCs w:val="18"/>
        </w:rPr>
        <w:t xml:space="preserve">Antiquité (Hammourabi, Cyrus, Grèce, stoïcisme) → christianisme (individualisme, séparation du spirituel et du temporel, mais aussi obstacles) → droit naturel et contrat social → Lumières et 1789 → critiques marxiste et socialiste → féminisme et protection du vivant.</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La difficile recherche des origines antiques  ·  La philosophie grecque classique des libertés publiques  ·  La philosophie chrétienne : une nouvelle conception de l’humain  ·  La limitation du pouvoir de l’État (XVIe et XVIIe siècles)  ·  La philosophie des Lumières, l’essor des libertés (XVIIIe siècle)  ·  Le renouveau philosophique des libertés (XIXe et XXe siècle)  ·  L’émergence de nouvelles philosophies des libertés (XXe siècle)</w:t>
      </w:r>
    </w:p>
    <w:p>
      <w:pPr>
        <w:keepNext/>
        <w:spacing w:after="60" w:before="210"/>
      </w:pPr>
      <w:r>
        <w:rPr>
          <w:rFonts w:ascii="Calibri" w:cs="Calibri" w:eastAsia="Calibri" w:hAnsi="Calibri"/>
          <w:b/>
          <w:bCs/>
          <w:color w:val="2E5A88"/>
          <w:sz w:val="22"/>
          <w:szCs w:val="22"/>
        </w:rPr>
        <w:t xml:space="preserve">3. </w:t>
      </w:r>
      <w:r>
        <w:rPr>
          <w:rFonts w:ascii="Cambria" w:cs="Cambria" w:eastAsia="Cambria" w:hAnsi="Cambria"/>
          <w:b/>
          <w:bCs/>
          <w:color w:val="1F3864"/>
          <w:sz w:val="22"/>
          <w:szCs w:val="22"/>
        </w:rPr>
        <w:t xml:space="preserve">Les origines textuelles</w:t>
      </w:r>
      <w:r>
        <w:rPr>
          <w:rFonts w:ascii="Calibri" w:cs="Calibri" w:eastAsia="Calibri" w:hAnsi="Calibri"/>
          <w:color w:val="757575"/>
          <w:sz w:val="15"/>
          <w:szCs w:val="15"/>
        </w:rPr>
        <w:t xml:space="preserve">   p. 28</w:t>
      </w:r>
    </w:p>
    <w:p>
      <w:pPr>
        <w:spacing w:after="70" w:before="0" w:line="264"/>
        <w:ind w:left="200"/>
        <w:jc w:val="both"/>
      </w:pPr>
      <w:r>
        <w:rPr>
          <w:rFonts w:ascii="Calibri" w:cs="Calibri" w:eastAsia="Calibri" w:hAnsi="Calibri"/>
          <w:color w:val="1A1A1A"/>
          <w:sz w:val="19"/>
          <w:szCs w:val="19"/>
        </w:rPr>
        <w:t xml:space="preserve">Généalogie textuelle, en trois foyers successifs, suivie des critiques adressées à 1789.</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Foyer anglais — </w:t>
      </w:r>
      <w:r>
        <w:rPr>
          <w:rFonts w:ascii="Calibri" w:cs="Calibri" w:eastAsia="Calibri" w:hAnsi="Calibri"/>
          <w:color w:val="2A2A2A"/>
          <w:sz w:val="18"/>
          <w:szCs w:val="18"/>
        </w:rPr>
        <w:t xml:space="preserve">Grande Charte (1215), Pétition des droits (1628), Habeas Corpus Act (1679), Bill of Rights (1689).</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Foyer américain — </w:t>
      </w:r>
      <w:r>
        <w:rPr>
          <w:rFonts w:ascii="Calibri" w:cs="Calibri" w:eastAsia="Calibri" w:hAnsi="Calibri"/>
          <w:color w:val="2A2A2A"/>
          <w:sz w:val="18"/>
          <w:szCs w:val="18"/>
        </w:rPr>
        <w:t xml:space="preserve">Constitution de Virginie et Déclaration d’Indépendance (1776), Constitution fédérale (1787).</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Déclaration de 1789 — </w:t>
      </w:r>
      <w:r>
        <w:rPr>
          <w:rFonts w:ascii="Calibri" w:cs="Calibri" w:eastAsia="Calibri" w:hAnsi="Calibri"/>
          <w:color w:val="2A2A2A"/>
          <w:sz w:val="18"/>
          <w:szCs w:val="18"/>
        </w:rPr>
        <w:t xml:space="preserve">contexte, contenu et caractères, puis trois critiques : contre-révolutionnaire, féministe, socialiste et marxiste.</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Les premiers textes anglais  ·  Les textes américains  ·  La Déclaration des droits de l’homme et du Citoyen de 1789</w:t>
      </w:r>
    </w:p>
    <w:p>
      <w:pPr>
        <w:keepNext/>
        <w:spacing w:after="60" w:before="210"/>
      </w:pPr>
      <w:r>
        <w:rPr>
          <w:rFonts w:ascii="Calibri" w:cs="Calibri" w:eastAsia="Calibri" w:hAnsi="Calibri"/>
          <w:b/>
          <w:bCs/>
          <w:color w:val="2E5A88"/>
          <w:sz w:val="22"/>
          <w:szCs w:val="22"/>
        </w:rPr>
        <w:t xml:space="preserve">4. </w:t>
      </w:r>
      <w:r>
        <w:rPr>
          <w:rFonts w:ascii="Cambria" w:cs="Cambria" w:eastAsia="Cambria" w:hAnsi="Cambria"/>
          <w:b/>
          <w:bCs/>
          <w:color w:val="1F3864"/>
          <w:sz w:val="22"/>
          <w:szCs w:val="22"/>
        </w:rPr>
        <w:t xml:space="preserve">Les classifications</w:t>
      </w:r>
      <w:r>
        <w:rPr>
          <w:rFonts w:ascii="Calibri" w:cs="Calibri" w:eastAsia="Calibri" w:hAnsi="Calibri"/>
          <w:color w:val="757575"/>
          <w:sz w:val="15"/>
          <w:szCs w:val="15"/>
        </w:rPr>
        <w:t xml:space="preserve">   p. 37</w:t>
      </w:r>
    </w:p>
    <w:p>
      <w:pPr>
        <w:spacing w:after="70" w:before="0" w:line="264"/>
        <w:ind w:left="200"/>
        <w:jc w:val="both"/>
      </w:pPr>
      <w:r>
        <w:rPr>
          <w:rFonts w:ascii="Calibri" w:cs="Calibri" w:eastAsia="Calibri" w:hAnsi="Calibri"/>
          <w:color w:val="1A1A1A"/>
          <w:sz w:val="19"/>
          <w:szCs w:val="19"/>
        </w:rPr>
        <w:t xml:space="preserve">Fiche d’outillage : comment ranger les droits. La summa divisio oppose classifications doctrinales et classifications prétoriennes. Le fascicule assume que toute classification comporte une part d’arbitraire.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Générations de droits — </w:t>
      </w:r>
      <w:r>
        <w:rPr>
          <w:rFonts w:ascii="Calibri" w:cs="Calibri" w:eastAsia="Calibri" w:hAnsi="Calibri"/>
          <w:color w:val="2A2A2A"/>
          <w:sz w:val="18"/>
          <w:szCs w:val="18"/>
        </w:rPr>
        <w:t xml:space="preserve">classement chronologique : première génération (XVIIIe), deuxième (XIXe), troisième, quatrième — classification elle-même soumise à critique.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Classification par l’objet — </w:t>
      </w:r>
      <w:r>
        <w:rPr>
          <w:rFonts w:ascii="Calibri" w:cs="Calibri" w:eastAsia="Calibri" w:hAnsi="Calibri"/>
          <w:color w:val="2A2A2A"/>
          <w:sz w:val="18"/>
          <w:szCs w:val="18"/>
        </w:rPr>
        <w:t xml:space="preserve">droit substantiel / droit procédural ; liberté physique, intellectuelle, relationnelle.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Classification par le rôle de l’État — </w:t>
      </w:r>
      <w:r>
        <w:rPr>
          <w:rFonts w:ascii="Calibri" w:cs="Calibri" w:eastAsia="Calibri" w:hAnsi="Calibri"/>
          <w:color w:val="2A2A2A"/>
          <w:sz w:val="18"/>
          <w:szCs w:val="18"/>
        </w:rPr>
        <w:t xml:space="preserve">distinction de G. Jellinek, distinction de K. Marx.</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Classification par le régime d’exercice — </w:t>
      </w:r>
      <w:r>
        <w:rPr>
          <w:rFonts w:ascii="Calibri" w:cs="Calibri" w:eastAsia="Calibri" w:hAnsi="Calibri"/>
          <w:color w:val="2A2A2A"/>
          <w:sz w:val="18"/>
          <w:szCs w:val="18"/>
        </w:rPr>
        <w:t xml:space="preserve">répressif, déclaration préalable, préventif — voir fiche 6.</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Classification du Conseil d’État — </w:t>
      </w:r>
      <w:r>
        <w:rPr>
          <w:rFonts w:ascii="Calibri" w:cs="Calibri" w:eastAsia="Calibri" w:hAnsi="Calibri"/>
          <w:color w:val="2A2A2A"/>
          <w:sz w:val="18"/>
          <w:szCs w:val="18"/>
        </w:rPr>
        <w:t xml:space="preserve">avis du 13 août 1947 : libertés individuelles (dont la personne jouit isolément) / libertés collectives.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Classification du Conseil constitutionnel — </w:t>
      </w:r>
      <w:r>
        <w:rPr>
          <w:rFonts w:ascii="Calibri" w:cs="Calibri" w:eastAsia="Calibri" w:hAnsi="Calibri"/>
          <w:color w:val="2A2A2A"/>
          <w:sz w:val="18"/>
          <w:szCs w:val="18"/>
        </w:rPr>
        <w:t xml:space="preserve">décision du 11 octobre 1984 : libertés fondamentales / libertés publiques.</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Les classifications doctrinales  ·  Les classifications prétoriennes</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CE, avis, 13 août 1947  ·  Cons. const., décision no 84-181 DC du 11 octobre 1984</w:t>
      </w:r>
    </w:p>
    <w:p>
      <w:pPr>
        <w:keepNext/>
        <w:spacing w:after="60" w:before="210"/>
      </w:pPr>
      <w:r>
        <w:rPr>
          <w:rFonts w:ascii="Calibri" w:cs="Calibri" w:eastAsia="Calibri" w:hAnsi="Calibri"/>
          <w:b/>
          <w:bCs/>
          <w:color w:val="2E5A88"/>
          <w:sz w:val="22"/>
          <w:szCs w:val="22"/>
        </w:rPr>
        <w:t xml:space="preserve">5. </w:t>
      </w:r>
      <w:r>
        <w:rPr>
          <w:rFonts w:ascii="Cambria" w:cs="Cambria" w:eastAsia="Cambria" w:hAnsi="Cambria"/>
          <w:b/>
          <w:bCs/>
          <w:color w:val="1F3864"/>
          <w:sz w:val="22"/>
          <w:szCs w:val="22"/>
        </w:rPr>
        <w:t xml:space="preserve">Les principes directeurs</w:t>
      </w:r>
      <w:r>
        <w:rPr>
          <w:rFonts w:ascii="Calibri" w:cs="Calibri" w:eastAsia="Calibri" w:hAnsi="Calibri"/>
          <w:color w:val="757575"/>
          <w:sz w:val="15"/>
          <w:szCs w:val="15"/>
        </w:rPr>
        <w:t xml:space="preserve">   p. 46</w:t>
      </w:r>
    </w:p>
    <w:p>
      <w:pPr>
        <w:spacing w:after="70" w:before="0" w:line="264"/>
        <w:ind w:left="200"/>
        <w:jc w:val="both"/>
      </w:pPr>
      <w:r>
        <w:rPr>
          <w:rFonts w:ascii="Calibri" w:cs="Calibri" w:eastAsia="Calibri" w:hAnsi="Calibri"/>
          <w:color w:val="1A1A1A"/>
          <w:sz w:val="19"/>
          <w:szCs w:val="19"/>
        </w:rPr>
        <w:t xml:space="preserve">Les quatre principes transversaux qui irriguent tout le reste du fascicule, chacun exposé avec ses lacunes.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Inaliénabilité — </w:t>
      </w:r>
      <w:r>
        <w:rPr>
          <w:rFonts w:ascii="Calibri" w:cs="Calibri" w:eastAsia="Calibri" w:hAnsi="Calibri"/>
          <w:color w:val="2A2A2A"/>
          <w:sz w:val="18"/>
          <w:szCs w:val="18"/>
        </w:rPr>
        <w:t xml:space="preserve">les droits ne peuvent être cédés ni abandonnés ; sa limite est la renonciation volontaire (fin de vie, droit de se faire mal).</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Universalité — </w:t>
      </w:r>
      <w:r>
        <w:rPr>
          <w:rFonts w:ascii="Calibri" w:cs="Calibri" w:eastAsia="Calibri" w:hAnsi="Calibri"/>
          <w:color w:val="2A2A2A"/>
          <w:sz w:val="18"/>
          <w:szCs w:val="18"/>
        </w:rPr>
        <w:t xml:space="preserve">vocation à valoir pour tous ; limite terminologique (droits de l’homme ou droits humains) et limite géographique (protection régionale ou universelle).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Indivisibilité — </w:t>
      </w:r>
      <w:r>
        <w:rPr>
          <w:rFonts w:ascii="Calibri" w:cs="Calibri" w:eastAsia="Calibri" w:hAnsi="Calibri"/>
          <w:color w:val="2A2A2A"/>
          <w:sz w:val="18"/>
          <w:szCs w:val="18"/>
        </w:rPr>
        <w:t xml:space="preserve">les droits forment un ensemble : on ne peut en garantir certains en sacrifiant les autres.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Dignité — </w:t>
      </w:r>
      <w:r>
        <w:rPr>
          <w:rFonts w:ascii="Calibri" w:cs="Calibri" w:eastAsia="Calibri" w:hAnsi="Calibri"/>
          <w:color w:val="2A2A2A"/>
          <w:sz w:val="18"/>
          <w:szCs w:val="18"/>
        </w:rPr>
        <w:t xml:space="preserve">le principe matriciel : c’est la dignité de la personne, et non l’autorité de l’État, qui constitue le socle des droits fondamentaux.</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L’inaliénabilité des droits humains  ·  L’universalité des droits humains  ·  L’unité ou l’indivisibilité des droits humains  ·  Le principe matriciel : la dignité humaine</w:t>
      </w:r>
    </w:p>
    <w:p>
      <w:pPr>
        <w:keepNext/>
        <w:spacing w:after="60" w:before="210"/>
      </w:pPr>
      <w:r>
        <w:rPr>
          <w:rFonts w:ascii="Calibri" w:cs="Calibri" w:eastAsia="Calibri" w:hAnsi="Calibri"/>
          <w:b/>
          <w:bCs/>
          <w:color w:val="2E5A88"/>
          <w:sz w:val="22"/>
          <w:szCs w:val="22"/>
        </w:rPr>
        <w:t xml:space="preserve">6. </w:t>
      </w:r>
      <w:r>
        <w:rPr>
          <w:rFonts w:ascii="Cambria" w:cs="Cambria" w:eastAsia="Cambria" w:hAnsi="Cambria"/>
          <w:b/>
          <w:bCs/>
          <w:color w:val="1F3864"/>
          <w:sz w:val="22"/>
          <w:szCs w:val="22"/>
        </w:rPr>
        <w:t xml:space="preserve">Les régimes</w:t>
      </w:r>
      <w:r>
        <w:rPr>
          <w:rFonts w:ascii="Calibri" w:cs="Calibri" w:eastAsia="Calibri" w:hAnsi="Calibri"/>
          <w:color w:val="757575"/>
          <w:sz w:val="15"/>
          <w:szCs w:val="15"/>
        </w:rPr>
        <w:t xml:space="preserve">   p. 56</w:t>
      </w:r>
    </w:p>
    <w:p>
      <w:pPr>
        <w:spacing w:after="70" w:before="0" w:line="264"/>
        <w:ind w:left="200"/>
        <w:jc w:val="both"/>
      </w:pPr>
      <w:r>
        <w:rPr>
          <w:rFonts w:ascii="Calibri" w:cs="Calibri" w:eastAsia="Calibri" w:hAnsi="Calibri"/>
          <w:color w:val="1A1A1A"/>
          <w:sz w:val="19"/>
          <w:szCs w:val="19"/>
        </w:rPr>
        <w:t xml:space="preserve">La mécanique d’exercice d’une liberté en temps normal. Grille à réutiliser dans tout le catalogue.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Ordre public — </w:t>
      </w:r>
      <w:r>
        <w:rPr>
          <w:rFonts w:ascii="Calibri" w:cs="Calibri" w:eastAsia="Calibri" w:hAnsi="Calibri"/>
          <w:color w:val="2A2A2A"/>
          <w:sz w:val="18"/>
          <w:szCs w:val="18"/>
        </w:rPr>
        <w:t xml:space="preserve">définition très large : les considérations sociales essentielles et les valeurs fondamentales de la société. Ordre public matériel (sécurité, tranquillité, salubrité) et ordre public immatériel.</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Régime répressif — </w:t>
      </w:r>
      <w:r>
        <w:rPr>
          <w:rFonts w:ascii="Calibri" w:cs="Calibri" w:eastAsia="Calibri" w:hAnsi="Calibri"/>
          <w:color w:val="2A2A2A"/>
          <w:sz w:val="18"/>
          <w:szCs w:val="18"/>
        </w:rPr>
        <w:t xml:space="preserve">le plus protecteur : la liberté s’exerce librement, les abus sont sanctionnés après coup. Formule de Corneille dans Baldy (1917) : « la liberté est la règle et la restriction de police l’exception ».</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Régime préventif — </w:t>
      </w:r>
      <w:r>
        <w:rPr>
          <w:rFonts w:ascii="Calibri" w:cs="Calibri" w:eastAsia="Calibri" w:hAnsi="Calibri"/>
          <w:color w:val="2A2A2A"/>
          <w:sz w:val="18"/>
          <w:szCs w:val="18"/>
        </w:rPr>
        <w:t xml:space="preserve">le plus strict : contrôle a priori de l’administration, l’exercice de la liberté est subordonné à une autorisation préalable.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Régime déclaratif — </w:t>
      </w:r>
      <w:r>
        <w:rPr>
          <w:rFonts w:ascii="Calibri" w:cs="Calibri" w:eastAsia="Calibri" w:hAnsi="Calibri"/>
          <w:color w:val="2A2A2A"/>
          <w:sz w:val="18"/>
          <w:szCs w:val="18"/>
        </w:rPr>
        <w:t xml:space="preserve">intermédiaire : simple enregistrement préalable, à titre informatif, qui ne donne à l’administration aucun pouvoir d’appréciation sur l’exercice de la liberté.</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Une nécessité de conciliation des libertés avec d’autres impératifs  ·  Les types de régimes</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Cons. const., déc. no 82-141 DC, 27 juillet 1982, Loi sur la communication audiovisuelle</w:t>
      </w:r>
    </w:p>
    <w:p>
      <w:pPr>
        <w:keepNext/>
        <w:spacing w:after="60" w:before="210"/>
      </w:pPr>
      <w:r>
        <w:rPr>
          <w:rFonts w:ascii="Calibri" w:cs="Calibri" w:eastAsia="Calibri" w:hAnsi="Calibri"/>
          <w:b/>
          <w:bCs/>
          <w:color w:val="2E5A88"/>
          <w:sz w:val="22"/>
          <w:szCs w:val="22"/>
        </w:rPr>
        <w:t xml:space="preserve">7. </w:t>
      </w:r>
      <w:r>
        <w:rPr>
          <w:rFonts w:ascii="Cambria" w:cs="Cambria" w:eastAsia="Cambria" w:hAnsi="Cambria"/>
          <w:b/>
          <w:bCs/>
          <w:color w:val="1F3864"/>
          <w:sz w:val="22"/>
          <w:szCs w:val="22"/>
        </w:rPr>
        <w:t xml:space="preserve">Limitations et états d’exception</w:t>
      </w:r>
      <w:r>
        <w:rPr>
          <w:rFonts w:ascii="Calibri" w:cs="Calibri" w:eastAsia="Calibri" w:hAnsi="Calibri"/>
          <w:color w:val="757575"/>
          <w:sz w:val="15"/>
          <w:szCs w:val="15"/>
        </w:rPr>
        <w:t xml:space="preserve">   p. 63</w:t>
      </w:r>
    </w:p>
    <w:p>
      <w:pPr>
        <w:spacing w:after="70" w:before="0" w:line="264"/>
        <w:ind w:left="200"/>
        <w:jc w:val="both"/>
      </w:pPr>
      <w:r>
        <w:rPr>
          <w:rFonts w:ascii="Calibri" w:cs="Calibri" w:eastAsia="Calibri" w:hAnsi="Calibri"/>
          <w:color w:val="1A1A1A"/>
          <w:sz w:val="19"/>
          <w:szCs w:val="19"/>
        </w:rPr>
        <w:t xml:space="preserve">La mécanique en temps de crise, sur quatre étages, refermée sur le noyau de droits auxquels on ne peut jamais déroger.</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Article 16 de la Constitution — </w:t>
      </w:r>
      <w:r>
        <w:rPr>
          <w:rFonts w:ascii="Calibri" w:cs="Calibri" w:eastAsia="Calibri" w:hAnsi="Calibri"/>
          <w:color w:val="2A2A2A"/>
          <w:sz w:val="18"/>
          <w:szCs w:val="18"/>
        </w:rPr>
        <w:t xml:space="preserve">pouvoirs exceptionnels du chef de l’État ; conditions cumulatives, contrôle des décisions prises sur son fondement, révision de 2008, application unique.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Article 36 — état de siège — </w:t>
      </w:r>
      <w:r>
        <w:rPr>
          <w:rFonts w:ascii="Calibri" w:cs="Calibri" w:eastAsia="Calibri" w:hAnsi="Calibri"/>
          <w:color w:val="2A2A2A"/>
          <w:sz w:val="18"/>
          <w:szCs w:val="18"/>
        </w:rPr>
        <w:t xml:space="preserve">accroissement des compétences de l’autorité militaire et limitations corrélatives des droits.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État d’urgence — </w:t>
      </w:r>
      <w:r>
        <w:rPr>
          <w:rFonts w:ascii="Calibri" w:cs="Calibri" w:eastAsia="Calibri" w:hAnsi="Calibri"/>
          <w:color w:val="2A2A2A"/>
          <w:sz w:val="18"/>
          <w:szCs w:val="18"/>
        </w:rPr>
        <w:t xml:space="preserve">régime législatif : loi du 3 avril 1955 ; état d’urgence sanitaire par la loi du 23 mars 2020.</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Circonstances exceptionnelles — </w:t>
      </w:r>
      <w:r>
        <w:rPr>
          <w:rFonts w:ascii="Calibri" w:cs="Calibri" w:eastAsia="Calibri" w:hAnsi="Calibri"/>
          <w:color w:val="2A2A2A"/>
          <w:sz w:val="18"/>
          <w:szCs w:val="18"/>
        </w:rPr>
        <w:t xml:space="preserve">théorie prétorienne : l’administration peut légalement s’affranchir de règles qui s’imposeraient en temps normal.</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Dérogation conventionnelle — </w:t>
      </w:r>
      <w:r>
        <w:rPr>
          <w:rFonts w:ascii="Calibri" w:cs="Calibri" w:eastAsia="Calibri" w:hAnsi="Calibri"/>
          <w:color w:val="2A2A2A"/>
          <w:sz w:val="18"/>
          <w:szCs w:val="18"/>
        </w:rPr>
        <w:t xml:space="preserve">article 4 du Pacte et article 15 de la Convention : la dérogation est encadrée et temporaire.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Droits indérogeables — </w:t>
      </w:r>
      <w:r>
        <w:rPr>
          <w:rFonts w:ascii="Calibri" w:cs="Calibri" w:eastAsia="Calibri" w:hAnsi="Calibri"/>
          <w:color w:val="2A2A2A"/>
          <w:sz w:val="18"/>
          <w:szCs w:val="18"/>
        </w:rPr>
        <w:t xml:space="preserve">le noyau qui résiste même en période d’exception, listé séparément par le Pacte et par la Convention.</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Les régimes d’exception prévus par la Constitution  ·  L’état d’urgence prévu par le législateur  ·  La création prétorienne de la théorie des circonstances exceptionnelles  ·  La reconnaissance conventionnelle de la dérogation aux droits humains</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CE, ass., 2 mars 1962, Rubin de Servens, no 55049  ·  Cons. const., déc. no 85-187 DC du 25 janvier 1985  ·  CE, ord., 14 novembre 2005, Rolin, no 286835</w:t>
      </w:r>
    </w:p>
    <w:p>
      <w:pPr>
        <w:keepNext/>
        <w:spacing w:after="60" w:before="210"/>
      </w:pPr>
      <w:r>
        <w:rPr>
          <w:rFonts w:ascii="Calibri" w:cs="Calibri" w:eastAsia="Calibri" w:hAnsi="Calibri"/>
          <w:b/>
          <w:bCs/>
          <w:color w:val="2E5A88"/>
          <w:sz w:val="22"/>
          <w:szCs w:val="22"/>
        </w:rPr>
        <w:t xml:space="preserve">8. </w:t>
      </w:r>
      <w:r>
        <w:rPr>
          <w:rFonts w:ascii="Cambria" w:cs="Cambria" w:eastAsia="Cambria" w:hAnsi="Cambria"/>
          <w:b/>
          <w:bCs/>
          <w:color w:val="1F3864"/>
          <w:sz w:val="22"/>
          <w:szCs w:val="22"/>
        </w:rPr>
        <w:t xml:space="preserve">La crise des droits humains et l’État de droit</w:t>
      </w:r>
      <w:r>
        <w:rPr>
          <w:rFonts w:ascii="Calibri" w:cs="Calibri" w:eastAsia="Calibri" w:hAnsi="Calibri"/>
          <w:color w:val="757575"/>
          <w:sz w:val="15"/>
          <w:szCs w:val="15"/>
        </w:rPr>
        <w:t xml:space="preserve">   p. 74</w:t>
      </w:r>
    </w:p>
    <w:p>
      <w:pPr>
        <w:spacing w:after="70" w:before="0" w:line="264"/>
        <w:ind w:left="200"/>
        <w:jc w:val="both"/>
      </w:pPr>
      <w:r>
        <w:rPr>
          <w:rFonts w:ascii="Calibri" w:cs="Calibri" w:eastAsia="Calibri" w:hAnsi="Calibri"/>
          <w:color w:val="1A1A1A"/>
          <w:sz w:val="19"/>
          <w:szCs w:val="19"/>
        </w:rPr>
        <w:t xml:space="preserve">Fiche de problématisation, la plus utile pour une introduction d’oral : définir l’État de droit, puis recenser ce qui le fragilise.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État de droit — </w:t>
      </w:r>
      <w:r>
        <w:rPr>
          <w:rFonts w:ascii="Calibri" w:cs="Calibri" w:eastAsia="Calibri" w:hAnsi="Calibri"/>
          <w:color w:val="2A2A2A"/>
          <w:sz w:val="18"/>
          <w:szCs w:val="18"/>
        </w:rPr>
        <w:t xml:space="preserve">pas de définition normative univoque ; présence dans des textes constitutionnels et conventionnels ; définition de référence donnée par la Commission de Venise.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Commission de Venise — </w:t>
      </w:r>
      <w:r>
        <w:rPr>
          <w:rFonts w:ascii="Calibri" w:cs="Calibri" w:eastAsia="Calibri" w:hAnsi="Calibri"/>
          <w:color w:val="2A2A2A"/>
          <w:sz w:val="18"/>
          <w:szCs w:val="18"/>
        </w:rPr>
        <w:t xml:space="preserve">Commission européenne pour la démocratie par le droit, organe du Conseil de l’Europe.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Remises en cause — </w:t>
      </w:r>
      <w:r>
        <w:rPr>
          <w:rFonts w:ascii="Calibri" w:cs="Calibri" w:eastAsia="Calibri" w:hAnsi="Calibri"/>
          <w:color w:val="2A2A2A"/>
          <w:sz w:val="18"/>
          <w:szCs w:val="18"/>
        </w:rPr>
        <w:t xml:space="preserve">contestation de la légitimité des juges ; contestation du droit supranational ; fragilisation des droits de l’opposition ; liberté académique en crise ; remise en cause des droits des femmes ; réticence à l’égard des personnes migrantes.</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La définition de l’État de droit  ·  La remise en cause protéiforme de l’État de droit</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CJUE, 15 juillet 1964, Costa contre Enel, no C-6/64  ·  CJUE, 2 avril 2020, Commission contre Pologne, Hongrie et République Tchèque, aff. C-715/17  ·  CEDH, 3 septembre 2024, Shlosberg contre Russie, no 32648/22  ·  CEDH, 7 janvier 2025, A.R.E. contre Grèce, no 15783/21</w:t>
      </w:r>
    </w:p>
    <w:p>
      <w:r>
        <w:br w:type="page"/>
      </w:r>
    </w:p>
    <w:p>
      <w:pPr>
        <w:pBdr>
          <w:bottom w:val="single" w:color="C7D2E0" w:sz="8"/>
        </w:pBdr>
        <w:spacing w:after="50" w:before="0"/>
      </w:pPr>
      <w:r>
        <w:rPr>
          <w:rFonts w:ascii="Calibri" w:cs="Calibri" w:eastAsia="Calibri" w:hAnsi="Calibri"/>
          <w:b/>
          <w:bCs/>
          <w:color w:val="2E5A88"/>
          <w:spacing w:val="30"/>
          <w:sz w:val="17"/>
          <w:szCs w:val="17"/>
        </w:rPr>
        <w:t xml:space="preserve">PARTIE II  ·  </w:t>
      </w:r>
      <w:r>
        <w:rPr>
          <w:rFonts w:ascii="Cambria" w:cs="Cambria" w:eastAsia="Cambria" w:hAnsi="Cambria"/>
          <w:b/>
          <w:bCs/>
          <w:color w:val="1F3864"/>
          <w:sz w:val="26"/>
          <w:szCs w:val="26"/>
        </w:rPr>
        <w:t xml:space="preserve">Les sources internes</w:t>
      </w:r>
    </w:p>
    <w:p>
      <w:pPr>
        <w:spacing w:after="120" w:before="60"/>
        <w:jc w:val="both"/>
      </w:pPr>
      <w:r>
        <w:rPr>
          <w:rFonts w:ascii="Calibri" w:cs="Calibri" w:eastAsia="Calibri" w:hAnsi="Calibri"/>
          <w:i/>
          <w:iCs/>
          <w:color w:val="5A5A5A"/>
          <w:sz w:val="18"/>
          <w:szCs w:val="18"/>
        </w:rPr>
        <w:t xml:space="preserve">Descente de la hiérarchie des normes françaises. Répond à la question : sur quel texte français fonder la liberté invoquée ?</w:t>
      </w:r>
    </w:p>
    <w:p>
      <w:pPr>
        <w:keepNext/>
        <w:spacing w:after="60" w:before="210"/>
      </w:pPr>
      <w:r>
        <w:rPr>
          <w:rFonts w:ascii="Calibri" w:cs="Calibri" w:eastAsia="Calibri" w:hAnsi="Calibri"/>
          <w:b/>
          <w:bCs/>
          <w:color w:val="2E5A88"/>
          <w:sz w:val="22"/>
          <w:szCs w:val="22"/>
        </w:rPr>
        <w:t xml:space="preserve">9. </w:t>
      </w:r>
      <w:r>
        <w:rPr>
          <w:rFonts w:ascii="Cambria" w:cs="Cambria" w:eastAsia="Cambria" w:hAnsi="Cambria"/>
          <w:b/>
          <w:bCs/>
          <w:color w:val="1F3864"/>
          <w:sz w:val="22"/>
          <w:szCs w:val="22"/>
        </w:rPr>
        <w:t xml:space="preserve">Les sources constitutionnelles</w:t>
      </w:r>
      <w:r>
        <w:rPr>
          <w:rFonts w:ascii="Calibri" w:cs="Calibri" w:eastAsia="Calibri" w:hAnsi="Calibri"/>
          <w:color w:val="757575"/>
          <w:sz w:val="15"/>
          <w:szCs w:val="15"/>
        </w:rPr>
        <w:t xml:space="preserve">   p. 83</w:t>
      </w:r>
    </w:p>
    <w:p>
      <w:pPr>
        <w:spacing w:after="70" w:before="0" w:line="264"/>
        <w:ind w:left="200"/>
        <w:jc w:val="both"/>
      </w:pPr>
      <w:r>
        <w:rPr>
          <w:rFonts w:ascii="Calibri" w:cs="Calibri" w:eastAsia="Calibri" w:hAnsi="Calibri"/>
          <w:color w:val="1A1A1A"/>
          <w:sz w:val="19"/>
          <w:szCs w:val="19"/>
        </w:rPr>
        <w:t xml:space="preserve">Le sommet de la hiérarchie interne : naissance prétorienne du bloc, puis inventaire de son contenu.</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Bloc de constitutionnalité — </w:t>
      </w:r>
      <w:r>
        <w:rPr>
          <w:rFonts w:ascii="Calibri" w:cs="Calibri" w:eastAsia="Calibri" w:hAnsi="Calibri"/>
          <w:color w:val="2A2A2A"/>
          <w:sz w:val="18"/>
          <w:szCs w:val="18"/>
        </w:rPr>
        <w:t xml:space="preserve">l’ensemble des normes de valeur constitutionnelle servant de référence au contrôle ; expression créée par opposition au bloc de légalité, popularisée par Louis Favoreu.</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PFRLR — </w:t>
      </w:r>
      <w:r>
        <w:rPr>
          <w:rFonts w:ascii="Calibri" w:cs="Calibri" w:eastAsia="Calibri" w:hAnsi="Calibri"/>
          <w:color w:val="2A2A2A"/>
          <w:sz w:val="18"/>
          <w:szCs w:val="18"/>
        </w:rPr>
        <w:t xml:space="preserve">principes fondamentaux reconnus par les lois de la République : dégagés par le Conseil constitutionnel à partir du préambule de 1946 — la liberté d’association en 1971 est le premier.</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PPNT — </w:t>
      </w:r>
      <w:r>
        <w:rPr>
          <w:rFonts w:ascii="Calibri" w:cs="Calibri" w:eastAsia="Calibri" w:hAnsi="Calibri"/>
          <w:color w:val="2A2A2A"/>
          <w:sz w:val="18"/>
          <w:szCs w:val="18"/>
        </w:rPr>
        <w:t xml:space="preserve">principes politiques, économiques et sociaux particulièrement nécessaires à notre temps, également tirés du préambule de 1946.</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PVC — </w:t>
      </w:r>
      <w:r>
        <w:rPr>
          <w:rFonts w:ascii="Calibri" w:cs="Calibri" w:eastAsia="Calibri" w:hAnsi="Calibri"/>
          <w:color w:val="2A2A2A"/>
          <w:sz w:val="18"/>
          <w:szCs w:val="18"/>
        </w:rPr>
        <w:t xml:space="preserve">principes à valeur constitutionnelle, dégagés par le Conseil à partir du premier alinéa du préambule de 1946.</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OVC — </w:t>
      </w:r>
      <w:r>
        <w:rPr>
          <w:rFonts w:ascii="Calibri" w:cs="Calibri" w:eastAsia="Calibri" w:hAnsi="Calibri"/>
          <w:color w:val="2A2A2A"/>
          <w:sz w:val="18"/>
          <w:szCs w:val="18"/>
        </w:rPr>
        <w:t xml:space="preserve">objectifs à valeur constitutionnelle : ils ne créent pas de droit subjectif invocable mais guident et habilitent le législateur ; première consécration en 1982.</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Le bloc de constitutionnalité  ·  Le contenu du bloc de constitutionnalité  ·  La supériorité du bloc de constitutionnalité</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Cons. const., no 71-44 DC, 16 juillet 1971</w:t>
      </w:r>
    </w:p>
    <w:p>
      <w:pPr>
        <w:keepNext/>
        <w:spacing w:after="60" w:before="210"/>
      </w:pPr>
      <w:r>
        <w:rPr>
          <w:rFonts w:ascii="Calibri" w:cs="Calibri" w:eastAsia="Calibri" w:hAnsi="Calibri"/>
          <w:b/>
          <w:bCs/>
          <w:color w:val="2E5A88"/>
          <w:sz w:val="22"/>
          <w:szCs w:val="22"/>
        </w:rPr>
        <w:t xml:space="preserve">10. </w:t>
      </w:r>
      <w:r>
        <w:rPr>
          <w:rFonts w:ascii="Cambria" w:cs="Cambria" w:eastAsia="Cambria" w:hAnsi="Cambria"/>
          <w:b/>
          <w:bCs/>
          <w:color w:val="1F3864"/>
          <w:sz w:val="22"/>
          <w:szCs w:val="22"/>
        </w:rPr>
        <w:t xml:space="preserve">Le bloc de légalité</w:t>
      </w:r>
      <w:r>
        <w:rPr>
          <w:rFonts w:ascii="Calibri" w:cs="Calibri" w:eastAsia="Calibri" w:hAnsi="Calibri"/>
          <w:color w:val="757575"/>
          <w:sz w:val="15"/>
          <w:szCs w:val="15"/>
        </w:rPr>
        <w:t xml:space="preserve">   p. 94</w:t>
      </w:r>
    </w:p>
    <w:p>
      <w:pPr>
        <w:spacing w:after="70" w:before="0" w:line="264"/>
        <w:ind w:left="200"/>
        <w:jc w:val="both"/>
      </w:pPr>
      <w:r>
        <w:rPr>
          <w:rFonts w:ascii="Calibri" w:cs="Calibri" w:eastAsia="Calibri" w:hAnsi="Calibri"/>
          <w:color w:val="1A1A1A"/>
          <w:sz w:val="19"/>
          <w:szCs w:val="19"/>
        </w:rPr>
        <w:t xml:space="preserve">L’étage législatif : fin du légicentrisme, hétérogénéité du bloc, et limites de la loi.</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Bloc de légalité — </w:t>
      </w:r>
      <w:r>
        <w:rPr>
          <w:rFonts w:ascii="Calibri" w:cs="Calibri" w:eastAsia="Calibri" w:hAnsi="Calibri"/>
          <w:color w:val="2A2A2A"/>
          <w:sz w:val="18"/>
          <w:szCs w:val="18"/>
        </w:rPr>
        <w:t xml:space="preserve">la loi n’est pas une norme uniforme : il existe plusieurs types de lois, de valeurs différentes, d’où la préférence pour l’expression de bloc.</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PGD — </w:t>
      </w:r>
      <w:r>
        <w:rPr>
          <w:rFonts w:ascii="Calibri" w:cs="Calibri" w:eastAsia="Calibri" w:hAnsi="Calibri"/>
          <w:color w:val="2A2A2A"/>
          <w:sz w:val="18"/>
          <w:szCs w:val="18"/>
        </w:rPr>
        <w:t xml:space="preserve">principes généraux du droit : principes dégagés par le juge en l’absence de texte, très nombreux en droit administratif. À ne pas confondre avec les principes à valeur constitutionnelle ni avec les PFRLR, dégagés eux par le Conseil constitutionnel ; leur valeur dans la hiérarchie des normes reste incertaine.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Article 34 — </w:t>
      </w:r>
      <w:r>
        <w:rPr>
          <w:rFonts w:ascii="Calibri" w:cs="Calibri" w:eastAsia="Calibri" w:hAnsi="Calibri"/>
          <w:color w:val="2A2A2A"/>
          <w:sz w:val="18"/>
          <w:szCs w:val="18"/>
        </w:rPr>
        <w:t xml:space="preserve">fondement de la compétence du législateur pour fixer les garanties fondamentales accordées aux citoyens pour l’exercice des libertés publiques.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Limites de la loi — </w:t>
      </w:r>
      <w:r>
        <w:rPr>
          <w:rFonts w:ascii="Calibri" w:cs="Calibri" w:eastAsia="Calibri" w:hAnsi="Calibri"/>
          <w:color w:val="2A2A2A"/>
          <w:sz w:val="18"/>
          <w:szCs w:val="18"/>
        </w:rPr>
        <w:t xml:space="preserve">contrôle juridictionnel, critique de la loi, désobéissance à la loi.</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Les origines de la consécration législative des libertés  ·  La définition du bloc de légalité  ·  Une protection législative des droits et libertés  ·  Les limites de la loi : la protection des droits contre la loi</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CE, 26 octobre 1945, Aramu</w:t>
      </w:r>
    </w:p>
    <w:p>
      <w:pPr>
        <w:keepNext/>
        <w:spacing w:after="60" w:before="210"/>
      </w:pPr>
      <w:r>
        <w:rPr>
          <w:rFonts w:ascii="Calibri" w:cs="Calibri" w:eastAsia="Calibri" w:hAnsi="Calibri"/>
          <w:b/>
          <w:bCs/>
          <w:color w:val="2E5A88"/>
          <w:sz w:val="22"/>
          <w:szCs w:val="22"/>
        </w:rPr>
        <w:t xml:space="preserve">11. </w:t>
      </w:r>
      <w:r>
        <w:rPr>
          <w:rFonts w:ascii="Cambria" w:cs="Cambria" w:eastAsia="Cambria" w:hAnsi="Cambria"/>
          <w:b/>
          <w:bCs/>
          <w:color w:val="1F3864"/>
          <w:sz w:val="22"/>
          <w:szCs w:val="22"/>
        </w:rPr>
        <w:t xml:space="preserve">Le règlement et les libertés</w:t>
      </w:r>
      <w:r>
        <w:rPr>
          <w:rFonts w:ascii="Calibri" w:cs="Calibri" w:eastAsia="Calibri" w:hAnsi="Calibri"/>
          <w:color w:val="757575"/>
          <w:sz w:val="15"/>
          <w:szCs w:val="15"/>
        </w:rPr>
        <w:t xml:space="preserve">   p. 104</w:t>
      </w:r>
    </w:p>
    <w:p>
      <w:pPr>
        <w:spacing w:after="70" w:before="0" w:line="264"/>
        <w:ind w:left="200"/>
        <w:jc w:val="both"/>
      </w:pPr>
      <w:r>
        <w:rPr>
          <w:rFonts w:ascii="Calibri" w:cs="Calibri" w:eastAsia="Calibri" w:hAnsi="Calibri"/>
          <w:color w:val="1A1A1A"/>
          <w:sz w:val="19"/>
          <w:szCs w:val="19"/>
        </w:rPr>
        <w:t xml:space="preserve">L’étage réglementaire, souvent sous-estimé, et son vrai contrepoids : le juge administratif.</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Pouvoir réglementaire — </w:t>
      </w:r>
      <w:r>
        <w:rPr>
          <w:rFonts w:ascii="Calibri" w:cs="Calibri" w:eastAsia="Calibri" w:hAnsi="Calibri"/>
          <w:color w:val="2A2A2A"/>
          <w:sz w:val="18"/>
          <w:szCs w:val="18"/>
        </w:rPr>
        <w:t xml:space="preserve">compétence étendue sous la Constitution de 1958 : il supplée la loi, intervient en situation de crise, exerce la police administrative et dispose d’un pouvoir contraventionnel.</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Décret autonome — </w:t>
      </w:r>
      <w:r>
        <w:rPr>
          <w:rFonts w:ascii="Calibri" w:cs="Calibri" w:eastAsia="Calibri" w:hAnsi="Calibri"/>
          <w:color w:val="2A2A2A"/>
          <w:sz w:val="18"/>
          <w:szCs w:val="18"/>
        </w:rPr>
        <w:t xml:space="preserve">article 37 : le règlement intervient de plein droit dans toutes les matières que l’article 34 ne réserve pas à la loi.</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Police administrative — </w:t>
      </w:r>
      <w:r>
        <w:rPr>
          <w:rFonts w:ascii="Calibri" w:cs="Calibri" w:eastAsia="Calibri" w:hAnsi="Calibri"/>
          <w:color w:val="2A2A2A"/>
          <w:sz w:val="18"/>
          <w:szCs w:val="18"/>
        </w:rPr>
        <w:t xml:space="preserve">le cadre dans lequel le pouvoir réglementaire restreint les libertés pour maintenir l’ordre public — sous contrôle du juge (Benjamin).</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La définition du pouvoir règlementaire  ·  La détermination des droits et des libertés par le pouvoir règlementaire</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CE, 7 février 1936, Jamart, no 43321  ·  CE, 28 juin 1919, Heyriès, no 63412  ·  CE, 19 mai 1933, Benjamin, no 17413</w:t>
      </w:r>
    </w:p>
    <w:p>
      <w:r>
        <w:br w:type="page"/>
      </w:r>
    </w:p>
    <w:p>
      <w:pPr>
        <w:pBdr>
          <w:bottom w:val="single" w:color="C7D2E0" w:sz="8"/>
        </w:pBdr>
        <w:spacing w:after="50" w:before="0"/>
      </w:pPr>
      <w:r>
        <w:rPr>
          <w:rFonts w:ascii="Calibri" w:cs="Calibri" w:eastAsia="Calibri" w:hAnsi="Calibri"/>
          <w:b/>
          <w:bCs/>
          <w:color w:val="2E5A88"/>
          <w:spacing w:val="30"/>
          <w:sz w:val="17"/>
          <w:szCs w:val="17"/>
        </w:rPr>
        <w:t xml:space="preserve">PARTIE III  ·  </w:t>
      </w:r>
      <w:r>
        <w:rPr>
          <w:rFonts w:ascii="Cambria" w:cs="Cambria" w:eastAsia="Cambria" w:hAnsi="Cambria"/>
          <w:b/>
          <w:bCs/>
          <w:color w:val="1F3864"/>
          <w:sz w:val="26"/>
          <w:szCs w:val="26"/>
        </w:rPr>
        <w:t xml:space="preserve">Les sources externes</w:t>
      </w:r>
    </w:p>
    <w:p>
      <w:pPr>
        <w:spacing w:after="120" w:before="60"/>
        <w:jc w:val="both"/>
      </w:pPr>
      <w:r>
        <w:rPr>
          <w:rFonts w:ascii="Calibri" w:cs="Calibri" w:eastAsia="Calibri" w:hAnsi="Calibri"/>
          <w:i/>
          <w:iCs/>
          <w:color w:val="5A5A5A"/>
          <w:sz w:val="18"/>
          <w:szCs w:val="18"/>
        </w:rPr>
        <w:t xml:space="preserve">La même question, versant international : le mouvement d’internationalisation, puis les trois systèmes utiles en pratique — onusien, Convention européenne, Union.</w:t>
      </w:r>
    </w:p>
    <w:p>
      <w:pPr>
        <w:keepNext/>
        <w:spacing w:after="60" w:before="210"/>
      </w:pPr>
      <w:r>
        <w:rPr>
          <w:rFonts w:ascii="Calibri" w:cs="Calibri" w:eastAsia="Calibri" w:hAnsi="Calibri"/>
          <w:b/>
          <w:bCs/>
          <w:color w:val="2E5A88"/>
          <w:sz w:val="22"/>
          <w:szCs w:val="22"/>
        </w:rPr>
        <w:t xml:space="preserve">12. </w:t>
      </w:r>
      <w:r>
        <w:rPr>
          <w:rFonts w:ascii="Cambria" w:cs="Cambria" w:eastAsia="Cambria" w:hAnsi="Cambria"/>
          <w:b/>
          <w:bCs/>
          <w:color w:val="1F3864"/>
          <w:sz w:val="22"/>
          <w:szCs w:val="22"/>
        </w:rPr>
        <w:t xml:space="preserve">L’internationalisation du droit des libertés</w:t>
      </w:r>
      <w:r>
        <w:rPr>
          <w:rFonts w:ascii="Calibri" w:cs="Calibri" w:eastAsia="Calibri" w:hAnsi="Calibri"/>
          <w:color w:val="757575"/>
          <w:sz w:val="15"/>
          <w:szCs w:val="15"/>
        </w:rPr>
        <w:t xml:space="preserve">   p. 116</w:t>
      </w:r>
    </w:p>
    <w:p>
      <w:pPr>
        <w:spacing w:after="70" w:before="0" w:line="264"/>
        <w:ind w:left="200"/>
        <w:jc w:val="both"/>
      </w:pPr>
      <w:r>
        <w:rPr>
          <w:rFonts w:ascii="Calibri" w:cs="Calibri" w:eastAsia="Calibri" w:hAnsi="Calibri"/>
          <w:color w:val="1A1A1A"/>
          <w:sz w:val="19"/>
          <w:szCs w:val="19"/>
        </w:rPr>
        <w:t xml:space="preserve">Fiche charnière : pourquoi les droits se sont internationalisés, ce que cela a produit, et où cela s’arrête.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Cause — </w:t>
      </w:r>
      <w:r>
        <w:rPr>
          <w:rFonts w:ascii="Calibri" w:cs="Calibri" w:eastAsia="Calibri" w:hAnsi="Calibri"/>
          <w:color w:val="2A2A2A"/>
          <w:sz w:val="18"/>
          <w:szCs w:val="18"/>
        </w:rPr>
        <w:t xml:space="preserve">les conflits du XXe siècle comme traumatisme fondateur ; filiation revendiquée avec l’universalisme de 1789, mais au-delà de l’État.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Effets — </w:t>
      </w:r>
      <w:r>
        <w:rPr>
          <w:rFonts w:ascii="Calibri" w:cs="Calibri" w:eastAsia="Calibri" w:hAnsi="Calibri"/>
          <w:color w:val="2A2A2A"/>
          <w:sz w:val="18"/>
          <w:szCs w:val="18"/>
        </w:rPr>
        <w:t xml:space="preserve">Déclaration universelle de 1948, mécanismes de plainte, accès des individus aux juridictions supranationales, reconfiguration de la hiérarchie des normes internes.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Géographie variable — </w:t>
      </w:r>
      <w:r>
        <w:rPr>
          <w:rFonts w:ascii="Calibri" w:cs="Calibri" w:eastAsia="Calibri" w:hAnsi="Calibri"/>
          <w:color w:val="2A2A2A"/>
          <w:sz w:val="18"/>
          <w:szCs w:val="18"/>
        </w:rPr>
        <w:t xml:space="preserve">européanisation (Conseil de l’Europe, Union), puis Amérique, Afrique, Asie, monde arabo-musulman.</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Relativisme culturel — </w:t>
      </w:r>
      <w:r>
        <w:rPr>
          <w:rFonts w:ascii="Calibri" w:cs="Calibri" w:eastAsia="Calibri" w:hAnsi="Calibri"/>
          <w:color w:val="2A2A2A"/>
          <w:sz w:val="18"/>
          <w:szCs w:val="18"/>
        </w:rPr>
        <w:t xml:space="preserve">l’objection adressée à l’universalisme : hégémonisme politique et culturel de l’Occident, cohabitation avec des systèmes de pensée valorisant la collectivité.</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Le contexte général de l’internationalisation du droit des libertés en France  ·  Une internationalisation à géographie variable  ·  L’internationalisation des droits humains face au relativisme culturel</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CJUE, 11 décembre 2007, Viking, C-438/05  ·  CJUE, 3 septembre 2008, Kadi c. Conseil et Commission  ·  CEDH,12 septembre 2012, Nada c. Suisse, no 10593/08</w:t>
      </w:r>
    </w:p>
    <w:p>
      <w:pPr>
        <w:keepNext/>
        <w:spacing w:after="60" w:before="210"/>
      </w:pPr>
      <w:r>
        <w:rPr>
          <w:rFonts w:ascii="Calibri" w:cs="Calibri" w:eastAsia="Calibri" w:hAnsi="Calibri"/>
          <w:b/>
          <w:bCs/>
          <w:color w:val="2E5A88"/>
          <w:sz w:val="22"/>
          <w:szCs w:val="22"/>
        </w:rPr>
        <w:t xml:space="preserve">13. </w:t>
      </w:r>
      <w:r>
        <w:rPr>
          <w:rFonts w:ascii="Cambria" w:cs="Cambria" w:eastAsia="Cambria" w:hAnsi="Cambria"/>
          <w:b/>
          <w:bCs/>
          <w:color w:val="1F3864"/>
          <w:sz w:val="22"/>
          <w:szCs w:val="22"/>
        </w:rPr>
        <w:t xml:space="preserve">Le droit onusien</w:t>
      </w:r>
      <w:r>
        <w:rPr>
          <w:rFonts w:ascii="Calibri" w:cs="Calibri" w:eastAsia="Calibri" w:hAnsi="Calibri"/>
          <w:color w:val="757575"/>
          <w:sz w:val="15"/>
          <w:szCs w:val="15"/>
        </w:rPr>
        <w:t xml:space="preserve">   p. 125</w:t>
      </w:r>
    </w:p>
    <w:p>
      <w:pPr>
        <w:spacing w:after="70" w:before="0" w:line="264"/>
        <w:ind w:left="200"/>
        <w:jc w:val="both"/>
      </w:pPr>
      <w:r>
        <w:rPr>
          <w:rFonts w:ascii="Calibri" w:cs="Calibri" w:eastAsia="Calibri" w:hAnsi="Calibri"/>
          <w:color w:val="1A1A1A"/>
          <w:sz w:val="19"/>
          <w:szCs w:val="19"/>
        </w:rPr>
        <w:t xml:space="preserve">Le socle onusien, en deux blocs : la Charte internationale des droits de l’homme, puis les traités spécialisés.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Charte internationale — </w:t>
      </w:r>
      <w:r>
        <w:rPr>
          <w:rFonts w:ascii="Calibri" w:cs="Calibri" w:eastAsia="Calibri" w:hAnsi="Calibri"/>
          <w:color w:val="2A2A2A"/>
          <w:sz w:val="18"/>
          <w:szCs w:val="18"/>
        </w:rPr>
        <w:t xml:space="preserve">Déclaration universelle de 1948 (déclaratoire), Pacte relatif aux droits civils et politiques et Pacte relatif aux droits économiques, sociaux et culturels, tous deux de 1966 (contraignants).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Traités spécialisés — </w:t>
      </w:r>
      <w:r>
        <w:rPr>
          <w:rFonts w:ascii="Calibri" w:cs="Calibri" w:eastAsia="Calibri" w:hAnsi="Calibri"/>
          <w:color w:val="2A2A2A"/>
          <w:sz w:val="18"/>
          <w:szCs w:val="18"/>
        </w:rPr>
        <w:t xml:space="preserve">torture, discrimination raciale, discrimination à l’égard des femmes, droits de l’enfant, travailleurs migrants, personnes handicapées, disparitions forcées.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Questions récurrentes — </w:t>
      </w:r>
      <w:r>
        <w:rPr>
          <w:rFonts w:ascii="Calibri" w:cs="Calibri" w:eastAsia="Calibri" w:hAnsi="Calibri"/>
          <w:color w:val="2A2A2A"/>
          <w:sz w:val="18"/>
          <w:szCs w:val="18"/>
        </w:rPr>
        <w:t xml:space="preserve">valeur juridique des textes, droit de dérogation, articulation des obligations positives et négatives.</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La Charte internationale des droits de l’homme  ·  Les traités spécialisés</w:t>
      </w:r>
    </w:p>
    <w:p>
      <w:pPr>
        <w:keepNext/>
        <w:spacing w:after="60" w:before="210"/>
      </w:pPr>
      <w:r>
        <w:rPr>
          <w:rFonts w:ascii="Calibri" w:cs="Calibri" w:eastAsia="Calibri" w:hAnsi="Calibri"/>
          <w:b/>
          <w:bCs/>
          <w:color w:val="2E5A88"/>
          <w:sz w:val="22"/>
          <w:szCs w:val="22"/>
        </w:rPr>
        <w:t xml:space="preserve">14. </w:t>
      </w:r>
      <w:r>
        <w:rPr>
          <w:rFonts w:ascii="Cambria" w:cs="Cambria" w:eastAsia="Cambria" w:hAnsi="Cambria"/>
          <w:b/>
          <w:bCs/>
          <w:color w:val="1F3864"/>
          <w:sz w:val="22"/>
          <w:szCs w:val="22"/>
        </w:rPr>
        <w:t xml:space="preserve">Le Conseil de l’Europe et la Convention européenne des droits de l’homme</w:t>
      </w:r>
      <w:r>
        <w:rPr>
          <w:rFonts w:ascii="Calibri" w:cs="Calibri" w:eastAsia="Calibri" w:hAnsi="Calibri"/>
          <w:color w:val="757575"/>
          <w:sz w:val="15"/>
          <w:szCs w:val="15"/>
        </w:rPr>
        <w:t xml:space="preserve">   p. 133</w:t>
      </w:r>
    </w:p>
    <w:p>
      <w:pPr>
        <w:spacing w:after="70" w:before="0" w:line="264"/>
        <w:ind w:left="200"/>
        <w:jc w:val="both"/>
      </w:pPr>
      <w:r>
        <w:rPr>
          <w:rFonts w:ascii="Calibri" w:cs="Calibri" w:eastAsia="Calibri" w:hAnsi="Calibri"/>
          <w:color w:val="1A1A1A"/>
          <w:sz w:val="19"/>
          <w:szCs w:val="19"/>
        </w:rPr>
        <w:t xml:space="preserve">L’organisation, puis la Convention et ses quatre traits caractéristiques.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Conseil de l’Europe — </w:t>
      </w:r>
      <w:r>
        <w:rPr>
          <w:rFonts w:ascii="Calibri" w:cs="Calibri" w:eastAsia="Calibri" w:hAnsi="Calibri"/>
          <w:color w:val="2A2A2A"/>
          <w:sz w:val="18"/>
          <w:szCs w:val="18"/>
        </w:rPr>
        <w:t xml:space="preserve">organisation régionale de 46 États membres ; promotion des droits humains, de l’État de droit et de la démocratie ; près de 200 traités et protocoles.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Primauté — </w:t>
      </w:r>
      <w:r>
        <w:rPr>
          <w:rFonts w:ascii="Calibri" w:cs="Calibri" w:eastAsia="Calibri" w:hAnsi="Calibri"/>
          <w:color w:val="2A2A2A"/>
          <w:sz w:val="18"/>
          <w:szCs w:val="18"/>
        </w:rPr>
        <w:t xml:space="preserve">la Convention prime sur le droit interne.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Plein effet direct — </w:t>
      </w:r>
      <w:r>
        <w:rPr>
          <w:rFonts w:ascii="Calibri" w:cs="Calibri" w:eastAsia="Calibri" w:hAnsi="Calibri"/>
          <w:color w:val="2A2A2A"/>
          <w:sz w:val="18"/>
          <w:szCs w:val="18"/>
        </w:rPr>
        <w:t xml:space="preserve">ses stipulations sont invocables directement par les justiciables devant le juge interne.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Subsidiarité — </w:t>
      </w:r>
      <w:r>
        <w:rPr>
          <w:rFonts w:ascii="Calibri" w:cs="Calibri" w:eastAsia="Calibri" w:hAnsi="Calibri"/>
          <w:color w:val="2A2A2A"/>
          <w:sz w:val="18"/>
          <w:szCs w:val="18"/>
        </w:rPr>
        <w:t xml:space="preserve">la protection incombe d’abord aux autorités nationales ; la Cour n’intervient qu’ensuite.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Instrument vivant — </w:t>
      </w:r>
      <w:r>
        <w:rPr>
          <w:rFonts w:ascii="Calibri" w:cs="Calibri" w:eastAsia="Calibri" w:hAnsi="Calibri"/>
          <w:color w:val="2A2A2A"/>
          <w:sz w:val="18"/>
          <w:szCs w:val="18"/>
        </w:rPr>
        <w:t xml:space="preserve">interprétation évolutive garantissant des droits « non pas théoriques et illusoires, mais concrets et effectifs ».</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Le Conseil de l’Europe  ·  La Convention de sauvegarde des droits de l’homme et des libertés fondamentales</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CEDH, déc., 11 janvier 1961, Autriche c. Italie, no 788/60  ·  CEDH, GC., 23 mars 1995, Loizidou c. Turquie (exceptions préliminaires), no 15318/89  ·  CEDH, 8 juillet 2004, Ilascu c. Moldavie et Russie, no 48787/99  ·  Cass. crim, 3 juin 1975, Respino, no 75-90.687</w:t>
      </w:r>
    </w:p>
    <w:p>
      <w:pPr>
        <w:keepNext/>
        <w:spacing w:after="60" w:before="210"/>
      </w:pPr>
      <w:r>
        <w:rPr>
          <w:rFonts w:ascii="Calibri" w:cs="Calibri" w:eastAsia="Calibri" w:hAnsi="Calibri"/>
          <w:b/>
          <w:bCs/>
          <w:color w:val="2E5A88"/>
          <w:sz w:val="22"/>
          <w:szCs w:val="22"/>
        </w:rPr>
        <w:t xml:space="preserve">15. </w:t>
      </w:r>
      <w:r>
        <w:rPr>
          <w:rFonts w:ascii="Cambria" w:cs="Cambria" w:eastAsia="Cambria" w:hAnsi="Cambria"/>
          <w:b/>
          <w:bCs/>
          <w:color w:val="1F3864"/>
          <w:sz w:val="22"/>
          <w:szCs w:val="22"/>
        </w:rPr>
        <w:t xml:space="preserve">Le droit de l’Union européenne</w:t>
      </w:r>
      <w:r>
        <w:rPr>
          <w:rFonts w:ascii="Calibri" w:cs="Calibri" w:eastAsia="Calibri" w:hAnsi="Calibri"/>
          <w:color w:val="757575"/>
          <w:sz w:val="15"/>
          <w:szCs w:val="15"/>
        </w:rPr>
        <w:t xml:space="preserve">   p. 144</w:t>
      </w:r>
    </w:p>
    <w:p>
      <w:pPr>
        <w:spacing w:after="70" w:before="0" w:line="264"/>
        <w:ind w:left="200"/>
        <w:jc w:val="both"/>
      </w:pPr>
      <w:r>
        <w:rPr>
          <w:rFonts w:ascii="Calibri" w:cs="Calibri" w:eastAsia="Calibri" w:hAnsi="Calibri"/>
          <w:color w:val="1A1A1A"/>
          <w:sz w:val="19"/>
          <w:szCs w:val="19"/>
        </w:rPr>
        <w:t xml:space="preserve">Le récit d’une conquête : d’un droit économique muet sur les droits fondamentaux à la Charte de Lisbonne.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Point de départ — </w:t>
      </w:r>
      <w:r>
        <w:rPr>
          <w:rFonts w:ascii="Calibri" w:cs="Calibri" w:eastAsia="Calibri" w:hAnsi="Calibri"/>
          <w:color w:val="2A2A2A"/>
          <w:sz w:val="18"/>
          <w:szCs w:val="18"/>
        </w:rPr>
        <w:t xml:space="preserve">traités initialement conçus comme instruments d’intégration économique, incomplets sur les droits.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Résistance nationale — </w:t>
      </w:r>
      <w:r>
        <w:rPr>
          <w:rFonts w:ascii="Calibri" w:cs="Calibri" w:eastAsia="Calibri" w:hAnsi="Calibri"/>
          <w:color w:val="2A2A2A"/>
          <w:sz w:val="18"/>
          <w:szCs w:val="18"/>
        </w:rPr>
        <w:t xml:space="preserve">les cours constitutionnelles allemande et italienne conditionnent la primauté du droit communautaire tant que les droits ne sont pas protégés (Solange).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Consécration prétorienne — </w:t>
      </w:r>
      <w:r>
        <w:rPr>
          <w:rFonts w:ascii="Calibri" w:cs="Calibri" w:eastAsia="Calibri" w:hAnsi="Calibri"/>
          <w:color w:val="2A2A2A"/>
          <w:sz w:val="18"/>
          <w:szCs w:val="18"/>
        </w:rPr>
        <w:t xml:space="preserve">la Cour de justice dégage les droits fondamentaux comme principes généraux du droit de l’Union.</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Maastricht puis Lisbonne — </w:t>
      </w:r>
      <w:r>
        <w:rPr>
          <w:rFonts w:ascii="Calibri" w:cs="Calibri" w:eastAsia="Calibri" w:hAnsi="Calibri"/>
          <w:color w:val="2A2A2A"/>
          <w:sz w:val="18"/>
          <w:szCs w:val="18"/>
        </w:rPr>
        <w:t xml:space="preserve">couverture conventionnelle et citoyenneté de l’Union, puis Charte des droits fondamentaux et clause d’adhésion à la Convention.</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Question critique — </w:t>
      </w:r>
      <w:r>
        <w:rPr>
          <w:rFonts w:ascii="Calibri" w:cs="Calibri" w:eastAsia="Calibri" w:hAnsi="Calibri"/>
          <w:color w:val="2A2A2A"/>
          <w:sz w:val="18"/>
          <w:szCs w:val="18"/>
        </w:rPr>
        <w:t xml:space="preserve">constitutionnalisation, fédéralisation ou instrumentalisation des droits au service de l’intégration ?</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Les sources des droits fondamentaux dans l’Union européenne  ·  La protection des droits fondamentaux : enjeu de fédéralisation pour l’Union  ·  Les rapports ambivalents entre droit de l’Union et droit de la Convention</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CJCE, 15 juillet 1964, Costa c/ Enel, aff.6/64  ·  CJCE, 17 décembre 1970, Internationale Handelsgesellschaft, aff.11/70  ·  Tribunal constitutionnel de Karlsruhe, 29 mai 1974, So lange I  ·  CJCE, 21 septembre 1989, Hoechst / Commission, C-46/87</w:t>
      </w:r>
    </w:p>
    <w:p>
      <w:r>
        <w:br w:type="page"/>
      </w:r>
    </w:p>
    <w:p>
      <w:pPr>
        <w:pBdr>
          <w:bottom w:val="single" w:color="C7D2E0" w:sz="8"/>
        </w:pBdr>
        <w:spacing w:after="50" w:before="0"/>
      </w:pPr>
      <w:r>
        <w:rPr>
          <w:rFonts w:ascii="Calibri" w:cs="Calibri" w:eastAsia="Calibri" w:hAnsi="Calibri"/>
          <w:b/>
          <w:bCs/>
          <w:color w:val="2E5A88"/>
          <w:spacing w:val="30"/>
          <w:sz w:val="17"/>
          <w:szCs w:val="17"/>
        </w:rPr>
        <w:t xml:space="preserve">PARTIE IV  ·  </w:t>
      </w:r>
      <w:r>
        <w:rPr>
          <w:rFonts w:ascii="Cambria" w:cs="Cambria" w:eastAsia="Cambria" w:hAnsi="Cambria"/>
          <w:b/>
          <w:bCs/>
          <w:color w:val="1F3864"/>
          <w:sz w:val="26"/>
          <w:szCs w:val="26"/>
        </w:rPr>
        <w:t xml:space="preserve">Les mécanismes internes de protection</w:t>
      </w:r>
    </w:p>
    <w:p>
      <w:pPr>
        <w:spacing w:after="120" w:before="60"/>
        <w:jc w:val="both"/>
      </w:pPr>
      <w:r>
        <w:rPr>
          <w:rFonts w:ascii="Calibri" w:cs="Calibri" w:eastAsia="Calibri" w:hAnsi="Calibri"/>
          <w:i/>
          <w:iCs/>
          <w:color w:val="5A5A5A"/>
          <w:sz w:val="18"/>
          <w:szCs w:val="18"/>
        </w:rPr>
        <w:t xml:space="preserve">Des normes aux acteurs : qui fait respecter les droits en France. Trois juges, leurs frontières, et la protection sans juge.</w:t>
      </w:r>
    </w:p>
    <w:p>
      <w:pPr>
        <w:keepNext/>
        <w:spacing w:after="60" w:before="210"/>
      </w:pPr>
      <w:r>
        <w:rPr>
          <w:rFonts w:ascii="Calibri" w:cs="Calibri" w:eastAsia="Calibri" w:hAnsi="Calibri"/>
          <w:b/>
          <w:bCs/>
          <w:color w:val="2E5A88"/>
          <w:sz w:val="22"/>
          <w:szCs w:val="22"/>
        </w:rPr>
        <w:t xml:space="preserve">16. </w:t>
      </w:r>
      <w:r>
        <w:rPr>
          <w:rFonts w:ascii="Cambria" w:cs="Cambria" w:eastAsia="Cambria" w:hAnsi="Cambria"/>
          <w:b/>
          <w:bCs/>
          <w:color w:val="1F3864"/>
          <w:sz w:val="22"/>
          <w:szCs w:val="22"/>
        </w:rPr>
        <w:t xml:space="preserve">La protection par le juge constitutionnel</w:t>
      </w:r>
      <w:r>
        <w:rPr>
          <w:rFonts w:ascii="Calibri" w:cs="Calibri" w:eastAsia="Calibri" w:hAnsi="Calibri"/>
          <w:color w:val="757575"/>
          <w:sz w:val="15"/>
          <w:szCs w:val="15"/>
        </w:rPr>
        <w:t xml:space="preserve">   p. 154</w:t>
      </w:r>
    </w:p>
    <w:p>
      <w:pPr>
        <w:spacing w:after="70" w:before="0" w:line="264"/>
        <w:ind w:left="200"/>
        <w:jc w:val="both"/>
      </w:pPr>
      <w:r>
        <w:rPr>
          <w:rFonts w:ascii="Calibri" w:cs="Calibri" w:eastAsia="Calibri" w:hAnsi="Calibri"/>
          <w:color w:val="1A1A1A"/>
          <w:sz w:val="19"/>
          <w:szCs w:val="19"/>
        </w:rPr>
        <w:t xml:space="preserve">Le premier acteur interne : instauration, compétences, voies de contrôle, techniques.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Contrôle a priori — </w:t>
      </w:r>
      <w:r>
        <w:rPr>
          <w:rFonts w:ascii="Calibri" w:cs="Calibri" w:eastAsia="Calibri" w:hAnsi="Calibri"/>
          <w:color w:val="2A2A2A"/>
          <w:sz w:val="18"/>
          <w:szCs w:val="18"/>
        </w:rPr>
        <w:t xml:space="preserve">contrôle de constitutionnalité de la loi avant promulgation, sur saisine.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QPC — </w:t>
      </w:r>
      <w:r>
        <w:rPr>
          <w:rFonts w:ascii="Calibri" w:cs="Calibri" w:eastAsia="Calibri" w:hAnsi="Calibri"/>
          <w:color w:val="2A2A2A"/>
          <w:sz w:val="18"/>
          <w:szCs w:val="18"/>
        </w:rPr>
        <w:t xml:space="preserve">contrôle a posteriori : contestation, à l’occasion d’une instance, d’une disposition législative portant atteinte aux droits et libertés garantis par la Constitution.</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Réserve d’interprétation — </w:t>
      </w:r>
      <w:r>
        <w:rPr>
          <w:rFonts w:ascii="Calibri" w:cs="Calibri" w:eastAsia="Calibri" w:hAnsi="Calibri"/>
          <w:color w:val="2A2A2A"/>
          <w:sz w:val="18"/>
          <w:szCs w:val="18"/>
        </w:rPr>
        <w:t xml:space="preserve">technique permettant de déclarer la loi conforme sous condition d’être interprétée d’une certaine manière : le Conseil fait œuvre de pédagogie tout en évitant la censure et la confrontation avec le législateur.</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Effet cliquet — </w:t>
      </w:r>
      <w:r>
        <w:rPr>
          <w:rFonts w:ascii="Calibri" w:cs="Calibri" w:eastAsia="Calibri" w:hAnsi="Calibri"/>
          <w:color w:val="2A2A2A"/>
          <w:sz w:val="18"/>
          <w:szCs w:val="18"/>
        </w:rPr>
        <w:t xml:space="preserve">technique sanctionnant les modifications législatives qui remettraient en cause des acquis juridiques : pas de retour en arrière.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Modulation dans le temps — </w:t>
      </w:r>
      <w:r>
        <w:rPr>
          <w:rFonts w:ascii="Calibri" w:cs="Calibri" w:eastAsia="Calibri" w:hAnsi="Calibri"/>
          <w:color w:val="2A2A2A"/>
          <w:sz w:val="18"/>
          <w:szCs w:val="18"/>
        </w:rPr>
        <w:t xml:space="preserve">le Conseil fixe la date d’effet de l’abrogation qu’il prononce.</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L’instauration du Conseil constitutionnel  ·  Le contrôle de constitutionnalité des lois  ·  Les techniques de contrôle du Conseil constitutionnel</w:t>
      </w:r>
    </w:p>
    <w:p>
      <w:pPr>
        <w:keepNext/>
        <w:spacing w:after="60" w:before="210"/>
      </w:pPr>
      <w:r>
        <w:rPr>
          <w:rFonts w:ascii="Calibri" w:cs="Calibri" w:eastAsia="Calibri" w:hAnsi="Calibri"/>
          <w:b/>
          <w:bCs/>
          <w:color w:val="2E5A88"/>
          <w:sz w:val="22"/>
          <w:szCs w:val="22"/>
        </w:rPr>
        <w:t xml:space="preserve">17. </w:t>
      </w:r>
      <w:r>
        <w:rPr>
          <w:rFonts w:ascii="Cambria" w:cs="Cambria" w:eastAsia="Cambria" w:hAnsi="Cambria"/>
          <w:b/>
          <w:bCs/>
          <w:color w:val="1F3864"/>
          <w:sz w:val="22"/>
          <w:szCs w:val="22"/>
        </w:rPr>
        <w:t xml:space="preserve">La protection par le juge judiciaire</w:t>
      </w:r>
      <w:r>
        <w:rPr>
          <w:rFonts w:ascii="Calibri" w:cs="Calibri" w:eastAsia="Calibri" w:hAnsi="Calibri"/>
          <w:color w:val="757575"/>
          <w:sz w:val="15"/>
          <w:szCs w:val="15"/>
        </w:rPr>
        <w:t xml:space="preserve">   p. 164</w:t>
      </w:r>
    </w:p>
    <w:p>
      <w:pPr>
        <w:spacing w:after="70" w:before="0" w:line="264"/>
        <w:ind w:left="200"/>
        <w:jc w:val="both"/>
      </w:pPr>
      <w:r>
        <w:rPr>
          <w:rFonts w:ascii="Calibri" w:cs="Calibri" w:eastAsia="Calibri" w:hAnsi="Calibri"/>
          <w:color w:val="1A1A1A"/>
          <w:sz w:val="19"/>
          <w:szCs w:val="19"/>
        </w:rPr>
        <w:t xml:space="preserve">Le gardien historique : trois offices, dont un de filtre vers les autres juges.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Liberté individuelle — </w:t>
      </w:r>
      <w:r>
        <w:rPr>
          <w:rFonts w:ascii="Calibri" w:cs="Calibri" w:eastAsia="Calibri" w:hAnsi="Calibri"/>
          <w:color w:val="2A2A2A"/>
          <w:sz w:val="18"/>
          <w:szCs w:val="18"/>
        </w:rPr>
        <w:t xml:space="preserve">le juge judiciaire en est le gardien au sens de l’article 66 de la Constitution.</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Voie de fait — </w:t>
      </w:r>
      <w:r>
        <w:rPr>
          <w:rFonts w:ascii="Calibri" w:cs="Calibri" w:eastAsia="Calibri" w:hAnsi="Calibri"/>
          <w:color w:val="2A2A2A"/>
          <w:sz w:val="18"/>
          <w:szCs w:val="18"/>
        </w:rPr>
        <w:t xml:space="preserve">hypothèse de compétence judiciaire en cas d’atteinte grave de l’administration (précisée à la fiche 19).</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Contrôle de conventionnalité — </w:t>
      </w:r>
      <w:r>
        <w:rPr>
          <w:rFonts w:ascii="Calibri" w:cs="Calibri" w:eastAsia="Calibri" w:hAnsi="Calibri"/>
          <w:color w:val="2A2A2A"/>
          <w:sz w:val="18"/>
          <w:szCs w:val="18"/>
        </w:rPr>
        <w:t xml:space="preserve">contrôle de la loi au regard des engagements internationaux, reconnu depuis Jacques Vabre ; s’y ajoute la transposition du contrôle de proportionnalité aux litiges entre particuliers.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Rôle de filtre — </w:t>
      </w:r>
      <w:r>
        <w:rPr>
          <w:rFonts w:ascii="Calibri" w:cs="Calibri" w:eastAsia="Calibri" w:hAnsi="Calibri"/>
          <w:color w:val="2A2A2A"/>
          <w:sz w:val="18"/>
          <w:szCs w:val="18"/>
        </w:rPr>
        <w:t xml:space="preserve">transmission des QPC au Conseil constitutionnel et demande d’avis consultatif à la Cour européenne.</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Le juge judiciaire, garant de la protection des droits humains sur le plan interne  ·  L’internationalisation des fondements de la protection des droits humains utilisés par le juge judiciaire  ·  Le rôle de filtre dans la transmission de questions en rapport avec les droits humains auprès d’organes juridictionnels tiers</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Cass. ass. plén., 15 avril 2011, nos 10-17.049, 10-30.242, 10-30.313 et 10- 30.316  ·  Cass. mixte, 24 mai 1975, Société des cafés Jacques Vabre, no 73-13.556  ·  Cass. civ. 3e, 6 mars 1996, Mel Yedei, no 93-11.113  ·  Cass. civ. 1re, 4 décembre 2013, no 12-26.066</w:t>
      </w:r>
    </w:p>
    <w:p>
      <w:pPr>
        <w:keepNext/>
        <w:spacing w:after="60" w:before="210"/>
      </w:pPr>
      <w:r>
        <w:rPr>
          <w:rFonts w:ascii="Calibri" w:cs="Calibri" w:eastAsia="Calibri" w:hAnsi="Calibri"/>
          <w:b/>
          <w:bCs/>
          <w:color w:val="2E5A88"/>
          <w:sz w:val="22"/>
          <w:szCs w:val="22"/>
        </w:rPr>
        <w:t xml:space="preserve">18. </w:t>
      </w:r>
      <w:r>
        <w:rPr>
          <w:rFonts w:ascii="Cambria" w:cs="Cambria" w:eastAsia="Cambria" w:hAnsi="Cambria"/>
          <w:b/>
          <w:bCs/>
          <w:color w:val="1F3864"/>
          <w:sz w:val="22"/>
          <w:szCs w:val="22"/>
        </w:rPr>
        <w:t xml:space="preserve">La protection par le juge administratif</w:t>
      </w:r>
      <w:r>
        <w:rPr>
          <w:rFonts w:ascii="Calibri" w:cs="Calibri" w:eastAsia="Calibri" w:hAnsi="Calibri"/>
          <w:color w:val="757575"/>
          <w:sz w:val="15"/>
          <w:szCs w:val="15"/>
        </w:rPr>
        <w:t xml:space="preserve">   p. 177</w:t>
      </w:r>
    </w:p>
    <w:p>
      <w:pPr>
        <w:spacing w:after="70" w:before="0" w:line="264"/>
        <w:ind w:left="200"/>
        <w:jc w:val="both"/>
      </w:pPr>
      <w:r>
        <w:rPr>
          <w:rFonts w:ascii="Calibri" w:cs="Calibri" w:eastAsia="Calibri" w:hAnsi="Calibri"/>
          <w:color w:val="1A1A1A"/>
          <w:sz w:val="19"/>
          <w:szCs w:val="19"/>
        </w:rPr>
        <w:t xml:space="preserve">Le juge administratif devenu lui aussi juge des libertés : justification, instruments, extension de la justiciabilité.</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Dualité juridictionnelle — </w:t>
      </w:r>
      <w:r>
        <w:rPr>
          <w:rFonts w:ascii="Calibri" w:cs="Calibri" w:eastAsia="Calibri" w:hAnsi="Calibri"/>
          <w:color w:val="2A2A2A"/>
          <w:sz w:val="18"/>
          <w:szCs w:val="18"/>
        </w:rPr>
        <w:t xml:space="preserve">débat ouvert, illustré par les critiques de Bertrand Louvel sur la mise à l’écart de l’autorité judiciaire.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Recours pour excès de pouvoir — </w:t>
      </w:r>
      <w:r>
        <w:rPr>
          <w:rFonts w:ascii="Calibri" w:cs="Calibri" w:eastAsia="Calibri" w:hAnsi="Calibri"/>
          <w:color w:val="2A2A2A"/>
          <w:sz w:val="18"/>
          <w:szCs w:val="18"/>
        </w:rPr>
        <w:t xml:space="preserve">recours objectif de protection de la légalité, devenu subjectif par l’intégration des droits.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Référé-liberté — </w:t>
      </w:r>
      <w:r>
        <w:rPr>
          <w:rFonts w:ascii="Calibri" w:cs="Calibri" w:eastAsia="Calibri" w:hAnsi="Calibri"/>
          <w:color w:val="2A2A2A"/>
          <w:sz w:val="18"/>
          <w:szCs w:val="18"/>
        </w:rPr>
        <w:t xml:space="preserve">procédure d’urgence permettant au juge d’ordonner toute mesure nécessaire à la sauvegarde d’une liberté fondamentale (article L. 521-2 du Code de justice administrative).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Justiciabilité élargie — </w:t>
      </w:r>
      <w:r>
        <w:rPr>
          <w:rFonts w:ascii="Calibri" w:cs="Calibri" w:eastAsia="Calibri" w:hAnsi="Calibri"/>
          <w:color w:val="2A2A2A"/>
          <w:sz w:val="18"/>
          <w:szCs w:val="18"/>
        </w:rPr>
        <w:t xml:space="preserve">ouverture du recours contre les mesures d’ordre intérieur et les actes de droit souple.</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L’intérêt de la dualité juridictionnelle pour la protection des libertés  ·  Les instruments du juge administratif pour protéger les libertés  ·  L’évolution de la protection : la meilleure justiciabilité des actes</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Cons. const., décision no 80-119 DC, 22 juillet 1980  ·  CE, 17 février 1950, ministre de l’Agriculture c/ Dame Lamotte, no 86949</w:t>
      </w:r>
    </w:p>
    <w:p>
      <w:pPr>
        <w:keepNext/>
        <w:spacing w:after="60" w:before="210"/>
      </w:pPr>
      <w:r>
        <w:rPr>
          <w:rFonts w:ascii="Calibri" w:cs="Calibri" w:eastAsia="Calibri" w:hAnsi="Calibri"/>
          <w:b/>
          <w:bCs/>
          <w:color w:val="2E5A88"/>
          <w:sz w:val="22"/>
          <w:szCs w:val="22"/>
        </w:rPr>
        <w:t xml:space="preserve">19. </w:t>
      </w:r>
      <w:r>
        <w:rPr>
          <w:rFonts w:ascii="Cambria" w:cs="Cambria" w:eastAsia="Cambria" w:hAnsi="Cambria"/>
          <w:b/>
          <w:bCs/>
          <w:color w:val="1F3864"/>
          <w:sz w:val="22"/>
          <w:szCs w:val="22"/>
        </w:rPr>
        <w:t xml:space="preserve">Les dérogations au principe de séparation des autorités</w:t>
      </w:r>
      <w:r>
        <w:rPr>
          <w:rFonts w:ascii="Calibri" w:cs="Calibri" w:eastAsia="Calibri" w:hAnsi="Calibri"/>
          <w:color w:val="757575"/>
          <w:sz w:val="15"/>
          <w:szCs w:val="15"/>
        </w:rPr>
        <w:t xml:space="preserve">   p. 188</w:t>
      </w:r>
    </w:p>
    <w:p>
      <w:pPr>
        <w:spacing w:after="70" w:before="0" w:line="264"/>
        <w:ind w:left="200"/>
        <w:jc w:val="both"/>
      </w:pPr>
      <w:r>
        <w:rPr>
          <w:rFonts w:ascii="Calibri" w:cs="Calibri" w:eastAsia="Calibri" w:hAnsi="Calibri"/>
          <w:color w:val="1A1A1A"/>
          <w:sz w:val="19"/>
          <w:szCs w:val="19"/>
        </w:rPr>
        <w:t xml:space="preserve">Fiche de frontières : où s’arrête la compétence administrative, où reprend la compétence judiciaire.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Fondement — </w:t>
      </w:r>
      <w:r>
        <w:rPr>
          <w:rFonts w:ascii="Calibri" w:cs="Calibri" w:eastAsia="Calibri" w:hAnsi="Calibri"/>
          <w:color w:val="2A2A2A"/>
          <w:sz w:val="18"/>
          <w:szCs w:val="18"/>
        </w:rPr>
        <w:t xml:space="preserve">loi des 16 et 24 août 1790 sur l’organisation judiciaire, séparation des autorités administratives et judiciaires.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Tribunal des conflits — </w:t>
      </w:r>
      <w:r>
        <w:rPr>
          <w:rFonts w:ascii="Calibri" w:cs="Calibri" w:eastAsia="Calibri" w:hAnsi="Calibri"/>
          <w:color w:val="2A2A2A"/>
          <w:sz w:val="18"/>
          <w:szCs w:val="18"/>
        </w:rPr>
        <w:t xml:space="preserve">arbitre des conflits de compétence entre les deux ordres.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Voie de fait — </w:t>
      </w:r>
      <w:r>
        <w:rPr>
          <w:rFonts w:ascii="Calibri" w:cs="Calibri" w:eastAsia="Calibri" w:hAnsi="Calibri"/>
          <w:color w:val="2A2A2A"/>
          <w:sz w:val="18"/>
          <w:szCs w:val="18"/>
        </w:rPr>
        <w:t xml:space="preserve">avant 2013, elle permettait de déroger à la compétence administrative en cas d’atteinte à une liberté fondamentale ou d’extinction d’un droit de propriété par une décision manifestement insusceptible de se rattacher à un pouvoir de l’administration ; Bergoend (2013) en a restreint le champ.</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Emprise irrégulière — </w:t>
      </w:r>
      <w:r>
        <w:rPr>
          <w:rFonts w:ascii="Calibri" w:cs="Calibri" w:eastAsia="Calibri" w:hAnsi="Calibri"/>
          <w:color w:val="2A2A2A"/>
          <w:sz w:val="18"/>
          <w:szCs w:val="18"/>
        </w:rPr>
        <w:t xml:space="preserve">atteinte irrégulière de l’administration au droit de propriété immobilière par une prise de possession temporaire ou définitive.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Autres hypothèses — </w:t>
      </w:r>
      <w:r>
        <w:rPr>
          <w:rFonts w:ascii="Calibri" w:cs="Calibri" w:eastAsia="Calibri" w:hAnsi="Calibri"/>
          <w:color w:val="2A2A2A"/>
          <w:sz w:val="18"/>
          <w:szCs w:val="18"/>
        </w:rPr>
        <w:t xml:space="preserve">expropriation pour cause d’utilité publique, contentieux de la reconduite des étrangers à la frontière, appréciation des actes administratifs par le juge judiciaire.</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Les fondements du dualisme juridictionnel  ·  Le rôle du Tribunal des conflits en cas de situations conflictuelles de compétences  ·  L’autorité judiciaire gardienne de la propriété privée immobilière et de la liberté individuelle  ·  Le juge judiciaire et les actes administratifs</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T. confl., 16 juin 1923, Sepƞonds, no 00732  ·  T. confl., 17 octobre 2011, SCEA du Chéneau c. INAPORC, M. Cherel et a. c. CNIEL, no C3828-3829  ·  T. confl., 17 juin 2013, Bergoend c. Société ERDF Annecy Léman, no C3911  ·  T. confl., 9 décembre 2013, Pannizon c. commune de Saint-Palais-sur-Mer, no C3931</w:t>
      </w:r>
    </w:p>
    <w:p>
      <w:pPr>
        <w:keepNext/>
        <w:spacing w:after="60" w:before="210"/>
      </w:pPr>
      <w:r>
        <w:rPr>
          <w:rFonts w:ascii="Calibri" w:cs="Calibri" w:eastAsia="Calibri" w:hAnsi="Calibri"/>
          <w:b/>
          <w:bCs/>
          <w:color w:val="2E5A88"/>
          <w:sz w:val="22"/>
          <w:szCs w:val="22"/>
        </w:rPr>
        <w:t xml:space="preserve">20. </w:t>
      </w:r>
      <w:r>
        <w:rPr>
          <w:rFonts w:ascii="Cambria" w:cs="Cambria" w:eastAsia="Cambria" w:hAnsi="Cambria"/>
          <w:b/>
          <w:bCs/>
          <w:color w:val="1F3864"/>
          <w:sz w:val="22"/>
          <w:szCs w:val="22"/>
        </w:rPr>
        <w:t xml:space="preserve">La protection administrative</w:t>
      </w:r>
      <w:r>
        <w:rPr>
          <w:rFonts w:ascii="Calibri" w:cs="Calibri" w:eastAsia="Calibri" w:hAnsi="Calibri"/>
          <w:color w:val="757575"/>
          <w:sz w:val="15"/>
          <w:szCs w:val="15"/>
        </w:rPr>
        <w:t xml:space="preserve">   p. 197</w:t>
      </w:r>
    </w:p>
    <w:p>
      <w:pPr>
        <w:spacing w:after="70" w:before="0" w:line="264"/>
        <w:ind w:left="200"/>
        <w:jc w:val="both"/>
      </w:pPr>
      <w:r>
        <w:rPr>
          <w:rFonts w:ascii="Calibri" w:cs="Calibri" w:eastAsia="Calibri" w:hAnsi="Calibri"/>
          <w:color w:val="1A1A1A"/>
          <w:sz w:val="19"/>
          <w:szCs w:val="19"/>
        </w:rPr>
        <w:t xml:space="preserve">Protéger les droits sans le juge : l’intérieur de l’administration, puis les autorités indépendantes.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Recours administratif préalable — </w:t>
      </w:r>
      <w:r>
        <w:rPr>
          <w:rFonts w:ascii="Calibri" w:cs="Calibri" w:eastAsia="Calibri" w:hAnsi="Calibri"/>
          <w:color w:val="2A2A2A"/>
          <w:sz w:val="18"/>
          <w:szCs w:val="18"/>
        </w:rPr>
        <w:t xml:space="preserve">voie de règlement non juridictionnel des litiges, offerte par l’administration elle-même.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CNCDH — </w:t>
      </w:r>
      <w:r>
        <w:rPr>
          <w:rFonts w:ascii="Calibri" w:cs="Calibri" w:eastAsia="Calibri" w:hAnsi="Calibri"/>
          <w:color w:val="2A2A2A"/>
          <w:sz w:val="18"/>
          <w:szCs w:val="18"/>
        </w:rPr>
        <w:t xml:space="preserve">Commission nationale consultative des droits de l’homme.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Défenseur des droits — </w:t>
      </w:r>
      <w:r>
        <w:rPr>
          <w:rFonts w:ascii="Calibri" w:cs="Calibri" w:eastAsia="Calibri" w:hAnsi="Calibri"/>
          <w:color w:val="2A2A2A"/>
          <w:sz w:val="18"/>
          <w:szCs w:val="18"/>
        </w:rPr>
        <w:t xml:space="preserve">autorité administrative indépendante à compétence générale, constitutionnalisée à l’article 71-1 ; successeur du Médiateur de la République.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AAI sectorielles — </w:t>
      </w:r>
      <w:r>
        <w:rPr>
          <w:rFonts w:ascii="Calibri" w:cs="Calibri" w:eastAsia="Calibri" w:hAnsi="Calibri"/>
          <w:color w:val="2A2A2A"/>
          <w:sz w:val="18"/>
          <w:szCs w:val="18"/>
        </w:rPr>
        <w:t xml:space="preserve">Contrôleur général des lieux de privation de liberté, Commission nationale de l’informatique et des libertés, Autorité de régulation de la communication audiovisuelle et numérique.</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L’effectivité des droits sans le juge ?  ·  La protection au sein des administrations elles-mêmes  ·  La Commission nationale consultative des droits de l’homme (CNCDH)  ·  La protection par des autorités administratives indépendantes</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Cons. const., décision no 84-173 DC du 26 juillet 1984</w:t>
      </w:r>
    </w:p>
    <w:p>
      <w:r>
        <w:br w:type="page"/>
      </w:r>
    </w:p>
    <w:p>
      <w:pPr>
        <w:pBdr>
          <w:bottom w:val="single" w:color="C7D2E0" w:sz="8"/>
        </w:pBdr>
        <w:spacing w:after="50" w:before="0"/>
      </w:pPr>
      <w:r>
        <w:rPr>
          <w:rFonts w:ascii="Calibri" w:cs="Calibri" w:eastAsia="Calibri" w:hAnsi="Calibri"/>
          <w:b/>
          <w:bCs/>
          <w:color w:val="2E5A88"/>
          <w:spacing w:val="30"/>
          <w:sz w:val="17"/>
          <w:szCs w:val="17"/>
        </w:rPr>
        <w:t xml:space="preserve">PARTIE V  ·  </w:t>
      </w:r>
      <w:r>
        <w:rPr>
          <w:rFonts w:ascii="Cambria" w:cs="Cambria" w:eastAsia="Cambria" w:hAnsi="Cambria"/>
          <w:b/>
          <w:bCs/>
          <w:color w:val="1F3864"/>
          <w:sz w:val="26"/>
          <w:szCs w:val="26"/>
        </w:rPr>
        <w:t xml:space="preserve">Les mécanismes internationaux et européens de protection</w:t>
      </w:r>
    </w:p>
    <w:p>
      <w:pPr>
        <w:spacing w:after="120" w:before="60"/>
        <w:jc w:val="both"/>
      </w:pPr>
      <w:r>
        <w:rPr>
          <w:rFonts w:ascii="Calibri" w:cs="Calibri" w:eastAsia="Calibri" w:hAnsi="Calibri"/>
          <w:i/>
          <w:iCs/>
          <w:color w:val="5A5A5A"/>
          <w:sz w:val="18"/>
          <w:szCs w:val="18"/>
        </w:rPr>
        <w:t xml:space="preserve">Les mêmes questions à l’échelle supranationale : comités onusiens, Cour de Strasbourg, Cour de Luxembourg, juridictions régionales, organes politiques et administratifs.</w:t>
      </w:r>
    </w:p>
    <w:p>
      <w:pPr>
        <w:keepNext/>
        <w:spacing w:after="60" w:before="210"/>
      </w:pPr>
      <w:r>
        <w:rPr>
          <w:rFonts w:ascii="Calibri" w:cs="Calibri" w:eastAsia="Calibri" w:hAnsi="Calibri"/>
          <w:b/>
          <w:bCs/>
          <w:color w:val="2E5A88"/>
          <w:sz w:val="22"/>
          <w:szCs w:val="22"/>
        </w:rPr>
        <w:t xml:space="preserve">21. </w:t>
      </w:r>
      <w:r>
        <w:rPr>
          <w:rFonts w:ascii="Cambria" w:cs="Cambria" w:eastAsia="Cambria" w:hAnsi="Cambria"/>
          <w:b/>
          <w:bCs/>
          <w:color w:val="1F3864"/>
          <w:sz w:val="22"/>
          <w:szCs w:val="22"/>
        </w:rPr>
        <w:t xml:space="preserve">Les comités onusiens</w:t>
      </w:r>
      <w:r>
        <w:rPr>
          <w:rFonts w:ascii="Calibri" w:cs="Calibri" w:eastAsia="Calibri" w:hAnsi="Calibri"/>
          <w:color w:val="757575"/>
          <w:sz w:val="15"/>
          <w:szCs w:val="15"/>
        </w:rPr>
        <w:t xml:space="preserve">   p. 209</w:t>
      </w:r>
    </w:p>
    <w:p>
      <w:pPr>
        <w:spacing w:after="70" w:before="0" w:line="264"/>
        <w:ind w:left="200"/>
        <w:jc w:val="both"/>
      </w:pPr>
      <w:r>
        <w:rPr>
          <w:rFonts w:ascii="Calibri" w:cs="Calibri" w:eastAsia="Calibri" w:hAnsi="Calibri"/>
          <w:color w:val="1A1A1A"/>
          <w:sz w:val="19"/>
          <w:szCs w:val="19"/>
        </w:rPr>
        <w:t xml:space="preserve">Les organes de traité onusiens : leurs fonctions, et la controverse sur la portée de leurs décisions.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Comités onusiens — </w:t>
      </w:r>
      <w:r>
        <w:rPr>
          <w:rFonts w:ascii="Calibri" w:cs="Calibri" w:eastAsia="Calibri" w:hAnsi="Calibri"/>
          <w:color w:val="2A2A2A"/>
          <w:sz w:val="18"/>
          <w:szCs w:val="18"/>
        </w:rPr>
        <w:t xml:space="preserve">organes chargés de surveiller la mise en œuvre par les États parties des neuf principales conventions onusiennes ; institués par la convention elle-même ou par un protocole facultatif.</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Rapports périodiques — </w:t>
      </w:r>
      <w:r>
        <w:rPr>
          <w:rFonts w:ascii="Calibri" w:cs="Calibri" w:eastAsia="Calibri" w:hAnsi="Calibri"/>
          <w:color w:val="2A2A2A"/>
          <w:sz w:val="18"/>
          <w:szCs w:val="18"/>
        </w:rPr>
        <w:t xml:space="preserve">obligation pour l’État de rendre compte régulièrement de la mise en œuvre de la convention.</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Communications — </w:t>
      </w:r>
      <w:r>
        <w:rPr>
          <w:rFonts w:ascii="Calibri" w:cs="Calibri" w:eastAsia="Calibri" w:hAnsi="Calibri"/>
          <w:color w:val="2A2A2A"/>
          <w:sz w:val="18"/>
          <w:szCs w:val="18"/>
        </w:rPr>
        <w:t xml:space="preserve">interétatiques (un État alerte sur les manquements d’un autre) et individuelles (fonction quasi juridictionnelle, subordonnée à l’acceptation de cette compétence).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Observations générales — </w:t>
      </w:r>
      <w:r>
        <w:rPr>
          <w:rFonts w:ascii="Calibri" w:cs="Calibri" w:eastAsia="Calibri" w:hAnsi="Calibri"/>
          <w:color w:val="2A2A2A"/>
          <w:sz w:val="18"/>
          <w:szCs w:val="18"/>
        </w:rPr>
        <w:t xml:space="preserve">interprétations de portée générale des dispositions du traité.</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Autres fonctions — </w:t>
      </w:r>
      <w:r>
        <w:rPr>
          <w:rFonts w:ascii="Calibri" w:cs="Calibri" w:eastAsia="Calibri" w:hAnsi="Calibri"/>
          <w:color w:val="2A2A2A"/>
          <w:sz w:val="18"/>
          <w:szCs w:val="18"/>
        </w:rPr>
        <w:t xml:space="preserve">mesures provisoires, procédures d’enquête, Sous-comité de prévention.</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La multiplication des comités  ·  L’hétérogénéité fonctionnelle des comités  ·  Les controverses sur la valeur juridique des décisions des comités ?</w:t>
      </w:r>
    </w:p>
    <w:p>
      <w:pPr>
        <w:keepNext/>
        <w:spacing w:after="60" w:before="210"/>
      </w:pPr>
      <w:r>
        <w:rPr>
          <w:rFonts w:ascii="Calibri" w:cs="Calibri" w:eastAsia="Calibri" w:hAnsi="Calibri"/>
          <w:b/>
          <w:bCs/>
          <w:color w:val="2E5A88"/>
          <w:sz w:val="22"/>
          <w:szCs w:val="22"/>
        </w:rPr>
        <w:t xml:space="preserve">22. </w:t>
      </w:r>
      <w:r>
        <w:rPr>
          <w:rFonts w:ascii="Cambria" w:cs="Cambria" w:eastAsia="Cambria" w:hAnsi="Cambria"/>
          <w:b/>
          <w:bCs/>
          <w:color w:val="1F3864"/>
          <w:sz w:val="22"/>
          <w:szCs w:val="22"/>
        </w:rPr>
        <w:t xml:space="preserve">La Cour européenne des droits de l’homme</w:t>
      </w:r>
      <w:r>
        <w:rPr>
          <w:rFonts w:ascii="Calibri" w:cs="Calibri" w:eastAsia="Calibri" w:hAnsi="Calibri"/>
          <w:color w:val="757575"/>
          <w:sz w:val="15"/>
          <w:szCs w:val="15"/>
        </w:rPr>
        <w:t xml:space="preserve">   p. 217</w:t>
      </w:r>
    </w:p>
    <w:p>
      <w:pPr>
        <w:spacing w:after="70" w:before="0" w:line="264"/>
        <w:ind w:left="200"/>
        <w:jc w:val="both"/>
      </w:pPr>
      <w:r>
        <w:rPr>
          <w:rFonts w:ascii="Calibri" w:cs="Calibri" w:eastAsia="Calibri" w:hAnsi="Calibri"/>
          <w:color w:val="1A1A1A"/>
          <w:sz w:val="19"/>
          <w:szCs w:val="19"/>
        </w:rPr>
        <w:t xml:space="preserve">Le fonctionnement, l’interprétation, puis la portée des arrêts.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Interprétation dynamique — </w:t>
      </w:r>
      <w:r>
        <w:rPr>
          <w:rFonts w:ascii="Calibri" w:cs="Calibri" w:eastAsia="Calibri" w:hAnsi="Calibri"/>
          <w:color w:val="2A2A2A"/>
          <w:sz w:val="18"/>
          <w:szCs w:val="18"/>
        </w:rPr>
        <w:t xml:space="preserve">enrichissement de la Convention par une lecture évolutive, qui fait apparaître des droits non écrits.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Concepts modérateurs — </w:t>
      </w:r>
      <w:r>
        <w:rPr>
          <w:rFonts w:ascii="Calibri" w:cs="Calibri" w:eastAsia="Calibri" w:hAnsi="Calibri"/>
          <w:color w:val="2A2A2A"/>
          <w:sz w:val="18"/>
          <w:szCs w:val="18"/>
        </w:rPr>
        <w:t xml:space="preserve">contrepoids dégagés par la Cour pour tempérer son contrôle.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Marge d’appréciation — </w:t>
      </w:r>
      <w:r>
        <w:rPr>
          <w:rFonts w:ascii="Calibri" w:cs="Calibri" w:eastAsia="Calibri" w:hAnsi="Calibri"/>
          <w:color w:val="2A2A2A"/>
          <w:sz w:val="18"/>
          <w:szCs w:val="18"/>
        </w:rPr>
        <w:t xml:space="preserve">latitude laissée à l’État, qui module l’intensité du contrôle : plus elle est restreinte, moins l’État dispose de liberté de choix ; elle est considérablement réduite en présence d’un consensus international ou d’une disposition importante de la Convention.</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Arrêt pilote — </w:t>
      </w:r>
      <w:r>
        <w:rPr>
          <w:rFonts w:ascii="Calibri" w:cs="Calibri" w:eastAsia="Calibri" w:hAnsi="Calibri"/>
          <w:color w:val="2A2A2A"/>
          <w:sz w:val="18"/>
          <w:szCs w:val="18"/>
        </w:rPr>
        <w:t xml:space="preserve">méthode élaborée face à l’engorgement : la Cour identifie un problème structurel et indique à l’État les mesures à prendre, en suspendant les affaires répétitives.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Chose interprétée — </w:t>
      </w:r>
      <w:r>
        <w:rPr>
          <w:rFonts w:ascii="Calibri" w:cs="Calibri" w:eastAsia="Calibri" w:hAnsi="Calibri"/>
          <w:color w:val="2A2A2A"/>
          <w:sz w:val="18"/>
          <w:szCs w:val="18"/>
        </w:rPr>
        <w:t xml:space="preserve">autorité de l’interprétation de la Cour à l’égard des autres États du Conseil de l’Europe, distincte de la force obligatoire de l’arrêt à l’égard de l’État condamné.</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Le fonctionnement institutionnel de la Cour  ·  L’interprétation de la Convention  ·  La portée des arrêts de la Cour</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CEDH, 23 juillet 1968  ·  CEDH, AP., 21 février 1975, Golder c. Royaume-Uni, no 4451/70  ·  CEDH, 9 octobre 1979, Airey c. Irlande, no 6289/73  ·  CEDH, GC., 6 avril 2000, Thlimmenos c. Grèce, no 34369/97</w:t>
      </w:r>
    </w:p>
    <w:p>
      <w:pPr>
        <w:keepNext/>
        <w:spacing w:after="60" w:before="210"/>
      </w:pPr>
      <w:r>
        <w:rPr>
          <w:rFonts w:ascii="Calibri" w:cs="Calibri" w:eastAsia="Calibri" w:hAnsi="Calibri"/>
          <w:b/>
          <w:bCs/>
          <w:color w:val="2E5A88"/>
          <w:sz w:val="22"/>
          <w:szCs w:val="22"/>
        </w:rPr>
        <w:t xml:space="preserve">23. </w:t>
      </w:r>
      <w:r>
        <w:rPr>
          <w:rFonts w:ascii="Cambria" w:cs="Cambria" w:eastAsia="Cambria" w:hAnsi="Cambria"/>
          <w:b/>
          <w:bCs/>
          <w:color w:val="1F3864"/>
          <w:sz w:val="22"/>
          <w:szCs w:val="22"/>
        </w:rPr>
        <w:t xml:space="preserve">La Cour de justice de l’Union européenne</w:t>
      </w:r>
      <w:r>
        <w:rPr>
          <w:rFonts w:ascii="Calibri" w:cs="Calibri" w:eastAsia="Calibri" w:hAnsi="Calibri"/>
          <w:color w:val="757575"/>
          <w:sz w:val="15"/>
          <w:szCs w:val="15"/>
        </w:rPr>
        <w:t xml:space="preserve">   p. 227</w:t>
      </w:r>
    </w:p>
    <w:p>
      <w:pPr>
        <w:spacing w:after="70" w:before="0" w:line="264"/>
        <w:ind w:left="200"/>
        <w:jc w:val="both"/>
      </w:pPr>
      <w:r>
        <w:rPr>
          <w:rFonts w:ascii="Calibri" w:cs="Calibri" w:eastAsia="Calibri" w:hAnsi="Calibri"/>
          <w:color w:val="1A1A1A"/>
          <w:sz w:val="19"/>
          <w:szCs w:val="19"/>
        </w:rPr>
        <w:t xml:space="preserve">Les voies d’accès, la difficulté d’accès des particuliers, puis les rapports entre juges.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Recours en annulation — </w:t>
      </w:r>
      <w:r>
        <w:rPr>
          <w:rFonts w:ascii="Calibri" w:cs="Calibri" w:eastAsia="Calibri" w:hAnsi="Calibri"/>
          <w:color w:val="2A2A2A"/>
          <w:sz w:val="18"/>
          <w:szCs w:val="18"/>
        </w:rPr>
        <w:t xml:space="preserve">contrôle de la légalité des actes de l’Union, devant le Tribunal (article 263 TFUE).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Renvoi préjudiciel — </w:t>
      </w:r>
      <w:r>
        <w:rPr>
          <w:rFonts w:ascii="Calibri" w:cs="Calibri" w:eastAsia="Calibri" w:hAnsi="Calibri"/>
          <w:color w:val="2A2A2A"/>
          <w:sz w:val="18"/>
          <w:szCs w:val="18"/>
        </w:rPr>
        <w:t xml:space="preserve">question posée par le juge national à la Cour pour assurer l’interprétation uniforme du droit de l’Union (article 267 TFUE).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Jurisprudence Plaumann — </w:t>
      </w:r>
      <w:r>
        <w:rPr>
          <w:rFonts w:ascii="Calibri" w:cs="Calibri" w:eastAsia="Calibri" w:hAnsi="Calibri"/>
          <w:color w:val="2A2A2A"/>
          <w:sz w:val="18"/>
          <w:szCs w:val="18"/>
        </w:rPr>
        <w:t xml:space="preserve">conditions strictes de recevabilité qui limitent fortement l’accès direct des particuliers, requérants non privilégiés.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Subsidiarité juridictionnelle — </w:t>
      </w:r>
      <w:r>
        <w:rPr>
          <w:rFonts w:ascii="Calibri" w:cs="Calibri" w:eastAsia="Calibri" w:hAnsi="Calibri"/>
          <w:color w:val="2A2A2A"/>
          <w:sz w:val="18"/>
          <w:szCs w:val="18"/>
        </w:rPr>
        <w:t xml:space="preserve">le juge national est le premier juge du droit de l’Union ; les voies de droit nationales et européennes sont complémentaires.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Protection juridictionnelle effective — </w:t>
      </w:r>
      <w:r>
        <w:rPr>
          <w:rFonts w:ascii="Calibri" w:cs="Calibri" w:eastAsia="Calibri" w:hAnsi="Calibri"/>
          <w:color w:val="2A2A2A"/>
          <w:sz w:val="18"/>
          <w:szCs w:val="18"/>
        </w:rPr>
        <w:t xml:space="preserve">exigence tirée de l’article 19 TUE et de l’article 47 de la Charte.</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L’institution, ses missions et son fonctionnement  ·  Protection des droits fondamentaux sous l’angle de la subsidiarité juridictionnelle  ·  La Cour de justice et les autres juridictions protectrices des libertés : concurrence ou synergie ?</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CJCE, 15 juillet 1963, Plaumann, aff.25/62  ·  CJUE, 8 avril 2014, Digital Rights Ireland, C-293/12  ·  CJCE, 9 mars 1978, Simmenthal, aff.106/77  ·  CJCE, 15 mai 1986, Johnston, aff.222/84</w:t>
      </w:r>
    </w:p>
    <w:p>
      <w:pPr>
        <w:keepNext/>
        <w:spacing w:after="60" w:before="210"/>
      </w:pPr>
      <w:r>
        <w:rPr>
          <w:rFonts w:ascii="Calibri" w:cs="Calibri" w:eastAsia="Calibri" w:hAnsi="Calibri"/>
          <w:b/>
          <w:bCs/>
          <w:color w:val="2E5A88"/>
          <w:sz w:val="22"/>
          <w:szCs w:val="22"/>
        </w:rPr>
        <w:t xml:space="preserve">24. </w:t>
      </w:r>
      <w:r>
        <w:rPr>
          <w:rFonts w:ascii="Cambria" w:cs="Cambria" w:eastAsia="Cambria" w:hAnsi="Cambria"/>
          <w:b/>
          <w:bCs/>
          <w:color w:val="1F3864"/>
          <w:sz w:val="22"/>
          <w:szCs w:val="22"/>
        </w:rPr>
        <w:t xml:space="preserve">Les autres juridictions régionales</w:t>
      </w:r>
      <w:r>
        <w:rPr>
          <w:rFonts w:ascii="Calibri" w:cs="Calibri" w:eastAsia="Calibri" w:hAnsi="Calibri"/>
          <w:color w:val="757575"/>
          <w:sz w:val="15"/>
          <w:szCs w:val="15"/>
        </w:rPr>
        <w:t xml:space="preserve">   p. 237</w:t>
      </w:r>
    </w:p>
    <w:p>
      <w:pPr>
        <w:spacing w:after="70" w:before="0" w:line="264"/>
        <w:ind w:left="200"/>
        <w:jc w:val="both"/>
      </w:pPr>
      <w:r>
        <w:rPr>
          <w:rFonts w:ascii="Calibri" w:cs="Calibri" w:eastAsia="Calibri" w:hAnsi="Calibri"/>
          <w:color w:val="1A1A1A"/>
          <w:sz w:val="19"/>
          <w:szCs w:val="19"/>
        </w:rPr>
        <w:t xml:space="preserve">Le panorama comparatif, support naturel du débat universalisme / relativisme.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Système interaméricain — </w:t>
      </w:r>
      <w:r>
        <w:rPr>
          <w:rFonts w:ascii="Calibri" w:cs="Calibri" w:eastAsia="Calibri" w:hAnsi="Calibri"/>
          <w:color w:val="2A2A2A"/>
          <w:sz w:val="18"/>
          <w:szCs w:val="18"/>
        </w:rPr>
        <w:t xml:space="preserve">Commission et Cour interaméricaines des droits de l’homme ; Convention américaine de 1969.</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Système africain — </w:t>
      </w:r>
      <w:r>
        <w:rPr>
          <w:rFonts w:ascii="Calibri" w:cs="Calibri" w:eastAsia="Calibri" w:hAnsi="Calibri"/>
          <w:color w:val="2A2A2A"/>
          <w:sz w:val="18"/>
          <w:szCs w:val="18"/>
        </w:rPr>
        <w:t xml:space="preserve">Cour africaine des droits de l’homme et des peuples (protocole de 1998), en partage de compétence avec la Commission africaine ; Charte de 1981.</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Système arabe — </w:t>
      </w:r>
      <w:r>
        <w:rPr>
          <w:rFonts w:ascii="Calibri" w:cs="Calibri" w:eastAsia="Calibri" w:hAnsi="Calibri"/>
          <w:color w:val="2A2A2A"/>
          <w:sz w:val="18"/>
          <w:szCs w:val="18"/>
        </w:rPr>
        <w:t xml:space="preserve">Cour arabe des droits de l’homme (statut de 2014), dont le fascicule souligne la portée limitée.</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La Cour interaméricaine des droits de l’homme  ·  La Cour africaine des droits de l’homme et des peuples  ·  La Cour arabe des droits de l’homme  ·  Tableau comparatif des différentes juridictions régionales :</w:t>
      </w:r>
    </w:p>
    <w:p>
      <w:pPr>
        <w:keepNext/>
        <w:spacing w:after="60" w:before="210"/>
      </w:pPr>
      <w:r>
        <w:rPr>
          <w:rFonts w:ascii="Calibri" w:cs="Calibri" w:eastAsia="Calibri" w:hAnsi="Calibri"/>
          <w:b/>
          <w:bCs/>
          <w:color w:val="2E5A88"/>
          <w:sz w:val="22"/>
          <w:szCs w:val="22"/>
        </w:rPr>
        <w:t xml:space="preserve">25. </w:t>
      </w:r>
      <w:r>
        <w:rPr>
          <w:rFonts w:ascii="Cambria" w:cs="Cambria" w:eastAsia="Cambria" w:hAnsi="Cambria"/>
          <w:b/>
          <w:bCs/>
          <w:color w:val="1F3864"/>
          <w:sz w:val="22"/>
          <w:szCs w:val="22"/>
        </w:rPr>
        <w:t xml:space="preserve">La protection politique et administrative internationale</w:t>
      </w:r>
      <w:r>
        <w:rPr>
          <w:rFonts w:ascii="Calibri" w:cs="Calibri" w:eastAsia="Calibri" w:hAnsi="Calibri"/>
          <w:color w:val="757575"/>
          <w:sz w:val="15"/>
          <w:szCs w:val="15"/>
        </w:rPr>
        <w:t xml:space="preserve">   p. 245</w:t>
      </w:r>
    </w:p>
    <w:p>
      <w:pPr>
        <w:spacing w:after="70" w:before="0" w:line="264"/>
        <w:ind w:left="200"/>
        <w:jc w:val="both"/>
      </w:pPr>
      <w:r>
        <w:rPr>
          <w:rFonts w:ascii="Calibri" w:cs="Calibri" w:eastAsia="Calibri" w:hAnsi="Calibri"/>
          <w:color w:val="1A1A1A"/>
          <w:sz w:val="19"/>
          <w:szCs w:val="19"/>
        </w:rPr>
        <w:t xml:space="preserve">La protection non juridictionnelle, aux trois échelles institutionnelles.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Nations unies — </w:t>
      </w:r>
      <w:r>
        <w:rPr>
          <w:rFonts w:ascii="Calibri" w:cs="Calibri" w:eastAsia="Calibri" w:hAnsi="Calibri"/>
          <w:color w:val="2A2A2A"/>
          <w:sz w:val="18"/>
          <w:szCs w:val="18"/>
        </w:rPr>
        <w:t xml:space="preserve">Conseil des droits de l’homme (création, composition, missions, retraits d’États) et Haut-Commissariat aux droits de l’homme.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Conseil de l’Europe — </w:t>
      </w:r>
      <w:r>
        <w:rPr>
          <w:rFonts w:ascii="Calibri" w:cs="Calibri" w:eastAsia="Calibri" w:hAnsi="Calibri"/>
          <w:color w:val="2A2A2A"/>
          <w:sz w:val="18"/>
          <w:szCs w:val="18"/>
        </w:rPr>
        <w:t xml:space="preserve">Commissaire aux droits de l’homme et Commission de Venise.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b/>
          <w:bCs/>
          <w:color w:val="1F3864"/>
          <w:sz w:val="18"/>
          <w:szCs w:val="18"/>
        </w:rPr>
        <w:t xml:space="preserve">Union européenne — </w:t>
      </w:r>
      <w:r>
        <w:rPr>
          <w:rFonts w:ascii="Calibri" w:cs="Calibri" w:eastAsia="Calibri" w:hAnsi="Calibri"/>
          <w:color w:val="2A2A2A"/>
          <w:sz w:val="18"/>
          <w:szCs w:val="18"/>
        </w:rPr>
        <w:t xml:space="preserve">Médiateur européen, Agence des droits fondamentaux, Contrôleur européen de la protection des données.</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La protection administrative et politique par les organes des Nations unies  ·  La protection politique et administrative par des organes du Conseil de l’Europe  ·  La protection politique et administrative par des organes de l’Union européenne</w:t>
      </w:r>
    </w:p>
    <w:p>
      <w:r>
        <w:br w:type="page"/>
      </w:r>
    </w:p>
    <w:p>
      <w:pPr>
        <w:pBdr>
          <w:bottom w:val="single" w:color="C7D2E0" w:sz="8"/>
        </w:pBdr>
        <w:spacing w:after="50" w:before="0"/>
      </w:pPr>
      <w:r>
        <w:rPr>
          <w:rFonts w:ascii="Calibri" w:cs="Calibri" w:eastAsia="Calibri" w:hAnsi="Calibri"/>
          <w:b/>
          <w:bCs/>
          <w:color w:val="2E5A88"/>
          <w:spacing w:val="30"/>
          <w:sz w:val="17"/>
          <w:szCs w:val="17"/>
        </w:rPr>
        <w:t xml:space="preserve">PARTIE VI  ·  </w:t>
      </w:r>
      <w:r>
        <w:rPr>
          <w:rFonts w:ascii="Cambria" w:cs="Cambria" w:eastAsia="Cambria" w:hAnsi="Cambria"/>
          <w:b/>
          <w:bCs/>
          <w:color w:val="1F3864"/>
          <w:sz w:val="26"/>
          <w:szCs w:val="26"/>
        </w:rPr>
        <w:t xml:space="preserve">Les droits civils et politiques</w:t>
      </w:r>
    </w:p>
    <w:p>
      <w:pPr>
        <w:spacing w:after="120" w:before="60"/>
        <w:jc w:val="both"/>
      </w:pPr>
      <w:r>
        <w:rPr>
          <w:rFonts w:ascii="Calibri" w:cs="Calibri" w:eastAsia="Calibri" w:hAnsi="Calibri"/>
          <w:i/>
          <w:iCs/>
          <w:color w:val="5A5A5A"/>
          <w:sz w:val="18"/>
          <w:szCs w:val="18"/>
        </w:rPr>
        <w:t xml:space="preserve">Le catalogue commence. Dix-neuf fiches : la personne physique, la liberté physique et le procès, la sphère privée, les libertés de l’esprit et de l’action collective, la circulation et l’enseignement, enfin le politique.</w:t>
      </w:r>
    </w:p>
    <w:p>
      <w:pPr>
        <w:keepNext/>
        <w:spacing w:after="60" w:before="210"/>
      </w:pPr>
      <w:r>
        <w:rPr>
          <w:rFonts w:ascii="Calibri" w:cs="Calibri" w:eastAsia="Calibri" w:hAnsi="Calibri"/>
          <w:b/>
          <w:bCs/>
          <w:color w:val="2E5A88"/>
          <w:sz w:val="22"/>
          <w:szCs w:val="22"/>
        </w:rPr>
        <w:t xml:space="preserve">26. </w:t>
      </w:r>
      <w:r>
        <w:rPr>
          <w:rFonts w:ascii="Cambria" w:cs="Cambria" w:eastAsia="Cambria" w:hAnsi="Cambria"/>
          <w:b/>
          <w:bCs/>
          <w:color w:val="1F3864"/>
          <w:sz w:val="22"/>
          <w:szCs w:val="22"/>
        </w:rPr>
        <w:t xml:space="preserve">Le droit à la vie</w:t>
      </w:r>
      <w:r>
        <w:rPr>
          <w:rFonts w:ascii="Calibri" w:cs="Calibri" w:eastAsia="Calibri" w:hAnsi="Calibri"/>
          <w:color w:val="757575"/>
          <w:sz w:val="15"/>
          <w:szCs w:val="15"/>
        </w:rPr>
        <w:t xml:space="preserve">   p. 256</w:t>
      </w:r>
    </w:p>
    <w:p>
      <w:pPr>
        <w:spacing w:after="75" w:before="0" w:line="264"/>
        <w:ind w:left="200"/>
        <w:jc w:val="both"/>
      </w:pPr>
      <w:r>
        <w:rPr>
          <w:rFonts w:ascii="Calibri" w:cs="Calibri" w:eastAsia="Calibri" w:hAnsi="Calibri"/>
          <w:color w:val="1A1A1A"/>
          <w:sz w:val="19"/>
          <w:szCs w:val="19"/>
        </w:rPr>
        <w:t xml:space="preserve">Le droit à la vie protège contre la privation arbitraire de la vie. Le fascicule le présente comme une valeur absolue dans l’échelle des droits — « attribut inaliénable de la personne humaine », « droit suprême » pour le Comité des droits de l’Homme — et comme la condition d’exercice de tous les autres droits.</w:t>
      </w:r>
    </w:p>
    <w:p>
      <w:pPr>
        <w:spacing w:after="70" w:before="0" w:line="264"/>
        <w:ind w:left="200"/>
        <w:jc w:val="both"/>
      </w:pPr>
      <w:r>
        <w:rPr>
          <w:rFonts w:ascii="Calibri" w:cs="Calibri" w:eastAsia="Calibri" w:hAnsi="Calibri"/>
          <w:b/>
          <w:bCs/>
          <w:color w:val="2E5A88"/>
          <w:spacing w:val="18"/>
          <w:sz w:val="15"/>
          <w:szCs w:val="15"/>
        </w:rPr>
        <w:t xml:space="preserve">TEXTES  </w:t>
      </w:r>
      <w:r>
        <w:rPr>
          <w:rFonts w:ascii="Calibri" w:cs="Calibri" w:eastAsia="Calibri" w:hAnsi="Calibri"/>
          <w:color w:val="3C3C3C"/>
          <w:sz w:val="17"/>
          <w:szCs w:val="17"/>
        </w:rPr>
        <w:t xml:space="preserve">Article 3 DUDH · article 6-1 PIDCP · article 2 CEDH · article 2 de la Charte · article 6 de la Convention relative aux droits de l’enfant. Pas de consécration constitutionnelle française d’un droit suprême à la vie : la protection est surtout législative, mais le juge administratif en fait une liberté fondamentale au sens du référé-liberté.</w:t>
      </w:r>
    </w:p>
    <w:p>
      <w:pPr>
        <w:spacing w:after="45"/>
        <w:ind w:left="200"/>
      </w:pPr>
      <w:r>
        <w:rPr>
          <w:rFonts w:ascii="Calibri" w:cs="Calibri" w:eastAsia="Calibri" w:hAnsi="Calibri"/>
          <w:b/>
          <w:bCs/>
          <w:color w:val="2E5A88"/>
          <w:spacing w:val="18"/>
          <w:sz w:val="15"/>
          <w:szCs w:val="15"/>
        </w:rPr>
        <w:t xml:space="preserve">CE QUE LE DROIT CONTIENT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Point de départ de la protection : la Convention ne le fixe pas ; l’embryon ne peut se prévaloir du droit à la vie et l’État dispose d’une marge d’appréciation sur la détermination du début de la vie (Vo c. France). L’interruption volontaire de grossesse n’est pas réputée porter atteinte au droit à la vie.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Interdiction d’infliger la mort : peine de mort, atteintes résultant des opérations de la puissance publique, état de guerre et privilège du combattant — le droit à la vie du civil est à relativiser en situation de conflit armé.</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Obligations procédurales : l’État doit enquêter effectivement sur les atteintes à la vie.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Obligations positives et effet horizontal : le droit ne protège pas seulement contre une atteinte directement infligée par l’État ; il impose aussi de protéger contre les aléas.</w:t>
      </w:r>
    </w:p>
    <w:p>
      <w:pPr>
        <w:spacing w:after="70" w:before="30" w:line="264"/>
        <w:ind w:left="200"/>
        <w:jc w:val="both"/>
      </w:pPr>
      <w:r>
        <w:rPr>
          <w:rFonts w:ascii="Calibri" w:cs="Calibri" w:eastAsia="Calibri" w:hAnsi="Calibri"/>
          <w:b/>
          <w:bCs/>
          <w:color w:val="2E5A88"/>
          <w:spacing w:val="18"/>
          <w:sz w:val="15"/>
          <w:szCs w:val="15"/>
        </w:rPr>
        <w:t xml:space="preserve">RÉGIME  </w:t>
      </w:r>
      <w:r>
        <w:rPr>
          <w:rFonts w:ascii="Calibri" w:cs="Calibri" w:eastAsia="Calibri" w:hAnsi="Calibri"/>
          <w:color w:val="2A2A2A"/>
          <w:sz w:val="18"/>
          <w:szCs w:val="18"/>
        </w:rPr>
        <w:t xml:space="preserve">Indérogeable — il ne peut faire l’objet d’une dérogation en temps de troubles internes ou de crise politique — mais non absolu : l’article 2 § 2 de la Convention formule des exceptions précises, et le droit doit s’articuler avec les nécessités de la vie en société démocratique (McCann).</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Principes fondamentaux relatifs à la vie  ·  La protection étendue du droit à la vie</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Cons. const, déc. no 94-343/344 DC, 27 juillet 1994</w:t>
      </w:r>
    </w:p>
    <w:p>
      <w:pPr>
        <w:keepNext/>
        <w:spacing w:after="60" w:before="210"/>
      </w:pPr>
      <w:r>
        <w:rPr>
          <w:rFonts w:ascii="Calibri" w:cs="Calibri" w:eastAsia="Calibri" w:hAnsi="Calibri"/>
          <w:b/>
          <w:bCs/>
          <w:color w:val="2E5A88"/>
          <w:sz w:val="22"/>
          <w:szCs w:val="22"/>
        </w:rPr>
        <w:t xml:space="preserve">27. </w:t>
      </w:r>
      <w:r>
        <w:rPr>
          <w:rFonts w:ascii="Cambria" w:cs="Cambria" w:eastAsia="Cambria" w:hAnsi="Cambria"/>
          <w:b/>
          <w:bCs/>
          <w:color w:val="1F3864"/>
          <w:sz w:val="22"/>
          <w:szCs w:val="22"/>
        </w:rPr>
        <w:t xml:space="preserve">Le droit à l’intégrité de la personne</w:t>
      </w:r>
      <w:r>
        <w:rPr>
          <w:rFonts w:ascii="Calibri" w:cs="Calibri" w:eastAsia="Calibri" w:hAnsi="Calibri"/>
          <w:color w:val="757575"/>
          <w:sz w:val="15"/>
          <w:szCs w:val="15"/>
        </w:rPr>
        <w:t xml:space="preserve">   p. 267</w:t>
      </w:r>
    </w:p>
    <w:p>
      <w:pPr>
        <w:spacing w:after="75" w:before="0" w:line="264"/>
        <w:ind w:left="200"/>
        <w:jc w:val="both"/>
      </w:pPr>
      <w:r>
        <w:rPr>
          <w:rFonts w:ascii="Calibri" w:cs="Calibri" w:eastAsia="Calibri" w:hAnsi="Calibri"/>
          <w:color w:val="1A1A1A"/>
          <w:sz w:val="19"/>
          <w:szCs w:val="19"/>
        </w:rPr>
        <w:t xml:space="preserve">Le droit à l’intégrité protège la personne dans son corps et dans son esprit. La notion est absente du texte de la Convention : la Cour la protège sur le fondement des articles 8 et 3, appliqués isolément ou combinés. En droit interne, le Conseil constitutionnel la rattache à la dignité de la personne humaine tirée du préambule de 1946.</w:t>
      </w:r>
    </w:p>
    <w:p>
      <w:pPr>
        <w:spacing w:after="70" w:before="0" w:line="264"/>
        <w:ind w:left="200"/>
        <w:jc w:val="both"/>
      </w:pPr>
      <w:r>
        <w:rPr>
          <w:rFonts w:ascii="Calibri" w:cs="Calibri" w:eastAsia="Calibri" w:hAnsi="Calibri"/>
          <w:b/>
          <w:bCs/>
          <w:color w:val="2E5A88"/>
          <w:spacing w:val="18"/>
          <w:sz w:val="15"/>
          <w:szCs w:val="15"/>
        </w:rPr>
        <w:t xml:space="preserve">TEXTES  </w:t>
      </w:r>
      <w:r>
        <w:rPr>
          <w:rFonts w:ascii="Calibri" w:cs="Calibri" w:eastAsia="Calibri" w:hAnsi="Calibri"/>
          <w:color w:val="3C3C3C"/>
          <w:sz w:val="17"/>
          <w:szCs w:val="17"/>
        </w:rPr>
        <w:t xml:space="preserve">Articles 8 et 3 CEDH (Wainwright) · préambule de 1946 par l’intermédiaire de la dignité · articles 9 et suivants du Code civil pour l’intégrité morale.</w:t>
      </w:r>
    </w:p>
    <w:p>
      <w:pPr>
        <w:spacing w:after="45"/>
        <w:ind w:left="200"/>
      </w:pPr>
      <w:r>
        <w:rPr>
          <w:rFonts w:ascii="Calibri" w:cs="Calibri" w:eastAsia="Calibri" w:hAnsi="Calibri"/>
          <w:b/>
          <w:bCs/>
          <w:color w:val="2E5A88"/>
          <w:spacing w:val="18"/>
          <w:sz w:val="15"/>
          <w:szCs w:val="15"/>
        </w:rPr>
        <w:t xml:space="preserve">CE QUE LE DROIT CONTIENT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Autonomie personnelle : notion tirée de l’article 8 (Pretty), selon laquelle l’individu peut opérer des choix susceptibles de porter atteinte à son intégrité dès lors qu’il y consent de manière libre et éclairée — refus de soins, pratiques sexuelles consenties, rectification de l’état civil.</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Intégrité physique : libre disposition de son corps, non-patrimonialité et indisponibilité du corps humain, protection de la santé, inviolabilité, exceptions au consentement aux soins, fin de vie.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Seuil de gravité : l’atteinte relève de l’article 3 si elle dépasse le seuil requis ; en deçà, la Cour la traite sur le fondement des articles 8 et 3 combinés, ou du seul article 8 pour une atteinte de moindre gravité.</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Fin de vie : l’article 2 ne permet pas de déduire un droit à mourir, tandis que l’article 8 protège les choix relatifs aux conditions de sa propre fin de vie.</w:t>
      </w:r>
    </w:p>
    <w:p>
      <w:pPr>
        <w:spacing w:after="70" w:before="30" w:line="264"/>
        <w:ind w:left="200"/>
        <w:jc w:val="both"/>
      </w:pPr>
      <w:r>
        <w:rPr>
          <w:rFonts w:ascii="Calibri" w:cs="Calibri" w:eastAsia="Calibri" w:hAnsi="Calibri"/>
          <w:b/>
          <w:bCs/>
          <w:color w:val="2E5A88"/>
          <w:spacing w:val="18"/>
          <w:sz w:val="15"/>
          <w:szCs w:val="15"/>
        </w:rPr>
        <w:t xml:space="preserve">RÉGIME  </w:t>
      </w:r>
      <w:r>
        <w:rPr>
          <w:rFonts w:ascii="Calibri" w:cs="Calibri" w:eastAsia="Calibri" w:hAnsi="Calibri"/>
          <w:color w:val="2A2A2A"/>
          <w:sz w:val="18"/>
          <w:szCs w:val="18"/>
        </w:rPr>
        <w:t xml:space="preserve">Non absolu. La dignité, conçue de manière objective, limite le droit de disposer de son corps (Morsang-sur-Orge) ; le seul consentement de la victime ne suffit pas à écarter une atteinte à la dignité, ni à justifier pénalement une atteinte à l’intégrité, qui doit en outre poursuivre un motif légitime.</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Le droit à l’intégrité physique de la personne humaine  ·  Le droit à l’intégrité morale de la personne humaine</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CEDH, 29 avril 2002, Pretty c. Royaume-Uni, no 2346/02  ·  CEDH, GC., 25 septembre 2018, Denisov c. Ukraine, no 76639/11  ·  CEDH, 24 avril 2025, L. et a. c. France, nos 46949/21 et 2 a  ·  CEDH, 23 janvier 2025, H.W. c. France, no 13805/21</w:t>
      </w:r>
    </w:p>
    <w:p>
      <w:pPr>
        <w:keepNext/>
        <w:spacing w:after="60" w:before="210"/>
      </w:pPr>
      <w:r>
        <w:rPr>
          <w:rFonts w:ascii="Calibri" w:cs="Calibri" w:eastAsia="Calibri" w:hAnsi="Calibri"/>
          <w:b/>
          <w:bCs/>
          <w:color w:val="2E5A88"/>
          <w:sz w:val="22"/>
          <w:szCs w:val="22"/>
        </w:rPr>
        <w:t xml:space="preserve">28. </w:t>
      </w:r>
      <w:r>
        <w:rPr>
          <w:rFonts w:ascii="Cambria" w:cs="Cambria" w:eastAsia="Cambria" w:hAnsi="Cambria"/>
          <w:b/>
          <w:bCs/>
          <w:color w:val="1F3864"/>
          <w:sz w:val="22"/>
          <w:szCs w:val="22"/>
        </w:rPr>
        <w:t xml:space="preserve">L’interdiction de la torture et des peines ou traitements inhumains ou dégradants</w:t>
      </w:r>
      <w:r>
        <w:rPr>
          <w:rFonts w:ascii="Calibri" w:cs="Calibri" w:eastAsia="Calibri" w:hAnsi="Calibri"/>
          <w:color w:val="757575"/>
          <w:sz w:val="15"/>
          <w:szCs w:val="15"/>
        </w:rPr>
        <w:t xml:space="preserve">   p. 279</w:t>
      </w:r>
    </w:p>
    <w:p>
      <w:pPr>
        <w:spacing w:after="75" w:before="0" w:line="264"/>
        <w:ind w:left="200"/>
        <w:jc w:val="both"/>
      </w:pPr>
      <w:r>
        <w:rPr>
          <w:rFonts w:ascii="Calibri" w:cs="Calibri" w:eastAsia="Calibri" w:hAnsi="Calibri"/>
          <w:color w:val="1A1A1A"/>
          <w:sz w:val="19"/>
          <w:szCs w:val="19"/>
        </w:rPr>
        <w:t xml:space="preserve">L’article 3 interdit trois choses de gravité décroissante : la torture, les peines ou traitements inhumains, les peines ou traitements dégradants. Le fascicule présente cette interdiction comme intrinsèquement liée à la dignité — « une valeur de civilisation étroitement liée au respect de la dignité humaine » (Bouyid, 2015).</w:t>
      </w:r>
    </w:p>
    <w:p>
      <w:pPr>
        <w:spacing w:after="70" w:before="0" w:line="264"/>
        <w:ind w:left="200"/>
        <w:jc w:val="both"/>
      </w:pPr>
      <w:r>
        <w:rPr>
          <w:rFonts w:ascii="Calibri" w:cs="Calibri" w:eastAsia="Calibri" w:hAnsi="Calibri"/>
          <w:b/>
          <w:bCs/>
          <w:color w:val="2E5A88"/>
          <w:spacing w:val="18"/>
          <w:sz w:val="15"/>
          <w:szCs w:val="15"/>
        </w:rPr>
        <w:t xml:space="preserve">TEXTES  </w:t>
      </w:r>
      <w:r>
        <w:rPr>
          <w:rFonts w:ascii="Calibri" w:cs="Calibri" w:eastAsia="Calibri" w:hAnsi="Calibri"/>
          <w:color w:val="3C3C3C"/>
          <w:sz w:val="17"/>
          <w:szCs w:val="17"/>
        </w:rPr>
        <w:t xml:space="preserve">Article 3 CEDH · article 5 DUDH · article 7 PIDCP (qui ajoute l’interdiction des expériences médicales ou scientifiques sans consentement) · Convention des Nations unies de 1984 · articles 222-1 et suivants du Code pénal.</w:t>
      </w:r>
    </w:p>
    <w:p>
      <w:pPr>
        <w:spacing w:after="45"/>
        <w:ind w:left="200"/>
      </w:pPr>
      <w:r>
        <w:rPr>
          <w:rFonts w:ascii="Calibri" w:cs="Calibri" w:eastAsia="Calibri" w:hAnsi="Calibri"/>
          <w:b/>
          <w:bCs/>
          <w:color w:val="2E5A88"/>
          <w:spacing w:val="18"/>
          <w:sz w:val="15"/>
          <w:szCs w:val="15"/>
        </w:rPr>
        <w:t xml:space="preserve">CE QUE LE DROIT CONTIENT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Qualification : la distinction entre torture, traitement inhumain et traitement dégradant tient au degré de gravité de l’atteinte, apprécié au regard des circonstances de la cause.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Instruments spécifiques : Comité contre la torture ; protocole facultatif de 2002 organisant des visites régulières des lieux de privation de liberté, d’où le Contrôleur général des lieux de privation de liberté en France ; Convention européenne de 1989 et Comité européen pour la prévention de la torture.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Autonomie normative de l’interdiction de l’esclavage et du travail forcé, qui relève de l’article 4 et non de l’article 3.</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Obligations négatives (ne pas infliger) et positives (prévenir, enquêter, protéger) ; terrain d’élection : les conditions indignes de détention.</w:t>
      </w:r>
    </w:p>
    <w:p>
      <w:pPr>
        <w:spacing w:after="70" w:before="30" w:line="264"/>
        <w:ind w:left="200"/>
        <w:jc w:val="both"/>
      </w:pPr>
      <w:r>
        <w:rPr>
          <w:rFonts w:ascii="Calibri" w:cs="Calibri" w:eastAsia="Calibri" w:hAnsi="Calibri"/>
          <w:b/>
          <w:bCs/>
          <w:color w:val="2E5A88"/>
          <w:spacing w:val="18"/>
          <w:sz w:val="15"/>
          <w:szCs w:val="15"/>
        </w:rPr>
        <w:t xml:space="preserve">RÉGIME  </w:t>
      </w:r>
      <w:r>
        <w:rPr>
          <w:rFonts w:ascii="Calibri" w:cs="Calibri" w:eastAsia="Calibri" w:hAnsi="Calibri"/>
          <w:color w:val="2A2A2A"/>
          <w:sz w:val="18"/>
          <w:szCs w:val="18"/>
        </w:rPr>
        <w:t xml:space="preserve">Absolu et indérogeable : l’article 3 ne peut faire l’objet d’aucune dérogation, y compris en cas de recours à l’article 15 relatif à l’état d’urgence (Irlande c. Royaume-Uni). La Cour y voit une norme de jus cogens (Al-Adsani, dans le sillage de Furundžija).</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L’interdiction vigoureuse par le droit international et européen des droits humains  ·  L’existence d’instruments conventionnels spécifiques  ·  Les contours de la torture  ·  La distinction entre les traitements et peines « inhumains » et « dégradants »  ·  L’autonomie normative de l’interdiction de l’esclavage et du travail forcé  ·  Les obligations négatives et positives de l’État</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CE, ord., 22 décembre 2012, SF-OIP, no 364584  ·  CEDH, 30 janvier 2020, J.M.B. et a. c. France, no 9671/15</w:t>
      </w:r>
    </w:p>
    <w:p>
      <w:pPr>
        <w:keepNext/>
        <w:spacing w:after="60" w:before="210"/>
      </w:pPr>
      <w:r>
        <w:rPr>
          <w:rFonts w:ascii="Calibri" w:cs="Calibri" w:eastAsia="Calibri" w:hAnsi="Calibri"/>
          <w:b/>
          <w:bCs/>
          <w:color w:val="2E5A88"/>
          <w:sz w:val="22"/>
          <w:szCs w:val="22"/>
        </w:rPr>
        <w:t xml:space="preserve">29. </w:t>
      </w:r>
      <w:r>
        <w:rPr>
          <w:rFonts w:ascii="Cambria" w:cs="Cambria" w:eastAsia="Cambria" w:hAnsi="Cambria"/>
          <w:b/>
          <w:bCs/>
          <w:color w:val="1F3864"/>
          <w:sz w:val="22"/>
          <w:szCs w:val="22"/>
        </w:rPr>
        <w:t xml:space="preserve">L’interdiction de l’esclavage, de la traite, de la servitude et du travail forcé</w:t>
      </w:r>
      <w:r>
        <w:rPr>
          <w:rFonts w:ascii="Calibri" w:cs="Calibri" w:eastAsia="Calibri" w:hAnsi="Calibri"/>
          <w:color w:val="757575"/>
          <w:sz w:val="15"/>
          <w:szCs w:val="15"/>
        </w:rPr>
        <w:t xml:space="preserve">   p. 288</w:t>
      </w:r>
    </w:p>
    <w:p>
      <w:pPr>
        <w:spacing w:after="75" w:before="0" w:line="264"/>
        <w:ind w:left="200"/>
        <w:jc w:val="both"/>
      </w:pPr>
      <w:r>
        <w:rPr>
          <w:rFonts w:ascii="Calibri" w:cs="Calibri" w:eastAsia="Calibri" w:hAnsi="Calibri"/>
          <w:color w:val="1A1A1A"/>
          <w:sz w:val="19"/>
          <w:szCs w:val="19"/>
        </w:rPr>
        <w:t xml:space="preserve">Quatre situations d’exploitation à distinguer nettement, toutes rattachées à l’atteinte à la dignité même de l’être humain. L’article 4 les interdit ; la Charte y ajoute expressément la traite.</w:t>
      </w:r>
    </w:p>
    <w:p>
      <w:pPr>
        <w:spacing w:after="70" w:before="0" w:line="264"/>
        <w:ind w:left="200"/>
        <w:jc w:val="both"/>
      </w:pPr>
      <w:r>
        <w:rPr>
          <w:rFonts w:ascii="Calibri" w:cs="Calibri" w:eastAsia="Calibri" w:hAnsi="Calibri"/>
          <w:b/>
          <w:bCs/>
          <w:color w:val="2E5A88"/>
          <w:spacing w:val="18"/>
          <w:sz w:val="15"/>
          <w:szCs w:val="15"/>
        </w:rPr>
        <w:t xml:space="preserve">TEXTES  </w:t>
      </w:r>
      <w:r>
        <w:rPr>
          <w:rFonts w:ascii="Calibri" w:cs="Calibri" w:eastAsia="Calibri" w:hAnsi="Calibri"/>
          <w:color w:val="3C3C3C"/>
          <w:sz w:val="17"/>
          <w:szCs w:val="17"/>
        </w:rPr>
        <w:t xml:space="preserve">Article 4 CEDH · article 5 de la Charte · article 4 DUDH · article 8 PIDCP · Protocole de Palerme (2000) · Convention du Conseil de l’Europe de 2005 et son mécanisme de suivi (GRETA) · directive 2011/36/UE · articles 224-1 A et suivants du Code pénal.</w:t>
      </w:r>
    </w:p>
    <w:p>
      <w:pPr>
        <w:spacing w:after="45"/>
        <w:ind w:left="200"/>
      </w:pPr>
      <w:r>
        <w:rPr>
          <w:rFonts w:ascii="Calibri" w:cs="Calibri" w:eastAsia="Calibri" w:hAnsi="Calibri"/>
          <w:b/>
          <w:bCs/>
          <w:color w:val="2E5A88"/>
          <w:spacing w:val="18"/>
          <w:sz w:val="15"/>
          <w:szCs w:val="15"/>
        </w:rPr>
        <w:t xml:space="preserve">CE QUE LE DROIT CONTIENT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Esclavage : « l’état ou condition d’un individu sur lequel s’exercent les attributs du droit de propriété ou certains d’entre eux » (Convention de 1926). Trois critères : réification de la personne, annihilation de l’autonomie personnelle, exercice des attributs de propriété. Règle de jus cogens ; crime contre l’humanité dans le cadre d’une attaque généralisée ou systématique.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Servitude : forme aggravée de travail forcé.</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Travail forcé ou obligatoire : protège contre les cas graves d’exploitation par le travail ; la contrainte s’entend largement et couvre les pressions psychologiques, non le seul emploi de la force.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Traite des êtres humains : dynamique complexe combinant un acte (recrutement, transport, hébergement, transfert), un moyen et une finalité d’exploitation.</w:t>
      </w:r>
    </w:p>
    <w:p>
      <w:pPr>
        <w:spacing w:after="70" w:before="30" w:line="264"/>
        <w:ind w:left="200"/>
        <w:jc w:val="both"/>
      </w:pPr>
      <w:r>
        <w:rPr>
          <w:rFonts w:ascii="Calibri" w:cs="Calibri" w:eastAsia="Calibri" w:hAnsi="Calibri"/>
          <w:b/>
          <w:bCs/>
          <w:color w:val="2E5A88"/>
          <w:spacing w:val="18"/>
          <w:sz w:val="15"/>
          <w:szCs w:val="15"/>
        </w:rPr>
        <w:t xml:space="preserve">RÉGIME  </w:t>
      </w:r>
      <w:r>
        <w:rPr>
          <w:rFonts w:ascii="Calibri" w:cs="Calibri" w:eastAsia="Calibri" w:hAnsi="Calibri"/>
          <w:color w:val="2A2A2A"/>
          <w:sz w:val="18"/>
          <w:szCs w:val="18"/>
        </w:rPr>
        <w:t xml:space="preserve">L’interdiction de l’esclavage et de la servitude a un caractère absolu, valant également en situation de guerre ou de calamité publique (Rantsev). C’est le terrain privilégié des obligations positives, déclinées en obligation de prévention, mesures opérationnelles, obligation d’enquêter et obligation de réparer.</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Principes généraux  ·  Un terrain privilégié des obligations positives</w:t>
      </w:r>
    </w:p>
    <w:p>
      <w:pPr>
        <w:keepNext/>
        <w:spacing w:after="60" w:before="210"/>
      </w:pPr>
      <w:r>
        <w:rPr>
          <w:rFonts w:ascii="Calibri" w:cs="Calibri" w:eastAsia="Calibri" w:hAnsi="Calibri"/>
          <w:b/>
          <w:bCs/>
          <w:color w:val="2E5A88"/>
          <w:sz w:val="22"/>
          <w:szCs w:val="22"/>
        </w:rPr>
        <w:t xml:space="preserve">30. </w:t>
      </w:r>
      <w:r>
        <w:rPr>
          <w:rFonts w:ascii="Cambria" w:cs="Cambria" w:eastAsia="Cambria" w:hAnsi="Cambria"/>
          <w:b/>
          <w:bCs/>
          <w:color w:val="1F3864"/>
          <w:sz w:val="22"/>
          <w:szCs w:val="22"/>
        </w:rPr>
        <w:t xml:space="preserve">Le droit à la liberté et à la sûreté</w:t>
      </w:r>
      <w:r>
        <w:rPr>
          <w:rFonts w:ascii="Calibri" w:cs="Calibri" w:eastAsia="Calibri" w:hAnsi="Calibri"/>
          <w:color w:val="757575"/>
          <w:sz w:val="15"/>
          <w:szCs w:val="15"/>
        </w:rPr>
        <w:t xml:space="preserve">   p. 298</w:t>
      </w:r>
    </w:p>
    <w:p>
      <w:pPr>
        <w:spacing w:after="75" w:before="0" w:line="264"/>
        <w:ind w:left="200"/>
        <w:jc w:val="both"/>
      </w:pPr>
      <w:r>
        <w:rPr>
          <w:rFonts w:ascii="Calibri" w:cs="Calibri" w:eastAsia="Calibri" w:hAnsi="Calibri"/>
          <w:color w:val="1A1A1A"/>
          <w:sz w:val="19"/>
          <w:szCs w:val="19"/>
        </w:rPr>
        <w:t xml:space="preserve">Le droit de ne pas être enfermé arbitrairement. Héritier de l’habeas corpus anglais du XVIIe siècle — « que tu aies ton corps pour le présenter » devant le tribunal —, il se traduit par un contrôle juridictionnel de la légalité de tout enfermement. À ne pas confondre avec le droit à la sécurité, dont les tenants ne sont pas les mêmes.</w:t>
      </w:r>
    </w:p>
    <w:p>
      <w:pPr>
        <w:spacing w:after="70" w:before="0" w:line="264"/>
        <w:ind w:left="200"/>
        <w:jc w:val="both"/>
      </w:pPr>
      <w:r>
        <w:rPr>
          <w:rFonts w:ascii="Calibri" w:cs="Calibri" w:eastAsia="Calibri" w:hAnsi="Calibri"/>
          <w:b/>
          <w:bCs/>
          <w:color w:val="2E5A88"/>
          <w:spacing w:val="18"/>
          <w:sz w:val="15"/>
          <w:szCs w:val="15"/>
        </w:rPr>
        <w:t xml:space="preserve">TEXTES  </w:t>
      </w:r>
      <w:r>
        <w:rPr>
          <w:rFonts w:ascii="Calibri" w:cs="Calibri" w:eastAsia="Calibri" w:hAnsi="Calibri"/>
          <w:color w:val="3C3C3C"/>
          <w:sz w:val="17"/>
          <w:szCs w:val="17"/>
        </w:rPr>
        <w:t xml:space="preserve">Article 66 de la Constitution (« nul ne peut être arbitrairement détenu », l’autorité judiciaire gardienne de la liberté individuelle) · articles 2 et 7 DDHC · article 5 CEDH · article 9 PIDCP · article 6 de la Charte · article 432-4 du Code pénal.</w:t>
      </w:r>
    </w:p>
    <w:p>
      <w:pPr>
        <w:spacing w:after="45"/>
        <w:ind w:left="200"/>
      </w:pPr>
      <w:r>
        <w:rPr>
          <w:rFonts w:ascii="Calibri" w:cs="Calibri" w:eastAsia="Calibri" w:hAnsi="Calibri"/>
          <w:b/>
          <w:bCs/>
          <w:color w:val="2E5A88"/>
          <w:spacing w:val="18"/>
          <w:sz w:val="15"/>
          <w:szCs w:val="15"/>
        </w:rPr>
        <w:t xml:space="preserve">CE QUE LE DROIT CONTIENT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Article 5 : il énumère une liste de motifs justifiant la privation de liberté, que la Cour tient pour exhaustive et d’interprétation étroite (Quinn c. France).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Contrôle de légalité : il implique un recours juridictionnel effectif, dont les modalités varient selon le type de privation de liberté. Le ministère public n’est pas une autorité judiciaire au sens de l’article 5 § 3, faute d’indépendance et d’impartialité (Moulin c. France).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Garde à vue : mesure de contrainte décidée par un officier de police judiciaire, sous le contrôle de l’autorité judiciaire, à l’encontre d’une personne soupçonnée sur des raisons plausibles d’avoir commis ou tenté de commettre un crime ou un délit puni d’emprisonnement (article 62-2 du Code de procédure pénale).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Détention provisoire : priver de liberté dans l’attente du jugement, c’est-à-dire incarcérer une personne présumée innocente.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Puis, une par une : rétention de sûreté, rétention douanière, maintien en zone d’attente, centre de rétention administrative, hospitalisation psychiatrique sans consentement, cellule de dégrisement.</w:t>
      </w:r>
    </w:p>
    <w:p>
      <w:pPr>
        <w:spacing w:after="70" w:before="30" w:line="264"/>
        <w:ind w:left="200"/>
        <w:jc w:val="both"/>
      </w:pPr>
      <w:r>
        <w:rPr>
          <w:rFonts w:ascii="Calibri" w:cs="Calibri" w:eastAsia="Calibri" w:hAnsi="Calibri"/>
          <w:b/>
          <w:bCs/>
          <w:color w:val="2E5A88"/>
          <w:spacing w:val="18"/>
          <w:sz w:val="15"/>
          <w:szCs w:val="15"/>
        </w:rPr>
        <w:t xml:space="preserve">RÉGIME  </w:t>
      </w:r>
      <w:r>
        <w:rPr>
          <w:rFonts w:ascii="Calibri" w:cs="Calibri" w:eastAsia="Calibri" w:hAnsi="Calibri"/>
          <w:color w:val="2A2A2A"/>
          <w:sz w:val="18"/>
          <w:szCs w:val="18"/>
        </w:rPr>
        <w:t xml:space="preserve">Non absolu. Les atteintes à la liberté individuelle doivent être adaptées, nécessaires et proportionnées. La privation de liberté peut résulter d’une mesure de répression pénale comme d’une mesure administrative.</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Le droit à la liberté individuelle et à la sûreté : le droit de ne pas être enfermé arbitrairement  ·  Le contrôle de la légalité de l’enfermement  ·  La garde à vue  ·  La détention provisoire  ·  La rétention de sûreté  ·  La rétention douanière  ·  Le maintien en zone d’attente  ·  Le placement en centre de rétention administrative  ·  L’hospitalisation psychiatrique sans consentement  ·  Le placement en cellule de dégrisement</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Cons. const., décision no 92-307 DC, 25 février 1992  ·  Cons. const., décision no 2012-253 QPC, 8 juin 2012, Mickaël D [Ivresse publique]  ·  Cons. const., décision no 2023-1064 QPC, 6 octobre 2023, Association des avocats pénalistes  ·  CEDH, 26 avril 2007, Gebremedhin c. France, no 25389/05</w:t>
      </w:r>
    </w:p>
    <w:p>
      <w:pPr>
        <w:keepNext/>
        <w:spacing w:after="60" w:before="210"/>
      </w:pPr>
      <w:r>
        <w:rPr>
          <w:rFonts w:ascii="Calibri" w:cs="Calibri" w:eastAsia="Calibri" w:hAnsi="Calibri"/>
          <w:b/>
          <w:bCs/>
          <w:color w:val="2E5A88"/>
          <w:sz w:val="22"/>
          <w:szCs w:val="22"/>
        </w:rPr>
        <w:t xml:space="preserve">31. </w:t>
      </w:r>
      <w:r>
        <w:rPr>
          <w:rFonts w:ascii="Cambria" w:cs="Cambria" w:eastAsia="Cambria" w:hAnsi="Cambria"/>
          <w:b/>
          <w:bCs/>
          <w:color w:val="1F3864"/>
          <w:sz w:val="22"/>
          <w:szCs w:val="22"/>
        </w:rPr>
        <w:t xml:space="preserve">Le droit à un procès équitable et le droit à un recours effectif</w:t>
      </w:r>
      <w:r>
        <w:rPr>
          <w:rFonts w:ascii="Calibri" w:cs="Calibri" w:eastAsia="Calibri" w:hAnsi="Calibri"/>
          <w:color w:val="757575"/>
          <w:sz w:val="15"/>
          <w:szCs w:val="15"/>
        </w:rPr>
        <w:t xml:space="preserve">   p. 308</w:t>
      </w:r>
    </w:p>
    <w:p>
      <w:pPr>
        <w:spacing w:after="75" w:before="0" w:line="264"/>
        <w:ind w:left="200"/>
        <w:jc w:val="both"/>
      </w:pPr>
      <w:r>
        <w:rPr>
          <w:rFonts w:ascii="Calibri" w:cs="Calibri" w:eastAsia="Calibri" w:hAnsi="Calibri"/>
          <w:color w:val="1A1A1A"/>
          <w:sz w:val="19"/>
          <w:szCs w:val="19"/>
        </w:rPr>
        <w:t xml:space="preserve">Deux droits procéduraux distincts et complémentaires : le droit à un recours effectif ouvre une voie de droit, le droit à un procès équitable encadre la manière dont elle est jugée. Le fascicule les présente comme ce qui permet de redresser la violation de tous les autres droits.</w:t>
      </w:r>
    </w:p>
    <w:p>
      <w:pPr>
        <w:spacing w:after="70" w:before="0" w:line="264"/>
        <w:ind w:left="200"/>
        <w:jc w:val="both"/>
      </w:pPr>
      <w:r>
        <w:rPr>
          <w:rFonts w:ascii="Calibri" w:cs="Calibri" w:eastAsia="Calibri" w:hAnsi="Calibri"/>
          <w:b/>
          <w:bCs/>
          <w:color w:val="2E5A88"/>
          <w:spacing w:val="18"/>
          <w:sz w:val="15"/>
          <w:szCs w:val="15"/>
        </w:rPr>
        <w:t xml:space="preserve">TEXTES  </w:t>
      </w:r>
      <w:r>
        <w:rPr>
          <w:rFonts w:ascii="Calibri" w:cs="Calibri" w:eastAsia="Calibri" w:hAnsi="Calibri"/>
          <w:color w:val="3C3C3C"/>
          <w:sz w:val="17"/>
          <w:szCs w:val="17"/>
        </w:rPr>
        <w:t xml:space="preserve">Articles 6 et 13 CEDH · article 14 PIDCP · article 47 de la Charte · article 16 DDHC (droits de la défense) · articles 15 et 16 du Code de procédure civile · article L. 521-1 du Code de justice administrative.</w:t>
      </w:r>
    </w:p>
    <w:p>
      <w:pPr>
        <w:spacing w:after="45"/>
        <w:ind w:left="200"/>
      </w:pPr>
      <w:r>
        <w:rPr>
          <w:rFonts w:ascii="Calibri" w:cs="Calibri" w:eastAsia="Calibri" w:hAnsi="Calibri"/>
          <w:b/>
          <w:bCs/>
          <w:color w:val="2E5A88"/>
          <w:spacing w:val="18"/>
          <w:sz w:val="15"/>
          <w:szCs w:val="15"/>
        </w:rPr>
        <w:t xml:space="preserve">CE QUE LE DROIT CONTIENT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Article 13 : il n’a pas d’existence propre et se combine toujours avec la disposition garantissant le droit violé. Trois conditions : un grief défendable, un recours en droit interne (juridictionnel ou non), et l’effectivité du recours, appréciée in concreto — apte à se prononcer sur le grief, à redresser le tort et à réparer.</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Volet civil de l’article 6 : une contestation réelle et sérieuse, dont l’issue est directement déterminante, portant sur un droit ou une obligation défendable en droit interne, de « caractère civil » — notion autonome, indépendante de la qualité des parties, de la nature de la loi et du type d’autorité.</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Garanties procédurales : droits de la défense, principe du contradictoire, exigences tenant au jugement.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Garanties institutionnelles : indépendance et impartialité du juge.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L’article 6 est une lex specialis par rapport à l’article 13 lorsque le droit revendiqué est de nature civile ou pénale (Kudła).</w:t>
      </w:r>
    </w:p>
    <w:p>
      <w:pPr>
        <w:spacing w:after="70" w:before="30" w:line="264"/>
        <w:ind w:left="200"/>
        <w:jc w:val="both"/>
      </w:pPr>
      <w:r>
        <w:rPr>
          <w:rFonts w:ascii="Calibri" w:cs="Calibri" w:eastAsia="Calibri" w:hAnsi="Calibri"/>
          <w:b/>
          <w:bCs/>
          <w:color w:val="2E5A88"/>
          <w:spacing w:val="18"/>
          <w:sz w:val="15"/>
          <w:szCs w:val="15"/>
        </w:rPr>
        <w:t xml:space="preserve">RÉGIME  </w:t>
      </w:r>
      <w:r>
        <w:rPr>
          <w:rFonts w:ascii="Calibri" w:cs="Calibri" w:eastAsia="Calibri" w:hAnsi="Calibri"/>
          <w:color w:val="2A2A2A"/>
          <w:sz w:val="18"/>
          <w:szCs w:val="18"/>
        </w:rPr>
        <w:t xml:space="preserve">Non absolu : le fascicule consacre un développement aux restrictions légitimes et au cas particulier des immunités de juridiction.</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Le droit à un recours effectif  ·  Le droit à un procès équitable  ·  Les garanties du droit à un procès équitable  ·  Les restrictions au droit à un procès équitable</w:t>
      </w:r>
    </w:p>
    <w:p>
      <w:pPr>
        <w:keepNext/>
        <w:spacing w:after="60" w:before="210"/>
      </w:pPr>
      <w:r>
        <w:rPr>
          <w:rFonts w:ascii="Calibri" w:cs="Calibri" w:eastAsia="Calibri" w:hAnsi="Calibri"/>
          <w:b/>
          <w:bCs/>
          <w:color w:val="2E5A88"/>
          <w:sz w:val="22"/>
          <w:szCs w:val="22"/>
        </w:rPr>
        <w:t xml:space="preserve">32. </w:t>
      </w:r>
      <w:r>
        <w:rPr>
          <w:rFonts w:ascii="Cambria" w:cs="Cambria" w:eastAsia="Cambria" w:hAnsi="Cambria"/>
          <w:b/>
          <w:bCs/>
          <w:color w:val="1F3864"/>
          <w:sz w:val="22"/>
          <w:szCs w:val="22"/>
        </w:rPr>
        <w:t xml:space="preserve">Les garanties fondamentales en droit pénal</w:t>
      </w:r>
      <w:r>
        <w:rPr>
          <w:rFonts w:ascii="Calibri" w:cs="Calibri" w:eastAsia="Calibri" w:hAnsi="Calibri"/>
          <w:color w:val="757575"/>
          <w:sz w:val="15"/>
          <w:szCs w:val="15"/>
        </w:rPr>
        <w:t xml:space="preserve">   p. 321</w:t>
      </w:r>
    </w:p>
    <w:p>
      <w:pPr>
        <w:spacing w:after="75" w:before="0" w:line="264"/>
        <w:ind w:left="200"/>
        <w:jc w:val="both"/>
      </w:pPr>
      <w:r>
        <w:rPr>
          <w:rFonts w:ascii="Calibri" w:cs="Calibri" w:eastAsia="Calibri" w:hAnsi="Calibri"/>
          <w:color w:val="1A1A1A"/>
          <w:sz w:val="19"/>
          <w:szCs w:val="19"/>
        </w:rPr>
        <w:t xml:space="preserve">Le versant pénal des garanties, articulé en deux moments : celles qui encadrent la procédure et celles qui encadrent le prononcé de la peine. L’article préliminaire du Code de procédure pénale en donne la formule : « la procédure pénale doit être équitable et contradictoire et préserver l’équilibre des droits des parties ».</w:t>
      </w:r>
    </w:p>
    <w:p>
      <w:pPr>
        <w:spacing w:after="70" w:before="0" w:line="264"/>
        <w:ind w:left="200"/>
        <w:jc w:val="both"/>
      </w:pPr>
      <w:r>
        <w:rPr>
          <w:rFonts w:ascii="Calibri" w:cs="Calibri" w:eastAsia="Calibri" w:hAnsi="Calibri"/>
          <w:b/>
          <w:bCs/>
          <w:color w:val="2E5A88"/>
          <w:spacing w:val="18"/>
          <w:sz w:val="15"/>
          <w:szCs w:val="15"/>
        </w:rPr>
        <w:t xml:space="preserve">TEXTES  </w:t>
      </w:r>
      <w:r>
        <w:rPr>
          <w:rFonts w:ascii="Calibri" w:cs="Calibri" w:eastAsia="Calibri" w:hAnsi="Calibri"/>
          <w:color w:val="3C3C3C"/>
          <w:sz w:val="17"/>
          <w:szCs w:val="17"/>
        </w:rPr>
        <w:t xml:space="preserve">Article 34 de la Constitution · articles 8, 9 et 16 DDHC · article 6 CEDH · article 14 PIDCP · article 48 de la Charte · article préliminaire et article 9-1 du Code civil.</w:t>
      </w:r>
    </w:p>
    <w:p>
      <w:pPr>
        <w:spacing w:after="45"/>
        <w:ind w:left="200"/>
      </w:pPr>
      <w:r>
        <w:rPr>
          <w:rFonts w:ascii="Calibri" w:cs="Calibri" w:eastAsia="Calibri" w:hAnsi="Calibri"/>
          <w:b/>
          <w:bCs/>
          <w:color w:val="2E5A88"/>
          <w:spacing w:val="18"/>
          <w:sz w:val="15"/>
          <w:szCs w:val="15"/>
        </w:rPr>
        <w:t xml:space="preserve">CE QUE LE DROIT CONTIENT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Présomption d’innocence : l’atteinte consiste à présenter publiquement comme coupable, avant condamnation, une personne poursuivie pénalement. Double lecture européenne : garantie procédurale, et garantie contre le fait que les autorités traitent en coupable une personne acquittée ou dont les poursuites ont été abandonnées. La charge de la preuve pèse sur l’accusation ; les présomptions de culpabilité sont des exceptions admises, à condition notamment de ne pas être irréfragables.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Droit de ne pas s’incriminer et droit à l’assistance d’un avocat.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Légalité des délits et des peines : on ne peut être poursuivi et condamné que sur le fondement de peines expressément prévues par la loi.</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Nécessité des peines : les peines prononcées doivent être proportionnées à la gravité des infractions (articles 8 et 16 DDHC). S’en déduisent le principe non bis in idem et la non-rétroactivité de la loi pénale plus sévère.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Individualisation, obligation de motivation, responsabilité du fait propre, irresponsabilité en cas d’abolition du discernement.</w:t>
      </w:r>
    </w:p>
    <w:p>
      <w:pPr>
        <w:spacing w:after="70" w:before="30" w:line="264"/>
        <w:ind w:left="200"/>
        <w:jc w:val="both"/>
      </w:pPr>
      <w:r>
        <w:rPr>
          <w:rFonts w:ascii="Calibri" w:cs="Calibri" w:eastAsia="Calibri" w:hAnsi="Calibri"/>
          <w:b/>
          <w:bCs/>
          <w:color w:val="2E5A88"/>
          <w:spacing w:val="18"/>
          <w:sz w:val="15"/>
          <w:szCs w:val="15"/>
        </w:rPr>
        <w:t xml:space="preserve">RÉGIME  </w:t>
      </w:r>
      <w:r>
        <w:rPr>
          <w:rFonts w:ascii="Calibri" w:cs="Calibri" w:eastAsia="Calibri" w:hAnsi="Calibri"/>
          <w:color w:val="2A2A2A"/>
          <w:sz w:val="18"/>
          <w:szCs w:val="18"/>
        </w:rPr>
        <w:t xml:space="preserve">Des exceptions au principe d’égalité devant la loi s’expliquent par la séparation des pouvoirs : immunité parlementaire (article 26) et statut pénal du chef de l’État (article 53-2).</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La procédure pénale entourée par des garanties fondamentales  ·  Le prononcé de la peine entouré par des garanties fondamentales  ·  Le principe d’irresponsabilité pénale en cas d’abolition du discernement</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CEDH, 17 septembre 2009, Scoppola c. Italie (no 2), no 10249/03  ·  CEDH, 1er juin 2010, Gäfgen c. Allemagne, no 22978/05</w:t>
      </w:r>
    </w:p>
    <w:p>
      <w:pPr>
        <w:keepNext/>
        <w:spacing w:after="60" w:before="210"/>
      </w:pPr>
      <w:r>
        <w:rPr>
          <w:rFonts w:ascii="Calibri" w:cs="Calibri" w:eastAsia="Calibri" w:hAnsi="Calibri"/>
          <w:b/>
          <w:bCs/>
          <w:color w:val="2E5A88"/>
          <w:sz w:val="22"/>
          <w:szCs w:val="22"/>
        </w:rPr>
        <w:t xml:space="preserve">33. </w:t>
      </w:r>
      <w:r>
        <w:rPr>
          <w:rFonts w:ascii="Cambria" w:cs="Cambria" w:eastAsia="Cambria" w:hAnsi="Cambria"/>
          <w:b/>
          <w:bCs/>
          <w:color w:val="1F3864"/>
          <w:sz w:val="22"/>
          <w:szCs w:val="22"/>
        </w:rPr>
        <w:t xml:space="preserve">Le droit à la vie privée</w:t>
      </w:r>
      <w:r>
        <w:rPr>
          <w:rFonts w:ascii="Calibri" w:cs="Calibri" w:eastAsia="Calibri" w:hAnsi="Calibri"/>
          <w:color w:val="757575"/>
          <w:sz w:val="15"/>
          <w:szCs w:val="15"/>
        </w:rPr>
        <w:t xml:space="preserve">   p. 331</w:t>
      </w:r>
    </w:p>
    <w:p>
      <w:pPr>
        <w:spacing w:after="75" w:before="0" w:line="264"/>
        <w:ind w:left="200"/>
        <w:jc w:val="both"/>
      </w:pPr>
      <w:r>
        <w:rPr>
          <w:rFonts w:ascii="Calibri" w:cs="Calibri" w:eastAsia="Calibri" w:hAnsi="Calibri"/>
          <w:color w:val="1A1A1A"/>
          <w:sz w:val="19"/>
          <w:szCs w:val="19"/>
        </w:rPr>
        <w:t xml:space="preserve">Le droit au respect de la vie privée est décrit comme une notion « attrape-tout », à lecture souple et large. L’article 8 est fréquemment mobilisé par la Cour pour garantir indirectement d’autres droits — d’où son surnom de « folle du logis » conventionnelle.</w:t>
      </w:r>
    </w:p>
    <w:p>
      <w:pPr>
        <w:spacing w:after="70" w:before="0" w:line="264"/>
        <w:ind w:left="200"/>
        <w:jc w:val="both"/>
      </w:pPr>
      <w:r>
        <w:rPr>
          <w:rFonts w:ascii="Calibri" w:cs="Calibri" w:eastAsia="Calibri" w:hAnsi="Calibri"/>
          <w:b/>
          <w:bCs/>
          <w:color w:val="2E5A88"/>
          <w:spacing w:val="18"/>
          <w:sz w:val="15"/>
          <w:szCs w:val="15"/>
        </w:rPr>
        <w:t xml:space="preserve">TEXTES  </w:t>
      </w:r>
      <w:r>
        <w:rPr>
          <w:rFonts w:ascii="Calibri" w:cs="Calibri" w:eastAsia="Calibri" w:hAnsi="Calibri"/>
          <w:color w:val="3C3C3C"/>
          <w:sz w:val="17"/>
          <w:szCs w:val="17"/>
        </w:rPr>
        <w:t xml:space="preserve">Article 8 CEDH · article 17 PIDCP · article 7 de la Charte · article 9 du Code civil · liberté fondamentale au sens du référé-liberté.</w:t>
      </w:r>
    </w:p>
    <w:p>
      <w:pPr>
        <w:spacing w:after="45"/>
        <w:ind w:left="200"/>
      </w:pPr>
      <w:r>
        <w:rPr>
          <w:rFonts w:ascii="Calibri" w:cs="Calibri" w:eastAsia="Calibri" w:hAnsi="Calibri"/>
          <w:b/>
          <w:bCs/>
          <w:color w:val="2E5A88"/>
          <w:spacing w:val="18"/>
          <w:sz w:val="15"/>
          <w:szCs w:val="15"/>
        </w:rPr>
        <w:t xml:space="preserve">CE QUE LE DROIT CONTIENT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Ancrage constitutionnel : après des hésitations, le Conseil constitutionnel rattache en 1999 le respect de la vie privée à la liberté proclamée par l’article 2 de la Déclaration de 1789, le détachant de la sûreté et de l’article 66.</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Écart à retenir : l’article 9 du Code civil se limite aux atteintes à l’intimité de la vie privée, là où l’article 8 reçoit une lecture bien plus extensive.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Dimension personnelle : identité (nom, prénom), intégrité physique et morale, intimité et liberté sexuelle, droit au mariage, droit à la réputation — la réputation faisant partie de l’identité personnelle et psychique.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Droit aux secrets : secret des correspondances, situation du salarié, opposition aux publications portant atteinte à l’intimité.</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Lieux : inviolabilité du domicile — la protection constitutionnelle s’est réduite aux lieux d’habitation, alors que la Cour y intègre les locaux professionnels (Niemietz) — environnement, espace numérique.</w:t>
      </w:r>
    </w:p>
    <w:p>
      <w:pPr>
        <w:spacing w:after="70" w:before="30" w:line="264"/>
        <w:ind w:left="200"/>
        <w:jc w:val="both"/>
      </w:pPr>
      <w:r>
        <w:rPr>
          <w:rFonts w:ascii="Calibri" w:cs="Calibri" w:eastAsia="Calibri" w:hAnsi="Calibri"/>
          <w:b/>
          <w:bCs/>
          <w:color w:val="2E5A88"/>
          <w:spacing w:val="18"/>
          <w:sz w:val="15"/>
          <w:szCs w:val="15"/>
        </w:rPr>
        <w:t xml:space="preserve">RÉGIME  </w:t>
      </w:r>
      <w:r>
        <w:rPr>
          <w:rFonts w:ascii="Calibri" w:cs="Calibri" w:eastAsia="Calibri" w:hAnsi="Calibri"/>
          <w:color w:val="2A2A2A"/>
          <w:sz w:val="18"/>
          <w:szCs w:val="18"/>
        </w:rPr>
        <w:t xml:space="preserve">Non absolu. L’article 8 § 2 énumère les finalités justifiant une ingérence prévue par la loi et nécessaire dans une société démocratique : sécurité nationale, sûreté publique, défense de l’ordre, prévention des infractions, protection de la santé ou de la morale, protection des droits et libertés d’autrui, bien-être économique du pays. En droit interne, le contrôle du juge se limite en pratique à l’erreur manifeste.</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L’affirmation générale du libre choix de la vie privée  ·  Le droit aux secrets  ·  Lieux spécifiques et respect du droit à la vie privée</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CEDH, 22 octobre 1981, Dudgeon c. Royaume-Uni, no 7525/76  ·  CEDH, 29 avril 2002, Pretty c. Royaume-Uni, no 2346/02  ·  CEDH, 13 février 2003, Odievre c. France, no 42326/98  ·  CEDH, 16 décembre 1992, Niemietz c. Allemagne, no 13710/88</w:t>
      </w:r>
    </w:p>
    <w:p>
      <w:pPr>
        <w:keepNext/>
        <w:spacing w:after="60" w:before="210"/>
      </w:pPr>
      <w:r>
        <w:rPr>
          <w:rFonts w:ascii="Calibri" w:cs="Calibri" w:eastAsia="Calibri" w:hAnsi="Calibri"/>
          <w:b/>
          <w:bCs/>
          <w:color w:val="2E5A88"/>
          <w:sz w:val="22"/>
          <w:szCs w:val="22"/>
        </w:rPr>
        <w:t xml:space="preserve">34. </w:t>
      </w:r>
      <w:r>
        <w:rPr>
          <w:rFonts w:ascii="Cambria" w:cs="Cambria" w:eastAsia="Cambria" w:hAnsi="Cambria"/>
          <w:b/>
          <w:bCs/>
          <w:color w:val="1F3864"/>
          <w:sz w:val="22"/>
          <w:szCs w:val="22"/>
        </w:rPr>
        <w:t xml:space="preserve">Le droit à la vie familiale</w:t>
      </w:r>
      <w:r>
        <w:rPr>
          <w:rFonts w:ascii="Calibri" w:cs="Calibri" w:eastAsia="Calibri" w:hAnsi="Calibri"/>
          <w:color w:val="757575"/>
          <w:sz w:val="15"/>
          <w:szCs w:val="15"/>
        </w:rPr>
        <w:t xml:space="preserve">   p. 343</w:t>
      </w:r>
    </w:p>
    <w:p>
      <w:pPr>
        <w:spacing w:after="75" w:before="0" w:line="264"/>
        <w:ind w:left="200"/>
        <w:jc w:val="both"/>
      </w:pPr>
      <w:r>
        <w:rPr>
          <w:rFonts w:ascii="Calibri" w:cs="Calibri" w:eastAsia="Calibri" w:hAnsi="Calibri"/>
          <w:color w:val="1A1A1A"/>
          <w:sz w:val="19"/>
          <w:szCs w:val="19"/>
        </w:rPr>
        <w:t xml:space="preserve">Le droit au respect de la vie familiale, prolongement de l’article 8. La Cour en donne une définition autonome : la vie familiale se caractérise par l’existence de liens personnels étroits, qu’ils résultent de la parenté, de l’alliance ou d’une relation de fait.</w:t>
      </w:r>
    </w:p>
    <w:p>
      <w:pPr>
        <w:spacing w:after="70" w:before="0" w:line="264"/>
        <w:ind w:left="200"/>
        <w:jc w:val="both"/>
      </w:pPr>
      <w:r>
        <w:rPr>
          <w:rFonts w:ascii="Calibri" w:cs="Calibri" w:eastAsia="Calibri" w:hAnsi="Calibri"/>
          <w:b/>
          <w:bCs/>
          <w:color w:val="2E5A88"/>
          <w:spacing w:val="18"/>
          <w:sz w:val="15"/>
          <w:szCs w:val="15"/>
        </w:rPr>
        <w:t xml:space="preserve">TEXTES  </w:t>
      </w:r>
      <w:r>
        <w:rPr>
          <w:rFonts w:ascii="Calibri" w:cs="Calibri" w:eastAsia="Calibri" w:hAnsi="Calibri"/>
          <w:color w:val="3C3C3C"/>
          <w:sz w:val="17"/>
          <w:szCs w:val="17"/>
        </w:rPr>
        <w:t xml:space="preserve">Article 8 CEDH · articles 12 et 16 DUDH · articles 17 et 23 PIDCP · article 10 PIDESC · article 7 de la Charte. Le droit au mariage fait l’objet d’une consécration autonome (article 12 CEDH, article 23 PIDCP, article 9 de la Charte). En droit interne : « droit de mener une vie familiale normale », droit fondamental de valeur constitutionnelle tiré de l’alinéa 10 du préambule de 1946.</w:t>
      </w:r>
    </w:p>
    <w:p>
      <w:pPr>
        <w:spacing w:after="45"/>
        <w:ind w:left="200"/>
      </w:pPr>
      <w:r>
        <w:rPr>
          <w:rFonts w:ascii="Calibri" w:cs="Calibri" w:eastAsia="Calibri" w:hAnsi="Calibri"/>
          <w:b/>
          <w:bCs/>
          <w:color w:val="2E5A88"/>
          <w:spacing w:val="18"/>
          <w:sz w:val="15"/>
          <w:szCs w:val="15"/>
        </w:rPr>
        <w:t xml:space="preserve">CE QUE LE DROIT CONTIENT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Limite structurante : la Convention ne protège que la vie de famille existante ; elle ne consacre ni le droit d’en créer une, ni un droit à la parenté biologique.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Marge d’appréciation généralement large, ce domaine relevant de l’état des personnes et étant chargé de considérations culturelles et morales — sauf lorsqu’un consensus européen se dégage.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Établissement du lien : filiation, adoption, gestation pour autrui, procréation médicalement assistée.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Maintien du lien familial et égalité entre enfants : la notion de vie familiale vaut aussi bien pour les familles légitimes que naturelles.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Le juge interne protège ce droit par le contrôle de proportionnalité et, en présence d’un élément d’extranéité, par l’ordre public international.</w:t>
      </w:r>
    </w:p>
    <w:p>
      <w:pPr>
        <w:spacing w:after="70" w:before="30" w:line="264"/>
        <w:ind w:left="200"/>
        <w:jc w:val="both"/>
      </w:pPr>
      <w:r>
        <w:rPr>
          <w:rFonts w:ascii="Calibri" w:cs="Calibri" w:eastAsia="Calibri" w:hAnsi="Calibri"/>
          <w:b/>
          <w:bCs/>
          <w:color w:val="2E5A88"/>
          <w:spacing w:val="18"/>
          <w:sz w:val="15"/>
          <w:szCs w:val="15"/>
        </w:rPr>
        <w:t xml:space="preserve">RÉGIME  </w:t>
      </w:r>
      <w:r>
        <w:rPr>
          <w:rFonts w:ascii="Calibri" w:cs="Calibri" w:eastAsia="Calibri" w:hAnsi="Calibri"/>
          <w:color w:val="2A2A2A"/>
          <w:sz w:val="18"/>
          <w:szCs w:val="18"/>
        </w:rPr>
        <w:t xml:space="preserve">Non absolu. L’intérêt supérieur de l’enfant, tiré des alinéas 10 et 11 du préambule de 1946, vient pondérer la protection.</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Les contours de la vie familiale  ·  Le droit au mariage  ·  Le droit au respect de la vie familiale  ·  L’établissement du lien de parenté  ·  Le maintien du lien familial  ·  L’égalité entre enfants</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CEDH, 13 juin 1979, Marckx c. Belgique, no 6833/74  ·  Cons. const., déc. no 93-325 DC, 13 août 1993  ·  Cass. civ. 1re, 4 décembre 2013, no 12-26.066  ·  CEDH, 10 septembre 2019, Strand Lobben et a. c. Norvège, no 37283/13</w:t>
      </w:r>
    </w:p>
    <w:p>
      <w:pPr>
        <w:keepNext/>
        <w:spacing w:after="60" w:before="210"/>
      </w:pPr>
      <w:r>
        <w:rPr>
          <w:rFonts w:ascii="Calibri" w:cs="Calibri" w:eastAsia="Calibri" w:hAnsi="Calibri"/>
          <w:b/>
          <w:bCs/>
          <w:color w:val="2E5A88"/>
          <w:sz w:val="22"/>
          <w:szCs w:val="22"/>
        </w:rPr>
        <w:t xml:space="preserve">35. </w:t>
      </w:r>
      <w:r>
        <w:rPr>
          <w:rFonts w:ascii="Cambria" w:cs="Cambria" w:eastAsia="Cambria" w:hAnsi="Cambria"/>
          <w:b/>
          <w:bCs/>
          <w:color w:val="1F3864"/>
          <w:sz w:val="22"/>
          <w:szCs w:val="22"/>
        </w:rPr>
        <w:t xml:space="preserve">Le droit à la protection des données à caractère personnel</w:t>
      </w:r>
      <w:r>
        <w:rPr>
          <w:rFonts w:ascii="Calibri" w:cs="Calibri" w:eastAsia="Calibri" w:hAnsi="Calibri"/>
          <w:color w:val="757575"/>
          <w:sz w:val="15"/>
          <w:szCs w:val="15"/>
        </w:rPr>
        <w:t xml:space="preserve">   p. 355</w:t>
      </w:r>
    </w:p>
    <w:p>
      <w:pPr>
        <w:spacing w:after="75" w:before="0" w:line="264"/>
        <w:ind w:left="200"/>
        <w:jc w:val="both"/>
      </w:pPr>
      <w:r>
        <w:rPr>
          <w:rFonts w:ascii="Calibri" w:cs="Calibri" w:eastAsia="Calibri" w:hAnsi="Calibri"/>
          <w:color w:val="1A1A1A"/>
          <w:sz w:val="19"/>
          <w:szCs w:val="19"/>
        </w:rPr>
        <w:t xml:space="preserve">La fiche la plus technique du catalogue. Le droit à la protection des données est présenté comme le théâtre d’un affrontement entre liberté individuelle et efficacité sécuritaire. Il est indissociable du droit au respect de la vie privée, mais consacré de façon autonome par la Charte.</w:t>
      </w:r>
    </w:p>
    <w:p>
      <w:pPr>
        <w:spacing w:after="70" w:before="0" w:line="264"/>
        <w:ind w:left="200"/>
        <w:jc w:val="both"/>
      </w:pPr>
      <w:r>
        <w:rPr>
          <w:rFonts w:ascii="Calibri" w:cs="Calibri" w:eastAsia="Calibri" w:hAnsi="Calibri"/>
          <w:b/>
          <w:bCs/>
          <w:color w:val="2E5A88"/>
          <w:spacing w:val="18"/>
          <w:sz w:val="15"/>
          <w:szCs w:val="15"/>
        </w:rPr>
        <w:t xml:space="preserve">TEXTES  </w:t>
      </w:r>
      <w:r>
        <w:rPr>
          <w:rFonts w:ascii="Calibri" w:cs="Calibri" w:eastAsia="Calibri" w:hAnsi="Calibri"/>
          <w:color w:val="3C3C3C"/>
          <w:sz w:val="17"/>
          <w:szCs w:val="17"/>
        </w:rPr>
        <w:t xml:space="preserve">Loi « Informatique et libertés » du 6 janvier 1978, largement modifiée en 2018 · article 8 de la Charte · article 8 CEDH · RGPD (règlement 2016/679) · directive Police-Justice (2016/680) · directive ePrivacy (2002) · règlement sur l’intelligence artificielle (2024/1689).</w:t>
      </w:r>
    </w:p>
    <w:p>
      <w:pPr>
        <w:spacing w:after="45"/>
        <w:ind w:left="200"/>
      </w:pPr>
      <w:r>
        <w:rPr>
          <w:rFonts w:ascii="Calibri" w:cs="Calibri" w:eastAsia="Calibri" w:hAnsi="Calibri"/>
          <w:b/>
          <w:bCs/>
          <w:color w:val="2E5A88"/>
          <w:spacing w:val="18"/>
          <w:sz w:val="15"/>
          <w:szCs w:val="15"/>
        </w:rPr>
        <w:t xml:space="preserve">CE QUE LE DROIT CONTIENT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Données personnelles : tout élément qui particularise la personne — image, voix, nom, immatriculation du véhicule, coordonnées professionnelles, adresse IP — et qui permet son identification. Les données « sensibles » font l’objet d’une restriction d’accès renforcée.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Fichier : ensemble structuré de données personnelles accessibles selon des critères déterminés, qu’il soit centralisé, décentralisé ou réparti.</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Responsable du traitement : la personne physique ou morale, l’autorité publique ou l’organisme qui détermine les finalités et les moyens du traitement.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Principes : licéité, loyauté et transparence ; consentement, pilier seulement relatif de la licéité ; minimisation des données.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Garanties : la CNIL, au rôle central ; puis les juges — la Cour de justice et la Cour européenne se distinguant par une approche du contrôle de proportionnalité plus rigoureuse que celle du Conseil constitutionnel.</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Enjeux actuels : surveillance de masse, droit à l’oubli, reconnaissance faciale et systèmes prédictifs, systèmes d’IA à haut risque.</w:t>
      </w:r>
    </w:p>
    <w:p>
      <w:pPr>
        <w:spacing w:after="70" w:before="30" w:line="264"/>
        <w:ind w:left="200"/>
        <w:jc w:val="both"/>
      </w:pPr>
      <w:r>
        <w:rPr>
          <w:rFonts w:ascii="Calibri" w:cs="Calibri" w:eastAsia="Calibri" w:hAnsi="Calibri"/>
          <w:b/>
          <w:bCs/>
          <w:color w:val="2E5A88"/>
          <w:spacing w:val="18"/>
          <w:sz w:val="15"/>
          <w:szCs w:val="15"/>
        </w:rPr>
        <w:t xml:space="preserve">RÉGIME  </w:t>
      </w:r>
      <w:r>
        <w:rPr>
          <w:rFonts w:ascii="Calibri" w:cs="Calibri" w:eastAsia="Calibri" w:hAnsi="Calibri"/>
          <w:color w:val="2A2A2A"/>
          <w:sz w:val="18"/>
          <w:szCs w:val="18"/>
        </w:rPr>
        <w:t xml:space="preserve">Régime de conciliation : le RGPD, d’application directe, s’applique aussi aux entités non établies dans l’Union qui y offrent des biens ou services ; l’ensemble vise à concilier la protection des données avec d’autres impératifs d’intérêt général comme la sécurité publique ou la liberté d’entreprendre.</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Un régime juridique complexe en constante évolution  ·  Les mécanismes de garantie administratifs et juridictionnels  ·  Protection juridique des données personnelles à l’ère du Big Data et de l’IA</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CJUE, 13 mai 2014, Google Spain, C-131/12  ·  CJUE, 6 octobre 2020, La Quadrature du Net, C-511/18  ·  CJUE, 8 avril 2014, Digital Rights, C-293/12  ·  CJUE, 21 décembre 2016, Tele2 Sverige, C-203/15</w:t>
      </w:r>
    </w:p>
    <w:p>
      <w:pPr>
        <w:keepNext/>
        <w:spacing w:after="60" w:before="210"/>
      </w:pPr>
      <w:r>
        <w:rPr>
          <w:rFonts w:ascii="Calibri" w:cs="Calibri" w:eastAsia="Calibri" w:hAnsi="Calibri"/>
          <w:b/>
          <w:bCs/>
          <w:color w:val="2E5A88"/>
          <w:sz w:val="22"/>
          <w:szCs w:val="22"/>
        </w:rPr>
        <w:t xml:space="preserve">36. </w:t>
      </w:r>
      <w:r>
        <w:rPr>
          <w:rFonts w:ascii="Cambria" w:cs="Cambria" w:eastAsia="Cambria" w:hAnsi="Cambria"/>
          <w:b/>
          <w:bCs/>
          <w:color w:val="1F3864"/>
          <w:sz w:val="22"/>
          <w:szCs w:val="22"/>
        </w:rPr>
        <w:t xml:space="preserve">La liberté de penser, de conscience et de religion</w:t>
      </w:r>
      <w:r>
        <w:rPr>
          <w:rFonts w:ascii="Calibri" w:cs="Calibri" w:eastAsia="Calibri" w:hAnsi="Calibri"/>
          <w:color w:val="757575"/>
          <w:sz w:val="15"/>
          <w:szCs w:val="15"/>
        </w:rPr>
        <w:t xml:space="preserve">   p. 369</w:t>
      </w:r>
    </w:p>
    <w:p>
      <w:pPr>
        <w:spacing w:after="75" w:before="0" w:line="264"/>
        <w:ind w:left="200"/>
        <w:jc w:val="both"/>
      </w:pPr>
      <w:r>
        <w:rPr>
          <w:rFonts w:ascii="Calibri" w:cs="Calibri" w:eastAsia="Calibri" w:hAnsi="Calibri"/>
          <w:color w:val="1A1A1A"/>
          <w:sz w:val="19"/>
          <w:szCs w:val="19"/>
        </w:rPr>
        <w:t xml:space="preserve">Trois libertés emboîtées, décrites comme celles sur lesquelles le pouvoir a le moins d’emprise et qui rendent possibles les autres. Le fascicule les organise autour de l’opposition entre le for intérieur, ce que l’on pense, et le for extérieur, ce que l’on manifeste.</w:t>
      </w:r>
    </w:p>
    <w:p>
      <w:pPr>
        <w:spacing w:after="70" w:before="0" w:line="264"/>
        <w:ind w:left="200"/>
        <w:jc w:val="both"/>
      </w:pPr>
      <w:r>
        <w:rPr>
          <w:rFonts w:ascii="Calibri" w:cs="Calibri" w:eastAsia="Calibri" w:hAnsi="Calibri"/>
          <w:b/>
          <w:bCs/>
          <w:color w:val="2E5A88"/>
          <w:spacing w:val="18"/>
          <w:sz w:val="15"/>
          <w:szCs w:val="15"/>
        </w:rPr>
        <w:t xml:space="preserve">TEXTES  </w:t>
      </w:r>
      <w:r>
        <w:rPr>
          <w:rFonts w:ascii="Calibri" w:cs="Calibri" w:eastAsia="Calibri" w:hAnsi="Calibri"/>
          <w:color w:val="3C3C3C"/>
          <w:sz w:val="17"/>
          <w:szCs w:val="17"/>
        </w:rPr>
        <w:t xml:space="preserve">Article 10 DDHC (« nul ne doit être inquiété pour ses opinions même religieuses pourvu que leur manifestation ne trouble pas l’ordre public établi par la loi ») · loi du 9 décembre 1905, dont l’article 1er assure la liberté de conscience et garantit le libre exercice des cultes · article 9 CEDH · article 19 DUDH · article 10 de la Charte.</w:t>
      </w:r>
    </w:p>
    <w:p>
      <w:pPr>
        <w:spacing w:after="45"/>
        <w:ind w:left="200"/>
      </w:pPr>
      <w:r>
        <w:rPr>
          <w:rFonts w:ascii="Calibri" w:cs="Calibri" w:eastAsia="Calibri" w:hAnsi="Calibri"/>
          <w:b/>
          <w:bCs/>
          <w:color w:val="2E5A88"/>
          <w:spacing w:val="18"/>
          <w:sz w:val="15"/>
          <w:szCs w:val="15"/>
        </w:rPr>
        <w:t xml:space="preserve">CE QUE LE DROIT CONTIENT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Répartition des notions : la liberté d’opinion concerne plutôt les opinions laïques — politiques, syndicales, scientifiques ; la liberté de conscience, qui englobe la liberté d’opinion et la liberté religieuse, concerne plutôt les croyances religieuses et philosophiques. Elle est un principe fondamental reconnu par les lois de la République.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Droit de ne pas voir ses opinions prises en compte : garanti par les clauses de non-discrimination (article 1er de la Constitution, préambule de 1946, article L. 1132-1 du Code du travail, article 14 CEDH, article 21 de la Charte).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Droit de les voir prises en compte : objection de conscience, expressément reconnue à l’article 10 de la Charte ; clause de conscience, droit reconnu à un professionnel de refuser d’accomplir certains actes contraires à ses convictions.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Culte : l’hommage religieux rendu, ou l’ensemble des pratiques réglées par une religion pour le rendre.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Laïcité : séparation des Églises et de l’État, neutralité de l’État, et respect de l’autonomie d’organisation des cultes ; puis les exceptions et le débat sur la laïcité « à la française ».</w:t>
      </w:r>
    </w:p>
    <w:p>
      <w:pPr>
        <w:spacing w:after="70" w:before="30" w:line="264"/>
        <w:ind w:left="200"/>
        <w:jc w:val="both"/>
      </w:pPr>
      <w:r>
        <w:rPr>
          <w:rFonts w:ascii="Calibri" w:cs="Calibri" w:eastAsia="Calibri" w:hAnsi="Calibri"/>
          <w:b/>
          <w:bCs/>
          <w:color w:val="2E5A88"/>
          <w:spacing w:val="18"/>
          <w:sz w:val="15"/>
          <w:szCs w:val="15"/>
        </w:rPr>
        <w:t xml:space="preserve">RÉGIME  </w:t>
      </w:r>
      <w:r>
        <w:rPr>
          <w:rFonts w:ascii="Calibri" w:cs="Calibri" w:eastAsia="Calibri" w:hAnsi="Calibri"/>
          <w:color w:val="2A2A2A"/>
          <w:sz w:val="18"/>
          <w:szCs w:val="18"/>
        </w:rPr>
        <w:t xml:space="preserve">Le for intérieur est protégé de façon quasi absolue ; la liberté de manifester sa foi est en revanche susceptible de restrictions, classées par fondement : ordre public, fonctionnement du service public, entreprise.</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La liberté de penser, de conscience et d’opinion  ·  La liberté de culte et de religion  ·  Le principe de laïcité</w:t>
      </w:r>
    </w:p>
    <w:p>
      <w:pPr>
        <w:keepNext/>
        <w:spacing w:after="60" w:before="210"/>
      </w:pPr>
      <w:r>
        <w:rPr>
          <w:rFonts w:ascii="Calibri" w:cs="Calibri" w:eastAsia="Calibri" w:hAnsi="Calibri"/>
          <w:b/>
          <w:bCs/>
          <w:color w:val="2E5A88"/>
          <w:sz w:val="22"/>
          <w:szCs w:val="22"/>
        </w:rPr>
        <w:t xml:space="preserve">37. </w:t>
      </w:r>
      <w:r>
        <w:rPr>
          <w:rFonts w:ascii="Cambria" w:cs="Cambria" w:eastAsia="Cambria" w:hAnsi="Cambria"/>
          <w:b/>
          <w:bCs/>
          <w:color w:val="1F3864"/>
          <w:sz w:val="22"/>
          <w:szCs w:val="22"/>
        </w:rPr>
        <w:t xml:space="preserve">La liberté d’expression</w:t>
      </w:r>
      <w:r>
        <w:rPr>
          <w:rFonts w:ascii="Calibri" w:cs="Calibri" w:eastAsia="Calibri" w:hAnsi="Calibri"/>
          <w:color w:val="757575"/>
          <w:sz w:val="15"/>
          <w:szCs w:val="15"/>
        </w:rPr>
        <w:t xml:space="preserve">   p. 381</w:t>
      </w:r>
    </w:p>
    <w:p>
      <w:pPr>
        <w:spacing w:after="75" w:before="0" w:line="264"/>
        <w:ind w:left="200"/>
        <w:jc w:val="both"/>
      </w:pPr>
      <w:r>
        <w:rPr>
          <w:rFonts w:ascii="Calibri" w:cs="Calibri" w:eastAsia="Calibri" w:hAnsi="Calibri"/>
          <w:color w:val="1A1A1A"/>
          <w:sz w:val="19"/>
          <w:szCs w:val="19"/>
        </w:rPr>
        <w:t xml:space="preserve">La liberté d’expression est présentée comme la pierre angulaire d’une société démocratique, à la fois droit subjectif et principe objectif structurant. Formule de référence : elle vaut aussi pour les idées « qui heurtent, choquent ou inquiètent l’État ou une fraction quelconque de la population » (Handyside).</w:t>
      </w:r>
    </w:p>
    <w:p>
      <w:pPr>
        <w:spacing w:after="70" w:before="0" w:line="264"/>
        <w:ind w:left="200"/>
        <w:jc w:val="both"/>
      </w:pPr>
      <w:r>
        <w:rPr>
          <w:rFonts w:ascii="Calibri" w:cs="Calibri" w:eastAsia="Calibri" w:hAnsi="Calibri"/>
          <w:b/>
          <w:bCs/>
          <w:color w:val="2E5A88"/>
          <w:spacing w:val="18"/>
          <w:sz w:val="15"/>
          <w:szCs w:val="15"/>
        </w:rPr>
        <w:t xml:space="preserve">TEXTES  </w:t>
      </w:r>
      <w:r>
        <w:rPr>
          <w:rFonts w:ascii="Calibri" w:cs="Calibri" w:eastAsia="Calibri" w:hAnsi="Calibri"/>
          <w:color w:val="3C3C3C"/>
          <w:sz w:val="17"/>
          <w:szCs w:val="17"/>
        </w:rPr>
        <w:t xml:space="preserve">Article 11 DDHC (« un des droits les plus précieux de l’homme ») · article 10 CEDH · article 19 DUDH et article 19 PIDCP · article 11 de la Charte · loi du 29 juillet 1881 · article 431-1 du Code pénal, qui punit l’entrave · Digital Services Act.</w:t>
      </w:r>
    </w:p>
    <w:p>
      <w:pPr>
        <w:spacing w:after="45"/>
        <w:ind w:left="200"/>
      </w:pPr>
      <w:r>
        <w:rPr>
          <w:rFonts w:ascii="Calibri" w:cs="Calibri" w:eastAsia="Calibri" w:hAnsi="Calibri"/>
          <w:b/>
          <w:bCs/>
          <w:color w:val="2E5A88"/>
          <w:spacing w:val="18"/>
          <w:sz w:val="15"/>
          <w:szCs w:val="15"/>
        </w:rPr>
        <w:t xml:space="preserve">CE QUE LE DROIT CONTIENT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Contenu : liberté d’opinion, liberté de parole, liberté de communiquer et de recevoir des informations, sans considération de frontières ni de support.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Effet horizontal : elle protège aussi contre les atteintes dans les relations entre particuliers et impose à l’État des obligations positives de mise en place de garanties matérielles et procédurales.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Grille de contrôle d’une ingérence : le triptyque légalité, légitimité, nécessité ou proportionnalité.</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Limitations : clauses de limitation ; clauses d’autorisation (l’article 10 réserve la soumission des entreprises de radiodiffusion, de cinéma ou de télévision à un régime d’autorisations) ; interdictions au titre de l’abus de droit — discours de haine, appels à la discrimination ou à la violence, apologie du terrorisme.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Le pluralisme des courants d’expression socioculturels est un objectif à valeur constitutionnelle.</w:t>
      </w:r>
    </w:p>
    <w:p>
      <w:pPr>
        <w:spacing w:after="70" w:before="30" w:line="264"/>
        <w:ind w:left="200"/>
        <w:jc w:val="both"/>
      </w:pPr>
      <w:r>
        <w:rPr>
          <w:rFonts w:ascii="Calibri" w:cs="Calibri" w:eastAsia="Calibri" w:hAnsi="Calibri"/>
          <w:b/>
          <w:bCs/>
          <w:color w:val="2E5A88"/>
          <w:spacing w:val="18"/>
          <w:sz w:val="15"/>
          <w:szCs w:val="15"/>
        </w:rPr>
        <w:t xml:space="preserve">RÉGIME  </w:t>
      </w:r>
      <w:r>
        <w:rPr>
          <w:rFonts w:ascii="Calibri" w:cs="Calibri" w:eastAsia="Calibri" w:hAnsi="Calibri"/>
          <w:color w:val="2A2A2A"/>
          <w:sz w:val="18"/>
          <w:szCs w:val="18"/>
        </w:rPr>
        <w:t xml:space="preserve">Non absolue : droit susceptible de limitations, assorti de « devoirs et responsabilités », renforcés pour les fonctionnaires soumis à une obligation de neutralité. Large marge nationale d’appréciation pour déterminer ce qui relève du débat d’intérêt général.</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Une liberté essentielle à la vie démocratique  ·  Une liberté susceptible d’être limitée  ·  La digitalisation de la liberté d’expression</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Cons. const., déc. no 86-217 DC, 18 septembre 1986, Loi relative à la liberté de communication</w:t>
      </w:r>
    </w:p>
    <w:p>
      <w:pPr>
        <w:keepNext/>
        <w:spacing w:after="60" w:before="210"/>
      </w:pPr>
      <w:r>
        <w:rPr>
          <w:rFonts w:ascii="Calibri" w:cs="Calibri" w:eastAsia="Calibri" w:hAnsi="Calibri"/>
          <w:b/>
          <w:bCs/>
          <w:color w:val="2E5A88"/>
          <w:sz w:val="22"/>
          <w:szCs w:val="22"/>
        </w:rPr>
        <w:t xml:space="preserve">38. </w:t>
      </w:r>
      <w:r>
        <w:rPr>
          <w:rFonts w:ascii="Cambria" w:cs="Cambria" w:eastAsia="Cambria" w:hAnsi="Cambria"/>
          <w:b/>
          <w:bCs/>
          <w:color w:val="1F3864"/>
          <w:sz w:val="22"/>
          <w:szCs w:val="22"/>
        </w:rPr>
        <w:t xml:space="preserve">La liberté de réunion et de manifestation pacifique</w:t>
      </w:r>
      <w:r>
        <w:rPr>
          <w:rFonts w:ascii="Calibri" w:cs="Calibri" w:eastAsia="Calibri" w:hAnsi="Calibri"/>
          <w:color w:val="757575"/>
          <w:sz w:val="15"/>
          <w:szCs w:val="15"/>
        </w:rPr>
        <w:t xml:space="preserve">   p. 395</w:t>
      </w:r>
    </w:p>
    <w:p>
      <w:pPr>
        <w:spacing w:after="75" w:before="0" w:line="264"/>
        <w:ind w:left="200"/>
        <w:jc w:val="both"/>
      </w:pPr>
      <w:r>
        <w:rPr>
          <w:rFonts w:ascii="Calibri" w:cs="Calibri" w:eastAsia="Calibri" w:hAnsi="Calibri"/>
          <w:color w:val="1A1A1A"/>
          <w:sz w:val="19"/>
          <w:szCs w:val="19"/>
        </w:rPr>
        <w:t xml:space="preserve">Deux libertés intimement liées — expression publique d’idées et d’opinions, caractère collectif, caractère temporaire — mais qui ne relèvent pas du même régime. La Convention les traite ensemble à l’article 11, le droit français les distingue.</w:t>
      </w:r>
    </w:p>
    <w:p>
      <w:pPr>
        <w:spacing w:after="70" w:before="0" w:line="264"/>
        <w:ind w:left="200"/>
        <w:jc w:val="both"/>
      </w:pPr>
      <w:r>
        <w:rPr>
          <w:rFonts w:ascii="Calibri" w:cs="Calibri" w:eastAsia="Calibri" w:hAnsi="Calibri"/>
          <w:b/>
          <w:bCs/>
          <w:color w:val="2E5A88"/>
          <w:spacing w:val="18"/>
          <w:sz w:val="15"/>
          <w:szCs w:val="15"/>
        </w:rPr>
        <w:t xml:space="preserve">TEXTES  </w:t>
      </w:r>
      <w:r>
        <w:rPr>
          <w:rFonts w:ascii="Calibri" w:cs="Calibri" w:eastAsia="Calibri" w:hAnsi="Calibri"/>
          <w:color w:val="3C3C3C"/>
          <w:sz w:val="17"/>
          <w:szCs w:val="17"/>
        </w:rPr>
        <w:t xml:space="preserve">Article 11 CEDH · article 20 DUDH · articles 21 et 22 PIDCP · article 12 de la Charte. Aucune disposition constitutionnelle française ne les consacre : le Conseil constitutionnel leur reconnaît valeur constitutionnelle par une interprétation extensive de la liberté d’expression de l’article 11 DDHC. La manifestation est définie à l’article 431-3 du Code pénal.</w:t>
      </w:r>
    </w:p>
    <w:p>
      <w:pPr>
        <w:spacing w:after="45"/>
        <w:ind w:left="200"/>
      </w:pPr>
      <w:r>
        <w:rPr>
          <w:rFonts w:ascii="Calibri" w:cs="Calibri" w:eastAsia="Calibri" w:hAnsi="Calibri"/>
          <w:b/>
          <w:bCs/>
          <w:color w:val="2E5A88"/>
          <w:spacing w:val="18"/>
          <w:sz w:val="15"/>
          <w:szCs w:val="15"/>
        </w:rPr>
        <w:t xml:space="preserve">CE QUE LE DROIT CONTIENT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Notion européenne : notion autonome extrêmement large, qui vise tous les rassemblements momentanés de personnes, publics ou privés, statiques ou défilés, dès lors qu’ils poursuivent un objectif commun ; elle protège les participants comme les organisateurs, indépendamment des qualifications retenues en droit interne.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Distinction interne : la manifestation, tout rassemblement de personnes sur la voie publique ou dans un lieu public susceptible de troubler l’ordre public, se distingue de la réunion par son lieu — la voie publique — et par son but revendicatif.</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Articulation : l’article 11 est une lex specialis par rapport à la liberté d’expression de l’article 10, lex generalis, et s’interprète à sa lumière (Ezelin).</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Obligations négatives : ne pas causer d’ingérence injustifiée avant, pendant ou après la réunion ; l’usage abusif de la force peut en outre engager les articles 2 et 3.</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Obligations positives : permettre le déroulement pacifique du rassemblement.</w:t>
      </w:r>
    </w:p>
    <w:p>
      <w:pPr>
        <w:spacing w:after="70" w:before="30" w:line="264"/>
        <w:ind w:left="200"/>
        <w:jc w:val="both"/>
      </w:pPr>
      <w:r>
        <w:rPr>
          <w:rFonts w:ascii="Calibri" w:cs="Calibri" w:eastAsia="Calibri" w:hAnsi="Calibri"/>
          <w:b/>
          <w:bCs/>
          <w:color w:val="2E5A88"/>
          <w:spacing w:val="18"/>
          <w:sz w:val="15"/>
          <w:szCs w:val="15"/>
        </w:rPr>
        <w:t xml:space="preserve">RÉGIME  </w:t>
      </w:r>
      <w:r>
        <w:rPr>
          <w:rFonts w:ascii="Calibri" w:cs="Calibri" w:eastAsia="Calibri" w:hAnsi="Calibri"/>
          <w:color w:val="2A2A2A"/>
          <w:sz w:val="18"/>
          <w:szCs w:val="18"/>
        </w:rPr>
        <w:t xml:space="preserve">La protection est conditionnée au caractère pacifique : sont exclus les rassemblements dont les participants ou organisateurs ont des intentions violentes, ont incité ou commis des violences, ou renié les fondements de la société démocratique. En revanche, des violences commises par certains ne privent pas de protection le requérant demeuré pacifique, et l’absence de déclaration préalable n’ôte pas à la manifestation sa qualité de manifestation pacifique.</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La protection européenne de la liberté de réunion  ·  La protection interne de la liberté de réunion et de manifestation</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Cons. const. 18 janvier 1995, no 94-352 DC  ·  CEDH, GC., 15 octobre 2015, Kudrevičius et a. c. Lituanie, no 37553/05  ·  CE, 19 mai 1933, Benjamin, nos 17413, 17520</w:t>
      </w:r>
    </w:p>
    <w:p>
      <w:pPr>
        <w:keepNext/>
        <w:spacing w:after="60" w:before="210"/>
      </w:pPr>
      <w:r>
        <w:rPr>
          <w:rFonts w:ascii="Calibri" w:cs="Calibri" w:eastAsia="Calibri" w:hAnsi="Calibri"/>
          <w:b/>
          <w:bCs/>
          <w:color w:val="2E5A88"/>
          <w:sz w:val="22"/>
          <w:szCs w:val="22"/>
        </w:rPr>
        <w:t xml:space="preserve">39. </w:t>
      </w:r>
      <w:r>
        <w:rPr>
          <w:rFonts w:ascii="Cambria" w:cs="Cambria" w:eastAsia="Cambria" w:hAnsi="Cambria"/>
          <w:b/>
          <w:bCs/>
          <w:color w:val="1F3864"/>
          <w:sz w:val="22"/>
          <w:szCs w:val="22"/>
        </w:rPr>
        <w:t xml:space="preserve">La liberté d’association</w:t>
      </w:r>
      <w:r>
        <w:rPr>
          <w:rFonts w:ascii="Calibri" w:cs="Calibri" w:eastAsia="Calibri" w:hAnsi="Calibri"/>
          <w:color w:val="757575"/>
          <w:sz w:val="15"/>
          <w:szCs w:val="15"/>
        </w:rPr>
        <w:t xml:space="preserve">   p. 404</w:t>
      </w:r>
    </w:p>
    <w:p>
      <w:pPr>
        <w:spacing w:after="75" w:before="0" w:line="264"/>
        <w:ind w:left="200"/>
        <w:jc w:val="both"/>
      </w:pPr>
      <w:r>
        <w:rPr>
          <w:rFonts w:ascii="Calibri" w:cs="Calibri" w:eastAsia="Calibri" w:hAnsi="Calibri"/>
          <w:color w:val="1A1A1A"/>
          <w:sz w:val="19"/>
          <w:szCs w:val="19"/>
        </w:rPr>
        <w:t xml:space="preserve">La liberté d’association est le droit de se regrouper durablement dans un but autre que le partage de bénéfices. L’association est définie par la loi de 1901 comme « la convention par laquelle deux ou plusieurs personnes mettent en commun, d’une façon permanente, leurs connaissances ou leur activité dans un but autre que de partager des bénéfices ».</w:t>
      </w:r>
    </w:p>
    <w:p>
      <w:pPr>
        <w:spacing w:after="70" w:before="0" w:line="264"/>
        <w:ind w:left="200"/>
        <w:jc w:val="both"/>
      </w:pPr>
      <w:r>
        <w:rPr>
          <w:rFonts w:ascii="Calibri" w:cs="Calibri" w:eastAsia="Calibri" w:hAnsi="Calibri"/>
          <w:b/>
          <w:bCs/>
          <w:color w:val="2E5A88"/>
          <w:spacing w:val="18"/>
          <w:sz w:val="15"/>
          <w:szCs w:val="15"/>
        </w:rPr>
        <w:t xml:space="preserve">TEXTES  </w:t>
      </w:r>
      <w:r>
        <w:rPr>
          <w:rFonts w:ascii="Calibri" w:cs="Calibri" w:eastAsia="Calibri" w:hAnsi="Calibri"/>
          <w:color w:val="3C3C3C"/>
          <w:sz w:val="17"/>
          <w:szCs w:val="17"/>
        </w:rPr>
        <w:t xml:space="preserve">Loi du 1er juillet 1901 · article 20 DUDH (nul ne peut être forcé de faire partie d’une association) · article 22 PIDCP · article 11 CEDH · article 12 de la Charte.</w:t>
      </w:r>
    </w:p>
    <w:p>
      <w:pPr>
        <w:spacing w:after="45"/>
        <w:ind w:left="200"/>
      </w:pPr>
      <w:r>
        <w:rPr>
          <w:rFonts w:ascii="Calibri" w:cs="Calibri" w:eastAsia="Calibri" w:hAnsi="Calibri"/>
          <w:b/>
          <w:bCs/>
          <w:color w:val="2E5A88"/>
          <w:spacing w:val="18"/>
          <w:sz w:val="15"/>
          <w:szCs w:val="15"/>
        </w:rPr>
        <w:t xml:space="preserve">CE QUE LE DROIT CONTIENT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Consécration constitutionnelle : le Conseil d’État reconnaît d’abord un principe fondamental reconnu par les lois de la République en 1956 (Amicale des Annamites de Paris) ; le Conseil constitutionnel lui donne valeur constitutionnelle par la décision du 16 juillet 1971.</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Double dimension : individuelle — chacun est libre d’adhérer, de ne pas adhérer ou de se retirer ; collective — l’association est libre à l’égard des tiers comme de l’État et des collectivités publiques.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Régime : libre constitution, sans que puisse être opposé un refus d’enregistrement à la création d’un organisme sans but lucratif (Sidiropoulos) ; objet de l’association ; libre fonctionnement.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Contentieux français typique : formation du contrat d’association, capacité à agir en justice, fonctionnement, responsabilité, disparition.</w:t>
      </w:r>
    </w:p>
    <w:p>
      <w:pPr>
        <w:spacing w:after="70" w:before="30" w:line="264"/>
        <w:ind w:left="200"/>
        <w:jc w:val="both"/>
      </w:pPr>
      <w:r>
        <w:rPr>
          <w:rFonts w:ascii="Calibri" w:cs="Calibri" w:eastAsia="Calibri" w:hAnsi="Calibri"/>
          <w:b/>
          <w:bCs/>
          <w:color w:val="2E5A88"/>
          <w:spacing w:val="18"/>
          <w:sz w:val="15"/>
          <w:szCs w:val="15"/>
        </w:rPr>
        <w:t xml:space="preserve">RÉGIME  </w:t>
      </w:r>
      <w:r>
        <w:rPr>
          <w:rFonts w:ascii="Calibri" w:cs="Calibri" w:eastAsia="Calibri" w:hAnsi="Calibri"/>
          <w:color w:val="2A2A2A"/>
          <w:sz w:val="18"/>
          <w:szCs w:val="18"/>
        </w:rPr>
        <w:t xml:space="preserve">Non absolue : le fascicule traite les restrictions, la dissolution judiciaire et la dissolution administrative.</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Les sources de la liberté d’association  ·  Les différentes catégories d’association  ·  Le régime juridique des associations  ·  Les limites de la liberté d’association</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Cons. const., no 71-44 DC, 16 juillet 1971</w:t>
      </w:r>
    </w:p>
    <w:p>
      <w:pPr>
        <w:keepNext/>
        <w:spacing w:after="60" w:before="210"/>
      </w:pPr>
      <w:r>
        <w:rPr>
          <w:rFonts w:ascii="Calibri" w:cs="Calibri" w:eastAsia="Calibri" w:hAnsi="Calibri"/>
          <w:b/>
          <w:bCs/>
          <w:color w:val="2E5A88"/>
          <w:sz w:val="22"/>
          <w:szCs w:val="22"/>
        </w:rPr>
        <w:t xml:space="preserve">40. </w:t>
      </w:r>
      <w:r>
        <w:rPr>
          <w:rFonts w:ascii="Cambria" w:cs="Cambria" w:eastAsia="Cambria" w:hAnsi="Cambria"/>
          <w:b/>
          <w:bCs/>
          <w:color w:val="1F3864"/>
          <w:sz w:val="22"/>
          <w:szCs w:val="22"/>
        </w:rPr>
        <w:t xml:space="preserve">La liberté d’aller et venir</w:t>
      </w:r>
      <w:r>
        <w:rPr>
          <w:rFonts w:ascii="Calibri" w:cs="Calibri" w:eastAsia="Calibri" w:hAnsi="Calibri"/>
          <w:color w:val="757575"/>
          <w:sz w:val="15"/>
          <w:szCs w:val="15"/>
        </w:rPr>
        <w:t xml:space="preserve">   p. 416</w:t>
      </w:r>
    </w:p>
    <w:p>
      <w:pPr>
        <w:spacing w:after="75" w:before="0" w:line="264"/>
        <w:ind w:left="200"/>
        <w:jc w:val="both"/>
      </w:pPr>
      <w:r>
        <w:rPr>
          <w:rFonts w:ascii="Calibri" w:cs="Calibri" w:eastAsia="Calibri" w:hAnsi="Calibri"/>
          <w:color w:val="1A1A1A"/>
          <w:sz w:val="19"/>
          <w:szCs w:val="19"/>
        </w:rPr>
        <w:t xml:space="preserve">La liberté d’aller et venir est une composante de la liberté personnelle. Toute la fiche repose sur une distinction opératoire : la privation de liberté, qui relève de l’article 66 et du juge judiciaire, n’entre pas dans le champ de la liberté d’aller et venir, qui ne couvre que les restrictions.</w:t>
      </w:r>
    </w:p>
    <w:p>
      <w:pPr>
        <w:spacing w:after="70" w:before="0" w:line="264"/>
        <w:ind w:left="200"/>
        <w:jc w:val="both"/>
      </w:pPr>
      <w:r>
        <w:rPr>
          <w:rFonts w:ascii="Calibri" w:cs="Calibri" w:eastAsia="Calibri" w:hAnsi="Calibri"/>
          <w:b/>
          <w:bCs/>
          <w:color w:val="2E5A88"/>
          <w:spacing w:val="18"/>
          <w:sz w:val="15"/>
          <w:szCs w:val="15"/>
        </w:rPr>
        <w:t xml:space="preserve">TEXTES  </w:t>
      </w:r>
      <w:r>
        <w:rPr>
          <w:rFonts w:ascii="Calibri" w:cs="Calibri" w:eastAsia="Calibri" w:hAnsi="Calibri"/>
          <w:color w:val="3C3C3C"/>
          <w:sz w:val="17"/>
          <w:szCs w:val="17"/>
        </w:rPr>
        <w:t xml:space="preserve">Articles 2 et 4 DDHC · article 2 du protocole n° 4 CEDH · article 12 PIDCP · article 45 de la Charte · liberté fondamentale au sens du référé-liberté · article 78-2 du Code de procédure pénale pour les contrôles.</w:t>
      </w:r>
    </w:p>
    <w:p>
      <w:pPr>
        <w:spacing w:after="45"/>
        <w:ind w:left="200"/>
      </w:pPr>
      <w:r>
        <w:rPr>
          <w:rFonts w:ascii="Calibri" w:cs="Calibri" w:eastAsia="Calibri" w:hAnsi="Calibri"/>
          <w:b/>
          <w:bCs/>
          <w:color w:val="2E5A88"/>
          <w:spacing w:val="18"/>
          <w:sz w:val="15"/>
          <w:szCs w:val="15"/>
        </w:rPr>
        <w:t xml:space="preserve">CE QUE LE DROIT CONTIENT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Privation ou restriction : la différence est de degré et non de nature (Guzzardi). L’assignation à résidence avec astreinte quotidienne limitée à douze heures est une simple entrave ; en revanche, une interdiction totale de sortie, ou une obligation de rester à domicile plus de douze heures par jour, constitue une privation de liberté.</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Conséquence de compétence : les restrictions prises au titre de la police administrative échappent en principe au juge judiciaire.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Régime différencié selon la nationalité : des restrictions peuvent être imposées aux ressortissants étrangers, notamment quant aux conditions d’entrée.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Entraves : contrôles de police judiciaire et contrôles de police administrative.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Lutte contre le terrorisme : restrictions à l’entrée et à la sortie du territoire, périmètres de protection, mesures individuelles de contrôle administratif et de surveillance.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Union européenne : une liberté d’abord économique — le travailleur avant la personne, le « citoyen de marché » — puis la citoyenneté de l’Union depuis Maastricht ; Schengen admet la réintroduction temporaire des contrôles aux frontières intérieures en dernier recours, face à une menace grave pour l’ordre public.</w:t>
      </w:r>
    </w:p>
    <w:p>
      <w:pPr>
        <w:spacing w:after="70" w:before="30" w:line="264"/>
        <w:ind w:left="200"/>
        <w:jc w:val="both"/>
      </w:pPr>
      <w:r>
        <w:rPr>
          <w:rFonts w:ascii="Calibri" w:cs="Calibri" w:eastAsia="Calibri" w:hAnsi="Calibri"/>
          <w:b/>
          <w:bCs/>
          <w:color w:val="2E5A88"/>
          <w:spacing w:val="18"/>
          <w:sz w:val="15"/>
          <w:szCs w:val="15"/>
        </w:rPr>
        <w:t xml:space="preserve">RÉGIME  </w:t>
      </w:r>
      <w:r>
        <w:rPr>
          <w:rFonts w:ascii="Calibri" w:cs="Calibri" w:eastAsia="Calibri" w:hAnsi="Calibri"/>
          <w:color w:val="2A2A2A"/>
          <w:sz w:val="18"/>
          <w:szCs w:val="18"/>
        </w:rPr>
        <w:t xml:space="preserve">Non absolue. Elle se combine avec l’état d’urgence, dont le fascicule fait une « zone grise » quant à la qualification des mesures.</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Le cadre général de la liberté d’aller et venir en France  ·  L’articulation de la liberté de circulation avec la lutte contre le terrorisme  ·  La libre circulation des personnes dans l’Union européenne</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Cons. const., déc. no 2010-13 QPC, 9 juillet 2010, Monsieur Orient et autre Gens du voyage  ·  Cons. const., déc. no 2015-527 QPC, 22 décembre 2015  ·  CEDH, 6 novembre 1980, Guzzardi c. Italie, no 7367/76</w:t>
      </w:r>
    </w:p>
    <w:p>
      <w:pPr>
        <w:keepNext/>
        <w:spacing w:after="60" w:before="210"/>
      </w:pPr>
      <w:r>
        <w:rPr>
          <w:rFonts w:ascii="Calibri" w:cs="Calibri" w:eastAsia="Calibri" w:hAnsi="Calibri"/>
          <w:b/>
          <w:bCs/>
          <w:color w:val="2E5A88"/>
          <w:sz w:val="22"/>
          <w:szCs w:val="22"/>
        </w:rPr>
        <w:t xml:space="preserve">41. </w:t>
      </w:r>
      <w:r>
        <w:rPr>
          <w:rFonts w:ascii="Cambria" w:cs="Cambria" w:eastAsia="Cambria" w:hAnsi="Cambria"/>
          <w:b/>
          <w:bCs/>
          <w:color w:val="1F3864"/>
          <w:sz w:val="22"/>
          <w:szCs w:val="22"/>
        </w:rPr>
        <w:t xml:space="preserve">La liberté d’enseignement</w:t>
      </w:r>
      <w:r>
        <w:rPr>
          <w:rFonts w:ascii="Calibri" w:cs="Calibri" w:eastAsia="Calibri" w:hAnsi="Calibri"/>
          <w:color w:val="757575"/>
          <w:sz w:val="15"/>
          <w:szCs w:val="15"/>
        </w:rPr>
        <w:t xml:space="preserve">   p. 428</w:t>
      </w:r>
    </w:p>
    <w:p>
      <w:pPr>
        <w:spacing w:after="75" w:before="0" w:line="264"/>
        <w:ind w:left="200"/>
        <w:jc w:val="both"/>
      </w:pPr>
      <w:r>
        <w:rPr>
          <w:rFonts w:ascii="Calibri" w:cs="Calibri" w:eastAsia="Calibri" w:hAnsi="Calibri"/>
          <w:color w:val="1A1A1A"/>
          <w:sz w:val="19"/>
          <w:szCs w:val="19"/>
        </w:rPr>
        <w:t xml:space="preserve">Distinction à tenir en ouverture : la liberté DE l’enseignement concerne les enseignants et les établissements ; le droit À l’enseignement concerne les élèves et les étudiants (fiche 47).</w:t>
      </w:r>
    </w:p>
    <w:p>
      <w:pPr>
        <w:spacing w:after="70" w:before="0" w:line="264"/>
        <w:ind w:left="200"/>
        <w:jc w:val="both"/>
      </w:pPr>
      <w:r>
        <w:rPr>
          <w:rFonts w:ascii="Calibri" w:cs="Calibri" w:eastAsia="Calibri" w:hAnsi="Calibri"/>
          <w:b/>
          <w:bCs/>
          <w:color w:val="2E5A88"/>
          <w:spacing w:val="18"/>
          <w:sz w:val="15"/>
          <w:szCs w:val="15"/>
        </w:rPr>
        <w:t xml:space="preserve">TEXTES  </w:t>
      </w:r>
      <w:r>
        <w:rPr>
          <w:rFonts w:ascii="Calibri" w:cs="Calibri" w:eastAsia="Calibri" w:hAnsi="Calibri"/>
          <w:color w:val="3C3C3C"/>
          <w:sz w:val="17"/>
          <w:szCs w:val="17"/>
        </w:rPr>
        <w:t xml:space="preserve">Lois Guizot (1833), Falloux (1850), Dupanloup (1875) et loi du 18 mars 1880 · loi Debré du 31 décembre 1959 · principe fondamental reconnu par les lois de la République, dégagé à partir de la liberté d’opinion de l’article 10 DDHC et de l’article 91 de la loi de finances du 31 mars 1931.</w:t>
      </w:r>
    </w:p>
    <w:p>
      <w:pPr>
        <w:spacing w:after="45"/>
        <w:ind w:left="200"/>
      </w:pPr>
      <w:r>
        <w:rPr>
          <w:rFonts w:ascii="Calibri" w:cs="Calibri" w:eastAsia="Calibri" w:hAnsi="Calibri"/>
          <w:b/>
          <w:bCs/>
          <w:color w:val="2E5A88"/>
          <w:spacing w:val="18"/>
          <w:sz w:val="15"/>
          <w:szCs w:val="15"/>
        </w:rPr>
        <w:t xml:space="preserve">CE QUE LE DROIT CONTIENT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Contenu : liberté de créer des établissements d’enseignement privé, encadrement des établissements hors contrat, financement public des établissements privés.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Libre choix des parents : la liberté de l’enseignement recouvre le droit pour les parents de choisir le mode de scolarisation de leurs enfants, dans le public ou dans le privé, sous contrat ou non.</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Libertés des enseignants : distinctes selon le degré — enseignement privé, primaire et secondaire, enseignement supérieur, où la protection est la plus forte.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Limite interne : elle protège le choix de la pédagogie, non le droit de s’affranchir des objectifs de l’instruction obligatoire.</w:t>
      </w:r>
    </w:p>
    <w:p>
      <w:pPr>
        <w:spacing w:after="70" w:before="30" w:line="264"/>
        <w:ind w:left="200"/>
        <w:jc w:val="both"/>
      </w:pPr>
      <w:r>
        <w:rPr>
          <w:rFonts w:ascii="Calibri" w:cs="Calibri" w:eastAsia="Calibri" w:hAnsi="Calibri"/>
          <w:b/>
          <w:bCs/>
          <w:color w:val="2E5A88"/>
          <w:spacing w:val="18"/>
          <w:sz w:val="15"/>
          <w:szCs w:val="15"/>
        </w:rPr>
        <w:t xml:space="preserve">RÉGIME  </w:t>
      </w:r>
      <w:r>
        <w:rPr>
          <w:rFonts w:ascii="Calibri" w:cs="Calibri" w:eastAsia="Calibri" w:hAnsi="Calibri"/>
          <w:color w:val="2A2A2A"/>
          <w:sz w:val="18"/>
          <w:szCs w:val="18"/>
        </w:rPr>
        <w:t xml:space="preserve">Elle n’exclut pas le contrôle de l’État sur les établissements privés, mais interdit que l’administration dispose d’un pouvoir discrétionnaire insuffisamment encadré par la loi (décision du 2 juillet 2025).</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Les fondements de la liberté de l’enseignement  ·  Contenu de la liberté de l’enseignement</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Cons. const., déc., no 84-184 DC, 29 décembre 1984, Loi de finances pour 1985</w:t>
      </w:r>
    </w:p>
    <w:p>
      <w:pPr>
        <w:keepNext/>
        <w:spacing w:after="60" w:before="210"/>
      </w:pPr>
      <w:r>
        <w:rPr>
          <w:rFonts w:ascii="Calibri" w:cs="Calibri" w:eastAsia="Calibri" w:hAnsi="Calibri"/>
          <w:b/>
          <w:bCs/>
          <w:color w:val="2E5A88"/>
          <w:sz w:val="22"/>
          <w:szCs w:val="22"/>
        </w:rPr>
        <w:t xml:space="preserve">42. </w:t>
      </w:r>
      <w:r>
        <w:rPr>
          <w:rFonts w:ascii="Cambria" w:cs="Cambria" w:eastAsia="Cambria" w:hAnsi="Cambria"/>
          <w:b/>
          <w:bCs/>
          <w:color w:val="1F3864"/>
          <w:sz w:val="22"/>
          <w:szCs w:val="22"/>
        </w:rPr>
        <w:t xml:space="preserve">Le droit à des élections libres</w:t>
      </w:r>
      <w:r>
        <w:rPr>
          <w:rFonts w:ascii="Calibri" w:cs="Calibri" w:eastAsia="Calibri" w:hAnsi="Calibri"/>
          <w:color w:val="757575"/>
          <w:sz w:val="15"/>
          <w:szCs w:val="15"/>
        </w:rPr>
        <w:t xml:space="preserve">   p. 436</w:t>
      </w:r>
    </w:p>
    <w:p>
      <w:pPr>
        <w:spacing w:after="75" w:before="0" w:line="264"/>
        <w:ind w:left="200"/>
        <w:jc w:val="both"/>
      </w:pPr>
      <w:r>
        <w:rPr>
          <w:rFonts w:ascii="Calibri" w:cs="Calibri" w:eastAsia="Calibri" w:hAnsi="Calibri"/>
          <w:color w:val="1A1A1A"/>
          <w:sz w:val="19"/>
          <w:szCs w:val="19"/>
        </w:rPr>
        <w:t xml:space="preserve">Le droit à des élections libres est à la fois un droit subjectif et un principe objectif essentiel à la démocratie — la pierre angulaire de la relation entre gouvernants et gouvernés.</w:t>
      </w:r>
    </w:p>
    <w:p>
      <w:pPr>
        <w:spacing w:after="70" w:before="0" w:line="264"/>
        <w:ind w:left="200"/>
        <w:jc w:val="both"/>
      </w:pPr>
      <w:r>
        <w:rPr>
          <w:rFonts w:ascii="Calibri" w:cs="Calibri" w:eastAsia="Calibri" w:hAnsi="Calibri"/>
          <w:b/>
          <w:bCs/>
          <w:color w:val="2E5A88"/>
          <w:spacing w:val="18"/>
          <w:sz w:val="15"/>
          <w:szCs w:val="15"/>
        </w:rPr>
        <w:t xml:space="preserve">TEXTES  </w:t>
      </w:r>
      <w:r>
        <w:rPr>
          <w:rFonts w:ascii="Calibri" w:cs="Calibri" w:eastAsia="Calibri" w:hAnsi="Calibri"/>
          <w:color w:val="3C3C3C"/>
          <w:sz w:val="17"/>
          <w:szCs w:val="17"/>
        </w:rPr>
        <w:t xml:space="preserve">Article 21 DUDH · article 25 PIDCP · article 3 du protocole n° 1 CEDH · articles 39 et 40 de la Charte (Parlement européen et élections municipales — le fascicule indique par erreur l’article 30 pour le Parlement européen) · articles 2 et 3 de la Constitution · Code électoral.</w:t>
      </w:r>
    </w:p>
    <w:p>
      <w:pPr>
        <w:spacing w:after="45"/>
        <w:ind w:left="200"/>
      </w:pPr>
      <w:r>
        <w:rPr>
          <w:rFonts w:ascii="Calibri" w:cs="Calibri" w:eastAsia="Calibri" w:hAnsi="Calibri"/>
          <w:b/>
          <w:bCs/>
          <w:color w:val="2E5A88"/>
          <w:spacing w:val="18"/>
          <w:sz w:val="15"/>
          <w:szCs w:val="15"/>
        </w:rPr>
        <w:t xml:space="preserve">CE QUE LE DROIT CONTIENT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Portée limitée de l’article 3 du protocole n° 1 : le fascicule parle d’une « reconnaissance au rabais », le droit y étant cantonné à l’élection du corps législatif — et plus précisément de la chambre basse en cas de bicamérisme. La Cour y a néanmoins décelé le principe caractéristique d’un régime véritablement démocratique.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Droit de vote : il permet d’exprimer son opinion lors d’un scrutin ou d’un référendum ; en France, c’est un droit et non une obligation, contrairement à plusieurs États européens.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Droit d’éligibilité : droit de briguer un mandat et garantie de pouvoir l’exercer une fois élu ; il protège donc aussi le maintien dans le mandat et l’effectivité du choix des électeurs.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Conditions de jouissance et d’exercice : nationalité, majorité électorale, résidence, absence de déchéance des droits politiques, inscription sur les listes, conditions renforcées d’éligibilité.</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Caractères du suffrage : universel, égal (« one man, one vote, one value »), libre et secret, honnête et sincère, périodique, direct ou indirect.</w:t>
      </w:r>
    </w:p>
    <w:p>
      <w:pPr>
        <w:spacing w:after="70" w:before="30" w:line="264"/>
        <w:ind w:left="200"/>
        <w:jc w:val="both"/>
      </w:pPr>
      <w:r>
        <w:rPr>
          <w:rFonts w:ascii="Calibri" w:cs="Calibri" w:eastAsia="Calibri" w:hAnsi="Calibri"/>
          <w:b/>
          <w:bCs/>
          <w:color w:val="2E5A88"/>
          <w:spacing w:val="18"/>
          <w:sz w:val="15"/>
          <w:szCs w:val="15"/>
        </w:rPr>
        <w:t xml:space="preserve">RÉGIME  </w:t>
      </w:r>
      <w:r>
        <w:rPr>
          <w:rFonts w:ascii="Calibri" w:cs="Calibri" w:eastAsia="Calibri" w:hAnsi="Calibri"/>
          <w:color w:val="2A2A2A"/>
          <w:sz w:val="18"/>
          <w:szCs w:val="18"/>
        </w:rPr>
        <w:t xml:space="preserve">Non absolu : des restrictions sont admises, pourvu qu’elles reposent sur une raison légitime — ainsi la Cour n’impose-t-elle pas de garantir le vote des expatriés ou des détenus dans tous les cas (Scoppola n° 3).</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Les sources du droit à des élections libres  ·  Les éléments du droit à des élections libres  ·  Les conditions de jouissance et d’exercice du droit à des élections libres  ·  Les caractères du suffrage</w:t>
      </w:r>
    </w:p>
    <w:p>
      <w:pPr>
        <w:keepNext/>
        <w:spacing w:after="60" w:before="210"/>
      </w:pPr>
      <w:r>
        <w:rPr>
          <w:rFonts w:ascii="Calibri" w:cs="Calibri" w:eastAsia="Calibri" w:hAnsi="Calibri"/>
          <w:b/>
          <w:bCs/>
          <w:color w:val="2E5A88"/>
          <w:sz w:val="22"/>
          <w:szCs w:val="22"/>
        </w:rPr>
        <w:t xml:space="preserve">43. </w:t>
      </w:r>
      <w:r>
        <w:rPr>
          <w:rFonts w:ascii="Cambria" w:cs="Cambria" w:eastAsia="Cambria" w:hAnsi="Cambria"/>
          <w:b/>
          <w:bCs/>
          <w:color w:val="1F3864"/>
          <w:sz w:val="22"/>
          <w:szCs w:val="22"/>
        </w:rPr>
        <w:t xml:space="preserve">Les protections fondamentales en cas d’éloignement, d’expulsion et d’extradition</w:t>
      </w:r>
      <w:r>
        <w:rPr>
          <w:rFonts w:ascii="Calibri" w:cs="Calibri" w:eastAsia="Calibri" w:hAnsi="Calibri"/>
          <w:color w:val="757575"/>
          <w:sz w:val="15"/>
          <w:szCs w:val="15"/>
        </w:rPr>
        <w:t xml:space="preserve">   p. 445</w:t>
      </w:r>
    </w:p>
    <w:p>
      <w:pPr>
        <w:spacing w:after="75" w:before="0" w:line="264"/>
        <w:ind w:left="200"/>
        <w:jc w:val="both"/>
      </w:pPr>
      <w:r>
        <w:rPr>
          <w:rFonts w:ascii="Calibri" w:cs="Calibri" w:eastAsia="Calibri" w:hAnsi="Calibri"/>
          <w:color w:val="1A1A1A"/>
          <w:sz w:val="19"/>
          <w:szCs w:val="19"/>
        </w:rPr>
        <w:t xml:space="preserve">Fiche de droit des étrangers centrée sur les garanties. Le principe de départ : aucune règle de valeur constitutionnelle n’assure aux étrangers des droits de caractère général et absolu d’accès et de séjour sur le territoire national, la lutte contre l’immigration irrégulière participant de la sauvegarde de l’ordre public.</w:t>
      </w:r>
    </w:p>
    <w:p>
      <w:pPr>
        <w:spacing w:after="70" w:before="0" w:line="264"/>
        <w:ind w:left="200"/>
        <w:jc w:val="both"/>
      </w:pPr>
      <w:r>
        <w:rPr>
          <w:rFonts w:ascii="Calibri" w:cs="Calibri" w:eastAsia="Calibri" w:hAnsi="Calibri"/>
          <w:b/>
          <w:bCs/>
          <w:color w:val="2E5A88"/>
          <w:spacing w:val="18"/>
          <w:sz w:val="15"/>
          <w:szCs w:val="15"/>
        </w:rPr>
        <w:t xml:space="preserve">TEXTES  </w:t>
      </w:r>
      <w:r>
        <w:rPr>
          <w:rFonts w:ascii="Calibri" w:cs="Calibri" w:eastAsia="Calibri" w:hAnsi="Calibri"/>
          <w:color w:val="3C3C3C"/>
          <w:sz w:val="17"/>
          <w:szCs w:val="17"/>
        </w:rPr>
        <w:t xml:space="preserve">Article 19 de la Charte (interdiction des expulsions collectives et de l’éloignement vers un risque de peine de mort, de torture ou de traitement inhumain ou dégradant) · article 3 CEDH · article 8 CEDH · article 1er du protocole n° 7 · CESEDA.</w:t>
      </w:r>
    </w:p>
    <w:p>
      <w:pPr>
        <w:spacing w:after="45"/>
        <w:ind w:left="200"/>
      </w:pPr>
      <w:r>
        <w:rPr>
          <w:rFonts w:ascii="Calibri" w:cs="Calibri" w:eastAsia="Calibri" w:hAnsi="Calibri"/>
          <w:b/>
          <w:bCs/>
          <w:color w:val="2E5A88"/>
          <w:spacing w:val="18"/>
          <w:sz w:val="15"/>
          <w:szCs w:val="15"/>
        </w:rPr>
        <w:t xml:space="preserve">CE QUE LE DROIT CONTIENT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Socle minimal reconnu aux étrangers en situation régulière (décision du 13 août 1993) : liberté individuelle et sûreté, liberté d’aller et venir, liberté du mariage, droit de mener une vie familiale normale, et droit au recours pour en garantir l’effectivité. La liberté du mariage est une composante de la liberté personnelle : l’irrégularité du séjour ne fait pas, à elle seule, obstacle au mariage.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Mesures à distinguer : obligation de quitter le territoire français et interdiction de retour ; expulsion ; extradition — des règles et des objectifs différents.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Protection de l’intégrité physique : en principe l’article 3, dont la Cour retient une appréciation très extensive du risque encouru.</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Protection de l’intégrité morale : la vie privée et familiale, qui peut être mise en balance avec d’autres droits, notamment le droit au mariage.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Garanties procédurales de l’article 1er du protocole n° 7, applicables à l’expulsion.</w:t>
      </w:r>
    </w:p>
    <w:p>
      <w:pPr>
        <w:spacing w:after="70" w:before="30" w:line="264"/>
        <w:ind w:left="200"/>
        <w:jc w:val="both"/>
      </w:pPr>
      <w:r>
        <w:rPr>
          <w:rFonts w:ascii="Calibri" w:cs="Calibri" w:eastAsia="Calibri" w:hAnsi="Calibri"/>
          <w:b/>
          <w:bCs/>
          <w:color w:val="2E5A88"/>
          <w:spacing w:val="18"/>
          <w:sz w:val="15"/>
          <w:szCs w:val="15"/>
        </w:rPr>
        <w:t xml:space="preserve">RÉGIME  </w:t>
      </w:r>
      <w:r>
        <w:rPr>
          <w:rFonts w:ascii="Calibri" w:cs="Calibri" w:eastAsia="Calibri" w:hAnsi="Calibri"/>
          <w:color w:val="2A2A2A"/>
          <w:sz w:val="18"/>
          <w:szCs w:val="18"/>
        </w:rPr>
        <w:t xml:space="preserve">L’État organise librement l’entrée et le séjour des étrangers, par des mesures de police administrative dotées de pouvoirs étendus — mais cette liberté d’organisation n’emporte pas négation de tout statut juridique.</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Le droit des étrangers et des citoyens de l’Union européenne  ·  Les mesures d’éloignement du territoire  ·  Les protections face aux mesures d’éloignement</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Cons. const., déc. no 2011-631 DC, 9 juin 2011, Loi relative à l’immigration  ·  Cons. const., déc. no 2003-484 DC, 20 novembre 2003  ·  CE, Ass., 21 janvier 1977, ministre de l’Intérieur c/ Dridi, no 01333</w:t>
      </w:r>
    </w:p>
    <w:p>
      <w:pPr>
        <w:keepNext/>
        <w:spacing w:after="60" w:before="210"/>
      </w:pPr>
      <w:r>
        <w:rPr>
          <w:rFonts w:ascii="Calibri" w:cs="Calibri" w:eastAsia="Calibri" w:hAnsi="Calibri"/>
          <w:b/>
          <w:bCs/>
          <w:color w:val="2E5A88"/>
          <w:sz w:val="22"/>
          <w:szCs w:val="22"/>
        </w:rPr>
        <w:t xml:space="preserve">44. </w:t>
      </w:r>
      <w:r>
        <w:rPr>
          <w:rFonts w:ascii="Cambria" w:cs="Cambria" w:eastAsia="Cambria" w:hAnsi="Cambria"/>
          <w:b/>
          <w:bCs/>
          <w:color w:val="1F3864"/>
          <w:sz w:val="22"/>
          <w:szCs w:val="22"/>
        </w:rPr>
        <w:t xml:space="preserve">Le droit des peuples à disposer d’eux-mêmes</w:t>
      </w:r>
      <w:r>
        <w:rPr>
          <w:rFonts w:ascii="Calibri" w:cs="Calibri" w:eastAsia="Calibri" w:hAnsi="Calibri"/>
          <w:color w:val="757575"/>
          <w:sz w:val="15"/>
          <w:szCs w:val="15"/>
        </w:rPr>
        <w:t xml:space="preserve">   p. 456</w:t>
      </w:r>
    </w:p>
    <w:p>
      <w:pPr>
        <w:spacing w:after="75" w:before="0" w:line="264"/>
        <w:ind w:left="200"/>
        <w:jc w:val="both"/>
      </w:pPr>
      <w:r>
        <w:rPr>
          <w:rFonts w:ascii="Calibri" w:cs="Calibri" w:eastAsia="Calibri" w:hAnsi="Calibri"/>
          <w:color w:val="1A1A1A"/>
          <w:sz w:val="19"/>
          <w:szCs w:val="19"/>
        </w:rPr>
        <w:t xml:space="preserve">Fiche de droit international public. Le droit des peuples à disposer d’eux-mêmes est un principe cardinal du droit international, conventionnel et coutumier — mais la notion de « peuple » elle-même reste juridiquement incertaine, le droit international l’ayant essentiellement envisagée à l’aune de la domination coloniale.</w:t>
      </w:r>
    </w:p>
    <w:p>
      <w:pPr>
        <w:spacing w:after="70" w:before="0" w:line="264"/>
        <w:ind w:left="200"/>
        <w:jc w:val="both"/>
      </w:pPr>
      <w:r>
        <w:rPr>
          <w:rFonts w:ascii="Calibri" w:cs="Calibri" w:eastAsia="Calibri" w:hAnsi="Calibri"/>
          <w:b/>
          <w:bCs/>
          <w:color w:val="2E5A88"/>
          <w:spacing w:val="18"/>
          <w:sz w:val="15"/>
          <w:szCs w:val="15"/>
        </w:rPr>
        <w:t xml:space="preserve">TEXTES  </w:t>
      </w:r>
      <w:r>
        <w:rPr>
          <w:rFonts w:ascii="Calibri" w:cs="Calibri" w:eastAsia="Calibri" w:hAnsi="Calibri"/>
          <w:color w:val="3C3C3C"/>
          <w:sz w:val="17"/>
          <w:szCs w:val="17"/>
        </w:rPr>
        <w:t xml:space="preserve">Article 1er § 2 et article 55 de la Charte des Nations unies, chapitres XI et XII · article 1er commun aux deux Pactes de 1966 · résolution 1514 (XV) de l’Assemblée générale (1960) · Charte africaine des droits de l’homme et des peuples (1981).</w:t>
      </w:r>
    </w:p>
    <w:p>
      <w:pPr>
        <w:spacing w:after="45"/>
        <w:ind w:left="200"/>
      </w:pPr>
      <w:r>
        <w:rPr>
          <w:rFonts w:ascii="Calibri" w:cs="Calibri" w:eastAsia="Calibri" w:hAnsi="Calibri"/>
          <w:b/>
          <w:bCs/>
          <w:color w:val="2E5A88"/>
          <w:spacing w:val="18"/>
          <w:sz w:val="15"/>
          <w:szCs w:val="15"/>
        </w:rPr>
        <w:t xml:space="preserve">CE QUE LE DROIT CONTIENT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Contenu conventionnel : déterminer librement son statut politique et assurer librement son développement économique, social et culturel ; les États parties doivent respecter ce droit et en faciliter la réalisation. Il protège aussi le peuple concerné contre l’application, à son territoire, d’accords internationaux auxquels il n’a pas consenti.</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Uti possidetis : principe d’intangibilité des frontières héritées, dégagé par la Cour internationale de justice (Burkina Faso c. Mali).</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Jurisprudence et avis de la Cour internationale de justice : Namibie (1971), Timor oriental (1995).</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Conventions régionales : place centrale des peuples dans la Charte africaine ; références dans la Charte arabe.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Droit français : valeur constitutionnelle du « peuple français », conçu comme unique et indivisible ; refus de ratifier la Charte européenne des langues régionales ; statut dérogatoire de la Nouvelle-Calédonie ; statut particulier de la Corse.</w:t>
      </w:r>
    </w:p>
    <w:p>
      <w:pPr>
        <w:spacing w:after="70" w:before="30" w:line="264"/>
        <w:ind w:left="200"/>
        <w:jc w:val="both"/>
      </w:pPr>
      <w:r>
        <w:rPr>
          <w:rFonts w:ascii="Calibri" w:cs="Calibri" w:eastAsia="Calibri" w:hAnsi="Calibri"/>
          <w:b/>
          <w:bCs/>
          <w:color w:val="2E5A88"/>
          <w:spacing w:val="18"/>
          <w:sz w:val="15"/>
          <w:szCs w:val="15"/>
        </w:rPr>
        <w:t xml:space="preserve">RÉGIME  </w:t>
      </w:r>
      <w:r>
        <w:rPr>
          <w:rFonts w:ascii="Calibri" w:cs="Calibri" w:eastAsia="Calibri" w:hAnsi="Calibri"/>
          <w:color w:val="2A2A2A"/>
          <w:sz w:val="18"/>
          <w:szCs w:val="18"/>
        </w:rPr>
        <w:t xml:space="preserve">Principe cardinal, mais dont la mise en œuvre est encadrée : le droit français reconnaît un droit à l’autodétermination tout en refusant de fractionner le peuple français.</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Les incertitudes autour de la définition juridique de « peuple »  ·  Le droit des peuples à disposer d’eux-mêmes en droit international  ·  Le droit des peuples dans les conventions régionales de protection des droits humains  ·  La notion de « peuple » en droit français</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CIJ, Burkina Faso c. République du Mali, 22 décembre 1986  ·  Cons. const., déc. no 91-290, 9 mai 1991  ·  CIJ, Affaire relative au Timor oriental (Portugal contre Australie), 30 juin 1995  ·  Cons. const., déc. no 75-59 DC, 30 décembre 1975</w:t>
      </w:r>
    </w:p>
    <w:p>
      <w:r>
        <w:br w:type="page"/>
      </w:r>
    </w:p>
    <w:p>
      <w:pPr>
        <w:pBdr>
          <w:bottom w:val="single" w:color="C7D2E0" w:sz="8"/>
        </w:pBdr>
        <w:spacing w:after="50" w:before="0"/>
      </w:pPr>
      <w:r>
        <w:rPr>
          <w:rFonts w:ascii="Calibri" w:cs="Calibri" w:eastAsia="Calibri" w:hAnsi="Calibri"/>
          <w:b/>
          <w:bCs/>
          <w:color w:val="2E5A88"/>
          <w:spacing w:val="30"/>
          <w:sz w:val="17"/>
          <w:szCs w:val="17"/>
        </w:rPr>
        <w:t xml:space="preserve">PARTIE VII  ·  </w:t>
      </w:r>
      <w:r>
        <w:rPr>
          <w:rFonts w:ascii="Cambria" w:cs="Cambria" w:eastAsia="Cambria" w:hAnsi="Cambria"/>
          <w:b/>
          <w:bCs/>
          <w:color w:val="1F3864"/>
          <w:sz w:val="26"/>
          <w:szCs w:val="26"/>
        </w:rPr>
        <w:t xml:space="preserve">Les droits économiques, sociaux et culturels</w:t>
      </w:r>
    </w:p>
    <w:p>
      <w:pPr>
        <w:spacing w:after="120" w:before="60"/>
        <w:jc w:val="both"/>
      </w:pPr>
      <w:r>
        <w:rPr>
          <w:rFonts w:ascii="Calibri" w:cs="Calibri" w:eastAsia="Calibri" w:hAnsi="Calibri"/>
          <w:i/>
          <w:iCs/>
          <w:color w:val="5A5A5A"/>
          <w:sz w:val="18"/>
          <w:szCs w:val="18"/>
        </w:rPr>
        <w:t xml:space="preserve">Les droits qui supposent une action de l’État. Fil rouge : leur normativité variable — souvent objectifs à valeur constitutionnelle plutôt que droits subjectifs pleinement invocables.</w:t>
      </w:r>
    </w:p>
    <w:p>
      <w:pPr>
        <w:keepNext/>
        <w:spacing w:after="60" w:before="210"/>
      </w:pPr>
      <w:r>
        <w:rPr>
          <w:rFonts w:ascii="Calibri" w:cs="Calibri" w:eastAsia="Calibri" w:hAnsi="Calibri"/>
          <w:b/>
          <w:bCs/>
          <w:color w:val="2E5A88"/>
          <w:sz w:val="22"/>
          <w:szCs w:val="22"/>
        </w:rPr>
        <w:t xml:space="preserve">45. </w:t>
      </w:r>
      <w:r>
        <w:rPr>
          <w:rFonts w:ascii="Cambria" w:cs="Cambria" w:eastAsia="Cambria" w:hAnsi="Cambria"/>
          <w:b/>
          <w:bCs/>
          <w:color w:val="1F3864"/>
          <w:sz w:val="22"/>
          <w:szCs w:val="22"/>
        </w:rPr>
        <w:t xml:space="preserve">La liberté du commerce et de l’industrie</w:t>
      </w:r>
      <w:r>
        <w:rPr>
          <w:rFonts w:ascii="Calibri" w:cs="Calibri" w:eastAsia="Calibri" w:hAnsi="Calibri"/>
          <w:color w:val="757575"/>
          <w:sz w:val="15"/>
          <w:szCs w:val="15"/>
        </w:rPr>
        <w:t xml:space="preserve">   p. 468</w:t>
      </w:r>
    </w:p>
    <w:p>
      <w:pPr>
        <w:spacing w:after="75" w:before="0" w:line="264"/>
        <w:ind w:left="200"/>
        <w:jc w:val="both"/>
      </w:pPr>
      <w:r>
        <w:rPr>
          <w:rFonts w:ascii="Calibri" w:cs="Calibri" w:eastAsia="Calibri" w:hAnsi="Calibri"/>
          <w:color w:val="1A1A1A"/>
          <w:sz w:val="19"/>
          <w:szCs w:val="19"/>
        </w:rPr>
        <w:t xml:space="preserve">La liberté d’entreprendre est le droit d’accéder librement à une profession et de l’exercer. Le fascicule souligne une asymétrie : elle est largement consacrée en droit de l’Union, mais n’a reçu en droit interne qu’une consécration prétorienne, et n’est pas protégée en tant que telle par la Convention.</w:t>
      </w:r>
    </w:p>
    <w:p>
      <w:pPr>
        <w:spacing w:after="70" w:before="0" w:line="264"/>
        <w:ind w:left="200"/>
        <w:jc w:val="both"/>
      </w:pPr>
      <w:r>
        <w:rPr>
          <w:rFonts w:ascii="Calibri" w:cs="Calibri" w:eastAsia="Calibri" w:hAnsi="Calibri"/>
          <w:b/>
          <w:bCs/>
          <w:color w:val="2E5A88"/>
          <w:spacing w:val="18"/>
          <w:sz w:val="15"/>
          <w:szCs w:val="15"/>
        </w:rPr>
        <w:t xml:space="preserve">TEXTES  </w:t>
      </w:r>
      <w:r>
        <w:rPr>
          <w:rFonts w:ascii="Calibri" w:cs="Calibri" w:eastAsia="Calibri" w:hAnsi="Calibri"/>
          <w:color w:val="3C3C3C"/>
          <w:sz w:val="17"/>
          <w:szCs w:val="17"/>
        </w:rPr>
        <w:t xml:space="preserve">Articles 34 et 45 TFUE (libre circulation des travailleurs), article 49 (liberté d’établissement et accès aux activités non salariées), articles 56 et 57 (libre circulation des prestations de service) · article 16 de la Charte · article 4 DDHC en droit interne.</w:t>
      </w:r>
    </w:p>
    <w:p>
      <w:pPr>
        <w:spacing w:after="45"/>
        <w:ind w:left="200"/>
      </w:pPr>
      <w:r>
        <w:rPr>
          <w:rFonts w:ascii="Calibri" w:cs="Calibri" w:eastAsia="Calibri" w:hAnsi="Calibri"/>
          <w:b/>
          <w:bCs/>
          <w:color w:val="2E5A88"/>
          <w:spacing w:val="18"/>
          <w:sz w:val="15"/>
          <w:szCs w:val="15"/>
        </w:rPr>
        <w:t xml:space="preserve">CE QUE LE DROIT CONTIENT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Silence conventionnel : ni les deux Pactes de 1966 ni la Convention européenne ne consacrent cette liberté ; la Cour ne garantit pas en tant que tel un droit d’accès à une profession déterminée (Sidabras et Džiautas).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Origine française : article 7 de la loi des 2 et 17 mars 1791, dite décret d’Allarde, complété par la loi Le Chapelier qui interdit les corporations. Ni le préambule de 1946 ni la Constitution de 1958 ne consacrent explicitement cette liberté.</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Trajectoire constitutionnelle : d’abord qualifiée de liberté publique (1967), puis rattachée à l’article 4 DDHC et dotée de valeur constitutionnelle (1982, Nationalisations).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Trajectoire administrative : d’abord principe général du droit (Vezia, 1935), puis liberté publique au sens de l’article 34 (de Laboulaye, 1960) ; aujourd’hui liberté fondamentale susceptible d’un référé-liberté.</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Libertés rattachées : liberté d’établissement, liberté contractuelle, liberté de concurrence — sans reconnaissance uniforme.</w:t>
      </w:r>
    </w:p>
    <w:p>
      <w:pPr>
        <w:spacing w:after="70" w:before="30" w:line="264"/>
        <w:ind w:left="200"/>
        <w:jc w:val="both"/>
      </w:pPr>
      <w:r>
        <w:rPr>
          <w:rFonts w:ascii="Calibri" w:cs="Calibri" w:eastAsia="Calibri" w:hAnsi="Calibri"/>
          <w:b/>
          <w:bCs/>
          <w:color w:val="2E5A88"/>
          <w:spacing w:val="18"/>
          <w:sz w:val="15"/>
          <w:szCs w:val="15"/>
        </w:rPr>
        <w:t xml:space="preserve">RÉGIME  </w:t>
      </w:r>
      <w:r>
        <w:rPr>
          <w:rFonts w:ascii="Calibri" w:cs="Calibri" w:eastAsia="Calibri" w:hAnsi="Calibri"/>
          <w:color w:val="2A2A2A"/>
          <w:sz w:val="18"/>
          <w:szCs w:val="18"/>
        </w:rPr>
        <w:t xml:space="preserve">Liberté « ni générale, ni absolue » selon la formule de 1989, aujourd’hui abandonnée mais dont la logique demeure : autorisations préalables et exigences d’accès sont admises, le législateur ne pouvant que méconnaître manifestement cette liberté ; elle se concilie avec d’autres droits et objectifs constitutionnels, dont la protection de l’environnement.</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La protection de la liberté d’entreprendre</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Cons. const., déc. no 81-132 DC, 16 janvier 1982, Loi de nationalisation  ·  CE 1er avril 2025, La Quadrature du net et a., nos 494511, 494583 et 495174  ·  CEDH, 13 juillet 2004, Pla et Puncernau c. Andorre, no 69498/01</w:t>
      </w:r>
    </w:p>
    <w:p>
      <w:pPr>
        <w:keepNext/>
        <w:spacing w:after="60" w:before="210"/>
      </w:pPr>
      <w:r>
        <w:rPr>
          <w:rFonts w:ascii="Calibri" w:cs="Calibri" w:eastAsia="Calibri" w:hAnsi="Calibri"/>
          <w:b/>
          <w:bCs/>
          <w:color w:val="2E5A88"/>
          <w:sz w:val="22"/>
          <w:szCs w:val="22"/>
        </w:rPr>
        <w:t xml:space="preserve">46. </w:t>
      </w:r>
      <w:r>
        <w:rPr>
          <w:rFonts w:ascii="Cambria" w:cs="Cambria" w:eastAsia="Cambria" w:hAnsi="Cambria"/>
          <w:b/>
          <w:bCs/>
          <w:color w:val="1F3864"/>
          <w:sz w:val="22"/>
          <w:szCs w:val="22"/>
        </w:rPr>
        <w:t xml:space="preserve">Le droit de propriété</w:t>
      </w:r>
      <w:r>
        <w:rPr>
          <w:rFonts w:ascii="Calibri" w:cs="Calibri" w:eastAsia="Calibri" w:hAnsi="Calibri"/>
          <w:color w:val="757575"/>
          <w:sz w:val="15"/>
          <w:szCs w:val="15"/>
        </w:rPr>
        <w:t xml:space="preserve">   p. 475</w:t>
      </w:r>
    </w:p>
    <w:p>
      <w:pPr>
        <w:spacing w:after="75" w:before="0" w:line="264"/>
        <w:ind w:left="200"/>
        <w:jc w:val="both"/>
      </w:pPr>
      <w:r>
        <w:rPr>
          <w:rFonts w:ascii="Calibri" w:cs="Calibri" w:eastAsia="Calibri" w:hAnsi="Calibri"/>
          <w:color w:val="1A1A1A"/>
          <w:sz w:val="19"/>
          <w:szCs w:val="19"/>
        </w:rPr>
        <w:t xml:space="preserve">Le droit de propriété est « inviolable et sacré » en 1789, mais relatif aujourd’hui. Point technique de la fiche : au niveau conventionnel, la protection ne se fonde pas sur la propriété mais sur la notion, plus large, de « biens ».</w:t>
      </w:r>
    </w:p>
    <w:p>
      <w:pPr>
        <w:spacing w:after="70" w:before="0" w:line="264"/>
        <w:ind w:left="200"/>
        <w:jc w:val="both"/>
      </w:pPr>
      <w:r>
        <w:rPr>
          <w:rFonts w:ascii="Calibri" w:cs="Calibri" w:eastAsia="Calibri" w:hAnsi="Calibri"/>
          <w:b/>
          <w:bCs/>
          <w:color w:val="2E5A88"/>
          <w:spacing w:val="18"/>
          <w:sz w:val="15"/>
          <w:szCs w:val="15"/>
        </w:rPr>
        <w:t xml:space="preserve">TEXTES  </w:t>
      </w:r>
      <w:r>
        <w:rPr>
          <w:rFonts w:ascii="Calibri" w:cs="Calibri" w:eastAsia="Calibri" w:hAnsi="Calibri"/>
          <w:color w:val="3C3C3C"/>
          <w:sz w:val="17"/>
          <w:szCs w:val="17"/>
        </w:rPr>
        <w:t xml:space="preserve">Articles 2 et 17 DDHC · article 1er du protocole n° 1 CEDH (1952) · article 17 DUDH et article 17 de la Charte, seul texte contraignant à consacrer directement la propriété · Code civil.</w:t>
      </w:r>
    </w:p>
    <w:p>
      <w:pPr>
        <w:spacing w:after="45"/>
        <w:ind w:left="200"/>
      </w:pPr>
      <w:r>
        <w:rPr>
          <w:rFonts w:ascii="Calibri" w:cs="Calibri" w:eastAsia="Calibri" w:hAnsi="Calibri"/>
          <w:b/>
          <w:bCs/>
          <w:color w:val="2E5A88"/>
          <w:spacing w:val="18"/>
          <w:sz w:val="15"/>
          <w:szCs w:val="15"/>
        </w:rPr>
        <w:t xml:space="preserve">CE QUE LE DROIT CONTIENT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Notion autonome de « biens » : elle recouvre les biens corporels et incorporels — clientèle, parts sociales — ainsi que les prestations sociales et les créances constitutives d’une valeur patrimoniale.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Espérance légitime : une créance même virtuelle est protégée si le requérant peut se prévaloir d’une espérance légitime de la voir se concrétiser, suffisamment concrète et fondée sur une disposition législative ou une jurisprudence (Kopecký ; affaires Draon et Maurice sur la loi du 4 mars 2002).</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Trois normes de l’article 1er du protocole n° 1 (Sporrong et Lönnroth) : la substance du droit de propriété, qui joue lorsque les deux autres ne peuvent s’appliquer ; la privation de propriété ; la réglementation par l’État de l’usage des biens.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Protection nationale : article 17 DDHC — nul ne peut être privé de sa propriété si ce n’est lorsque la nécessité publique, légalement constatée, l’exige évidemment, et sous la condition d’une juste et préalable indemnité. Valeur constitutionnelle affirmée en 1982.</w:t>
      </w:r>
    </w:p>
    <w:p>
      <w:pPr>
        <w:spacing w:after="70" w:before="30" w:line="264"/>
        <w:ind w:left="200"/>
        <w:jc w:val="both"/>
      </w:pPr>
      <w:r>
        <w:rPr>
          <w:rFonts w:ascii="Calibri" w:cs="Calibri" w:eastAsia="Calibri" w:hAnsi="Calibri"/>
          <w:b/>
          <w:bCs/>
          <w:color w:val="2E5A88"/>
          <w:spacing w:val="18"/>
          <w:sz w:val="15"/>
          <w:szCs w:val="15"/>
        </w:rPr>
        <w:t xml:space="preserve">RÉGIME  </w:t>
      </w:r>
      <w:r>
        <w:rPr>
          <w:rFonts w:ascii="Calibri" w:cs="Calibri" w:eastAsia="Calibri" w:hAnsi="Calibri"/>
          <w:color w:val="2A2A2A"/>
          <w:sz w:val="18"/>
          <w:szCs w:val="18"/>
        </w:rPr>
        <w:t xml:space="preserve">Relatif. La Convention réserve expressément le droit des États de réglementer l’usage des biens conformément à l’intérêt général, et d’assurer le paiement des impôts, contributions et amendes.</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La protection du droit de propriété par la Convention européenne des droits de l’homme  ·  La protection nationale du droit de propriété</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Cons. const., déc. no 89-256 DC, 25 juillet 1989  ·  CE, 1er avril 2025, La Quadrature du net et a., nos 494511, 494583 et 495174  ·  CEDH, GC., 28 septembre 2004, Kopecký c. Slovaquie, no 44912/98  ·  CEDH, GC., 11 janvier 2006, Sørensen et Rasmussen c. Danemark, nos 52562/99 et 52620/99</w:t>
      </w:r>
    </w:p>
    <w:p>
      <w:pPr>
        <w:keepNext/>
        <w:spacing w:after="60" w:before="210"/>
      </w:pPr>
      <w:r>
        <w:rPr>
          <w:rFonts w:ascii="Calibri" w:cs="Calibri" w:eastAsia="Calibri" w:hAnsi="Calibri"/>
          <w:b/>
          <w:bCs/>
          <w:color w:val="2E5A88"/>
          <w:sz w:val="22"/>
          <w:szCs w:val="22"/>
        </w:rPr>
        <w:t xml:space="preserve">47. </w:t>
      </w:r>
      <w:r>
        <w:rPr>
          <w:rFonts w:ascii="Cambria" w:cs="Cambria" w:eastAsia="Cambria" w:hAnsi="Cambria"/>
          <w:b/>
          <w:bCs/>
          <w:color w:val="1F3864"/>
          <w:sz w:val="22"/>
          <w:szCs w:val="22"/>
        </w:rPr>
        <w:t xml:space="preserve">Le droit à l’éducation et à la formation</w:t>
      </w:r>
      <w:r>
        <w:rPr>
          <w:rFonts w:ascii="Calibri" w:cs="Calibri" w:eastAsia="Calibri" w:hAnsi="Calibri"/>
          <w:color w:val="757575"/>
          <w:sz w:val="15"/>
          <w:szCs w:val="15"/>
        </w:rPr>
        <w:t xml:space="preserve">   p. 481</w:t>
      </w:r>
    </w:p>
    <w:p>
      <w:pPr>
        <w:spacing w:after="75" w:before="0" w:line="264"/>
        <w:ind w:left="200"/>
        <w:jc w:val="both"/>
      </w:pPr>
      <w:r>
        <w:rPr>
          <w:rFonts w:ascii="Calibri" w:cs="Calibri" w:eastAsia="Calibri" w:hAnsi="Calibri"/>
          <w:color w:val="1A1A1A"/>
          <w:sz w:val="19"/>
          <w:szCs w:val="19"/>
        </w:rPr>
        <w:t xml:space="preserve">Le droit à l’éducation et à la formation couvre l’instruction des enfants, l’enseignement supérieur et la formation professionnelle tout au long de la vie. Sa particularité : l’instruction a une double nature, elle est à la fois un droit fondamental et une obligation.</w:t>
      </w:r>
    </w:p>
    <w:p>
      <w:pPr>
        <w:spacing w:after="70" w:before="0" w:line="264"/>
        <w:ind w:left="200"/>
        <w:jc w:val="both"/>
      </w:pPr>
      <w:r>
        <w:rPr>
          <w:rFonts w:ascii="Calibri" w:cs="Calibri" w:eastAsia="Calibri" w:hAnsi="Calibri"/>
          <w:b/>
          <w:bCs/>
          <w:color w:val="2E5A88"/>
          <w:spacing w:val="18"/>
          <w:sz w:val="15"/>
          <w:szCs w:val="15"/>
        </w:rPr>
        <w:t xml:space="preserve">TEXTES  </w:t>
      </w:r>
      <w:r>
        <w:rPr>
          <w:rFonts w:ascii="Calibri" w:cs="Calibri" w:eastAsia="Calibri" w:hAnsi="Calibri"/>
          <w:color w:val="3C3C3C"/>
          <w:sz w:val="17"/>
          <w:szCs w:val="17"/>
        </w:rPr>
        <w:t xml:space="preserve">Alinéa 13 du préambule de 1946 : « la Nation garantit l’égal accès de l’enfant et de l’adulte à l’instruction, à la formation professionnelle et à la culture. L’organisation de l’enseignement public gratuit et laïque à tous les degrés est un devoir de l’État. » · article 26 DUDH · article 13 PIDESC · articles 28 et 29 de la Convention relative aux droits de l’enfant · article 14 de la Charte · article 2 du protocole n° 1 CEDH · Code de l’éducation, Code du travail.</w:t>
      </w:r>
    </w:p>
    <w:p>
      <w:pPr>
        <w:spacing w:after="45"/>
        <w:ind w:left="200"/>
      </w:pPr>
      <w:r>
        <w:rPr>
          <w:rFonts w:ascii="Calibri" w:cs="Calibri" w:eastAsia="Calibri" w:hAnsi="Calibri"/>
          <w:b/>
          <w:bCs/>
          <w:color w:val="2E5A88"/>
          <w:spacing w:val="18"/>
          <w:sz w:val="15"/>
          <w:szCs w:val="15"/>
        </w:rPr>
        <w:t xml:space="preserve">CE QUE LE DROIT CONTIENT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Formulation négative de l’article 2 du protocole n° 1 : « nul ne peut se voir refuser le droit à l’instruction », l’État devant respecter le droit des parents d’assurer l’éducation conformément à leurs convictions religieuses et philosophiques. Elle souligne la marge d’appréciation des États, qui ne sont pas tenus d’organiser ou de subventionner un enseignement d’une forme ou d’un échelon déterminés.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Obligations positives : l’État doit néanmoins prendre les mesures adéquates pour rendre le droit concret et effectif.</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Principes structurants : gratuité de l’enseignement, caractère obligatoire de l’instruction — de trois à seize ans —, non-discrimination, protection de l’élève dans le milieu éducatif.</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Qualité démocratique de l’enseignement : l’État doit transmettre les connaissances de manière objective, critique et pluraliste, et ne peut poursuivre un objectif d’endoctrinement contraire aux convictions des parents.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Droit à la formation : prolongement professionnel du droit à l’éducation.</w:t>
      </w:r>
    </w:p>
    <w:p>
      <w:pPr>
        <w:spacing w:after="70" w:before="30" w:line="264"/>
        <w:ind w:left="200"/>
        <w:jc w:val="both"/>
      </w:pPr>
      <w:r>
        <w:rPr>
          <w:rFonts w:ascii="Calibri" w:cs="Calibri" w:eastAsia="Calibri" w:hAnsi="Calibri"/>
          <w:b/>
          <w:bCs/>
          <w:color w:val="2E5A88"/>
          <w:spacing w:val="18"/>
          <w:sz w:val="15"/>
          <w:szCs w:val="15"/>
        </w:rPr>
        <w:t xml:space="preserve">RÉGIME  </w:t>
      </w:r>
      <w:r>
        <w:rPr>
          <w:rFonts w:ascii="Calibri" w:cs="Calibri" w:eastAsia="Calibri" w:hAnsi="Calibri"/>
          <w:color w:val="2A2A2A"/>
          <w:sz w:val="18"/>
          <w:szCs w:val="18"/>
        </w:rPr>
        <w:t xml:space="preserve">Droit-créance à normativité réelle mais encadrée : l’éducation est la « première priorité nationale » au sens du Code de l’éducation, sans que le juge puisse pour autant définir à la place de l’État la forme de l’enseignement.</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Le cadre juridique du droit à l’éducation et à la formation  ·  Les principes structurant du droit à l’éducation  ·  3. La non-discrimination  ·  Le droit à la formation</w:t>
      </w:r>
    </w:p>
    <w:p>
      <w:pPr>
        <w:keepNext/>
        <w:spacing w:after="60" w:before="210"/>
      </w:pPr>
      <w:r>
        <w:rPr>
          <w:rFonts w:ascii="Calibri" w:cs="Calibri" w:eastAsia="Calibri" w:hAnsi="Calibri"/>
          <w:b/>
          <w:bCs/>
          <w:color w:val="2E5A88"/>
          <w:sz w:val="22"/>
          <w:szCs w:val="22"/>
        </w:rPr>
        <w:t xml:space="preserve">48. </w:t>
      </w:r>
      <w:r>
        <w:rPr>
          <w:rFonts w:ascii="Cambria" w:cs="Cambria" w:eastAsia="Cambria" w:hAnsi="Cambria"/>
          <w:b/>
          <w:bCs/>
          <w:color w:val="1F3864"/>
          <w:sz w:val="22"/>
          <w:szCs w:val="22"/>
        </w:rPr>
        <w:t xml:space="preserve">Le droit à la santé et à la protection sociale</w:t>
      </w:r>
      <w:r>
        <w:rPr>
          <w:rFonts w:ascii="Calibri" w:cs="Calibri" w:eastAsia="Calibri" w:hAnsi="Calibri"/>
          <w:color w:val="757575"/>
          <w:sz w:val="15"/>
          <w:szCs w:val="15"/>
        </w:rPr>
        <w:t xml:space="preserve">   p. 490</w:t>
      </w:r>
    </w:p>
    <w:p>
      <w:pPr>
        <w:spacing w:after="75" w:before="0" w:line="264"/>
        <w:ind w:left="200"/>
        <w:jc w:val="both"/>
      </w:pPr>
      <w:r>
        <w:rPr>
          <w:rFonts w:ascii="Calibri" w:cs="Calibri" w:eastAsia="Calibri" w:hAnsi="Calibri"/>
          <w:color w:val="1A1A1A"/>
          <w:sz w:val="19"/>
          <w:szCs w:val="19"/>
        </w:rPr>
        <w:t xml:space="preserve">Deux droits distincts traités ensemble. Le droit à la protection de la santé existe indépendamment du droit à la protection sociale, lequel n’est qu’un mécanisme — parmi d’autres — destiné à l’assurer.</w:t>
      </w:r>
    </w:p>
    <w:p>
      <w:pPr>
        <w:spacing w:after="70" w:before="0" w:line="264"/>
        <w:ind w:left="200"/>
        <w:jc w:val="both"/>
      </w:pPr>
      <w:r>
        <w:rPr>
          <w:rFonts w:ascii="Calibri" w:cs="Calibri" w:eastAsia="Calibri" w:hAnsi="Calibri"/>
          <w:b/>
          <w:bCs/>
          <w:color w:val="2E5A88"/>
          <w:spacing w:val="18"/>
          <w:sz w:val="15"/>
          <w:szCs w:val="15"/>
        </w:rPr>
        <w:t xml:space="preserve">TEXTES  </w:t>
      </w:r>
      <w:r>
        <w:rPr>
          <w:rFonts w:ascii="Calibri" w:cs="Calibri" w:eastAsia="Calibri" w:hAnsi="Calibri"/>
          <w:color w:val="3C3C3C"/>
          <w:sz w:val="17"/>
          <w:szCs w:val="17"/>
        </w:rPr>
        <w:t xml:space="preserve">Alinéa 11 du préambule de 1946 · article 12 § 1 PIDESC · Charte sociale européenne · article 22 DUDH · article liminaire et article L. 1110-5 du Code de la santé publique.</w:t>
      </w:r>
    </w:p>
    <w:p>
      <w:pPr>
        <w:spacing w:after="45"/>
        <w:ind w:left="200"/>
      </w:pPr>
      <w:r>
        <w:rPr>
          <w:rFonts w:ascii="Calibri" w:cs="Calibri" w:eastAsia="Calibri" w:hAnsi="Calibri"/>
          <w:b/>
          <w:bCs/>
          <w:color w:val="2E5A88"/>
          <w:spacing w:val="18"/>
          <w:sz w:val="15"/>
          <w:szCs w:val="15"/>
        </w:rPr>
        <w:t xml:space="preserve">CE QUE LE DROIT CONTIENT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Point de méthode décisif : le Conseil d’État a jugé que le Pacte et la Charte sociale ne sont pas invocables dans l’ordre interne et n’ont donc pas d’effet direct. La Convention européenne ne garantit pas davantage le droit à la santé en tant que tel.</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Construction prétorienne européenne : la Cour dégage des obligations à la charge de l’État à partir des articles 2, 3 et 8 — cadre réglementaire assurant la compétence des professionnels de santé, conditions de détention préservant l’état de santé des détenus.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Protection sociale : droit-créance destiné à protéger les individus contre les risques sociaux de la vie. La sécurité sociale en est le dispositif contributif, couvrant quatre risques — maladie, accidents du travail, vieillesse, famille.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Dimension territoriale : il ne suffit pas que des soins existent juridiquement, encore faut-il qu’ils soient effectivement accessibles.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Égalité : le principe d’égalité gouverne la mise en œuvre, sans imposer un traitement identique pour tous.</w:t>
      </w:r>
    </w:p>
    <w:p>
      <w:pPr>
        <w:spacing w:after="70" w:before="30" w:line="264"/>
        <w:ind w:left="200"/>
        <w:jc w:val="both"/>
      </w:pPr>
      <w:r>
        <w:rPr>
          <w:rFonts w:ascii="Calibri" w:cs="Calibri" w:eastAsia="Calibri" w:hAnsi="Calibri"/>
          <w:b/>
          <w:bCs/>
          <w:color w:val="2E5A88"/>
          <w:spacing w:val="18"/>
          <w:sz w:val="15"/>
          <w:szCs w:val="15"/>
        </w:rPr>
        <w:t xml:space="preserve">RÉGIME  </w:t>
      </w:r>
      <w:r>
        <w:rPr>
          <w:rFonts w:ascii="Calibri" w:cs="Calibri" w:eastAsia="Calibri" w:hAnsi="Calibri"/>
          <w:color w:val="2A2A2A"/>
          <w:sz w:val="18"/>
          <w:szCs w:val="18"/>
        </w:rPr>
        <w:t xml:space="preserve">Le juge peut enjoindre à l’administration de prendre les mesures nécessaires lorsqu’elle méconnaît une obligation légale déterminée, mais ne peut se substituer aux pouvoirs publics pour définir ou modifier une politique publique.</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Le droit à la protection de la santé  ·  Les contours du droit à la protection sociale  ·  La consécration dans les instruments internationaux de protection  ·  La consécration du droit à la protection sociale en France  ·  Le principe d’égalité dans le droit à la protection sociale</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Cons. const., décision no 2003-483 DC, 14 août 2003, Loi portant réforme des retraites  ·  Cons. const., décision no 89-269, 22 janvier 1990</w:t>
      </w:r>
    </w:p>
    <w:p>
      <w:pPr>
        <w:keepNext/>
        <w:spacing w:after="60" w:before="210"/>
      </w:pPr>
      <w:r>
        <w:rPr>
          <w:rFonts w:ascii="Calibri" w:cs="Calibri" w:eastAsia="Calibri" w:hAnsi="Calibri"/>
          <w:b/>
          <w:bCs/>
          <w:color w:val="2E5A88"/>
          <w:sz w:val="22"/>
          <w:szCs w:val="22"/>
        </w:rPr>
        <w:t xml:space="preserve">49. </w:t>
      </w:r>
      <w:r>
        <w:rPr>
          <w:rFonts w:ascii="Cambria" w:cs="Cambria" w:eastAsia="Cambria" w:hAnsi="Cambria"/>
          <w:b/>
          <w:bCs/>
          <w:color w:val="1F3864"/>
          <w:sz w:val="22"/>
          <w:szCs w:val="22"/>
        </w:rPr>
        <w:t xml:space="preserve">Le droit à un environnement sain</w:t>
      </w:r>
      <w:r>
        <w:rPr>
          <w:rFonts w:ascii="Calibri" w:cs="Calibri" w:eastAsia="Calibri" w:hAnsi="Calibri"/>
          <w:color w:val="757575"/>
          <w:sz w:val="15"/>
          <w:szCs w:val="15"/>
        </w:rPr>
        <w:t xml:space="preserve">   p. 500</w:t>
      </w:r>
    </w:p>
    <w:p>
      <w:pPr>
        <w:spacing w:after="75" w:before="0" w:line="264"/>
        <w:ind w:left="200"/>
        <w:jc w:val="both"/>
      </w:pPr>
      <w:r>
        <w:rPr>
          <w:rFonts w:ascii="Calibri" w:cs="Calibri" w:eastAsia="Calibri" w:hAnsi="Calibri"/>
          <w:color w:val="1A1A1A"/>
          <w:sz w:val="19"/>
          <w:szCs w:val="19"/>
        </w:rPr>
        <w:t xml:space="preserve">Distinction d’ouverture à ne pas manquer : le droit DE l’environnement regroupe les règles visant à protéger la nature, les ressources et les écosystèmes ; le droit À un environnement sain est un droit subjectif reconnu aux individus ou aux peuples de vivre dans un environnement sain, propre et durable. Le premier est l’instrument du second.</w:t>
      </w:r>
    </w:p>
    <w:p>
      <w:pPr>
        <w:spacing w:after="70" w:before="0" w:line="264"/>
        <w:ind w:left="200"/>
        <w:jc w:val="both"/>
      </w:pPr>
      <w:r>
        <w:rPr>
          <w:rFonts w:ascii="Calibri" w:cs="Calibri" w:eastAsia="Calibri" w:hAnsi="Calibri"/>
          <w:b/>
          <w:bCs/>
          <w:color w:val="2E5A88"/>
          <w:spacing w:val="18"/>
          <w:sz w:val="15"/>
          <w:szCs w:val="15"/>
        </w:rPr>
        <w:t xml:space="preserve">TEXTES  </w:t>
      </w:r>
      <w:r>
        <w:rPr>
          <w:rFonts w:ascii="Calibri" w:cs="Calibri" w:eastAsia="Calibri" w:hAnsi="Calibri"/>
          <w:color w:val="3C3C3C"/>
          <w:sz w:val="17"/>
          <w:szCs w:val="17"/>
        </w:rPr>
        <w:t xml:space="preserve">Article 8 CEDH (fondement initial) · article 1er de la Charte de l’environnement (2004) · Déclaration de Stockholm (1972), Déclaration de Rio (1992), protocole de Kyoto, Accords de Paris · résolution 48/13 du Conseil des droits de l’homme (2021).</w:t>
      </w:r>
    </w:p>
    <w:p>
      <w:pPr>
        <w:spacing w:after="45"/>
        <w:ind w:left="200"/>
      </w:pPr>
      <w:r>
        <w:rPr>
          <w:rFonts w:ascii="Calibri" w:cs="Calibri" w:eastAsia="Calibri" w:hAnsi="Calibri"/>
          <w:b/>
          <w:bCs/>
          <w:color w:val="2E5A88"/>
          <w:spacing w:val="18"/>
          <w:sz w:val="15"/>
          <w:szCs w:val="15"/>
        </w:rPr>
        <w:t xml:space="preserve">CE QUE LE DROIT CONTIENT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Protection par ricochet : la Convention ne garantissant pas ce droit explicitement, il a été dégagé par interprétation dynamique comme droit dérivé du droit à la vie privée. La Cour n’a pas pour mission de sanctionner les atteintes générales à l’environnement ni d’assurer la préservation de la nature : elle n’intervient que lorsqu’un droit garanti est affecté (Kyrtatos).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Notion d’environnement très vaste : pollution et dégradation d’un milieu naturel, mais aussi nuisances sonores, visuelles ou olfactives.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Article 2 : applicable en cas d’atteintes graves causées par des activités industrielles dangereuses mettant en péril la vie (Guerra, Öneryıldız) ; il n’est pas nécessaire que la victime ait subi une atteinte à sa santé.</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Article 6 § 1 : mobilisé pour le contentieux climatique (Klimaseniorinnen).</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Constitutionnalisation française par la Charte de 2004, puis montée en puissance du contentieux interne (Grande-Synthe).</w:t>
      </w:r>
    </w:p>
    <w:p>
      <w:pPr>
        <w:spacing w:after="70" w:before="30" w:line="264"/>
        <w:ind w:left="200"/>
        <w:jc w:val="both"/>
      </w:pPr>
      <w:r>
        <w:rPr>
          <w:rFonts w:ascii="Calibri" w:cs="Calibri" w:eastAsia="Calibri" w:hAnsi="Calibri"/>
          <w:b/>
          <w:bCs/>
          <w:color w:val="2E5A88"/>
          <w:spacing w:val="18"/>
          <w:sz w:val="15"/>
          <w:szCs w:val="15"/>
        </w:rPr>
        <w:t xml:space="preserve">RÉGIME  </w:t>
      </w:r>
      <w:r>
        <w:rPr>
          <w:rFonts w:ascii="Calibri" w:cs="Calibri" w:eastAsia="Calibri" w:hAnsi="Calibri"/>
          <w:color w:val="2A2A2A"/>
          <w:sz w:val="18"/>
          <w:szCs w:val="18"/>
        </w:rPr>
        <w:t xml:space="preserve">Droit dérivé, à conditions d’ouverture exigeantes : la Cour a élaboré des seuils stricts pour qu’une allégation d’atteinte débouche sur un constat de violation.</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La prise de conscience planétaire des enjeux environnementaux  ·  La protection par ricochet opérée par la Cour européenne des droits de l’homme  ·  La constitutionnalisation du droit à un environnement sain  ·  La montée en puissance du contentieux relatif au droit à un environnement sain</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CEDH, 9 décembre 1994, López Ostra c. Espagne, no 16798/90  ·  CEDH, GC., 30 novembre 2004, Öneryildiz c. Turquie, no 48939/99  ·  CEDH, GC., 9 avril 2024, Verein Klimaseniorinnen Schweiz et a. c. Suisse, no 53600/20  ·  Cons. const., déc. no 2011-116 QPC, 8 avril 2011, Michel Z. et a</w:t>
      </w:r>
    </w:p>
    <w:p>
      <w:pPr>
        <w:keepNext/>
        <w:spacing w:after="60" w:before="210"/>
      </w:pPr>
      <w:r>
        <w:rPr>
          <w:rFonts w:ascii="Calibri" w:cs="Calibri" w:eastAsia="Calibri" w:hAnsi="Calibri"/>
          <w:b/>
          <w:bCs/>
          <w:color w:val="2E5A88"/>
          <w:sz w:val="22"/>
          <w:szCs w:val="22"/>
        </w:rPr>
        <w:t xml:space="preserve">50. </w:t>
      </w:r>
      <w:r>
        <w:rPr>
          <w:rFonts w:ascii="Cambria" w:cs="Cambria" w:eastAsia="Cambria" w:hAnsi="Cambria"/>
          <w:b/>
          <w:bCs/>
          <w:color w:val="1F3864"/>
          <w:sz w:val="22"/>
          <w:szCs w:val="22"/>
        </w:rPr>
        <w:t xml:space="preserve">Le droit au travail</w:t>
      </w:r>
      <w:r>
        <w:rPr>
          <w:rFonts w:ascii="Calibri" w:cs="Calibri" w:eastAsia="Calibri" w:hAnsi="Calibri"/>
          <w:color w:val="757575"/>
          <w:sz w:val="15"/>
          <w:szCs w:val="15"/>
        </w:rPr>
        <w:t xml:space="preserve">   p. 509</w:t>
      </w:r>
    </w:p>
    <w:p>
      <w:pPr>
        <w:spacing w:after="75" w:before="0" w:line="264"/>
        <w:ind w:left="200"/>
        <w:jc w:val="both"/>
      </w:pPr>
      <w:r>
        <w:rPr>
          <w:rFonts w:ascii="Calibri" w:cs="Calibri" w:eastAsia="Calibri" w:hAnsi="Calibri"/>
          <w:color w:val="1A1A1A"/>
          <w:sz w:val="19"/>
          <w:szCs w:val="19"/>
        </w:rPr>
        <w:t xml:space="preserve">Confusion à lever d’emblée : dans le droit au travail, l’État est débiteur d’obligations ; la liberté du travail relève au contraire du choix de la personne de travailler ou non. Le droit au travail est un droit de solidarité, abordé sous un prisme socio-économique, comme une protection contre la pauvreté.</w:t>
      </w:r>
    </w:p>
    <w:p>
      <w:pPr>
        <w:spacing w:after="70" w:before="0" w:line="264"/>
        <w:ind w:left="200"/>
        <w:jc w:val="both"/>
      </w:pPr>
      <w:r>
        <w:rPr>
          <w:rFonts w:ascii="Calibri" w:cs="Calibri" w:eastAsia="Calibri" w:hAnsi="Calibri"/>
          <w:b/>
          <w:bCs/>
          <w:color w:val="2E5A88"/>
          <w:spacing w:val="18"/>
          <w:sz w:val="15"/>
          <w:szCs w:val="15"/>
        </w:rPr>
        <w:t xml:space="preserve">TEXTES  </w:t>
      </w:r>
      <w:r>
        <w:rPr>
          <w:rFonts w:ascii="Calibri" w:cs="Calibri" w:eastAsia="Calibri" w:hAnsi="Calibri"/>
          <w:color w:val="3C3C3C"/>
          <w:sz w:val="17"/>
          <w:szCs w:val="17"/>
        </w:rPr>
        <w:t xml:space="preserve">Alinéa 5 du préambule de 1946 : « chacun a le droit de travailler et le droit d’obtenir un emploi » · article 23 DUDH · article 6 PIDESC · article 1er de la Charte sociale européenne · conventions de l’Organisation internationale du travail · articles L. 1121-1 et L. 4121-1 du Code du travail.</w:t>
      </w:r>
    </w:p>
    <w:p>
      <w:pPr>
        <w:spacing w:after="45"/>
        <w:ind w:left="200"/>
      </w:pPr>
      <w:r>
        <w:rPr>
          <w:rFonts w:ascii="Calibri" w:cs="Calibri" w:eastAsia="Calibri" w:hAnsi="Calibri"/>
          <w:b/>
          <w:bCs/>
          <w:color w:val="2E5A88"/>
          <w:spacing w:val="18"/>
          <w:sz w:val="15"/>
          <w:szCs w:val="15"/>
        </w:rPr>
        <w:t xml:space="preserve">CE QUE LE DROIT CONTIENT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Portée limitée : le Conseil constitutionnel n’impose au législateur qu’une obligation de moyen, non de résultat ; la consécration d’un droit à l’emploi n’oblige pas l’État à fournir un emploi à chacun.</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Absence d’effet direct : les stipulations internationales en la matière ne peuvent pas être directement invoquées par les justiciables. Le droit à l’emploi n’est pas non plus une liberté fondamentale au sens du référé-liberté (Casanovas).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Traduction concrète : le salaire minimum de croissance, socle de revenus tiré du travail — dont le fascicule relève les limites, puisqu’il ne concerne que les travailleurs.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Libertés individuelles du salarié dans l’exécution du contrat : protection de la vie privée et des libertés, obligation de sécurité de l’employeur (Nikon).</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Libertés collectives : liberté syndicale, droit de grève, droit à la participation à la gestion de l’entreprise.</w:t>
      </w:r>
    </w:p>
    <w:p>
      <w:pPr>
        <w:spacing w:after="70" w:before="30" w:line="264"/>
        <w:ind w:left="200"/>
        <w:jc w:val="both"/>
      </w:pPr>
      <w:r>
        <w:rPr>
          <w:rFonts w:ascii="Calibri" w:cs="Calibri" w:eastAsia="Calibri" w:hAnsi="Calibri"/>
          <w:b/>
          <w:bCs/>
          <w:color w:val="2E5A88"/>
          <w:spacing w:val="18"/>
          <w:sz w:val="15"/>
          <w:szCs w:val="15"/>
        </w:rPr>
        <w:t xml:space="preserve">RÉGIME  </w:t>
      </w:r>
      <w:r>
        <w:rPr>
          <w:rFonts w:ascii="Calibri" w:cs="Calibri" w:eastAsia="Calibri" w:hAnsi="Calibri"/>
          <w:color w:val="2A2A2A"/>
          <w:sz w:val="18"/>
          <w:szCs w:val="18"/>
        </w:rPr>
        <w:t xml:space="preserve">Droit-créance à faible justiciabilité directe : sa mise en œuvre relève largement du législateur, à qui le Conseil laisse une grande marge de manœuvre.</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Le droit d’obtenir un emploi  ·  Les garanties fondamentales en matière d’emploi et de conditions de travail</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CEDH, GC., 11 janvier 2006, Sørensen et Rasmussen c. Danemark, nos 52562/99 et 52620/99  ·  Cons. const., déc. no 2007-556 DC, 16 août 2007  ·  Cass. soc., 2 octobre 2001, Nikon, no 99-42.942</w:t>
      </w:r>
    </w:p>
    <w:p>
      <w:pPr>
        <w:keepNext/>
        <w:spacing w:after="60" w:before="210"/>
      </w:pPr>
      <w:r>
        <w:rPr>
          <w:rFonts w:ascii="Calibri" w:cs="Calibri" w:eastAsia="Calibri" w:hAnsi="Calibri"/>
          <w:b/>
          <w:bCs/>
          <w:color w:val="2E5A88"/>
          <w:sz w:val="22"/>
          <w:szCs w:val="22"/>
        </w:rPr>
        <w:t xml:space="preserve">51. </w:t>
      </w:r>
      <w:r>
        <w:rPr>
          <w:rFonts w:ascii="Cambria" w:cs="Cambria" w:eastAsia="Cambria" w:hAnsi="Cambria"/>
          <w:b/>
          <w:bCs/>
          <w:color w:val="1F3864"/>
          <w:sz w:val="22"/>
          <w:szCs w:val="22"/>
        </w:rPr>
        <w:t xml:space="preserve">Le droit au logement</w:t>
      </w:r>
      <w:r>
        <w:rPr>
          <w:rFonts w:ascii="Calibri" w:cs="Calibri" w:eastAsia="Calibri" w:hAnsi="Calibri"/>
          <w:color w:val="757575"/>
          <w:sz w:val="15"/>
          <w:szCs w:val="15"/>
        </w:rPr>
        <w:t xml:space="preserve">   p. 518</w:t>
      </w:r>
    </w:p>
    <w:p>
      <w:pPr>
        <w:spacing w:after="75" w:before="0" w:line="264"/>
        <w:ind w:left="200"/>
        <w:jc w:val="both"/>
      </w:pPr>
      <w:r>
        <w:rPr>
          <w:rFonts w:ascii="Calibri" w:cs="Calibri" w:eastAsia="Calibri" w:hAnsi="Calibri"/>
          <w:color w:val="1A1A1A"/>
          <w:sz w:val="19"/>
          <w:szCs w:val="19"/>
        </w:rPr>
        <w:t xml:space="preserve">Le droit au logement est l’exemple typique d’un droit à normativité limitée : proclamé par la loi, il n’est reconnu au niveau constitutionnel que comme objectif à valeur constitutionnelle, et non comme droit subjectif invocable.</w:t>
      </w:r>
    </w:p>
    <w:p>
      <w:pPr>
        <w:spacing w:after="70" w:before="0" w:line="264"/>
        <w:ind w:left="200"/>
        <w:jc w:val="both"/>
      </w:pPr>
      <w:r>
        <w:rPr>
          <w:rFonts w:ascii="Calibri" w:cs="Calibri" w:eastAsia="Calibri" w:hAnsi="Calibri"/>
          <w:b/>
          <w:bCs/>
          <w:color w:val="2E5A88"/>
          <w:spacing w:val="18"/>
          <w:sz w:val="15"/>
          <w:szCs w:val="15"/>
        </w:rPr>
        <w:t xml:space="preserve">TEXTES  </w:t>
      </w:r>
      <w:r>
        <w:rPr>
          <w:rFonts w:ascii="Calibri" w:cs="Calibri" w:eastAsia="Calibri" w:hAnsi="Calibri"/>
          <w:color w:val="3C3C3C"/>
          <w:sz w:val="17"/>
          <w:szCs w:val="17"/>
        </w:rPr>
        <w:t xml:space="preserve">Article 25-1 DUDH · article 11 PIDESC · article 34 de la Charte (simple mention de l’aide au logement) et article 31 de la Charte sociale européenne · lois de 1982, 1989, 1990, puis loi du 5 mars 2007 instituant le droit au logement opposable.</w:t>
      </w:r>
    </w:p>
    <w:p>
      <w:pPr>
        <w:spacing w:after="45"/>
        <w:ind w:left="200"/>
      </w:pPr>
      <w:r>
        <w:rPr>
          <w:rFonts w:ascii="Calibri" w:cs="Calibri" w:eastAsia="Calibri" w:hAnsi="Calibri"/>
          <w:b/>
          <w:bCs/>
          <w:color w:val="2E5A88"/>
          <w:spacing w:val="18"/>
          <w:sz w:val="15"/>
          <w:szCs w:val="15"/>
        </w:rPr>
        <w:t xml:space="preserve">CE QUE LE DROIT CONTIENT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Reconnaissance constitutionnelle : objectif à valeur constitutionnelle, fondé sur la dignité de la personne humaine (1995) ; la promotion du logement des personnes défavorisées répond à une exigence d’intérêt national (1990).</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Conséquence pratique : cet objectif n’est pas opposable à l’administration dans le cadre d’un référé-liberté et ne peut fonder un recours contre un refus de réquisition de logements inoccupés. Le Conseil constitutionnel a qualifié d’objectif la possibilité de disposer d’un logement décent, sans consacrer un droit au logement de rang constitutionnel.</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Effet utile : il permet en revanche au législateur de limiter le droit de propriété — ainsi de la taxe sur les logements vacants ou de la réquisition de logements de personnes morales vacants depuis plus de dix-huit mois.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Ne pas confondre avec le droit à l’hébergement, qui se définit par son caractère urgent et provisoire, destiné à ne pas laisser sans toit après une expulsion ou une destruction.</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Effectivité : accession au logement social et droit au logement opposable.</w:t>
      </w:r>
    </w:p>
    <w:p>
      <w:pPr>
        <w:spacing w:after="70" w:before="30" w:line="264"/>
        <w:ind w:left="200"/>
        <w:jc w:val="both"/>
      </w:pPr>
      <w:r>
        <w:rPr>
          <w:rFonts w:ascii="Calibri" w:cs="Calibri" w:eastAsia="Calibri" w:hAnsi="Calibri"/>
          <w:b/>
          <w:bCs/>
          <w:color w:val="2E5A88"/>
          <w:spacing w:val="18"/>
          <w:sz w:val="15"/>
          <w:szCs w:val="15"/>
        </w:rPr>
        <w:t xml:space="preserve">RÉGIME  </w:t>
      </w:r>
      <w:r>
        <w:rPr>
          <w:rFonts w:ascii="Calibri" w:cs="Calibri" w:eastAsia="Calibri" w:hAnsi="Calibri"/>
          <w:color w:val="2A2A2A"/>
          <w:sz w:val="18"/>
          <w:szCs w:val="18"/>
        </w:rPr>
        <w:t xml:space="preserve">Objectif à valeur constitutionnelle, non droit subjectif : l’effectivité dépend largement des politiques sociales.</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Les sources du droit au logement  ·  La subjectivisation atténuée du droit au logement  ·  L’influence des politiques sociales sur l’effectivité du droit au logement</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Cons. const., déc. no 90-274 DC, 29 mai 1990  ·  Cons. const., 19 janvier 1995, déc. no 359 DC</w:t>
      </w:r>
    </w:p>
    <w:p>
      <w:pPr>
        <w:keepNext/>
        <w:spacing w:after="60" w:before="210"/>
      </w:pPr>
      <w:r>
        <w:rPr>
          <w:rFonts w:ascii="Calibri" w:cs="Calibri" w:eastAsia="Calibri" w:hAnsi="Calibri"/>
          <w:b/>
          <w:bCs/>
          <w:color w:val="2E5A88"/>
          <w:sz w:val="22"/>
          <w:szCs w:val="22"/>
        </w:rPr>
        <w:t xml:space="preserve">52. </w:t>
      </w:r>
      <w:r>
        <w:rPr>
          <w:rFonts w:ascii="Cambria" w:cs="Cambria" w:eastAsia="Cambria" w:hAnsi="Cambria"/>
          <w:b/>
          <w:bCs/>
          <w:color w:val="1F3864"/>
          <w:sz w:val="22"/>
          <w:szCs w:val="22"/>
        </w:rPr>
        <w:t xml:space="preserve">Le droit à la culture</w:t>
      </w:r>
      <w:r>
        <w:rPr>
          <w:rFonts w:ascii="Calibri" w:cs="Calibri" w:eastAsia="Calibri" w:hAnsi="Calibri"/>
          <w:color w:val="757575"/>
          <w:sz w:val="15"/>
          <w:szCs w:val="15"/>
        </w:rPr>
        <w:t xml:space="preserve">   p. 526</w:t>
      </w:r>
    </w:p>
    <w:p>
      <w:pPr>
        <w:spacing w:after="75" w:before="0" w:line="264"/>
        <w:ind w:left="200"/>
        <w:jc w:val="both"/>
      </w:pPr>
      <w:r>
        <w:rPr>
          <w:rFonts w:ascii="Calibri" w:cs="Calibri" w:eastAsia="Calibri" w:hAnsi="Calibri"/>
          <w:color w:val="1A1A1A"/>
          <w:sz w:val="19"/>
          <w:szCs w:val="19"/>
        </w:rPr>
        <w:t xml:space="preserve">Distinction centrale : le droit DE la culture s’inscrit dans l’action publique et les politiques culturelles ; le droit À la culture serait un droit subjectif d’accès. Les deux peuvent s’opposer frontalement en contentieux, et le second souffre d’une faible normativité.</w:t>
      </w:r>
    </w:p>
    <w:p>
      <w:pPr>
        <w:spacing w:after="70" w:before="0" w:line="264"/>
        <w:ind w:left="200"/>
        <w:jc w:val="both"/>
      </w:pPr>
      <w:r>
        <w:rPr>
          <w:rFonts w:ascii="Calibri" w:cs="Calibri" w:eastAsia="Calibri" w:hAnsi="Calibri"/>
          <w:b/>
          <w:bCs/>
          <w:color w:val="2E5A88"/>
          <w:spacing w:val="18"/>
          <w:sz w:val="15"/>
          <w:szCs w:val="15"/>
        </w:rPr>
        <w:t xml:space="preserve">TEXTES  </w:t>
      </w:r>
      <w:r>
        <w:rPr>
          <w:rFonts w:ascii="Calibri" w:cs="Calibri" w:eastAsia="Calibri" w:hAnsi="Calibri"/>
          <w:color w:val="3C3C3C"/>
          <w:sz w:val="17"/>
          <w:szCs w:val="17"/>
        </w:rPr>
        <w:t xml:space="preserve">Alinéa 13 du préambule de 1946, largement inexploré par la jurisprudence · conventions de l’UNESCO de 2003 (patrimoine culturel immatériel) et de 2005 (diversité des expressions culturelles) · article L. 1 du Code du patrimoine · loi du 7 août 2015.</w:t>
      </w:r>
    </w:p>
    <w:p>
      <w:pPr>
        <w:spacing w:after="45"/>
        <w:ind w:left="200"/>
      </w:pPr>
      <w:r>
        <w:rPr>
          <w:rFonts w:ascii="Calibri" w:cs="Calibri" w:eastAsia="Calibri" w:hAnsi="Calibri"/>
          <w:b/>
          <w:bCs/>
          <w:color w:val="2E5A88"/>
          <w:spacing w:val="18"/>
          <w:sz w:val="15"/>
          <w:szCs w:val="15"/>
        </w:rPr>
        <w:t xml:space="preserve">CE QUE LE DROIT CONTIENT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Faible normativité : faute de reconnaissance explicite d’un véritable droit fondamental à la culture, le droit à la culture reste indéterminé et relatif, souvent réduit au rang d’argument rhétorique ; la protection du patrimoine est conçue comme une mission de l’État exercée dans l’intérêt collectif, non comme un droit invocable individuellement.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Tensions : avec le droit de propriété et la propriété intellectuelle (licence légale étendue aux radios web), et en matière d’accès aux archives publiques, où les restrictions législatives sont admises sans réserve.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Fondamentalisation internationale : passage d’un droit public sectoriel, organisé autour de polices administratives, vers un droit des personnes fondé sur l’appartenance et la revendication culturelle. La loi impose désormais à l’État et aux collectivités de tenir compte des droits culturels.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Accès à la culture : non défini en droit français ; le fascicule renvoie à la recommandation de l’UNESCO de 1976 — la possibilité effective pour tous, grâce à des conditions socio-économiques adéquates, de librement s’informer, se former, connaître, comprendre et jouir des valeurs et des biens culturels.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Démocratisation : prise en compte des obstacles excluant certains publics — handicap, isolement, âge, difficultés financières.</w:t>
      </w:r>
    </w:p>
    <w:p>
      <w:pPr>
        <w:spacing w:after="70" w:before="30" w:line="264"/>
        <w:ind w:left="200"/>
        <w:jc w:val="both"/>
      </w:pPr>
      <w:r>
        <w:rPr>
          <w:rFonts w:ascii="Calibri" w:cs="Calibri" w:eastAsia="Calibri" w:hAnsi="Calibri"/>
          <w:b/>
          <w:bCs/>
          <w:color w:val="2E5A88"/>
          <w:spacing w:val="18"/>
          <w:sz w:val="15"/>
          <w:szCs w:val="15"/>
        </w:rPr>
        <w:t xml:space="preserve">RÉGIME  </w:t>
      </w:r>
      <w:r>
        <w:rPr>
          <w:rFonts w:ascii="Calibri" w:cs="Calibri" w:eastAsia="Calibri" w:hAnsi="Calibri"/>
          <w:color w:val="2A2A2A"/>
          <w:sz w:val="18"/>
          <w:szCs w:val="18"/>
        </w:rPr>
        <w:t xml:space="preserve">Droit en cours de construction : sa portée juridique concrète reste incertaine, une mobilisation contentieuse par QPC pouvant renforcer sa valeur normative.</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Un droit en tension avec d’autres droits constitutionnels  ·  La faible normativité du droit à la culture  ·  Vers un droit subjectif à la culture  ·  Les enjeux de l’accès à la culture : démocratisation de la culture  ·  La fondamentalisation des droits culturels sur la scène internationale</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Cons. const., déc. no 2011-207 QPC, 16 déc. 2011  ·  Cons. const., déc. no 2013-370 QPC du 28 février 2014  ·  Cons. const., déc. no 2017-655 QPC du 15 septembre 2017  ·  CEDH, 11 octobre 2011, Helly et a. c. France, no 28216/09</w:t>
      </w:r>
    </w:p>
    <w:p>
      <w:pPr>
        <w:keepNext/>
        <w:spacing w:after="60" w:before="210"/>
      </w:pPr>
      <w:r>
        <w:rPr>
          <w:rFonts w:ascii="Calibri" w:cs="Calibri" w:eastAsia="Calibri" w:hAnsi="Calibri"/>
          <w:b/>
          <w:bCs/>
          <w:color w:val="2E5A88"/>
          <w:sz w:val="22"/>
          <w:szCs w:val="22"/>
        </w:rPr>
        <w:t xml:space="preserve">53. </w:t>
      </w:r>
      <w:r>
        <w:rPr>
          <w:rFonts w:ascii="Cambria" w:cs="Cambria" w:eastAsia="Cambria" w:hAnsi="Cambria"/>
          <w:b/>
          <w:bCs/>
          <w:color w:val="1F3864"/>
          <w:sz w:val="22"/>
          <w:szCs w:val="22"/>
        </w:rPr>
        <w:t xml:space="preserve">Le droit d’asile</w:t>
      </w:r>
      <w:r>
        <w:rPr>
          <w:rFonts w:ascii="Calibri" w:cs="Calibri" w:eastAsia="Calibri" w:hAnsi="Calibri"/>
          <w:color w:val="757575"/>
          <w:sz w:val="15"/>
          <w:szCs w:val="15"/>
        </w:rPr>
        <w:t xml:space="preserve">   p. 536</w:t>
      </w:r>
    </w:p>
    <w:p>
      <w:pPr>
        <w:spacing w:after="75" w:before="0" w:line="264"/>
        <w:ind w:left="200"/>
        <w:jc w:val="both"/>
      </w:pPr>
      <w:r>
        <w:rPr>
          <w:rFonts w:ascii="Calibri" w:cs="Calibri" w:eastAsia="Calibri" w:hAnsi="Calibri"/>
          <w:color w:val="1A1A1A"/>
          <w:sz w:val="19"/>
          <w:szCs w:val="19"/>
        </w:rPr>
        <w:t xml:space="preserve">Le droit d’asile est le droit, pour qui fuit des persécutions, de chercher et de bénéficier de la protection d’un autre État. Le demandeur d’asile est la personne qui a fui son pays et sollicite le statut de réfugié ; en France, l’OFPRA statue et la Cour nationale du droit d’asile connaît des recours.</w:t>
      </w:r>
    </w:p>
    <w:p>
      <w:pPr>
        <w:spacing w:after="70" w:before="0" w:line="264"/>
        <w:ind w:left="200"/>
        <w:jc w:val="both"/>
      </w:pPr>
      <w:r>
        <w:rPr>
          <w:rFonts w:ascii="Calibri" w:cs="Calibri" w:eastAsia="Calibri" w:hAnsi="Calibri"/>
          <w:b/>
          <w:bCs/>
          <w:color w:val="2E5A88"/>
          <w:spacing w:val="18"/>
          <w:sz w:val="15"/>
          <w:szCs w:val="15"/>
        </w:rPr>
        <w:t xml:space="preserve">TEXTES  </w:t>
      </w:r>
      <w:r>
        <w:rPr>
          <w:rFonts w:ascii="Calibri" w:cs="Calibri" w:eastAsia="Calibri" w:hAnsi="Calibri"/>
          <w:color w:val="3C3C3C"/>
          <w:sz w:val="17"/>
          <w:szCs w:val="17"/>
        </w:rPr>
        <w:t xml:space="preserve">Article 14 DUDH · Convention de Genève de 1951 · directive 2011/95/UE et article L. 512-1 du CESEDA pour la protection subsidiaire · décision du 13 août 1993 pour l’asile constitutionnel.</w:t>
      </w:r>
    </w:p>
    <w:p>
      <w:pPr>
        <w:spacing w:after="45"/>
        <w:ind w:left="200"/>
      </w:pPr>
      <w:r>
        <w:rPr>
          <w:rFonts w:ascii="Calibri" w:cs="Calibri" w:eastAsia="Calibri" w:hAnsi="Calibri"/>
          <w:b/>
          <w:bCs/>
          <w:color w:val="2E5A88"/>
          <w:spacing w:val="18"/>
          <w:sz w:val="15"/>
          <w:szCs w:val="15"/>
        </w:rPr>
        <w:t xml:space="preserve">CE QUE LE DROIT CONTIENT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Asile conventionnel : est réfugiée « toute personne qui, craignant avec raison d’être persécutée du fait de sa race, de sa religion, de sa nationalité, de son appartenance à un certain groupe social ou de ses opinions politiques, se trouve hors du pays dont elle a la nationalité et qui ne peut ou, du fait de cette crainte, ne veut se réclamer de la protection de ce pays ». Trois conditions : des persécutions subies ou craintes, des motifs limitativement énumérés, et le fait d’avoir quitté un pays incapable de protéger ou à l’origine des persécutions. Peu importe que la persécution émane de l’État.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Protection subsidiaire : accordée à qui ne relève pas de l’asile conventionnel mais encourt un risque réel de peine de mort ou d’exécution (PS1), de torture ou de traitement inhumain ou dégradant (PS2), ou une menace grave et individuelle du fait d’une violence aveugle résultant d’un conflit armé (PS3).</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Asile constitutionnel : principe de valeur constitutionnelle impliquant que l’étranger qui s’en réclame soit autorisé à demeurer provisoirement sur le territoire jusqu’à ce qu’il ait été statué sur sa demande.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Procédures : classique devant l’OFPRA puis la CNDA, accélérée, « Dublin », et réexamen ; notion de pays d’origine sûr.</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Garanties différenciées selon que l’on est demandeur d’asile ou réfugié.</w:t>
      </w:r>
    </w:p>
    <w:p>
      <w:pPr>
        <w:spacing w:after="70" w:before="30" w:line="264"/>
        <w:ind w:left="200"/>
        <w:jc w:val="both"/>
      </w:pPr>
      <w:r>
        <w:rPr>
          <w:rFonts w:ascii="Calibri" w:cs="Calibri" w:eastAsia="Calibri" w:hAnsi="Calibri"/>
          <w:b/>
          <w:bCs/>
          <w:color w:val="2E5A88"/>
          <w:spacing w:val="18"/>
          <w:sz w:val="15"/>
          <w:szCs w:val="15"/>
        </w:rPr>
        <w:t xml:space="preserve">RÉGIME  </w:t>
      </w:r>
      <w:r>
        <w:rPr>
          <w:rFonts w:ascii="Calibri" w:cs="Calibri" w:eastAsia="Calibri" w:hAnsi="Calibri"/>
          <w:color w:val="2A2A2A"/>
          <w:sz w:val="18"/>
          <w:szCs w:val="18"/>
        </w:rPr>
        <w:t xml:space="preserve">Protection encadrée : une protection internationale déjà effectivement garantie dans un autre État membre fait obstacle à une nouvelle demande en France.</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Définition du droit d’asile  ·  Les différentes procédures de demande d’asile  ·  Les garanties offertes aux demandeurs d’asile et aux réfugiés</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Cons. const., déc. no 93-325, 13 août 1993</w:t>
      </w:r>
    </w:p>
    <w:p>
      <w:r>
        <w:br w:type="page"/>
      </w:r>
    </w:p>
    <w:p>
      <w:pPr>
        <w:pBdr>
          <w:bottom w:val="single" w:color="C7D2E0" w:sz="8"/>
        </w:pBdr>
        <w:spacing w:after="50" w:before="0"/>
      </w:pPr>
      <w:r>
        <w:rPr>
          <w:rFonts w:ascii="Calibri" w:cs="Calibri" w:eastAsia="Calibri" w:hAnsi="Calibri"/>
          <w:b/>
          <w:bCs/>
          <w:color w:val="2E5A88"/>
          <w:spacing w:val="30"/>
          <w:sz w:val="17"/>
          <w:szCs w:val="17"/>
        </w:rPr>
        <w:t xml:space="preserve">PARTIE VIII  ·  </w:t>
      </w:r>
      <w:r>
        <w:rPr>
          <w:rFonts w:ascii="Cambria" w:cs="Cambria" w:eastAsia="Cambria" w:hAnsi="Cambria"/>
          <w:b/>
          <w:bCs/>
          <w:color w:val="1F3864"/>
          <w:sz w:val="26"/>
          <w:szCs w:val="26"/>
        </w:rPr>
        <w:t xml:space="preserve">L’égalité et la non-discrimination</w:t>
      </w:r>
    </w:p>
    <w:p>
      <w:pPr>
        <w:spacing w:after="120" w:before="60"/>
        <w:jc w:val="both"/>
      </w:pPr>
      <w:r>
        <w:rPr>
          <w:rFonts w:ascii="Calibri" w:cs="Calibri" w:eastAsia="Calibri" w:hAnsi="Calibri"/>
          <w:i/>
          <w:iCs/>
          <w:color w:val="5A5A5A"/>
          <w:sz w:val="18"/>
          <w:szCs w:val="18"/>
        </w:rPr>
        <w:t xml:space="preserve">Trois fiches en séquence : le principe et ses critères, les raisons pour lesquelles l’égalité formelle ne suffit pas, puis la correction assumée par l’inégalité compensatoire.</w:t>
      </w:r>
    </w:p>
    <w:p>
      <w:pPr>
        <w:keepNext/>
        <w:spacing w:after="60" w:before="210"/>
      </w:pPr>
      <w:r>
        <w:rPr>
          <w:rFonts w:ascii="Calibri" w:cs="Calibri" w:eastAsia="Calibri" w:hAnsi="Calibri"/>
          <w:b/>
          <w:bCs/>
          <w:color w:val="2E5A88"/>
          <w:sz w:val="22"/>
          <w:szCs w:val="22"/>
        </w:rPr>
        <w:t xml:space="preserve">54. </w:t>
      </w:r>
      <w:r>
        <w:rPr>
          <w:rFonts w:ascii="Cambria" w:cs="Cambria" w:eastAsia="Cambria" w:hAnsi="Cambria"/>
          <w:b/>
          <w:bCs/>
          <w:color w:val="1F3864"/>
          <w:sz w:val="22"/>
          <w:szCs w:val="22"/>
        </w:rPr>
        <w:t xml:space="preserve">L’interdiction de la discrimination</w:t>
      </w:r>
      <w:r>
        <w:rPr>
          <w:rFonts w:ascii="Calibri" w:cs="Calibri" w:eastAsia="Calibri" w:hAnsi="Calibri"/>
          <w:color w:val="757575"/>
          <w:sz w:val="15"/>
          <w:szCs w:val="15"/>
        </w:rPr>
        <w:t xml:space="preserve">   p. 547</w:t>
      </w:r>
    </w:p>
    <w:p>
      <w:pPr>
        <w:spacing w:after="75" w:before="0" w:line="264"/>
        <w:ind w:left="200"/>
        <w:jc w:val="both"/>
      </w:pPr>
      <w:r>
        <w:rPr>
          <w:rFonts w:ascii="Calibri" w:cs="Calibri" w:eastAsia="Calibri" w:hAnsi="Calibri"/>
          <w:color w:val="1A1A1A"/>
          <w:sz w:val="19"/>
          <w:szCs w:val="19"/>
        </w:rPr>
        <w:t xml:space="preserve">Égalité et non-discrimination ne sont pas antagonistes mais complémentaires. Le principe d’égalité, général et abstrait, peine à appréhender des formes subtiles mais concrètes de discrimination ; la non-discrimination le complète en interdisant explicitement les distinctions fondées sur une liste déterminée de critères prohibés.</w:t>
      </w:r>
    </w:p>
    <w:p>
      <w:pPr>
        <w:spacing w:after="70" w:before="0" w:line="264"/>
        <w:ind w:left="200"/>
        <w:jc w:val="both"/>
      </w:pPr>
      <w:r>
        <w:rPr>
          <w:rFonts w:ascii="Calibri" w:cs="Calibri" w:eastAsia="Calibri" w:hAnsi="Calibri"/>
          <w:b/>
          <w:bCs/>
          <w:color w:val="2E5A88"/>
          <w:spacing w:val="18"/>
          <w:sz w:val="15"/>
          <w:szCs w:val="15"/>
        </w:rPr>
        <w:t xml:space="preserve">TEXTES  </w:t>
      </w:r>
      <w:r>
        <w:rPr>
          <w:rFonts w:ascii="Calibri" w:cs="Calibri" w:eastAsia="Calibri" w:hAnsi="Calibri"/>
          <w:color w:val="3C3C3C"/>
          <w:sz w:val="17"/>
          <w:szCs w:val="17"/>
        </w:rPr>
        <w:t xml:space="preserve">Articles 1er et 6 DDHC · article 1er de la Constitution · article 14 CEDH et protocole n° 12 · article 21 de la Charte · article 1er de la loi du 27 mai 2008 · article L. 1132-1 du Code du travail · article 225-1 du Code pénal.</w:t>
      </w:r>
    </w:p>
    <w:p>
      <w:pPr>
        <w:spacing w:after="45"/>
        <w:ind w:left="200"/>
      </w:pPr>
      <w:r>
        <w:rPr>
          <w:rFonts w:ascii="Calibri" w:cs="Calibri" w:eastAsia="Calibri" w:hAnsi="Calibri"/>
          <w:b/>
          <w:bCs/>
          <w:color w:val="2E5A88"/>
          <w:spacing w:val="18"/>
          <w:sz w:val="15"/>
          <w:szCs w:val="15"/>
        </w:rPr>
        <w:t xml:space="preserve">CE QUE LE DROIT CONTIENT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Critères prohibés : sexe, race, couleur, origines ethniques ou sociales, caractéristiques génétiques, langue, religion, convictions, opinions politiques, appartenance à une minorité nationale, fortune, naissance, handicap, âge, orientation sexuelle. Les listes européennes ne sont pas fermées : elles sont introduites par l’adverbe « notamment », et la Cour a confirmé que d’autres critères peuvent être retenus.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Écart entre les textes : l’article 14 de la Convention se borne à interdire la discrimination dans la jouissance des droits garantis ; le protocole n° 12 lui donne une portée générale.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Égalité formelle et égalité réelle : le droit français est passé de l’abstraction de l’homme et du citoyen à un homme « situé et incarné dans sa singularité », sous l’influence du droit européen et des exemples étrangers, sans renoncer au cadre républicain de l’unité du peuple français.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Discrimination par association : le droit de l’Union protège aussi celui qui subit un traitement défavorable en raison de son lien avec une personne protégée.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Mise en œuvre : cadre législatif dense, importance du droit dérivé de l’Union, recours à la soft law, Défenseur des droits, actions de groupe et aménagement de la charge de la preuve.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Front nouveau : les biais algorithmiques comme forme émergente de discrimination.</w:t>
      </w:r>
    </w:p>
    <w:p>
      <w:pPr>
        <w:spacing w:after="70" w:before="30" w:line="264"/>
        <w:ind w:left="200"/>
        <w:jc w:val="both"/>
      </w:pPr>
      <w:r>
        <w:rPr>
          <w:rFonts w:ascii="Calibri" w:cs="Calibri" w:eastAsia="Calibri" w:hAnsi="Calibri"/>
          <w:b/>
          <w:bCs/>
          <w:color w:val="2E5A88"/>
          <w:spacing w:val="18"/>
          <w:sz w:val="15"/>
          <w:szCs w:val="15"/>
        </w:rPr>
        <w:t xml:space="preserve">RÉGIME  </w:t>
      </w:r>
      <w:r>
        <w:rPr>
          <w:rFonts w:ascii="Calibri" w:cs="Calibri" w:eastAsia="Calibri" w:hAnsi="Calibri"/>
          <w:color w:val="2A2A2A"/>
          <w:sz w:val="18"/>
          <w:szCs w:val="18"/>
        </w:rPr>
        <w:t xml:space="preserve">Le principe d’égalité républicain n’a pas empêché la persistance d’inégalités : le fascicule relève le caractère « mythologique » d’une égalité formelle qui masque la réalité des discriminations.</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Le principe de non-discrimination, prolongement du principe d’égalité  ·  La mise en œuvre de l’interdiction des discriminations en France  ·  Les biais algorithmiques : de nouvelles formes de discriminations</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CJCE, 12 février 1974, Sotgiu, aff.152/73  ·  CEDH, 16 mars 2010, Carson c. Royaume-Uni, 42184/05  ·  Cons. const., déc. no 91-290 DC du 9 mai 1991</w:t>
      </w:r>
    </w:p>
    <w:p>
      <w:pPr>
        <w:keepNext/>
        <w:spacing w:after="60" w:before="210"/>
      </w:pPr>
      <w:r>
        <w:rPr>
          <w:rFonts w:ascii="Calibri" w:cs="Calibri" w:eastAsia="Calibri" w:hAnsi="Calibri"/>
          <w:b/>
          <w:bCs/>
          <w:color w:val="2E5A88"/>
          <w:sz w:val="22"/>
          <w:szCs w:val="22"/>
        </w:rPr>
        <w:t xml:space="preserve">55. </w:t>
      </w:r>
      <w:r>
        <w:rPr>
          <w:rFonts w:ascii="Cambria" w:cs="Cambria" w:eastAsia="Cambria" w:hAnsi="Cambria"/>
          <w:b/>
          <w:bCs/>
          <w:color w:val="1F3864"/>
          <w:sz w:val="22"/>
          <w:szCs w:val="22"/>
        </w:rPr>
        <w:t xml:space="preserve">La prise en compte des vulnérabilités</w:t>
      </w:r>
      <w:r>
        <w:rPr>
          <w:rFonts w:ascii="Calibri" w:cs="Calibri" w:eastAsia="Calibri" w:hAnsi="Calibri"/>
          <w:color w:val="757575"/>
          <w:sz w:val="15"/>
          <w:szCs w:val="15"/>
        </w:rPr>
        <w:t xml:space="preserve">   p. 559</w:t>
      </w:r>
    </w:p>
    <w:p>
      <w:pPr>
        <w:spacing w:after="75" w:before="0" w:line="264"/>
        <w:ind w:left="200"/>
        <w:jc w:val="both"/>
      </w:pPr>
      <w:r>
        <w:rPr>
          <w:rFonts w:ascii="Calibri" w:cs="Calibri" w:eastAsia="Calibri" w:hAnsi="Calibri"/>
          <w:color w:val="1A1A1A"/>
          <w:sz w:val="19"/>
          <w:szCs w:val="19"/>
        </w:rPr>
        <w:t xml:space="preserve">La vulnérabilité est une notion juridique difficilement saisissable, venue de l’éthique du care, sans texte de référence mais infusée dans de nombreux instruments. Elle désigne une personne ou un état favorisant les violations des droits humains et appelant dès lors une protection adéquate.</w:t>
      </w:r>
    </w:p>
    <w:p>
      <w:pPr>
        <w:spacing w:after="70" w:before="0" w:line="264"/>
        <w:ind w:left="200"/>
        <w:jc w:val="both"/>
      </w:pPr>
      <w:r>
        <w:rPr>
          <w:rFonts w:ascii="Calibri" w:cs="Calibri" w:eastAsia="Calibri" w:hAnsi="Calibri"/>
          <w:b/>
          <w:bCs/>
          <w:color w:val="2E5A88"/>
          <w:spacing w:val="18"/>
          <w:sz w:val="15"/>
          <w:szCs w:val="15"/>
        </w:rPr>
        <w:t xml:space="preserve">TEXTES  </w:t>
      </w:r>
      <w:r>
        <w:rPr>
          <w:rFonts w:ascii="Calibri" w:cs="Calibri" w:eastAsia="Calibri" w:hAnsi="Calibri"/>
          <w:color w:val="3C3C3C"/>
          <w:sz w:val="17"/>
          <w:szCs w:val="17"/>
        </w:rPr>
        <w:t xml:space="preserve">Article 222-4 du Code pénal, qui retient l’âge, la maladie, l’infirmité, la déficience physique ou psychique et l’état de grossesse · préambule de 1946 · articles 3 et 8 CEDH · article 11 PIDESC · articles 30 et 31 de la Charte sociale européenne révisée · article 21 de la Charte.</w:t>
      </w:r>
    </w:p>
    <w:p>
      <w:pPr>
        <w:spacing w:after="45"/>
        <w:ind w:left="200"/>
      </w:pPr>
      <w:r>
        <w:rPr>
          <w:rFonts w:ascii="Calibri" w:cs="Calibri" w:eastAsia="Calibri" w:hAnsi="Calibri"/>
          <w:b/>
          <w:bCs/>
          <w:color w:val="2E5A88"/>
          <w:spacing w:val="18"/>
          <w:sz w:val="15"/>
          <w:szCs w:val="15"/>
        </w:rPr>
        <w:t xml:space="preserve">CE QUE LE DROIT CONTIENT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Conséquence sur l’égalité : la vulnérabilité place en situation d’inégalité réelle et appelle des mesures positives de justice sociale. Le juge admet de régler différemment des situations différentes, ou de déroger à l’égalité pour des raisons d’intérêt général, à condition que la différence de traitement soit en rapport direct avec l’objet de la norme et non manifestement disproportionnée.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Exigence européenne : la vulnérabilité impose à l’État une diligence particulière ; l’absence de traitement différencié destiné à redresser une inégalité peut elle-même entraîner une violation de la Convention (Sejdić et Finci).</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Distinction à tenir : les motifs de discrimination de l’article 14 ne se confondent pas avec les catégories de personnes vulnérables, même si elles se recoupent parfois.</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Cas saisis par le droit : enfants — vulnérables par excellence, dont l’incapacité civile est une mesure de protection, la minorité étant circonstance aggravante pour la victime et cause de responsabilité atténuée pour l’auteur —, majeurs protégés, handicap, groupes minoritaires, étrangers et apatrides, minorités sexuelles, femmes, vulnérabilité socio-économique.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Conceptions étendues : usage plus large par la Cour interaméricaine, et extension hors de l’être humain, aux écosystèmes.</w:t>
      </w:r>
    </w:p>
    <w:p>
      <w:pPr>
        <w:spacing w:after="70" w:before="30" w:line="264"/>
        <w:ind w:left="200"/>
        <w:jc w:val="both"/>
      </w:pPr>
      <w:r>
        <w:rPr>
          <w:rFonts w:ascii="Calibri" w:cs="Calibri" w:eastAsia="Calibri" w:hAnsi="Calibri"/>
          <w:b/>
          <w:bCs/>
          <w:color w:val="2E5A88"/>
          <w:spacing w:val="18"/>
          <w:sz w:val="15"/>
          <w:szCs w:val="15"/>
        </w:rPr>
        <w:t xml:space="preserve">RÉGIME  </w:t>
      </w:r>
      <w:r>
        <w:rPr>
          <w:rFonts w:ascii="Calibri" w:cs="Calibri" w:eastAsia="Calibri" w:hAnsi="Calibri"/>
          <w:color w:val="2A2A2A"/>
          <w:sz w:val="18"/>
          <w:szCs w:val="18"/>
        </w:rPr>
        <w:t xml:space="preserve">Notion diffuse : le fascicule note qu’elle n’est souvent pas nommée dans les textes, en raison de la portée potentiellement stigmatisante du terme.</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Vulnérabilité et notion d’égalité  ·  Les cas spécifiques de vulnérabilité saisie par le droit  ·  Des conceptions étendues de la vulnérabilité</w:t>
      </w:r>
    </w:p>
    <w:p>
      <w:pPr>
        <w:keepNext/>
        <w:spacing w:after="60" w:before="210"/>
      </w:pPr>
      <w:r>
        <w:rPr>
          <w:rFonts w:ascii="Calibri" w:cs="Calibri" w:eastAsia="Calibri" w:hAnsi="Calibri"/>
          <w:b/>
          <w:bCs/>
          <w:color w:val="2E5A88"/>
          <w:sz w:val="22"/>
          <w:szCs w:val="22"/>
        </w:rPr>
        <w:t xml:space="preserve">56. </w:t>
      </w:r>
      <w:r>
        <w:rPr>
          <w:rFonts w:ascii="Cambria" w:cs="Cambria" w:eastAsia="Cambria" w:hAnsi="Cambria"/>
          <w:b/>
          <w:bCs/>
          <w:color w:val="1F3864"/>
          <w:sz w:val="22"/>
          <w:szCs w:val="22"/>
        </w:rPr>
        <w:t xml:space="preserve">Les mesures d’inégalité compensatoire</w:t>
      </w:r>
      <w:r>
        <w:rPr>
          <w:rFonts w:ascii="Calibri" w:cs="Calibri" w:eastAsia="Calibri" w:hAnsi="Calibri"/>
          <w:color w:val="757575"/>
          <w:sz w:val="15"/>
          <w:szCs w:val="15"/>
        </w:rPr>
        <w:t xml:space="preserve">   p. 571</w:t>
      </w:r>
    </w:p>
    <w:p>
      <w:pPr>
        <w:spacing w:after="75" w:before="0" w:line="264"/>
        <w:ind w:left="200"/>
        <w:jc w:val="both"/>
      </w:pPr>
      <w:r>
        <w:rPr>
          <w:rFonts w:ascii="Calibri" w:cs="Calibri" w:eastAsia="Calibri" w:hAnsi="Calibri"/>
          <w:color w:val="1A1A1A"/>
          <w:sz w:val="19"/>
          <w:szCs w:val="19"/>
        </w:rPr>
        <w:t xml:space="preserve">Le troisième temps de la partie : comment corriger l’inégalité de fait. L’égalité ne passe pas toujours par un traitement identique ; c’est parfois en acceptant des inégalités de traitement, dites compensatoires, que le droit corrige des déséquilibres réels.</w:t>
      </w:r>
    </w:p>
    <w:p>
      <w:pPr>
        <w:spacing w:after="70" w:before="0" w:line="264"/>
        <w:ind w:left="200"/>
        <w:jc w:val="both"/>
      </w:pPr>
      <w:r>
        <w:rPr>
          <w:rFonts w:ascii="Calibri" w:cs="Calibri" w:eastAsia="Calibri" w:hAnsi="Calibri"/>
          <w:b/>
          <w:bCs/>
          <w:color w:val="2E5A88"/>
          <w:spacing w:val="18"/>
          <w:sz w:val="15"/>
          <w:szCs w:val="15"/>
        </w:rPr>
        <w:t xml:space="preserve">TEXTES  </w:t>
      </w:r>
      <w:r>
        <w:rPr>
          <w:rFonts w:ascii="Calibri" w:cs="Calibri" w:eastAsia="Calibri" w:hAnsi="Calibri"/>
          <w:color w:val="3C3C3C"/>
          <w:sz w:val="17"/>
          <w:szCs w:val="17"/>
        </w:rPr>
        <w:t xml:space="preserve">Article 23 de la Charte · révisions constitutionnelles du 8 juillet 1999 et du 3 juillet 2008 · Convention relative aux droits des personnes handicapées · article L. 1225-9 et article L. 1142-11 du Code du travail · loi du 27 janvier 2011 · directive 2023/970.</w:t>
      </w:r>
    </w:p>
    <w:p>
      <w:pPr>
        <w:spacing w:after="45"/>
        <w:ind w:left="200"/>
      </w:pPr>
      <w:r>
        <w:rPr>
          <w:rFonts w:ascii="Calibri" w:cs="Calibri" w:eastAsia="Calibri" w:hAnsi="Calibri"/>
          <w:b/>
          <w:bCs/>
          <w:color w:val="2E5A88"/>
          <w:spacing w:val="18"/>
          <w:sz w:val="15"/>
          <w:szCs w:val="15"/>
        </w:rPr>
        <w:t xml:space="preserve">CE QUE LE DROIT CONTIENT</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Droit de la non-discrimination et droit de l’égalisation : le premier contrôle les distinctions et les traitements défavorables, s’attache aux motifs des décisions et appelle l’intervention d’un juge ; le second regroupe les normes visant l’effectivité de l’égalité par une politique interventionniste, compensatoire ou correctrice — programmes de lutte contre les inégalités, mécanismes de redistribution.</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Discrimination positive : inégalité juridique temporaire, introduite volontairement pour corriger des déséquilibres constatés dans les faits ; elle relève d’un choix politique affirmant la primauté de l’égalité réelle sur l’égalité formelle. Elle s’oppose frontalement à la discrimination négative, bien que toutes deux soient des entorses à l’égalité formelle.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Mesures préférentielles : traiter plus favorablement certaines catégories en raison d’un état contingent — grossesse, maternité — pour compenser des difficultés liées aux conditions matérielles d’existence. Différentialisme compensatoire.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Actions positives : traiter plus favorablement certaines catégories au regard d’une caractéristique durable — sexe, origine — pour corriger des inégalités de fait, par la détermination d’objectifs chiffrés. Différentialisme correcteur.</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Correction juridictionnelle : Conseil constitutionnel, Conseil d’État, Cour européenne, Cour de justice.</w:t>
      </w:r>
    </w:p>
    <w:p>
      <w:pPr>
        <w:spacing w:after="45" w:line="264"/>
        <w:ind w:left="400" w:hanging="200"/>
        <w:jc w:val="both"/>
      </w:pPr>
      <w:r>
        <w:rPr>
          <w:rFonts w:ascii="Calibri" w:cs="Calibri" w:eastAsia="Calibri" w:hAnsi="Calibri"/>
          <w:b/>
          <w:bCs/>
          <w:color w:val="2E5A88"/>
          <w:sz w:val="18"/>
          <w:szCs w:val="18"/>
        </w:rPr>
        <w:t xml:space="preserve">· </w:t>
      </w:r>
      <w:r>
        <w:rPr>
          <w:rFonts w:ascii="Calibri" w:cs="Calibri" w:eastAsia="Calibri" w:hAnsi="Calibri"/>
          <w:color w:val="2A2A2A"/>
          <w:sz w:val="18"/>
          <w:szCs w:val="18"/>
        </w:rPr>
        <w:t xml:space="preserve">Débats : l’attachement à l’idéal républicain rend l’expression même de discrimination positive taboue en France ; enjeu nouveau du débiaisement des systèmes d’intelligence artificielle.</w:t>
      </w:r>
    </w:p>
    <w:p>
      <w:pPr>
        <w:spacing w:after="70" w:before="30" w:line="264"/>
        <w:ind w:left="200"/>
        <w:jc w:val="both"/>
      </w:pPr>
      <w:r>
        <w:rPr>
          <w:rFonts w:ascii="Calibri" w:cs="Calibri" w:eastAsia="Calibri" w:hAnsi="Calibri"/>
          <w:b/>
          <w:bCs/>
          <w:color w:val="2E5A88"/>
          <w:spacing w:val="18"/>
          <w:sz w:val="15"/>
          <w:szCs w:val="15"/>
        </w:rPr>
        <w:t xml:space="preserve">RÉGIME  </w:t>
      </w:r>
      <w:r>
        <w:rPr>
          <w:rFonts w:ascii="Calibri" w:cs="Calibri" w:eastAsia="Calibri" w:hAnsi="Calibri"/>
          <w:color w:val="2A2A2A"/>
          <w:sz w:val="18"/>
          <w:szCs w:val="18"/>
        </w:rPr>
        <w:t xml:space="preserve">Encadrement strict : la notion de justification objective et raisonnable doit être interprétée de manière aussi stricte que possible ; l’inégalité juridique est temporaire et finalisée.</w:t>
      </w:r>
    </w:p>
    <w:p>
      <w:pPr>
        <w:spacing w:after="45" w:before="0" w:line="264"/>
        <w:ind w:left="200"/>
        <w:jc w:val="both"/>
      </w:pPr>
      <w:r>
        <w:rPr>
          <w:rFonts w:ascii="Calibri" w:cs="Calibri" w:eastAsia="Calibri" w:hAnsi="Calibri"/>
          <w:b/>
          <w:bCs/>
          <w:color w:val="2E5A88"/>
          <w:spacing w:val="18"/>
          <w:sz w:val="15"/>
          <w:szCs w:val="15"/>
        </w:rPr>
        <w:t xml:space="preserve">PLAN  </w:t>
      </w:r>
      <w:r>
        <w:rPr>
          <w:rFonts w:ascii="Calibri" w:cs="Calibri" w:eastAsia="Calibri" w:hAnsi="Calibri"/>
          <w:color w:val="4A4A4A"/>
          <w:sz w:val="17"/>
          <w:szCs w:val="17"/>
        </w:rPr>
        <w:t xml:space="preserve">L’« égalité réelle » par la rupture de l’« égalité formelle »  ·  La correction juridictionnelle des inégalités structurelles  ·  Critiques et perspectives</w:t>
      </w:r>
    </w:p>
    <w:p>
      <w:pPr>
        <w:spacing w:after="45" w:before="0" w:line="264"/>
        <w:ind w:left="200"/>
        <w:jc w:val="both"/>
      </w:pPr>
      <w:r>
        <w:rPr>
          <w:rFonts w:ascii="Calibri" w:cs="Calibri" w:eastAsia="Calibri" w:hAnsi="Calibri"/>
          <w:b/>
          <w:bCs/>
          <w:color w:val="2E5A88"/>
          <w:spacing w:val="18"/>
          <w:sz w:val="15"/>
          <w:szCs w:val="15"/>
        </w:rPr>
        <w:t xml:space="preserve">ARRÊTS  </w:t>
      </w:r>
      <w:r>
        <w:rPr>
          <w:rFonts w:ascii="Calibri" w:cs="Calibri" w:eastAsia="Calibri" w:hAnsi="Calibri"/>
          <w:color w:val="4A4A4A"/>
          <w:sz w:val="17"/>
          <w:szCs w:val="17"/>
        </w:rPr>
        <w:t xml:space="preserve">CEDH, 23 février 2016, Cam c. Turquie, no 51500/08  ·  Cons. const., déc. no 2003-489 DC, 29 décembre 2003, Loi de finances pour 2004</w:t>
      </w:r>
    </w:p>
    <w:p>
      <w:r>
        <w:br w:type="page"/>
      </w:r>
    </w:p>
    <w:p>
      <w:pPr>
        <w:pBdr>
          <w:bottom w:val="single" w:color="C7D2E0" w:sz="8"/>
        </w:pBdr>
        <w:spacing w:after="50"/>
      </w:pPr>
      <w:r>
        <w:rPr>
          <w:rFonts w:ascii="Calibri" w:cs="Calibri" w:eastAsia="Calibri" w:hAnsi="Calibri"/>
          <w:b/>
          <w:bCs/>
          <w:color w:val="2E5A88"/>
          <w:spacing w:val="30"/>
          <w:sz w:val="17"/>
          <w:szCs w:val="17"/>
        </w:rPr>
        <w:t xml:space="preserve">LECTURE TRANSVERSALE  ·  </w:t>
      </w:r>
      <w:r>
        <w:rPr>
          <w:rFonts w:ascii="Cambria" w:cs="Cambria" w:eastAsia="Cambria" w:hAnsi="Cambria"/>
          <w:b/>
          <w:bCs/>
          <w:color w:val="1F3864"/>
          <w:sz w:val="26"/>
          <w:szCs w:val="26"/>
        </w:rPr>
        <w:t xml:space="preserve">Les douze fils rouges</w:t>
      </w:r>
    </w:p>
    <w:p>
      <w:pPr>
        <w:spacing w:after="130" w:before="60"/>
        <w:jc w:val="both"/>
      </w:pPr>
      <w:r>
        <w:rPr>
          <w:rFonts w:ascii="Calibri" w:cs="Calibri" w:eastAsia="Calibri" w:hAnsi="Calibri"/>
          <w:i/>
          <w:iCs/>
          <w:color w:val="5A5A5A"/>
          <w:sz w:val="18"/>
          <w:szCs w:val="18"/>
        </w:rPr>
        <w:t xml:space="preserve">Les mêmes raisonnements appliqués à des droits différents : les repérer évite de traiter les 56 fiches comme 56 objets séparés.</w:t>
      </w:r>
    </w:p>
    <w:p>
      <w:pPr>
        <w:spacing w:after="40" w:before="120"/>
      </w:pPr>
      <w:r>
        <w:rPr>
          <w:rFonts w:ascii="Cambria" w:cs="Cambria" w:eastAsia="Cambria" w:hAnsi="Cambria"/>
          <w:b/>
          <w:bCs/>
          <w:color w:val="1F3864"/>
          <w:sz w:val="20"/>
          <w:szCs w:val="20"/>
        </w:rPr>
        <w:t xml:space="preserve">Dignité, principe matriciel</w:t>
      </w:r>
    </w:p>
    <w:p>
      <w:pPr>
        <w:spacing w:after="30" w:before="0" w:line="264"/>
        <w:ind w:left="200"/>
        <w:jc w:val="both"/>
      </w:pPr>
      <w:r>
        <w:rPr>
          <w:rFonts w:ascii="Calibri" w:cs="Calibri" w:eastAsia="Calibri" w:hAnsi="Calibri"/>
          <w:color w:val="1A1A1A"/>
          <w:sz w:val="18"/>
          <w:szCs w:val="18"/>
        </w:rPr>
        <w:t xml:space="preserve">Posée en fiche 5 comme le socle des autres principes ; fondement de l’intégrité de la personne (27), de l’interdiction des traitements inhumains et des conditions indignes de détention (28), de l’interdiction de l’exploitation (29), du droit au logement comme objectif (51) et de la prise en compte des vulnérabilités (55).</w:t>
      </w:r>
    </w:p>
    <w:p>
      <w:pPr>
        <w:spacing w:after="40" w:before="120"/>
      </w:pPr>
      <w:r>
        <w:rPr>
          <w:rFonts w:ascii="Cambria" w:cs="Cambria" w:eastAsia="Cambria" w:hAnsi="Cambria"/>
          <w:b/>
          <w:bCs/>
          <w:color w:val="1F3864"/>
          <w:sz w:val="20"/>
          <w:szCs w:val="20"/>
        </w:rPr>
        <w:t xml:space="preserve">Ordre public et régimes d’exercice</w:t>
      </w:r>
    </w:p>
    <w:p>
      <w:pPr>
        <w:spacing w:after="30" w:before="0" w:line="264"/>
        <w:ind w:left="200"/>
        <w:jc w:val="both"/>
      </w:pPr>
      <w:r>
        <w:rPr>
          <w:rFonts w:ascii="Calibri" w:cs="Calibri" w:eastAsia="Calibri" w:hAnsi="Calibri"/>
          <w:color w:val="1A1A1A"/>
          <w:sz w:val="18"/>
          <w:szCs w:val="18"/>
        </w:rPr>
        <w:t xml:space="preserve">La définition de l’ordre public et la grille répressif / préventif / déclaratif (fiche 6), prolongée par la police administrative (11), se réapplique à toutes les libertés d’action : religion (36), expression (37), réunion et manifestation (38), association (39), aller et venir (40).</w:t>
      </w:r>
    </w:p>
    <w:p>
      <w:pPr>
        <w:spacing w:after="40" w:before="120"/>
      </w:pPr>
      <w:r>
        <w:rPr>
          <w:rFonts w:ascii="Cambria" w:cs="Cambria" w:eastAsia="Cambria" w:hAnsi="Cambria"/>
          <w:b/>
          <w:bCs/>
          <w:color w:val="1F3864"/>
          <w:sz w:val="20"/>
          <w:szCs w:val="20"/>
        </w:rPr>
        <w:t xml:space="preserve">Proportionnalité et mise en balance</w:t>
      </w:r>
    </w:p>
    <w:p>
      <w:pPr>
        <w:spacing w:after="30" w:before="0" w:line="264"/>
        <w:ind w:left="200"/>
        <w:jc w:val="both"/>
      </w:pPr>
      <w:r>
        <w:rPr>
          <w:rFonts w:ascii="Calibri" w:cs="Calibri" w:eastAsia="Calibri" w:hAnsi="Calibri"/>
          <w:color w:val="1A1A1A"/>
          <w:sz w:val="18"/>
          <w:szCs w:val="18"/>
        </w:rPr>
        <w:t xml:space="preserve">Annoncée en fiche 6, transposée par le juge judiciaire aux litiges entre particuliers (17), exigée pour les atteintes à la liberté individuelle — adaptées, nécessaires et proportionnées (30) —, centrale pour les données (35) et pour l’expression, où elle prend la forme du triptyque légalité, légitimité, nécessité (37).</w:t>
      </w:r>
    </w:p>
    <w:p>
      <w:pPr>
        <w:spacing w:after="40" w:before="120"/>
      </w:pPr>
      <w:r>
        <w:rPr>
          <w:rFonts w:ascii="Cambria" w:cs="Cambria" w:eastAsia="Cambria" w:hAnsi="Cambria"/>
          <w:b/>
          <w:bCs/>
          <w:color w:val="1F3864"/>
          <w:sz w:val="20"/>
          <w:szCs w:val="20"/>
        </w:rPr>
        <w:t xml:space="preserve">Obligations négatives, positives, procédurales</w:t>
      </w:r>
    </w:p>
    <w:p>
      <w:pPr>
        <w:spacing w:after="30" w:before="0" w:line="264"/>
        <w:ind w:left="200"/>
        <w:jc w:val="both"/>
      </w:pPr>
      <w:r>
        <w:rPr>
          <w:rFonts w:ascii="Calibri" w:cs="Calibri" w:eastAsia="Calibri" w:hAnsi="Calibri"/>
          <w:color w:val="1A1A1A"/>
          <w:sz w:val="18"/>
          <w:szCs w:val="18"/>
        </w:rPr>
        <w:t xml:space="preserve">Introduites avec le droit onusien (13), déployées au droit à la vie (26), à l’article 3 (28), et surtout à l’interdiction de l’exploitation, terrain privilégié où elles se déclinent en prévention, mesures opérationnelles, enquête et réparation (29) ; on les retrouve pour la réunion (38), l’expression (37), l’éducation (47) et l’environnement (49).</w:t>
      </w:r>
    </w:p>
    <w:p>
      <w:pPr>
        <w:spacing w:after="40" w:before="120"/>
      </w:pPr>
      <w:r>
        <w:rPr>
          <w:rFonts w:ascii="Cambria" w:cs="Cambria" w:eastAsia="Cambria" w:hAnsi="Cambria"/>
          <w:b/>
          <w:bCs/>
          <w:color w:val="1F3864"/>
          <w:sz w:val="20"/>
          <w:szCs w:val="20"/>
        </w:rPr>
        <w:t xml:space="preserve">Dérogation et noyau indérogeable</w:t>
      </w:r>
    </w:p>
    <w:p>
      <w:pPr>
        <w:spacing w:after="30" w:before="0" w:line="264"/>
        <w:ind w:left="200"/>
        <w:jc w:val="both"/>
      </w:pPr>
      <w:r>
        <w:rPr>
          <w:rFonts w:ascii="Calibri" w:cs="Calibri" w:eastAsia="Calibri" w:hAnsi="Calibri"/>
          <w:color w:val="1A1A1A"/>
          <w:sz w:val="18"/>
          <w:szCs w:val="18"/>
        </w:rPr>
        <w:t xml:space="preserve">Article 4 du Pacte et article 15 de la Convention structurent la fiche 7. Le caractère indérogeable est ensuite affirmé pour le droit à la vie (26) et, de façon absolue, pour l’interdiction de la torture, qui ne souffre aucune dérogation même sous l’article 15 (28).</w:t>
      </w:r>
    </w:p>
    <w:p>
      <w:pPr>
        <w:spacing w:after="40" w:before="120"/>
      </w:pPr>
      <w:r>
        <w:rPr>
          <w:rFonts w:ascii="Cambria" w:cs="Cambria" w:eastAsia="Cambria" w:hAnsi="Cambria"/>
          <w:b/>
          <w:bCs/>
          <w:color w:val="1F3864"/>
          <w:sz w:val="20"/>
          <w:szCs w:val="20"/>
        </w:rPr>
        <w:t xml:space="preserve">Absolu, indérogeable, relatif</w:t>
      </w:r>
    </w:p>
    <w:p>
      <w:pPr>
        <w:spacing w:after="30" w:before="0" w:line="264"/>
        <w:ind w:left="200"/>
        <w:jc w:val="both"/>
      </w:pPr>
      <w:r>
        <w:rPr>
          <w:rFonts w:ascii="Calibri" w:cs="Calibri" w:eastAsia="Calibri" w:hAnsi="Calibri"/>
          <w:color w:val="1A1A1A"/>
          <w:sz w:val="18"/>
          <w:szCs w:val="18"/>
        </w:rPr>
        <w:t xml:space="preserve">Trois qualifications à ne pas confondre. Le droit à la vie est indérogeable mais non absolu — l’article 2 § 2 prévoit des exceptions (26). L’article 3 est à la fois indérogeable et absolu (28). La plupart des autres droits sont relatifs, assortis de clauses de limitation : vie privée (33), expression (37), réunion (38), propriété (46).</w:t>
      </w:r>
    </w:p>
    <w:p>
      <w:pPr>
        <w:spacing w:after="40" w:before="120"/>
      </w:pPr>
      <w:r>
        <w:rPr>
          <w:rFonts w:ascii="Cambria" w:cs="Cambria" w:eastAsia="Cambria" w:hAnsi="Cambria"/>
          <w:b/>
          <w:bCs/>
          <w:color w:val="1F3864"/>
          <w:sz w:val="20"/>
          <w:szCs w:val="20"/>
        </w:rPr>
        <w:t xml:space="preserve">Notions autonomes et interprétation dynamique</w:t>
      </w:r>
    </w:p>
    <w:p>
      <w:pPr>
        <w:spacing w:after="30" w:before="0" w:line="264"/>
        <w:ind w:left="200"/>
        <w:jc w:val="both"/>
      </w:pPr>
      <w:r>
        <w:rPr>
          <w:rFonts w:ascii="Calibri" w:cs="Calibri" w:eastAsia="Calibri" w:hAnsi="Calibri"/>
          <w:color w:val="1A1A1A"/>
          <w:sz w:val="18"/>
          <w:szCs w:val="18"/>
        </w:rPr>
        <w:t xml:space="preserve">La Convention comme instrument vivant garantissant des droits concrets et effectifs (14, 22) explique les définitions autonomes de la vie familiale (34), du « caractère civil » au sens de l’article 6 (31), de la réunion (38) et des « biens » (46), ainsi que la protection par ricochet du droit à un environnement sain (49).</w:t>
      </w:r>
    </w:p>
    <w:p>
      <w:pPr>
        <w:spacing w:after="40" w:before="120"/>
      </w:pPr>
      <w:r>
        <w:rPr>
          <w:rFonts w:ascii="Cambria" w:cs="Cambria" w:eastAsia="Cambria" w:hAnsi="Cambria"/>
          <w:b/>
          <w:bCs/>
          <w:color w:val="1F3864"/>
          <w:sz w:val="20"/>
          <w:szCs w:val="20"/>
        </w:rPr>
        <w:t xml:space="preserve">Subsidiarité et marge d’appréciation</w:t>
      </w:r>
    </w:p>
    <w:p>
      <w:pPr>
        <w:spacing w:after="30" w:before="0" w:line="264"/>
        <w:ind w:left="200"/>
        <w:jc w:val="both"/>
      </w:pPr>
      <w:r>
        <w:rPr>
          <w:rFonts w:ascii="Calibri" w:cs="Calibri" w:eastAsia="Calibri" w:hAnsi="Calibri"/>
          <w:color w:val="1A1A1A"/>
          <w:sz w:val="18"/>
          <w:szCs w:val="18"/>
        </w:rPr>
        <w:t xml:space="preserve">Posées pour la Convention (14), développées dans les concepts modérateurs de la Cour (22), déclinées en subsidiarité juridictionnelle du côté de l’Union (23). La marge se resserre en présence d’un consensus européen : c’est ce qui explique les solutions retenues en matière de vie familiale (34) et d’élections (42).</w:t>
      </w:r>
    </w:p>
    <w:p>
      <w:pPr>
        <w:spacing w:after="40" w:before="120"/>
      </w:pPr>
      <w:r>
        <w:rPr>
          <w:rFonts w:ascii="Cambria" w:cs="Cambria" w:eastAsia="Cambria" w:hAnsi="Cambria"/>
          <w:b/>
          <w:bCs/>
          <w:color w:val="1F3864"/>
          <w:sz w:val="20"/>
          <w:szCs w:val="20"/>
        </w:rPr>
        <w:t xml:space="preserve">Dualité juridictionnelle</w:t>
      </w:r>
    </w:p>
    <w:p>
      <w:pPr>
        <w:spacing w:after="30" w:before="0" w:line="264"/>
        <w:ind w:left="200"/>
        <w:jc w:val="both"/>
      </w:pPr>
      <w:r>
        <w:rPr>
          <w:rFonts w:ascii="Calibri" w:cs="Calibri" w:eastAsia="Calibri" w:hAnsi="Calibri"/>
          <w:color w:val="1A1A1A"/>
          <w:sz w:val="18"/>
          <w:szCs w:val="18"/>
        </w:rPr>
        <w:t xml:space="preserve">Question ouverte en fiche 17, justifiée en fiche 18, arbitrée en fiche 19 — voie de fait, emprise irrégulière, expropriation, reconduite à la frontière. Elle commande aussi la répartition des compétences en matière de privation de liberté, réservée au juge judiciaire par l’article 66 (30, 40).</w:t>
      </w:r>
    </w:p>
    <w:p>
      <w:pPr>
        <w:spacing w:after="40" w:before="120"/>
      </w:pPr>
      <w:r>
        <w:rPr>
          <w:rFonts w:ascii="Cambria" w:cs="Cambria" w:eastAsia="Cambria" w:hAnsi="Cambria"/>
          <w:b/>
          <w:bCs/>
          <w:color w:val="1F3864"/>
          <w:sz w:val="20"/>
          <w:szCs w:val="20"/>
        </w:rPr>
        <w:t xml:space="preserve">Normativité variable des droits-créances</w:t>
      </w:r>
    </w:p>
    <w:p>
      <w:pPr>
        <w:spacing w:after="30" w:before="0" w:line="264"/>
        <w:ind w:left="200"/>
        <w:jc w:val="both"/>
      </w:pPr>
      <w:r>
        <w:rPr>
          <w:rFonts w:ascii="Calibri" w:cs="Calibri" w:eastAsia="Calibri" w:hAnsi="Calibri"/>
          <w:color w:val="1A1A1A"/>
          <w:sz w:val="18"/>
          <w:szCs w:val="18"/>
        </w:rPr>
        <w:t xml:space="preserve">Droit subjectif invocable, objectif à valeur constitutionnelle, simple obligation de moyen : la partie VII se lit avec cette échelle. Logement (51) et culture (52) restent des objectifs ; travail (50) et santé (48) butent sur l’absence d’effet direct des textes internationaux ; éducation (47) bénéficie d’obligations positives plus fermes.</w:t>
      </w:r>
    </w:p>
    <w:p>
      <w:pPr>
        <w:spacing w:after="40" w:before="120"/>
      </w:pPr>
      <w:r>
        <w:rPr>
          <w:rFonts w:ascii="Cambria" w:cs="Cambria" w:eastAsia="Cambria" w:hAnsi="Cambria"/>
          <w:b/>
          <w:bCs/>
          <w:color w:val="1F3864"/>
          <w:sz w:val="20"/>
          <w:szCs w:val="20"/>
        </w:rPr>
        <w:t xml:space="preserve">Égalité formelle contre égalité réelle</w:t>
      </w:r>
    </w:p>
    <w:p>
      <w:pPr>
        <w:spacing w:after="30" w:before="0" w:line="264"/>
        <w:ind w:left="200"/>
        <w:jc w:val="both"/>
      </w:pPr>
      <w:r>
        <w:rPr>
          <w:rFonts w:ascii="Calibri" w:cs="Calibri" w:eastAsia="Calibri" w:hAnsi="Calibri"/>
          <w:color w:val="1A1A1A"/>
          <w:sz w:val="18"/>
          <w:szCs w:val="18"/>
        </w:rPr>
        <w:t xml:space="preserve">Opposition posée en fiche 4 (Jellinek, Marx) et en fiche 54, justifiée par la fiche 55 (la vulnérabilité place en situation d’inégalité réelle), assumée jusqu’à la rupture en fiche 56.</w:t>
      </w:r>
    </w:p>
    <w:p>
      <w:pPr>
        <w:spacing w:after="40" w:before="120"/>
      </w:pPr>
      <w:r>
        <w:rPr>
          <w:rFonts w:ascii="Cambria" w:cs="Cambria" w:eastAsia="Cambria" w:hAnsi="Cambria"/>
          <w:b/>
          <w:bCs/>
          <w:color w:val="1F3864"/>
          <w:sz w:val="20"/>
          <w:szCs w:val="20"/>
        </w:rPr>
        <w:t xml:space="preserve">Numérique et intelligence artificielle</w:t>
      </w:r>
    </w:p>
    <w:p>
      <w:pPr>
        <w:spacing w:after="30" w:before="0" w:line="264"/>
        <w:ind w:left="200"/>
        <w:jc w:val="both"/>
      </w:pPr>
      <w:r>
        <w:rPr>
          <w:rFonts w:ascii="Calibri" w:cs="Calibri" w:eastAsia="Calibri" w:hAnsi="Calibri"/>
          <w:color w:val="1A1A1A"/>
          <w:sz w:val="18"/>
          <w:szCs w:val="18"/>
        </w:rPr>
        <w:t xml:space="preserve">Annoncé dès les débats sur les notions et les neurodroits (1), il traverse la vie privée et l’espace numérique (33), la protection des données et le règlement sur l’IA (35), la digitalisation de l’expression (37), les biais algorithmiques comme discrimination (54) et le débiaisement (56).</w:t>
      </w:r>
    </w:p>
    <w:sectPr>
      <w:footerReference w:type="default" r:id="rId7"/>
      <w:pgSz w:w="11906" w:h="16838" w:orient="portrait"/>
      <w:pgMar w:top="1152" w:right="1224" w:bottom="1080"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libri" w:cs="Calibri" w:eastAsia="Calibri" w:hAnsi="Calibri"/>
        <w:color w:val="8C8C8C"/>
        <w:sz w:val="14"/>
        <w:szCs w:val="14"/>
      </w:rPr>
      <w:t xml:space="preserve">Libertés publiques et droits fondamentaux — carte du fascicule  ·  </w:t>
    </w:r>
    <w:r>
      <w:rPr>
        <w:rFonts w:ascii="Calibri" w:cs="Calibri" w:eastAsia="Calibri" w:hAnsi="Calibri"/>
        <w:color w:val="8C8C8C"/>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Libertés publiques et droits fondamentaux — Carte du fascicule</dc:title>
  <dc:creator>Roi Thomas — préparation CRFPA</dc:creator>
  <cp:lastModifiedBy>Un-named</cp:lastModifiedBy>
  <cp:revision>1</cp:revision>
  <dcterms:created xsi:type="dcterms:W3CDTF">2026-09-21T10:10:59.942Z</dcterms:created>
  <dcterms:modified xsi:type="dcterms:W3CDTF">2026-09-21T10:10:59.942Z</dcterms:modified>
</cp:coreProperties>
</file>

<file path=docProps/custom.xml><?xml version="1.0" encoding="utf-8"?>
<Properties xmlns="http://schemas.openxmlformats.org/officeDocument/2006/custom-properties" xmlns:vt="http://schemas.openxmlformats.org/officeDocument/2006/docPropsVTypes"/>
</file>