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89B53" w14:textId="77777777" w:rsidR="002F5D69" w:rsidRDefault="00000000">
      <w:pPr>
        <w:spacing w:after="30"/>
      </w:pPr>
      <w:r>
        <w:rPr>
          <w:b/>
          <w:bCs/>
          <w:color w:val="2E5A88"/>
          <w:spacing w:val="50"/>
          <w:sz w:val="17"/>
          <w:szCs w:val="17"/>
        </w:rPr>
        <w:t>CRFPA 2026 — GRAND ORAL</w:t>
      </w:r>
    </w:p>
    <w:p w14:paraId="26CB7BB2" w14:textId="77777777" w:rsidR="002F5D69" w:rsidRDefault="00000000">
      <w:pPr>
        <w:spacing w:after="60"/>
      </w:pPr>
      <w:r>
        <w:rPr>
          <w:rFonts w:ascii="Cambria" w:eastAsia="Cambria" w:hAnsi="Cambria" w:cs="Cambria"/>
          <w:b/>
          <w:bCs/>
          <w:color w:val="1F3864"/>
          <w:sz w:val="40"/>
          <w:szCs w:val="40"/>
        </w:rPr>
        <w:t>Libertés publiques et droits fondamentaux</w:t>
      </w:r>
    </w:p>
    <w:p w14:paraId="67552C82" w14:textId="77777777" w:rsidR="002F5D69" w:rsidRDefault="00000000">
      <w:pPr>
        <w:pBdr>
          <w:bottom w:val="single" w:sz="10" w:space="0" w:color="C7D2E0"/>
        </w:pBdr>
        <w:spacing w:after="130"/>
      </w:pPr>
      <w:r>
        <w:rPr>
          <w:rFonts w:ascii="Cambria" w:eastAsia="Cambria" w:hAnsi="Cambria" w:cs="Cambria"/>
          <w:i/>
          <w:iCs/>
          <w:color w:val="5A5A5A"/>
          <w:sz w:val="21"/>
          <w:szCs w:val="21"/>
        </w:rPr>
        <w:t>Carte express du fascicule — 8 parties, 56 fiches, 606 pages</w:t>
      </w:r>
    </w:p>
    <w:p w14:paraId="4999770E" w14:textId="77777777" w:rsidR="002F5D69" w:rsidRDefault="00000000">
      <w:pPr>
        <w:spacing w:after="80" w:line="250" w:lineRule="auto"/>
        <w:jc w:val="both"/>
      </w:pPr>
      <w:r>
        <w:t>Ce document n’est pas un résumé du cours : c’est sa carte, réduite à l’essentiel. Pour chaque fiche, une phrase sur ce qu’elle fait, sa charpente en titres de premier niveau, et deux ou trois ancrages. Les pages renvoient au fascicule. Rien n’a été ajouté qui n’y figure.</w:t>
      </w:r>
    </w:p>
    <w:p w14:paraId="1F792948" w14:textId="77777777" w:rsidR="002F5D69" w:rsidRDefault="00000000">
      <w:pPr>
        <w:spacing w:before="130" w:after="70"/>
      </w:pPr>
      <w:r>
        <w:rPr>
          <w:rFonts w:ascii="Cambria" w:eastAsia="Cambria" w:hAnsi="Cambria" w:cs="Cambria"/>
          <w:b/>
          <w:bCs/>
          <w:color w:val="1F3864"/>
          <w:sz w:val="24"/>
          <w:szCs w:val="24"/>
        </w:rPr>
        <w:t>La logique d’ensemble</w:t>
      </w:r>
    </w:p>
    <w:p w14:paraId="063176CB" w14:textId="77777777" w:rsidR="002F5D69" w:rsidRDefault="00000000">
      <w:pPr>
        <w:spacing w:after="120" w:line="250" w:lineRule="auto"/>
        <w:jc w:val="both"/>
      </w:pPr>
      <w:r>
        <w:t>Le fascicule se lit en trois temps, puis un catalogue. Le cadre (partie I) donne les notions et la mécanique. Les sources (II et III) répondent à « d’où vient le droit invoqué ». Les mécanismes (IV et V) répondent à « qui le fait respecter ». Le catalogue (VI à VIII) fournit la matière. Autrement dit : la technique de raisonnement tient dans le premier tiers, les trois quarts du volume sont dans le catalogue.</w:t>
      </w:r>
    </w:p>
    <w:tbl>
      <w:tblPr>
        <w:tblW w:w="9498" w:type="dxa"/>
        <w:tblBorders>
          <w:top w:val="single" w:sz="4" w:space="0" w:color="C7D2E0"/>
          <w:left w:val="none" w:sz="0" w:space="0" w:color="FFFFFF"/>
          <w:bottom w:val="single" w:sz="4" w:space="0" w:color="C7D2E0"/>
          <w:right w:val="none" w:sz="0" w:space="0" w:color="FFFFFF"/>
          <w:insideH w:val="single" w:sz="2" w:space="0" w:color="C7D2E0"/>
          <w:insideV w:val="none" w:sz="0" w:space="0" w:color="FFFFFF"/>
        </w:tblBorders>
        <w:tblCellMar>
          <w:left w:w="10" w:type="dxa"/>
          <w:right w:w="10" w:type="dxa"/>
        </w:tblCellMar>
        <w:tblLook w:val="0000" w:firstRow="0" w:lastRow="0" w:firstColumn="0" w:lastColumn="0" w:noHBand="0" w:noVBand="0"/>
      </w:tblPr>
      <w:tblGrid>
        <w:gridCol w:w="800"/>
        <w:gridCol w:w="4700"/>
        <w:gridCol w:w="1250"/>
        <w:gridCol w:w="2748"/>
      </w:tblGrid>
      <w:tr w:rsidR="002F5D69" w14:paraId="1D138AD1" w14:textId="77777777" w:rsidTr="00907925">
        <w:tblPrEx>
          <w:tblCellMar>
            <w:top w:w="0" w:type="dxa"/>
            <w:bottom w:w="0" w:type="dxa"/>
          </w:tblCellMar>
        </w:tblPrEx>
        <w:trPr>
          <w:tblHeader/>
        </w:trPr>
        <w:tc>
          <w:tcPr>
            <w:tcW w:w="800" w:type="dxa"/>
            <w:shd w:val="clear" w:color="auto" w:fill="1F3864"/>
            <w:tcMar>
              <w:top w:w="45" w:type="dxa"/>
              <w:left w:w="100" w:type="dxa"/>
              <w:bottom w:w="45" w:type="dxa"/>
              <w:right w:w="100" w:type="dxa"/>
            </w:tcMar>
          </w:tcPr>
          <w:p w14:paraId="32A6EFBC" w14:textId="77777777" w:rsidR="002F5D69" w:rsidRDefault="00000000">
            <w:pPr>
              <w:jc w:val="center"/>
            </w:pPr>
            <w:r>
              <w:rPr>
                <w:b/>
                <w:bCs/>
                <w:color w:val="FFFFFF"/>
                <w:sz w:val="17"/>
                <w:szCs w:val="17"/>
              </w:rPr>
              <w:t>Partie</w:t>
            </w:r>
          </w:p>
        </w:tc>
        <w:tc>
          <w:tcPr>
            <w:tcW w:w="4700" w:type="dxa"/>
            <w:shd w:val="clear" w:color="auto" w:fill="1F3864"/>
            <w:tcMar>
              <w:top w:w="45" w:type="dxa"/>
              <w:left w:w="100" w:type="dxa"/>
              <w:bottom w:w="45" w:type="dxa"/>
              <w:right w:w="100" w:type="dxa"/>
            </w:tcMar>
          </w:tcPr>
          <w:p w14:paraId="4947DCA8" w14:textId="77777777" w:rsidR="002F5D69" w:rsidRDefault="00000000">
            <w:r>
              <w:rPr>
                <w:b/>
                <w:bCs/>
                <w:color w:val="FFFFFF"/>
                <w:sz w:val="17"/>
                <w:szCs w:val="17"/>
              </w:rPr>
              <w:t>Intitulé</w:t>
            </w:r>
          </w:p>
        </w:tc>
        <w:tc>
          <w:tcPr>
            <w:tcW w:w="1250" w:type="dxa"/>
            <w:shd w:val="clear" w:color="auto" w:fill="1F3864"/>
            <w:tcMar>
              <w:top w:w="45" w:type="dxa"/>
              <w:left w:w="100" w:type="dxa"/>
              <w:bottom w:w="45" w:type="dxa"/>
              <w:right w:w="100" w:type="dxa"/>
            </w:tcMar>
          </w:tcPr>
          <w:p w14:paraId="64E8FF4E" w14:textId="77777777" w:rsidR="002F5D69" w:rsidRDefault="00000000">
            <w:pPr>
              <w:jc w:val="center"/>
            </w:pPr>
            <w:r>
              <w:rPr>
                <w:b/>
                <w:bCs/>
                <w:color w:val="FFFFFF"/>
                <w:sz w:val="17"/>
                <w:szCs w:val="17"/>
              </w:rPr>
              <w:t>Fiches</w:t>
            </w:r>
          </w:p>
        </w:tc>
        <w:tc>
          <w:tcPr>
            <w:tcW w:w="2748" w:type="dxa"/>
            <w:shd w:val="clear" w:color="auto" w:fill="1F3864"/>
            <w:tcMar>
              <w:top w:w="45" w:type="dxa"/>
              <w:left w:w="100" w:type="dxa"/>
              <w:bottom w:w="45" w:type="dxa"/>
              <w:right w:w="100" w:type="dxa"/>
            </w:tcMar>
          </w:tcPr>
          <w:p w14:paraId="59975137" w14:textId="77777777" w:rsidR="002F5D69" w:rsidRDefault="00000000">
            <w:pPr>
              <w:jc w:val="center"/>
            </w:pPr>
            <w:r>
              <w:rPr>
                <w:b/>
                <w:bCs/>
                <w:color w:val="FFFFFF"/>
                <w:sz w:val="17"/>
                <w:szCs w:val="17"/>
              </w:rPr>
              <w:t>Pages</w:t>
            </w:r>
          </w:p>
        </w:tc>
      </w:tr>
      <w:tr w:rsidR="002F5D69" w14:paraId="56A90BEF" w14:textId="77777777" w:rsidTr="00907925">
        <w:tblPrEx>
          <w:tblCellMar>
            <w:top w:w="0" w:type="dxa"/>
            <w:bottom w:w="0" w:type="dxa"/>
          </w:tblCellMar>
        </w:tblPrEx>
        <w:tc>
          <w:tcPr>
            <w:tcW w:w="800" w:type="dxa"/>
            <w:tcMar>
              <w:top w:w="45" w:type="dxa"/>
              <w:left w:w="100" w:type="dxa"/>
              <w:bottom w:w="45" w:type="dxa"/>
              <w:right w:w="100" w:type="dxa"/>
            </w:tcMar>
          </w:tcPr>
          <w:p w14:paraId="11C1339E" w14:textId="77777777" w:rsidR="002F5D69" w:rsidRDefault="00000000">
            <w:pPr>
              <w:jc w:val="center"/>
            </w:pPr>
            <w:r>
              <w:rPr>
                <w:b/>
                <w:bCs/>
                <w:color w:val="1F3864"/>
                <w:sz w:val="17"/>
                <w:szCs w:val="17"/>
              </w:rPr>
              <w:t>I</w:t>
            </w:r>
          </w:p>
        </w:tc>
        <w:tc>
          <w:tcPr>
            <w:tcW w:w="4700" w:type="dxa"/>
            <w:tcMar>
              <w:top w:w="45" w:type="dxa"/>
              <w:left w:w="100" w:type="dxa"/>
              <w:bottom w:w="45" w:type="dxa"/>
              <w:right w:w="100" w:type="dxa"/>
            </w:tcMar>
          </w:tcPr>
          <w:p w14:paraId="3BE5F703" w14:textId="77777777" w:rsidR="002F5D69" w:rsidRDefault="00000000">
            <w:r>
              <w:rPr>
                <w:color w:val="1A1A1A"/>
                <w:sz w:val="17"/>
                <w:szCs w:val="17"/>
              </w:rPr>
              <w:t>Éléments introductifs</w:t>
            </w:r>
          </w:p>
        </w:tc>
        <w:tc>
          <w:tcPr>
            <w:tcW w:w="1250" w:type="dxa"/>
            <w:tcMar>
              <w:top w:w="45" w:type="dxa"/>
              <w:left w:w="100" w:type="dxa"/>
              <w:bottom w:w="45" w:type="dxa"/>
              <w:right w:w="100" w:type="dxa"/>
            </w:tcMar>
          </w:tcPr>
          <w:p w14:paraId="0041F3ED" w14:textId="77777777" w:rsidR="002F5D69" w:rsidRDefault="00000000">
            <w:pPr>
              <w:jc w:val="center"/>
            </w:pPr>
            <w:r>
              <w:rPr>
                <w:color w:val="1A1A1A"/>
                <w:sz w:val="17"/>
                <w:szCs w:val="17"/>
              </w:rPr>
              <w:t>1 à 8</w:t>
            </w:r>
          </w:p>
        </w:tc>
        <w:tc>
          <w:tcPr>
            <w:tcW w:w="2748" w:type="dxa"/>
            <w:tcMar>
              <w:top w:w="45" w:type="dxa"/>
              <w:left w:w="100" w:type="dxa"/>
              <w:bottom w:w="45" w:type="dxa"/>
              <w:right w:w="100" w:type="dxa"/>
            </w:tcMar>
          </w:tcPr>
          <w:p w14:paraId="7D3789A9" w14:textId="77777777" w:rsidR="002F5D69" w:rsidRDefault="00000000">
            <w:pPr>
              <w:jc w:val="center"/>
            </w:pPr>
            <w:r>
              <w:rPr>
                <w:color w:val="1A1A1A"/>
                <w:sz w:val="17"/>
                <w:szCs w:val="17"/>
              </w:rPr>
              <w:t>4 – 81</w:t>
            </w:r>
          </w:p>
        </w:tc>
      </w:tr>
      <w:tr w:rsidR="002F5D69" w14:paraId="04157250" w14:textId="77777777" w:rsidTr="00907925">
        <w:tblPrEx>
          <w:tblCellMar>
            <w:top w:w="0" w:type="dxa"/>
            <w:bottom w:w="0" w:type="dxa"/>
          </w:tblCellMar>
        </w:tblPrEx>
        <w:tc>
          <w:tcPr>
            <w:tcW w:w="800" w:type="dxa"/>
            <w:shd w:val="clear" w:color="auto" w:fill="EDF1F7"/>
            <w:tcMar>
              <w:top w:w="45" w:type="dxa"/>
              <w:left w:w="100" w:type="dxa"/>
              <w:bottom w:w="45" w:type="dxa"/>
              <w:right w:w="100" w:type="dxa"/>
            </w:tcMar>
          </w:tcPr>
          <w:p w14:paraId="2E3BBB7F" w14:textId="77777777" w:rsidR="002F5D69" w:rsidRDefault="00000000">
            <w:pPr>
              <w:jc w:val="center"/>
            </w:pPr>
            <w:r>
              <w:rPr>
                <w:b/>
                <w:bCs/>
                <w:color w:val="1F3864"/>
                <w:sz w:val="17"/>
                <w:szCs w:val="17"/>
              </w:rPr>
              <w:t>II</w:t>
            </w:r>
          </w:p>
        </w:tc>
        <w:tc>
          <w:tcPr>
            <w:tcW w:w="4700" w:type="dxa"/>
            <w:shd w:val="clear" w:color="auto" w:fill="EDF1F7"/>
            <w:tcMar>
              <w:top w:w="45" w:type="dxa"/>
              <w:left w:w="100" w:type="dxa"/>
              <w:bottom w:w="45" w:type="dxa"/>
              <w:right w:w="100" w:type="dxa"/>
            </w:tcMar>
          </w:tcPr>
          <w:p w14:paraId="4494D1A6" w14:textId="77777777" w:rsidR="002F5D69" w:rsidRDefault="00000000">
            <w:r>
              <w:rPr>
                <w:color w:val="1A1A1A"/>
                <w:sz w:val="17"/>
                <w:szCs w:val="17"/>
              </w:rPr>
              <w:t>Les sources internes</w:t>
            </w:r>
          </w:p>
        </w:tc>
        <w:tc>
          <w:tcPr>
            <w:tcW w:w="1250" w:type="dxa"/>
            <w:shd w:val="clear" w:color="auto" w:fill="EDF1F7"/>
            <w:tcMar>
              <w:top w:w="45" w:type="dxa"/>
              <w:left w:w="100" w:type="dxa"/>
              <w:bottom w:w="45" w:type="dxa"/>
              <w:right w:w="100" w:type="dxa"/>
            </w:tcMar>
          </w:tcPr>
          <w:p w14:paraId="1C3BB755" w14:textId="77777777" w:rsidR="002F5D69" w:rsidRDefault="00000000">
            <w:pPr>
              <w:jc w:val="center"/>
            </w:pPr>
            <w:r>
              <w:rPr>
                <w:color w:val="1A1A1A"/>
                <w:sz w:val="17"/>
                <w:szCs w:val="17"/>
              </w:rPr>
              <w:t>9 à 11</w:t>
            </w:r>
          </w:p>
        </w:tc>
        <w:tc>
          <w:tcPr>
            <w:tcW w:w="2748" w:type="dxa"/>
            <w:shd w:val="clear" w:color="auto" w:fill="EDF1F7"/>
            <w:tcMar>
              <w:top w:w="45" w:type="dxa"/>
              <w:left w:w="100" w:type="dxa"/>
              <w:bottom w:w="45" w:type="dxa"/>
              <w:right w:w="100" w:type="dxa"/>
            </w:tcMar>
          </w:tcPr>
          <w:p w14:paraId="39F4EC2E" w14:textId="77777777" w:rsidR="002F5D69" w:rsidRDefault="00000000">
            <w:pPr>
              <w:jc w:val="center"/>
            </w:pPr>
            <w:r>
              <w:rPr>
                <w:color w:val="1A1A1A"/>
                <w:sz w:val="17"/>
                <w:szCs w:val="17"/>
              </w:rPr>
              <w:t>82 – 114</w:t>
            </w:r>
          </w:p>
        </w:tc>
      </w:tr>
      <w:tr w:rsidR="002F5D69" w14:paraId="682335D4" w14:textId="77777777" w:rsidTr="00907925">
        <w:tblPrEx>
          <w:tblCellMar>
            <w:top w:w="0" w:type="dxa"/>
            <w:bottom w:w="0" w:type="dxa"/>
          </w:tblCellMar>
        </w:tblPrEx>
        <w:tc>
          <w:tcPr>
            <w:tcW w:w="800" w:type="dxa"/>
            <w:tcMar>
              <w:top w:w="45" w:type="dxa"/>
              <w:left w:w="100" w:type="dxa"/>
              <w:bottom w:w="45" w:type="dxa"/>
              <w:right w:w="100" w:type="dxa"/>
            </w:tcMar>
          </w:tcPr>
          <w:p w14:paraId="45CF131F" w14:textId="77777777" w:rsidR="002F5D69" w:rsidRDefault="00000000">
            <w:pPr>
              <w:jc w:val="center"/>
            </w:pPr>
            <w:r>
              <w:rPr>
                <w:b/>
                <w:bCs/>
                <w:color w:val="1F3864"/>
                <w:sz w:val="17"/>
                <w:szCs w:val="17"/>
              </w:rPr>
              <w:t>III</w:t>
            </w:r>
          </w:p>
        </w:tc>
        <w:tc>
          <w:tcPr>
            <w:tcW w:w="4700" w:type="dxa"/>
            <w:tcMar>
              <w:top w:w="45" w:type="dxa"/>
              <w:left w:w="100" w:type="dxa"/>
              <w:bottom w:w="45" w:type="dxa"/>
              <w:right w:w="100" w:type="dxa"/>
            </w:tcMar>
          </w:tcPr>
          <w:p w14:paraId="341D5E9C" w14:textId="77777777" w:rsidR="002F5D69" w:rsidRDefault="00000000">
            <w:r>
              <w:rPr>
                <w:color w:val="1A1A1A"/>
                <w:sz w:val="17"/>
                <w:szCs w:val="17"/>
              </w:rPr>
              <w:t>Les sources externes</w:t>
            </w:r>
          </w:p>
        </w:tc>
        <w:tc>
          <w:tcPr>
            <w:tcW w:w="1250" w:type="dxa"/>
            <w:tcMar>
              <w:top w:w="45" w:type="dxa"/>
              <w:left w:w="100" w:type="dxa"/>
              <w:bottom w:w="45" w:type="dxa"/>
              <w:right w:w="100" w:type="dxa"/>
            </w:tcMar>
          </w:tcPr>
          <w:p w14:paraId="65C3520C" w14:textId="77777777" w:rsidR="002F5D69" w:rsidRDefault="00000000">
            <w:pPr>
              <w:jc w:val="center"/>
            </w:pPr>
            <w:r>
              <w:rPr>
                <w:color w:val="1A1A1A"/>
                <w:sz w:val="17"/>
                <w:szCs w:val="17"/>
              </w:rPr>
              <w:t>12 à 15</w:t>
            </w:r>
          </w:p>
        </w:tc>
        <w:tc>
          <w:tcPr>
            <w:tcW w:w="2748" w:type="dxa"/>
            <w:tcMar>
              <w:top w:w="45" w:type="dxa"/>
              <w:left w:w="100" w:type="dxa"/>
              <w:bottom w:w="45" w:type="dxa"/>
              <w:right w:w="100" w:type="dxa"/>
            </w:tcMar>
          </w:tcPr>
          <w:p w14:paraId="112F8C3A" w14:textId="77777777" w:rsidR="002F5D69" w:rsidRDefault="00000000">
            <w:pPr>
              <w:jc w:val="center"/>
            </w:pPr>
            <w:r>
              <w:rPr>
                <w:color w:val="1A1A1A"/>
                <w:sz w:val="17"/>
                <w:szCs w:val="17"/>
              </w:rPr>
              <w:t>115 – 152</w:t>
            </w:r>
          </w:p>
        </w:tc>
      </w:tr>
      <w:tr w:rsidR="002F5D69" w14:paraId="237106DE" w14:textId="77777777" w:rsidTr="00907925">
        <w:tblPrEx>
          <w:tblCellMar>
            <w:top w:w="0" w:type="dxa"/>
            <w:bottom w:w="0" w:type="dxa"/>
          </w:tblCellMar>
        </w:tblPrEx>
        <w:tc>
          <w:tcPr>
            <w:tcW w:w="800" w:type="dxa"/>
            <w:shd w:val="clear" w:color="auto" w:fill="EDF1F7"/>
            <w:tcMar>
              <w:top w:w="45" w:type="dxa"/>
              <w:left w:w="100" w:type="dxa"/>
              <w:bottom w:w="45" w:type="dxa"/>
              <w:right w:w="100" w:type="dxa"/>
            </w:tcMar>
          </w:tcPr>
          <w:p w14:paraId="29D4FF07" w14:textId="77777777" w:rsidR="002F5D69" w:rsidRDefault="00000000">
            <w:pPr>
              <w:jc w:val="center"/>
            </w:pPr>
            <w:r>
              <w:rPr>
                <w:b/>
                <w:bCs/>
                <w:color w:val="1F3864"/>
                <w:sz w:val="17"/>
                <w:szCs w:val="17"/>
              </w:rPr>
              <w:t>IV</w:t>
            </w:r>
          </w:p>
        </w:tc>
        <w:tc>
          <w:tcPr>
            <w:tcW w:w="4700" w:type="dxa"/>
            <w:shd w:val="clear" w:color="auto" w:fill="EDF1F7"/>
            <w:tcMar>
              <w:top w:w="45" w:type="dxa"/>
              <w:left w:w="100" w:type="dxa"/>
              <w:bottom w:w="45" w:type="dxa"/>
              <w:right w:w="100" w:type="dxa"/>
            </w:tcMar>
          </w:tcPr>
          <w:p w14:paraId="6B48706E" w14:textId="77777777" w:rsidR="002F5D69" w:rsidRDefault="00000000">
            <w:r>
              <w:rPr>
                <w:color w:val="1A1A1A"/>
                <w:sz w:val="17"/>
                <w:szCs w:val="17"/>
              </w:rPr>
              <w:t>Les mécanismes internes de protection</w:t>
            </w:r>
          </w:p>
        </w:tc>
        <w:tc>
          <w:tcPr>
            <w:tcW w:w="1250" w:type="dxa"/>
            <w:shd w:val="clear" w:color="auto" w:fill="EDF1F7"/>
            <w:tcMar>
              <w:top w:w="45" w:type="dxa"/>
              <w:left w:w="100" w:type="dxa"/>
              <w:bottom w:w="45" w:type="dxa"/>
              <w:right w:w="100" w:type="dxa"/>
            </w:tcMar>
          </w:tcPr>
          <w:p w14:paraId="550E1157" w14:textId="77777777" w:rsidR="002F5D69" w:rsidRDefault="00000000">
            <w:pPr>
              <w:jc w:val="center"/>
            </w:pPr>
            <w:r>
              <w:rPr>
                <w:color w:val="1A1A1A"/>
                <w:sz w:val="17"/>
                <w:szCs w:val="17"/>
              </w:rPr>
              <w:t>16 à 20</w:t>
            </w:r>
          </w:p>
        </w:tc>
        <w:tc>
          <w:tcPr>
            <w:tcW w:w="2748" w:type="dxa"/>
            <w:shd w:val="clear" w:color="auto" w:fill="EDF1F7"/>
            <w:tcMar>
              <w:top w:w="45" w:type="dxa"/>
              <w:left w:w="100" w:type="dxa"/>
              <w:bottom w:w="45" w:type="dxa"/>
              <w:right w:w="100" w:type="dxa"/>
            </w:tcMar>
          </w:tcPr>
          <w:p w14:paraId="17BC074E" w14:textId="77777777" w:rsidR="002F5D69" w:rsidRDefault="00000000">
            <w:pPr>
              <w:jc w:val="center"/>
            </w:pPr>
            <w:r>
              <w:rPr>
                <w:color w:val="1A1A1A"/>
                <w:sz w:val="17"/>
                <w:szCs w:val="17"/>
              </w:rPr>
              <w:t>153 – 207</w:t>
            </w:r>
          </w:p>
        </w:tc>
      </w:tr>
      <w:tr w:rsidR="002F5D69" w14:paraId="05E3B08A" w14:textId="77777777" w:rsidTr="00907925">
        <w:tblPrEx>
          <w:tblCellMar>
            <w:top w:w="0" w:type="dxa"/>
            <w:bottom w:w="0" w:type="dxa"/>
          </w:tblCellMar>
        </w:tblPrEx>
        <w:tc>
          <w:tcPr>
            <w:tcW w:w="800" w:type="dxa"/>
            <w:tcMar>
              <w:top w:w="45" w:type="dxa"/>
              <w:left w:w="100" w:type="dxa"/>
              <w:bottom w:w="45" w:type="dxa"/>
              <w:right w:w="100" w:type="dxa"/>
            </w:tcMar>
          </w:tcPr>
          <w:p w14:paraId="422129B9" w14:textId="77777777" w:rsidR="002F5D69" w:rsidRDefault="00000000">
            <w:pPr>
              <w:jc w:val="center"/>
            </w:pPr>
            <w:r>
              <w:rPr>
                <w:b/>
                <w:bCs/>
                <w:color w:val="1F3864"/>
                <w:sz w:val="17"/>
                <w:szCs w:val="17"/>
              </w:rPr>
              <w:t>V</w:t>
            </w:r>
          </w:p>
        </w:tc>
        <w:tc>
          <w:tcPr>
            <w:tcW w:w="4700" w:type="dxa"/>
            <w:tcMar>
              <w:top w:w="45" w:type="dxa"/>
              <w:left w:w="100" w:type="dxa"/>
              <w:bottom w:w="45" w:type="dxa"/>
              <w:right w:w="100" w:type="dxa"/>
            </w:tcMar>
          </w:tcPr>
          <w:p w14:paraId="0D4A6518" w14:textId="77777777" w:rsidR="002F5D69" w:rsidRDefault="00000000">
            <w:r>
              <w:rPr>
                <w:color w:val="1A1A1A"/>
                <w:sz w:val="17"/>
                <w:szCs w:val="17"/>
              </w:rPr>
              <w:t>Les mécanismes internationaux et européens de protection</w:t>
            </w:r>
          </w:p>
        </w:tc>
        <w:tc>
          <w:tcPr>
            <w:tcW w:w="1250" w:type="dxa"/>
            <w:tcMar>
              <w:top w:w="45" w:type="dxa"/>
              <w:left w:w="100" w:type="dxa"/>
              <w:bottom w:w="45" w:type="dxa"/>
              <w:right w:w="100" w:type="dxa"/>
            </w:tcMar>
          </w:tcPr>
          <w:p w14:paraId="7A14F6BF" w14:textId="77777777" w:rsidR="002F5D69" w:rsidRDefault="00000000">
            <w:pPr>
              <w:jc w:val="center"/>
            </w:pPr>
            <w:r>
              <w:rPr>
                <w:color w:val="1A1A1A"/>
                <w:sz w:val="17"/>
                <w:szCs w:val="17"/>
              </w:rPr>
              <w:t>21 à 25</w:t>
            </w:r>
          </w:p>
        </w:tc>
        <w:tc>
          <w:tcPr>
            <w:tcW w:w="2748" w:type="dxa"/>
            <w:tcMar>
              <w:top w:w="45" w:type="dxa"/>
              <w:left w:w="100" w:type="dxa"/>
              <w:bottom w:w="45" w:type="dxa"/>
              <w:right w:w="100" w:type="dxa"/>
            </w:tcMar>
          </w:tcPr>
          <w:p w14:paraId="114B03F6" w14:textId="77777777" w:rsidR="002F5D69" w:rsidRDefault="00000000">
            <w:pPr>
              <w:jc w:val="center"/>
            </w:pPr>
            <w:r>
              <w:rPr>
                <w:color w:val="1A1A1A"/>
                <w:sz w:val="17"/>
                <w:szCs w:val="17"/>
              </w:rPr>
              <w:t>208 – 253</w:t>
            </w:r>
          </w:p>
        </w:tc>
      </w:tr>
      <w:tr w:rsidR="002F5D69" w14:paraId="3B87491F" w14:textId="77777777" w:rsidTr="00907925">
        <w:tblPrEx>
          <w:tblCellMar>
            <w:top w:w="0" w:type="dxa"/>
            <w:bottom w:w="0" w:type="dxa"/>
          </w:tblCellMar>
        </w:tblPrEx>
        <w:tc>
          <w:tcPr>
            <w:tcW w:w="800" w:type="dxa"/>
            <w:shd w:val="clear" w:color="auto" w:fill="EDF1F7"/>
            <w:tcMar>
              <w:top w:w="45" w:type="dxa"/>
              <w:left w:w="100" w:type="dxa"/>
              <w:bottom w:w="45" w:type="dxa"/>
              <w:right w:w="100" w:type="dxa"/>
            </w:tcMar>
          </w:tcPr>
          <w:p w14:paraId="0AF84C24" w14:textId="77777777" w:rsidR="002F5D69" w:rsidRDefault="00000000">
            <w:pPr>
              <w:jc w:val="center"/>
            </w:pPr>
            <w:r>
              <w:rPr>
                <w:b/>
                <w:bCs/>
                <w:color w:val="1F3864"/>
                <w:sz w:val="17"/>
                <w:szCs w:val="17"/>
              </w:rPr>
              <w:t>VI</w:t>
            </w:r>
          </w:p>
        </w:tc>
        <w:tc>
          <w:tcPr>
            <w:tcW w:w="4700" w:type="dxa"/>
            <w:shd w:val="clear" w:color="auto" w:fill="EDF1F7"/>
            <w:tcMar>
              <w:top w:w="45" w:type="dxa"/>
              <w:left w:w="100" w:type="dxa"/>
              <w:bottom w:w="45" w:type="dxa"/>
              <w:right w:w="100" w:type="dxa"/>
            </w:tcMar>
          </w:tcPr>
          <w:p w14:paraId="728DC8C8" w14:textId="77777777" w:rsidR="002F5D69" w:rsidRDefault="00000000">
            <w:r>
              <w:rPr>
                <w:color w:val="1A1A1A"/>
                <w:sz w:val="17"/>
                <w:szCs w:val="17"/>
              </w:rPr>
              <w:t>Les droits civils et politiques</w:t>
            </w:r>
          </w:p>
        </w:tc>
        <w:tc>
          <w:tcPr>
            <w:tcW w:w="1250" w:type="dxa"/>
            <w:shd w:val="clear" w:color="auto" w:fill="EDF1F7"/>
            <w:tcMar>
              <w:top w:w="45" w:type="dxa"/>
              <w:left w:w="100" w:type="dxa"/>
              <w:bottom w:w="45" w:type="dxa"/>
              <w:right w:w="100" w:type="dxa"/>
            </w:tcMar>
          </w:tcPr>
          <w:p w14:paraId="445C9A57" w14:textId="77777777" w:rsidR="002F5D69" w:rsidRDefault="00000000">
            <w:pPr>
              <w:jc w:val="center"/>
            </w:pPr>
            <w:r>
              <w:rPr>
                <w:color w:val="1A1A1A"/>
                <w:sz w:val="17"/>
                <w:szCs w:val="17"/>
              </w:rPr>
              <w:t>26 à 44</w:t>
            </w:r>
          </w:p>
        </w:tc>
        <w:tc>
          <w:tcPr>
            <w:tcW w:w="2748" w:type="dxa"/>
            <w:shd w:val="clear" w:color="auto" w:fill="EDF1F7"/>
            <w:tcMar>
              <w:top w:w="45" w:type="dxa"/>
              <w:left w:w="100" w:type="dxa"/>
              <w:bottom w:w="45" w:type="dxa"/>
              <w:right w:w="100" w:type="dxa"/>
            </w:tcMar>
          </w:tcPr>
          <w:p w14:paraId="2F99D4D9" w14:textId="77777777" w:rsidR="002F5D69" w:rsidRDefault="00000000">
            <w:pPr>
              <w:jc w:val="center"/>
            </w:pPr>
            <w:r>
              <w:rPr>
                <w:color w:val="1A1A1A"/>
                <w:sz w:val="17"/>
                <w:szCs w:val="17"/>
              </w:rPr>
              <w:t>254 – 466</w:t>
            </w:r>
          </w:p>
        </w:tc>
      </w:tr>
      <w:tr w:rsidR="002F5D69" w14:paraId="32D97F25" w14:textId="77777777" w:rsidTr="00907925">
        <w:tblPrEx>
          <w:tblCellMar>
            <w:top w:w="0" w:type="dxa"/>
            <w:bottom w:w="0" w:type="dxa"/>
          </w:tblCellMar>
        </w:tblPrEx>
        <w:tc>
          <w:tcPr>
            <w:tcW w:w="800" w:type="dxa"/>
            <w:tcMar>
              <w:top w:w="45" w:type="dxa"/>
              <w:left w:w="100" w:type="dxa"/>
              <w:bottom w:w="45" w:type="dxa"/>
              <w:right w:w="100" w:type="dxa"/>
            </w:tcMar>
          </w:tcPr>
          <w:p w14:paraId="500CFE41" w14:textId="77777777" w:rsidR="002F5D69" w:rsidRDefault="00000000">
            <w:pPr>
              <w:jc w:val="center"/>
            </w:pPr>
            <w:r>
              <w:rPr>
                <w:b/>
                <w:bCs/>
                <w:color w:val="1F3864"/>
                <w:sz w:val="17"/>
                <w:szCs w:val="17"/>
              </w:rPr>
              <w:t>VII</w:t>
            </w:r>
          </w:p>
        </w:tc>
        <w:tc>
          <w:tcPr>
            <w:tcW w:w="4700" w:type="dxa"/>
            <w:tcMar>
              <w:top w:w="45" w:type="dxa"/>
              <w:left w:w="100" w:type="dxa"/>
              <w:bottom w:w="45" w:type="dxa"/>
              <w:right w:w="100" w:type="dxa"/>
            </w:tcMar>
          </w:tcPr>
          <w:p w14:paraId="1D82F535" w14:textId="77777777" w:rsidR="002F5D69" w:rsidRDefault="00000000">
            <w:r>
              <w:rPr>
                <w:color w:val="1A1A1A"/>
                <w:sz w:val="17"/>
                <w:szCs w:val="17"/>
              </w:rPr>
              <w:t>Les droits économiques, sociaux et culturels</w:t>
            </w:r>
          </w:p>
        </w:tc>
        <w:tc>
          <w:tcPr>
            <w:tcW w:w="1250" w:type="dxa"/>
            <w:tcMar>
              <w:top w:w="45" w:type="dxa"/>
              <w:left w:w="100" w:type="dxa"/>
              <w:bottom w:w="45" w:type="dxa"/>
              <w:right w:w="100" w:type="dxa"/>
            </w:tcMar>
          </w:tcPr>
          <w:p w14:paraId="4405B3D1" w14:textId="77777777" w:rsidR="002F5D69" w:rsidRDefault="00000000">
            <w:pPr>
              <w:jc w:val="center"/>
            </w:pPr>
            <w:r>
              <w:rPr>
                <w:color w:val="1A1A1A"/>
                <w:sz w:val="17"/>
                <w:szCs w:val="17"/>
              </w:rPr>
              <w:t>45 à 53</w:t>
            </w:r>
          </w:p>
        </w:tc>
        <w:tc>
          <w:tcPr>
            <w:tcW w:w="2748" w:type="dxa"/>
            <w:tcMar>
              <w:top w:w="45" w:type="dxa"/>
              <w:left w:w="100" w:type="dxa"/>
              <w:bottom w:w="45" w:type="dxa"/>
              <w:right w:w="100" w:type="dxa"/>
            </w:tcMar>
          </w:tcPr>
          <w:p w14:paraId="29D0304B" w14:textId="77777777" w:rsidR="002F5D69" w:rsidRDefault="00000000">
            <w:pPr>
              <w:jc w:val="center"/>
            </w:pPr>
            <w:r>
              <w:rPr>
                <w:color w:val="1A1A1A"/>
                <w:sz w:val="17"/>
                <w:szCs w:val="17"/>
              </w:rPr>
              <w:t>467 – 545</w:t>
            </w:r>
          </w:p>
        </w:tc>
      </w:tr>
      <w:tr w:rsidR="002F5D69" w14:paraId="1C8E784B" w14:textId="77777777" w:rsidTr="00907925">
        <w:tblPrEx>
          <w:tblCellMar>
            <w:top w:w="0" w:type="dxa"/>
            <w:bottom w:w="0" w:type="dxa"/>
          </w:tblCellMar>
        </w:tblPrEx>
        <w:tc>
          <w:tcPr>
            <w:tcW w:w="800" w:type="dxa"/>
            <w:shd w:val="clear" w:color="auto" w:fill="EDF1F7"/>
            <w:tcMar>
              <w:top w:w="45" w:type="dxa"/>
              <w:left w:w="100" w:type="dxa"/>
              <w:bottom w:w="45" w:type="dxa"/>
              <w:right w:w="100" w:type="dxa"/>
            </w:tcMar>
          </w:tcPr>
          <w:p w14:paraId="5CEF765F" w14:textId="77777777" w:rsidR="002F5D69" w:rsidRDefault="00000000">
            <w:pPr>
              <w:jc w:val="center"/>
            </w:pPr>
            <w:r>
              <w:rPr>
                <w:b/>
                <w:bCs/>
                <w:color w:val="1F3864"/>
                <w:sz w:val="17"/>
                <w:szCs w:val="17"/>
              </w:rPr>
              <w:t>VIII</w:t>
            </w:r>
          </w:p>
        </w:tc>
        <w:tc>
          <w:tcPr>
            <w:tcW w:w="4700" w:type="dxa"/>
            <w:shd w:val="clear" w:color="auto" w:fill="EDF1F7"/>
            <w:tcMar>
              <w:top w:w="45" w:type="dxa"/>
              <w:left w:w="100" w:type="dxa"/>
              <w:bottom w:w="45" w:type="dxa"/>
              <w:right w:w="100" w:type="dxa"/>
            </w:tcMar>
          </w:tcPr>
          <w:p w14:paraId="699D02BC" w14:textId="77777777" w:rsidR="002F5D69" w:rsidRDefault="00000000">
            <w:r>
              <w:rPr>
                <w:color w:val="1A1A1A"/>
                <w:sz w:val="17"/>
                <w:szCs w:val="17"/>
              </w:rPr>
              <w:t>L’égalité et la non-discrimination</w:t>
            </w:r>
          </w:p>
        </w:tc>
        <w:tc>
          <w:tcPr>
            <w:tcW w:w="1250" w:type="dxa"/>
            <w:shd w:val="clear" w:color="auto" w:fill="EDF1F7"/>
            <w:tcMar>
              <w:top w:w="45" w:type="dxa"/>
              <w:left w:w="100" w:type="dxa"/>
              <w:bottom w:w="45" w:type="dxa"/>
              <w:right w:w="100" w:type="dxa"/>
            </w:tcMar>
          </w:tcPr>
          <w:p w14:paraId="477ED989" w14:textId="77777777" w:rsidR="002F5D69" w:rsidRDefault="00000000">
            <w:pPr>
              <w:jc w:val="center"/>
            </w:pPr>
            <w:r>
              <w:rPr>
                <w:color w:val="1A1A1A"/>
                <w:sz w:val="17"/>
                <w:szCs w:val="17"/>
              </w:rPr>
              <w:t>54 à 56</w:t>
            </w:r>
          </w:p>
        </w:tc>
        <w:tc>
          <w:tcPr>
            <w:tcW w:w="2748" w:type="dxa"/>
            <w:shd w:val="clear" w:color="auto" w:fill="EDF1F7"/>
            <w:tcMar>
              <w:top w:w="45" w:type="dxa"/>
              <w:left w:w="100" w:type="dxa"/>
              <w:bottom w:w="45" w:type="dxa"/>
              <w:right w:w="100" w:type="dxa"/>
            </w:tcMar>
          </w:tcPr>
          <w:p w14:paraId="686C448B" w14:textId="77777777" w:rsidR="002F5D69" w:rsidRDefault="00000000">
            <w:pPr>
              <w:jc w:val="center"/>
            </w:pPr>
            <w:r>
              <w:rPr>
                <w:color w:val="1A1A1A"/>
                <w:sz w:val="17"/>
                <w:szCs w:val="17"/>
              </w:rPr>
              <w:t>546 – 580</w:t>
            </w:r>
          </w:p>
        </w:tc>
      </w:tr>
    </w:tbl>
    <w:p w14:paraId="20A98906"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I  ·</w:t>
      </w:r>
      <w:proofErr w:type="gramEnd"/>
      <w:r>
        <w:rPr>
          <w:b/>
          <w:bCs/>
          <w:color w:val="2E5A88"/>
          <w:spacing w:val="30"/>
          <w:sz w:val="17"/>
          <w:szCs w:val="17"/>
        </w:rPr>
        <w:t xml:space="preserve">  </w:t>
      </w:r>
      <w:r>
        <w:rPr>
          <w:rFonts w:ascii="Cambria" w:eastAsia="Cambria" w:hAnsi="Cambria" w:cs="Cambria"/>
          <w:b/>
          <w:bCs/>
          <w:color w:val="1F3864"/>
          <w:sz w:val="25"/>
          <w:szCs w:val="25"/>
        </w:rPr>
        <w:t>Éléments introductifs</w:t>
      </w:r>
    </w:p>
    <w:p w14:paraId="22FA725D" w14:textId="77777777" w:rsidR="002F5D69" w:rsidRDefault="00000000">
      <w:pPr>
        <w:spacing w:before="60" w:after="110"/>
        <w:jc w:val="both"/>
      </w:pPr>
      <w:r>
        <w:rPr>
          <w:i/>
          <w:iCs/>
          <w:color w:val="5A5A5A"/>
        </w:rPr>
        <w:t>Le vocabulaire, la double généalogie, les grilles de rangement, les principes transversaux, puis la mécanique — régimes d’exercice et états d’exception. La partie la plus rentable pour construire une introduction et une problématique.</w:t>
      </w:r>
    </w:p>
    <w:p w14:paraId="7D0222B0" w14:textId="77777777" w:rsidR="002F5D69" w:rsidRDefault="00000000">
      <w:pPr>
        <w:keepNext/>
        <w:spacing w:before="150" w:after="30"/>
      </w:pPr>
      <w:r>
        <w:rPr>
          <w:b/>
          <w:bCs/>
          <w:color w:val="2E5A88"/>
          <w:sz w:val="21"/>
          <w:szCs w:val="21"/>
        </w:rPr>
        <w:t xml:space="preserve">1. </w:t>
      </w:r>
      <w:r>
        <w:rPr>
          <w:rFonts w:ascii="Cambria" w:eastAsia="Cambria" w:hAnsi="Cambria" w:cs="Cambria"/>
          <w:b/>
          <w:bCs/>
          <w:color w:val="1F3864"/>
          <w:sz w:val="21"/>
          <w:szCs w:val="21"/>
        </w:rPr>
        <w:t>Les notions</w:t>
      </w:r>
      <w:r>
        <w:rPr>
          <w:color w:val="6E6E6E"/>
          <w:sz w:val="15"/>
          <w:szCs w:val="15"/>
        </w:rPr>
        <w:t xml:space="preserve">   p. 5</w:t>
      </w:r>
    </w:p>
    <w:p w14:paraId="55F9B006" w14:textId="77777777" w:rsidR="002F5D69" w:rsidRDefault="00000000">
      <w:pPr>
        <w:spacing w:after="40" w:line="264" w:lineRule="auto"/>
        <w:ind w:left="170"/>
        <w:jc w:val="both"/>
      </w:pPr>
      <w:r>
        <w:rPr>
          <w:color w:val="1A1A1A"/>
          <w:sz w:val="20"/>
          <w:szCs w:val="20"/>
        </w:rPr>
        <w:t>Le vocabulaire et ses pièges — libertés publiques, droits de l’homme, droits fondamentaux, droits humains — et les deux façons de définir : formelle (par le texte supra-législatif) ou substantielle (par la valeur).</w:t>
      </w:r>
    </w:p>
    <w:p w14:paraId="66E2BA35"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Prolégomènes</w:t>
      </w:r>
      <w:proofErr w:type="gramEnd"/>
      <w:r>
        <w:rPr>
          <w:color w:val="333333"/>
          <w:sz w:val="19"/>
          <w:szCs w:val="19"/>
        </w:rPr>
        <w:t xml:space="preserve"> </w:t>
      </w:r>
      <w:proofErr w:type="gramStart"/>
      <w:r>
        <w:rPr>
          <w:color w:val="333333"/>
          <w:sz w:val="19"/>
          <w:szCs w:val="19"/>
        </w:rPr>
        <w:t>historiques  ·</w:t>
      </w:r>
      <w:proofErr w:type="gramEnd"/>
      <w:r>
        <w:rPr>
          <w:color w:val="333333"/>
          <w:sz w:val="19"/>
          <w:szCs w:val="19"/>
        </w:rPr>
        <w:t xml:space="preserve">  La fondamentalisation des droits et libertés : l’importance croissante des sources supra-</w:t>
      </w:r>
      <w:proofErr w:type="gramStart"/>
      <w:r>
        <w:rPr>
          <w:color w:val="333333"/>
          <w:sz w:val="19"/>
          <w:szCs w:val="19"/>
        </w:rPr>
        <w:t>législatives  ·</w:t>
      </w:r>
      <w:proofErr w:type="gramEnd"/>
      <w:r>
        <w:rPr>
          <w:color w:val="333333"/>
          <w:sz w:val="19"/>
          <w:szCs w:val="19"/>
        </w:rPr>
        <w:t xml:space="preserve">  Les débats contemporains autour de la notion de droits humains</w:t>
      </w:r>
    </w:p>
    <w:p w14:paraId="230E6FE7" w14:textId="58414333"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constitutionnelle n</w:t>
      </w:r>
      <w:r w:rsidR="00907925">
        <w:rPr>
          <w:color w:val="4A4A4A"/>
        </w:rPr>
        <w:t>°</w:t>
      </w:r>
      <w:r>
        <w:rPr>
          <w:color w:val="4A4A4A"/>
        </w:rPr>
        <w:t xml:space="preserve"> 74-904 du 29 octobre </w:t>
      </w:r>
      <w:proofErr w:type="gramStart"/>
      <w:r>
        <w:rPr>
          <w:color w:val="4A4A4A"/>
        </w:rPr>
        <w:t>1974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w:t>
      </w:r>
      <w:r w:rsidR="00907925">
        <w:rPr>
          <w:color w:val="4A4A4A"/>
        </w:rPr>
        <w:t>N°</w:t>
      </w:r>
      <w:r>
        <w:rPr>
          <w:color w:val="4A4A4A"/>
        </w:rPr>
        <w:t xml:space="preserve"> 71-44 DC, 16 juillet </w:t>
      </w:r>
      <w:proofErr w:type="gramStart"/>
      <w:r>
        <w:rPr>
          <w:color w:val="4A4A4A"/>
        </w:rPr>
        <w:t>1971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w:t>
      </w:r>
      <w:r w:rsidR="00907925">
        <w:rPr>
          <w:color w:val="4A4A4A"/>
        </w:rPr>
        <w:t>N°</w:t>
      </w:r>
      <w:r>
        <w:rPr>
          <w:color w:val="4A4A4A"/>
        </w:rPr>
        <w:t xml:space="preserve"> 74-54 DC, 15 janvier 1975</w:t>
      </w:r>
    </w:p>
    <w:p w14:paraId="7BE7B2ED" w14:textId="77777777" w:rsidR="002F5D69" w:rsidRDefault="00000000">
      <w:pPr>
        <w:keepNext/>
        <w:spacing w:before="150" w:after="30"/>
      </w:pPr>
      <w:r>
        <w:rPr>
          <w:b/>
          <w:bCs/>
          <w:color w:val="2E5A88"/>
          <w:sz w:val="21"/>
          <w:szCs w:val="21"/>
        </w:rPr>
        <w:t xml:space="preserve">2. </w:t>
      </w:r>
      <w:r>
        <w:rPr>
          <w:rFonts w:ascii="Cambria" w:eastAsia="Cambria" w:hAnsi="Cambria" w:cs="Cambria"/>
          <w:b/>
          <w:bCs/>
          <w:color w:val="1F3864"/>
          <w:sz w:val="21"/>
          <w:szCs w:val="21"/>
        </w:rPr>
        <w:t>Les origines philosophiques et religieuses</w:t>
      </w:r>
      <w:r>
        <w:rPr>
          <w:color w:val="6E6E6E"/>
          <w:sz w:val="15"/>
          <w:szCs w:val="15"/>
        </w:rPr>
        <w:t xml:space="preserve">   p. 17</w:t>
      </w:r>
    </w:p>
    <w:p w14:paraId="02C82F47" w14:textId="77777777" w:rsidR="002F5D69" w:rsidRDefault="00000000">
      <w:pPr>
        <w:spacing w:after="40" w:line="264" w:lineRule="auto"/>
        <w:ind w:left="170"/>
        <w:jc w:val="both"/>
      </w:pPr>
      <w:r>
        <w:rPr>
          <w:color w:val="1A1A1A"/>
          <w:sz w:val="20"/>
          <w:szCs w:val="20"/>
        </w:rPr>
        <w:t>Généalogie philosophique, explicitement non linéaire et impossible à dater : de Hammourabi et des stoïciens aux critiques marxiste, socialiste et féministe.</w:t>
      </w:r>
    </w:p>
    <w:p w14:paraId="54CA6FF6"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difficile recherche des origines </w:t>
      </w:r>
      <w:proofErr w:type="gramStart"/>
      <w:r>
        <w:rPr>
          <w:color w:val="333333"/>
          <w:sz w:val="19"/>
          <w:szCs w:val="19"/>
        </w:rPr>
        <w:t>antiques  ·</w:t>
      </w:r>
      <w:proofErr w:type="gramEnd"/>
      <w:r>
        <w:rPr>
          <w:color w:val="333333"/>
          <w:sz w:val="19"/>
          <w:szCs w:val="19"/>
        </w:rPr>
        <w:t xml:space="preserve">  La philosophie grecque classique des libertés </w:t>
      </w:r>
      <w:proofErr w:type="gramStart"/>
      <w:r>
        <w:rPr>
          <w:color w:val="333333"/>
          <w:sz w:val="19"/>
          <w:szCs w:val="19"/>
        </w:rPr>
        <w:t>publiques  ·</w:t>
      </w:r>
      <w:proofErr w:type="gramEnd"/>
      <w:r>
        <w:rPr>
          <w:color w:val="333333"/>
          <w:sz w:val="19"/>
          <w:szCs w:val="19"/>
        </w:rPr>
        <w:t xml:space="preserve">  La philosophie chrétienne : une nouvelle conception de </w:t>
      </w:r>
      <w:proofErr w:type="gramStart"/>
      <w:r>
        <w:rPr>
          <w:color w:val="333333"/>
          <w:sz w:val="19"/>
          <w:szCs w:val="19"/>
        </w:rPr>
        <w:t>l’humain  ·</w:t>
      </w:r>
      <w:proofErr w:type="gramEnd"/>
      <w:r>
        <w:rPr>
          <w:color w:val="333333"/>
          <w:sz w:val="19"/>
          <w:szCs w:val="19"/>
        </w:rPr>
        <w:t xml:space="preserve">  La limitation du pouvoir de l’État (XVIe et XVIIe </w:t>
      </w:r>
      <w:proofErr w:type="gramStart"/>
      <w:r>
        <w:rPr>
          <w:color w:val="333333"/>
          <w:sz w:val="19"/>
          <w:szCs w:val="19"/>
        </w:rPr>
        <w:t>siècles)  ·</w:t>
      </w:r>
      <w:proofErr w:type="gramEnd"/>
      <w:r>
        <w:rPr>
          <w:color w:val="333333"/>
          <w:sz w:val="19"/>
          <w:szCs w:val="19"/>
        </w:rPr>
        <w:t xml:space="preserve">  La philosophie des Lumières, l’essor des libertés (XVIIIe </w:t>
      </w:r>
      <w:proofErr w:type="gramStart"/>
      <w:r>
        <w:rPr>
          <w:color w:val="333333"/>
          <w:sz w:val="19"/>
          <w:szCs w:val="19"/>
        </w:rPr>
        <w:t>siècle)  ·</w:t>
      </w:r>
      <w:proofErr w:type="gramEnd"/>
      <w:r>
        <w:rPr>
          <w:color w:val="333333"/>
          <w:sz w:val="19"/>
          <w:szCs w:val="19"/>
        </w:rPr>
        <w:t xml:space="preserve">  Le renouveau philosophique des libertés (XIXe et XXe </w:t>
      </w:r>
      <w:proofErr w:type="gramStart"/>
      <w:r>
        <w:rPr>
          <w:color w:val="333333"/>
          <w:sz w:val="19"/>
          <w:szCs w:val="19"/>
        </w:rPr>
        <w:t>siècle)  ·</w:t>
      </w:r>
      <w:proofErr w:type="gramEnd"/>
      <w:r>
        <w:rPr>
          <w:color w:val="333333"/>
          <w:sz w:val="19"/>
          <w:szCs w:val="19"/>
        </w:rPr>
        <w:t xml:space="preserve">  L’émergence de nouvelles philosophies des libertés (XXe siècle)</w:t>
      </w:r>
    </w:p>
    <w:p w14:paraId="753620E9"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16 de la Déclaration des droits de l’homme et du citoyen</w:t>
      </w:r>
    </w:p>
    <w:p w14:paraId="389974BE" w14:textId="77777777" w:rsidR="002F5D69" w:rsidRDefault="00000000">
      <w:pPr>
        <w:keepNext/>
        <w:spacing w:before="150" w:after="30"/>
      </w:pPr>
      <w:r>
        <w:rPr>
          <w:b/>
          <w:bCs/>
          <w:color w:val="2E5A88"/>
          <w:sz w:val="21"/>
          <w:szCs w:val="21"/>
        </w:rPr>
        <w:t xml:space="preserve">3. </w:t>
      </w:r>
      <w:r>
        <w:rPr>
          <w:rFonts w:ascii="Cambria" w:eastAsia="Cambria" w:hAnsi="Cambria" w:cs="Cambria"/>
          <w:b/>
          <w:bCs/>
          <w:color w:val="1F3864"/>
          <w:sz w:val="21"/>
          <w:szCs w:val="21"/>
        </w:rPr>
        <w:t>Les origines textuelles</w:t>
      </w:r>
      <w:r>
        <w:rPr>
          <w:color w:val="6E6E6E"/>
          <w:sz w:val="15"/>
          <w:szCs w:val="15"/>
        </w:rPr>
        <w:t xml:space="preserve">   p. 28</w:t>
      </w:r>
    </w:p>
    <w:p w14:paraId="72207EA7" w14:textId="77777777" w:rsidR="002F5D69" w:rsidRDefault="00000000">
      <w:pPr>
        <w:spacing w:after="40" w:line="264" w:lineRule="auto"/>
        <w:ind w:left="170"/>
        <w:jc w:val="both"/>
      </w:pPr>
      <w:r>
        <w:rPr>
          <w:color w:val="1A1A1A"/>
          <w:sz w:val="20"/>
          <w:szCs w:val="20"/>
        </w:rPr>
        <w:t>Généalogie textuelle en trois foyers — Angleterre (1215-1689), Amérique (1776-1787), France (1789) — et les trois critiques adressées à la Déclaration.</w:t>
      </w:r>
    </w:p>
    <w:p w14:paraId="63A7C081"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premiers textes </w:t>
      </w:r>
      <w:proofErr w:type="gramStart"/>
      <w:r>
        <w:rPr>
          <w:color w:val="333333"/>
          <w:sz w:val="19"/>
          <w:szCs w:val="19"/>
        </w:rPr>
        <w:t>anglais  ·</w:t>
      </w:r>
      <w:proofErr w:type="gramEnd"/>
      <w:r>
        <w:rPr>
          <w:color w:val="333333"/>
          <w:sz w:val="19"/>
          <w:szCs w:val="19"/>
        </w:rPr>
        <w:t xml:space="preserve">  Les textes </w:t>
      </w:r>
      <w:proofErr w:type="gramStart"/>
      <w:r>
        <w:rPr>
          <w:color w:val="333333"/>
          <w:sz w:val="19"/>
          <w:szCs w:val="19"/>
        </w:rPr>
        <w:t>américains  ·</w:t>
      </w:r>
      <w:proofErr w:type="gramEnd"/>
      <w:r>
        <w:rPr>
          <w:color w:val="333333"/>
          <w:sz w:val="19"/>
          <w:szCs w:val="19"/>
        </w:rPr>
        <w:t xml:space="preserve">  La Déclaration des droits de l’homme et du Citoyen de 1789</w:t>
      </w:r>
    </w:p>
    <w:p w14:paraId="35910E06"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La</w:t>
      </w:r>
      <w:proofErr w:type="gramEnd"/>
      <w:r>
        <w:rPr>
          <w:color w:val="4A4A4A"/>
        </w:rPr>
        <w:t xml:space="preserve"> Grande Charte anglaise (1215</w:t>
      </w:r>
      <w:proofErr w:type="gramStart"/>
      <w:r>
        <w:rPr>
          <w:color w:val="4A4A4A"/>
        </w:rPr>
        <w:t>)  ·</w:t>
      </w:r>
      <w:proofErr w:type="gramEnd"/>
      <w:r>
        <w:rPr>
          <w:color w:val="4A4A4A"/>
        </w:rPr>
        <w:t xml:space="preserve">  Le Bill of </w:t>
      </w:r>
      <w:proofErr w:type="spellStart"/>
      <w:r>
        <w:rPr>
          <w:color w:val="4A4A4A"/>
        </w:rPr>
        <w:t>Rights</w:t>
      </w:r>
      <w:proofErr w:type="spellEnd"/>
      <w:r>
        <w:rPr>
          <w:color w:val="4A4A4A"/>
        </w:rPr>
        <w:t xml:space="preserve"> anglais (1689</w:t>
      </w:r>
      <w:proofErr w:type="gramStart"/>
      <w:r>
        <w:rPr>
          <w:color w:val="4A4A4A"/>
        </w:rPr>
        <w:t>)  ·</w:t>
      </w:r>
      <w:proofErr w:type="gramEnd"/>
      <w:r>
        <w:rPr>
          <w:color w:val="4A4A4A"/>
        </w:rPr>
        <w:t xml:space="preserve">  La Déclaration d’Indépendance des États-Unis (1776)</w:t>
      </w:r>
    </w:p>
    <w:p w14:paraId="18D3CB02" w14:textId="77777777" w:rsidR="002F5D69" w:rsidRDefault="00000000">
      <w:pPr>
        <w:keepNext/>
        <w:spacing w:before="150" w:after="30"/>
      </w:pPr>
      <w:r>
        <w:rPr>
          <w:b/>
          <w:bCs/>
          <w:color w:val="2E5A88"/>
          <w:sz w:val="21"/>
          <w:szCs w:val="21"/>
        </w:rPr>
        <w:t xml:space="preserve">4. </w:t>
      </w:r>
      <w:r>
        <w:rPr>
          <w:rFonts w:ascii="Cambria" w:eastAsia="Cambria" w:hAnsi="Cambria" w:cs="Cambria"/>
          <w:b/>
          <w:bCs/>
          <w:color w:val="1F3864"/>
          <w:sz w:val="21"/>
          <w:szCs w:val="21"/>
        </w:rPr>
        <w:t>Les classifications</w:t>
      </w:r>
      <w:r>
        <w:rPr>
          <w:color w:val="6E6E6E"/>
          <w:sz w:val="15"/>
          <w:szCs w:val="15"/>
        </w:rPr>
        <w:t xml:space="preserve">   p. 37</w:t>
      </w:r>
    </w:p>
    <w:p w14:paraId="101FC281" w14:textId="77777777" w:rsidR="002F5D69" w:rsidRDefault="00000000">
      <w:pPr>
        <w:spacing w:after="40" w:line="264" w:lineRule="auto"/>
        <w:ind w:left="170"/>
        <w:jc w:val="both"/>
      </w:pPr>
      <w:r>
        <w:rPr>
          <w:color w:val="1A1A1A"/>
          <w:sz w:val="20"/>
          <w:szCs w:val="20"/>
        </w:rPr>
        <w:t>Comment ranger les droits : classifications doctrinales (générations, objet, rôle de l’État, régime d’exercice) et prétoriennes. Aucune n’est neutre ni exhaustive.</w:t>
      </w:r>
    </w:p>
    <w:p w14:paraId="2D7579E0" w14:textId="77777777" w:rsidR="002F5D69" w:rsidRDefault="00000000">
      <w:pPr>
        <w:spacing w:after="40" w:line="264" w:lineRule="auto"/>
        <w:ind w:left="170"/>
      </w:pPr>
      <w:proofErr w:type="gramStart"/>
      <w:r>
        <w:rPr>
          <w:b/>
          <w:bCs/>
          <w:color w:val="2E5A88"/>
          <w:spacing w:val="16"/>
          <w:sz w:val="16"/>
          <w:szCs w:val="16"/>
        </w:rPr>
        <w:lastRenderedPageBreak/>
        <w:t xml:space="preserve">Charpente  </w:t>
      </w:r>
      <w:r>
        <w:rPr>
          <w:color w:val="333333"/>
          <w:sz w:val="19"/>
          <w:szCs w:val="19"/>
        </w:rPr>
        <w:t>Les</w:t>
      </w:r>
      <w:proofErr w:type="gramEnd"/>
      <w:r>
        <w:rPr>
          <w:color w:val="333333"/>
          <w:sz w:val="19"/>
          <w:szCs w:val="19"/>
        </w:rPr>
        <w:t xml:space="preserve"> classifications </w:t>
      </w:r>
      <w:proofErr w:type="gramStart"/>
      <w:r>
        <w:rPr>
          <w:color w:val="333333"/>
          <w:sz w:val="19"/>
          <w:szCs w:val="19"/>
        </w:rPr>
        <w:t>doctrinales  ·</w:t>
      </w:r>
      <w:proofErr w:type="gramEnd"/>
      <w:r>
        <w:rPr>
          <w:color w:val="333333"/>
          <w:sz w:val="19"/>
          <w:szCs w:val="19"/>
        </w:rPr>
        <w:t xml:space="preserve">  Les classifications prétoriennes</w:t>
      </w:r>
    </w:p>
    <w:p w14:paraId="0ED143E5"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Articles</w:t>
      </w:r>
      <w:proofErr w:type="gramEnd"/>
      <w:r>
        <w:rPr>
          <w:color w:val="4A4A4A"/>
        </w:rPr>
        <w:t xml:space="preserve"> 7, 10 et 11 de la Déclaration des droits de l’homme et du </w:t>
      </w:r>
      <w:proofErr w:type="gramStart"/>
      <w:r>
        <w:rPr>
          <w:color w:val="4A4A4A"/>
        </w:rPr>
        <w:t>citoyen  ·</w:t>
      </w:r>
      <w:proofErr w:type="gramEnd"/>
      <w:r>
        <w:rPr>
          <w:color w:val="4A4A4A"/>
        </w:rPr>
        <w:t xml:space="preserve">  CE, avis, 13 août </w:t>
      </w:r>
      <w:proofErr w:type="gramStart"/>
      <w:r>
        <w:rPr>
          <w:color w:val="4A4A4A"/>
        </w:rPr>
        <w:t>1947  ·</w:t>
      </w:r>
      <w:proofErr w:type="gramEnd"/>
      <w:r>
        <w:rPr>
          <w:color w:val="4A4A4A"/>
        </w:rPr>
        <w:t xml:space="preserve">  Cons. </w:t>
      </w:r>
      <w:proofErr w:type="spellStart"/>
      <w:proofErr w:type="gramStart"/>
      <w:r>
        <w:rPr>
          <w:color w:val="4A4A4A"/>
        </w:rPr>
        <w:t>const</w:t>
      </w:r>
      <w:proofErr w:type="spellEnd"/>
      <w:proofErr w:type="gramEnd"/>
      <w:r>
        <w:rPr>
          <w:color w:val="4A4A4A"/>
        </w:rPr>
        <w:t>., décision no 84-181 DC du 11 octobre 1984</w:t>
      </w:r>
    </w:p>
    <w:p w14:paraId="0D26608A" w14:textId="77777777" w:rsidR="002F5D69" w:rsidRDefault="00000000">
      <w:pPr>
        <w:keepNext/>
        <w:spacing w:before="150" w:after="30"/>
      </w:pPr>
      <w:r>
        <w:rPr>
          <w:b/>
          <w:bCs/>
          <w:color w:val="2E5A88"/>
          <w:sz w:val="21"/>
          <w:szCs w:val="21"/>
        </w:rPr>
        <w:t xml:space="preserve">5. </w:t>
      </w:r>
      <w:r>
        <w:rPr>
          <w:rFonts w:ascii="Cambria" w:eastAsia="Cambria" w:hAnsi="Cambria" w:cs="Cambria"/>
          <w:b/>
          <w:bCs/>
          <w:color w:val="1F3864"/>
          <w:sz w:val="21"/>
          <w:szCs w:val="21"/>
        </w:rPr>
        <w:t>Les principes directeurs</w:t>
      </w:r>
      <w:r>
        <w:rPr>
          <w:color w:val="6E6E6E"/>
          <w:sz w:val="15"/>
          <w:szCs w:val="15"/>
        </w:rPr>
        <w:t xml:space="preserve">   p. 46</w:t>
      </w:r>
    </w:p>
    <w:p w14:paraId="14525864" w14:textId="77777777" w:rsidR="002F5D69" w:rsidRDefault="00000000">
      <w:pPr>
        <w:spacing w:after="40" w:line="264" w:lineRule="auto"/>
        <w:ind w:left="170"/>
        <w:jc w:val="both"/>
      </w:pPr>
      <w:r>
        <w:rPr>
          <w:color w:val="1A1A1A"/>
          <w:sz w:val="20"/>
          <w:szCs w:val="20"/>
        </w:rPr>
        <w:t>Les quatre principes transversaux — inaliénabilité, universalité, indivisibilité — et la dignité posée comme principe matriciel. Chacun exposé avec ses lacunes.</w:t>
      </w:r>
    </w:p>
    <w:p w14:paraId="3615A808"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L’inaliénabilité</w:t>
      </w:r>
      <w:proofErr w:type="gramEnd"/>
      <w:r>
        <w:rPr>
          <w:color w:val="333333"/>
          <w:sz w:val="19"/>
          <w:szCs w:val="19"/>
        </w:rPr>
        <w:t xml:space="preserve"> des droits </w:t>
      </w:r>
      <w:proofErr w:type="gramStart"/>
      <w:r>
        <w:rPr>
          <w:color w:val="333333"/>
          <w:sz w:val="19"/>
          <w:szCs w:val="19"/>
        </w:rPr>
        <w:t>humains  ·</w:t>
      </w:r>
      <w:proofErr w:type="gramEnd"/>
      <w:r>
        <w:rPr>
          <w:color w:val="333333"/>
          <w:sz w:val="19"/>
          <w:szCs w:val="19"/>
        </w:rPr>
        <w:t xml:space="preserve">  L’universalité des droits </w:t>
      </w:r>
      <w:proofErr w:type="gramStart"/>
      <w:r>
        <w:rPr>
          <w:color w:val="333333"/>
          <w:sz w:val="19"/>
          <w:szCs w:val="19"/>
        </w:rPr>
        <w:t>humains  ·</w:t>
      </w:r>
      <w:proofErr w:type="gramEnd"/>
      <w:r>
        <w:rPr>
          <w:color w:val="333333"/>
          <w:sz w:val="19"/>
          <w:szCs w:val="19"/>
        </w:rPr>
        <w:t xml:space="preserve">  L’unité ou l’indivisibilité des droits </w:t>
      </w:r>
      <w:proofErr w:type="gramStart"/>
      <w:r>
        <w:rPr>
          <w:color w:val="333333"/>
          <w:sz w:val="19"/>
          <w:szCs w:val="19"/>
        </w:rPr>
        <w:t>humains  ·</w:t>
      </w:r>
      <w:proofErr w:type="gramEnd"/>
      <w:r>
        <w:rPr>
          <w:color w:val="333333"/>
          <w:sz w:val="19"/>
          <w:szCs w:val="19"/>
        </w:rPr>
        <w:t xml:space="preserve">  Le principe matriciel : la dignité humaine</w:t>
      </w:r>
    </w:p>
    <w:p w14:paraId="77DBFB1E"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Préambule</w:t>
      </w:r>
      <w:proofErr w:type="gramEnd"/>
      <w:r>
        <w:rPr>
          <w:color w:val="4A4A4A"/>
        </w:rPr>
        <w:t xml:space="preserve"> de la Déclaration universelle des droits de </w:t>
      </w:r>
      <w:proofErr w:type="gramStart"/>
      <w:r>
        <w:rPr>
          <w:color w:val="4A4A4A"/>
        </w:rPr>
        <w:t>l’homme  ·</w:t>
      </w:r>
      <w:proofErr w:type="gramEnd"/>
      <w:r>
        <w:rPr>
          <w:color w:val="4A4A4A"/>
        </w:rPr>
        <w:t xml:space="preserve">  Article 20 de la Charte africaine des droits de </w:t>
      </w:r>
      <w:proofErr w:type="gramStart"/>
      <w:r>
        <w:rPr>
          <w:color w:val="4A4A4A"/>
        </w:rPr>
        <w:t>l’homme  ·</w:t>
      </w:r>
      <w:proofErr w:type="gramEnd"/>
      <w:r>
        <w:rPr>
          <w:color w:val="4A4A4A"/>
        </w:rPr>
        <w:t xml:space="preserve">  Article 5 de la Déclaration des droits de l’homme et du citoyen</w:t>
      </w:r>
    </w:p>
    <w:p w14:paraId="4D3DA14A" w14:textId="77777777" w:rsidR="002F5D69" w:rsidRDefault="00000000">
      <w:pPr>
        <w:keepNext/>
        <w:spacing w:before="150" w:after="30"/>
      </w:pPr>
      <w:r>
        <w:rPr>
          <w:b/>
          <w:bCs/>
          <w:color w:val="2E5A88"/>
          <w:sz w:val="21"/>
          <w:szCs w:val="21"/>
        </w:rPr>
        <w:t xml:space="preserve">6. </w:t>
      </w:r>
      <w:r>
        <w:rPr>
          <w:rFonts w:ascii="Cambria" w:eastAsia="Cambria" w:hAnsi="Cambria" w:cs="Cambria"/>
          <w:b/>
          <w:bCs/>
          <w:color w:val="1F3864"/>
          <w:sz w:val="21"/>
          <w:szCs w:val="21"/>
        </w:rPr>
        <w:t>Les régimes</w:t>
      </w:r>
      <w:r>
        <w:rPr>
          <w:color w:val="6E6E6E"/>
          <w:sz w:val="15"/>
          <w:szCs w:val="15"/>
        </w:rPr>
        <w:t xml:space="preserve">   p. 56</w:t>
      </w:r>
    </w:p>
    <w:p w14:paraId="5061633B" w14:textId="77777777" w:rsidR="002F5D69" w:rsidRDefault="00000000">
      <w:pPr>
        <w:spacing w:after="40" w:line="264" w:lineRule="auto"/>
        <w:ind w:left="170"/>
        <w:jc w:val="both"/>
      </w:pPr>
      <w:r>
        <w:rPr>
          <w:color w:val="1A1A1A"/>
          <w:sz w:val="20"/>
          <w:szCs w:val="20"/>
        </w:rPr>
        <w:t>La mécanique en temps normal : conciliation avec l’ordre public, puis les trois régimes d’exercice (répressif, préventif, déclaratif). Grille à réutiliser dans tout le catalogue.</w:t>
      </w:r>
    </w:p>
    <w:p w14:paraId="4328B5FC"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Une</w:t>
      </w:r>
      <w:proofErr w:type="gramEnd"/>
      <w:r>
        <w:rPr>
          <w:color w:val="333333"/>
          <w:sz w:val="19"/>
          <w:szCs w:val="19"/>
        </w:rPr>
        <w:t xml:space="preserve"> nécessité de conciliation des libertés avec d’autres </w:t>
      </w:r>
      <w:proofErr w:type="gramStart"/>
      <w:r>
        <w:rPr>
          <w:color w:val="333333"/>
          <w:sz w:val="19"/>
          <w:szCs w:val="19"/>
        </w:rPr>
        <w:t>impératifs  ·</w:t>
      </w:r>
      <w:proofErr w:type="gramEnd"/>
      <w:r>
        <w:rPr>
          <w:color w:val="333333"/>
          <w:sz w:val="19"/>
          <w:szCs w:val="19"/>
        </w:rPr>
        <w:t xml:space="preserve">  Les types de régimes</w:t>
      </w:r>
    </w:p>
    <w:p w14:paraId="0BDA5F70" w14:textId="2C817A22"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34 de la </w:t>
      </w:r>
      <w:proofErr w:type="gramStart"/>
      <w:r>
        <w:rPr>
          <w:color w:val="4A4A4A"/>
        </w:rPr>
        <w:t>Constitution  ·</w:t>
      </w:r>
      <w:proofErr w:type="gramEnd"/>
      <w:r>
        <w:rPr>
          <w:color w:val="4A4A4A"/>
        </w:rPr>
        <w:t xml:space="preserve">  Cons. </w:t>
      </w:r>
      <w:proofErr w:type="spellStart"/>
      <w:proofErr w:type="gramStart"/>
      <w:r>
        <w:rPr>
          <w:color w:val="4A4A4A"/>
        </w:rPr>
        <w:t>const</w:t>
      </w:r>
      <w:proofErr w:type="spellEnd"/>
      <w:proofErr w:type="gramEnd"/>
      <w:r>
        <w:rPr>
          <w:color w:val="4A4A4A"/>
        </w:rPr>
        <w:t>., déc. n</w:t>
      </w:r>
      <w:r w:rsidR="00492B4B">
        <w:rPr>
          <w:color w:val="4A4A4A"/>
        </w:rPr>
        <w:t>°</w:t>
      </w:r>
      <w:r>
        <w:rPr>
          <w:color w:val="4A4A4A"/>
        </w:rPr>
        <w:t xml:space="preserve"> 82-141 DC, 27 juillet 1982, Loi sur la communication audiovisuelle  ·  Art. 4 de la Déclaration des droits de l’homme et du citoyen</w:t>
      </w:r>
    </w:p>
    <w:p w14:paraId="538C0BD3" w14:textId="77777777" w:rsidR="002F5D69" w:rsidRDefault="00000000">
      <w:pPr>
        <w:keepNext/>
        <w:spacing w:before="150" w:after="30"/>
      </w:pPr>
      <w:r>
        <w:rPr>
          <w:b/>
          <w:bCs/>
          <w:color w:val="2E5A88"/>
          <w:sz w:val="21"/>
          <w:szCs w:val="21"/>
        </w:rPr>
        <w:t xml:space="preserve">7. </w:t>
      </w:r>
      <w:r>
        <w:rPr>
          <w:rFonts w:ascii="Cambria" w:eastAsia="Cambria" w:hAnsi="Cambria" w:cs="Cambria"/>
          <w:b/>
          <w:bCs/>
          <w:color w:val="1F3864"/>
          <w:sz w:val="21"/>
          <w:szCs w:val="21"/>
        </w:rPr>
        <w:t>Limitations et états d’exception</w:t>
      </w:r>
      <w:r>
        <w:rPr>
          <w:color w:val="6E6E6E"/>
          <w:sz w:val="15"/>
          <w:szCs w:val="15"/>
        </w:rPr>
        <w:t xml:space="preserve">   p. 63</w:t>
      </w:r>
    </w:p>
    <w:p w14:paraId="3EAE8A13" w14:textId="77777777" w:rsidR="002F5D69" w:rsidRDefault="00000000">
      <w:pPr>
        <w:spacing w:after="40" w:line="264" w:lineRule="auto"/>
        <w:ind w:left="170"/>
        <w:jc w:val="both"/>
      </w:pPr>
      <w:r>
        <w:rPr>
          <w:color w:val="1A1A1A"/>
          <w:sz w:val="20"/>
          <w:szCs w:val="20"/>
        </w:rPr>
        <w:t>La mécanique en temps de crise : article 16, état de siège, état d’urgence (1955 puis sanitaire), circonstances exceptionnelles, dérogation conventionnelle, noyau indérogeable.</w:t>
      </w:r>
    </w:p>
    <w:p w14:paraId="48F3CE5F"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régimes d’exception prévus par la </w:t>
      </w:r>
      <w:proofErr w:type="gramStart"/>
      <w:r>
        <w:rPr>
          <w:color w:val="333333"/>
          <w:sz w:val="19"/>
          <w:szCs w:val="19"/>
        </w:rPr>
        <w:t>Constitution  ·</w:t>
      </w:r>
      <w:proofErr w:type="gramEnd"/>
      <w:r>
        <w:rPr>
          <w:color w:val="333333"/>
          <w:sz w:val="19"/>
          <w:szCs w:val="19"/>
        </w:rPr>
        <w:t xml:space="preserve">  L’état d’urgence prévu par le </w:t>
      </w:r>
      <w:proofErr w:type="gramStart"/>
      <w:r>
        <w:rPr>
          <w:color w:val="333333"/>
          <w:sz w:val="19"/>
          <w:szCs w:val="19"/>
        </w:rPr>
        <w:t>législateur  ·</w:t>
      </w:r>
      <w:proofErr w:type="gramEnd"/>
      <w:r>
        <w:rPr>
          <w:color w:val="333333"/>
          <w:sz w:val="19"/>
          <w:szCs w:val="19"/>
        </w:rPr>
        <w:t xml:space="preserve">  La création prétorienne de la théorie des circonstances </w:t>
      </w:r>
      <w:proofErr w:type="gramStart"/>
      <w:r>
        <w:rPr>
          <w:color w:val="333333"/>
          <w:sz w:val="19"/>
          <w:szCs w:val="19"/>
        </w:rPr>
        <w:t>exceptionnelles  ·</w:t>
      </w:r>
      <w:proofErr w:type="gramEnd"/>
      <w:r>
        <w:rPr>
          <w:color w:val="333333"/>
          <w:sz w:val="19"/>
          <w:szCs w:val="19"/>
        </w:rPr>
        <w:t xml:space="preserve">  La reconnaissance conventionnelle de la dérogation aux droits humains</w:t>
      </w:r>
    </w:p>
    <w:p w14:paraId="4C40F9B0"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16 de la </w:t>
      </w:r>
      <w:proofErr w:type="gramStart"/>
      <w:r>
        <w:rPr>
          <w:color w:val="4A4A4A"/>
        </w:rPr>
        <w:t>Constitution  ·</w:t>
      </w:r>
      <w:proofErr w:type="gramEnd"/>
      <w:r>
        <w:rPr>
          <w:color w:val="4A4A4A"/>
        </w:rPr>
        <w:t xml:space="preserve">  CE, </w:t>
      </w:r>
      <w:proofErr w:type="spellStart"/>
      <w:r>
        <w:rPr>
          <w:color w:val="4A4A4A"/>
        </w:rPr>
        <w:t>ass</w:t>
      </w:r>
      <w:proofErr w:type="spellEnd"/>
      <w:r>
        <w:rPr>
          <w:color w:val="4A4A4A"/>
        </w:rPr>
        <w:t xml:space="preserve">., 2 mars 1962, Rubin de Servens, no </w:t>
      </w:r>
      <w:proofErr w:type="gramStart"/>
      <w:r>
        <w:rPr>
          <w:color w:val="4A4A4A"/>
        </w:rPr>
        <w:t>55049  ·</w:t>
      </w:r>
      <w:proofErr w:type="gramEnd"/>
      <w:r>
        <w:rPr>
          <w:color w:val="4A4A4A"/>
        </w:rPr>
        <w:t xml:space="preserve">  Cons. </w:t>
      </w:r>
      <w:proofErr w:type="spellStart"/>
      <w:proofErr w:type="gramStart"/>
      <w:r>
        <w:rPr>
          <w:color w:val="4A4A4A"/>
        </w:rPr>
        <w:t>const</w:t>
      </w:r>
      <w:proofErr w:type="spellEnd"/>
      <w:proofErr w:type="gramEnd"/>
      <w:r>
        <w:rPr>
          <w:color w:val="4A4A4A"/>
        </w:rPr>
        <w:t>., déc. no 85-187 DC du 25 janvier 1985</w:t>
      </w:r>
    </w:p>
    <w:p w14:paraId="73B7B358" w14:textId="77777777" w:rsidR="002F5D69" w:rsidRDefault="00000000">
      <w:pPr>
        <w:keepNext/>
        <w:spacing w:before="150" w:after="30"/>
      </w:pPr>
      <w:r>
        <w:rPr>
          <w:b/>
          <w:bCs/>
          <w:color w:val="2E5A88"/>
          <w:sz w:val="21"/>
          <w:szCs w:val="21"/>
        </w:rPr>
        <w:t xml:space="preserve">8. </w:t>
      </w:r>
      <w:r>
        <w:rPr>
          <w:rFonts w:ascii="Cambria" w:eastAsia="Cambria" w:hAnsi="Cambria" w:cs="Cambria"/>
          <w:b/>
          <w:bCs/>
          <w:color w:val="1F3864"/>
          <w:sz w:val="21"/>
          <w:szCs w:val="21"/>
        </w:rPr>
        <w:t>La crise des droits humains et l’État de droit</w:t>
      </w:r>
      <w:r>
        <w:rPr>
          <w:color w:val="6E6E6E"/>
          <w:sz w:val="15"/>
          <w:szCs w:val="15"/>
        </w:rPr>
        <w:t xml:space="preserve">   p. 74</w:t>
      </w:r>
    </w:p>
    <w:p w14:paraId="69683213" w14:textId="77777777" w:rsidR="002F5D69" w:rsidRDefault="00000000">
      <w:pPr>
        <w:spacing w:after="40" w:line="264" w:lineRule="auto"/>
        <w:ind w:left="170"/>
        <w:jc w:val="both"/>
      </w:pPr>
      <w:r>
        <w:rPr>
          <w:color w:val="1A1A1A"/>
          <w:sz w:val="20"/>
          <w:szCs w:val="20"/>
        </w:rPr>
        <w:t>L’État de droit et sa remise en cause : légitimité des juges, droit supranational, droits de l’opposition, liberté académique, droits des femmes, personnes migrantes. La fiche à problématiques.</w:t>
      </w:r>
    </w:p>
    <w:p w14:paraId="5D55ED86"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définition de l’État de </w:t>
      </w:r>
      <w:proofErr w:type="gramStart"/>
      <w:r>
        <w:rPr>
          <w:color w:val="333333"/>
          <w:sz w:val="19"/>
          <w:szCs w:val="19"/>
        </w:rPr>
        <w:t>droit  ·</w:t>
      </w:r>
      <w:proofErr w:type="gramEnd"/>
      <w:r>
        <w:rPr>
          <w:color w:val="333333"/>
          <w:sz w:val="19"/>
          <w:szCs w:val="19"/>
        </w:rPr>
        <w:t xml:space="preserve">  La remise en cause protéiforme de l’État de droit</w:t>
      </w:r>
    </w:p>
    <w:p w14:paraId="448619BA"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16 de la Déclaration des droits de l’homme et du </w:t>
      </w:r>
      <w:proofErr w:type="gramStart"/>
      <w:r>
        <w:rPr>
          <w:color w:val="4A4A4A"/>
        </w:rPr>
        <w:t>citoyen  ·</w:t>
      </w:r>
      <w:proofErr w:type="gramEnd"/>
      <w:r>
        <w:rPr>
          <w:color w:val="4A4A4A"/>
        </w:rPr>
        <w:t xml:space="preserve">  CJUE, 15 juillet 1964, Costa contre Enel, no C-6/</w:t>
      </w:r>
      <w:proofErr w:type="gramStart"/>
      <w:r>
        <w:rPr>
          <w:color w:val="4A4A4A"/>
        </w:rPr>
        <w:t>64  ·</w:t>
      </w:r>
      <w:proofErr w:type="gramEnd"/>
      <w:r>
        <w:rPr>
          <w:color w:val="4A4A4A"/>
        </w:rPr>
        <w:t xml:space="preserve">  CJUE, 2 avril 2020, Commission contre Pologne, Hongrie et République Tchèque, </w:t>
      </w:r>
      <w:proofErr w:type="spellStart"/>
      <w:r>
        <w:rPr>
          <w:color w:val="4A4A4A"/>
        </w:rPr>
        <w:t>aff.</w:t>
      </w:r>
      <w:proofErr w:type="spellEnd"/>
      <w:r>
        <w:rPr>
          <w:color w:val="4A4A4A"/>
        </w:rPr>
        <w:t xml:space="preserve"> C-715/17</w:t>
      </w:r>
    </w:p>
    <w:p w14:paraId="6795CB8F"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II  ·</w:t>
      </w:r>
      <w:proofErr w:type="gramEnd"/>
      <w:r>
        <w:rPr>
          <w:b/>
          <w:bCs/>
          <w:color w:val="2E5A88"/>
          <w:spacing w:val="30"/>
          <w:sz w:val="17"/>
          <w:szCs w:val="17"/>
        </w:rPr>
        <w:t xml:space="preserve">  </w:t>
      </w:r>
      <w:r>
        <w:rPr>
          <w:rFonts w:ascii="Cambria" w:eastAsia="Cambria" w:hAnsi="Cambria" w:cs="Cambria"/>
          <w:b/>
          <w:bCs/>
          <w:color w:val="1F3864"/>
          <w:sz w:val="25"/>
          <w:szCs w:val="25"/>
        </w:rPr>
        <w:t>Les sources internes</w:t>
      </w:r>
    </w:p>
    <w:p w14:paraId="78AF28BA" w14:textId="77777777" w:rsidR="002F5D69" w:rsidRDefault="00000000">
      <w:pPr>
        <w:spacing w:before="60" w:after="110"/>
        <w:jc w:val="both"/>
      </w:pPr>
      <w:r>
        <w:rPr>
          <w:i/>
          <w:iCs/>
          <w:color w:val="5A5A5A"/>
        </w:rPr>
        <w:t>Descente de la hiérarchie des normes françaises : constitutionnalité, légalité, règlement. Répond à la question « sur quel texte français fonder la liberté invoquée ? ».</w:t>
      </w:r>
    </w:p>
    <w:p w14:paraId="72BA6A78" w14:textId="77777777" w:rsidR="002F5D69" w:rsidRDefault="00000000">
      <w:pPr>
        <w:keepNext/>
        <w:spacing w:before="150" w:after="30"/>
      </w:pPr>
      <w:r>
        <w:rPr>
          <w:b/>
          <w:bCs/>
          <w:color w:val="2E5A88"/>
          <w:sz w:val="21"/>
          <w:szCs w:val="21"/>
        </w:rPr>
        <w:t xml:space="preserve">9. </w:t>
      </w:r>
      <w:r>
        <w:rPr>
          <w:rFonts w:ascii="Cambria" w:eastAsia="Cambria" w:hAnsi="Cambria" w:cs="Cambria"/>
          <w:b/>
          <w:bCs/>
          <w:color w:val="1F3864"/>
          <w:sz w:val="21"/>
          <w:szCs w:val="21"/>
        </w:rPr>
        <w:t>Les sources constitutionnelles</w:t>
      </w:r>
      <w:r>
        <w:rPr>
          <w:color w:val="6E6E6E"/>
          <w:sz w:val="15"/>
          <w:szCs w:val="15"/>
        </w:rPr>
        <w:t xml:space="preserve">   p. 83</w:t>
      </w:r>
    </w:p>
    <w:p w14:paraId="74936405" w14:textId="77777777" w:rsidR="002F5D69" w:rsidRDefault="00000000">
      <w:pPr>
        <w:spacing w:after="40" w:line="264" w:lineRule="auto"/>
        <w:ind w:left="170"/>
        <w:jc w:val="both"/>
      </w:pPr>
      <w:r>
        <w:rPr>
          <w:color w:val="1A1A1A"/>
          <w:sz w:val="20"/>
          <w:szCs w:val="20"/>
        </w:rPr>
        <w:t>Le bloc de constitutionnalité : naissance prétorienne en 1971, inventaire de son contenu (préambules, Déclaration, PFRLR, PPNT, Charte de l’environnement, PVC et OVC), supériorité.</w:t>
      </w:r>
    </w:p>
    <w:p w14:paraId="5570F958"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bloc de </w:t>
      </w:r>
      <w:proofErr w:type="gramStart"/>
      <w:r>
        <w:rPr>
          <w:color w:val="333333"/>
          <w:sz w:val="19"/>
          <w:szCs w:val="19"/>
        </w:rPr>
        <w:t>constitutionnalité  ·</w:t>
      </w:r>
      <w:proofErr w:type="gramEnd"/>
      <w:r>
        <w:rPr>
          <w:color w:val="333333"/>
          <w:sz w:val="19"/>
          <w:szCs w:val="19"/>
        </w:rPr>
        <w:t xml:space="preserve">  Le contenu du bloc de </w:t>
      </w:r>
      <w:proofErr w:type="gramStart"/>
      <w:r>
        <w:rPr>
          <w:color w:val="333333"/>
          <w:sz w:val="19"/>
          <w:szCs w:val="19"/>
        </w:rPr>
        <w:t>constitutionnalité  ·</w:t>
      </w:r>
      <w:proofErr w:type="gramEnd"/>
      <w:r>
        <w:rPr>
          <w:color w:val="333333"/>
          <w:sz w:val="19"/>
          <w:szCs w:val="19"/>
        </w:rPr>
        <w:t xml:space="preserve">  La supériorité du bloc de constitutionnalité</w:t>
      </w:r>
    </w:p>
    <w:p w14:paraId="6A1A839A"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Cons</w:t>
      </w:r>
      <w:proofErr w:type="gramEnd"/>
      <w:r>
        <w:rPr>
          <w:color w:val="4A4A4A"/>
        </w:rPr>
        <w:t xml:space="preserve">. </w:t>
      </w:r>
      <w:proofErr w:type="spellStart"/>
      <w:proofErr w:type="gramStart"/>
      <w:r>
        <w:rPr>
          <w:color w:val="4A4A4A"/>
        </w:rPr>
        <w:t>const</w:t>
      </w:r>
      <w:proofErr w:type="spellEnd"/>
      <w:proofErr w:type="gramEnd"/>
      <w:r>
        <w:rPr>
          <w:color w:val="4A4A4A"/>
        </w:rPr>
        <w:t>., no 71-44 DC, 16 juillet 1971</w:t>
      </w:r>
    </w:p>
    <w:p w14:paraId="16379499" w14:textId="77777777" w:rsidR="002F5D69" w:rsidRDefault="00000000">
      <w:pPr>
        <w:keepNext/>
        <w:spacing w:before="150" w:after="30"/>
      </w:pPr>
      <w:r>
        <w:rPr>
          <w:b/>
          <w:bCs/>
          <w:color w:val="2E5A88"/>
          <w:sz w:val="21"/>
          <w:szCs w:val="21"/>
        </w:rPr>
        <w:t xml:space="preserve">10. </w:t>
      </w:r>
      <w:r>
        <w:rPr>
          <w:rFonts w:ascii="Cambria" w:eastAsia="Cambria" w:hAnsi="Cambria" w:cs="Cambria"/>
          <w:b/>
          <w:bCs/>
          <w:color w:val="1F3864"/>
          <w:sz w:val="21"/>
          <w:szCs w:val="21"/>
        </w:rPr>
        <w:t>Le bloc de légalité</w:t>
      </w:r>
      <w:r>
        <w:rPr>
          <w:color w:val="6E6E6E"/>
          <w:sz w:val="15"/>
          <w:szCs w:val="15"/>
        </w:rPr>
        <w:t xml:space="preserve">   p. 94</w:t>
      </w:r>
    </w:p>
    <w:p w14:paraId="6D4C6967" w14:textId="77777777" w:rsidR="002F5D69" w:rsidRDefault="00000000">
      <w:pPr>
        <w:spacing w:after="40" w:line="264" w:lineRule="auto"/>
        <w:ind w:left="170"/>
        <w:jc w:val="both"/>
      </w:pPr>
      <w:r>
        <w:rPr>
          <w:color w:val="1A1A1A"/>
          <w:sz w:val="20"/>
          <w:szCs w:val="20"/>
        </w:rPr>
        <w:t>Le bloc de légalité : fin du légicentrisme, loi élargie aux principes généraux du droit, compétence de l’article 34 — et les limites de la loi, y compris la désobéissance.</w:t>
      </w:r>
    </w:p>
    <w:p w14:paraId="27747A9F"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origines de la consécration législative des </w:t>
      </w:r>
      <w:proofErr w:type="gramStart"/>
      <w:r>
        <w:rPr>
          <w:color w:val="333333"/>
          <w:sz w:val="19"/>
          <w:szCs w:val="19"/>
        </w:rPr>
        <w:t>libertés  ·</w:t>
      </w:r>
      <w:proofErr w:type="gramEnd"/>
      <w:r>
        <w:rPr>
          <w:color w:val="333333"/>
          <w:sz w:val="19"/>
          <w:szCs w:val="19"/>
        </w:rPr>
        <w:t xml:space="preserve">  La définition du bloc de </w:t>
      </w:r>
      <w:proofErr w:type="gramStart"/>
      <w:r>
        <w:rPr>
          <w:color w:val="333333"/>
          <w:sz w:val="19"/>
          <w:szCs w:val="19"/>
        </w:rPr>
        <w:t>légalité  ·</w:t>
      </w:r>
      <w:proofErr w:type="gramEnd"/>
      <w:r>
        <w:rPr>
          <w:color w:val="333333"/>
          <w:sz w:val="19"/>
          <w:szCs w:val="19"/>
        </w:rPr>
        <w:t xml:space="preserve">  Une protection législative des droits et </w:t>
      </w:r>
      <w:proofErr w:type="gramStart"/>
      <w:r>
        <w:rPr>
          <w:color w:val="333333"/>
          <w:sz w:val="19"/>
          <w:szCs w:val="19"/>
        </w:rPr>
        <w:t>libertés  ·</w:t>
      </w:r>
      <w:proofErr w:type="gramEnd"/>
      <w:r>
        <w:rPr>
          <w:color w:val="333333"/>
          <w:sz w:val="19"/>
          <w:szCs w:val="19"/>
        </w:rPr>
        <w:t xml:space="preserve">  Les limites de la loi : la protection des droits contre la loi</w:t>
      </w:r>
    </w:p>
    <w:p w14:paraId="3A90F64F"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Articles</w:t>
      </w:r>
      <w:proofErr w:type="gramEnd"/>
      <w:r>
        <w:rPr>
          <w:color w:val="4A4A4A"/>
        </w:rPr>
        <w:t xml:space="preserve"> 5 et 6 de la Déclaration des droits de l’homme et du citoyen de </w:t>
      </w:r>
      <w:proofErr w:type="gramStart"/>
      <w:r>
        <w:rPr>
          <w:color w:val="4A4A4A"/>
        </w:rPr>
        <w:t>1789  ·</w:t>
      </w:r>
      <w:proofErr w:type="gramEnd"/>
      <w:r>
        <w:rPr>
          <w:color w:val="4A4A4A"/>
        </w:rPr>
        <w:t xml:space="preserve">  CE, 26 octobre 1945, </w:t>
      </w:r>
      <w:proofErr w:type="gramStart"/>
      <w:r>
        <w:rPr>
          <w:color w:val="4A4A4A"/>
        </w:rPr>
        <w:t>Aramu  ·</w:t>
      </w:r>
      <w:proofErr w:type="gramEnd"/>
      <w:r>
        <w:rPr>
          <w:color w:val="4A4A4A"/>
        </w:rPr>
        <w:t xml:space="preserve">  Article 34 de la Constitution de 1958</w:t>
      </w:r>
    </w:p>
    <w:p w14:paraId="664618A7" w14:textId="77777777" w:rsidR="002F5D69" w:rsidRDefault="00000000">
      <w:pPr>
        <w:keepNext/>
        <w:spacing w:before="150" w:after="30"/>
      </w:pPr>
      <w:r>
        <w:rPr>
          <w:b/>
          <w:bCs/>
          <w:color w:val="2E5A88"/>
          <w:sz w:val="21"/>
          <w:szCs w:val="21"/>
        </w:rPr>
        <w:lastRenderedPageBreak/>
        <w:t xml:space="preserve">11. </w:t>
      </w:r>
      <w:r>
        <w:rPr>
          <w:rFonts w:ascii="Cambria" w:eastAsia="Cambria" w:hAnsi="Cambria" w:cs="Cambria"/>
          <w:b/>
          <w:bCs/>
          <w:color w:val="1F3864"/>
          <w:sz w:val="21"/>
          <w:szCs w:val="21"/>
        </w:rPr>
        <w:t>Le règlement et les libertés</w:t>
      </w:r>
      <w:r>
        <w:rPr>
          <w:color w:val="6E6E6E"/>
          <w:sz w:val="15"/>
          <w:szCs w:val="15"/>
        </w:rPr>
        <w:t xml:space="preserve">   p. 104</w:t>
      </w:r>
    </w:p>
    <w:p w14:paraId="2A2CA459" w14:textId="77777777" w:rsidR="002F5D69" w:rsidRDefault="00000000">
      <w:pPr>
        <w:spacing w:after="40" w:line="264" w:lineRule="auto"/>
        <w:ind w:left="170"/>
        <w:jc w:val="both"/>
      </w:pPr>
      <w:r>
        <w:rPr>
          <w:color w:val="1A1A1A"/>
          <w:sz w:val="20"/>
          <w:szCs w:val="20"/>
        </w:rPr>
        <w:t>Le pouvoir réglementaire, souvent sous-estimé : suppléer la loi, agir en crise, exercer la police administrative — le tout sous contrôle du juge administratif.</w:t>
      </w:r>
    </w:p>
    <w:p w14:paraId="0DA9B078"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définition du pouvoir </w:t>
      </w:r>
      <w:proofErr w:type="gramStart"/>
      <w:r>
        <w:rPr>
          <w:color w:val="333333"/>
          <w:sz w:val="19"/>
          <w:szCs w:val="19"/>
        </w:rPr>
        <w:t>règlementaire  ·</w:t>
      </w:r>
      <w:proofErr w:type="gramEnd"/>
      <w:r>
        <w:rPr>
          <w:color w:val="333333"/>
          <w:sz w:val="19"/>
          <w:szCs w:val="19"/>
        </w:rPr>
        <w:t xml:space="preserve">  La détermination des droits et des libertés par le pouvoir règlementaire</w:t>
      </w:r>
    </w:p>
    <w:p w14:paraId="41E39FAB"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Articles</w:t>
      </w:r>
      <w:proofErr w:type="gramEnd"/>
      <w:r>
        <w:rPr>
          <w:color w:val="4A4A4A"/>
        </w:rPr>
        <w:t xml:space="preserve"> 21 et 37 de la </w:t>
      </w:r>
      <w:proofErr w:type="gramStart"/>
      <w:r>
        <w:rPr>
          <w:color w:val="4A4A4A"/>
        </w:rPr>
        <w:t>Constitution  ·</w:t>
      </w:r>
      <w:proofErr w:type="gramEnd"/>
      <w:r>
        <w:rPr>
          <w:color w:val="4A4A4A"/>
        </w:rPr>
        <w:t xml:space="preserve">  CE, 7 février 1936, Jamart, no </w:t>
      </w:r>
      <w:proofErr w:type="gramStart"/>
      <w:r>
        <w:rPr>
          <w:color w:val="4A4A4A"/>
        </w:rPr>
        <w:t>43321  ·</w:t>
      </w:r>
      <w:proofErr w:type="gramEnd"/>
      <w:r>
        <w:rPr>
          <w:color w:val="4A4A4A"/>
        </w:rPr>
        <w:t xml:space="preserve">  CE, 28 juin 1919, Heyriès, no 63412</w:t>
      </w:r>
    </w:p>
    <w:p w14:paraId="5471462D"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III  ·</w:t>
      </w:r>
      <w:proofErr w:type="gramEnd"/>
      <w:r>
        <w:rPr>
          <w:b/>
          <w:bCs/>
          <w:color w:val="2E5A88"/>
          <w:spacing w:val="30"/>
          <w:sz w:val="17"/>
          <w:szCs w:val="17"/>
        </w:rPr>
        <w:t xml:space="preserve">  </w:t>
      </w:r>
      <w:r>
        <w:rPr>
          <w:rFonts w:ascii="Cambria" w:eastAsia="Cambria" w:hAnsi="Cambria" w:cs="Cambria"/>
          <w:b/>
          <w:bCs/>
          <w:color w:val="1F3864"/>
          <w:sz w:val="25"/>
          <w:szCs w:val="25"/>
        </w:rPr>
        <w:t>Les sources externes</w:t>
      </w:r>
    </w:p>
    <w:p w14:paraId="189E0B22" w14:textId="77777777" w:rsidR="002F5D69" w:rsidRDefault="00000000">
      <w:pPr>
        <w:spacing w:before="60" w:after="110"/>
        <w:jc w:val="both"/>
      </w:pPr>
      <w:r>
        <w:rPr>
          <w:i/>
          <w:iCs/>
          <w:color w:val="5A5A5A"/>
        </w:rPr>
        <w:t>La même question, versant international : mouvement d’internationalisation, puis les trois systèmes utiles en pratique — onusien, Convention européenne, Union.</w:t>
      </w:r>
    </w:p>
    <w:p w14:paraId="021DE894" w14:textId="77777777" w:rsidR="002F5D69" w:rsidRDefault="00000000">
      <w:pPr>
        <w:keepNext/>
        <w:spacing w:before="150" w:after="30"/>
      </w:pPr>
      <w:r>
        <w:rPr>
          <w:b/>
          <w:bCs/>
          <w:color w:val="2E5A88"/>
          <w:sz w:val="21"/>
          <w:szCs w:val="21"/>
        </w:rPr>
        <w:t xml:space="preserve">12. </w:t>
      </w:r>
      <w:r>
        <w:rPr>
          <w:rFonts w:ascii="Cambria" w:eastAsia="Cambria" w:hAnsi="Cambria" w:cs="Cambria"/>
          <w:b/>
          <w:bCs/>
          <w:color w:val="1F3864"/>
          <w:sz w:val="21"/>
          <w:szCs w:val="21"/>
        </w:rPr>
        <w:t>L’internationalisation du droit des libertés</w:t>
      </w:r>
      <w:r>
        <w:rPr>
          <w:color w:val="6E6E6E"/>
          <w:sz w:val="15"/>
          <w:szCs w:val="15"/>
        </w:rPr>
        <w:t xml:space="preserve">   p. 116</w:t>
      </w:r>
    </w:p>
    <w:p w14:paraId="50702558" w14:textId="77777777" w:rsidR="002F5D69" w:rsidRDefault="00000000">
      <w:pPr>
        <w:spacing w:after="40" w:line="264" w:lineRule="auto"/>
        <w:ind w:left="170"/>
        <w:jc w:val="both"/>
      </w:pPr>
      <w:r>
        <w:rPr>
          <w:color w:val="1A1A1A"/>
          <w:sz w:val="20"/>
          <w:szCs w:val="20"/>
        </w:rPr>
        <w:t>Pourquoi et jusqu’où les droits se sont internationalisés : traumatisme du XXe siècle, 1948, accès des individus aux juges supranationaux, géographie variable, relativisme culturel.</w:t>
      </w:r>
    </w:p>
    <w:p w14:paraId="795587EB"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contexte général de l’internationalisation du droit des libertés en </w:t>
      </w:r>
      <w:proofErr w:type="gramStart"/>
      <w:r>
        <w:rPr>
          <w:color w:val="333333"/>
          <w:sz w:val="19"/>
          <w:szCs w:val="19"/>
        </w:rPr>
        <w:t>France  ·</w:t>
      </w:r>
      <w:proofErr w:type="gramEnd"/>
      <w:r>
        <w:rPr>
          <w:color w:val="333333"/>
          <w:sz w:val="19"/>
          <w:szCs w:val="19"/>
        </w:rPr>
        <w:t xml:space="preserve">  Une internationalisation à géographie </w:t>
      </w:r>
      <w:proofErr w:type="gramStart"/>
      <w:r>
        <w:rPr>
          <w:color w:val="333333"/>
          <w:sz w:val="19"/>
          <w:szCs w:val="19"/>
        </w:rPr>
        <w:t>variable  ·</w:t>
      </w:r>
      <w:proofErr w:type="gramEnd"/>
      <w:r>
        <w:rPr>
          <w:color w:val="333333"/>
          <w:sz w:val="19"/>
          <w:szCs w:val="19"/>
        </w:rPr>
        <w:t xml:space="preserve">  L’internationalisation des droits humains face au relativisme culturel</w:t>
      </w:r>
    </w:p>
    <w:p w14:paraId="614C493E"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Charte</w:t>
      </w:r>
      <w:proofErr w:type="gramEnd"/>
      <w:r>
        <w:rPr>
          <w:color w:val="4A4A4A"/>
        </w:rPr>
        <w:t xml:space="preserve"> des Nations unies du 26 juin </w:t>
      </w:r>
      <w:proofErr w:type="gramStart"/>
      <w:r>
        <w:rPr>
          <w:color w:val="4A4A4A"/>
        </w:rPr>
        <w:t>1945  ·</w:t>
      </w:r>
      <w:proofErr w:type="gramEnd"/>
      <w:r>
        <w:rPr>
          <w:color w:val="4A4A4A"/>
        </w:rPr>
        <w:t xml:space="preserve">  CJUE, 11 décembre 2007, Viking, C-438/</w:t>
      </w:r>
      <w:proofErr w:type="gramStart"/>
      <w:r>
        <w:rPr>
          <w:color w:val="4A4A4A"/>
        </w:rPr>
        <w:t>05  ·</w:t>
      </w:r>
      <w:proofErr w:type="gramEnd"/>
      <w:r>
        <w:rPr>
          <w:color w:val="4A4A4A"/>
        </w:rPr>
        <w:t xml:space="preserve">  CJUE, 3 septembre 2008, Kadi c. Conseil et Commission</w:t>
      </w:r>
    </w:p>
    <w:p w14:paraId="46A2A790" w14:textId="77777777" w:rsidR="002F5D69" w:rsidRDefault="00000000">
      <w:pPr>
        <w:keepNext/>
        <w:spacing w:before="150" w:after="30"/>
      </w:pPr>
      <w:r>
        <w:rPr>
          <w:b/>
          <w:bCs/>
          <w:color w:val="2E5A88"/>
          <w:sz w:val="21"/>
          <w:szCs w:val="21"/>
        </w:rPr>
        <w:t xml:space="preserve">13. </w:t>
      </w:r>
      <w:r>
        <w:rPr>
          <w:rFonts w:ascii="Cambria" w:eastAsia="Cambria" w:hAnsi="Cambria" w:cs="Cambria"/>
          <w:b/>
          <w:bCs/>
          <w:color w:val="1F3864"/>
          <w:sz w:val="21"/>
          <w:szCs w:val="21"/>
        </w:rPr>
        <w:t>Le droit onusien</w:t>
      </w:r>
      <w:r>
        <w:rPr>
          <w:color w:val="6E6E6E"/>
          <w:sz w:val="15"/>
          <w:szCs w:val="15"/>
        </w:rPr>
        <w:t xml:space="preserve">   p. 125</w:t>
      </w:r>
    </w:p>
    <w:p w14:paraId="6903298F" w14:textId="77777777" w:rsidR="002F5D69" w:rsidRDefault="00000000">
      <w:pPr>
        <w:spacing w:after="40" w:line="264" w:lineRule="auto"/>
        <w:ind w:left="170"/>
        <w:jc w:val="both"/>
      </w:pPr>
      <w:r>
        <w:rPr>
          <w:color w:val="1A1A1A"/>
          <w:sz w:val="20"/>
          <w:szCs w:val="20"/>
        </w:rPr>
        <w:t>Le socle onusien : Déclaration universelle de 1948, les deux Pactes de 1966, les traités spécialisés. Valeur juridique, droit de dérogation, obligations positives et négatives.</w:t>
      </w:r>
    </w:p>
    <w:p w14:paraId="395E4285"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Charte internationale des droits de </w:t>
      </w:r>
      <w:proofErr w:type="gramStart"/>
      <w:r>
        <w:rPr>
          <w:color w:val="333333"/>
          <w:sz w:val="19"/>
          <w:szCs w:val="19"/>
        </w:rPr>
        <w:t>l’homme  ·</w:t>
      </w:r>
      <w:proofErr w:type="gramEnd"/>
      <w:r>
        <w:rPr>
          <w:color w:val="333333"/>
          <w:sz w:val="19"/>
          <w:szCs w:val="19"/>
        </w:rPr>
        <w:t xml:space="preserve">  Les traités spécialisés</w:t>
      </w:r>
    </w:p>
    <w:p w14:paraId="702AAD8C"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1er – 30 de la Déclaration universelle des droits de </w:t>
      </w:r>
      <w:proofErr w:type="gramStart"/>
      <w:r>
        <w:rPr>
          <w:color w:val="4A4A4A"/>
        </w:rPr>
        <w:t>l’homme  ·</w:t>
      </w:r>
      <w:proofErr w:type="gramEnd"/>
      <w:r>
        <w:rPr>
          <w:color w:val="4A4A4A"/>
        </w:rPr>
        <w:t xml:space="preserve">  Art. 1er– 27 du Pacte international relatif aux droits civils et </w:t>
      </w:r>
      <w:proofErr w:type="gramStart"/>
      <w:r>
        <w:rPr>
          <w:color w:val="4A4A4A"/>
        </w:rPr>
        <w:t>politiques  ·</w:t>
      </w:r>
      <w:proofErr w:type="gramEnd"/>
      <w:r>
        <w:rPr>
          <w:color w:val="4A4A4A"/>
        </w:rPr>
        <w:t xml:space="preserve">  Art. 1er– 15 du Pacte international relatif aux droits économiques, sociaux et culturels</w:t>
      </w:r>
    </w:p>
    <w:p w14:paraId="3050CDC5" w14:textId="77777777" w:rsidR="002F5D69" w:rsidRDefault="00000000">
      <w:pPr>
        <w:keepNext/>
        <w:spacing w:before="150" w:after="30"/>
      </w:pPr>
      <w:r>
        <w:rPr>
          <w:b/>
          <w:bCs/>
          <w:color w:val="2E5A88"/>
          <w:sz w:val="21"/>
          <w:szCs w:val="21"/>
        </w:rPr>
        <w:t xml:space="preserve">14. </w:t>
      </w:r>
      <w:r>
        <w:rPr>
          <w:rFonts w:ascii="Cambria" w:eastAsia="Cambria" w:hAnsi="Cambria" w:cs="Cambria"/>
          <w:b/>
          <w:bCs/>
          <w:color w:val="1F3864"/>
          <w:sz w:val="21"/>
          <w:szCs w:val="21"/>
        </w:rPr>
        <w:t>Le Conseil de l’Europe et la Convention européenne des droits de l’homme</w:t>
      </w:r>
      <w:r>
        <w:rPr>
          <w:color w:val="6E6E6E"/>
          <w:sz w:val="15"/>
          <w:szCs w:val="15"/>
        </w:rPr>
        <w:t xml:space="preserve">   p. 133</w:t>
      </w:r>
    </w:p>
    <w:p w14:paraId="26F2C66D" w14:textId="77777777" w:rsidR="002F5D69" w:rsidRDefault="00000000">
      <w:pPr>
        <w:spacing w:after="40" w:line="264" w:lineRule="auto"/>
        <w:ind w:left="170"/>
        <w:jc w:val="both"/>
      </w:pPr>
      <w:r>
        <w:rPr>
          <w:color w:val="1A1A1A"/>
          <w:sz w:val="20"/>
          <w:szCs w:val="20"/>
        </w:rPr>
        <w:t>Le Conseil de l’Europe et la Convention : primauté, plein effet direct, subsidiarité, et caractère d’instrument vivant garantissant des droits concrets et effectifs.</w:t>
      </w:r>
    </w:p>
    <w:p w14:paraId="4AB2FE7E"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Conseil de </w:t>
      </w:r>
      <w:proofErr w:type="gramStart"/>
      <w:r>
        <w:rPr>
          <w:color w:val="333333"/>
          <w:sz w:val="19"/>
          <w:szCs w:val="19"/>
        </w:rPr>
        <w:t>l’Europe  ·</w:t>
      </w:r>
      <w:proofErr w:type="gramEnd"/>
      <w:r>
        <w:rPr>
          <w:color w:val="333333"/>
          <w:sz w:val="19"/>
          <w:szCs w:val="19"/>
        </w:rPr>
        <w:t xml:space="preserve">  La Convention de sauvegarde des droits de l’homme et des libertés fondamentales</w:t>
      </w:r>
    </w:p>
    <w:p w14:paraId="4FD9F8C5"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CEDH</w:t>
      </w:r>
      <w:proofErr w:type="gramEnd"/>
      <w:r>
        <w:rPr>
          <w:color w:val="4A4A4A"/>
        </w:rPr>
        <w:t>, déc., 11 janvier 1961, Autriche c. Italie, no 788/</w:t>
      </w:r>
      <w:proofErr w:type="gramStart"/>
      <w:r>
        <w:rPr>
          <w:color w:val="4A4A4A"/>
        </w:rPr>
        <w:t>60  ·</w:t>
      </w:r>
      <w:proofErr w:type="gramEnd"/>
      <w:r>
        <w:rPr>
          <w:color w:val="4A4A4A"/>
        </w:rPr>
        <w:t xml:space="preserve">  CEDH, GC., 23 mars 1995, </w:t>
      </w:r>
      <w:proofErr w:type="spellStart"/>
      <w:r>
        <w:rPr>
          <w:color w:val="4A4A4A"/>
        </w:rPr>
        <w:t>Loizidou</w:t>
      </w:r>
      <w:proofErr w:type="spellEnd"/>
      <w:r>
        <w:rPr>
          <w:color w:val="4A4A4A"/>
        </w:rPr>
        <w:t xml:space="preserve"> c. Turquie (exceptions préliminaires), no 15318/</w:t>
      </w:r>
      <w:proofErr w:type="gramStart"/>
      <w:r>
        <w:rPr>
          <w:color w:val="4A4A4A"/>
        </w:rPr>
        <w:t>89  ·</w:t>
      </w:r>
      <w:proofErr w:type="gramEnd"/>
      <w:r>
        <w:rPr>
          <w:color w:val="4A4A4A"/>
        </w:rPr>
        <w:t xml:space="preserve">  CEDH, 8 juillet 2004, Ilascu c. Moldavie et Russie, no 48787/99</w:t>
      </w:r>
    </w:p>
    <w:p w14:paraId="782984F7" w14:textId="77777777" w:rsidR="002F5D69" w:rsidRDefault="00000000">
      <w:pPr>
        <w:keepNext/>
        <w:spacing w:before="150" w:after="30"/>
      </w:pPr>
      <w:r>
        <w:rPr>
          <w:b/>
          <w:bCs/>
          <w:color w:val="2E5A88"/>
          <w:sz w:val="21"/>
          <w:szCs w:val="21"/>
        </w:rPr>
        <w:t xml:space="preserve">15. </w:t>
      </w:r>
      <w:r>
        <w:rPr>
          <w:rFonts w:ascii="Cambria" w:eastAsia="Cambria" w:hAnsi="Cambria" w:cs="Cambria"/>
          <w:b/>
          <w:bCs/>
          <w:color w:val="1F3864"/>
          <w:sz w:val="21"/>
          <w:szCs w:val="21"/>
        </w:rPr>
        <w:t>Le droit de l’Union européenne</w:t>
      </w:r>
      <w:r>
        <w:rPr>
          <w:color w:val="6E6E6E"/>
          <w:sz w:val="15"/>
          <w:szCs w:val="15"/>
        </w:rPr>
        <w:t xml:space="preserve">   p. 144</w:t>
      </w:r>
    </w:p>
    <w:p w14:paraId="6BDEEB0B" w14:textId="77777777" w:rsidR="002F5D69" w:rsidRDefault="00000000">
      <w:pPr>
        <w:spacing w:after="40" w:line="264" w:lineRule="auto"/>
        <w:ind w:left="170"/>
        <w:jc w:val="both"/>
      </w:pPr>
      <w:r>
        <w:rPr>
          <w:color w:val="1A1A1A"/>
          <w:sz w:val="20"/>
          <w:szCs w:val="20"/>
        </w:rPr>
        <w:t>L’Union : d’un droit économique muet sur les droits à la Charte de Lisbonne, via la résistance des cours constitutionnelles nationales et les principes généraux prétoriens.</w:t>
      </w:r>
    </w:p>
    <w:p w14:paraId="61EBF3D0"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sources des droits fondamentaux dans l’Union </w:t>
      </w:r>
      <w:proofErr w:type="gramStart"/>
      <w:r>
        <w:rPr>
          <w:color w:val="333333"/>
          <w:sz w:val="19"/>
          <w:szCs w:val="19"/>
        </w:rPr>
        <w:t>européenne  ·</w:t>
      </w:r>
      <w:proofErr w:type="gramEnd"/>
      <w:r>
        <w:rPr>
          <w:color w:val="333333"/>
          <w:sz w:val="19"/>
          <w:szCs w:val="19"/>
        </w:rPr>
        <w:t xml:space="preserve">  La protection des droits fondamentaux : enjeu de fédéralisation pour </w:t>
      </w:r>
      <w:proofErr w:type="gramStart"/>
      <w:r>
        <w:rPr>
          <w:color w:val="333333"/>
          <w:sz w:val="19"/>
          <w:szCs w:val="19"/>
        </w:rPr>
        <w:t>l’Union  ·</w:t>
      </w:r>
      <w:proofErr w:type="gramEnd"/>
      <w:r>
        <w:rPr>
          <w:color w:val="333333"/>
          <w:sz w:val="19"/>
          <w:szCs w:val="19"/>
        </w:rPr>
        <w:t xml:space="preserve">  Les rapports ambivalents entre droit de l’Union et droit de la Convention</w:t>
      </w:r>
    </w:p>
    <w:p w14:paraId="33F56547"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CJCE</w:t>
      </w:r>
      <w:proofErr w:type="gramEnd"/>
      <w:r>
        <w:rPr>
          <w:color w:val="4A4A4A"/>
        </w:rPr>
        <w:t>, 15 juillet 1964, Costa c/ Enel, aff.6/</w:t>
      </w:r>
      <w:proofErr w:type="gramStart"/>
      <w:r>
        <w:rPr>
          <w:color w:val="4A4A4A"/>
        </w:rPr>
        <w:t>64  ·</w:t>
      </w:r>
      <w:proofErr w:type="gramEnd"/>
      <w:r>
        <w:rPr>
          <w:color w:val="4A4A4A"/>
        </w:rPr>
        <w:t xml:space="preserve">  CJCE, 17 décembre 1970, Internationale Handelsgesellschaft, aff.11/</w:t>
      </w:r>
      <w:proofErr w:type="gramStart"/>
      <w:r>
        <w:rPr>
          <w:color w:val="4A4A4A"/>
        </w:rPr>
        <w:t>70  ·</w:t>
      </w:r>
      <w:proofErr w:type="gramEnd"/>
      <w:r>
        <w:rPr>
          <w:color w:val="4A4A4A"/>
        </w:rPr>
        <w:t xml:space="preserve">  Tribunal constitutionnel de Karlsruhe, 29 mai 1974, So lange I</w:t>
      </w:r>
    </w:p>
    <w:p w14:paraId="683B3227"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IV  ·</w:t>
      </w:r>
      <w:proofErr w:type="gramEnd"/>
      <w:r>
        <w:rPr>
          <w:b/>
          <w:bCs/>
          <w:color w:val="2E5A88"/>
          <w:spacing w:val="30"/>
          <w:sz w:val="17"/>
          <w:szCs w:val="17"/>
        </w:rPr>
        <w:t xml:space="preserve">  </w:t>
      </w:r>
      <w:r>
        <w:rPr>
          <w:rFonts w:ascii="Cambria" w:eastAsia="Cambria" w:hAnsi="Cambria" w:cs="Cambria"/>
          <w:b/>
          <w:bCs/>
          <w:color w:val="1F3864"/>
          <w:sz w:val="25"/>
          <w:szCs w:val="25"/>
        </w:rPr>
        <w:t>Les mécanismes internes de protection</w:t>
      </w:r>
    </w:p>
    <w:p w14:paraId="41FFE872" w14:textId="77777777" w:rsidR="002F5D69" w:rsidRDefault="00000000">
      <w:pPr>
        <w:spacing w:before="60" w:after="110"/>
        <w:jc w:val="both"/>
      </w:pPr>
      <w:r>
        <w:rPr>
          <w:i/>
          <w:iCs/>
          <w:color w:val="5A5A5A"/>
        </w:rPr>
        <w:t>Des normes aux acteurs : qui fait respecter les droits en France, juges puis autorités administratives indépendantes. L’oral porte souvent sur l’office du juge.</w:t>
      </w:r>
    </w:p>
    <w:p w14:paraId="118534EF" w14:textId="77777777" w:rsidR="002F5D69" w:rsidRDefault="00000000">
      <w:pPr>
        <w:keepNext/>
        <w:spacing w:before="150" w:after="30"/>
      </w:pPr>
      <w:r>
        <w:rPr>
          <w:b/>
          <w:bCs/>
          <w:color w:val="2E5A88"/>
          <w:sz w:val="21"/>
          <w:szCs w:val="21"/>
        </w:rPr>
        <w:t xml:space="preserve">16. </w:t>
      </w:r>
      <w:r>
        <w:rPr>
          <w:rFonts w:ascii="Cambria" w:eastAsia="Cambria" w:hAnsi="Cambria" w:cs="Cambria"/>
          <w:b/>
          <w:bCs/>
          <w:color w:val="1F3864"/>
          <w:sz w:val="21"/>
          <w:szCs w:val="21"/>
        </w:rPr>
        <w:t>La protection par le juge constitutionnel</w:t>
      </w:r>
      <w:r>
        <w:rPr>
          <w:color w:val="6E6E6E"/>
          <w:sz w:val="15"/>
          <w:szCs w:val="15"/>
        </w:rPr>
        <w:t xml:space="preserve">   p. 154</w:t>
      </w:r>
    </w:p>
    <w:p w14:paraId="3E4C6E4B" w14:textId="77777777" w:rsidR="002F5D69" w:rsidRDefault="00000000">
      <w:pPr>
        <w:spacing w:after="40" w:line="264" w:lineRule="auto"/>
        <w:ind w:left="170"/>
        <w:jc w:val="both"/>
      </w:pPr>
      <w:r>
        <w:rPr>
          <w:color w:val="1A1A1A"/>
          <w:sz w:val="20"/>
          <w:szCs w:val="20"/>
        </w:rPr>
        <w:t>Le Conseil constitutionnel : contrôle a priori et question prioritaire de constitutionnalité, puis les techniques — réserves d’interprétation, conformité partielle, effet cliquet.</w:t>
      </w:r>
    </w:p>
    <w:p w14:paraId="1530194D"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L’instauration</w:t>
      </w:r>
      <w:proofErr w:type="gramEnd"/>
      <w:r>
        <w:rPr>
          <w:color w:val="333333"/>
          <w:sz w:val="19"/>
          <w:szCs w:val="19"/>
        </w:rPr>
        <w:t xml:space="preserve"> du Conseil </w:t>
      </w:r>
      <w:proofErr w:type="gramStart"/>
      <w:r>
        <w:rPr>
          <w:color w:val="333333"/>
          <w:sz w:val="19"/>
          <w:szCs w:val="19"/>
        </w:rPr>
        <w:t>constitutionnel  ·</w:t>
      </w:r>
      <w:proofErr w:type="gramEnd"/>
      <w:r>
        <w:rPr>
          <w:color w:val="333333"/>
          <w:sz w:val="19"/>
          <w:szCs w:val="19"/>
        </w:rPr>
        <w:t xml:space="preserve">  Le contrôle de constitutionnalité des </w:t>
      </w:r>
      <w:proofErr w:type="gramStart"/>
      <w:r>
        <w:rPr>
          <w:color w:val="333333"/>
          <w:sz w:val="19"/>
          <w:szCs w:val="19"/>
        </w:rPr>
        <w:t>lois  ·</w:t>
      </w:r>
      <w:proofErr w:type="gramEnd"/>
      <w:r>
        <w:rPr>
          <w:color w:val="333333"/>
          <w:sz w:val="19"/>
          <w:szCs w:val="19"/>
        </w:rPr>
        <w:t xml:space="preserve">  Les techniques de contrôle du Conseil constitutionnel</w:t>
      </w:r>
    </w:p>
    <w:p w14:paraId="71476195" w14:textId="77777777" w:rsidR="002F5D69" w:rsidRDefault="00000000">
      <w:pPr>
        <w:keepNext/>
        <w:spacing w:before="150" w:after="30"/>
      </w:pPr>
      <w:r>
        <w:rPr>
          <w:b/>
          <w:bCs/>
          <w:color w:val="2E5A88"/>
          <w:sz w:val="21"/>
          <w:szCs w:val="21"/>
        </w:rPr>
        <w:t xml:space="preserve">17. </w:t>
      </w:r>
      <w:r>
        <w:rPr>
          <w:rFonts w:ascii="Cambria" w:eastAsia="Cambria" w:hAnsi="Cambria" w:cs="Cambria"/>
          <w:b/>
          <w:bCs/>
          <w:color w:val="1F3864"/>
          <w:sz w:val="21"/>
          <w:szCs w:val="21"/>
        </w:rPr>
        <w:t>La protection par le juge judiciaire</w:t>
      </w:r>
      <w:r>
        <w:rPr>
          <w:color w:val="6E6E6E"/>
          <w:sz w:val="15"/>
          <w:szCs w:val="15"/>
        </w:rPr>
        <w:t xml:space="preserve">   p. 164</w:t>
      </w:r>
    </w:p>
    <w:p w14:paraId="5A777D53" w14:textId="77777777" w:rsidR="002F5D69" w:rsidRDefault="00000000">
      <w:pPr>
        <w:spacing w:after="40" w:line="264" w:lineRule="auto"/>
        <w:ind w:left="170"/>
        <w:jc w:val="both"/>
      </w:pPr>
      <w:r>
        <w:rPr>
          <w:color w:val="1A1A1A"/>
          <w:sz w:val="20"/>
          <w:szCs w:val="20"/>
        </w:rPr>
        <w:t>Le juge judiciaire : gardien de la liberté individuelle et de la propriété, juge des litiges interindividuels, juge de la conventionnalité, et filtre vers le Conseil constitutionnel et la Cour européenne.</w:t>
      </w:r>
    </w:p>
    <w:p w14:paraId="350FBE15" w14:textId="77777777" w:rsidR="002F5D69" w:rsidRDefault="00000000">
      <w:pPr>
        <w:spacing w:after="40" w:line="264" w:lineRule="auto"/>
        <w:ind w:left="170"/>
      </w:pPr>
      <w:proofErr w:type="gramStart"/>
      <w:r>
        <w:rPr>
          <w:b/>
          <w:bCs/>
          <w:color w:val="2E5A88"/>
          <w:spacing w:val="16"/>
          <w:sz w:val="16"/>
          <w:szCs w:val="16"/>
        </w:rPr>
        <w:lastRenderedPageBreak/>
        <w:t xml:space="preserve">Charpente  </w:t>
      </w:r>
      <w:r>
        <w:rPr>
          <w:color w:val="333333"/>
          <w:sz w:val="19"/>
          <w:szCs w:val="19"/>
        </w:rPr>
        <w:t>Le</w:t>
      </w:r>
      <w:proofErr w:type="gramEnd"/>
      <w:r>
        <w:rPr>
          <w:color w:val="333333"/>
          <w:sz w:val="19"/>
          <w:szCs w:val="19"/>
        </w:rPr>
        <w:t xml:space="preserve"> juge judiciaire, garant de la protection des droits humains sur le plan </w:t>
      </w:r>
      <w:proofErr w:type="gramStart"/>
      <w:r>
        <w:rPr>
          <w:color w:val="333333"/>
          <w:sz w:val="19"/>
          <w:szCs w:val="19"/>
        </w:rPr>
        <w:t>interne  ·</w:t>
      </w:r>
      <w:proofErr w:type="gramEnd"/>
      <w:r>
        <w:rPr>
          <w:color w:val="333333"/>
          <w:sz w:val="19"/>
          <w:szCs w:val="19"/>
        </w:rPr>
        <w:t xml:space="preserve">  L’internationalisation des fondements de la protection des droits humains utilisés par le juge </w:t>
      </w:r>
      <w:proofErr w:type="gramStart"/>
      <w:r>
        <w:rPr>
          <w:color w:val="333333"/>
          <w:sz w:val="19"/>
          <w:szCs w:val="19"/>
        </w:rPr>
        <w:t>judiciaire  ·</w:t>
      </w:r>
      <w:proofErr w:type="gramEnd"/>
      <w:r>
        <w:rPr>
          <w:color w:val="333333"/>
          <w:sz w:val="19"/>
          <w:szCs w:val="19"/>
        </w:rPr>
        <w:t xml:space="preserve">  Le rôle de filtre dans la transmission de questions en rapport avec les droits humains auprès d’organes juridictionnels tiers</w:t>
      </w:r>
    </w:p>
    <w:p w14:paraId="37FBF8CE"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Cass</w:t>
      </w:r>
      <w:proofErr w:type="gramEnd"/>
      <w:r>
        <w:rPr>
          <w:color w:val="4A4A4A"/>
        </w:rPr>
        <w:t xml:space="preserve">. </w:t>
      </w:r>
      <w:proofErr w:type="spellStart"/>
      <w:proofErr w:type="gramStart"/>
      <w:r>
        <w:rPr>
          <w:color w:val="4A4A4A"/>
        </w:rPr>
        <w:t>ass</w:t>
      </w:r>
      <w:proofErr w:type="spellEnd"/>
      <w:proofErr w:type="gramEnd"/>
      <w:r>
        <w:rPr>
          <w:color w:val="4A4A4A"/>
        </w:rPr>
        <w:t xml:space="preserve">. </w:t>
      </w:r>
      <w:proofErr w:type="spellStart"/>
      <w:proofErr w:type="gramStart"/>
      <w:r>
        <w:rPr>
          <w:color w:val="4A4A4A"/>
        </w:rPr>
        <w:t>plén</w:t>
      </w:r>
      <w:proofErr w:type="spellEnd"/>
      <w:proofErr w:type="gramEnd"/>
      <w:r>
        <w:rPr>
          <w:color w:val="4A4A4A"/>
        </w:rPr>
        <w:t xml:space="preserve">., 15 avril 2011, nos 10-17.049, 10-30.242, 10-30.313 et 10- </w:t>
      </w:r>
      <w:proofErr w:type="gramStart"/>
      <w:r>
        <w:rPr>
          <w:color w:val="4A4A4A"/>
        </w:rPr>
        <w:t>30.316  ·</w:t>
      </w:r>
      <w:proofErr w:type="gramEnd"/>
      <w:r>
        <w:rPr>
          <w:color w:val="4A4A4A"/>
        </w:rPr>
        <w:t xml:space="preserve">  Cass. </w:t>
      </w:r>
      <w:proofErr w:type="gramStart"/>
      <w:r>
        <w:rPr>
          <w:color w:val="4A4A4A"/>
        </w:rPr>
        <w:t>mixte</w:t>
      </w:r>
      <w:proofErr w:type="gramEnd"/>
      <w:r>
        <w:rPr>
          <w:color w:val="4A4A4A"/>
        </w:rPr>
        <w:t>, 24 mai 1975, Société des cafés Jacques Vabre, no 73-13.</w:t>
      </w:r>
      <w:proofErr w:type="gramStart"/>
      <w:r>
        <w:rPr>
          <w:color w:val="4A4A4A"/>
        </w:rPr>
        <w:t>556  ·</w:t>
      </w:r>
      <w:proofErr w:type="gramEnd"/>
      <w:r>
        <w:rPr>
          <w:color w:val="4A4A4A"/>
        </w:rPr>
        <w:t xml:space="preserve">  Cass. civ. 3e, 6 mars 1996, Mel Yedei, no 93-11.113</w:t>
      </w:r>
    </w:p>
    <w:p w14:paraId="5884D41F" w14:textId="77777777" w:rsidR="002F5D69" w:rsidRDefault="00000000">
      <w:pPr>
        <w:keepNext/>
        <w:spacing w:before="150" w:after="30"/>
      </w:pPr>
      <w:r>
        <w:rPr>
          <w:b/>
          <w:bCs/>
          <w:color w:val="2E5A88"/>
          <w:sz w:val="21"/>
          <w:szCs w:val="21"/>
        </w:rPr>
        <w:t xml:space="preserve">18. </w:t>
      </w:r>
      <w:r>
        <w:rPr>
          <w:rFonts w:ascii="Cambria" w:eastAsia="Cambria" w:hAnsi="Cambria" w:cs="Cambria"/>
          <w:b/>
          <w:bCs/>
          <w:color w:val="1F3864"/>
          <w:sz w:val="21"/>
          <w:szCs w:val="21"/>
        </w:rPr>
        <w:t>La protection par le juge administratif</w:t>
      </w:r>
      <w:r>
        <w:rPr>
          <w:color w:val="6E6E6E"/>
          <w:sz w:val="15"/>
          <w:szCs w:val="15"/>
        </w:rPr>
        <w:t xml:space="preserve">   p. 177</w:t>
      </w:r>
    </w:p>
    <w:p w14:paraId="7ACA8891" w14:textId="77777777" w:rsidR="002F5D69" w:rsidRDefault="00000000">
      <w:pPr>
        <w:spacing w:after="40" w:line="264" w:lineRule="auto"/>
        <w:ind w:left="170"/>
        <w:jc w:val="both"/>
      </w:pPr>
      <w:r>
        <w:rPr>
          <w:color w:val="1A1A1A"/>
          <w:sz w:val="20"/>
          <w:szCs w:val="20"/>
        </w:rPr>
        <w:t>Le juge administratif devenu juge des libertés : recours pour excès de pouvoir subjectivé, référé-liberté, conventionnalité, justiciabilité élargie aux mesures d’ordre intérieur et au droit souple.</w:t>
      </w:r>
    </w:p>
    <w:p w14:paraId="46E624AD"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L’intérêt</w:t>
      </w:r>
      <w:proofErr w:type="gramEnd"/>
      <w:r>
        <w:rPr>
          <w:color w:val="333333"/>
          <w:sz w:val="19"/>
          <w:szCs w:val="19"/>
        </w:rPr>
        <w:t xml:space="preserve"> de la dualité juridictionnelle pour la protection des </w:t>
      </w:r>
      <w:proofErr w:type="gramStart"/>
      <w:r>
        <w:rPr>
          <w:color w:val="333333"/>
          <w:sz w:val="19"/>
          <w:szCs w:val="19"/>
        </w:rPr>
        <w:t>libertés  ·</w:t>
      </w:r>
      <w:proofErr w:type="gramEnd"/>
      <w:r>
        <w:rPr>
          <w:color w:val="333333"/>
          <w:sz w:val="19"/>
          <w:szCs w:val="19"/>
        </w:rPr>
        <w:t xml:space="preserve">  Les instruments du juge administratif pour protéger les </w:t>
      </w:r>
      <w:proofErr w:type="gramStart"/>
      <w:r>
        <w:rPr>
          <w:color w:val="333333"/>
          <w:sz w:val="19"/>
          <w:szCs w:val="19"/>
        </w:rPr>
        <w:t>libertés  ·</w:t>
      </w:r>
      <w:proofErr w:type="gramEnd"/>
      <w:r>
        <w:rPr>
          <w:color w:val="333333"/>
          <w:sz w:val="19"/>
          <w:szCs w:val="19"/>
        </w:rPr>
        <w:t xml:space="preserve">  L’évolution de la protection : la meilleure justiciabilité des actes</w:t>
      </w:r>
    </w:p>
    <w:p w14:paraId="0619E063"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des 16-24 août </w:t>
      </w:r>
      <w:proofErr w:type="gramStart"/>
      <w:r>
        <w:rPr>
          <w:color w:val="4A4A4A"/>
        </w:rPr>
        <w:t>1790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décision no 80-119 DC, 22 juillet </w:t>
      </w:r>
      <w:proofErr w:type="gramStart"/>
      <w:r>
        <w:rPr>
          <w:color w:val="4A4A4A"/>
        </w:rPr>
        <w:t>1980  ·</w:t>
      </w:r>
      <w:proofErr w:type="gramEnd"/>
      <w:r>
        <w:rPr>
          <w:color w:val="4A4A4A"/>
        </w:rPr>
        <w:t xml:space="preserve">  CE, 17 février 1950, ministre de l’Agriculture c/ Dame Lamotte, no 86949</w:t>
      </w:r>
    </w:p>
    <w:p w14:paraId="29C1D9C8" w14:textId="77777777" w:rsidR="002F5D69" w:rsidRDefault="00000000">
      <w:pPr>
        <w:keepNext/>
        <w:spacing w:before="150" w:after="30"/>
      </w:pPr>
      <w:r>
        <w:rPr>
          <w:b/>
          <w:bCs/>
          <w:color w:val="2E5A88"/>
          <w:sz w:val="21"/>
          <w:szCs w:val="21"/>
        </w:rPr>
        <w:t xml:space="preserve">19. </w:t>
      </w:r>
      <w:r>
        <w:rPr>
          <w:rFonts w:ascii="Cambria" w:eastAsia="Cambria" w:hAnsi="Cambria" w:cs="Cambria"/>
          <w:b/>
          <w:bCs/>
          <w:color w:val="1F3864"/>
          <w:sz w:val="21"/>
          <w:szCs w:val="21"/>
        </w:rPr>
        <w:t>Les dérogations au principe de séparation des autorités</w:t>
      </w:r>
      <w:r>
        <w:rPr>
          <w:color w:val="6E6E6E"/>
          <w:sz w:val="15"/>
          <w:szCs w:val="15"/>
        </w:rPr>
        <w:t xml:space="preserve">   p. 188</w:t>
      </w:r>
    </w:p>
    <w:p w14:paraId="0CCCA0C1" w14:textId="77777777" w:rsidR="002F5D69" w:rsidRDefault="00000000">
      <w:pPr>
        <w:spacing w:after="40" w:line="264" w:lineRule="auto"/>
        <w:ind w:left="170"/>
        <w:jc w:val="both"/>
      </w:pPr>
      <w:r>
        <w:rPr>
          <w:color w:val="1A1A1A"/>
          <w:sz w:val="20"/>
          <w:szCs w:val="20"/>
        </w:rPr>
        <w:t>Les frontières entre les deux ordres : Tribunal des conflits, expropriation, voie de fait, emprise irrégulière, reconduite des étrangers à la frontière.</w:t>
      </w:r>
    </w:p>
    <w:p w14:paraId="213FD07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fondements du dualisme </w:t>
      </w:r>
      <w:proofErr w:type="gramStart"/>
      <w:r>
        <w:rPr>
          <w:color w:val="333333"/>
          <w:sz w:val="19"/>
          <w:szCs w:val="19"/>
        </w:rPr>
        <w:t>juridictionnel  ·</w:t>
      </w:r>
      <w:proofErr w:type="gramEnd"/>
      <w:r>
        <w:rPr>
          <w:color w:val="333333"/>
          <w:sz w:val="19"/>
          <w:szCs w:val="19"/>
        </w:rPr>
        <w:t xml:space="preserve">  Le rôle du Tribunal des conflits en cas de situations conflictuelles de </w:t>
      </w:r>
      <w:proofErr w:type="gramStart"/>
      <w:r>
        <w:rPr>
          <w:color w:val="333333"/>
          <w:sz w:val="19"/>
          <w:szCs w:val="19"/>
        </w:rPr>
        <w:t>compétences  ·</w:t>
      </w:r>
      <w:proofErr w:type="gramEnd"/>
      <w:r>
        <w:rPr>
          <w:color w:val="333333"/>
          <w:sz w:val="19"/>
          <w:szCs w:val="19"/>
        </w:rPr>
        <w:t xml:space="preserve">  L’autorité judiciaire gardienne de la propriété privée immobilière et de la liberté </w:t>
      </w:r>
      <w:proofErr w:type="gramStart"/>
      <w:r>
        <w:rPr>
          <w:color w:val="333333"/>
          <w:sz w:val="19"/>
          <w:szCs w:val="19"/>
        </w:rPr>
        <w:t>individuelle  ·</w:t>
      </w:r>
      <w:proofErr w:type="gramEnd"/>
      <w:r>
        <w:rPr>
          <w:color w:val="333333"/>
          <w:sz w:val="19"/>
          <w:szCs w:val="19"/>
        </w:rPr>
        <w:t xml:space="preserve">  Le juge judiciaire et les actes administratifs</w:t>
      </w:r>
    </w:p>
    <w:p w14:paraId="282C986E"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66 de la </w:t>
      </w:r>
      <w:proofErr w:type="gramStart"/>
      <w:r>
        <w:rPr>
          <w:color w:val="4A4A4A"/>
        </w:rPr>
        <w:t>Constitution  ·</w:t>
      </w:r>
      <w:proofErr w:type="gramEnd"/>
      <w:r>
        <w:rPr>
          <w:color w:val="4A4A4A"/>
        </w:rPr>
        <w:t xml:space="preserve">  T. </w:t>
      </w:r>
      <w:proofErr w:type="spellStart"/>
      <w:r>
        <w:rPr>
          <w:color w:val="4A4A4A"/>
        </w:rPr>
        <w:t>confl</w:t>
      </w:r>
      <w:proofErr w:type="spellEnd"/>
      <w:r>
        <w:rPr>
          <w:color w:val="4A4A4A"/>
        </w:rPr>
        <w:t xml:space="preserve">., 16 juin 1923, </w:t>
      </w:r>
      <w:proofErr w:type="spellStart"/>
      <w:r>
        <w:rPr>
          <w:color w:val="4A4A4A"/>
        </w:rPr>
        <w:t>Sepƞonds</w:t>
      </w:r>
      <w:proofErr w:type="spellEnd"/>
      <w:r>
        <w:rPr>
          <w:color w:val="4A4A4A"/>
        </w:rPr>
        <w:t xml:space="preserve">, no </w:t>
      </w:r>
      <w:proofErr w:type="gramStart"/>
      <w:r>
        <w:rPr>
          <w:color w:val="4A4A4A"/>
        </w:rPr>
        <w:t>00732  ·</w:t>
      </w:r>
      <w:proofErr w:type="gramEnd"/>
      <w:r>
        <w:rPr>
          <w:color w:val="4A4A4A"/>
        </w:rPr>
        <w:t xml:space="preserve">  T. </w:t>
      </w:r>
      <w:proofErr w:type="spellStart"/>
      <w:r>
        <w:rPr>
          <w:color w:val="4A4A4A"/>
        </w:rPr>
        <w:t>confl</w:t>
      </w:r>
      <w:proofErr w:type="spellEnd"/>
      <w:r>
        <w:rPr>
          <w:color w:val="4A4A4A"/>
        </w:rPr>
        <w:t>., 17 octobre 2011, SCEA du Chéneau c. INAPORC, M. Cherel et a. c. CNIEL</w:t>
      </w:r>
    </w:p>
    <w:p w14:paraId="51E086D5" w14:textId="77777777" w:rsidR="002F5D69" w:rsidRDefault="00000000">
      <w:pPr>
        <w:keepNext/>
        <w:spacing w:before="150" w:after="30"/>
      </w:pPr>
      <w:r>
        <w:rPr>
          <w:b/>
          <w:bCs/>
          <w:color w:val="2E5A88"/>
          <w:sz w:val="21"/>
          <w:szCs w:val="21"/>
        </w:rPr>
        <w:t xml:space="preserve">20. </w:t>
      </w:r>
      <w:r>
        <w:rPr>
          <w:rFonts w:ascii="Cambria" w:eastAsia="Cambria" w:hAnsi="Cambria" w:cs="Cambria"/>
          <w:b/>
          <w:bCs/>
          <w:color w:val="1F3864"/>
          <w:sz w:val="21"/>
          <w:szCs w:val="21"/>
        </w:rPr>
        <w:t>La protection administrative</w:t>
      </w:r>
      <w:r>
        <w:rPr>
          <w:color w:val="6E6E6E"/>
          <w:sz w:val="15"/>
          <w:szCs w:val="15"/>
        </w:rPr>
        <w:t xml:space="preserve">   p. 197</w:t>
      </w:r>
    </w:p>
    <w:p w14:paraId="2DA16F2C" w14:textId="77777777" w:rsidR="002F5D69" w:rsidRDefault="00000000">
      <w:pPr>
        <w:spacing w:after="40" w:line="264" w:lineRule="auto"/>
        <w:ind w:left="170"/>
        <w:jc w:val="both"/>
      </w:pPr>
      <w:r>
        <w:rPr>
          <w:color w:val="1A1A1A"/>
          <w:sz w:val="20"/>
          <w:szCs w:val="20"/>
        </w:rPr>
        <w:t>Protéger sans le juge : recours administratif préalable, CNCDH, et surtout les autorités administratives indépendantes — Défenseur des droits, contrôleur des lieux de privation de liberté, CNIL, ARCOM.</w:t>
      </w:r>
    </w:p>
    <w:p w14:paraId="2532C400"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L’effectivité</w:t>
      </w:r>
      <w:proofErr w:type="gramEnd"/>
      <w:r>
        <w:rPr>
          <w:color w:val="333333"/>
          <w:sz w:val="19"/>
          <w:szCs w:val="19"/>
        </w:rPr>
        <w:t xml:space="preserve"> des droits sans le juge ?  </w:t>
      </w:r>
      <w:proofErr w:type="gramStart"/>
      <w:r>
        <w:rPr>
          <w:color w:val="333333"/>
          <w:sz w:val="19"/>
          <w:szCs w:val="19"/>
        </w:rPr>
        <w:t>·  La</w:t>
      </w:r>
      <w:proofErr w:type="gramEnd"/>
      <w:r>
        <w:rPr>
          <w:color w:val="333333"/>
          <w:sz w:val="19"/>
          <w:szCs w:val="19"/>
        </w:rPr>
        <w:t xml:space="preserve"> protection au sein des administrations elles-</w:t>
      </w:r>
      <w:proofErr w:type="gramStart"/>
      <w:r>
        <w:rPr>
          <w:color w:val="333333"/>
          <w:sz w:val="19"/>
          <w:szCs w:val="19"/>
        </w:rPr>
        <w:t>mêmes  ·</w:t>
      </w:r>
      <w:proofErr w:type="gramEnd"/>
      <w:r>
        <w:rPr>
          <w:color w:val="333333"/>
          <w:sz w:val="19"/>
          <w:szCs w:val="19"/>
        </w:rPr>
        <w:t xml:space="preserve">  La Commission nationale consultative des droits de l’homme (</w:t>
      </w:r>
      <w:proofErr w:type="gramStart"/>
      <w:r>
        <w:rPr>
          <w:color w:val="333333"/>
          <w:sz w:val="19"/>
          <w:szCs w:val="19"/>
        </w:rPr>
        <w:t>CNCDH)  ·</w:t>
      </w:r>
      <w:proofErr w:type="gramEnd"/>
      <w:r>
        <w:rPr>
          <w:color w:val="333333"/>
          <w:sz w:val="19"/>
          <w:szCs w:val="19"/>
        </w:rPr>
        <w:t xml:space="preserve">  La protection par des autorités administratives indépendantes</w:t>
      </w:r>
    </w:p>
    <w:p w14:paraId="279605C0"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71-1 de la Constitution de </w:t>
      </w:r>
      <w:proofErr w:type="gramStart"/>
      <w:r>
        <w:rPr>
          <w:color w:val="4A4A4A"/>
        </w:rPr>
        <w:t>1958  ·</w:t>
      </w:r>
      <w:proofErr w:type="gramEnd"/>
      <w:r>
        <w:rPr>
          <w:color w:val="4A4A4A"/>
        </w:rPr>
        <w:t xml:space="preserve">  Cons. </w:t>
      </w:r>
      <w:proofErr w:type="spellStart"/>
      <w:proofErr w:type="gramStart"/>
      <w:r>
        <w:rPr>
          <w:color w:val="4A4A4A"/>
        </w:rPr>
        <w:t>const</w:t>
      </w:r>
      <w:proofErr w:type="spellEnd"/>
      <w:proofErr w:type="gramEnd"/>
      <w:r>
        <w:rPr>
          <w:color w:val="4A4A4A"/>
        </w:rPr>
        <w:t>., décision no 84-173 DC du 26 juillet 1984</w:t>
      </w:r>
    </w:p>
    <w:p w14:paraId="416750BF"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V  ·</w:t>
      </w:r>
      <w:proofErr w:type="gramEnd"/>
      <w:r>
        <w:rPr>
          <w:b/>
          <w:bCs/>
          <w:color w:val="2E5A88"/>
          <w:spacing w:val="30"/>
          <w:sz w:val="17"/>
          <w:szCs w:val="17"/>
        </w:rPr>
        <w:t xml:space="preserve">  </w:t>
      </w:r>
      <w:r>
        <w:rPr>
          <w:rFonts w:ascii="Cambria" w:eastAsia="Cambria" w:hAnsi="Cambria" w:cs="Cambria"/>
          <w:b/>
          <w:bCs/>
          <w:color w:val="1F3864"/>
          <w:sz w:val="25"/>
          <w:szCs w:val="25"/>
        </w:rPr>
        <w:t>Les mécanismes internationaux et européens de protection</w:t>
      </w:r>
    </w:p>
    <w:p w14:paraId="3391797E" w14:textId="77777777" w:rsidR="002F5D69" w:rsidRDefault="00000000">
      <w:pPr>
        <w:spacing w:before="60" w:after="110"/>
        <w:jc w:val="both"/>
      </w:pPr>
      <w:r>
        <w:rPr>
          <w:i/>
          <w:iCs/>
          <w:color w:val="5A5A5A"/>
        </w:rPr>
        <w:t>Les mêmes questions à l’échelle supranationale : comités onusiens, Cour européenne, Cour de justice, juridictions régionales, organes politiques et administratifs.</w:t>
      </w:r>
    </w:p>
    <w:p w14:paraId="6EEEA2E6" w14:textId="77777777" w:rsidR="002F5D69" w:rsidRDefault="00000000">
      <w:pPr>
        <w:keepNext/>
        <w:spacing w:before="150" w:after="30"/>
      </w:pPr>
      <w:r>
        <w:rPr>
          <w:b/>
          <w:bCs/>
          <w:color w:val="2E5A88"/>
          <w:sz w:val="21"/>
          <w:szCs w:val="21"/>
        </w:rPr>
        <w:t xml:space="preserve">21. </w:t>
      </w:r>
      <w:r>
        <w:rPr>
          <w:rFonts w:ascii="Cambria" w:eastAsia="Cambria" w:hAnsi="Cambria" w:cs="Cambria"/>
          <w:b/>
          <w:bCs/>
          <w:color w:val="1F3864"/>
          <w:sz w:val="21"/>
          <w:szCs w:val="21"/>
        </w:rPr>
        <w:t>Les comités onusiens</w:t>
      </w:r>
      <w:r>
        <w:rPr>
          <w:color w:val="6E6E6E"/>
          <w:sz w:val="15"/>
          <w:szCs w:val="15"/>
        </w:rPr>
        <w:t xml:space="preserve">   p. 209</w:t>
      </w:r>
    </w:p>
    <w:p w14:paraId="53EC405F" w14:textId="77777777" w:rsidR="002F5D69" w:rsidRDefault="00000000">
      <w:pPr>
        <w:spacing w:after="40" w:line="264" w:lineRule="auto"/>
        <w:ind w:left="170"/>
        <w:jc w:val="both"/>
      </w:pPr>
      <w:r>
        <w:rPr>
          <w:color w:val="1A1A1A"/>
          <w:sz w:val="20"/>
          <w:szCs w:val="20"/>
        </w:rPr>
        <w:t>Les organes de traité onusiens : rapports périodiques, communications interétatiques et individuelles, observations générales, enquêtes. Valeur juridique de leurs décisions : controversée.</w:t>
      </w:r>
    </w:p>
    <w:p w14:paraId="296E6F3B"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multiplication des </w:t>
      </w:r>
      <w:proofErr w:type="gramStart"/>
      <w:r>
        <w:rPr>
          <w:color w:val="333333"/>
          <w:sz w:val="19"/>
          <w:szCs w:val="19"/>
        </w:rPr>
        <w:t>comités  ·</w:t>
      </w:r>
      <w:proofErr w:type="gramEnd"/>
      <w:r>
        <w:rPr>
          <w:color w:val="333333"/>
          <w:sz w:val="19"/>
          <w:szCs w:val="19"/>
        </w:rPr>
        <w:t xml:space="preserve">  L’hétérogénéité fonctionnelle des </w:t>
      </w:r>
      <w:proofErr w:type="gramStart"/>
      <w:r>
        <w:rPr>
          <w:color w:val="333333"/>
          <w:sz w:val="19"/>
          <w:szCs w:val="19"/>
        </w:rPr>
        <w:t>comités  ·</w:t>
      </w:r>
      <w:proofErr w:type="gramEnd"/>
      <w:r>
        <w:rPr>
          <w:color w:val="333333"/>
          <w:sz w:val="19"/>
          <w:szCs w:val="19"/>
        </w:rPr>
        <w:t xml:space="preserve">  Les controverses sur la valeur juridique des décisions des comités ?</w:t>
      </w:r>
    </w:p>
    <w:p w14:paraId="0CADE16F"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28-45 du Pacte international relatif aux droits civils et </w:t>
      </w:r>
      <w:proofErr w:type="gramStart"/>
      <w:r>
        <w:rPr>
          <w:color w:val="4A4A4A"/>
        </w:rPr>
        <w:t>politiques  ·</w:t>
      </w:r>
      <w:proofErr w:type="gramEnd"/>
      <w:r>
        <w:rPr>
          <w:color w:val="4A4A4A"/>
        </w:rPr>
        <w:t xml:space="preserve">  Art. 1er- 15 du Protocole facultatif au Pacte international relatif aux droits </w:t>
      </w:r>
      <w:proofErr w:type="gramStart"/>
      <w:r>
        <w:rPr>
          <w:color w:val="4A4A4A"/>
        </w:rPr>
        <w:t>économiques  ·</w:t>
      </w:r>
      <w:proofErr w:type="gramEnd"/>
      <w:r>
        <w:rPr>
          <w:color w:val="4A4A4A"/>
        </w:rPr>
        <w:t xml:space="preserve">  Art. 8-16 de la Convention internationale sur l’élimination de toutes les formes de </w:t>
      </w:r>
      <w:proofErr w:type="spellStart"/>
      <w:r>
        <w:rPr>
          <w:color w:val="4A4A4A"/>
        </w:rPr>
        <w:t>discrimi</w:t>
      </w:r>
      <w:proofErr w:type="spellEnd"/>
    </w:p>
    <w:p w14:paraId="05AE1F3E" w14:textId="77777777" w:rsidR="002F5D69" w:rsidRDefault="00000000">
      <w:pPr>
        <w:keepNext/>
        <w:spacing w:before="150" w:after="30"/>
      </w:pPr>
      <w:r>
        <w:rPr>
          <w:b/>
          <w:bCs/>
          <w:color w:val="2E5A88"/>
          <w:sz w:val="21"/>
          <w:szCs w:val="21"/>
        </w:rPr>
        <w:t xml:space="preserve">22. </w:t>
      </w:r>
      <w:r>
        <w:rPr>
          <w:rFonts w:ascii="Cambria" w:eastAsia="Cambria" w:hAnsi="Cambria" w:cs="Cambria"/>
          <w:b/>
          <w:bCs/>
          <w:color w:val="1F3864"/>
          <w:sz w:val="21"/>
          <w:szCs w:val="21"/>
        </w:rPr>
        <w:t>La Cour européenne des droits de l’homme</w:t>
      </w:r>
      <w:r>
        <w:rPr>
          <w:color w:val="6E6E6E"/>
          <w:sz w:val="15"/>
          <w:szCs w:val="15"/>
        </w:rPr>
        <w:t xml:space="preserve">   p. 217</w:t>
      </w:r>
    </w:p>
    <w:p w14:paraId="03F13EAE" w14:textId="77777777" w:rsidR="002F5D69" w:rsidRDefault="00000000">
      <w:pPr>
        <w:spacing w:after="40" w:line="264" w:lineRule="auto"/>
        <w:ind w:left="170"/>
        <w:jc w:val="both"/>
      </w:pPr>
      <w:r>
        <w:rPr>
          <w:color w:val="1A1A1A"/>
          <w:sz w:val="20"/>
          <w:szCs w:val="20"/>
        </w:rPr>
        <w:t>La Cour de Strasbourg : formations et procédure, interprétation dynamique et concepts modérateurs, portée des arrêts, arrêts pilotes et autorité de la chose interprétée.</w:t>
      </w:r>
    </w:p>
    <w:p w14:paraId="58FE52AE"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fonctionnement institutionnel de la </w:t>
      </w:r>
      <w:proofErr w:type="gramStart"/>
      <w:r>
        <w:rPr>
          <w:color w:val="333333"/>
          <w:sz w:val="19"/>
          <w:szCs w:val="19"/>
        </w:rPr>
        <w:t>Cour  ·</w:t>
      </w:r>
      <w:proofErr w:type="gramEnd"/>
      <w:r>
        <w:rPr>
          <w:color w:val="333333"/>
          <w:sz w:val="19"/>
          <w:szCs w:val="19"/>
        </w:rPr>
        <w:t xml:space="preserve">  L’interprétation de la </w:t>
      </w:r>
      <w:proofErr w:type="gramStart"/>
      <w:r>
        <w:rPr>
          <w:color w:val="333333"/>
          <w:sz w:val="19"/>
          <w:szCs w:val="19"/>
        </w:rPr>
        <w:t>Convention  ·</w:t>
      </w:r>
      <w:proofErr w:type="gramEnd"/>
      <w:r>
        <w:rPr>
          <w:color w:val="333333"/>
          <w:sz w:val="19"/>
          <w:szCs w:val="19"/>
        </w:rPr>
        <w:t xml:space="preserve">  La portée des arrêts de la Cour</w:t>
      </w:r>
    </w:p>
    <w:p w14:paraId="2FB6C344"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CEDH</w:t>
      </w:r>
      <w:proofErr w:type="gramEnd"/>
      <w:r>
        <w:rPr>
          <w:color w:val="4A4A4A"/>
        </w:rPr>
        <w:t xml:space="preserve">, 23 juillet </w:t>
      </w:r>
      <w:proofErr w:type="gramStart"/>
      <w:r>
        <w:rPr>
          <w:color w:val="4A4A4A"/>
        </w:rPr>
        <w:t>1968  ·</w:t>
      </w:r>
      <w:proofErr w:type="gramEnd"/>
      <w:r>
        <w:rPr>
          <w:color w:val="4A4A4A"/>
        </w:rPr>
        <w:t xml:space="preserve">  CEDH, AP., 21 février 1975, Golder c. Royaume-Uni, no 4451/</w:t>
      </w:r>
      <w:proofErr w:type="gramStart"/>
      <w:r>
        <w:rPr>
          <w:color w:val="4A4A4A"/>
        </w:rPr>
        <w:t>70  ·</w:t>
      </w:r>
      <w:proofErr w:type="gramEnd"/>
      <w:r>
        <w:rPr>
          <w:color w:val="4A4A4A"/>
        </w:rPr>
        <w:t xml:space="preserve">  CEDH, 9 octobre 1979, Airey c. Irlande, no 6289/73</w:t>
      </w:r>
    </w:p>
    <w:p w14:paraId="116DCA51" w14:textId="77777777" w:rsidR="002F5D69" w:rsidRDefault="00000000">
      <w:pPr>
        <w:keepNext/>
        <w:spacing w:before="150" w:after="30"/>
      </w:pPr>
      <w:r>
        <w:rPr>
          <w:b/>
          <w:bCs/>
          <w:color w:val="2E5A88"/>
          <w:sz w:val="21"/>
          <w:szCs w:val="21"/>
        </w:rPr>
        <w:t xml:space="preserve">23. </w:t>
      </w:r>
      <w:r>
        <w:rPr>
          <w:rFonts w:ascii="Cambria" w:eastAsia="Cambria" w:hAnsi="Cambria" w:cs="Cambria"/>
          <w:b/>
          <w:bCs/>
          <w:color w:val="1F3864"/>
          <w:sz w:val="21"/>
          <w:szCs w:val="21"/>
        </w:rPr>
        <w:t>La Cour de justice de l’Union européenne</w:t>
      </w:r>
      <w:r>
        <w:rPr>
          <w:color w:val="6E6E6E"/>
          <w:sz w:val="15"/>
          <w:szCs w:val="15"/>
        </w:rPr>
        <w:t xml:space="preserve">   p. 227</w:t>
      </w:r>
    </w:p>
    <w:p w14:paraId="3BF74B42" w14:textId="77777777" w:rsidR="002F5D69" w:rsidRDefault="00000000">
      <w:pPr>
        <w:spacing w:after="40" w:line="264" w:lineRule="auto"/>
        <w:ind w:left="170"/>
        <w:jc w:val="both"/>
      </w:pPr>
      <w:r>
        <w:rPr>
          <w:color w:val="1A1A1A"/>
          <w:sz w:val="20"/>
          <w:szCs w:val="20"/>
        </w:rPr>
        <w:t>La Cour de Luxembourg : annulation, renvoi préjudiciel, manquement ; accès difficile des particuliers (</w:t>
      </w:r>
      <w:proofErr w:type="spellStart"/>
      <w:r>
        <w:rPr>
          <w:color w:val="1A1A1A"/>
          <w:sz w:val="20"/>
          <w:szCs w:val="20"/>
        </w:rPr>
        <w:t>Plaumann</w:t>
      </w:r>
      <w:proofErr w:type="spellEnd"/>
      <w:r>
        <w:rPr>
          <w:color w:val="1A1A1A"/>
          <w:sz w:val="20"/>
          <w:szCs w:val="20"/>
        </w:rPr>
        <w:t>) ; le juge national comme premier juge des droits.</w:t>
      </w:r>
    </w:p>
    <w:p w14:paraId="190F07E8" w14:textId="77777777" w:rsidR="002F5D69" w:rsidRDefault="00000000">
      <w:pPr>
        <w:spacing w:after="40" w:line="264" w:lineRule="auto"/>
        <w:ind w:left="170"/>
      </w:pPr>
      <w:proofErr w:type="gramStart"/>
      <w:r>
        <w:rPr>
          <w:b/>
          <w:bCs/>
          <w:color w:val="2E5A88"/>
          <w:spacing w:val="16"/>
          <w:sz w:val="16"/>
          <w:szCs w:val="16"/>
        </w:rPr>
        <w:lastRenderedPageBreak/>
        <w:t xml:space="preserve">Charpente  </w:t>
      </w:r>
      <w:r>
        <w:rPr>
          <w:color w:val="333333"/>
          <w:sz w:val="19"/>
          <w:szCs w:val="19"/>
        </w:rPr>
        <w:t>L’institution</w:t>
      </w:r>
      <w:proofErr w:type="gramEnd"/>
      <w:r>
        <w:rPr>
          <w:color w:val="333333"/>
          <w:sz w:val="19"/>
          <w:szCs w:val="19"/>
        </w:rPr>
        <w:t xml:space="preserve">, ses missions et son </w:t>
      </w:r>
      <w:proofErr w:type="gramStart"/>
      <w:r>
        <w:rPr>
          <w:color w:val="333333"/>
          <w:sz w:val="19"/>
          <w:szCs w:val="19"/>
        </w:rPr>
        <w:t>fonctionnement  ·</w:t>
      </w:r>
      <w:proofErr w:type="gramEnd"/>
      <w:r>
        <w:rPr>
          <w:color w:val="333333"/>
          <w:sz w:val="19"/>
          <w:szCs w:val="19"/>
        </w:rPr>
        <w:t xml:space="preserve">  Protection des droits fondamentaux sous l’angle de la subsidiarité </w:t>
      </w:r>
      <w:proofErr w:type="gramStart"/>
      <w:r>
        <w:rPr>
          <w:color w:val="333333"/>
          <w:sz w:val="19"/>
          <w:szCs w:val="19"/>
        </w:rPr>
        <w:t>juridictionnelle  ·</w:t>
      </w:r>
      <w:proofErr w:type="gramEnd"/>
      <w:r>
        <w:rPr>
          <w:color w:val="333333"/>
          <w:sz w:val="19"/>
          <w:szCs w:val="19"/>
        </w:rPr>
        <w:t xml:space="preserve">  La Cour de justice et les autres juridictions protectrices des libertés : concurrence ou synergie ?</w:t>
      </w:r>
    </w:p>
    <w:p w14:paraId="70AF1C74"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19 du Traité sur l’Union </w:t>
      </w:r>
      <w:proofErr w:type="gramStart"/>
      <w:r>
        <w:rPr>
          <w:color w:val="4A4A4A"/>
        </w:rPr>
        <w:t>européenne  ·</w:t>
      </w:r>
      <w:proofErr w:type="gramEnd"/>
      <w:r>
        <w:rPr>
          <w:color w:val="4A4A4A"/>
        </w:rPr>
        <w:t xml:space="preserve">  CJCE, 15 juillet 1963, </w:t>
      </w:r>
      <w:proofErr w:type="spellStart"/>
      <w:r>
        <w:rPr>
          <w:color w:val="4A4A4A"/>
        </w:rPr>
        <w:t>Plaumann</w:t>
      </w:r>
      <w:proofErr w:type="spellEnd"/>
      <w:r>
        <w:rPr>
          <w:color w:val="4A4A4A"/>
        </w:rPr>
        <w:t>, aff.25/</w:t>
      </w:r>
      <w:proofErr w:type="gramStart"/>
      <w:r>
        <w:rPr>
          <w:color w:val="4A4A4A"/>
        </w:rPr>
        <w:t>62  ·</w:t>
      </w:r>
      <w:proofErr w:type="gramEnd"/>
      <w:r>
        <w:rPr>
          <w:color w:val="4A4A4A"/>
        </w:rPr>
        <w:t xml:space="preserve">  CJUE, 8 avril 2014, Digital </w:t>
      </w:r>
      <w:proofErr w:type="spellStart"/>
      <w:r>
        <w:rPr>
          <w:color w:val="4A4A4A"/>
        </w:rPr>
        <w:t>Rights</w:t>
      </w:r>
      <w:proofErr w:type="spellEnd"/>
      <w:r>
        <w:rPr>
          <w:color w:val="4A4A4A"/>
        </w:rPr>
        <w:t xml:space="preserve"> Ireland, C-293/12</w:t>
      </w:r>
    </w:p>
    <w:p w14:paraId="08E391CB" w14:textId="77777777" w:rsidR="002F5D69" w:rsidRDefault="00000000">
      <w:pPr>
        <w:keepNext/>
        <w:spacing w:before="150" w:after="30"/>
      </w:pPr>
      <w:r>
        <w:rPr>
          <w:b/>
          <w:bCs/>
          <w:color w:val="2E5A88"/>
          <w:sz w:val="21"/>
          <w:szCs w:val="21"/>
        </w:rPr>
        <w:t xml:space="preserve">24. </w:t>
      </w:r>
      <w:r>
        <w:rPr>
          <w:rFonts w:ascii="Cambria" w:eastAsia="Cambria" w:hAnsi="Cambria" w:cs="Cambria"/>
          <w:b/>
          <w:bCs/>
          <w:color w:val="1F3864"/>
          <w:sz w:val="21"/>
          <w:szCs w:val="21"/>
        </w:rPr>
        <w:t>Les autres juridictions régionales</w:t>
      </w:r>
      <w:r>
        <w:rPr>
          <w:color w:val="6E6E6E"/>
          <w:sz w:val="15"/>
          <w:szCs w:val="15"/>
        </w:rPr>
        <w:t xml:space="preserve">   p. 237</w:t>
      </w:r>
    </w:p>
    <w:p w14:paraId="1D5CD1C5" w14:textId="77777777" w:rsidR="002F5D69" w:rsidRDefault="00000000">
      <w:pPr>
        <w:spacing w:after="40" w:line="264" w:lineRule="auto"/>
        <w:ind w:left="170"/>
        <w:jc w:val="both"/>
      </w:pPr>
      <w:r>
        <w:rPr>
          <w:color w:val="1A1A1A"/>
          <w:sz w:val="20"/>
          <w:szCs w:val="20"/>
        </w:rPr>
        <w:t>Le panorama comparatif — cours interaméricaine, africaine, arabe — avec tableau de synthèse. Le support naturel du débat universalisme / relativisme culturel.</w:t>
      </w:r>
    </w:p>
    <w:p w14:paraId="0CE82ED0"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Cour interaméricaine des droits de </w:t>
      </w:r>
      <w:proofErr w:type="gramStart"/>
      <w:r>
        <w:rPr>
          <w:color w:val="333333"/>
          <w:sz w:val="19"/>
          <w:szCs w:val="19"/>
        </w:rPr>
        <w:t>l’homme  ·</w:t>
      </w:r>
      <w:proofErr w:type="gramEnd"/>
      <w:r>
        <w:rPr>
          <w:color w:val="333333"/>
          <w:sz w:val="19"/>
          <w:szCs w:val="19"/>
        </w:rPr>
        <w:t xml:space="preserve">  La Cour africaine des droits de l’homme et des </w:t>
      </w:r>
      <w:proofErr w:type="gramStart"/>
      <w:r>
        <w:rPr>
          <w:color w:val="333333"/>
          <w:sz w:val="19"/>
          <w:szCs w:val="19"/>
        </w:rPr>
        <w:t>peuples  ·</w:t>
      </w:r>
      <w:proofErr w:type="gramEnd"/>
      <w:r>
        <w:rPr>
          <w:color w:val="333333"/>
          <w:sz w:val="19"/>
          <w:szCs w:val="19"/>
        </w:rPr>
        <w:t xml:space="preserve">  La Cour arabe des droits de </w:t>
      </w:r>
      <w:proofErr w:type="gramStart"/>
      <w:r>
        <w:rPr>
          <w:color w:val="333333"/>
          <w:sz w:val="19"/>
          <w:szCs w:val="19"/>
        </w:rPr>
        <w:t>l’homme  ·</w:t>
      </w:r>
      <w:proofErr w:type="gramEnd"/>
      <w:r>
        <w:rPr>
          <w:color w:val="333333"/>
          <w:sz w:val="19"/>
          <w:szCs w:val="19"/>
        </w:rPr>
        <w:t xml:space="preserve">  Tableau comparatif des différentes juridictions régionales :</w:t>
      </w:r>
    </w:p>
    <w:p w14:paraId="42589689"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Déclaration</w:t>
      </w:r>
      <w:proofErr w:type="gramEnd"/>
      <w:r>
        <w:rPr>
          <w:color w:val="4A4A4A"/>
        </w:rPr>
        <w:t xml:space="preserve"> américaine des droits et devoirs de l’homme </w:t>
      </w:r>
      <w:proofErr w:type="gramStart"/>
      <w:r>
        <w:rPr>
          <w:color w:val="4A4A4A"/>
        </w:rPr>
        <w:t>1948  ·</w:t>
      </w:r>
      <w:proofErr w:type="gramEnd"/>
      <w:r>
        <w:rPr>
          <w:color w:val="4A4A4A"/>
        </w:rPr>
        <w:t xml:space="preserve">  Déclaration universelle des droits de l’homme de </w:t>
      </w:r>
      <w:proofErr w:type="gramStart"/>
      <w:r>
        <w:rPr>
          <w:color w:val="4A4A4A"/>
        </w:rPr>
        <w:t>1948  ·</w:t>
      </w:r>
      <w:proofErr w:type="gramEnd"/>
      <w:r>
        <w:rPr>
          <w:color w:val="4A4A4A"/>
        </w:rPr>
        <w:t xml:space="preserve">  Convention américaine relative aux droits de l’homme de 1969</w:t>
      </w:r>
    </w:p>
    <w:p w14:paraId="5B93EFB7" w14:textId="77777777" w:rsidR="002F5D69" w:rsidRDefault="00000000">
      <w:pPr>
        <w:keepNext/>
        <w:spacing w:before="150" w:after="30"/>
      </w:pPr>
      <w:r>
        <w:rPr>
          <w:b/>
          <w:bCs/>
          <w:color w:val="2E5A88"/>
          <w:sz w:val="21"/>
          <w:szCs w:val="21"/>
        </w:rPr>
        <w:t xml:space="preserve">25. </w:t>
      </w:r>
      <w:r>
        <w:rPr>
          <w:rFonts w:ascii="Cambria" w:eastAsia="Cambria" w:hAnsi="Cambria" w:cs="Cambria"/>
          <w:b/>
          <w:bCs/>
          <w:color w:val="1F3864"/>
          <w:sz w:val="21"/>
          <w:szCs w:val="21"/>
        </w:rPr>
        <w:t>La protection politique et administrative internationale</w:t>
      </w:r>
      <w:r>
        <w:rPr>
          <w:color w:val="6E6E6E"/>
          <w:sz w:val="15"/>
          <w:szCs w:val="15"/>
        </w:rPr>
        <w:t xml:space="preserve">   p. 245</w:t>
      </w:r>
    </w:p>
    <w:p w14:paraId="5560398A" w14:textId="77777777" w:rsidR="002F5D69" w:rsidRDefault="00000000">
      <w:pPr>
        <w:spacing w:after="40" w:line="264" w:lineRule="auto"/>
        <w:ind w:left="170"/>
        <w:jc w:val="both"/>
      </w:pPr>
      <w:r>
        <w:rPr>
          <w:color w:val="1A1A1A"/>
          <w:sz w:val="20"/>
          <w:szCs w:val="20"/>
        </w:rPr>
        <w:t>La protection non juridictionnelle internationale : Conseil des droits de l’homme et Haut-Commissariat, Commissaire et Commission de Venise, Médiateur européen, Agence des droits fondamentaux, contrôleur des données.</w:t>
      </w:r>
    </w:p>
    <w:p w14:paraId="678C38D9"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protection administrative et politique par les organes des Nations </w:t>
      </w:r>
      <w:proofErr w:type="gramStart"/>
      <w:r>
        <w:rPr>
          <w:color w:val="333333"/>
          <w:sz w:val="19"/>
          <w:szCs w:val="19"/>
        </w:rPr>
        <w:t>unies  ·</w:t>
      </w:r>
      <w:proofErr w:type="gramEnd"/>
      <w:r>
        <w:rPr>
          <w:color w:val="333333"/>
          <w:sz w:val="19"/>
          <w:szCs w:val="19"/>
        </w:rPr>
        <w:t xml:space="preserve">  La protection politique et administrative par des organes du Conseil de </w:t>
      </w:r>
      <w:proofErr w:type="gramStart"/>
      <w:r>
        <w:rPr>
          <w:color w:val="333333"/>
          <w:sz w:val="19"/>
          <w:szCs w:val="19"/>
        </w:rPr>
        <w:t>l’Europe  ·</w:t>
      </w:r>
      <w:proofErr w:type="gramEnd"/>
      <w:r>
        <w:rPr>
          <w:color w:val="333333"/>
          <w:sz w:val="19"/>
          <w:szCs w:val="19"/>
        </w:rPr>
        <w:t xml:space="preserve">  La protection politique et administrative par des organes de l’Union européenne</w:t>
      </w:r>
    </w:p>
    <w:p w14:paraId="096DD53F"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1er de la Charte des Nations </w:t>
      </w:r>
      <w:proofErr w:type="gramStart"/>
      <w:r>
        <w:rPr>
          <w:color w:val="4A4A4A"/>
        </w:rPr>
        <w:t>unies  ·</w:t>
      </w:r>
      <w:proofErr w:type="gramEnd"/>
      <w:r>
        <w:rPr>
          <w:color w:val="4A4A4A"/>
        </w:rPr>
        <w:t xml:space="preserve">  Art. 43 de la Charte des droits fondamentaux de l’Union </w:t>
      </w:r>
      <w:proofErr w:type="gramStart"/>
      <w:r>
        <w:rPr>
          <w:color w:val="4A4A4A"/>
        </w:rPr>
        <w:t>européenne  ·</w:t>
      </w:r>
      <w:proofErr w:type="gramEnd"/>
      <w:r>
        <w:rPr>
          <w:color w:val="4A4A4A"/>
        </w:rPr>
        <w:t xml:space="preserve">  Art. de la Convention européenne des droits de l’homme</w:t>
      </w:r>
    </w:p>
    <w:p w14:paraId="559A8164"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VI  ·</w:t>
      </w:r>
      <w:proofErr w:type="gramEnd"/>
      <w:r>
        <w:rPr>
          <w:b/>
          <w:bCs/>
          <w:color w:val="2E5A88"/>
          <w:spacing w:val="30"/>
          <w:sz w:val="17"/>
          <w:szCs w:val="17"/>
        </w:rPr>
        <w:t xml:space="preserve">  </w:t>
      </w:r>
      <w:r>
        <w:rPr>
          <w:rFonts w:ascii="Cambria" w:eastAsia="Cambria" w:hAnsi="Cambria" w:cs="Cambria"/>
          <w:b/>
          <w:bCs/>
          <w:color w:val="1F3864"/>
          <w:sz w:val="25"/>
          <w:szCs w:val="25"/>
        </w:rPr>
        <w:t>Les droits civils et politiques</w:t>
      </w:r>
    </w:p>
    <w:p w14:paraId="2362B950" w14:textId="77777777" w:rsidR="002F5D69" w:rsidRDefault="00000000">
      <w:pPr>
        <w:spacing w:before="60" w:after="110"/>
        <w:jc w:val="both"/>
      </w:pPr>
      <w:r>
        <w:rPr>
          <w:i/>
          <w:iCs/>
          <w:color w:val="5A5A5A"/>
        </w:rPr>
        <w:t>Dix-neuf fiches, la partie la plus lourde. Ordre suivi : la personne physique, la liberté physique et le procès, la sphère privée, les libertés de l’esprit et de l’action collective, la circulation et l’enseignement, enfin le politique.</w:t>
      </w:r>
    </w:p>
    <w:p w14:paraId="1D6BFFB1" w14:textId="77777777" w:rsidR="002F5D69" w:rsidRDefault="00000000">
      <w:pPr>
        <w:keepNext/>
        <w:spacing w:before="150" w:after="30"/>
      </w:pPr>
      <w:r>
        <w:rPr>
          <w:b/>
          <w:bCs/>
          <w:color w:val="2E5A88"/>
          <w:sz w:val="21"/>
          <w:szCs w:val="21"/>
        </w:rPr>
        <w:t xml:space="preserve">26. </w:t>
      </w:r>
      <w:r>
        <w:rPr>
          <w:rFonts w:ascii="Cambria" w:eastAsia="Cambria" w:hAnsi="Cambria" w:cs="Cambria"/>
          <w:b/>
          <w:bCs/>
          <w:color w:val="1F3864"/>
          <w:sz w:val="21"/>
          <w:szCs w:val="21"/>
        </w:rPr>
        <w:t>Le droit à la vie</w:t>
      </w:r>
      <w:r>
        <w:rPr>
          <w:color w:val="6E6E6E"/>
          <w:sz w:val="15"/>
          <w:szCs w:val="15"/>
        </w:rPr>
        <w:t xml:space="preserve">   p. 256</w:t>
      </w:r>
    </w:p>
    <w:p w14:paraId="533CE3AB" w14:textId="77777777" w:rsidR="002F5D69" w:rsidRDefault="00000000">
      <w:pPr>
        <w:spacing w:after="40" w:line="264" w:lineRule="auto"/>
        <w:ind w:left="170"/>
        <w:jc w:val="both"/>
      </w:pPr>
      <w:r>
        <w:rPr>
          <w:color w:val="1A1A1A"/>
          <w:sz w:val="20"/>
          <w:szCs w:val="20"/>
        </w:rPr>
        <w:t>Valeur suprême et droit indérogeable : interdiction d’infliger la mort (peine capitale, opérations de la puissance publique, état de guerre), puis obligations procédurales, positives et effet horizontal.</w:t>
      </w:r>
    </w:p>
    <w:p w14:paraId="61F70411"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Principes</w:t>
      </w:r>
      <w:proofErr w:type="gramEnd"/>
      <w:r>
        <w:rPr>
          <w:color w:val="333333"/>
          <w:sz w:val="19"/>
          <w:szCs w:val="19"/>
        </w:rPr>
        <w:t xml:space="preserve"> fondamentaux relatifs à la </w:t>
      </w:r>
      <w:proofErr w:type="gramStart"/>
      <w:r>
        <w:rPr>
          <w:color w:val="333333"/>
          <w:sz w:val="19"/>
          <w:szCs w:val="19"/>
        </w:rPr>
        <w:t>vie  ·</w:t>
      </w:r>
      <w:proofErr w:type="gramEnd"/>
      <w:r>
        <w:rPr>
          <w:color w:val="333333"/>
          <w:sz w:val="19"/>
          <w:szCs w:val="19"/>
        </w:rPr>
        <w:t xml:space="preserve">  La protection étendue du droit à la vie</w:t>
      </w:r>
    </w:p>
    <w:p w14:paraId="5C63DE0F"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3 de la Déclaration universelle des droits de </w:t>
      </w:r>
      <w:proofErr w:type="gramStart"/>
      <w:r>
        <w:rPr>
          <w:color w:val="4A4A4A"/>
        </w:rPr>
        <w:t>l’homme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94-343/344 DC, 27 juillet </w:t>
      </w:r>
      <w:proofErr w:type="gramStart"/>
      <w:r>
        <w:rPr>
          <w:color w:val="4A4A4A"/>
        </w:rPr>
        <w:t>1994  ·</w:t>
      </w:r>
      <w:proofErr w:type="gramEnd"/>
      <w:r>
        <w:rPr>
          <w:color w:val="4A4A4A"/>
        </w:rPr>
        <w:t xml:space="preserve">  Art. 2 de la Convention européenne des droits de l’homme</w:t>
      </w:r>
    </w:p>
    <w:p w14:paraId="7E4AD623" w14:textId="77777777" w:rsidR="002F5D69" w:rsidRDefault="00000000">
      <w:pPr>
        <w:keepNext/>
        <w:spacing w:before="150" w:after="30"/>
      </w:pPr>
      <w:r>
        <w:rPr>
          <w:b/>
          <w:bCs/>
          <w:color w:val="2E5A88"/>
          <w:sz w:val="21"/>
          <w:szCs w:val="21"/>
        </w:rPr>
        <w:t xml:space="preserve">27. </w:t>
      </w:r>
      <w:r>
        <w:rPr>
          <w:rFonts w:ascii="Cambria" w:eastAsia="Cambria" w:hAnsi="Cambria" w:cs="Cambria"/>
          <w:b/>
          <w:bCs/>
          <w:color w:val="1F3864"/>
          <w:sz w:val="21"/>
          <w:szCs w:val="21"/>
        </w:rPr>
        <w:t>Le droit à l’intégrité de la personne</w:t>
      </w:r>
      <w:r>
        <w:rPr>
          <w:color w:val="6E6E6E"/>
          <w:sz w:val="15"/>
          <w:szCs w:val="15"/>
        </w:rPr>
        <w:t xml:space="preserve">   p. 267</w:t>
      </w:r>
    </w:p>
    <w:p w14:paraId="1806041D" w14:textId="77777777" w:rsidR="002F5D69" w:rsidRDefault="00000000">
      <w:pPr>
        <w:spacing w:after="40" w:line="264" w:lineRule="auto"/>
        <w:ind w:left="170"/>
        <w:jc w:val="both"/>
      </w:pPr>
      <w:r>
        <w:rPr>
          <w:color w:val="1A1A1A"/>
          <w:sz w:val="20"/>
          <w:szCs w:val="20"/>
        </w:rPr>
        <w:t>Consentement sacralisé et autonomie personnelle : intégrité physique (disposition du corps, inviolabilité, fin de vie) et intégrité morale. Pas de droit à mourir consacré.</w:t>
      </w:r>
    </w:p>
    <w:p w14:paraId="39D888B4"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droit à l’intégrité physique de la personne </w:t>
      </w:r>
      <w:proofErr w:type="gramStart"/>
      <w:r>
        <w:rPr>
          <w:color w:val="333333"/>
          <w:sz w:val="19"/>
          <w:szCs w:val="19"/>
        </w:rPr>
        <w:t>humaine  ·</w:t>
      </w:r>
      <w:proofErr w:type="gramEnd"/>
      <w:r>
        <w:rPr>
          <w:color w:val="333333"/>
          <w:sz w:val="19"/>
          <w:szCs w:val="19"/>
        </w:rPr>
        <w:t xml:space="preserve">  Le droit à l’intégrité morale de la personne humaine</w:t>
      </w:r>
    </w:p>
    <w:p w14:paraId="430135C3"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CEDH</w:t>
      </w:r>
      <w:proofErr w:type="gramEnd"/>
      <w:r>
        <w:rPr>
          <w:color w:val="4A4A4A"/>
        </w:rPr>
        <w:t>, 29 avril 2002, Pretty c. Royaume-Uni, no 2346/</w:t>
      </w:r>
      <w:proofErr w:type="gramStart"/>
      <w:r>
        <w:rPr>
          <w:color w:val="4A4A4A"/>
        </w:rPr>
        <w:t>02  ·</w:t>
      </w:r>
      <w:proofErr w:type="gramEnd"/>
      <w:r>
        <w:rPr>
          <w:color w:val="4A4A4A"/>
        </w:rPr>
        <w:t xml:space="preserve">  CEDH, GC., 25 septembre 2018, Denisov c. Ukraine, no 76639/</w:t>
      </w:r>
      <w:proofErr w:type="gramStart"/>
      <w:r>
        <w:rPr>
          <w:color w:val="4A4A4A"/>
        </w:rPr>
        <w:t>11  ·</w:t>
      </w:r>
      <w:proofErr w:type="gramEnd"/>
      <w:r>
        <w:rPr>
          <w:color w:val="4A4A4A"/>
        </w:rPr>
        <w:t xml:space="preserve">  CEDH, 24 avril 2025, L. et a. c. France, nos 46949/21 et 2 a</w:t>
      </w:r>
    </w:p>
    <w:p w14:paraId="2078418C" w14:textId="77777777" w:rsidR="002F5D69" w:rsidRDefault="00000000">
      <w:pPr>
        <w:keepNext/>
        <w:spacing w:before="150" w:after="30"/>
      </w:pPr>
      <w:r>
        <w:rPr>
          <w:b/>
          <w:bCs/>
          <w:color w:val="2E5A88"/>
          <w:sz w:val="21"/>
          <w:szCs w:val="21"/>
        </w:rPr>
        <w:t xml:space="preserve">28. </w:t>
      </w:r>
      <w:r>
        <w:rPr>
          <w:rFonts w:ascii="Cambria" w:eastAsia="Cambria" w:hAnsi="Cambria" w:cs="Cambria"/>
          <w:b/>
          <w:bCs/>
          <w:color w:val="1F3864"/>
          <w:sz w:val="21"/>
          <w:szCs w:val="21"/>
        </w:rPr>
        <w:t>L’interdiction de la torture et des peines ou traitements inhumains ou dégradants</w:t>
      </w:r>
      <w:r>
        <w:rPr>
          <w:color w:val="6E6E6E"/>
          <w:sz w:val="15"/>
          <w:szCs w:val="15"/>
        </w:rPr>
        <w:t xml:space="preserve">   p. 279</w:t>
      </w:r>
    </w:p>
    <w:p w14:paraId="40776B2E" w14:textId="77777777" w:rsidR="002F5D69" w:rsidRDefault="00000000">
      <w:pPr>
        <w:spacing w:after="40" w:line="264" w:lineRule="auto"/>
        <w:ind w:left="170"/>
        <w:jc w:val="both"/>
      </w:pPr>
      <w:r>
        <w:rPr>
          <w:color w:val="1A1A1A"/>
          <w:sz w:val="20"/>
          <w:szCs w:val="20"/>
        </w:rPr>
        <w:t>L’article 3 et ses seuils : torture, traitement inhumain, traitement dégradant. Terrain d’élection : les conditions indignes de détention.</w:t>
      </w:r>
    </w:p>
    <w:p w14:paraId="40579CF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L’interdiction</w:t>
      </w:r>
      <w:proofErr w:type="gramEnd"/>
      <w:r>
        <w:rPr>
          <w:color w:val="333333"/>
          <w:sz w:val="19"/>
          <w:szCs w:val="19"/>
        </w:rPr>
        <w:t xml:space="preserve"> vigoureuse par le droit international et européen des droits </w:t>
      </w:r>
      <w:proofErr w:type="gramStart"/>
      <w:r>
        <w:rPr>
          <w:color w:val="333333"/>
          <w:sz w:val="19"/>
          <w:szCs w:val="19"/>
        </w:rPr>
        <w:t>humains  ·</w:t>
      </w:r>
      <w:proofErr w:type="gramEnd"/>
      <w:r>
        <w:rPr>
          <w:color w:val="333333"/>
          <w:sz w:val="19"/>
          <w:szCs w:val="19"/>
        </w:rPr>
        <w:t xml:space="preserve">  L’existence d’instruments conventionnels </w:t>
      </w:r>
      <w:proofErr w:type="gramStart"/>
      <w:r>
        <w:rPr>
          <w:color w:val="333333"/>
          <w:sz w:val="19"/>
          <w:szCs w:val="19"/>
        </w:rPr>
        <w:t>spécifiques  ·</w:t>
      </w:r>
      <w:proofErr w:type="gramEnd"/>
      <w:r>
        <w:rPr>
          <w:color w:val="333333"/>
          <w:sz w:val="19"/>
          <w:szCs w:val="19"/>
        </w:rPr>
        <w:t xml:space="preserve">  Les contours de la </w:t>
      </w:r>
      <w:proofErr w:type="gramStart"/>
      <w:r>
        <w:rPr>
          <w:color w:val="333333"/>
          <w:sz w:val="19"/>
          <w:szCs w:val="19"/>
        </w:rPr>
        <w:t>torture  ·</w:t>
      </w:r>
      <w:proofErr w:type="gramEnd"/>
      <w:r>
        <w:rPr>
          <w:color w:val="333333"/>
          <w:sz w:val="19"/>
          <w:szCs w:val="19"/>
        </w:rPr>
        <w:t xml:space="preserve">  La distinction entre les traitements et peines « inhumains » et « dégradants </w:t>
      </w:r>
      <w:proofErr w:type="gramStart"/>
      <w:r>
        <w:rPr>
          <w:color w:val="333333"/>
          <w:sz w:val="19"/>
          <w:szCs w:val="19"/>
        </w:rPr>
        <w:t>»  ·</w:t>
      </w:r>
      <w:proofErr w:type="gramEnd"/>
      <w:r>
        <w:rPr>
          <w:color w:val="333333"/>
          <w:sz w:val="19"/>
          <w:szCs w:val="19"/>
        </w:rPr>
        <w:t xml:space="preserve">  L’autonomie normative de l’interdiction de l’esclavage et du travail </w:t>
      </w:r>
      <w:proofErr w:type="gramStart"/>
      <w:r>
        <w:rPr>
          <w:color w:val="333333"/>
          <w:sz w:val="19"/>
          <w:szCs w:val="19"/>
        </w:rPr>
        <w:t>forcé  ·</w:t>
      </w:r>
      <w:proofErr w:type="gramEnd"/>
      <w:r>
        <w:rPr>
          <w:color w:val="333333"/>
          <w:sz w:val="19"/>
          <w:szCs w:val="19"/>
        </w:rPr>
        <w:t xml:space="preserve">  Les obligations négatives et positives de l’État</w:t>
      </w:r>
    </w:p>
    <w:p w14:paraId="7C2CFCED"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Convention</w:t>
      </w:r>
      <w:proofErr w:type="gramEnd"/>
      <w:r>
        <w:rPr>
          <w:color w:val="4A4A4A"/>
        </w:rPr>
        <w:t xml:space="preserve"> contre la torture et autres peines ou traitements cruels, inhumains ou </w:t>
      </w:r>
      <w:proofErr w:type="gramStart"/>
      <w:r>
        <w:rPr>
          <w:color w:val="4A4A4A"/>
        </w:rPr>
        <w:t>dégradants  ·</w:t>
      </w:r>
      <w:proofErr w:type="gramEnd"/>
      <w:r>
        <w:rPr>
          <w:color w:val="4A4A4A"/>
        </w:rPr>
        <w:t xml:space="preserve">  CE, ord., 22 décembre 2012, SF-OIP, no </w:t>
      </w:r>
      <w:proofErr w:type="gramStart"/>
      <w:r>
        <w:rPr>
          <w:color w:val="4A4A4A"/>
        </w:rPr>
        <w:t>364584  ·</w:t>
      </w:r>
      <w:proofErr w:type="gramEnd"/>
      <w:r>
        <w:rPr>
          <w:color w:val="4A4A4A"/>
        </w:rPr>
        <w:t xml:space="preserve">  CEDH, 30 janvier 2020, J.M.B. et a. c. France, no 9671/15</w:t>
      </w:r>
    </w:p>
    <w:p w14:paraId="64F00A74" w14:textId="77777777" w:rsidR="002F5D69" w:rsidRDefault="00000000">
      <w:pPr>
        <w:keepNext/>
        <w:spacing w:before="150" w:after="30"/>
      </w:pPr>
      <w:r>
        <w:rPr>
          <w:b/>
          <w:bCs/>
          <w:color w:val="2E5A88"/>
          <w:sz w:val="21"/>
          <w:szCs w:val="21"/>
        </w:rPr>
        <w:t xml:space="preserve">29. </w:t>
      </w:r>
      <w:r>
        <w:rPr>
          <w:rFonts w:ascii="Cambria" w:eastAsia="Cambria" w:hAnsi="Cambria" w:cs="Cambria"/>
          <w:b/>
          <w:bCs/>
          <w:color w:val="1F3864"/>
          <w:sz w:val="21"/>
          <w:szCs w:val="21"/>
        </w:rPr>
        <w:t>L’interdiction de l’esclavage, de la traite, de la servitude et du travail forcé</w:t>
      </w:r>
      <w:r>
        <w:rPr>
          <w:color w:val="6E6E6E"/>
          <w:sz w:val="15"/>
          <w:szCs w:val="15"/>
        </w:rPr>
        <w:t xml:space="preserve">   p. 288</w:t>
      </w:r>
    </w:p>
    <w:p w14:paraId="67CDF5CE" w14:textId="77777777" w:rsidR="002F5D69" w:rsidRDefault="00000000">
      <w:pPr>
        <w:spacing w:after="40" w:line="264" w:lineRule="auto"/>
        <w:ind w:left="170"/>
        <w:jc w:val="both"/>
      </w:pPr>
      <w:r>
        <w:rPr>
          <w:color w:val="1A1A1A"/>
          <w:sz w:val="20"/>
          <w:szCs w:val="20"/>
        </w:rPr>
        <w:t>L’article 4 : esclavage, servitude, travail forcé, traite — quatre notions à distinguer. Le terrain privilégié des obligations positives : prévenir, agir, enquêter, réparer.</w:t>
      </w:r>
    </w:p>
    <w:p w14:paraId="635BCEBA" w14:textId="77777777" w:rsidR="002F5D69" w:rsidRDefault="00000000">
      <w:pPr>
        <w:spacing w:after="40" w:line="264" w:lineRule="auto"/>
        <w:ind w:left="170"/>
      </w:pPr>
      <w:proofErr w:type="gramStart"/>
      <w:r>
        <w:rPr>
          <w:b/>
          <w:bCs/>
          <w:color w:val="2E5A88"/>
          <w:spacing w:val="16"/>
          <w:sz w:val="16"/>
          <w:szCs w:val="16"/>
        </w:rPr>
        <w:lastRenderedPageBreak/>
        <w:t xml:space="preserve">Charpente  </w:t>
      </w:r>
      <w:r>
        <w:rPr>
          <w:color w:val="333333"/>
          <w:sz w:val="19"/>
          <w:szCs w:val="19"/>
        </w:rPr>
        <w:t>Principes</w:t>
      </w:r>
      <w:proofErr w:type="gramEnd"/>
      <w:r>
        <w:rPr>
          <w:color w:val="333333"/>
          <w:sz w:val="19"/>
          <w:szCs w:val="19"/>
        </w:rPr>
        <w:t xml:space="preserve"> </w:t>
      </w:r>
      <w:proofErr w:type="gramStart"/>
      <w:r>
        <w:rPr>
          <w:color w:val="333333"/>
          <w:sz w:val="19"/>
          <w:szCs w:val="19"/>
        </w:rPr>
        <w:t>généraux  ·</w:t>
      </w:r>
      <w:proofErr w:type="gramEnd"/>
      <w:r>
        <w:rPr>
          <w:color w:val="333333"/>
          <w:sz w:val="19"/>
          <w:szCs w:val="19"/>
        </w:rPr>
        <w:t xml:space="preserve">  Un terrain privilégié des obligations positives</w:t>
      </w:r>
    </w:p>
    <w:p w14:paraId="5416AF2E"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4 de la Déclaration universelle des droits de </w:t>
      </w:r>
      <w:proofErr w:type="gramStart"/>
      <w:r>
        <w:rPr>
          <w:color w:val="4A4A4A"/>
        </w:rPr>
        <w:t>l’homme  ·</w:t>
      </w:r>
      <w:proofErr w:type="gramEnd"/>
      <w:r>
        <w:rPr>
          <w:color w:val="4A4A4A"/>
        </w:rPr>
        <w:t xml:space="preserve">  Convention pour la répression de la traite des êtres humains et l’exploitation de la </w:t>
      </w:r>
      <w:proofErr w:type="spellStart"/>
      <w:proofErr w:type="gramStart"/>
      <w:r>
        <w:rPr>
          <w:color w:val="4A4A4A"/>
        </w:rPr>
        <w:t>prostit</w:t>
      </w:r>
      <w:proofErr w:type="spellEnd"/>
      <w:r>
        <w:rPr>
          <w:color w:val="4A4A4A"/>
        </w:rPr>
        <w:t xml:space="preserve">  ·</w:t>
      </w:r>
      <w:proofErr w:type="gramEnd"/>
      <w:r>
        <w:rPr>
          <w:color w:val="4A4A4A"/>
        </w:rPr>
        <w:t xml:space="preserve">  Art. 4 de la Convention européenne des droits de l’homme</w:t>
      </w:r>
    </w:p>
    <w:p w14:paraId="054B49FC" w14:textId="77777777" w:rsidR="002F5D69" w:rsidRDefault="00000000">
      <w:pPr>
        <w:keepNext/>
        <w:spacing w:before="150" w:after="30"/>
      </w:pPr>
      <w:r>
        <w:rPr>
          <w:b/>
          <w:bCs/>
          <w:color w:val="2E5A88"/>
          <w:sz w:val="21"/>
          <w:szCs w:val="21"/>
        </w:rPr>
        <w:t xml:space="preserve">30. </w:t>
      </w:r>
      <w:r>
        <w:rPr>
          <w:rFonts w:ascii="Cambria" w:eastAsia="Cambria" w:hAnsi="Cambria" w:cs="Cambria"/>
          <w:b/>
          <w:bCs/>
          <w:color w:val="1F3864"/>
          <w:sz w:val="21"/>
          <w:szCs w:val="21"/>
        </w:rPr>
        <w:t>Le droit à la liberté et à la sûreté</w:t>
      </w:r>
      <w:r>
        <w:rPr>
          <w:color w:val="6E6E6E"/>
          <w:sz w:val="15"/>
          <w:szCs w:val="15"/>
        </w:rPr>
        <w:t xml:space="preserve">   p. 298</w:t>
      </w:r>
    </w:p>
    <w:p w14:paraId="34620CF5" w14:textId="77777777" w:rsidR="002F5D69" w:rsidRDefault="00000000">
      <w:pPr>
        <w:spacing w:after="40" w:line="264" w:lineRule="auto"/>
        <w:ind w:left="170"/>
        <w:jc w:val="both"/>
      </w:pPr>
      <w:r>
        <w:rPr>
          <w:color w:val="1A1A1A"/>
          <w:sz w:val="20"/>
          <w:szCs w:val="20"/>
        </w:rPr>
        <w:t>L’habeas corpus à la française : article 66 et article 5, puis la revue complète des privations de liberté, de la garde à vue à la cellule de dégrisement.</w:t>
      </w:r>
    </w:p>
    <w:p w14:paraId="3097E6A0"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droit à la liberté individuelle et à la sûreté : le droit de ne pas être enfermé </w:t>
      </w:r>
      <w:proofErr w:type="gramStart"/>
      <w:r>
        <w:rPr>
          <w:color w:val="333333"/>
          <w:sz w:val="19"/>
          <w:szCs w:val="19"/>
        </w:rPr>
        <w:t>arbitrairement  ·</w:t>
      </w:r>
      <w:proofErr w:type="gramEnd"/>
      <w:r>
        <w:rPr>
          <w:color w:val="333333"/>
          <w:sz w:val="19"/>
          <w:szCs w:val="19"/>
        </w:rPr>
        <w:t xml:space="preserve">  Le contrôle de la légalité de </w:t>
      </w:r>
      <w:proofErr w:type="gramStart"/>
      <w:r>
        <w:rPr>
          <w:color w:val="333333"/>
          <w:sz w:val="19"/>
          <w:szCs w:val="19"/>
        </w:rPr>
        <w:t>l’enfermement  ·</w:t>
      </w:r>
      <w:proofErr w:type="gramEnd"/>
      <w:r>
        <w:rPr>
          <w:color w:val="333333"/>
          <w:sz w:val="19"/>
          <w:szCs w:val="19"/>
        </w:rPr>
        <w:t xml:space="preserve">  La garde à </w:t>
      </w:r>
      <w:proofErr w:type="gramStart"/>
      <w:r>
        <w:rPr>
          <w:color w:val="333333"/>
          <w:sz w:val="19"/>
          <w:szCs w:val="19"/>
        </w:rPr>
        <w:t>vue  ·</w:t>
      </w:r>
      <w:proofErr w:type="gramEnd"/>
      <w:r>
        <w:rPr>
          <w:color w:val="333333"/>
          <w:sz w:val="19"/>
          <w:szCs w:val="19"/>
        </w:rPr>
        <w:t xml:space="preserve">  La détention </w:t>
      </w:r>
      <w:proofErr w:type="gramStart"/>
      <w:r>
        <w:rPr>
          <w:color w:val="333333"/>
          <w:sz w:val="19"/>
          <w:szCs w:val="19"/>
        </w:rPr>
        <w:t>provisoire  ·</w:t>
      </w:r>
      <w:proofErr w:type="gramEnd"/>
      <w:r>
        <w:rPr>
          <w:color w:val="333333"/>
          <w:sz w:val="19"/>
          <w:szCs w:val="19"/>
        </w:rPr>
        <w:t xml:space="preserve">  La rétention de </w:t>
      </w:r>
      <w:proofErr w:type="gramStart"/>
      <w:r>
        <w:rPr>
          <w:color w:val="333333"/>
          <w:sz w:val="19"/>
          <w:szCs w:val="19"/>
        </w:rPr>
        <w:t>sûreté  ·</w:t>
      </w:r>
      <w:proofErr w:type="gramEnd"/>
      <w:r>
        <w:rPr>
          <w:color w:val="333333"/>
          <w:sz w:val="19"/>
          <w:szCs w:val="19"/>
        </w:rPr>
        <w:t xml:space="preserve">  La rétention </w:t>
      </w:r>
      <w:proofErr w:type="gramStart"/>
      <w:r>
        <w:rPr>
          <w:color w:val="333333"/>
          <w:sz w:val="19"/>
          <w:szCs w:val="19"/>
        </w:rPr>
        <w:t>douanière  ·</w:t>
      </w:r>
      <w:proofErr w:type="gramEnd"/>
      <w:r>
        <w:rPr>
          <w:color w:val="333333"/>
          <w:sz w:val="19"/>
          <w:szCs w:val="19"/>
        </w:rPr>
        <w:t xml:space="preserve">  Le maintien en zone </w:t>
      </w:r>
      <w:proofErr w:type="gramStart"/>
      <w:r>
        <w:rPr>
          <w:color w:val="333333"/>
          <w:sz w:val="19"/>
          <w:szCs w:val="19"/>
        </w:rPr>
        <w:t>d’attente  ·</w:t>
      </w:r>
      <w:proofErr w:type="gramEnd"/>
      <w:r>
        <w:rPr>
          <w:color w:val="333333"/>
          <w:sz w:val="19"/>
          <w:szCs w:val="19"/>
        </w:rPr>
        <w:t xml:space="preserve">  Le placement en centre de rétention </w:t>
      </w:r>
      <w:proofErr w:type="gramStart"/>
      <w:r>
        <w:rPr>
          <w:color w:val="333333"/>
          <w:sz w:val="19"/>
          <w:szCs w:val="19"/>
        </w:rPr>
        <w:t>administrative  ·</w:t>
      </w:r>
      <w:proofErr w:type="gramEnd"/>
      <w:r>
        <w:rPr>
          <w:color w:val="333333"/>
          <w:sz w:val="19"/>
          <w:szCs w:val="19"/>
        </w:rPr>
        <w:t xml:space="preserve">  L’hospitalisation psychiatrique sans </w:t>
      </w:r>
      <w:proofErr w:type="gramStart"/>
      <w:r>
        <w:rPr>
          <w:color w:val="333333"/>
          <w:sz w:val="19"/>
          <w:szCs w:val="19"/>
        </w:rPr>
        <w:t>consentement  ·</w:t>
      </w:r>
      <w:proofErr w:type="gramEnd"/>
      <w:r>
        <w:rPr>
          <w:color w:val="333333"/>
          <w:sz w:val="19"/>
          <w:szCs w:val="19"/>
        </w:rPr>
        <w:t xml:space="preserve">  Le placement en cellule de dégrisement</w:t>
      </w:r>
    </w:p>
    <w:p w14:paraId="4E7756E0"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66 de la </w:t>
      </w:r>
      <w:proofErr w:type="gramStart"/>
      <w:r>
        <w:rPr>
          <w:color w:val="4A4A4A"/>
        </w:rPr>
        <w:t>Constitution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décision no 92-307 DC, 25 février </w:t>
      </w:r>
      <w:proofErr w:type="gramStart"/>
      <w:r>
        <w:rPr>
          <w:color w:val="4A4A4A"/>
        </w:rPr>
        <w:t>1992  ·</w:t>
      </w:r>
      <w:proofErr w:type="gramEnd"/>
      <w:r>
        <w:rPr>
          <w:color w:val="4A4A4A"/>
        </w:rPr>
        <w:t xml:space="preserve">  Cons. </w:t>
      </w:r>
      <w:proofErr w:type="spellStart"/>
      <w:proofErr w:type="gramStart"/>
      <w:r>
        <w:rPr>
          <w:color w:val="4A4A4A"/>
        </w:rPr>
        <w:t>const</w:t>
      </w:r>
      <w:proofErr w:type="spellEnd"/>
      <w:proofErr w:type="gramEnd"/>
      <w:r>
        <w:rPr>
          <w:color w:val="4A4A4A"/>
        </w:rPr>
        <w:t>., décision no 2012-253 QPC, 8 juin 2012, Mickaël D [Ivresse publique]</w:t>
      </w:r>
    </w:p>
    <w:p w14:paraId="534CA58B" w14:textId="77777777" w:rsidR="002F5D69" w:rsidRDefault="00000000">
      <w:pPr>
        <w:keepNext/>
        <w:spacing w:before="150" w:after="30"/>
      </w:pPr>
      <w:r>
        <w:rPr>
          <w:b/>
          <w:bCs/>
          <w:color w:val="2E5A88"/>
          <w:sz w:val="21"/>
          <w:szCs w:val="21"/>
        </w:rPr>
        <w:t xml:space="preserve">31. </w:t>
      </w:r>
      <w:r>
        <w:rPr>
          <w:rFonts w:ascii="Cambria" w:eastAsia="Cambria" w:hAnsi="Cambria" w:cs="Cambria"/>
          <w:b/>
          <w:bCs/>
          <w:color w:val="1F3864"/>
          <w:sz w:val="21"/>
          <w:szCs w:val="21"/>
        </w:rPr>
        <w:t>Le droit à un procès équitable et le droit à un recours effectif</w:t>
      </w:r>
      <w:r>
        <w:rPr>
          <w:color w:val="6E6E6E"/>
          <w:sz w:val="15"/>
          <w:szCs w:val="15"/>
        </w:rPr>
        <w:t xml:space="preserve">   p. 308</w:t>
      </w:r>
    </w:p>
    <w:p w14:paraId="3E779AFD" w14:textId="77777777" w:rsidR="002F5D69" w:rsidRDefault="00000000">
      <w:pPr>
        <w:spacing w:after="40" w:line="264" w:lineRule="auto"/>
        <w:ind w:left="170"/>
        <w:jc w:val="both"/>
      </w:pPr>
      <w:r>
        <w:rPr>
          <w:color w:val="1A1A1A"/>
          <w:sz w:val="20"/>
          <w:szCs w:val="20"/>
        </w:rPr>
        <w:t>Les droits procéduraux (articles 6 et 13), qui permettent de redresser la violation de tous les autres : droit au tribunal, défense, contradictoire, indépendance, impartialité.</w:t>
      </w:r>
    </w:p>
    <w:p w14:paraId="0D81BF6B"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droit à un recours </w:t>
      </w:r>
      <w:proofErr w:type="gramStart"/>
      <w:r>
        <w:rPr>
          <w:color w:val="333333"/>
          <w:sz w:val="19"/>
          <w:szCs w:val="19"/>
        </w:rPr>
        <w:t>effectif  ·</w:t>
      </w:r>
      <w:proofErr w:type="gramEnd"/>
      <w:r>
        <w:rPr>
          <w:color w:val="333333"/>
          <w:sz w:val="19"/>
          <w:szCs w:val="19"/>
        </w:rPr>
        <w:t xml:space="preserve">  Le droit à un procès </w:t>
      </w:r>
      <w:proofErr w:type="gramStart"/>
      <w:r>
        <w:rPr>
          <w:color w:val="333333"/>
          <w:sz w:val="19"/>
          <w:szCs w:val="19"/>
        </w:rPr>
        <w:t>équitable  ·</w:t>
      </w:r>
      <w:proofErr w:type="gramEnd"/>
      <w:r>
        <w:rPr>
          <w:color w:val="333333"/>
          <w:sz w:val="19"/>
          <w:szCs w:val="19"/>
        </w:rPr>
        <w:t xml:space="preserve">  Les garanties du droit à un procès </w:t>
      </w:r>
      <w:proofErr w:type="gramStart"/>
      <w:r>
        <w:rPr>
          <w:color w:val="333333"/>
          <w:sz w:val="19"/>
          <w:szCs w:val="19"/>
        </w:rPr>
        <w:t>équitable  ·</w:t>
      </w:r>
      <w:proofErr w:type="gramEnd"/>
      <w:r>
        <w:rPr>
          <w:color w:val="333333"/>
          <w:sz w:val="19"/>
          <w:szCs w:val="19"/>
        </w:rPr>
        <w:t xml:space="preserve">  Les restrictions au droit à un procès équitable</w:t>
      </w:r>
    </w:p>
    <w:p w14:paraId="459927BD"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64 de la </w:t>
      </w:r>
      <w:proofErr w:type="gramStart"/>
      <w:r>
        <w:rPr>
          <w:color w:val="4A4A4A"/>
        </w:rPr>
        <w:t>Constitution  ·</w:t>
      </w:r>
      <w:proofErr w:type="gramEnd"/>
      <w:r>
        <w:rPr>
          <w:color w:val="4A4A4A"/>
        </w:rPr>
        <w:t xml:space="preserve">  Art. 16 de la Déclaration des droits de l’homme et du </w:t>
      </w:r>
      <w:proofErr w:type="gramStart"/>
      <w:r>
        <w:rPr>
          <w:color w:val="4A4A4A"/>
        </w:rPr>
        <w:t>citoyen  ·</w:t>
      </w:r>
      <w:proofErr w:type="gramEnd"/>
      <w:r>
        <w:rPr>
          <w:color w:val="4A4A4A"/>
        </w:rPr>
        <w:t xml:space="preserve">  Art. 6 et 13 de la Convention européenne des droits de l’homme</w:t>
      </w:r>
    </w:p>
    <w:p w14:paraId="1F965C86" w14:textId="77777777" w:rsidR="002F5D69" w:rsidRDefault="00000000">
      <w:pPr>
        <w:keepNext/>
        <w:spacing w:before="150" w:after="30"/>
      </w:pPr>
      <w:r>
        <w:rPr>
          <w:b/>
          <w:bCs/>
          <w:color w:val="2E5A88"/>
          <w:sz w:val="21"/>
          <w:szCs w:val="21"/>
        </w:rPr>
        <w:t xml:space="preserve">32. </w:t>
      </w:r>
      <w:r>
        <w:rPr>
          <w:rFonts w:ascii="Cambria" w:eastAsia="Cambria" w:hAnsi="Cambria" w:cs="Cambria"/>
          <w:b/>
          <w:bCs/>
          <w:color w:val="1F3864"/>
          <w:sz w:val="21"/>
          <w:szCs w:val="21"/>
        </w:rPr>
        <w:t>Les garanties fondamentales en droit pénal</w:t>
      </w:r>
      <w:r>
        <w:rPr>
          <w:color w:val="6E6E6E"/>
          <w:sz w:val="15"/>
          <w:szCs w:val="15"/>
        </w:rPr>
        <w:t xml:space="preserve">   p. 321</w:t>
      </w:r>
    </w:p>
    <w:p w14:paraId="66683281" w14:textId="77777777" w:rsidR="002F5D69" w:rsidRDefault="00000000">
      <w:pPr>
        <w:spacing w:after="40" w:line="264" w:lineRule="auto"/>
        <w:ind w:left="170"/>
        <w:jc w:val="both"/>
      </w:pPr>
      <w:r>
        <w:rPr>
          <w:color w:val="1A1A1A"/>
          <w:sz w:val="20"/>
          <w:szCs w:val="20"/>
        </w:rPr>
        <w:t>Le versant pénal : présomption d’innocence, non-incrimination, avocat ; puis légalité, nécessité, non bis in idem, non-rétroactivité, individualisation, motivation.</w:t>
      </w:r>
    </w:p>
    <w:p w14:paraId="4666770C"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procédure pénale entourée par des garanties </w:t>
      </w:r>
      <w:proofErr w:type="gramStart"/>
      <w:r>
        <w:rPr>
          <w:color w:val="333333"/>
          <w:sz w:val="19"/>
          <w:szCs w:val="19"/>
        </w:rPr>
        <w:t>fondamentales  ·</w:t>
      </w:r>
      <w:proofErr w:type="gramEnd"/>
      <w:r>
        <w:rPr>
          <w:color w:val="333333"/>
          <w:sz w:val="19"/>
          <w:szCs w:val="19"/>
        </w:rPr>
        <w:t xml:space="preserve">  Le prononcé de la peine entouré par des garanties </w:t>
      </w:r>
      <w:proofErr w:type="gramStart"/>
      <w:r>
        <w:rPr>
          <w:color w:val="333333"/>
          <w:sz w:val="19"/>
          <w:szCs w:val="19"/>
        </w:rPr>
        <w:t>fondamentales  ·</w:t>
      </w:r>
      <w:proofErr w:type="gramEnd"/>
      <w:r>
        <w:rPr>
          <w:color w:val="333333"/>
          <w:sz w:val="19"/>
          <w:szCs w:val="19"/>
        </w:rPr>
        <w:t xml:space="preserve">  Le principe d’irresponsabilité pénale en cas d’abolition du discernement</w:t>
      </w:r>
    </w:p>
    <w:p w14:paraId="63F1EEAF"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34 de la </w:t>
      </w:r>
      <w:proofErr w:type="gramStart"/>
      <w:r>
        <w:rPr>
          <w:color w:val="4A4A4A"/>
        </w:rPr>
        <w:t>Constitution  ·</w:t>
      </w:r>
      <w:proofErr w:type="gramEnd"/>
      <w:r>
        <w:rPr>
          <w:color w:val="4A4A4A"/>
        </w:rPr>
        <w:t xml:space="preserve">  CEDH, 17 septembre 2009, Scoppola c. Italie (no 2), no 10249/</w:t>
      </w:r>
      <w:proofErr w:type="gramStart"/>
      <w:r>
        <w:rPr>
          <w:color w:val="4A4A4A"/>
        </w:rPr>
        <w:t>03  ·</w:t>
      </w:r>
      <w:proofErr w:type="gramEnd"/>
      <w:r>
        <w:rPr>
          <w:color w:val="4A4A4A"/>
        </w:rPr>
        <w:t xml:space="preserve">  CEDH, 1er juin 2010, </w:t>
      </w:r>
      <w:proofErr w:type="spellStart"/>
      <w:r>
        <w:rPr>
          <w:color w:val="4A4A4A"/>
        </w:rPr>
        <w:t>Gäfgen</w:t>
      </w:r>
      <w:proofErr w:type="spellEnd"/>
      <w:r>
        <w:rPr>
          <w:color w:val="4A4A4A"/>
        </w:rPr>
        <w:t xml:space="preserve"> c. Allemagne, no 22978/05</w:t>
      </w:r>
    </w:p>
    <w:p w14:paraId="535E9BEB" w14:textId="77777777" w:rsidR="002F5D69" w:rsidRDefault="00000000">
      <w:pPr>
        <w:keepNext/>
        <w:spacing w:before="150" w:after="30"/>
      </w:pPr>
      <w:r>
        <w:rPr>
          <w:b/>
          <w:bCs/>
          <w:color w:val="2E5A88"/>
          <w:sz w:val="21"/>
          <w:szCs w:val="21"/>
        </w:rPr>
        <w:t xml:space="preserve">33. </w:t>
      </w:r>
      <w:r>
        <w:rPr>
          <w:rFonts w:ascii="Cambria" w:eastAsia="Cambria" w:hAnsi="Cambria" w:cs="Cambria"/>
          <w:b/>
          <w:bCs/>
          <w:color w:val="1F3864"/>
          <w:sz w:val="21"/>
          <w:szCs w:val="21"/>
        </w:rPr>
        <w:t>Le droit à la vie privée</w:t>
      </w:r>
      <w:r>
        <w:rPr>
          <w:color w:val="6E6E6E"/>
          <w:sz w:val="15"/>
          <w:szCs w:val="15"/>
        </w:rPr>
        <w:t xml:space="preserve">   p. 331</w:t>
      </w:r>
    </w:p>
    <w:p w14:paraId="6F90793C" w14:textId="77777777" w:rsidR="002F5D69" w:rsidRDefault="00000000">
      <w:pPr>
        <w:spacing w:after="40" w:line="264" w:lineRule="auto"/>
        <w:ind w:left="170"/>
        <w:jc w:val="both"/>
      </w:pPr>
      <w:r>
        <w:rPr>
          <w:color w:val="1A1A1A"/>
          <w:sz w:val="20"/>
          <w:szCs w:val="20"/>
        </w:rPr>
        <w:t>L’article 8, notion « attrape-tout » à lecture souple : identité et intimité, droit aux secrets, et les lieux — domicile, environnement, espace numérique.</w:t>
      </w:r>
    </w:p>
    <w:p w14:paraId="1487DE19"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L’affirmation</w:t>
      </w:r>
      <w:proofErr w:type="gramEnd"/>
      <w:r>
        <w:rPr>
          <w:color w:val="333333"/>
          <w:sz w:val="19"/>
          <w:szCs w:val="19"/>
        </w:rPr>
        <w:t xml:space="preserve"> générale du libre choix de la vie </w:t>
      </w:r>
      <w:proofErr w:type="gramStart"/>
      <w:r>
        <w:rPr>
          <w:color w:val="333333"/>
          <w:sz w:val="19"/>
          <w:szCs w:val="19"/>
        </w:rPr>
        <w:t>privée  ·</w:t>
      </w:r>
      <w:proofErr w:type="gramEnd"/>
      <w:r>
        <w:rPr>
          <w:color w:val="333333"/>
          <w:sz w:val="19"/>
          <w:szCs w:val="19"/>
        </w:rPr>
        <w:t xml:space="preserve">  Le droit aux </w:t>
      </w:r>
      <w:proofErr w:type="gramStart"/>
      <w:r>
        <w:rPr>
          <w:color w:val="333333"/>
          <w:sz w:val="19"/>
          <w:szCs w:val="19"/>
        </w:rPr>
        <w:t>secrets  ·</w:t>
      </w:r>
      <w:proofErr w:type="gramEnd"/>
      <w:r>
        <w:rPr>
          <w:color w:val="333333"/>
          <w:sz w:val="19"/>
          <w:szCs w:val="19"/>
        </w:rPr>
        <w:t xml:space="preserve">  Lieux spécifiques et respect du droit à la vie privée</w:t>
      </w:r>
    </w:p>
    <w:p w14:paraId="3B601CC1"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17 du Pacte international relatif aux droits civils et </w:t>
      </w:r>
      <w:proofErr w:type="gramStart"/>
      <w:r>
        <w:rPr>
          <w:color w:val="4A4A4A"/>
        </w:rPr>
        <w:t>politiques  ·</w:t>
      </w:r>
      <w:proofErr w:type="gramEnd"/>
      <w:r>
        <w:rPr>
          <w:color w:val="4A4A4A"/>
        </w:rPr>
        <w:t xml:space="preserve">  CEDH, 22 octobre 1981, Dudgeon c. Royaume-Uni, no 7525/</w:t>
      </w:r>
      <w:proofErr w:type="gramStart"/>
      <w:r>
        <w:rPr>
          <w:color w:val="4A4A4A"/>
        </w:rPr>
        <w:t>76  ·</w:t>
      </w:r>
      <w:proofErr w:type="gramEnd"/>
      <w:r>
        <w:rPr>
          <w:color w:val="4A4A4A"/>
        </w:rPr>
        <w:t xml:space="preserve">  CEDH, 29 avril 2002, Pretty c. Royaume-Uni, no 2346/02</w:t>
      </w:r>
    </w:p>
    <w:p w14:paraId="713BF060" w14:textId="77777777" w:rsidR="002F5D69" w:rsidRDefault="00000000">
      <w:pPr>
        <w:keepNext/>
        <w:spacing w:before="150" w:after="30"/>
      </w:pPr>
      <w:r>
        <w:rPr>
          <w:b/>
          <w:bCs/>
          <w:color w:val="2E5A88"/>
          <w:sz w:val="21"/>
          <w:szCs w:val="21"/>
        </w:rPr>
        <w:t xml:space="preserve">34. </w:t>
      </w:r>
      <w:r>
        <w:rPr>
          <w:rFonts w:ascii="Cambria" w:eastAsia="Cambria" w:hAnsi="Cambria" w:cs="Cambria"/>
          <w:b/>
          <w:bCs/>
          <w:color w:val="1F3864"/>
          <w:sz w:val="21"/>
          <w:szCs w:val="21"/>
        </w:rPr>
        <w:t>Le droit à la vie familiale</w:t>
      </w:r>
      <w:r>
        <w:rPr>
          <w:color w:val="6E6E6E"/>
          <w:sz w:val="15"/>
          <w:szCs w:val="15"/>
        </w:rPr>
        <w:t xml:space="preserve">   p. 343</w:t>
      </w:r>
    </w:p>
    <w:p w14:paraId="23819208" w14:textId="77777777" w:rsidR="002F5D69" w:rsidRDefault="00000000">
      <w:pPr>
        <w:spacing w:after="40" w:line="264" w:lineRule="auto"/>
        <w:ind w:left="170"/>
        <w:jc w:val="both"/>
      </w:pPr>
      <w:r>
        <w:rPr>
          <w:color w:val="1A1A1A"/>
          <w:sz w:val="20"/>
          <w:szCs w:val="20"/>
        </w:rPr>
        <w:t>La vie familiale, notion autonome née de la parenté, de l’alliance ou du fait. Point d’examen : la Convention protège la famille existante, pas le droit d’en créer une.</w:t>
      </w:r>
    </w:p>
    <w:p w14:paraId="3CCBF9D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contours de la vie </w:t>
      </w:r>
      <w:proofErr w:type="gramStart"/>
      <w:r>
        <w:rPr>
          <w:color w:val="333333"/>
          <w:sz w:val="19"/>
          <w:szCs w:val="19"/>
        </w:rPr>
        <w:t>familiale  ·</w:t>
      </w:r>
      <w:proofErr w:type="gramEnd"/>
      <w:r>
        <w:rPr>
          <w:color w:val="333333"/>
          <w:sz w:val="19"/>
          <w:szCs w:val="19"/>
        </w:rPr>
        <w:t xml:space="preserve">  Le droit au </w:t>
      </w:r>
      <w:proofErr w:type="gramStart"/>
      <w:r>
        <w:rPr>
          <w:color w:val="333333"/>
          <w:sz w:val="19"/>
          <w:szCs w:val="19"/>
        </w:rPr>
        <w:t>mariage  ·</w:t>
      </w:r>
      <w:proofErr w:type="gramEnd"/>
      <w:r>
        <w:rPr>
          <w:color w:val="333333"/>
          <w:sz w:val="19"/>
          <w:szCs w:val="19"/>
        </w:rPr>
        <w:t xml:space="preserve">  Le droit au respect de la vie </w:t>
      </w:r>
      <w:proofErr w:type="gramStart"/>
      <w:r>
        <w:rPr>
          <w:color w:val="333333"/>
          <w:sz w:val="19"/>
          <w:szCs w:val="19"/>
        </w:rPr>
        <w:t>familiale  ·</w:t>
      </w:r>
      <w:proofErr w:type="gramEnd"/>
      <w:r>
        <w:rPr>
          <w:color w:val="333333"/>
          <w:sz w:val="19"/>
          <w:szCs w:val="19"/>
        </w:rPr>
        <w:t xml:space="preserve">  L’établissement du lien de </w:t>
      </w:r>
      <w:proofErr w:type="gramStart"/>
      <w:r>
        <w:rPr>
          <w:color w:val="333333"/>
          <w:sz w:val="19"/>
          <w:szCs w:val="19"/>
        </w:rPr>
        <w:t>parenté  ·</w:t>
      </w:r>
      <w:proofErr w:type="gramEnd"/>
      <w:r>
        <w:rPr>
          <w:color w:val="333333"/>
          <w:sz w:val="19"/>
          <w:szCs w:val="19"/>
        </w:rPr>
        <w:t xml:space="preserve">  Le maintien du lien </w:t>
      </w:r>
      <w:proofErr w:type="gramStart"/>
      <w:r>
        <w:rPr>
          <w:color w:val="333333"/>
          <w:sz w:val="19"/>
          <w:szCs w:val="19"/>
        </w:rPr>
        <w:t>familial  ·</w:t>
      </w:r>
      <w:proofErr w:type="gramEnd"/>
      <w:r>
        <w:rPr>
          <w:color w:val="333333"/>
          <w:sz w:val="19"/>
          <w:szCs w:val="19"/>
        </w:rPr>
        <w:t xml:space="preserve">  L’égalité entre enfants</w:t>
      </w:r>
    </w:p>
    <w:p w14:paraId="783BE0FA"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CEDH</w:t>
      </w:r>
      <w:proofErr w:type="gramEnd"/>
      <w:r>
        <w:rPr>
          <w:color w:val="4A4A4A"/>
        </w:rPr>
        <w:t>, 13 juin 1979, Marckx c. Belgique, no 6833/</w:t>
      </w:r>
      <w:proofErr w:type="gramStart"/>
      <w:r>
        <w:rPr>
          <w:color w:val="4A4A4A"/>
        </w:rPr>
        <w:t>74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93-325 DC, 13 août </w:t>
      </w:r>
      <w:proofErr w:type="gramStart"/>
      <w:r>
        <w:rPr>
          <w:color w:val="4A4A4A"/>
        </w:rPr>
        <w:t>1993  ·</w:t>
      </w:r>
      <w:proofErr w:type="gramEnd"/>
      <w:r>
        <w:rPr>
          <w:color w:val="4A4A4A"/>
        </w:rPr>
        <w:t xml:space="preserve">  Cass. civ. 1re, 4 décembre 2013, no 12-26.066</w:t>
      </w:r>
    </w:p>
    <w:p w14:paraId="2C32C20B" w14:textId="77777777" w:rsidR="002F5D69" w:rsidRDefault="00000000">
      <w:pPr>
        <w:keepNext/>
        <w:spacing w:before="150" w:after="30"/>
      </w:pPr>
      <w:r>
        <w:rPr>
          <w:b/>
          <w:bCs/>
          <w:color w:val="2E5A88"/>
          <w:sz w:val="21"/>
          <w:szCs w:val="21"/>
        </w:rPr>
        <w:t xml:space="preserve">35. </w:t>
      </w:r>
      <w:r>
        <w:rPr>
          <w:rFonts w:ascii="Cambria" w:eastAsia="Cambria" w:hAnsi="Cambria" w:cs="Cambria"/>
          <w:b/>
          <w:bCs/>
          <w:color w:val="1F3864"/>
          <w:sz w:val="21"/>
          <w:szCs w:val="21"/>
        </w:rPr>
        <w:t>Le droit à la protection des données à caractère personnel</w:t>
      </w:r>
      <w:r>
        <w:rPr>
          <w:color w:val="6E6E6E"/>
          <w:sz w:val="15"/>
          <w:szCs w:val="15"/>
        </w:rPr>
        <w:t xml:space="preserve">   p. 355</w:t>
      </w:r>
    </w:p>
    <w:p w14:paraId="324AF724" w14:textId="77777777" w:rsidR="002F5D69" w:rsidRDefault="00000000">
      <w:pPr>
        <w:spacing w:after="40" w:line="264" w:lineRule="auto"/>
        <w:ind w:left="170"/>
        <w:jc w:val="both"/>
      </w:pPr>
      <w:r>
        <w:rPr>
          <w:color w:val="1A1A1A"/>
          <w:sz w:val="20"/>
          <w:szCs w:val="20"/>
        </w:rPr>
        <w:t>La fiche la plus technique et la plus actuelle : notions et principes du régime des données, garanties (CNIL, juges), puis Big Data, règlement sur l’IA, reconnaissance faciale, droit à l’oubli.</w:t>
      </w:r>
    </w:p>
    <w:p w14:paraId="00F7DD1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Un</w:t>
      </w:r>
      <w:proofErr w:type="gramEnd"/>
      <w:r>
        <w:rPr>
          <w:color w:val="333333"/>
          <w:sz w:val="19"/>
          <w:szCs w:val="19"/>
        </w:rPr>
        <w:t xml:space="preserve"> régime juridique complexe en constante </w:t>
      </w:r>
      <w:proofErr w:type="gramStart"/>
      <w:r>
        <w:rPr>
          <w:color w:val="333333"/>
          <w:sz w:val="19"/>
          <w:szCs w:val="19"/>
        </w:rPr>
        <w:t>évolution  ·</w:t>
      </w:r>
      <w:proofErr w:type="gramEnd"/>
      <w:r>
        <w:rPr>
          <w:color w:val="333333"/>
          <w:sz w:val="19"/>
          <w:szCs w:val="19"/>
        </w:rPr>
        <w:t xml:space="preserve">  Les mécanismes de garantie administratifs et </w:t>
      </w:r>
      <w:proofErr w:type="gramStart"/>
      <w:r>
        <w:rPr>
          <w:color w:val="333333"/>
          <w:sz w:val="19"/>
          <w:szCs w:val="19"/>
        </w:rPr>
        <w:t>juridictionnels  ·</w:t>
      </w:r>
      <w:proofErr w:type="gramEnd"/>
      <w:r>
        <w:rPr>
          <w:color w:val="333333"/>
          <w:sz w:val="19"/>
          <w:szCs w:val="19"/>
        </w:rPr>
        <w:t xml:space="preserve">  Protection juridique des données personnelles à l’ère du Big Data et de l’IA</w:t>
      </w:r>
    </w:p>
    <w:p w14:paraId="3FE8CFD5"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no 78-17 du 6 janvier 1978 relative à l'informatique, aux fichiers et aux </w:t>
      </w:r>
      <w:proofErr w:type="gramStart"/>
      <w:r>
        <w:rPr>
          <w:color w:val="4A4A4A"/>
        </w:rPr>
        <w:t>libertés  ·</w:t>
      </w:r>
      <w:proofErr w:type="gramEnd"/>
      <w:r>
        <w:rPr>
          <w:color w:val="4A4A4A"/>
        </w:rPr>
        <w:t xml:space="preserve">  CJUE, 13 mai 2014, Google Spain, C-131/</w:t>
      </w:r>
      <w:proofErr w:type="gramStart"/>
      <w:r>
        <w:rPr>
          <w:color w:val="4A4A4A"/>
        </w:rPr>
        <w:t>12  ·</w:t>
      </w:r>
      <w:proofErr w:type="gramEnd"/>
      <w:r>
        <w:rPr>
          <w:color w:val="4A4A4A"/>
        </w:rPr>
        <w:t xml:space="preserve">  CJUE, 6 octobre 2020, La Quadrature du Net, C-511/18</w:t>
      </w:r>
    </w:p>
    <w:p w14:paraId="617A057B" w14:textId="77777777" w:rsidR="002F5D69" w:rsidRDefault="00000000">
      <w:pPr>
        <w:keepNext/>
        <w:spacing w:before="150" w:after="30"/>
      </w:pPr>
      <w:r>
        <w:rPr>
          <w:b/>
          <w:bCs/>
          <w:color w:val="2E5A88"/>
          <w:sz w:val="21"/>
          <w:szCs w:val="21"/>
        </w:rPr>
        <w:t xml:space="preserve">36. </w:t>
      </w:r>
      <w:r>
        <w:rPr>
          <w:rFonts w:ascii="Cambria" w:eastAsia="Cambria" w:hAnsi="Cambria" w:cs="Cambria"/>
          <w:b/>
          <w:bCs/>
          <w:color w:val="1F3864"/>
          <w:sz w:val="21"/>
          <w:szCs w:val="21"/>
        </w:rPr>
        <w:t>La liberté de penser, de conscience et de religion</w:t>
      </w:r>
      <w:r>
        <w:rPr>
          <w:color w:val="6E6E6E"/>
          <w:sz w:val="15"/>
          <w:szCs w:val="15"/>
        </w:rPr>
        <w:t xml:space="preserve">   p. 369</w:t>
      </w:r>
    </w:p>
    <w:p w14:paraId="21312297" w14:textId="77777777" w:rsidR="002F5D69" w:rsidRDefault="00000000">
      <w:pPr>
        <w:spacing w:after="40" w:line="264" w:lineRule="auto"/>
        <w:ind w:left="170"/>
        <w:jc w:val="both"/>
      </w:pPr>
      <w:r>
        <w:rPr>
          <w:color w:val="1A1A1A"/>
          <w:sz w:val="20"/>
          <w:szCs w:val="20"/>
        </w:rPr>
        <w:t>For intérieur et for extérieur : objection et clause de conscience, liberté de culte et ses restrictions (ordre public, service public, entreprise), puis le principe de laïcité.</w:t>
      </w:r>
    </w:p>
    <w:p w14:paraId="7508CBB3" w14:textId="77777777" w:rsidR="002F5D69" w:rsidRDefault="00000000">
      <w:pPr>
        <w:spacing w:after="40" w:line="264" w:lineRule="auto"/>
        <w:ind w:left="170"/>
      </w:pPr>
      <w:proofErr w:type="gramStart"/>
      <w:r>
        <w:rPr>
          <w:b/>
          <w:bCs/>
          <w:color w:val="2E5A88"/>
          <w:spacing w:val="16"/>
          <w:sz w:val="16"/>
          <w:szCs w:val="16"/>
        </w:rPr>
        <w:lastRenderedPageBreak/>
        <w:t xml:space="preserve">Charpente  </w:t>
      </w:r>
      <w:r>
        <w:rPr>
          <w:color w:val="333333"/>
          <w:sz w:val="19"/>
          <w:szCs w:val="19"/>
        </w:rPr>
        <w:t>La</w:t>
      </w:r>
      <w:proofErr w:type="gramEnd"/>
      <w:r>
        <w:rPr>
          <w:color w:val="333333"/>
          <w:sz w:val="19"/>
          <w:szCs w:val="19"/>
        </w:rPr>
        <w:t xml:space="preserve"> liberté de penser, de conscience et </w:t>
      </w:r>
      <w:proofErr w:type="gramStart"/>
      <w:r>
        <w:rPr>
          <w:color w:val="333333"/>
          <w:sz w:val="19"/>
          <w:szCs w:val="19"/>
        </w:rPr>
        <w:t>d’opinion  ·</w:t>
      </w:r>
      <w:proofErr w:type="gramEnd"/>
      <w:r>
        <w:rPr>
          <w:color w:val="333333"/>
          <w:sz w:val="19"/>
          <w:szCs w:val="19"/>
        </w:rPr>
        <w:t xml:space="preserve">  La liberté de culte et de </w:t>
      </w:r>
      <w:proofErr w:type="gramStart"/>
      <w:r>
        <w:rPr>
          <w:color w:val="333333"/>
          <w:sz w:val="19"/>
          <w:szCs w:val="19"/>
        </w:rPr>
        <w:t>religion  ·</w:t>
      </w:r>
      <w:proofErr w:type="gramEnd"/>
      <w:r>
        <w:rPr>
          <w:color w:val="333333"/>
          <w:sz w:val="19"/>
          <w:szCs w:val="19"/>
        </w:rPr>
        <w:t xml:space="preserve">  Le principe de laïcité</w:t>
      </w:r>
    </w:p>
    <w:p w14:paraId="6D7B91DA"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du 9 décembre 1905 concernant la séparation des Églises et de l’État</w:t>
      </w:r>
    </w:p>
    <w:p w14:paraId="389753C1" w14:textId="77777777" w:rsidR="002F5D69" w:rsidRDefault="00000000">
      <w:pPr>
        <w:keepNext/>
        <w:spacing w:before="150" w:after="30"/>
      </w:pPr>
      <w:r>
        <w:rPr>
          <w:b/>
          <w:bCs/>
          <w:color w:val="2E5A88"/>
          <w:sz w:val="21"/>
          <w:szCs w:val="21"/>
        </w:rPr>
        <w:t xml:space="preserve">37. </w:t>
      </w:r>
      <w:r>
        <w:rPr>
          <w:rFonts w:ascii="Cambria" w:eastAsia="Cambria" w:hAnsi="Cambria" w:cs="Cambria"/>
          <w:b/>
          <w:bCs/>
          <w:color w:val="1F3864"/>
          <w:sz w:val="21"/>
          <w:szCs w:val="21"/>
        </w:rPr>
        <w:t>La liberté d’expression</w:t>
      </w:r>
      <w:r>
        <w:rPr>
          <w:color w:val="6E6E6E"/>
          <w:sz w:val="15"/>
          <w:szCs w:val="15"/>
        </w:rPr>
        <w:t xml:space="preserve">   p. 381</w:t>
      </w:r>
    </w:p>
    <w:p w14:paraId="2074DAD2" w14:textId="77777777" w:rsidR="002F5D69" w:rsidRDefault="00000000">
      <w:pPr>
        <w:spacing w:after="40" w:line="264" w:lineRule="auto"/>
        <w:ind w:left="170"/>
        <w:jc w:val="both"/>
      </w:pPr>
      <w:r>
        <w:rPr>
          <w:color w:val="1A1A1A"/>
          <w:sz w:val="20"/>
          <w:szCs w:val="20"/>
        </w:rPr>
        <w:t>La pierre angulaire d’une société démocratique : liberté protéiforme et droit de la presse, puis limitations, autorisations, interdictions, et digitalisation.</w:t>
      </w:r>
    </w:p>
    <w:p w14:paraId="3DFB7D9C"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Une</w:t>
      </w:r>
      <w:proofErr w:type="gramEnd"/>
      <w:r>
        <w:rPr>
          <w:color w:val="333333"/>
          <w:sz w:val="19"/>
          <w:szCs w:val="19"/>
        </w:rPr>
        <w:t xml:space="preserve"> liberté essentielle à la vie </w:t>
      </w:r>
      <w:proofErr w:type="gramStart"/>
      <w:r>
        <w:rPr>
          <w:color w:val="333333"/>
          <w:sz w:val="19"/>
          <w:szCs w:val="19"/>
        </w:rPr>
        <w:t>démocratique  ·</w:t>
      </w:r>
      <w:proofErr w:type="gramEnd"/>
      <w:r>
        <w:rPr>
          <w:color w:val="333333"/>
          <w:sz w:val="19"/>
          <w:szCs w:val="19"/>
        </w:rPr>
        <w:t xml:space="preserve">  Une liberté susceptible d’être </w:t>
      </w:r>
      <w:proofErr w:type="gramStart"/>
      <w:r>
        <w:rPr>
          <w:color w:val="333333"/>
          <w:sz w:val="19"/>
          <w:szCs w:val="19"/>
        </w:rPr>
        <w:t>limitée  ·</w:t>
      </w:r>
      <w:proofErr w:type="gramEnd"/>
      <w:r>
        <w:rPr>
          <w:color w:val="333333"/>
          <w:sz w:val="19"/>
          <w:szCs w:val="19"/>
        </w:rPr>
        <w:t xml:space="preserve">  La digitalisation de la liberté d’expression</w:t>
      </w:r>
    </w:p>
    <w:p w14:paraId="740EA2E9"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11 de la Déclaration des droits de l’homme et du </w:t>
      </w:r>
      <w:proofErr w:type="gramStart"/>
      <w:r>
        <w:rPr>
          <w:color w:val="4A4A4A"/>
        </w:rPr>
        <w:t>citoyen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86-217 DC, 18 septembre </w:t>
      </w:r>
      <w:proofErr w:type="gramStart"/>
      <w:r>
        <w:rPr>
          <w:color w:val="4A4A4A"/>
        </w:rPr>
        <w:t>1986  ·</w:t>
      </w:r>
      <w:proofErr w:type="gramEnd"/>
      <w:r>
        <w:rPr>
          <w:color w:val="4A4A4A"/>
        </w:rPr>
        <w:t xml:space="preserve">  Art. 10 de la Convention européenne des droits de l’homme</w:t>
      </w:r>
    </w:p>
    <w:p w14:paraId="708CAB4B" w14:textId="77777777" w:rsidR="002F5D69" w:rsidRDefault="00000000">
      <w:pPr>
        <w:keepNext/>
        <w:spacing w:before="150" w:after="30"/>
      </w:pPr>
      <w:r>
        <w:rPr>
          <w:b/>
          <w:bCs/>
          <w:color w:val="2E5A88"/>
          <w:sz w:val="21"/>
          <w:szCs w:val="21"/>
        </w:rPr>
        <w:t xml:space="preserve">38. </w:t>
      </w:r>
      <w:r>
        <w:rPr>
          <w:rFonts w:ascii="Cambria" w:eastAsia="Cambria" w:hAnsi="Cambria" w:cs="Cambria"/>
          <w:b/>
          <w:bCs/>
          <w:color w:val="1F3864"/>
          <w:sz w:val="21"/>
          <w:szCs w:val="21"/>
        </w:rPr>
        <w:t>La liberté de réunion et de manifestation pacifique</w:t>
      </w:r>
      <w:r>
        <w:rPr>
          <w:color w:val="6E6E6E"/>
          <w:sz w:val="15"/>
          <w:szCs w:val="15"/>
        </w:rPr>
        <w:t xml:space="preserve">   p. 395</w:t>
      </w:r>
    </w:p>
    <w:p w14:paraId="5F94569A" w14:textId="77777777" w:rsidR="002F5D69" w:rsidRDefault="00000000">
      <w:pPr>
        <w:spacing w:after="40" w:line="264" w:lineRule="auto"/>
        <w:ind w:left="170"/>
        <w:jc w:val="both"/>
      </w:pPr>
      <w:r>
        <w:rPr>
          <w:color w:val="1A1A1A"/>
          <w:sz w:val="20"/>
          <w:szCs w:val="20"/>
        </w:rPr>
        <w:t>Deux libertés liées mais à régimes distincts en droit interne, alors que l’article 11 les traite ensemble. Condition de la protection : le caractère pacifique.</w:t>
      </w:r>
    </w:p>
    <w:p w14:paraId="58CB439C"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protection européenne de la liberté de </w:t>
      </w:r>
      <w:proofErr w:type="gramStart"/>
      <w:r>
        <w:rPr>
          <w:color w:val="333333"/>
          <w:sz w:val="19"/>
          <w:szCs w:val="19"/>
        </w:rPr>
        <w:t>réunion  ·</w:t>
      </w:r>
      <w:proofErr w:type="gramEnd"/>
      <w:r>
        <w:rPr>
          <w:color w:val="333333"/>
          <w:sz w:val="19"/>
          <w:szCs w:val="19"/>
        </w:rPr>
        <w:t xml:space="preserve">  La protection interne de la liberté de réunion et de manifestation</w:t>
      </w:r>
    </w:p>
    <w:p w14:paraId="08EDA692"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Cons</w:t>
      </w:r>
      <w:proofErr w:type="gramEnd"/>
      <w:r>
        <w:rPr>
          <w:color w:val="4A4A4A"/>
        </w:rPr>
        <w:t xml:space="preserve">. </w:t>
      </w:r>
      <w:proofErr w:type="spellStart"/>
      <w:proofErr w:type="gramStart"/>
      <w:r>
        <w:rPr>
          <w:color w:val="4A4A4A"/>
        </w:rPr>
        <w:t>const</w:t>
      </w:r>
      <w:proofErr w:type="spellEnd"/>
      <w:proofErr w:type="gramEnd"/>
      <w:r>
        <w:rPr>
          <w:color w:val="4A4A4A"/>
        </w:rPr>
        <w:t xml:space="preserve">. 18 janvier 1995, no 94-352 </w:t>
      </w:r>
      <w:proofErr w:type="gramStart"/>
      <w:r>
        <w:rPr>
          <w:color w:val="4A4A4A"/>
        </w:rPr>
        <w:t>DC  ·</w:t>
      </w:r>
      <w:proofErr w:type="gramEnd"/>
      <w:r>
        <w:rPr>
          <w:color w:val="4A4A4A"/>
        </w:rPr>
        <w:t xml:space="preserve">  CEDH, GC., 15 octobre 2015, Kudrevičius et a. c. Lituanie, no 37553/</w:t>
      </w:r>
      <w:proofErr w:type="gramStart"/>
      <w:r>
        <w:rPr>
          <w:color w:val="4A4A4A"/>
        </w:rPr>
        <w:t>05  ·</w:t>
      </w:r>
      <w:proofErr w:type="gramEnd"/>
      <w:r>
        <w:rPr>
          <w:color w:val="4A4A4A"/>
        </w:rPr>
        <w:t xml:space="preserve">  CE, 19 mai 1933, Benjamin, nos 17413, 17520</w:t>
      </w:r>
    </w:p>
    <w:p w14:paraId="201BDBEC" w14:textId="77777777" w:rsidR="002F5D69" w:rsidRDefault="00000000">
      <w:pPr>
        <w:keepNext/>
        <w:spacing w:before="150" w:after="30"/>
      </w:pPr>
      <w:r>
        <w:rPr>
          <w:b/>
          <w:bCs/>
          <w:color w:val="2E5A88"/>
          <w:sz w:val="21"/>
          <w:szCs w:val="21"/>
        </w:rPr>
        <w:t xml:space="preserve">39. </w:t>
      </w:r>
      <w:r>
        <w:rPr>
          <w:rFonts w:ascii="Cambria" w:eastAsia="Cambria" w:hAnsi="Cambria" w:cs="Cambria"/>
          <w:b/>
          <w:bCs/>
          <w:color w:val="1F3864"/>
          <w:sz w:val="21"/>
          <w:szCs w:val="21"/>
        </w:rPr>
        <w:t>La liberté d’association</w:t>
      </w:r>
      <w:r>
        <w:rPr>
          <w:color w:val="6E6E6E"/>
          <w:sz w:val="15"/>
          <w:szCs w:val="15"/>
        </w:rPr>
        <w:t xml:space="preserve">   p. 404</w:t>
      </w:r>
    </w:p>
    <w:p w14:paraId="67D0BF01" w14:textId="77777777" w:rsidR="002F5D69" w:rsidRDefault="00000000">
      <w:pPr>
        <w:spacing w:after="40" w:line="264" w:lineRule="auto"/>
        <w:ind w:left="170"/>
        <w:jc w:val="both"/>
      </w:pPr>
      <w:r>
        <w:rPr>
          <w:color w:val="1A1A1A"/>
          <w:sz w:val="20"/>
          <w:szCs w:val="20"/>
        </w:rPr>
        <w:t>Loi de 1901 puis valeur constitutionnelle en 1971 : libre adhésion, libre constitution, libre fonctionnement — et les deux dissolutions, judiciaire et administrative.</w:t>
      </w:r>
    </w:p>
    <w:p w14:paraId="4E3C742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sources de la liberté </w:t>
      </w:r>
      <w:proofErr w:type="gramStart"/>
      <w:r>
        <w:rPr>
          <w:color w:val="333333"/>
          <w:sz w:val="19"/>
          <w:szCs w:val="19"/>
        </w:rPr>
        <w:t>d’association  ·</w:t>
      </w:r>
      <w:proofErr w:type="gramEnd"/>
      <w:r>
        <w:rPr>
          <w:color w:val="333333"/>
          <w:sz w:val="19"/>
          <w:szCs w:val="19"/>
        </w:rPr>
        <w:t xml:space="preserve">  Les différentes catégories </w:t>
      </w:r>
      <w:proofErr w:type="gramStart"/>
      <w:r>
        <w:rPr>
          <w:color w:val="333333"/>
          <w:sz w:val="19"/>
          <w:szCs w:val="19"/>
        </w:rPr>
        <w:t>d’association  ·</w:t>
      </w:r>
      <w:proofErr w:type="gramEnd"/>
      <w:r>
        <w:rPr>
          <w:color w:val="333333"/>
          <w:sz w:val="19"/>
          <w:szCs w:val="19"/>
        </w:rPr>
        <w:t xml:space="preserve">  Le régime juridique des </w:t>
      </w:r>
      <w:proofErr w:type="gramStart"/>
      <w:r>
        <w:rPr>
          <w:color w:val="333333"/>
          <w:sz w:val="19"/>
          <w:szCs w:val="19"/>
        </w:rPr>
        <w:t>associations  ·</w:t>
      </w:r>
      <w:proofErr w:type="gramEnd"/>
      <w:r>
        <w:rPr>
          <w:color w:val="333333"/>
          <w:sz w:val="19"/>
          <w:szCs w:val="19"/>
        </w:rPr>
        <w:t xml:space="preserve">  Les limites de la liberté d’association</w:t>
      </w:r>
    </w:p>
    <w:p w14:paraId="00403657"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du 1er juillet 1901 relative au contrat </w:t>
      </w:r>
      <w:proofErr w:type="gramStart"/>
      <w:r>
        <w:rPr>
          <w:color w:val="4A4A4A"/>
        </w:rPr>
        <w:t>d’association  ·</w:t>
      </w:r>
      <w:proofErr w:type="gramEnd"/>
      <w:r>
        <w:rPr>
          <w:color w:val="4A4A4A"/>
        </w:rPr>
        <w:t xml:space="preserve">  Cons. </w:t>
      </w:r>
      <w:proofErr w:type="spellStart"/>
      <w:proofErr w:type="gramStart"/>
      <w:r>
        <w:rPr>
          <w:color w:val="4A4A4A"/>
        </w:rPr>
        <w:t>const</w:t>
      </w:r>
      <w:proofErr w:type="spellEnd"/>
      <w:proofErr w:type="gramEnd"/>
      <w:r>
        <w:rPr>
          <w:color w:val="4A4A4A"/>
        </w:rPr>
        <w:t>., no 71-44 DC, 16 juillet 1971</w:t>
      </w:r>
    </w:p>
    <w:p w14:paraId="3A714FFE" w14:textId="77777777" w:rsidR="002F5D69" w:rsidRDefault="00000000">
      <w:pPr>
        <w:keepNext/>
        <w:spacing w:before="150" w:after="30"/>
      </w:pPr>
      <w:r>
        <w:rPr>
          <w:b/>
          <w:bCs/>
          <w:color w:val="2E5A88"/>
          <w:sz w:val="21"/>
          <w:szCs w:val="21"/>
        </w:rPr>
        <w:t xml:space="preserve">40. </w:t>
      </w:r>
      <w:r>
        <w:rPr>
          <w:rFonts w:ascii="Cambria" w:eastAsia="Cambria" w:hAnsi="Cambria" w:cs="Cambria"/>
          <w:b/>
          <w:bCs/>
          <w:color w:val="1F3864"/>
          <w:sz w:val="21"/>
          <w:szCs w:val="21"/>
        </w:rPr>
        <w:t>La liberté d’aller et venir</w:t>
      </w:r>
      <w:r>
        <w:rPr>
          <w:color w:val="6E6E6E"/>
          <w:sz w:val="15"/>
          <w:szCs w:val="15"/>
        </w:rPr>
        <w:t xml:space="preserve">   p. 416</w:t>
      </w:r>
    </w:p>
    <w:p w14:paraId="28169972" w14:textId="77777777" w:rsidR="002F5D69" w:rsidRDefault="00000000">
      <w:pPr>
        <w:spacing w:after="40" w:line="264" w:lineRule="auto"/>
        <w:ind w:left="170"/>
        <w:jc w:val="both"/>
      </w:pPr>
      <w:r>
        <w:rPr>
          <w:color w:val="1A1A1A"/>
          <w:sz w:val="20"/>
          <w:szCs w:val="20"/>
        </w:rPr>
        <w:t>Distinction opératoire : privation de liberté (fiche 30) contre simple restriction. Entrée et sortie du territoire, contrôles, mesures antiterroristes, libre circulation dans l’Union.</w:t>
      </w:r>
    </w:p>
    <w:p w14:paraId="060967EF"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cadre général de la liberté d’aller et venir en </w:t>
      </w:r>
      <w:proofErr w:type="gramStart"/>
      <w:r>
        <w:rPr>
          <w:color w:val="333333"/>
          <w:sz w:val="19"/>
          <w:szCs w:val="19"/>
        </w:rPr>
        <w:t>France  ·</w:t>
      </w:r>
      <w:proofErr w:type="gramEnd"/>
      <w:r>
        <w:rPr>
          <w:color w:val="333333"/>
          <w:sz w:val="19"/>
          <w:szCs w:val="19"/>
        </w:rPr>
        <w:t xml:space="preserve">  L’articulation de la liberté de circulation avec la lutte contre le </w:t>
      </w:r>
      <w:proofErr w:type="gramStart"/>
      <w:r>
        <w:rPr>
          <w:color w:val="333333"/>
          <w:sz w:val="19"/>
          <w:szCs w:val="19"/>
        </w:rPr>
        <w:t>terrorisme  ·</w:t>
      </w:r>
      <w:proofErr w:type="gramEnd"/>
      <w:r>
        <w:rPr>
          <w:color w:val="333333"/>
          <w:sz w:val="19"/>
          <w:szCs w:val="19"/>
        </w:rPr>
        <w:t xml:space="preserve">  La libre circulation des personnes dans l’Union européenne</w:t>
      </w:r>
    </w:p>
    <w:p w14:paraId="31E4F42C"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Articles</w:t>
      </w:r>
      <w:proofErr w:type="gramEnd"/>
      <w:r>
        <w:rPr>
          <w:color w:val="4A4A4A"/>
        </w:rPr>
        <w:t xml:space="preserve"> 2 et 4 de la Déclaration des droits de l’homme et du </w:t>
      </w:r>
      <w:proofErr w:type="gramStart"/>
      <w:r>
        <w:rPr>
          <w:color w:val="4A4A4A"/>
        </w:rPr>
        <w:t>citoyen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2010-13 QPC, 9 juillet 2010, Monsieur Orient et autre </w:t>
      </w:r>
      <w:r>
        <w:rPr>
          <w:color w:val="4A4A4A"/>
        </w:rPr>
        <w:t>Gens du voyage</w:t>
      </w:r>
      <w:proofErr w:type="gramStart"/>
      <w:r>
        <w:rPr>
          <w:color w:val="4A4A4A"/>
        </w:rPr>
        <w:t>  ·</w:t>
      </w:r>
      <w:proofErr w:type="gramEnd"/>
      <w:r>
        <w:rPr>
          <w:color w:val="4A4A4A"/>
        </w:rPr>
        <w:t xml:space="preserve">  Cons. </w:t>
      </w:r>
      <w:proofErr w:type="spellStart"/>
      <w:proofErr w:type="gramStart"/>
      <w:r>
        <w:rPr>
          <w:color w:val="4A4A4A"/>
        </w:rPr>
        <w:t>const</w:t>
      </w:r>
      <w:proofErr w:type="spellEnd"/>
      <w:proofErr w:type="gramEnd"/>
      <w:r>
        <w:rPr>
          <w:color w:val="4A4A4A"/>
        </w:rPr>
        <w:t>., déc. no 2015-527 QPC, 22 décembre 2015</w:t>
      </w:r>
    </w:p>
    <w:p w14:paraId="3778063D" w14:textId="77777777" w:rsidR="002F5D69" w:rsidRDefault="00000000">
      <w:pPr>
        <w:keepNext/>
        <w:spacing w:before="150" w:after="30"/>
      </w:pPr>
      <w:r>
        <w:rPr>
          <w:b/>
          <w:bCs/>
          <w:color w:val="2E5A88"/>
          <w:sz w:val="21"/>
          <w:szCs w:val="21"/>
        </w:rPr>
        <w:t xml:space="preserve">41. </w:t>
      </w:r>
      <w:r>
        <w:rPr>
          <w:rFonts w:ascii="Cambria" w:eastAsia="Cambria" w:hAnsi="Cambria" w:cs="Cambria"/>
          <w:b/>
          <w:bCs/>
          <w:color w:val="1F3864"/>
          <w:sz w:val="21"/>
          <w:szCs w:val="21"/>
        </w:rPr>
        <w:t>La liberté d’enseignement</w:t>
      </w:r>
      <w:r>
        <w:rPr>
          <w:color w:val="6E6E6E"/>
          <w:sz w:val="15"/>
          <w:szCs w:val="15"/>
        </w:rPr>
        <w:t xml:space="preserve">   p. 428</w:t>
      </w:r>
    </w:p>
    <w:p w14:paraId="12942C3A" w14:textId="77777777" w:rsidR="002F5D69" w:rsidRDefault="00000000">
      <w:pPr>
        <w:spacing w:after="40" w:line="264" w:lineRule="auto"/>
        <w:ind w:left="170"/>
        <w:jc w:val="both"/>
      </w:pPr>
      <w:r>
        <w:rPr>
          <w:color w:val="1A1A1A"/>
          <w:sz w:val="20"/>
          <w:szCs w:val="20"/>
        </w:rPr>
        <w:t>Liberté DE l’enseignement (créer et faire fonctionner un établissement), à ne pas confondre avec le droit À l’enseignement : PFRLR, privé hors contrat, financement, libertés académiques.</w:t>
      </w:r>
    </w:p>
    <w:p w14:paraId="59716D48"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fondements de la liberté de </w:t>
      </w:r>
      <w:proofErr w:type="gramStart"/>
      <w:r>
        <w:rPr>
          <w:color w:val="333333"/>
          <w:sz w:val="19"/>
          <w:szCs w:val="19"/>
        </w:rPr>
        <w:t>l’enseignement  ·</w:t>
      </w:r>
      <w:proofErr w:type="gramEnd"/>
      <w:r>
        <w:rPr>
          <w:color w:val="333333"/>
          <w:sz w:val="19"/>
          <w:szCs w:val="19"/>
        </w:rPr>
        <w:t xml:space="preserve">  Contenu de la liberté de l’enseignement</w:t>
      </w:r>
    </w:p>
    <w:p w14:paraId="6F7A568B"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Guizot, 28 juin 1833 pour l’enseignement </w:t>
      </w:r>
      <w:proofErr w:type="gramStart"/>
      <w:r>
        <w:rPr>
          <w:color w:val="4A4A4A"/>
        </w:rPr>
        <w:t>primaire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84-184 DC, 29 décembre 1984, Loi de finances pour </w:t>
      </w:r>
      <w:proofErr w:type="gramStart"/>
      <w:r>
        <w:rPr>
          <w:color w:val="4A4A4A"/>
        </w:rPr>
        <w:t>1985  ·</w:t>
      </w:r>
      <w:proofErr w:type="gramEnd"/>
      <w:r>
        <w:rPr>
          <w:color w:val="4A4A4A"/>
        </w:rPr>
        <w:t xml:space="preserve">  Loi Falloux, 15 mars 1850 pour l’enseignement secondaire</w:t>
      </w:r>
    </w:p>
    <w:p w14:paraId="43570835" w14:textId="77777777" w:rsidR="002F5D69" w:rsidRDefault="00000000">
      <w:pPr>
        <w:keepNext/>
        <w:spacing w:before="150" w:after="30"/>
      </w:pPr>
      <w:r>
        <w:rPr>
          <w:b/>
          <w:bCs/>
          <w:color w:val="2E5A88"/>
          <w:sz w:val="21"/>
          <w:szCs w:val="21"/>
        </w:rPr>
        <w:t xml:space="preserve">42. </w:t>
      </w:r>
      <w:r>
        <w:rPr>
          <w:rFonts w:ascii="Cambria" w:eastAsia="Cambria" w:hAnsi="Cambria" w:cs="Cambria"/>
          <w:b/>
          <w:bCs/>
          <w:color w:val="1F3864"/>
          <w:sz w:val="21"/>
          <w:szCs w:val="21"/>
        </w:rPr>
        <w:t>Le droit à des élections libres</w:t>
      </w:r>
      <w:r>
        <w:rPr>
          <w:color w:val="6E6E6E"/>
          <w:sz w:val="15"/>
          <w:szCs w:val="15"/>
        </w:rPr>
        <w:t xml:space="preserve">   p. 436</w:t>
      </w:r>
    </w:p>
    <w:p w14:paraId="7CE2C0E0" w14:textId="77777777" w:rsidR="002F5D69" w:rsidRDefault="00000000">
      <w:pPr>
        <w:spacing w:after="40" w:line="264" w:lineRule="auto"/>
        <w:ind w:left="170"/>
        <w:jc w:val="both"/>
      </w:pPr>
      <w:r>
        <w:rPr>
          <w:color w:val="1A1A1A"/>
          <w:sz w:val="20"/>
          <w:szCs w:val="20"/>
        </w:rPr>
        <w:t>Le garde-fou démocratique : droit de vote et éligibilité, conditions de jouissance et d’exercice, puis les caractères du suffrage — universel, égal, libre, secret, sincère, périodique.</w:t>
      </w:r>
    </w:p>
    <w:p w14:paraId="220E5999"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sources du droit à des élections </w:t>
      </w:r>
      <w:proofErr w:type="gramStart"/>
      <w:r>
        <w:rPr>
          <w:color w:val="333333"/>
          <w:sz w:val="19"/>
          <w:szCs w:val="19"/>
        </w:rPr>
        <w:t>libres  ·</w:t>
      </w:r>
      <w:proofErr w:type="gramEnd"/>
      <w:r>
        <w:rPr>
          <w:color w:val="333333"/>
          <w:sz w:val="19"/>
          <w:szCs w:val="19"/>
        </w:rPr>
        <w:t xml:space="preserve">  Les éléments du droit à des élections </w:t>
      </w:r>
      <w:proofErr w:type="gramStart"/>
      <w:r>
        <w:rPr>
          <w:color w:val="333333"/>
          <w:sz w:val="19"/>
          <w:szCs w:val="19"/>
        </w:rPr>
        <w:t>libres  ·</w:t>
      </w:r>
      <w:proofErr w:type="gramEnd"/>
      <w:r>
        <w:rPr>
          <w:color w:val="333333"/>
          <w:sz w:val="19"/>
          <w:szCs w:val="19"/>
        </w:rPr>
        <w:t xml:space="preserve">  Les conditions de jouissance et d’exercice du droit à des élections </w:t>
      </w:r>
      <w:proofErr w:type="gramStart"/>
      <w:r>
        <w:rPr>
          <w:color w:val="333333"/>
          <w:sz w:val="19"/>
          <w:szCs w:val="19"/>
        </w:rPr>
        <w:t>libres  ·</w:t>
      </w:r>
      <w:proofErr w:type="gramEnd"/>
      <w:r>
        <w:rPr>
          <w:color w:val="333333"/>
          <w:sz w:val="19"/>
          <w:szCs w:val="19"/>
        </w:rPr>
        <w:t xml:space="preserve">  Les caractères du suffrage</w:t>
      </w:r>
    </w:p>
    <w:p w14:paraId="1B8FFE9A"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Code</w:t>
      </w:r>
      <w:proofErr w:type="gramEnd"/>
      <w:r>
        <w:rPr>
          <w:color w:val="4A4A4A"/>
        </w:rPr>
        <w:t xml:space="preserve"> </w:t>
      </w:r>
      <w:proofErr w:type="gramStart"/>
      <w:r>
        <w:rPr>
          <w:color w:val="4A4A4A"/>
        </w:rPr>
        <w:t>électoral  ·</w:t>
      </w:r>
      <w:proofErr w:type="gramEnd"/>
      <w:r>
        <w:rPr>
          <w:color w:val="4A4A4A"/>
        </w:rPr>
        <w:t xml:space="preserve">  Art. 2 et 3 de la </w:t>
      </w:r>
      <w:proofErr w:type="gramStart"/>
      <w:r>
        <w:rPr>
          <w:color w:val="4A4A4A"/>
        </w:rPr>
        <w:t>Constitution  ·</w:t>
      </w:r>
      <w:proofErr w:type="gramEnd"/>
      <w:r>
        <w:rPr>
          <w:color w:val="4A4A4A"/>
        </w:rPr>
        <w:t xml:space="preserve">  Art. 3 du protocole no 1 CESDH</w:t>
      </w:r>
    </w:p>
    <w:p w14:paraId="7E272060" w14:textId="77777777" w:rsidR="002F5D69" w:rsidRDefault="00000000">
      <w:pPr>
        <w:keepNext/>
        <w:spacing w:before="150" w:after="30"/>
      </w:pPr>
      <w:r>
        <w:rPr>
          <w:b/>
          <w:bCs/>
          <w:color w:val="2E5A88"/>
          <w:sz w:val="21"/>
          <w:szCs w:val="21"/>
        </w:rPr>
        <w:t xml:space="preserve">43. </w:t>
      </w:r>
      <w:r>
        <w:rPr>
          <w:rFonts w:ascii="Cambria" w:eastAsia="Cambria" w:hAnsi="Cambria" w:cs="Cambria"/>
          <w:b/>
          <w:bCs/>
          <w:color w:val="1F3864"/>
          <w:sz w:val="21"/>
          <w:szCs w:val="21"/>
        </w:rPr>
        <w:t>Les protections fondamentales en cas d’éloignement, d’expulsion et d’extradition</w:t>
      </w:r>
      <w:r>
        <w:rPr>
          <w:color w:val="6E6E6E"/>
          <w:sz w:val="15"/>
          <w:szCs w:val="15"/>
        </w:rPr>
        <w:t xml:space="preserve">   p. 445</w:t>
      </w:r>
    </w:p>
    <w:p w14:paraId="3E11F930" w14:textId="77777777" w:rsidR="002F5D69" w:rsidRDefault="00000000">
      <w:pPr>
        <w:spacing w:after="40" w:line="264" w:lineRule="auto"/>
        <w:ind w:left="170"/>
        <w:jc w:val="both"/>
      </w:pPr>
      <w:r>
        <w:rPr>
          <w:color w:val="1A1A1A"/>
          <w:sz w:val="20"/>
          <w:szCs w:val="20"/>
        </w:rPr>
        <w:t>Distinguer d’abord les mesures (obligation de quitter le territoire, expulsion, extradition), puis les protections : intégrité physique (article 3), vie privée et familiale, garanties procédurales.</w:t>
      </w:r>
    </w:p>
    <w:p w14:paraId="52917915"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droit des étrangers et des citoyens de l’Union </w:t>
      </w:r>
      <w:proofErr w:type="gramStart"/>
      <w:r>
        <w:rPr>
          <w:color w:val="333333"/>
          <w:sz w:val="19"/>
          <w:szCs w:val="19"/>
        </w:rPr>
        <w:t>européenne  ·</w:t>
      </w:r>
      <w:proofErr w:type="gramEnd"/>
      <w:r>
        <w:rPr>
          <w:color w:val="333333"/>
          <w:sz w:val="19"/>
          <w:szCs w:val="19"/>
        </w:rPr>
        <w:t xml:space="preserve">  Les mesures d’éloignement du </w:t>
      </w:r>
      <w:proofErr w:type="gramStart"/>
      <w:r>
        <w:rPr>
          <w:color w:val="333333"/>
          <w:sz w:val="19"/>
          <w:szCs w:val="19"/>
        </w:rPr>
        <w:t>territoire  ·</w:t>
      </w:r>
      <w:proofErr w:type="gramEnd"/>
      <w:r>
        <w:rPr>
          <w:color w:val="333333"/>
          <w:sz w:val="19"/>
          <w:szCs w:val="19"/>
        </w:rPr>
        <w:t xml:space="preserve">  Les protections face aux mesures d’éloignement</w:t>
      </w:r>
    </w:p>
    <w:p w14:paraId="31DF01E2"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Cons</w:t>
      </w:r>
      <w:proofErr w:type="gramEnd"/>
      <w:r>
        <w:rPr>
          <w:color w:val="4A4A4A"/>
        </w:rPr>
        <w:t xml:space="preserve">. </w:t>
      </w:r>
      <w:proofErr w:type="spellStart"/>
      <w:proofErr w:type="gramStart"/>
      <w:r>
        <w:rPr>
          <w:color w:val="4A4A4A"/>
        </w:rPr>
        <w:t>const</w:t>
      </w:r>
      <w:proofErr w:type="spellEnd"/>
      <w:proofErr w:type="gramEnd"/>
      <w:r>
        <w:rPr>
          <w:color w:val="4A4A4A"/>
        </w:rPr>
        <w:t xml:space="preserve">., déc. no 2011-631 DC, 9 juin 2011, Loi relative à </w:t>
      </w:r>
      <w:proofErr w:type="gramStart"/>
      <w:r>
        <w:rPr>
          <w:color w:val="4A4A4A"/>
        </w:rPr>
        <w:t>l’immigration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2003-484 DC, 20 novembre </w:t>
      </w:r>
      <w:proofErr w:type="gramStart"/>
      <w:r>
        <w:rPr>
          <w:color w:val="4A4A4A"/>
        </w:rPr>
        <w:t>2003  ·</w:t>
      </w:r>
      <w:proofErr w:type="gramEnd"/>
      <w:r>
        <w:rPr>
          <w:color w:val="4A4A4A"/>
        </w:rPr>
        <w:t xml:space="preserve">  CE, </w:t>
      </w:r>
      <w:proofErr w:type="spellStart"/>
      <w:r>
        <w:rPr>
          <w:color w:val="4A4A4A"/>
        </w:rPr>
        <w:t>Ass</w:t>
      </w:r>
      <w:proofErr w:type="spellEnd"/>
      <w:r>
        <w:rPr>
          <w:color w:val="4A4A4A"/>
        </w:rPr>
        <w:t>., 21 janvier 1977, ministre de l’Intérieur c/ Dridi, no 01333</w:t>
      </w:r>
    </w:p>
    <w:p w14:paraId="5357FA1E" w14:textId="77777777" w:rsidR="002F5D69" w:rsidRDefault="00000000">
      <w:pPr>
        <w:keepNext/>
        <w:spacing w:before="150" w:after="30"/>
      </w:pPr>
      <w:r>
        <w:rPr>
          <w:b/>
          <w:bCs/>
          <w:color w:val="2E5A88"/>
          <w:sz w:val="21"/>
          <w:szCs w:val="21"/>
        </w:rPr>
        <w:lastRenderedPageBreak/>
        <w:t xml:space="preserve">44. </w:t>
      </w:r>
      <w:r>
        <w:rPr>
          <w:rFonts w:ascii="Cambria" w:eastAsia="Cambria" w:hAnsi="Cambria" w:cs="Cambria"/>
          <w:b/>
          <w:bCs/>
          <w:color w:val="1F3864"/>
          <w:sz w:val="21"/>
          <w:szCs w:val="21"/>
        </w:rPr>
        <w:t>Le droit des peuples à disposer d’eux-mêmes</w:t>
      </w:r>
      <w:r>
        <w:rPr>
          <w:color w:val="6E6E6E"/>
          <w:sz w:val="15"/>
          <w:szCs w:val="15"/>
        </w:rPr>
        <w:t xml:space="preserve">   p. 456</w:t>
      </w:r>
    </w:p>
    <w:p w14:paraId="71232185" w14:textId="77777777" w:rsidR="002F5D69" w:rsidRDefault="00000000">
      <w:pPr>
        <w:spacing w:after="40" w:line="264" w:lineRule="auto"/>
        <w:ind w:left="170"/>
        <w:jc w:val="both"/>
      </w:pPr>
      <w:r>
        <w:rPr>
          <w:color w:val="1A1A1A"/>
          <w:sz w:val="20"/>
          <w:szCs w:val="20"/>
        </w:rPr>
        <w:t xml:space="preserve">« Peuple » : notion juridiquement incertaine. Droit international (Charte, Pactes, Cour internationale de justice, </w:t>
      </w:r>
      <w:proofErr w:type="spellStart"/>
      <w:r>
        <w:rPr>
          <w:color w:val="1A1A1A"/>
          <w:sz w:val="20"/>
          <w:szCs w:val="20"/>
        </w:rPr>
        <w:t>uti</w:t>
      </w:r>
      <w:proofErr w:type="spellEnd"/>
      <w:r>
        <w:rPr>
          <w:color w:val="1A1A1A"/>
          <w:sz w:val="20"/>
          <w:szCs w:val="20"/>
        </w:rPr>
        <w:t xml:space="preserve"> possidetis), conventions régionales, puis unicité du peuple français, Nouvelle-Calédonie, Corse.</w:t>
      </w:r>
    </w:p>
    <w:p w14:paraId="6BC9D63D"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incertitudes autour de la définition juridique de « peuple </w:t>
      </w:r>
      <w:proofErr w:type="gramStart"/>
      <w:r>
        <w:rPr>
          <w:color w:val="333333"/>
          <w:sz w:val="19"/>
          <w:szCs w:val="19"/>
        </w:rPr>
        <w:t>»  ·</w:t>
      </w:r>
      <w:proofErr w:type="gramEnd"/>
      <w:r>
        <w:rPr>
          <w:color w:val="333333"/>
          <w:sz w:val="19"/>
          <w:szCs w:val="19"/>
        </w:rPr>
        <w:t xml:space="preserve">  Le droit des peuples à disposer d’eux-mêmes en droit </w:t>
      </w:r>
      <w:proofErr w:type="gramStart"/>
      <w:r>
        <w:rPr>
          <w:color w:val="333333"/>
          <w:sz w:val="19"/>
          <w:szCs w:val="19"/>
        </w:rPr>
        <w:t>international  ·</w:t>
      </w:r>
      <w:proofErr w:type="gramEnd"/>
      <w:r>
        <w:rPr>
          <w:color w:val="333333"/>
          <w:sz w:val="19"/>
          <w:szCs w:val="19"/>
        </w:rPr>
        <w:t xml:space="preserve">  Le droit des peuples dans les conventions régionales de protection des droits </w:t>
      </w:r>
      <w:proofErr w:type="gramStart"/>
      <w:r>
        <w:rPr>
          <w:color w:val="333333"/>
          <w:sz w:val="19"/>
          <w:szCs w:val="19"/>
        </w:rPr>
        <w:t>humains  ·</w:t>
      </w:r>
      <w:proofErr w:type="gramEnd"/>
      <w:r>
        <w:rPr>
          <w:color w:val="333333"/>
          <w:sz w:val="19"/>
          <w:szCs w:val="19"/>
        </w:rPr>
        <w:t xml:space="preserve">  La notion de « peuple » en droit français</w:t>
      </w:r>
    </w:p>
    <w:p w14:paraId="392CC3CB"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Charte</w:t>
      </w:r>
      <w:proofErr w:type="gramEnd"/>
      <w:r>
        <w:rPr>
          <w:color w:val="4A4A4A"/>
        </w:rPr>
        <w:t xml:space="preserve"> des Nations </w:t>
      </w:r>
      <w:proofErr w:type="gramStart"/>
      <w:r>
        <w:rPr>
          <w:color w:val="4A4A4A"/>
        </w:rPr>
        <w:t>unies  ·</w:t>
      </w:r>
      <w:proofErr w:type="gramEnd"/>
      <w:r>
        <w:rPr>
          <w:color w:val="4A4A4A"/>
        </w:rPr>
        <w:t xml:space="preserve">  CIJ, Burkina Faso c. République du Mali, 22 décembre </w:t>
      </w:r>
      <w:proofErr w:type="gramStart"/>
      <w:r>
        <w:rPr>
          <w:color w:val="4A4A4A"/>
        </w:rPr>
        <w:t>1986  ·</w:t>
      </w:r>
      <w:proofErr w:type="gramEnd"/>
      <w:r>
        <w:rPr>
          <w:color w:val="4A4A4A"/>
        </w:rPr>
        <w:t xml:space="preserve">  Cons. </w:t>
      </w:r>
      <w:proofErr w:type="spellStart"/>
      <w:proofErr w:type="gramStart"/>
      <w:r>
        <w:rPr>
          <w:color w:val="4A4A4A"/>
        </w:rPr>
        <w:t>const</w:t>
      </w:r>
      <w:proofErr w:type="spellEnd"/>
      <w:proofErr w:type="gramEnd"/>
      <w:r>
        <w:rPr>
          <w:color w:val="4A4A4A"/>
        </w:rPr>
        <w:t>., déc. no 91-290, 9 mai 1991</w:t>
      </w:r>
    </w:p>
    <w:p w14:paraId="0560104D"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VII  ·</w:t>
      </w:r>
      <w:proofErr w:type="gramEnd"/>
      <w:r>
        <w:rPr>
          <w:b/>
          <w:bCs/>
          <w:color w:val="2E5A88"/>
          <w:spacing w:val="30"/>
          <w:sz w:val="17"/>
          <w:szCs w:val="17"/>
        </w:rPr>
        <w:t xml:space="preserve">  </w:t>
      </w:r>
      <w:r>
        <w:rPr>
          <w:rFonts w:ascii="Cambria" w:eastAsia="Cambria" w:hAnsi="Cambria" w:cs="Cambria"/>
          <w:b/>
          <w:bCs/>
          <w:color w:val="1F3864"/>
          <w:sz w:val="25"/>
          <w:szCs w:val="25"/>
        </w:rPr>
        <w:t>Les droits économiques, sociaux et culturels</w:t>
      </w:r>
    </w:p>
    <w:p w14:paraId="515E0D5F" w14:textId="77777777" w:rsidR="002F5D69" w:rsidRDefault="00000000">
      <w:pPr>
        <w:spacing w:before="60" w:after="110"/>
        <w:jc w:val="both"/>
      </w:pPr>
      <w:r>
        <w:rPr>
          <w:i/>
          <w:iCs/>
          <w:color w:val="5A5A5A"/>
        </w:rPr>
        <w:t>Les droits qui supposent une action de l’État. Fil rouge : leur normativité variable — souvent objectifs à valeur constitutionnelle plutôt que droits subjectifs pleinement invocables.</w:t>
      </w:r>
    </w:p>
    <w:p w14:paraId="2033E695" w14:textId="77777777" w:rsidR="002F5D69" w:rsidRDefault="00000000">
      <w:pPr>
        <w:keepNext/>
        <w:spacing w:before="150" w:after="30"/>
      </w:pPr>
      <w:r>
        <w:rPr>
          <w:b/>
          <w:bCs/>
          <w:color w:val="2E5A88"/>
          <w:sz w:val="21"/>
          <w:szCs w:val="21"/>
        </w:rPr>
        <w:t xml:space="preserve">45. </w:t>
      </w:r>
      <w:r>
        <w:rPr>
          <w:rFonts w:ascii="Cambria" w:eastAsia="Cambria" w:hAnsi="Cambria" w:cs="Cambria"/>
          <w:b/>
          <w:bCs/>
          <w:color w:val="1F3864"/>
          <w:sz w:val="21"/>
          <w:szCs w:val="21"/>
        </w:rPr>
        <w:t>La liberté du commerce et de l’industrie</w:t>
      </w:r>
      <w:r>
        <w:rPr>
          <w:color w:val="6E6E6E"/>
          <w:sz w:val="15"/>
          <w:szCs w:val="15"/>
        </w:rPr>
        <w:t xml:space="preserve">   p. 468</w:t>
      </w:r>
    </w:p>
    <w:p w14:paraId="02219948" w14:textId="77777777" w:rsidR="002F5D69" w:rsidRDefault="00000000">
      <w:pPr>
        <w:spacing w:after="40" w:line="264" w:lineRule="auto"/>
        <w:ind w:left="170"/>
        <w:jc w:val="both"/>
      </w:pPr>
      <w:r>
        <w:rPr>
          <w:color w:val="1A1A1A"/>
          <w:sz w:val="20"/>
          <w:szCs w:val="20"/>
        </w:rPr>
        <w:t>La liberté d’entreprendre : protégée par le droit de l’Union (établissement, prestation de services) et reconnue en droit interne avec une valeur constitutionnelle que la fiche qualifie d’asymétrique.</w:t>
      </w:r>
    </w:p>
    <w:p w14:paraId="5E0206A4"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protection de la liberté d’entreprendre</w:t>
      </w:r>
    </w:p>
    <w:p w14:paraId="0EC5B739"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Articles</w:t>
      </w:r>
      <w:proofErr w:type="gramEnd"/>
      <w:r>
        <w:rPr>
          <w:color w:val="4A4A4A"/>
        </w:rPr>
        <w:t xml:space="preserve"> 49 et 56 du </w:t>
      </w:r>
      <w:proofErr w:type="gramStart"/>
      <w:r>
        <w:rPr>
          <w:color w:val="4A4A4A"/>
        </w:rPr>
        <w:t>TFUE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81-132 DC, 16 janvier 1982, Loi de </w:t>
      </w:r>
      <w:proofErr w:type="gramStart"/>
      <w:r>
        <w:rPr>
          <w:color w:val="4A4A4A"/>
        </w:rPr>
        <w:t>nationalisation  ·</w:t>
      </w:r>
      <w:proofErr w:type="gramEnd"/>
      <w:r>
        <w:rPr>
          <w:color w:val="4A4A4A"/>
        </w:rPr>
        <w:t xml:space="preserve">  CE 1er avril 2025, La Quadrature du net et a., nos 494511, 494583 et 495174</w:t>
      </w:r>
    </w:p>
    <w:p w14:paraId="5212B091" w14:textId="77777777" w:rsidR="002F5D69" w:rsidRDefault="00000000">
      <w:pPr>
        <w:keepNext/>
        <w:spacing w:before="150" w:after="30"/>
      </w:pPr>
      <w:r>
        <w:rPr>
          <w:b/>
          <w:bCs/>
          <w:color w:val="2E5A88"/>
          <w:sz w:val="21"/>
          <w:szCs w:val="21"/>
        </w:rPr>
        <w:t xml:space="preserve">46. </w:t>
      </w:r>
      <w:r>
        <w:rPr>
          <w:rFonts w:ascii="Cambria" w:eastAsia="Cambria" w:hAnsi="Cambria" w:cs="Cambria"/>
          <w:b/>
          <w:bCs/>
          <w:color w:val="1F3864"/>
          <w:sz w:val="21"/>
          <w:szCs w:val="21"/>
        </w:rPr>
        <w:t>Le droit de propriété</w:t>
      </w:r>
      <w:r>
        <w:rPr>
          <w:color w:val="6E6E6E"/>
          <w:sz w:val="15"/>
          <w:szCs w:val="15"/>
        </w:rPr>
        <w:t xml:space="preserve">   p. 475</w:t>
      </w:r>
    </w:p>
    <w:p w14:paraId="320C809F" w14:textId="77777777" w:rsidR="002F5D69" w:rsidRDefault="00000000">
      <w:pPr>
        <w:spacing w:after="40" w:line="264" w:lineRule="auto"/>
        <w:ind w:left="170"/>
        <w:jc w:val="both"/>
      </w:pPr>
      <w:r>
        <w:rPr>
          <w:color w:val="1A1A1A"/>
          <w:sz w:val="20"/>
          <w:szCs w:val="20"/>
        </w:rPr>
        <w:t>« Inviolable et sacré » en 1789, relatif aujourd’hui : protection conventionnelle avec une notion autonome de « biens », et protection nationale contre l’expropriation illégale.</w:t>
      </w:r>
    </w:p>
    <w:p w14:paraId="24AF145A"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protection du droit de propriété par la Convention européenne des droits de </w:t>
      </w:r>
      <w:proofErr w:type="gramStart"/>
      <w:r>
        <w:rPr>
          <w:color w:val="333333"/>
          <w:sz w:val="19"/>
          <w:szCs w:val="19"/>
        </w:rPr>
        <w:t>l’homme  ·</w:t>
      </w:r>
      <w:proofErr w:type="gramEnd"/>
      <w:r>
        <w:rPr>
          <w:color w:val="333333"/>
          <w:sz w:val="19"/>
          <w:szCs w:val="19"/>
        </w:rPr>
        <w:t xml:space="preserve">  La protection nationale du droit de propriété</w:t>
      </w:r>
    </w:p>
    <w:p w14:paraId="6BAC8A33"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2 et 17 </w:t>
      </w:r>
      <w:proofErr w:type="gramStart"/>
      <w:r>
        <w:rPr>
          <w:color w:val="4A4A4A"/>
        </w:rPr>
        <w:t>DDHC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89-256 DC, 25 juillet </w:t>
      </w:r>
      <w:proofErr w:type="gramStart"/>
      <w:r>
        <w:rPr>
          <w:color w:val="4A4A4A"/>
        </w:rPr>
        <w:t>1989  ·</w:t>
      </w:r>
      <w:proofErr w:type="gramEnd"/>
      <w:r>
        <w:rPr>
          <w:color w:val="4A4A4A"/>
        </w:rPr>
        <w:t xml:space="preserve">  CE, 1er avril 2025, La Quadrature du net et a., nos 494511, 494583 et 495174</w:t>
      </w:r>
    </w:p>
    <w:p w14:paraId="553EA7A2" w14:textId="77777777" w:rsidR="002F5D69" w:rsidRDefault="00000000">
      <w:pPr>
        <w:keepNext/>
        <w:spacing w:before="150" w:after="30"/>
      </w:pPr>
      <w:r>
        <w:rPr>
          <w:b/>
          <w:bCs/>
          <w:color w:val="2E5A88"/>
          <w:sz w:val="21"/>
          <w:szCs w:val="21"/>
        </w:rPr>
        <w:t xml:space="preserve">47. </w:t>
      </w:r>
      <w:r>
        <w:rPr>
          <w:rFonts w:ascii="Cambria" w:eastAsia="Cambria" w:hAnsi="Cambria" w:cs="Cambria"/>
          <w:b/>
          <w:bCs/>
          <w:color w:val="1F3864"/>
          <w:sz w:val="21"/>
          <w:szCs w:val="21"/>
        </w:rPr>
        <w:t>Le droit à l’éducation et à la formation</w:t>
      </w:r>
      <w:r>
        <w:rPr>
          <w:color w:val="6E6E6E"/>
          <w:sz w:val="15"/>
          <w:szCs w:val="15"/>
        </w:rPr>
        <w:t xml:space="preserve">   p. 481</w:t>
      </w:r>
    </w:p>
    <w:p w14:paraId="5FB1DB46" w14:textId="77777777" w:rsidR="002F5D69" w:rsidRDefault="00000000">
      <w:pPr>
        <w:spacing w:after="40" w:line="264" w:lineRule="auto"/>
        <w:ind w:left="170"/>
        <w:jc w:val="both"/>
      </w:pPr>
      <w:r>
        <w:rPr>
          <w:color w:val="1A1A1A"/>
          <w:sz w:val="20"/>
          <w:szCs w:val="20"/>
        </w:rPr>
        <w:t>L’instruction a une double nature, droit et obligation : gratuité, caractère obligatoire, non-discrimination, protection de l’élève, puis droit à la formation tout au long de la vie.</w:t>
      </w:r>
    </w:p>
    <w:p w14:paraId="4535FC1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cadre juridique du droit à l’éducation et à la </w:t>
      </w:r>
      <w:proofErr w:type="gramStart"/>
      <w:r>
        <w:rPr>
          <w:color w:val="333333"/>
          <w:sz w:val="19"/>
          <w:szCs w:val="19"/>
        </w:rPr>
        <w:t>formation  ·</w:t>
      </w:r>
      <w:proofErr w:type="gramEnd"/>
      <w:r>
        <w:rPr>
          <w:color w:val="333333"/>
          <w:sz w:val="19"/>
          <w:szCs w:val="19"/>
        </w:rPr>
        <w:t xml:space="preserve">  Les principes structurant du droit à </w:t>
      </w:r>
      <w:proofErr w:type="gramStart"/>
      <w:r>
        <w:rPr>
          <w:color w:val="333333"/>
          <w:sz w:val="19"/>
          <w:szCs w:val="19"/>
        </w:rPr>
        <w:t>l’éducation  ·</w:t>
      </w:r>
      <w:proofErr w:type="gramEnd"/>
      <w:r>
        <w:rPr>
          <w:color w:val="333333"/>
          <w:sz w:val="19"/>
          <w:szCs w:val="19"/>
        </w:rPr>
        <w:t xml:space="preserve">  3. La non-</w:t>
      </w:r>
      <w:proofErr w:type="gramStart"/>
      <w:r>
        <w:rPr>
          <w:color w:val="333333"/>
          <w:sz w:val="19"/>
          <w:szCs w:val="19"/>
        </w:rPr>
        <w:t>discrimination  ·</w:t>
      </w:r>
      <w:proofErr w:type="gramEnd"/>
      <w:r>
        <w:rPr>
          <w:color w:val="333333"/>
          <w:sz w:val="19"/>
          <w:szCs w:val="19"/>
        </w:rPr>
        <w:t xml:space="preserve">  Le droit à la formation</w:t>
      </w:r>
    </w:p>
    <w:p w14:paraId="4314311B"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Préambule</w:t>
      </w:r>
      <w:proofErr w:type="gramEnd"/>
      <w:r>
        <w:rPr>
          <w:color w:val="4A4A4A"/>
        </w:rPr>
        <w:t xml:space="preserve"> de la Constitution de </w:t>
      </w:r>
      <w:proofErr w:type="gramStart"/>
      <w:r>
        <w:rPr>
          <w:color w:val="4A4A4A"/>
        </w:rPr>
        <w:t>1946  ·</w:t>
      </w:r>
      <w:proofErr w:type="gramEnd"/>
      <w:r>
        <w:rPr>
          <w:color w:val="4A4A4A"/>
        </w:rPr>
        <w:t xml:space="preserve">  Art. 26 de la Déclaration universelle des droits de </w:t>
      </w:r>
      <w:proofErr w:type="gramStart"/>
      <w:r>
        <w:rPr>
          <w:color w:val="4A4A4A"/>
        </w:rPr>
        <w:t>l’homme  ·</w:t>
      </w:r>
      <w:proofErr w:type="gramEnd"/>
      <w:r>
        <w:rPr>
          <w:color w:val="4A4A4A"/>
        </w:rPr>
        <w:t xml:space="preserve">  Art. 2 du Protocole additionnel no 1 à la Convention européenne des droits de l’homme</w:t>
      </w:r>
    </w:p>
    <w:p w14:paraId="78ACA83B" w14:textId="77777777" w:rsidR="002F5D69" w:rsidRDefault="00000000">
      <w:pPr>
        <w:keepNext/>
        <w:spacing w:before="150" w:after="30"/>
      </w:pPr>
      <w:r>
        <w:rPr>
          <w:b/>
          <w:bCs/>
          <w:color w:val="2E5A88"/>
          <w:sz w:val="21"/>
          <w:szCs w:val="21"/>
        </w:rPr>
        <w:t xml:space="preserve">48. </w:t>
      </w:r>
      <w:r>
        <w:rPr>
          <w:rFonts w:ascii="Cambria" w:eastAsia="Cambria" w:hAnsi="Cambria" w:cs="Cambria"/>
          <w:b/>
          <w:bCs/>
          <w:color w:val="1F3864"/>
          <w:sz w:val="21"/>
          <w:szCs w:val="21"/>
        </w:rPr>
        <w:t>Le droit à la santé et à la protection sociale</w:t>
      </w:r>
      <w:r>
        <w:rPr>
          <w:color w:val="6E6E6E"/>
          <w:sz w:val="15"/>
          <w:szCs w:val="15"/>
        </w:rPr>
        <w:t xml:space="preserve">   p. 490</w:t>
      </w:r>
    </w:p>
    <w:p w14:paraId="12BECDF5" w14:textId="77777777" w:rsidR="002F5D69" w:rsidRDefault="00000000">
      <w:pPr>
        <w:spacing w:after="40" w:line="264" w:lineRule="auto"/>
        <w:ind w:left="170"/>
        <w:jc w:val="both"/>
      </w:pPr>
      <w:r>
        <w:rPr>
          <w:color w:val="1A1A1A"/>
          <w:sz w:val="20"/>
          <w:szCs w:val="20"/>
        </w:rPr>
        <w:t>Deux droits distincts rattachés au préambule de 1946. Point de méthode : les textes internationaux qui les proclament ne sont pas directement invocables en droit interne.</w:t>
      </w:r>
    </w:p>
    <w:p w14:paraId="3CEFE07C"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droit à la protection de la </w:t>
      </w:r>
      <w:proofErr w:type="gramStart"/>
      <w:r>
        <w:rPr>
          <w:color w:val="333333"/>
          <w:sz w:val="19"/>
          <w:szCs w:val="19"/>
        </w:rPr>
        <w:t>santé  ·</w:t>
      </w:r>
      <w:proofErr w:type="gramEnd"/>
      <w:r>
        <w:rPr>
          <w:color w:val="333333"/>
          <w:sz w:val="19"/>
          <w:szCs w:val="19"/>
        </w:rPr>
        <w:t xml:space="preserve">  Les contours du droit à la protection </w:t>
      </w:r>
      <w:proofErr w:type="gramStart"/>
      <w:r>
        <w:rPr>
          <w:color w:val="333333"/>
          <w:sz w:val="19"/>
          <w:szCs w:val="19"/>
        </w:rPr>
        <w:t>sociale  ·</w:t>
      </w:r>
      <w:proofErr w:type="gramEnd"/>
      <w:r>
        <w:rPr>
          <w:color w:val="333333"/>
          <w:sz w:val="19"/>
          <w:szCs w:val="19"/>
        </w:rPr>
        <w:t xml:space="preserve">  La consécration dans les instruments internationaux de </w:t>
      </w:r>
      <w:proofErr w:type="gramStart"/>
      <w:r>
        <w:rPr>
          <w:color w:val="333333"/>
          <w:sz w:val="19"/>
          <w:szCs w:val="19"/>
        </w:rPr>
        <w:t>protection  ·</w:t>
      </w:r>
      <w:proofErr w:type="gramEnd"/>
      <w:r>
        <w:rPr>
          <w:color w:val="333333"/>
          <w:sz w:val="19"/>
          <w:szCs w:val="19"/>
        </w:rPr>
        <w:t xml:space="preserve">  La consécration du droit à la protection sociale en </w:t>
      </w:r>
      <w:proofErr w:type="gramStart"/>
      <w:r>
        <w:rPr>
          <w:color w:val="333333"/>
          <w:sz w:val="19"/>
          <w:szCs w:val="19"/>
        </w:rPr>
        <w:t>France  ·</w:t>
      </w:r>
      <w:proofErr w:type="gramEnd"/>
      <w:r>
        <w:rPr>
          <w:color w:val="333333"/>
          <w:sz w:val="19"/>
          <w:szCs w:val="19"/>
        </w:rPr>
        <w:t xml:space="preserve">  Le principe d’égalité dans le droit à la protection sociale</w:t>
      </w:r>
    </w:p>
    <w:p w14:paraId="5983BC87"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Article</w:t>
      </w:r>
      <w:proofErr w:type="gramEnd"/>
      <w:r>
        <w:rPr>
          <w:color w:val="4A4A4A"/>
        </w:rPr>
        <w:t xml:space="preserve"> 11 du Préambule de la Constitution de </w:t>
      </w:r>
      <w:proofErr w:type="gramStart"/>
      <w:r>
        <w:rPr>
          <w:color w:val="4A4A4A"/>
        </w:rPr>
        <w:t>1946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décision no 2003-483 DC, 14 août 2003, Loi portant réforme des </w:t>
      </w:r>
      <w:proofErr w:type="gramStart"/>
      <w:r>
        <w:rPr>
          <w:color w:val="4A4A4A"/>
        </w:rPr>
        <w:t>retraites  ·</w:t>
      </w:r>
      <w:proofErr w:type="gramEnd"/>
      <w:r>
        <w:rPr>
          <w:color w:val="4A4A4A"/>
        </w:rPr>
        <w:t xml:space="preserve">  Cons. </w:t>
      </w:r>
      <w:proofErr w:type="spellStart"/>
      <w:proofErr w:type="gramStart"/>
      <w:r>
        <w:rPr>
          <w:color w:val="4A4A4A"/>
        </w:rPr>
        <w:t>const</w:t>
      </w:r>
      <w:proofErr w:type="spellEnd"/>
      <w:proofErr w:type="gramEnd"/>
      <w:r>
        <w:rPr>
          <w:color w:val="4A4A4A"/>
        </w:rPr>
        <w:t>., décision no 89-269, 22 janvier 1990</w:t>
      </w:r>
    </w:p>
    <w:p w14:paraId="2DE46BD3" w14:textId="77777777" w:rsidR="002F5D69" w:rsidRDefault="00000000">
      <w:pPr>
        <w:keepNext/>
        <w:spacing w:before="150" w:after="30"/>
      </w:pPr>
      <w:r>
        <w:rPr>
          <w:b/>
          <w:bCs/>
          <w:color w:val="2E5A88"/>
          <w:sz w:val="21"/>
          <w:szCs w:val="21"/>
        </w:rPr>
        <w:t xml:space="preserve">49. </w:t>
      </w:r>
      <w:r>
        <w:rPr>
          <w:rFonts w:ascii="Cambria" w:eastAsia="Cambria" w:hAnsi="Cambria" w:cs="Cambria"/>
          <w:b/>
          <w:bCs/>
          <w:color w:val="1F3864"/>
          <w:sz w:val="21"/>
          <w:szCs w:val="21"/>
        </w:rPr>
        <w:t>Le droit à un environnement sain</w:t>
      </w:r>
      <w:r>
        <w:rPr>
          <w:color w:val="6E6E6E"/>
          <w:sz w:val="15"/>
          <w:szCs w:val="15"/>
        </w:rPr>
        <w:t xml:space="preserve">   p. 500</w:t>
      </w:r>
    </w:p>
    <w:p w14:paraId="2F093CE5" w14:textId="77777777" w:rsidR="002F5D69" w:rsidRDefault="00000000">
      <w:pPr>
        <w:spacing w:after="40" w:line="264" w:lineRule="auto"/>
        <w:ind w:left="170"/>
        <w:jc w:val="both"/>
      </w:pPr>
      <w:r>
        <w:rPr>
          <w:color w:val="1A1A1A"/>
          <w:sz w:val="20"/>
          <w:szCs w:val="20"/>
        </w:rPr>
        <w:t>Ne pas confondre droit DE l’environnement et droit À un environnement sain. Protection par ricochet (articles 2 et 8), contentieux climatique, Charte de 2004.</w:t>
      </w:r>
    </w:p>
    <w:p w14:paraId="1071DC5C"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La</w:t>
      </w:r>
      <w:proofErr w:type="gramEnd"/>
      <w:r>
        <w:rPr>
          <w:color w:val="333333"/>
          <w:sz w:val="19"/>
          <w:szCs w:val="19"/>
        </w:rPr>
        <w:t xml:space="preserve"> prise de conscience planétaire des enjeux </w:t>
      </w:r>
      <w:proofErr w:type="gramStart"/>
      <w:r>
        <w:rPr>
          <w:color w:val="333333"/>
          <w:sz w:val="19"/>
          <w:szCs w:val="19"/>
        </w:rPr>
        <w:t>environnementaux  ·</w:t>
      </w:r>
      <w:proofErr w:type="gramEnd"/>
      <w:r>
        <w:rPr>
          <w:color w:val="333333"/>
          <w:sz w:val="19"/>
          <w:szCs w:val="19"/>
        </w:rPr>
        <w:t xml:space="preserve">  La protection par ricochet opérée par la Cour européenne des droits de </w:t>
      </w:r>
      <w:proofErr w:type="gramStart"/>
      <w:r>
        <w:rPr>
          <w:color w:val="333333"/>
          <w:sz w:val="19"/>
          <w:szCs w:val="19"/>
        </w:rPr>
        <w:t>l’homme  ·</w:t>
      </w:r>
      <w:proofErr w:type="gramEnd"/>
      <w:r>
        <w:rPr>
          <w:color w:val="333333"/>
          <w:sz w:val="19"/>
          <w:szCs w:val="19"/>
        </w:rPr>
        <w:t xml:space="preserve">  La constitutionnalisation du droit à un environnement </w:t>
      </w:r>
      <w:proofErr w:type="gramStart"/>
      <w:r>
        <w:rPr>
          <w:color w:val="333333"/>
          <w:sz w:val="19"/>
          <w:szCs w:val="19"/>
        </w:rPr>
        <w:t>sain  ·</w:t>
      </w:r>
      <w:proofErr w:type="gramEnd"/>
      <w:r>
        <w:rPr>
          <w:color w:val="333333"/>
          <w:sz w:val="19"/>
          <w:szCs w:val="19"/>
        </w:rPr>
        <w:t xml:space="preserve">  La montée en puissance du contentieux relatif au droit à un environnement sain</w:t>
      </w:r>
    </w:p>
    <w:p w14:paraId="7B1F6D9D"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8 </w:t>
      </w:r>
      <w:proofErr w:type="spellStart"/>
      <w:r>
        <w:rPr>
          <w:color w:val="4A4A4A"/>
        </w:rPr>
        <w:t>Conv</w:t>
      </w:r>
      <w:proofErr w:type="spellEnd"/>
      <w:r>
        <w:rPr>
          <w:color w:val="4A4A4A"/>
        </w:rPr>
        <w:t xml:space="preserve">. </w:t>
      </w:r>
      <w:proofErr w:type="gramStart"/>
      <w:r>
        <w:rPr>
          <w:color w:val="4A4A4A"/>
        </w:rPr>
        <w:t>EDH  ·</w:t>
      </w:r>
      <w:proofErr w:type="gramEnd"/>
      <w:r>
        <w:rPr>
          <w:color w:val="4A4A4A"/>
        </w:rPr>
        <w:t xml:space="preserve">  CEDH, 9 décembre 1994, López Ostra c. Espagne, no 16798/</w:t>
      </w:r>
      <w:proofErr w:type="gramStart"/>
      <w:r>
        <w:rPr>
          <w:color w:val="4A4A4A"/>
        </w:rPr>
        <w:t>90  ·</w:t>
      </w:r>
      <w:proofErr w:type="gramEnd"/>
      <w:r>
        <w:rPr>
          <w:color w:val="4A4A4A"/>
        </w:rPr>
        <w:t xml:space="preserve">  CEDH, GC., 30 novembre 2004, </w:t>
      </w:r>
      <w:proofErr w:type="spellStart"/>
      <w:r>
        <w:rPr>
          <w:color w:val="4A4A4A"/>
        </w:rPr>
        <w:t>Öneryildiz</w:t>
      </w:r>
      <w:proofErr w:type="spellEnd"/>
      <w:r>
        <w:rPr>
          <w:color w:val="4A4A4A"/>
        </w:rPr>
        <w:t xml:space="preserve"> c. Turquie, no 48939/99</w:t>
      </w:r>
    </w:p>
    <w:p w14:paraId="7FBD2913" w14:textId="77777777" w:rsidR="002F5D69" w:rsidRDefault="00000000">
      <w:pPr>
        <w:keepNext/>
        <w:spacing w:before="150" w:after="30"/>
      </w:pPr>
      <w:r>
        <w:rPr>
          <w:b/>
          <w:bCs/>
          <w:color w:val="2E5A88"/>
          <w:sz w:val="21"/>
          <w:szCs w:val="21"/>
        </w:rPr>
        <w:lastRenderedPageBreak/>
        <w:t xml:space="preserve">50. </w:t>
      </w:r>
      <w:r>
        <w:rPr>
          <w:rFonts w:ascii="Cambria" w:eastAsia="Cambria" w:hAnsi="Cambria" w:cs="Cambria"/>
          <w:b/>
          <w:bCs/>
          <w:color w:val="1F3864"/>
          <w:sz w:val="21"/>
          <w:szCs w:val="21"/>
        </w:rPr>
        <w:t>Le droit au travail</w:t>
      </w:r>
      <w:r>
        <w:rPr>
          <w:color w:val="6E6E6E"/>
          <w:sz w:val="15"/>
          <w:szCs w:val="15"/>
        </w:rPr>
        <w:t xml:space="preserve">   p. 509</w:t>
      </w:r>
    </w:p>
    <w:p w14:paraId="16DDC6A6" w14:textId="77777777" w:rsidR="002F5D69" w:rsidRDefault="00000000">
      <w:pPr>
        <w:spacing w:after="40" w:line="264" w:lineRule="auto"/>
        <w:ind w:left="170"/>
        <w:jc w:val="both"/>
      </w:pPr>
      <w:r>
        <w:rPr>
          <w:color w:val="1A1A1A"/>
          <w:sz w:val="20"/>
          <w:szCs w:val="20"/>
        </w:rPr>
        <w:t>Droit au travail (l’État débiteur d’obligations) contre liberté du travail (le choix de l’individu, y compris de ne pas travailler) ; puis OIT, libertés du salarié, libertés collectives.</w:t>
      </w:r>
    </w:p>
    <w:p w14:paraId="551A94D0"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droit d’obtenir un </w:t>
      </w:r>
      <w:proofErr w:type="gramStart"/>
      <w:r>
        <w:rPr>
          <w:color w:val="333333"/>
          <w:sz w:val="19"/>
          <w:szCs w:val="19"/>
        </w:rPr>
        <w:t>emploi  ·</w:t>
      </w:r>
      <w:proofErr w:type="gramEnd"/>
      <w:r>
        <w:rPr>
          <w:color w:val="333333"/>
          <w:sz w:val="19"/>
          <w:szCs w:val="19"/>
        </w:rPr>
        <w:t xml:space="preserve">  Les garanties fondamentales en matière d’emploi et de conditions de travail</w:t>
      </w:r>
    </w:p>
    <w:p w14:paraId="77CBC67A"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Alinéa</w:t>
      </w:r>
      <w:proofErr w:type="gramEnd"/>
      <w:r>
        <w:rPr>
          <w:color w:val="4A4A4A"/>
        </w:rPr>
        <w:t xml:space="preserve"> 5 du Préambule du 27 octobre </w:t>
      </w:r>
      <w:proofErr w:type="gramStart"/>
      <w:r>
        <w:rPr>
          <w:color w:val="4A4A4A"/>
        </w:rPr>
        <w:t>1946  ·</w:t>
      </w:r>
      <w:proofErr w:type="gramEnd"/>
      <w:r>
        <w:rPr>
          <w:color w:val="4A4A4A"/>
        </w:rPr>
        <w:t xml:space="preserve">  CEDH, GC., 11 janvier 2006, Sørensen et Rasmussen c. Danemark, nos 52562/99 et 52620/</w:t>
      </w:r>
      <w:proofErr w:type="gramStart"/>
      <w:r>
        <w:rPr>
          <w:color w:val="4A4A4A"/>
        </w:rPr>
        <w:t>99  ·</w:t>
      </w:r>
      <w:proofErr w:type="gramEnd"/>
      <w:r>
        <w:rPr>
          <w:color w:val="4A4A4A"/>
        </w:rPr>
        <w:t xml:space="preserve">  Cons. </w:t>
      </w:r>
      <w:proofErr w:type="spellStart"/>
      <w:proofErr w:type="gramStart"/>
      <w:r>
        <w:rPr>
          <w:color w:val="4A4A4A"/>
        </w:rPr>
        <w:t>const</w:t>
      </w:r>
      <w:proofErr w:type="spellEnd"/>
      <w:proofErr w:type="gramEnd"/>
      <w:r>
        <w:rPr>
          <w:color w:val="4A4A4A"/>
        </w:rPr>
        <w:t>., déc. no 2007-556 DC, 16 août 2007</w:t>
      </w:r>
    </w:p>
    <w:p w14:paraId="5F8A2B22" w14:textId="77777777" w:rsidR="002F5D69" w:rsidRDefault="00000000">
      <w:pPr>
        <w:keepNext/>
        <w:spacing w:before="150" w:after="30"/>
      </w:pPr>
      <w:r>
        <w:rPr>
          <w:b/>
          <w:bCs/>
          <w:color w:val="2E5A88"/>
          <w:sz w:val="21"/>
          <w:szCs w:val="21"/>
        </w:rPr>
        <w:t xml:space="preserve">51. </w:t>
      </w:r>
      <w:r>
        <w:rPr>
          <w:rFonts w:ascii="Cambria" w:eastAsia="Cambria" w:hAnsi="Cambria" w:cs="Cambria"/>
          <w:b/>
          <w:bCs/>
          <w:color w:val="1F3864"/>
          <w:sz w:val="21"/>
          <w:szCs w:val="21"/>
        </w:rPr>
        <w:t>Le droit au logement</w:t>
      </w:r>
      <w:r>
        <w:rPr>
          <w:color w:val="6E6E6E"/>
          <w:sz w:val="15"/>
          <w:szCs w:val="15"/>
        </w:rPr>
        <w:t xml:space="preserve">   p. 518</w:t>
      </w:r>
    </w:p>
    <w:p w14:paraId="52A59815" w14:textId="77777777" w:rsidR="002F5D69" w:rsidRDefault="00000000">
      <w:pPr>
        <w:spacing w:after="40" w:line="264" w:lineRule="auto"/>
        <w:ind w:left="170"/>
        <w:jc w:val="both"/>
      </w:pPr>
      <w:r>
        <w:rPr>
          <w:color w:val="1A1A1A"/>
          <w:sz w:val="20"/>
          <w:szCs w:val="20"/>
        </w:rPr>
        <w:t>Normativité limitée : fondement d’abord législatif, puis reconnaissance comme objectif à valeur constitutionnelle — et non comme droit subjectif plein. Se termine sur le logement opposable.</w:t>
      </w:r>
    </w:p>
    <w:p w14:paraId="35C84A93"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Les</w:t>
      </w:r>
      <w:proofErr w:type="gramEnd"/>
      <w:r>
        <w:rPr>
          <w:color w:val="333333"/>
          <w:sz w:val="19"/>
          <w:szCs w:val="19"/>
        </w:rPr>
        <w:t xml:space="preserve"> sources du droit au </w:t>
      </w:r>
      <w:proofErr w:type="gramStart"/>
      <w:r>
        <w:rPr>
          <w:color w:val="333333"/>
          <w:sz w:val="19"/>
          <w:szCs w:val="19"/>
        </w:rPr>
        <w:t>logement  ·</w:t>
      </w:r>
      <w:proofErr w:type="gramEnd"/>
      <w:r>
        <w:rPr>
          <w:color w:val="333333"/>
          <w:sz w:val="19"/>
          <w:szCs w:val="19"/>
        </w:rPr>
        <w:t xml:space="preserve">  La subjectivisation atténuée du droit au </w:t>
      </w:r>
      <w:proofErr w:type="gramStart"/>
      <w:r>
        <w:rPr>
          <w:color w:val="333333"/>
          <w:sz w:val="19"/>
          <w:szCs w:val="19"/>
        </w:rPr>
        <w:t>logement  ·</w:t>
      </w:r>
      <w:proofErr w:type="gramEnd"/>
      <w:r>
        <w:rPr>
          <w:color w:val="333333"/>
          <w:sz w:val="19"/>
          <w:szCs w:val="19"/>
        </w:rPr>
        <w:t xml:space="preserve">  L’influence des politiques sociales sur l’effectivité du droit au logement</w:t>
      </w:r>
    </w:p>
    <w:p w14:paraId="5FE1C749"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Loi</w:t>
      </w:r>
      <w:proofErr w:type="gramEnd"/>
      <w:r>
        <w:rPr>
          <w:color w:val="4A4A4A"/>
        </w:rPr>
        <w:t xml:space="preserve"> no 89-462 du 6 juillet 1989 tendant à améliorer les rapports locatifs et portant </w:t>
      </w:r>
      <w:proofErr w:type="spellStart"/>
      <w:proofErr w:type="gramStart"/>
      <w:r>
        <w:rPr>
          <w:color w:val="4A4A4A"/>
        </w:rPr>
        <w:t>modific</w:t>
      </w:r>
      <w:proofErr w:type="spellEnd"/>
      <w:r>
        <w:rPr>
          <w:color w:val="4A4A4A"/>
        </w:rPr>
        <w:t xml:space="preserve">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90-274 DC, 29 mai </w:t>
      </w:r>
      <w:proofErr w:type="gramStart"/>
      <w:r>
        <w:rPr>
          <w:color w:val="4A4A4A"/>
        </w:rPr>
        <w:t>1990  ·</w:t>
      </w:r>
      <w:proofErr w:type="gramEnd"/>
      <w:r>
        <w:rPr>
          <w:color w:val="4A4A4A"/>
        </w:rPr>
        <w:t xml:space="preserve">  Cons. </w:t>
      </w:r>
      <w:proofErr w:type="spellStart"/>
      <w:proofErr w:type="gramStart"/>
      <w:r>
        <w:rPr>
          <w:color w:val="4A4A4A"/>
        </w:rPr>
        <w:t>const</w:t>
      </w:r>
      <w:proofErr w:type="spellEnd"/>
      <w:proofErr w:type="gramEnd"/>
      <w:r>
        <w:rPr>
          <w:color w:val="4A4A4A"/>
        </w:rPr>
        <w:t>., 19 janvier 1995, déc. no 359 DC</w:t>
      </w:r>
    </w:p>
    <w:p w14:paraId="73A72C35" w14:textId="77777777" w:rsidR="002F5D69" w:rsidRDefault="00000000">
      <w:pPr>
        <w:keepNext/>
        <w:spacing w:before="150" w:after="30"/>
      </w:pPr>
      <w:r>
        <w:rPr>
          <w:b/>
          <w:bCs/>
          <w:color w:val="2E5A88"/>
          <w:sz w:val="21"/>
          <w:szCs w:val="21"/>
        </w:rPr>
        <w:t xml:space="preserve">52. </w:t>
      </w:r>
      <w:r>
        <w:rPr>
          <w:rFonts w:ascii="Cambria" w:eastAsia="Cambria" w:hAnsi="Cambria" w:cs="Cambria"/>
          <w:b/>
          <w:bCs/>
          <w:color w:val="1F3864"/>
          <w:sz w:val="21"/>
          <w:szCs w:val="21"/>
        </w:rPr>
        <w:t>Le droit à la culture</w:t>
      </w:r>
      <w:r>
        <w:rPr>
          <w:color w:val="6E6E6E"/>
          <w:sz w:val="15"/>
          <w:szCs w:val="15"/>
        </w:rPr>
        <w:t xml:space="preserve">   p. 526</w:t>
      </w:r>
    </w:p>
    <w:p w14:paraId="6F57F4A6" w14:textId="77777777" w:rsidR="002F5D69" w:rsidRDefault="00000000">
      <w:pPr>
        <w:spacing w:after="40" w:line="264" w:lineRule="auto"/>
        <w:ind w:left="170"/>
        <w:jc w:val="both"/>
      </w:pPr>
      <w:r>
        <w:rPr>
          <w:color w:val="1A1A1A"/>
          <w:sz w:val="20"/>
          <w:szCs w:val="20"/>
        </w:rPr>
        <w:t>Droit À la culture contre droit DE la culture, qui peuvent s’opposer frontalement en contentieux. Faible normativité interne, fondamentalisation internationale des droits culturels.</w:t>
      </w:r>
    </w:p>
    <w:p w14:paraId="1C5166D7"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Un</w:t>
      </w:r>
      <w:proofErr w:type="gramEnd"/>
      <w:r>
        <w:rPr>
          <w:color w:val="333333"/>
          <w:sz w:val="19"/>
          <w:szCs w:val="19"/>
        </w:rPr>
        <w:t xml:space="preserve"> droit en tension avec d’autres droits </w:t>
      </w:r>
      <w:proofErr w:type="gramStart"/>
      <w:r>
        <w:rPr>
          <w:color w:val="333333"/>
          <w:sz w:val="19"/>
          <w:szCs w:val="19"/>
        </w:rPr>
        <w:t>constitutionnels  ·</w:t>
      </w:r>
      <w:proofErr w:type="gramEnd"/>
      <w:r>
        <w:rPr>
          <w:color w:val="333333"/>
          <w:sz w:val="19"/>
          <w:szCs w:val="19"/>
        </w:rPr>
        <w:t xml:space="preserve">  La faible normativité du droit à la </w:t>
      </w:r>
      <w:proofErr w:type="gramStart"/>
      <w:r>
        <w:rPr>
          <w:color w:val="333333"/>
          <w:sz w:val="19"/>
          <w:szCs w:val="19"/>
        </w:rPr>
        <w:t>culture  ·</w:t>
      </w:r>
      <w:proofErr w:type="gramEnd"/>
      <w:r>
        <w:rPr>
          <w:color w:val="333333"/>
          <w:sz w:val="19"/>
          <w:szCs w:val="19"/>
        </w:rPr>
        <w:t xml:space="preserve">  Vers un droit subjectif à la </w:t>
      </w:r>
      <w:proofErr w:type="gramStart"/>
      <w:r>
        <w:rPr>
          <w:color w:val="333333"/>
          <w:sz w:val="19"/>
          <w:szCs w:val="19"/>
        </w:rPr>
        <w:t>culture  ·</w:t>
      </w:r>
      <w:proofErr w:type="gramEnd"/>
      <w:r>
        <w:rPr>
          <w:color w:val="333333"/>
          <w:sz w:val="19"/>
          <w:szCs w:val="19"/>
        </w:rPr>
        <w:t xml:space="preserve">  Les enjeux de l’accès à la culture : démocratisation de la </w:t>
      </w:r>
      <w:proofErr w:type="gramStart"/>
      <w:r>
        <w:rPr>
          <w:color w:val="333333"/>
          <w:sz w:val="19"/>
          <w:szCs w:val="19"/>
        </w:rPr>
        <w:t>culture  ·</w:t>
      </w:r>
      <w:proofErr w:type="gramEnd"/>
      <w:r>
        <w:rPr>
          <w:color w:val="333333"/>
          <w:sz w:val="19"/>
          <w:szCs w:val="19"/>
        </w:rPr>
        <w:t xml:space="preserve">  La fondamentalisation des droits culturels sur la scène internationale</w:t>
      </w:r>
    </w:p>
    <w:p w14:paraId="79E2F42F"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Préambule</w:t>
      </w:r>
      <w:proofErr w:type="gramEnd"/>
      <w:r>
        <w:rPr>
          <w:color w:val="4A4A4A"/>
        </w:rPr>
        <w:t xml:space="preserve"> de la Constitution du 27 octobre </w:t>
      </w:r>
      <w:proofErr w:type="gramStart"/>
      <w:r>
        <w:rPr>
          <w:color w:val="4A4A4A"/>
        </w:rPr>
        <w:t>1946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2011-207 QPC, 16 déc. </w:t>
      </w:r>
      <w:proofErr w:type="gramStart"/>
      <w:r>
        <w:rPr>
          <w:color w:val="4A4A4A"/>
        </w:rPr>
        <w:t>2011  ·</w:t>
      </w:r>
      <w:proofErr w:type="gramEnd"/>
      <w:r>
        <w:rPr>
          <w:color w:val="4A4A4A"/>
        </w:rPr>
        <w:t xml:space="preserve">  Cons. </w:t>
      </w:r>
      <w:proofErr w:type="spellStart"/>
      <w:proofErr w:type="gramStart"/>
      <w:r>
        <w:rPr>
          <w:color w:val="4A4A4A"/>
        </w:rPr>
        <w:t>const</w:t>
      </w:r>
      <w:proofErr w:type="spellEnd"/>
      <w:proofErr w:type="gramEnd"/>
      <w:r>
        <w:rPr>
          <w:color w:val="4A4A4A"/>
        </w:rPr>
        <w:t>., déc. no 2013-370 QPC du 28 février 2014</w:t>
      </w:r>
    </w:p>
    <w:p w14:paraId="12BEA41E" w14:textId="77777777" w:rsidR="002F5D69" w:rsidRDefault="00000000">
      <w:pPr>
        <w:keepNext/>
        <w:spacing w:before="150" w:after="30"/>
      </w:pPr>
      <w:r>
        <w:rPr>
          <w:b/>
          <w:bCs/>
          <w:color w:val="2E5A88"/>
          <w:sz w:val="21"/>
          <w:szCs w:val="21"/>
        </w:rPr>
        <w:t xml:space="preserve">53. </w:t>
      </w:r>
      <w:r>
        <w:rPr>
          <w:rFonts w:ascii="Cambria" w:eastAsia="Cambria" w:hAnsi="Cambria" w:cs="Cambria"/>
          <w:b/>
          <w:bCs/>
          <w:color w:val="1F3864"/>
          <w:sz w:val="21"/>
          <w:szCs w:val="21"/>
        </w:rPr>
        <w:t>Le droit d’asile</w:t>
      </w:r>
      <w:r>
        <w:rPr>
          <w:color w:val="6E6E6E"/>
          <w:sz w:val="15"/>
          <w:szCs w:val="15"/>
        </w:rPr>
        <w:t xml:space="preserve">   p. 536</w:t>
      </w:r>
    </w:p>
    <w:p w14:paraId="36AABBBC" w14:textId="77777777" w:rsidR="002F5D69" w:rsidRDefault="00000000">
      <w:pPr>
        <w:spacing w:after="40" w:line="264" w:lineRule="auto"/>
        <w:ind w:left="170"/>
        <w:jc w:val="both"/>
      </w:pPr>
      <w:r>
        <w:rPr>
          <w:color w:val="1A1A1A"/>
          <w:sz w:val="20"/>
          <w:szCs w:val="20"/>
        </w:rPr>
        <w:t>Trois fondements (conventionnel, subsidiaire, constitutionnel), quatre procédures (classique, accélérée, Dublin, réexamen), puis les garanties du demandeur et celles du réfugié.</w:t>
      </w:r>
    </w:p>
    <w:p w14:paraId="4EF0F4E9"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Définition</w:t>
      </w:r>
      <w:proofErr w:type="gramEnd"/>
      <w:r>
        <w:rPr>
          <w:color w:val="333333"/>
          <w:sz w:val="19"/>
          <w:szCs w:val="19"/>
        </w:rPr>
        <w:t xml:space="preserve"> du droit </w:t>
      </w:r>
      <w:proofErr w:type="gramStart"/>
      <w:r>
        <w:rPr>
          <w:color w:val="333333"/>
          <w:sz w:val="19"/>
          <w:szCs w:val="19"/>
        </w:rPr>
        <w:t>d’asile  ·</w:t>
      </w:r>
      <w:proofErr w:type="gramEnd"/>
      <w:r>
        <w:rPr>
          <w:color w:val="333333"/>
          <w:sz w:val="19"/>
          <w:szCs w:val="19"/>
        </w:rPr>
        <w:t xml:space="preserve">  Les différentes procédures de demande </w:t>
      </w:r>
      <w:proofErr w:type="gramStart"/>
      <w:r>
        <w:rPr>
          <w:color w:val="333333"/>
          <w:sz w:val="19"/>
          <w:szCs w:val="19"/>
        </w:rPr>
        <w:t>d’asile  ·</w:t>
      </w:r>
      <w:proofErr w:type="gramEnd"/>
      <w:r>
        <w:rPr>
          <w:color w:val="333333"/>
          <w:sz w:val="19"/>
          <w:szCs w:val="19"/>
        </w:rPr>
        <w:t xml:space="preserve">  Les garanties offertes aux demandeurs d’asile et aux réfugiés</w:t>
      </w:r>
    </w:p>
    <w:p w14:paraId="0CF071C7"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Code</w:t>
      </w:r>
      <w:proofErr w:type="gramEnd"/>
      <w:r>
        <w:rPr>
          <w:color w:val="4A4A4A"/>
        </w:rPr>
        <w:t xml:space="preserve"> de l’entrée et du séjour des étrangers et du droit </w:t>
      </w:r>
      <w:proofErr w:type="gramStart"/>
      <w:r>
        <w:rPr>
          <w:color w:val="4A4A4A"/>
        </w:rPr>
        <w:t>d’asile  ·</w:t>
      </w:r>
      <w:proofErr w:type="gramEnd"/>
      <w:r>
        <w:rPr>
          <w:color w:val="4A4A4A"/>
        </w:rPr>
        <w:t xml:space="preserve">  Cons. </w:t>
      </w:r>
      <w:proofErr w:type="spellStart"/>
      <w:proofErr w:type="gramStart"/>
      <w:r>
        <w:rPr>
          <w:color w:val="4A4A4A"/>
        </w:rPr>
        <w:t>const</w:t>
      </w:r>
      <w:proofErr w:type="spellEnd"/>
      <w:proofErr w:type="gramEnd"/>
      <w:r>
        <w:rPr>
          <w:color w:val="4A4A4A"/>
        </w:rPr>
        <w:t xml:space="preserve">., déc. no 93-325, 13 août </w:t>
      </w:r>
      <w:proofErr w:type="gramStart"/>
      <w:r>
        <w:rPr>
          <w:color w:val="4A4A4A"/>
        </w:rPr>
        <w:t>1993  ·</w:t>
      </w:r>
      <w:proofErr w:type="gramEnd"/>
      <w:r>
        <w:rPr>
          <w:color w:val="4A4A4A"/>
        </w:rPr>
        <w:t xml:space="preserve">  Loi no 2015-925 du 29 juillet 2015 relative à la réforme du droit d’asile</w:t>
      </w:r>
    </w:p>
    <w:p w14:paraId="7F499EAE" w14:textId="77777777" w:rsidR="002F5D69" w:rsidRDefault="00000000">
      <w:pPr>
        <w:pBdr>
          <w:bottom w:val="single" w:sz="8" w:space="0" w:color="C7D2E0"/>
        </w:pBdr>
        <w:spacing w:before="300" w:after="50"/>
      </w:pPr>
      <w:r>
        <w:rPr>
          <w:b/>
          <w:bCs/>
          <w:color w:val="2E5A88"/>
          <w:spacing w:val="30"/>
          <w:sz w:val="17"/>
          <w:szCs w:val="17"/>
        </w:rPr>
        <w:t xml:space="preserve">PARTIE </w:t>
      </w:r>
      <w:proofErr w:type="gramStart"/>
      <w:r>
        <w:rPr>
          <w:b/>
          <w:bCs/>
          <w:color w:val="2E5A88"/>
          <w:spacing w:val="30"/>
          <w:sz w:val="17"/>
          <w:szCs w:val="17"/>
        </w:rPr>
        <w:t>VIII  ·</w:t>
      </w:r>
      <w:proofErr w:type="gramEnd"/>
      <w:r>
        <w:rPr>
          <w:b/>
          <w:bCs/>
          <w:color w:val="2E5A88"/>
          <w:spacing w:val="30"/>
          <w:sz w:val="17"/>
          <w:szCs w:val="17"/>
        </w:rPr>
        <w:t xml:space="preserve">  </w:t>
      </w:r>
      <w:r>
        <w:rPr>
          <w:rFonts w:ascii="Cambria" w:eastAsia="Cambria" w:hAnsi="Cambria" w:cs="Cambria"/>
          <w:b/>
          <w:bCs/>
          <w:color w:val="1F3864"/>
          <w:sz w:val="25"/>
          <w:szCs w:val="25"/>
        </w:rPr>
        <w:t>L’égalité et la non-discrimination</w:t>
      </w:r>
    </w:p>
    <w:p w14:paraId="46596CAD" w14:textId="77777777" w:rsidR="002F5D69" w:rsidRDefault="00000000">
      <w:pPr>
        <w:spacing w:before="60" w:after="110"/>
        <w:jc w:val="both"/>
      </w:pPr>
      <w:r>
        <w:rPr>
          <w:i/>
          <w:iCs/>
          <w:color w:val="5A5A5A"/>
        </w:rPr>
        <w:t>Trois fiches en séquence : le principe et ses critères, les raisons pour lesquelles l’égalité formelle ne suffit pas, puis la correction assumée par l’inégalité compensatoire.</w:t>
      </w:r>
    </w:p>
    <w:p w14:paraId="6FAAFF3D" w14:textId="77777777" w:rsidR="002F5D69" w:rsidRDefault="00000000">
      <w:pPr>
        <w:keepNext/>
        <w:spacing w:before="150" w:after="30"/>
      </w:pPr>
      <w:r>
        <w:rPr>
          <w:b/>
          <w:bCs/>
          <w:color w:val="2E5A88"/>
          <w:sz w:val="21"/>
          <w:szCs w:val="21"/>
        </w:rPr>
        <w:t xml:space="preserve">54. </w:t>
      </w:r>
      <w:r>
        <w:rPr>
          <w:rFonts w:ascii="Cambria" w:eastAsia="Cambria" w:hAnsi="Cambria" w:cs="Cambria"/>
          <w:b/>
          <w:bCs/>
          <w:color w:val="1F3864"/>
          <w:sz w:val="21"/>
          <w:szCs w:val="21"/>
        </w:rPr>
        <w:t>L’interdiction de la discrimination</w:t>
      </w:r>
      <w:r>
        <w:rPr>
          <w:color w:val="6E6E6E"/>
          <w:sz w:val="15"/>
          <w:szCs w:val="15"/>
        </w:rPr>
        <w:t xml:space="preserve">   p. 547</w:t>
      </w:r>
    </w:p>
    <w:p w14:paraId="0E0EB190" w14:textId="77777777" w:rsidR="002F5D69" w:rsidRDefault="00000000">
      <w:pPr>
        <w:spacing w:after="40" w:line="264" w:lineRule="auto"/>
        <w:ind w:left="170"/>
        <w:jc w:val="both"/>
      </w:pPr>
      <w:r>
        <w:rPr>
          <w:color w:val="1A1A1A"/>
          <w:sz w:val="20"/>
          <w:szCs w:val="20"/>
        </w:rPr>
        <w:t>Le prolongement moderne de l’égalité de 1789 : critères prohibés non limitatifs, égalité formelle contre égalité réelle, garanties, puis les biais algorithmiques.</w:t>
      </w:r>
    </w:p>
    <w:p w14:paraId="64BE9217"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Le</w:t>
      </w:r>
      <w:proofErr w:type="gramEnd"/>
      <w:r>
        <w:rPr>
          <w:color w:val="333333"/>
          <w:sz w:val="19"/>
          <w:szCs w:val="19"/>
        </w:rPr>
        <w:t xml:space="preserve"> principe de non-discrimination, prolongement du principe </w:t>
      </w:r>
      <w:proofErr w:type="gramStart"/>
      <w:r>
        <w:rPr>
          <w:color w:val="333333"/>
          <w:sz w:val="19"/>
          <w:szCs w:val="19"/>
        </w:rPr>
        <w:t>d’égalité  ·</w:t>
      </w:r>
      <w:proofErr w:type="gramEnd"/>
      <w:r>
        <w:rPr>
          <w:color w:val="333333"/>
          <w:sz w:val="19"/>
          <w:szCs w:val="19"/>
        </w:rPr>
        <w:t xml:space="preserve">  La mise en œuvre de l’interdiction des discriminations en </w:t>
      </w:r>
      <w:proofErr w:type="gramStart"/>
      <w:r>
        <w:rPr>
          <w:color w:val="333333"/>
          <w:sz w:val="19"/>
          <w:szCs w:val="19"/>
        </w:rPr>
        <w:t>France  ·</w:t>
      </w:r>
      <w:proofErr w:type="gramEnd"/>
      <w:r>
        <w:rPr>
          <w:color w:val="333333"/>
          <w:sz w:val="19"/>
          <w:szCs w:val="19"/>
        </w:rPr>
        <w:t xml:space="preserve">  Les biais algorithmiques : de nouvelles formes de discriminations</w:t>
      </w:r>
    </w:p>
    <w:p w14:paraId="7DF75FB5"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1er et 6 </w:t>
      </w:r>
      <w:proofErr w:type="gramStart"/>
      <w:r>
        <w:rPr>
          <w:color w:val="4A4A4A"/>
        </w:rPr>
        <w:t>DDHC  ·</w:t>
      </w:r>
      <w:proofErr w:type="gramEnd"/>
      <w:r>
        <w:rPr>
          <w:color w:val="4A4A4A"/>
        </w:rPr>
        <w:t xml:space="preserve">  CJCE, 12 février 1974, </w:t>
      </w:r>
      <w:proofErr w:type="spellStart"/>
      <w:r>
        <w:rPr>
          <w:color w:val="4A4A4A"/>
        </w:rPr>
        <w:t>Sotgiu</w:t>
      </w:r>
      <w:proofErr w:type="spellEnd"/>
      <w:r>
        <w:rPr>
          <w:color w:val="4A4A4A"/>
        </w:rPr>
        <w:t>, aff.152/</w:t>
      </w:r>
      <w:proofErr w:type="gramStart"/>
      <w:r>
        <w:rPr>
          <w:color w:val="4A4A4A"/>
        </w:rPr>
        <w:t>73  ·</w:t>
      </w:r>
      <w:proofErr w:type="gramEnd"/>
      <w:r>
        <w:rPr>
          <w:color w:val="4A4A4A"/>
        </w:rPr>
        <w:t xml:space="preserve">  CEDH, 16 mars 2010, Carson c. Royaume-Uni, 42184/05</w:t>
      </w:r>
    </w:p>
    <w:p w14:paraId="161F9D6A" w14:textId="77777777" w:rsidR="002F5D69" w:rsidRDefault="00000000">
      <w:pPr>
        <w:keepNext/>
        <w:spacing w:before="150" w:after="30"/>
      </w:pPr>
      <w:r>
        <w:rPr>
          <w:b/>
          <w:bCs/>
          <w:color w:val="2E5A88"/>
          <w:sz w:val="21"/>
          <w:szCs w:val="21"/>
        </w:rPr>
        <w:t xml:space="preserve">55. </w:t>
      </w:r>
      <w:r>
        <w:rPr>
          <w:rFonts w:ascii="Cambria" w:eastAsia="Cambria" w:hAnsi="Cambria" w:cs="Cambria"/>
          <w:b/>
          <w:bCs/>
          <w:color w:val="1F3864"/>
          <w:sz w:val="21"/>
          <w:szCs w:val="21"/>
        </w:rPr>
        <w:t>La prise en compte des vulnérabilités</w:t>
      </w:r>
      <w:r>
        <w:rPr>
          <w:color w:val="6E6E6E"/>
          <w:sz w:val="15"/>
          <w:szCs w:val="15"/>
        </w:rPr>
        <w:t xml:space="preserve">   p. 559</w:t>
      </w:r>
    </w:p>
    <w:p w14:paraId="55E6AC52" w14:textId="77777777" w:rsidR="002F5D69" w:rsidRDefault="00000000">
      <w:pPr>
        <w:spacing w:after="40" w:line="264" w:lineRule="auto"/>
        <w:ind w:left="170"/>
        <w:jc w:val="both"/>
      </w:pPr>
      <w:r>
        <w:rPr>
          <w:color w:val="1A1A1A"/>
          <w:sz w:val="20"/>
          <w:szCs w:val="20"/>
        </w:rPr>
        <w:t>Notion diffuse, sans texte de référence : enfants, majeurs protégés, handicap, groupes minoritaires, étrangers et apatrides, minorités sexuelles, femmes, vulnérabilité socio-économique.</w:t>
      </w:r>
    </w:p>
    <w:p w14:paraId="0D6DA434" w14:textId="77777777" w:rsidR="002F5D69" w:rsidRDefault="00000000">
      <w:pPr>
        <w:spacing w:after="40" w:line="264" w:lineRule="auto"/>
        <w:ind w:left="170"/>
      </w:pPr>
      <w:proofErr w:type="gramStart"/>
      <w:r>
        <w:rPr>
          <w:b/>
          <w:bCs/>
          <w:color w:val="2E5A88"/>
          <w:spacing w:val="16"/>
          <w:sz w:val="16"/>
          <w:szCs w:val="16"/>
        </w:rPr>
        <w:t xml:space="preserve">Charpente  </w:t>
      </w:r>
      <w:r>
        <w:rPr>
          <w:color w:val="333333"/>
          <w:sz w:val="19"/>
          <w:szCs w:val="19"/>
        </w:rPr>
        <w:t>Vulnérabilité</w:t>
      </w:r>
      <w:proofErr w:type="gramEnd"/>
      <w:r>
        <w:rPr>
          <w:color w:val="333333"/>
          <w:sz w:val="19"/>
          <w:szCs w:val="19"/>
        </w:rPr>
        <w:t xml:space="preserve"> et notion </w:t>
      </w:r>
      <w:proofErr w:type="gramStart"/>
      <w:r>
        <w:rPr>
          <w:color w:val="333333"/>
          <w:sz w:val="19"/>
          <w:szCs w:val="19"/>
        </w:rPr>
        <w:t>d’égalité  ·</w:t>
      </w:r>
      <w:proofErr w:type="gramEnd"/>
      <w:r>
        <w:rPr>
          <w:color w:val="333333"/>
          <w:sz w:val="19"/>
          <w:szCs w:val="19"/>
        </w:rPr>
        <w:t xml:space="preserve">  Les cas spécifiques de vulnérabilité saisie par le </w:t>
      </w:r>
      <w:proofErr w:type="gramStart"/>
      <w:r>
        <w:rPr>
          <w:color w:val="333333"/>
          <w:sz w:val="19"/>
          <w:szCs w:val="19"/>
        </w:rPr>
        <w:t>droit  ·</w:t>
      </w:r>
      <w:proofErr w:type="gramEnd"/>
      <w:r>
        <w:rPr>
          <w:color w:val="333333"/>
          <w:sz w:val="19"/>
          <w:szCs w:val="19"/>
        </w:rPr>
        <w:t xml:space="preserve">  Des conceptions étendues de la vulnérabilité</w:t>
      </w:r>
    </w:p>
    <w:p w14:paraId="42410D45"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Préambule</w:t>
      </w:r>
      <w:proofErr w:type="gramEnd"/>
      <w:r>
        <w:rPr>
          <w:color w:val="4A4A4A"/>
        </w:rPr>
        <w:t xml:space="preserve"> de la Constitution de </w:t>
      </w:r>
      <w:proofErr w:type="gramStart"/>
      <w:r>
        <w:rPr>
          <w:color w:val="4A4A4A"/>
        </w:rPr>
        <w:t>1946  ·</w:t>
      </w:r>
      <w:proofErr w:type="gramEnd"/>
      <w:r>
        <w:rPr>
          <w:color w:val="4A4A4A"/>
        </w:rPr>
        <w:t xml:space="preserve">  Art. 3 et 8 de la Convention européenne des droits de </w:t>
      </w:r>
      <w:proofErr w:type="gramStart"/>
      <w:r>
        <w:rPr>
          <w:color w:val="4A4A4A"/>
        </w:rPr>
        <w:t>l’homme  ·</w:t>
      </w:r>
      <w:proofErr w:type="gramEnd"/>
      <w:r>
        <w:rPr>
          <w:color w:val="4A4A4A"/>
        </w:rPr>
        <w:t xml:space="preserve">  Art. 11 du Pacte international relatif aux droits économiques, sociaux et culturels</w:t>
      </w:r>
    </w:p>
    <w:p w14:paraId="54A6FA9D" w14:textId="77777777" w:rsidR="002F5D69" w:rsidRDefault="00000000">
      <w:pPr>
        <w:keepNext/>
        <w:spacing w:before="150" w:after="30"/>
      </w:pPr>
      <w:r>
        <w:rPr>
          <w:b/>
          <w:bCs/>
          <w:color w:val="2E5A88"/>
          <w:sz w:val="21"/>
          <w:szCs w:val="21"/>
        </w:rPr>
        <w:t xml:space="preserve">56. </w:t>
      </w:r>
      <w:r>
        <w:rPr>
          <w:rFonts w:ascii="Cambria" w:eastAsia="Cambria" w:hAnsi="Cambria" w:cs="Cambria"/>
          <w:b/>
          <w:bCs/>
          <w:color w:val="1F3864"/>
          <w:sz w:val="21"/>
          <w:szCs w:val="21"/>
        </w:rPr>
        <w:t>Les mesures d’inégalité compensatoire</w:t>
      </w:r>
      <w:r>
        <w:rPr>
          <w:color w:val="6E6E6E"/>
          <w:sz w:val="15"/>
          <w:szCs w:val="15"/>
        </w:rPr>
        <w:t xml:space="preserve">   p. 571</w:t>
      </w:r>
    </w:p>
    <w:p w14:paraId="24E93E1E" w14:textId="77777777" w:rsidR="002F5D69" w:rsidRDefault="00000000">
      <w:pPr>
        <w:spacing w:after="40" w:line="264" w:lineRule="auto"/>
        <w:ind w:left="170"/>
        <w:jc w:val="both"/>
      </w:pPr>
      <w:r>
        <w:rPr>
          <w:color w:val="1A1A1A"/>
          <w:sz w:val="20"/>
          <w:szCs w:val="20"/>
        </w:rPr>
        <w:t xml:space="preserve">Corriger l’inégalité de fait en rompant l’égalité formelle : discrimination positive « à la française », correction par les quatre cours, critiques, et </w:t>
      </w:r>
      <w:proofErr w:type="spellStart"/>
      <w:r>
        <w:rPr>
          <w:color w:val="1A1A1A"/>
          <w:sz w:val="20"/>
          <w:szCs w:val="20"/>
        </w:rPr>
        <w:t>débiaisement</w:t>
      </w:r>
      <w:proofErr w:type="spellEnd"/>
      <w:r>
        <w:rPr>
          <w:color w:val="1A1A1A"/>
          <w:sz w:val="20"/>
          <w:szCs w:val="20"/>
        </w:rPr>
        <w:t xml:space="preserve"> des systèmes d’IA.</w:t>
      </w:r>
    </w:p>
    <w:p w14:paraId="2300B9A6" w14:textId="77777777" w:rsidR="002F5D69" w:rsidRDefault="00000000">
      <w:pPr>
        <w:spacing w:after="40" w:line="264" w:lineRule="auto"/>
        <w:ind w:left="170"/>
      </w:pPr>
      <w:proofErr w:type="gramStart"/>
      <w:r>
        <w:rPr>
          <w:b/>
          <w:bCs/>
          <w:color w:val="2E5A88"/>
          <w:spacing w:val="16"/>
          <w:sz w:val="16"/>
          <w:szCs w:val="16"/>
        </w:rPr>
        <w:lastRenderedPageBreak/>
        <w:t xml:space="preserve">Charpente  </w:t>
      </w:r>
      <w:r>
        <w:rPr>
          <w:color w:val="333333"/>
          <w:sz w:val="19"/>
          <w:szCs w:val="19"/>
        </w:rPr>
        <w:t>L’«</w:t>
      </w:r>
      <w:proofErr w:type="gramEnd"/>
      <w:r>
        <w:rPr>
          <w:color w:val="333333"/>
          <w:sz w:val="19"/>
          <w:szCs w:val="19"/>
        </w:rPr>
        <w:t xml:space="preserve"> égalité réelle » par la rupture de l</w:t>
      </w:r>
      <w:proofErr w:type="gramStart"/>
      <w:r>
        <w:rPr>
          <w:color w:val="333333"/>
          <w:sz w:val="19"/>
          <w:szCs w:val="19"/>
        </w:rPr>
        <w:t>’«</w:t>
      </w:r>
      <w:proofErr w:type="gramEnd"/>
      <w:r>
        <w:rPr>
          <w:color w:val="333333"/>
          <w:sz w:val="19"/>
          <w:szCs w:val="19"/>
        </w:rPr>
        <w:t xml:space="preserve"> égalité formelle </w:t>
      </w:r>
      <w:proofErr w:type="gramStart"/>
      <w:r>
        <w:rPr>
          <w:color w:val="333333"/>
          <w:sz w:val="19"/>
          <w:szCs w:val="19"/>
        </w:rPr>
        <w:t>»  ·</w:t>
      </w:r>
      <w:proofErr w:type="gramEnd"/>
      <w:r>
        <w:rPr>
          <w:color w:val="333333"/>
          <w:sz w:val="19"/>
          <w:szCs w:val="19"/>
        </w:rPr>
        <w:t xml:space="preserve">  La correction juridictionnelle des inégalités </w:t>
      </w:r>
      <w:proofErr w:type="gramStart"/>
      <w:r>
        <w:rPr>
          <w:color w:val="333333"/>
          <w:sz w:val="19"/>
          <w:szCs w:val="19"/>
        </w:rPr>
        <w:t>structurelles  ·</w:t>
      </w:r>
      <w:proofErr w:type="gramEnd"/>
      <w:r>
        <w:rPr>
          <w:color w:val="333333"/>
          <w:sz w:val="19"/>
          <w:szCs w:val="19"/>
        </w:rPr>
        <w:t xml:space="preserve">  Critiques et perspectives</w:t>
      </w:r>
    </w:p>
    <w:p w14:paraId="6DDEEA59" w14:textId="77777777" w:rsidR="002F5D69" w:rsidRDefault="00000000">
      <w:pPr>
        <w:spacing w:after="40" w:line="264" w:lineRule="auto"/>
        <w:ind w:left="170"/>
      </w:pPr>
      <w:proofErr w:type="gramStart"/>
      <w:r>
        <w:rPr>
          <w:b/>
          <w:bCs/>
          <w:color w:val="2E5A88"/>
          <w:spacing w:val="16"/>
          <w:sz w:val="16"/>
          <w:szCs w:val="16"/>
        </w:rPr>
        <w:t xml:space="preserve">Ancrages  </w:t>
      </w:r>
      <w:r>
        <w:rPr>
          <w:color w:val="4A4A4A"/>
        </w:rPr>
        <w:t>Art.</w:t>
      </w:r>
      <w:proofErr w:type="gramEnd"/>
      <w:r>
        <w:rPr>
          <w:color w:val="4A4A4A"/>
        </w:rPr>
        <w:t xml:space="preserve"> 23 </w:t>
      </w:r>
      <w:proofErr w:type="gramStart"/>
      <w:r>
        <w:rPr>
          <w:color w:val="4A4A4A"/>
        </w:rPr>
        <w:t>CDFUE  ·</w:t>
      </w:r>
      <w:proofErr w:type="gramEnd"/>
      <w:r>
        <w:rPr>
          <w:color w:val="4A4A4A"/>
        </w:rPr>
        <w:t xml:space="preserve">  CEDH, 23 février 2016, Cam c. Turquie, no 51500/</w:t>
      </w:r>
      <w:proofErr w:type="gramStart"/>
      <w:r>
        <w:rPr>
          <w:color w:val="4A4A4A"/>
        </w:rPr>
        <w:t>08  ·</w:t>
      </w:r>
      <w:proofErr w:type="gramEnd"/>
      <w:r>
        <w:rPr>
          <w:color w:val="4A4A4A"/>
        </w:rPr>
        <w:t xml:space="preserve">  Cons. </w:t>
      </w:r>
      <w:proofErr w:type="spellStart"/>
      <w:proofErr w:type="gramStart"/>
      <w:r>
        <w:rPr>
          <w:color w:val="4A4A4A"/>
        </w:rPr>
        <w:t>const</w:t>
      </w:r>
      <w:proofErr w:type="spellEnd"/>
      <w:proofErr w:type="gramEnd"/>
      <w:r>
        <w:rPr>
          <w:color w:val="4A4A4A"/>
        </w:rPr>
        <w:t>., déc. no 2003-489 DC, 29 décembre 2003, Loi de finances pour 2004</w:t>
      </w:r>
    </w:p>
    <w:p w14:paraId="1BD13865" w14:textId="77777777" w:rsidR="002F5D69" w:rsidRDefault="00000000">
      <w:pPr>
        <w:pBdr>
          <w:bottom w:val="single" w:sz="8" w:space="0" w:color="C7D2E0"/>
        </w:pBdr>
        <w:spacing w:before="250" w:after="40"/>
      </w:pPr>
      <w:r>
        <w:rPr>
          <w:b/>
          <w:bCs/>
          <w:color w:val="2E5A88"/>
          <w:spacing w:val="30"/>
          <w:sz w:val="17"/>
          <w:szCs w:val="17"/>
        </w:rPr>
        <w:t xml:space="preserve">LECTURE </w:t>
      </w:r>
      <w:proofErr w:type="gramStart"/>
      <w:r>
        <w:rPr>
          <w:b/>
          <w:bCs/>
          <w:color w:val="2E5A88"/>
          <w:spacing w:val="30"/>
          <w:sz w:val="17"/>
          <w:szCs w:val="17"/>
        </w:rPr>
        <w:t>TRANSVERSALE  ·</w:t>
      </w:r>
      <w:proofErr w:type="gramEnd"/>
      <w:r>
        <w:rPr>
          <w:b/>
          <w:bCs/>
          <w:color w:val="2E5A88"/>
          <w:spacing w:val="30"/>
          <w:sz w:val="17"/>
          <w:szCs w:val="17"/>
        </w:rPr>
        <w:t xml:space="preserve">  </w:t>
      </w:r>
      <w:r>
        <w:rPr>
          <w:rFonts w:ascii="Cambria" w:eastAsia="Cambria" w:hAnsi="Cambria" w:cs="Cambria"/>
          <w:b/>
          <w:bCs/>
          <w:color w:val="1F3864"/>
          <w:sz w:val="25"/>
          <w:szCs w:val="25"/>
        </w:rPr>
        <w:t>Les douze fils rouges</w:t>
      </w:r>
    </w:p>
    <w:p w14:paraId="446D28EC" w14:textId="77777777" w:rsidR="002F5D69" w:rsidRDefault="00000000">
      <w:pPr>
        <w:spacing w:before="60" w:after="110"/>
        <w:jc w:val="both"/>
      </w:pPr>
      <w:r>
        <w:rPr>
          <w:i/>
          <w:iCs/>
          <w:color w:val="5A5A5A"/>
          <w:sz w:val="17"/>
          <w:szCs w:val="17"/>
        </w:rPr>
        <w:t>Les mêmes raisonnements appliqués à des droits différents : les repérer évite de traiter les 56 fiches comme 56 objets séparés.</w:t>
      </w:r>
    </w:p>
    <w:p w14:paraId="2AC7C259" w14:textId="77777777" w:rsidR="002F5D69" w:rsidRDefault="00000000">
      <w:pPr>
        <w:spacing w:after="60" w:line="264" w:lineRule="auto"/>
        <w:ind w:left="170"/>
        <w:jc w:val="both"/>
      </w:pPr>
      <w:r>
        <w:rPr>
          <w:b/>
          <w:bCs/>
          <w:color w:val="1F3864"/>
          <w:sz w:val="19"/>
          <w:szCs w:val="19"/>
        </w:rPr>
        <w:t xml:space="preserve">Dignité, principe matriciel — </w:t>
      </w:r>
      <w:r>
        <w:rPr>
          <w:color w:val="1A1A1A"/>
          <w:sz w:val="19"/>
          <w:szCs w:val="19"/>
        </w:rPr>
        <w:t>Posée en fiche 5, réutilisée en 27 (intégrité), 28 (conditions indignes de détention) et 55 (vulnérabilités).</w:t>
      </w:r>
    </w:p>
    <w:p w14:paraId="4C77974A" w14:textId="77777777" w:rsidR="002F5D69" w:rsidRDefault="00000000">
      <w:pPr>
        <w:spacing w:after="60" w:line="264" w:lineRule="auto"/>
        <w:ind w:left="170"/>
        <w:jc w:val="both"/>
      </w:pPr>
      <w:r>
        <w:rPr>
          <w:b/>
          <w:bCs/>
          <w:color w:val="1F3864"/>
          <w:sz w:val="19"/>
          <w:szCs w:val="19"/>
        </w:rPr>
        <w:t xml:space="preserve">Ordre public et régimes d’exercice — </w:t>
      </w:r>
      <w:r>
        <w:rPr>
          <w:color w:val="1A1A1A"/>
          <w:sz w:val="19"/>
          <w:szCs w:val="19"/>
        </w:rPr>
        <w:t>La grille des fiches 6 et 11 se réapplique aux libertés d’action : 36, 37, 38, 39, 40.</w:t>
      </w:r>
    </w:p>
    <w:p w14:paraId="22F3CC40" w14:textId="77777777" w:rsidR="002F5D69" w:rsidRDefault="00000000">
      <w:pPr>
        <w:spacing w:after="60" w:line="264" w:lineRule="auto"/>
        <w:ind w:left="170"/>
        <w:jc w:val="both"/>
      </w:pPr>
      <w:r>
        <w:rPr>
          <w:b/>
          <w:bCs/>
          <w:color w:val="1F3864"/>
          <w:sz w:val="19"/>
          <w:szCs w:val="19"/>
        </w:rPr>
        <w:t xml:space="preserve">Proportionnalité et mise en balance — </w:t>
      </w:r>
      <w:r>
        <w:rPr>
          <w:color w:val="1A1A1A"/>
          <w:sz w:val="19"/>
          <w:szCs w:val="19"/>
        </w:rPr>
        <w:t>Annoncée en 6, transposée aux litiges privés en 17, centrale en 35 (données) et 37 (expression).</w:t>
      </w:r>
    </w:p>
    <w:p w14:paraId="7DEF68F8" w14:textId="77777777" w:rsidR="002F5D69" w:rsidRDefault="00000000">
      <w:pPr>
        <w:spacing w:after="60" w:line="264" w:lineRule="auto"/>
        <w:ind w:left="170"/>
        <w:jc w:val="both"/>
      </w:pPr>
      <w:r>
        <w:rPr>
          <w:b/>
          <w:bCs/>
          <w:color w:val="1F3864"/>
          <w:sz w:val="19"/>
          <w:szCs w:val="19"/>
        </w:rPr>
        <w:t xml:space="preserve">Obligations négatives, positives, procédurales — </w:t>
      </w:r>
      <w:r>
        <w:rPr>
          <w:color w:val="1A1A1A"/>
          <w:sz w:val="19"/>
          <w:szCs w:val="19"/>
        </w:rPr>
        <w:t>Introduites en 13, déployées en 26, 28, 29 (terrain privilégié), 38 et 49.</w:t>
      </w:r>
    </w:p>
    <w:p w14:paraId="649AFB5C" w14:textId="77777777" w:rsidR="002F5D69" w:rsidRDefault="00000000">
      <w:pPr>
        <w:spacing w:after="60" w:line="264" w:lineRule="auto"/>
        <w:ind w:left="170"/>
        <w:jc w:val="both"/>
      </w:pPr>
      <w:r>
        <w:rPr>
          <w:b/>
          <w:bCs/>
          <w:color w:val="1F3864"/>
          <w:sz w:val="19"/>
          <w:szCs w:val="19"/>
        </w:rPr>
        <w:t xml:space="preserve">Dérogation et noyau indérogeable — </w:t>
      </w:r>
      <w:r>
        <w:rPr>
          <w:color w:val="1A1A1A"/>
          <w:sz w:val="19"/>
          <w:szCs w:val="19"/>
        </w:rPr>
        <w:t>Article 4 du Pacte et article 15 de la Convention en fiche 7 ; rappelés en 26 et 28.</w:t>
      </w:r>
    </w:p>
    <w:p w14:paraId="28A9EFA2" w14:textId="77777777" w:rsidR="002F5D69" w:rsidRDefault="00000000">
      <w:pPr>
        <w:spacing w:after="60" w:line="264" w:lineRule="auto"/>
        <w:ind w:left="170"/>
        <w:jc w:val="both"/>
      </w:pPr>
      <w:r>
        <w:rPr>
          <w:b/>
          <w:bCs/>
          <w:color w:val="1F3864"/>
          <w:sz w:val="19"/>
          <w:szCs w:val="19"/>
        </w:rPr>
        <w:t xml:space="preserve">Subsidiarité et marge d’appréciation — </w:t>
      </w:r>
      <w:r>
        <w:rPr>
          <w:color w:val="1A1A1A"/>
          <w:sz w:val="19"/>
          <w:szCs w:val="19"/>
        </w:rPr>
        <w:t>Posées en 14, développées en 22, déclinées en subsidiarité juridictionnelle en 23.</w:t>
      </w:r>
    </w:p>
    <w:p w14:paraId="1A5AF352" w14:textId="77777777" w:rsidR="002F5D69" w:rsidRDefault="00000000">
      <w:pPr>
        <w:spacing w:after="60" w:line="264" w:lineRule="auto"/>
        <w:ind w:left="170"/>
        <w:jc w:val="both"/>
      </w:pPr>
      <w:r>
        <w:rPr>
          <w:b/>
          <w:bCs/>
          <w:color w:val="1F3864"/>
          <w:sz w:val="19"/>
          <w:szCs w:val="19"/>
        </w:rPr>
        <w:t xml:space="preserve">Instrument vivant, protection par ricochet — </w:t>
      </w:r>
      <w:r>
        <w:rPr>
          <w:color w:val="1A1A1A"/>
          <w:sz w:val="19"/>
          <w:szCs w:val="19"/>
        </w:rPr>
        <w:t>Explique les notions autonomes de vie familiale (34) et de « biens » (46), et le droit à un environnement sain (49).</w:t>
      </w:r>
    </w:p>
    <w:p w14:paraId="2E353F9F" w14:textId="77777777" w:rsidR="002F5D69" w:rsidRDefault="00000000">
      <w:pPr>
        <w:spacing w:after="60" w:line="264" w:lineRule="auto"/>
        <w:ind w:left="170"/>
        <w:jc w:val="both"/>
      </w:pPr>
      <w:r>
        <w:rPr>
          <w:b/>
          <w:bCs/>
          <w:color w:val="1F3864"/>
          <w:sz w:val="19"/>
          <w:szCs w:val="19"/>
        </w:rPr>
        <w:t xml:space="preserve">Dualité juridictionnelle — </w:t>
      </w:r>
      <w:r>
        <w:rPr>
          <w:color w:val="1A1A1A"/>
          <w:sz w:val="19"/>
          <w:szCs w:val="19"/>
        </w:rPr>
        <w:t>Ouverte en 17, justifiée en 18, arbitrée en 19.</w:t>
      </w:r>
    </w:p>
    <w:p w14:paraId="4BD67E65" w14:textId="77777777" w:rsidR="002F5D69" w:rsidRDefault="00000000">
      <w:pPr>
        <w:spacing w:after="60" w:line="264" w:lineRule="auto"/>
        <w:ind w:left="170"/>
        <w:jc w:val="both"/>
      </w:pPr>
      <w:r>
        <w:rPr>
          <w:b/>
          <w:bCs/>
          <w:color w:val="1F3864"/>
          <w:sz w:val="19"/>
          <w:szCs w:val="19"/>
        </w:rPr>
        <w:t xml:space="preserve">Fondamentalisation des sources — </w:t>
      </w:r>
      <w:r>
        <w:rPr>
          <w:color w:val="1A1A1A"/>
          <w:sz w:val="19"/>
          <w:szCs w:val="19"/>
        </w:rPr>
        <w:t>Annoncée en 1, documentée en 9 (constitutionnalisation), 12 et 15 (conventionnalisation).</w:t>
      </w:r>
    </w:p>
    <w:p w14:paraId="7EBBB50A" w14:textId="77777777" w:rsidR="002F5D69" w:rsidRDefault="00000000">
      <w:pPr>
        <w:spacing w:after="60" w:line="264" w:lineRule="auto"/>
        <w:ind w:left="170"/>
        <w:jc w:val="both"/>
      </w:pPr>
      <w:r>
        <w:rPr>
          <w:b/>
          <w:bCs/>
          <w:color w:val="1F3864"/>
          <w:sz w:val="19"/>
          <w:szCs w:val="19"/>
        </w:rPr>
        <w:t xml:space="preserve">Numérique et intelligence artificielle — </w:t>
      </w:r>
      <w:r>
        <w:rPr>
          <w:color w:val="1A1A1A"/>
          <w:sz w:val="19"/>
          <w:szCs w:val="19"/>
        </w:rPr>
        <w:t>De 1 (</w:t>
      </w:r>
      <w:proofErr w:type="spellStart"/>
      <w:r>
        <w:rPr>
          <w:color w:val="1A1A1A"/>
          <w:sz w:val="19"/>
          <w:szCs w:val="19"/>
        </w:rPr>
        <w:t>neurodroits</w:t>
      </w:r>
      <w:proofErr w:type="spellEnd"/>
      <w:r>
        <w:rPr>
          <w:color w:val="1A1A1A"/>
          <w:sz w:val="19"/>
          <w:szCs w:val="19"/>
        </w:rPr>
        <w:t>) à 33, 35 (règlement IA), 37 (DSA), 54 (biais) et 56 (</w:t>
      </w:r>
      <w:proofErr w:type="spellStart"/>
      <w:r>
        <w:rPr>
          <w:color w:val="1A1A1A"/>
          <w:sz w:val="19"/>
          <w:szCs w:val="19"/>
        </w:rPr>
        <w:t>débiaisement</w:t>
      </w:r>
      <w:proofErr w:type="spellEnd"/>
      <w:r>
        <w:rPr>
          <w:color w:val="1A1A1A"/>
          <w:sz w:val="19"/>
          <w:szCs w:val="19"/>
        </w:rPr>
        <w:t>).</w:t>
      </w:r>
    </w:p>
    <w:p w14:paraId="021D445C" w14:textId="77777777" w:rsidR="002F5D69" w:rsidRDefault="00000000">
      <w:pPr>
        <w:spacing w:after="60" w:line="264" w:lineRule="auto"/>
        <w:ind w:left="170"/>
        <w:jc w:val="both"/>
      </w:pPr>
      <w:r>
        <w:rPr>
          <w:b/>
          <w:bCs/>
          <w:color w:val="1F3864"/>
          <w:sz w:val="19"/>
          <w:szCs w:val="19"/>
        </w:rPr>
        <w:t xml:space="preserve">Égalité formelle contre égalité réelle — </w:t>
      </w:r>
      <w:r>
        <w:rPr>
          <w:color w:val="1A1A1A"/>
          <w:sz w:val="19"/>
          <w:szCs w:val="19"/>
        </w:rPr>
        <w:t>Posée en 4 et 54, justifiée en 55, assumée jusqu’à la rupture en 56.</w:t>
      </w:r>
    </w:p>
    <w:p w14:paraId="37D43D56" w14:textId="77777777" w:rsidR="002F5D69" w:rsidRDefault="00000000">
      <w:pPr>
        <w:spacing w:after="60" w:line="264" w:lineRule="auto"/>
        <w:ind w:left="170"/>
        <w:jc w:val="both"/>
      </w:pPr>
      <w:r>
        <w:rPr>
          <w:b/>
          <w:bCs/>
          <w:color w:val="1F3864"/>
          <w:sz w:val="19"/>
          <w:szCs w:val="19"/>
        </w:rPr>
        <w:t xml:space="preserve">Crise de l’État de droit — </w:t>
      </w:r>
      <w:r>
        <w:rPr>
          <w:color w:val="1A1A1A"/>
          <w:sz w:val="19"/>
          <w:szCs w:val="19"/>
        </w:rPr>
        <w:t>Thème de la fiche 8, réalimenté en 23 (manquements), 25 (retraits d’États) et 44.</w:t>
      </w:r>
    </w:p>
    <w:sectPr w:rsidR="002F5D69">
      <w:footerReference w:type="default" r:id="rId7"/>
      <w:pgSz w:w="11906" w:h="16838"/>
      <w:pgMar w:top="1152"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38E01" w14:textId="77777777" w:rsidR="008641B8" w:rsidRDefault="008641B8">
      <w:r>
        <w:separator/>
      </w:r>
    </w:p>
  </w:endnote>
  <w:endnote w:type="continuationSeparator" w:id="0">
    <w:p w14:paraId="4E90C045" w14:textId="77777777" w:rsidR="008641B8" w:rsidRDefault="00864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6004" w14:textId="77777777" w:rsidR="002F5D69" w:rsidRDefault="00000000">
    <w:pPr>
      <w:spacing w:before="60"/>
      <w:jc w:val="center"/>
    </w:pPr>
    <w:r>
      <w:rPr>
        <w:color w:val="8C8C8C"/>
        <w:sz w:val="14"/>
        <w:szCs w:val="14"/>
      </w:rPr>
      <w:t xml:space="preserve">Libertés publiques et droits fondamentaux — carte </w:t>
    </w:r>
    <w:proofErr w:type="gramStart"/>
    <w:r>
      <w:rPr>
        <w:color w:val="8C8C8C"/>
        <w:sz w:val="14"/>
        <w:szCs w:val="14"/>
      </w:rPr>
      <w:t>express  ·</w:t>
    </w:r>
    <w:proofErr w:type="gramEnd"/>
    <w:r>
      <w:rPr>
        <w:color w:val="8C8C8C"/>
        <w:sz w:val="14"/>
        <w:szCs w:val="14"/>
      </w:rPr>
      <w:t xml:space="preserve">  </w:t>
    </w:r>
    <w:r>
      <w:rPr>
        <w:color w:val="8C8C8C"/>
        <w:sz w:val="14"/>
        <w:szCs w:val="14"/>
      </w:rPr>
      <w:fldChar w:fldCharType="begin"/>
    </w:r>
    <w:r>
      <w:rPr>
        <w:color w:val="8C8C8C"/>
        <w:sz w:val="14"/>
        <w:szCs w:val="14"/>
      </w:rPr>
      <w:instrText>PAGE</w:instrText>
    </w:r>
    <w:r>
      <w:rPr>
        <w:color w:val="8C8C8C"/>
        <w:sz w:val="14"/>
        <w:szCs w:val="14"/>
      </w:rPr>
      <w:fldChar w:fldCharType="separate"/>
    </w:r>
    <w:r w:rsidR="00907925">
      <w:rPr>
        <w:noProof/>
        <w:color w:val="8C8C8C"/>
        <w:sz w:val="14"/>
        <w:szCs w:val="14"/>
      </w:rPr>
      <w:t>1</w:t>
    </w:r>
    <w:r>
      <w:rPr>
        <w:color w:val="8C8C8C"/>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80CA" w14:textId="77777777" w:rsidR="008641B8" w:rsidRDefault="008641B8">
      <w:r>
        <w:separator/>
      </w:r>
    </w:p>
  </w:footnote>
  <w:footnote w:type="continuationSeparator" w:id="0">
    <w:p w14:paraId="2077C33F" w14:textId="77777777" w:rsidR="008641B8" w:rsidRDefault="00864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0EDF"/>
    <w:multiLevelType w:val="hybridMultilevel"/>
    <w:tmpl w:val="6C3488E8"/>
    <w:lvl w:ilvl="0" w:tplc="A8FA33C0">
      <w:start w:val="1"/>
      <w:numFmt w:val="bullet"/>
      <w:lvlText w:val="●"/>
      <w:lvlJc w:val="left"/>
      <w:pPr>
        <w:ind w:left="720" w:hanging="360"/>
      </w:pPr>
    </w:lvl>
    <w:lvl w:ilvl="1" w:tplc="C9205B0A">
      <w:start w:val="1"/>
      <w:numFmt w:val="bullet"/>
      <w:lvlText w:val="○"/>
      <w:lvlJc w:val="left"/>
      <w:pPr>
        <w:ind w:left="1440" w:hanging="360"/>
      </w:pPr>
    </w:lvl>
    <w:lvl w:ilvl="2" w:tplc="E28494D2">
      <w:start w:val="1"/>
      <w:numFmt w:val="bullet"/>
      <w:lvlText w:val="■"/>
      <w:lvlJc w:val="left"/>
      <w:pPr>
        <w:ind w:left="2160" w:hanging="360"/>
      </w:pPr>
    </w:lvl>
    <w:lvl w:ilvl="3" w:tplc="C3DC5280">
      <w:start w:val="1"/>
      <w:numFmt w:val="bullet"/>
      <w:lvlText w:val="●"/>
      <w:lvlJc w:val="left"/>
      <w:pPr>
        <w:ind w:left="2880" w:hanging="360"/>
      </w:pPr>
    </w:lvl>
    <w:lvl w:ilvl="4" w:tplc="6398358A">
      <w:start w:val="1"/>
      <w:numFmt w:val="bullet"/>
      <w:lvlText w:val="○"/>
      <w:lvlJc w:val="left"/>
      <w:pPr>
        <w:ind w:left="3600" w:hanging="360"/>
      </w:pPr>
    </w:lvl>
    <w:lvl w:ilvl="5" w:tplc="6F9AF98E">
      <w:start w:val="1"/>
      <w:numFmt w:val="bullet"/>
      <w:lvlText w:val="■"/>
      <w:lvlJc w:val="left"/>
      <w:pPr>
        <w:ind w:left="4320" w:hanging="360"/>
      </w:pPr>
    </w:lvl>
    <w:lvl w:ilvl="6" w:tplc="7B6C464E">
      <w:start w:val="1"/>
      <w:numFmt w:val="bullet"/>
      <w:lvlText w:val="●"/>
      <w:lvlJc w:val="left"/>
      <w:pPr>
        <w:ind w:left="5040" w:hanging="360"/>
      </w:pPr>
    </w:lvl>
    <w:lvl w:ilvl="7" w:tplc="971A3B5E">
      <w:start w:val="1"/>
      <w:numFmt w:val="bullet"/>
      <w:lvlText w:val="●"/>
      <w:lvlJc w:val="left"/>
      <w:pPr>
        <w:ind w:left="5760" w:hanging="360"/>
      </w:pPr>
    </w:lvl>
    <w:lvl w:ilvl="8" w:tplc="09A09FF4">
      <w:start w:val="1"/>
      <w:numFmt w:val="bullet"/>
      <w:lvlText w:val="●"/>
      <w:lvlJc w:val="left"/>
      <w:pPr>
        <w:ind w:left="6480" w:hanging="360"/>
      </w:pPr>
    </w:lvl>
  </w:abstractNum>
  <w:num w:numId="1" w16cid:durableId="1319723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D69"/>
    <w:rsid w:val="002F5D69"/>
    <w:rsid w:val="00492B4B"/>
    <w:rsid w:val="00862F38"/>
    <w:rsid w:val="008641B8"/>
    <w:rsid w:val="009079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1798F16"/>
  <w15:docId w15:val="{CF841695-5B7E-4D46-B8CD-74656A10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5861</Words>
  <Characters>32239</Characters>
  <Application>Microsoft Office Word</Application>
  <DocSecurity>0</DocSecurity>
  <Lines>268</Lines>
  <Paragraphs>76</Paragraphs>
  <ScaleCrop>false</ScaleCrop>
  <Company/>
  <LinksUpToDate>false</LinksUpToDate>
  <CharactersWithSpaces>38024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Libertés publiques et droits fondamentaux — Carte express</dc:title>
  <dc:creator>Roi Thomas — préparation CRFPA</dc:creator>
  <cp:lastModifiedBy>Thomas TOUCHARD</cp:lastModifiedBy>
  <cp:revision>3</cp:revision>
  <dcterms:created xsi:type="dcterms:W3CDTF">2026-09-21T09:38:00Z</dcterms:created>
  <dcterms:modified xsi:type="dcterms:W3CDTF">2026-09-22T14:03:00Z</dcterms:modified>
</cp:coreProperties>
</file>