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D704A" w14:textId="77777777" w:rsidR="00DF4DE6" w:rsidRDefault="001B2AC3" w:rsidP="00240AE0">
      <w:pPr>
        <w:spacing w:before="2200"/>
        <w:jc w:val="both"/>
      </w:pPr>
      <w:r>
        <w:rPr>
          <w:b/>
          <w:bCs/>
          <w:color w:val="2E5A88"/>
          <w:spacing w:val="60"/>
        </w:rPr>
        <w:t>CRFPA 2026 — GRAND ORAL</w:t>
      </w:r>
    </w:p>
    <w:p w14:paraId="3969A18C" w14:textId="77777777" w:rsidR="00DF4DE6" w:rsidRDefault="001B2AC3" w:rsidP="00240AE0">
      <w:pPr>
        <w:spacing w:before="260"/>
        <w:jc w:val="both"/>
      </w:pPr>
      <w:r>
        <w:rPr>
          <w:rFonts w:ascii="Cambria" w:eastAsia="Cambria" w:hAnsi="Cambria" w:cs="Cambria"/>
          <w:b/>
          <w:bCs/>
          <w:color w:val="1F3864"/>
          <w:sz w:val="56"/>
          <w:szCs w:val="56"/>
        </w:rPr>
        <w:t>Libertés publiques et</w:t>
      </w:r>
    </w:p>
    <w:p w14:paraId="24674975" w14:textId="77777777" w:rsidR="00DF4DE6" w:rsidRDefault="001B2AC3" w:rsidP="00240AE0">
      <w:pPr>
        <w:spacing w:after="240"/>
        <w:jc w:val="both"/>
      </w:pPr>
      <w:proofErr w:type="gramStart"/>
      <w:r>
        <w:rPr>
          <w:rFonts w:ascii="Cambria" w:eastAsia="Cambria" w:hAnsi="Cambria" w:cs="Cambria"/>
          <w:b/>
          <w:bCs/>
          <w:color w:val="1F3864"/>
          <w:sz w:val="56"/>
          <w:szCs w:val="56"/>
        </w:rPr>
        <w:t>droits</w:t>
      </w:r>
      <w:proofErr w:type="gramEnd"/>
      <w:r>
        <w:rPr>
          <w:rFonts w:ascii="Cambria" w:eastAsia="Cambria" w:hAnsi="Cambria" w:cs="Cambria"/>
          <w:b/>
          <w:bCs/>
          <w:color w:val="1F3864"/>
          <w:sz w:val="56"/>
          <w:szCs w:val="56"/>
        </w:rPr>
        <w:t xml:space="preserve"> fondamentaux</w:t>
      </w:r>
    </w:p>
    <w:p w14:paraId="2979DFED" w14:textId="77777777" w:rsidR="00DF4DE6" w:rsidRDefault="00DF4DE6" w:rsidP="00240AE0">
      <w:pPr>
        <w:pBdr>
          <w:top w:val="single" w:sz="12" w:space="0" w:color="C7D2E0"/>
        </w:pBdr>
        <w:spacing w:before="120" w:after="200"/>
        <w:jc w:val="both"/>
      </w:pPr>
    </w:p>
    <w:p w14:paraId="43905972" w14:textId="77777777" w:rsidR="00DF4DE6" w:rsidRDefault="001B2AC3" w:rsidP="00240AE0">
      <w:pPr>
        <w:spacing w:after="80"/>
        <w:jc w:val="both"/>
      </w:pPr>
      <w:r>
        <w:rPr>
          <w:rFonts w:ascii="Cambria" w:eastAsia="Cambria" w:hAnsi="Cambria" w:cs="Cambria"/>
          <w:i/>
          <w:iCs/>
          <w:color w:val="595959"/>
          <w:sz w:val="26"/>
          <w:szCs w:val="26"/>
        </w:rPr>
        <w:t>Carte du cours — vue d’ensemble fiche par fiche</w:t>
      </w:r>
    </w:p>
    <w:p w14:paraId="13C435CC" w14:textId="77777777" w:rsidR="00DF4DE6" w:rsidRDefault="001B2AC3" w:rsidP="00240AE0">
      <w:pPr>
        <w:spacing w:before="400" w:after="60"/>
        <w:jc w:val="both"/>
      </w:pPr>
      <w:r>
        <w:rPr>
          <w:color w:val="595959"/>
          <w:sz w:val="19"/>
          <w:szCs w:val="19"/>
        </w:rPr>
        <w:t>Source unique : Objectif Barreau, « Libertés publiques et droits fondamentaux — Fascicule de cours 2026 (Non grisé) », 606 pages, 8 parties, 56 fiches.</w:t>
      </w:r>
    </w:p>
    <w:p w14:paraId="69507C3E" w14:textId="77777777" w:rsidR="00DF4DE6" w:rsidRDefault="001B2AC3" w:rsidP="00240AE0">
      <w:pPr>
        <w:spacing w:after="60"/>
        <w:jc w:val="both"/>
      </w:pPr>
      <w:r>
        <w:rPr>
          <w:color w:val="595959"/>
          <w:sz w:val="19"/>
          <w:szCs w:val="19"/>
        </w:rPr>
        <w:t>Document établi le 21 septembre 2026. Aucun élément extérieur au fascicule n’a été ajouté.</w:t>
      </w:r>
    </w:p>
    <w:p w14:paraId="4FBB4C03" w14:textId="77777777" w:rsidR="00DF4DE6" w:rsidRDefault="001B2AC3" w:rsidP="00240AE0">
      <w:pPr>
        <w:jc w:val="both"/>
      </w:pPr>
      <w:r>
        <w:br w:type="page"/>
      </w:r>
    </w:p>
    <w:p w14:paraId="5F5FE1BC" w14:textId="77777777" w:rsidR="00DF4DE6" w:rsidRDefault="001B2AC3" w:rsidP="00240AE0">
      <w:pPr>
        <w:pStyle w:val="Titre1"/>
        <w:spacing w:after="160"/>
        <w:jc w:val="both"/>
      </w:pPr>
      <w:r>
        <w:rPr>
          <w:rFonts w:ascii="Cambria" w:eastAsia="Cambria" w:hAnsi="Cambria" w:cs="Cambria"/>
          <w:b/>
          <w:bCs/>
          <w:color w:val="1F3864"/>
          <w:sz w:val="30"/>
          <w:szCs w:val="30"/>
        </w:rPr>
        <w:lastRenderedPageBreak/>
        <w:t>Comment lire ce document</w:t>
      </w:r>
    </w:p>
    <w:p w14:paraId="7C63D08B" w14:textId="77777777" w:rsidR="00DF4DE6" w:rsidRDefault="001B2AC3" w:rsidP="00240AE0">
      <w:pPr>
        <w:spacing w:after="110" w:line="276" w:lineRule="auto"/>
        <w:jc w:val="both"/>
      </w:pPr>
      <w:r>
        <w:t>Ce document n’est pas un résumé du cours : c’est sa carte. Il sert à savoir, avant d’apprendre, ce qu’il y a dans le fascicule, où chaque notion se trouve et comment les fiches s’articulent entre elles.</w:t>
      </w:r>
    </w:p>
    <w:p w14:paraId="1C44703D" w14:textId="77777777" w:rsidR="00DF4DE6" w:rsidRDefault="001B2AC3" w:rsidP="00240AE0">
      <w:pPr>
        <w:spacing w:after="110" w:line="276" w:lineRule="auto"/>
        <w:jc w:val="both"/>
      </w:pPr>
      <w:r>
        <w:t>Chaque fiche est présentée en quatre blocs. L’idée directrice dit ce que la fiche fait et quelle distinction elle installe. Les points clés reprennent l’encadré de tête du fascicule. Le plan de la fiche reproduit son sommaire détaillé, avec sa numérotation d’origine. Les références centrales reprennent l’encadré « Principales références ».</w:t>
      </w:r>
    </w:p>
    <w:p w14:paraId="0892A4DD" w14:textId="77777777" w:rsidR="00DF4DE6" w:rsidRDefault="001B2AC3" w:rsidP="00240AE0">
      <w:pPr>
        <w:spacing w:after="110" w:line="276" w:lineRule="auto"/>
        <w:jc w:val="both"/>
      </w:pPr>
      <w:r>
        <w:t>Les numéros de page renvoient à la pagination du fascicule (et non à celle de ce document), pour pouvoir ouvrir directement au bon endroit.</w:t>
      </w:r>
    </w:p>
    <w:p w14:paraId="7CCB5772" w14:textId="77777777" w:rsidR="00DF4DE6" w:rsidRDefault="001B2AC3" w:rsidP="00240AE0">
      <w:pPr>
        <w:pStyle w:val="Titre2"/>
        <w:spacing w:before="320" w:after="140"/>
        <w:jc w:val="both"/>
      </w:pPr>
      <w:r>
        <w:rPr>
          <w:rFonts w:ascii="Cambria" w:eastAsia="Cambria" w:hAnsi="Cambria" w:cs="Cambria"/>
          <w:b/>
          <w:bCs/>
          <w:color w:val="1F3864"/>
        </w:rPr>
        <w:t>La logique d’ensemble</w:t>
      </w:r>
    </w:p>
    <w:p w14:paraId="1FE6B437" w14:textId="77777777" w:rsidR="00DF4DE6" w:rsidRDefault="001B2AC3" w:rsidP="00240AE0">
      <w:pPr>
        <w:spacing w:after="110" w:line="276" w:lineRule="auto"/>
        <w:jc w:val="both"/>
      </w:pPr>
      <w:r>
        <w:t>Le fascicule est construit en trois temps, puis un catalogue.</w:t>
      </w:r>
    </w:p>
    <w:p w14:paraId="709C68EF" w14:textId="77777777" w:rsidR="00DF4DE6" w:rsidRDefault="001B2AC3" w:rsidP="00240AE0">
      <w:pPr>
        <w:pStyle w:val="Paragraphedeliste"/>
        <w:numPr>
          <w:ilvl w:val="0"/>
          <w:numId w:val="2"/>
        </w:numPr>
        <w:spacing w:after="40" w:line="264" w:lineRule="auto"/>
        <w:jc w:val="both"/>
      </w:pPr>
      <w:r>
        <w:rPr>
          <w:color w:val="1A1A1A"/>
          <w:sz w:val="19"/>
          <w:szCs w:val="19"/>
        </w:rPr>
        <w:t>Le cadre (partie I) : les notions, les origines, les classifications, les principes directeurs, les régimes d’exercice et les états d’exception.</w:t>
      </w:r>
    </w:p>
    <w:p w14:paraId="3B72998D" w14:textId="77777777" w:rsidR="00DF4DE6" w:rsidRDefault="001B2AC3" w:rsidP="00240AE0">
      <w:pPr>
        <w:pStyle w:val="Paragraphedeliste"/>
        <w:numPr>
          <w:ilvl w:val="0"/>
          <w:numId w:val="2"/>
        </w:numPr>
        <w:spacing w:after="40" w:line="264" w:lineRule="auto"/>
        <w:jc w:val="both"/>
      </w:pPr>
      <w:r>
        <w:rPr>
          <w:color w:val="1A1A1A"/>
          <w:sz w:val="19"/>
          <w:szCs w:val="19"/>
        </w:rPr>
        <w:t>Les sources (parties II et III) : d’où vient le droit invoqué — bloc de constitutionnalité, bloc de légalité, règlement, puis droit onusien, Convention européenne, droit de l’Union.</w:t>
      </w:r>
    </w:p>
    <w:p w14:paraId="3679924F" w14:textId="77777777" w:rsidR="00DF4DE6" w:rsidRDefault="001B2AC3" w:rsidP="00240AE0">
      <w:pPr>
        <w:pStyle w:val="Paragraphedeliste"/>
        <w:numPr>
          <w:ilvl w:val="0"/>
          <w:numId w:val="2"/>
        </w:numPr>
        <w:spacing w:after="40" w:line="264" w:lineRule="auto"/>
        <w:jc w:val="both"/>
      </w:pPr>
      <w:r>
        <w:rPr>
          <w:color w:val="1A1A1A"/>
          <w:sz w:val="19"/>
          <w:szCs w:val="19"/>
        </w:rPr>
        <w:t>Les mécanismes (parties IV et V) : qui le fait respecter — juges constitutionnel, judiciaire, administratif, autorités administratives indépendantes, puis comités onusiens, Cour européenne, Cour de justice, juridictions régionales, organes politiques.</w:t>
      </w:r>
    </w:p>
    <w:p w14:paraId="70EEC39A" w14:textId="77777777" w:rsidR="00DF4DE6" w:rsidRDefault="001B2AC3" w:rsidP="00240AE0">
      <w:pPr>
        <w:pStyle w:val="Paragraphedeliste"/>
        <w:numPr>
          <w:ilvl w:val="0"/>
          <w:numId w:val="2"/>
        </w:numPr>
        <w:spacing w:after="40" w:line="264" w:lineRule="auto"/>
        <w:jc w:val="both"/>
      </w:pPr>
      <w:r>
        <w:rPr>
          <w:color w:val="1A1A1A"/>
          <w:sz w:val="19"/>
          <w:szCs w:val="19"/>
        </w:rPr>
        <w:t>Le catalogue (parties VI à VIII) : quels droits — droits civils et politiques, droits économiques, sociaux et culturels, égalité et non-discrimination.</w:t>
      </w:r>
    </w:p>
    <w:p w14:paraId="12D2E229" w14:textId="77777777" w:rsidR="00DF4DE6" w:rsidRDefault="001B2AC3" w:rsidP="00240AE0">
      <w:pPr>
        <w:spacing w:after="60" w:line="276" w:lineRule="auto"/>
        <w:jc w:val="both"/>
      </w:pPr>
      <w:r>
        <w:t>Autrement dit : les parties I à V donnent la méthode de raisonnement, les parties VI à VIII fournissent la matière. Les trois quarts du volume sont dans le catalogue, mais l’essentiel de la technique se trouve dans le premier tiers.</w:t>
      </w:r>
    </w:p>
    <w:p w14:paraId="3F3AF212" w14:textId="77777777" w:rsidR="00DF4DE6" w:rsidRDefault="001B2AC3" w:rsidP="00240AE0">
      <w:pPr>
        <w:pStyle w:val="Titre2"/>
        <w:spacing w:before="340" w:after="160"/>
        <w:jc w:val="both"/>
      </w:pPr>
      <w:r>
        <w:rPr>
          <w:rFonts w:ascii="Cambria" w:eastAsia="Cambria" w:hAnsi="Cambria" w:cs="Cambria"/>
          <w:b/>
          <w:bCs/>
          <w:color w:val="1F3864"/>
        </w:rPr>
        <w:t>Le fascicule en un coup d’œil</w:t>
      </w:r>
    </w:p>
    <w:tbl>
      <w:tblPr>
        <w:tblW w:w="9100" w:type="dxa"/>
        <w:tblBorders>
          <w:top w:val="single" w:sz="4" w:space="0" w:color="C7D2E0"/>
          <w:left w:val="none" w:sz="0" w:space="0" w:color="FFFFFF"/>
          <w:bottom w:val="single" w:sz="4" w:space="0" w:color="C7D2E0"/>
          <w:right w:val="none" w:sz="0" w:space="0" w:color="FFFFFF"/>
          <w:insideH w:val="single" w:sz="2" w:space="0" w:color="C7D2E0"/>
          <w:insideV w:val="none" w:sz="0" w:space="0" w:color="FFFFFF"/>
        </w:tblBorders>
        <w:tblCellMar>
          <w:left w:w="10" w:type="dxa"/>
          <w:right w:w="10" w:type="dxa"/>
        </w:tblCellMar>
        <w:tblLook w:val="0000" w:firstRow="0" w:lastRow="0" w:firstColumn="0" w:lastColumn="0" w:noHBand="0" w:noVBand="0"/>
      </w:tblPr>
      <w:tblGrid>
        <w:gridCol w:w="1100"/>
        <w:gridCol w:w="5100"/>
        <w:gridCol w:w="1300"/>
        <w:gridCol w:w="1600"/>
      </w:tblGrid>
      <w:tr w:rsidR="00DF4DE6" w14:paraId="6AE50F53" w14:textId="77777777">
        <w:tblPrEx>
          <w:tblCellMar>
            <w:top w:w="0" w:type="dxa"/>
            <w:bottom w:w="0" w:type="dxa"/>
          </w:tblCellMar>
        </w:tblPrEx>
        <w:trPr>
          <w:tblHeader/>
        </w:trPr>
        <w:tc>
          <w:tcPr>
            <w:tcW w:w="1100" w:type="dxa"/>
            <w:shd w:val="clear" w:color="auto" w:fill="1F3864"/>
            <w:tcMar>
              <w:top w:w="70" w:type="dxa"/>
              <w:left w:w="110" w:type="dxa"/>
              <w:bottom w:w="70" w:type="dxa"/>
              <w:right w:w="110" w:type="dxa"/>
            </w:tcMar>
          </w:tcPr>
          <w:p w14:paraId="536578B3" w14:textId="77777777" w:rsidR="00DF4DE6" w:rsidRDefault="001B2AC3" w:rsidP="00240AE0">
            <w:pPr>
              <w:jc w:val="both"/>
            </w:pPr>
            <w:r>
              <w:rPr>
                <w:b/>
                <w:bCs/>
                <w:color w:val="FFFFFF"/>
                <w:sz w:val="18"/>
                <w:szCs w:val="18"/>
              </w:rPr>
              <w:t>Partie</w:t>
            </w:r>
          </w:p>
        </w:tc>
        <w:tc>
          <w:tcPr>
            <w:tcW w:w="5100" w:type="dxa"/>
            <w:shd w:val="clear" w:color="auto" w:fill="1F3864"/>
            <w:tcMar>
              <w:top w:w="70" w:type="dxa"/>
              <w:left w:w="110" w:type="dxa"/>
              <w:bottom w:w="70" w:type="dxa"/>
              <w:right w:w="110" w:type="dxa"/>
            </w:tcMar>
          </w:tcPr>
          <w:p w14:paraId="76D454E6" w14:textId="77777777" w:rsidR="00DF4DE6" w:rsidRDefault="001B2AC3" w:rsidP="00240AE0">
            <w:pPr>
              <w:jc w:val="both"/>
            </w:pPr>
            <w:r>
              <w:rPr>
                <w:b/>
                <w:bCs/>
                <w:color w:val="FFFFFF"/>
                <w:sz w:val="18"/>
                <w:szCs w:val="18"/>
              </w:rPr>
              <w:t>Intitulé</w:t>
            </w:r>
          </w:p>
        </w:tc>
        <w:tc>
          <w:tcPr>
            <w:tcW w:w="1300" w:type="dxa"/>
            <w:shd w:val="clear" w:color="auto" w:fill="1F3864"/>
            <w:tcMar>
              <w:top w:w="70" w:type="dxa"/>
              <w:left w:w="110" w:type="dxa"/>
              <w:bottom w:w="70" w:type="dxa"/>
              <w:right w:w="110" w:type="dxa"/>
            </w:tcMar>
          </w:tcPr>
          <w:p w14:paraId="4AC9EEA5" w14:textId="77777777" w:rsidR="00DF4DE6" w:rsidRDefault="001B2AC3" w:rsidP="00240AE0">
            <w:pPr>
              <w:jc w:val="both"/>
            </w:pPr>
            <w:r>
              <w:rPr>
                <w:b/>
                <w:bCs/>
                <w:color w:val="FFFFFF"/>
                <w:sz w:val="18"/>
                <w:szCs w:val="18"/>
              </w:rPr>
              <w:t>Fiches</w:t>
            </w:r>
          </w:p>
        </w:tc>
        <w:tc>
          <w:tcPr>
            <w:tcW w:w="1600" w:type="dxa"/>
            <w:shd w:val="clear" w:color="auto" w:fill="1F3864"/>
            <w:tcMar>
              <w:top w:w="70" w:type="dxa"/>
              <w:left w:w="110" w:type="dxa"/>
              <w:bottom w:w="70" w:type="dxa"/>
              <w:right w:w="110" w:type="dxa"/>
            </w:tcMar>
          </w:tcPr>
          <w:p w14:paraId="3FD509C8" w14:textId="77777777" w:rsidR="00DF4DE6" w:rsidRDefault="001B2AC3" w:rsidP="00240AE0">
            <w:pPr>
              <w:jc w:val="both"/>
            </w:pPr>
            <w:r>
              <w:rPr>
                <w:b/>
                <w:bCs/>
                <w:color w:val="FFFFFF"/>
                <w:sz w:val="18"/>
                <w:szCs w:val="18"/>
              </w:rPr>
              <w:t>Pages</w:t>
            </w:r>
          </w:p>
        </w:tc>
      </w:tr>
      <w:tr w:rsidR="00DF4DE6" w14:paraId="661116BD" w14:textId="77777777">
        <w:tblPrEx>
          <w:tblCellMar>
            <w:top w:w="0" w:type="dxa"/>
            <w:bottom w:w="0" w:type="dxa"/>
          </w:tblCellMar>
        </w:tblPrEx>
        <w:tc>
          <w:tcPr>
            <w:tcW w:w="1100" w:type="dxa"/>
            <w:tcMar>
              <w:top w:w="70" w:type="dxa"/>
              <w:left w:w="110" w:type="dxa"/>
              <w:bottom w:w="70" w:type="dxa"/>
              <w:right w:w="110" w:type="dxa"/>
            </w:tcMar>
          </w:tcPr>
          <w:p w14:paraId="7089E2E7" w14:textId="77777777" w:rsidR="00DF4DE6" w:rsidRDefault="001B2AC3" w:rsidP="00240AE0">
            <w:pPr>
              <w:jc w:val="both"/>
            </w:pPr>
            <w:r>
              <w:rPr>
                <w:b/>
                <w:bCs/>
                <w:color w:val="1F3864"/>
                <w:sz w:val="18"/>
                <w:szCs w:val="18"/>
              </w:rPr>
              <w:t>I</w:t>
            </w:r>
          </w:p>
        </w:tc>
        <w:tc>
          <w:tcPr>
            <w:tcW w:w="5100" w:type="dxa"/>
            <w:tcMar>
              <w:top w:w="70" w:type="dxa"/>
              <w:left w:w="110" w:type="dxa"/>
              <w:bottom w:w="70" w:type="dxa"/>
              <w:right w:w="110" w:type="dxa"/>
            </w:tcMar>
          </w:tcPr>
          <w:p w14:paraId="74D2AC94" w14:textId="77777777" w:rsidR="00DF4DE6" w:rsidRDefault="001B2AC3" w:rsidP="00240AE0">
            <w:pPr>
              <w:jc w:val="both"/>
            </w:pPr>
            <w:r>
              <w:rPr>
                <w:color w:val="1A1A1A"/>
                <w:sz w:val="18"/>
                <w:szCs w:val="18"/>
              </w:rPr>
              <w:t>Éléments introductifs</w:t>
            </w:r>
          </w:p>
        </w:tc>
        <w:tc>
          <w:tcPr>
            <w:tcW w:w="1300" w:type="dxa"/>
            <w:tcMar>
              <w:top w:w="70" w:type="dxa"/>
              <w:left w:w="110" w:type="dxa"/>
              <w:bottom w:w="70" w:type="dxa"/>
              <w:right w:w="110" w:type="dxa"/>
            </w:tcMar>
          </w:tcPr>
          <w:p w14:paraId="5133A2ED" w14:textId="77777777" w:rsidR="00DF4DE6" w:rsidRDefault="001B2AC3" w:rsidP="00240AE0">
            <w:pPr>
              <w:jc w:val="both"/>
            </w:pPr>
            <w:r>
              <w:rPr>
                <w:color w:val="1A1A1A"/>
                <w:sz w:val="18"/>
                <w:szCs w:val="18"/>
              </w:rPr>
              <w:t>1 à 8</w:t>
            </w:r>
          </w:p>
        </w:tc>
        <w:tc>
          <w:tcPr>
            <w:tcW w:w="1600" w:type="dxa"/>
            <w:tcMar>
              <w:top w:w="70" w:type="dxa"/>
              <w:left w:w="110" w:type="dxa"/>
              <w:bottom w:w="70" w:type="dxa"/>
              <w:right w:w="110" w:type="dxa"/>
            </w:tcMar>
          </w:tcPr>
          <w:p w14:paraId="44FE2CFF" w14:textId="77777777" w:rsidR="00DF4DE6" w:rsidRDefault="001B2AC3" w:rsidP="00240AE0">
            <w:pPr>
              <w:jc w:val="both"/>
            </w:pPr>
            <w:r>
              <w:rPr>
                <w:color w:val="1A1A1A"/>
                <w:sz w:val="18"/>
                <w:szCs w:val="18"/>
              </w:rPr>
              <w:t>4 – 81</w:t>
            </w:r>
          </w:p>
        </w:tc>
      </w:tr>
      <w:tr w:rsidR="00DF4DE6" w14:paraId="13F3E823" w14:textId="77777777">
        <w:tblPrEx>
          <w:tblCellMar>
            <w:top w:w="0" w:type="dxa"/>
            <w:bottom w:w="0" w:type="dxa"/>
          </w:tblCellMar>
        </w:tblPrEx>
        <w:tc>
          <w:tcPr>
            <w:tcW w:w="1100" w:type="dxa"/>
            <w:shd w:val="clear" w:color="auto" w:fill="EDF1F7"/>
            <w:tcMar>
              <w:top w:w="70" w:type="dxa"/>
              <w:left w:w="110" w:type="dxa"/>
              <w:bottom w:w="70" w:type="dxa"/>
              <w:right w:w="110" w:type="dxa"/>
            </w:tcMar>
          </w:tcPr>
          <w:p w14:paraId="38A24446" w14:textId="77777777" w:rsidR="00DF4DE6" w:rsidRDefault="001B2AC3" w:rsidP="00240AE0">
            <w:pPr>
              <w:jc w:val="both"/>
            </w:pPr>
            <w:r>
              <w:rPr>
                <w:b/>
                <w:bCs/>
                <w:color w:val="1F3864"/>
                <w:sz w:val="18"/>
                <w:szCs w:val="18"/>
              </w:rPr>
              <w:t>II</w:t>
            </w:r>
          </w:p>
        </w:tc>
        <w:tc>
          <w:tcPr>
            <w:tcW w:w="5100" w:type="dxa"/>
            <w:shd w:val="clear" w:color="auto" w:fill="EDF1F7"/>
            <w:tcMar>
              <w:top w:w="70" w:type="dxa"/>
              <w:left w:w="110" w:type="dxa"/>
              <w:bottom w:w="70" w:type="dxa"/>
              <w:right w:w="110" w:type="dxa"/>
            </w:tcMar>
          </w:tcPr>
          <w:p w14:paraId="442215AF" w14:textId="77777777" w:rsidR="00DF4DE6" w:rsidRDefault="001B2AC3" w:rsidP="00240AE0">
            <w:pPr>
              <w:jc w:val="both"/>
            </w:pPr>
            <w:r>
              <w:rPr>
                <w:color w:val="1A1A1A"/>
                <w:sz w:val="18"/>
                <w:szCs w:val="18"/>
              </w:rPr>
              <w:t>Les sources internes</w:t>
            </w:r>
          </w:p>
        </w:tc>
        <w:tc>
          <w:tcPr>
            <w:tcW w:w="1300" w:type="dxa"/>
            <w:shd w:val="clear" w:color="auto" w:fill="EDF1F7"/>
            <w:tcMar>
              <w:top w:w="70" w:type="dxa"/>
              <w:left w:w="110" w:type="dxa"/>
              <w:bottom w:w="70" w:type="dxa"/>
              <w:right w:w="110" w:type="dxa"/>
            </w:tcMar>
          </w:tcPr>
          <w:p w14:paraId="6AA6B5C2" w14:textId="77777777" w:rsidR="00DF4DE6" w:rsidRDefault="001B2AC3" w:rsidP="00240AE0">
            <w:pPr>
              <w:jc w:val="both"/>
            </w:pPr>
            <w:r>
              <w:rPr>
                <w:color w:val="1A1A1A"/>
                <w:sz w:val="18"/>
                <w:szCs w:val="18"/>
              </w:rPr>
              <w:t>9 à 11</w:t>
            </w:r>
          </w:p>
        </w:tc>
        <w:tc>
          <w:tcPr>
            <w:tcW w:w="1600" w:type="dxa"/>
            <w:shd w:val="clear" w:color="auto" w:fill="EDF1F7"/>
            <w:tcMar>
              <w:top w:w="70" w:type="dxa"/>
              <w:left w:w="110" w:type="dxa"/>
              <w:bottom w:w="70" w:type="dxa"/>
              <w:right w:w="110" w:type="dxa"/>
            </w:tcMar>
          </w:tcPr>
          <w:p w14:paraId="1897D5DB" w14:textId="77777777" w:rsidR="00DF4DE6" w:rsidRDefault="001B2AC3" w:rsidP="00240AE0">
            <w:pPr>
              <w:jc w:val="both"/>
            </w:pPr>
            <w:r>
              <w:rPr>
                <w:color w:val="1A1A1A"/>
                <w:sz w:val="18"/>
                <w:szCs w:val="18"/>
              </w:rPr>
              <w:t>82 – 114</w:t>
            </w:r>
          </w:p>
        </w:tc>
      </w:tr>
      <w:tr w:rsidR="00DF4DE6" w14:paraId="0163D8B9" w14:textId="77777777">
        <w:tblPrEx>
          <w:tblCellMar>
            <w:top w:w="0" w:type="dxa"/>
            <w:bottom w:w="0" w:type="dxa"/>
          </w:tblCellMar>
        </w:tblPrEx>
        <w:tc>
          <w:tcPr>
            <w:tcW w:w="1100" w:type="dxa"/>
            <w:tcMar>
              <w:top w:w="70" w:type="dxa"/>
              <w:left w:w="110" w:type="dxa"/>
              <w:bottom w:w="70" w:type="dxa"/>
              <w:right w:w="110" w:type="dxa"/>
            </w:tcMar>
          </w:tcPr>
          <w:p w14:paraId="0F1D3553" w14:textId="77777777" w:rsidR="00DF4DE6" w:rsidRDefault="001B2AC3" w:rsidP="00240AE0">
            <w:pPr>
              <w:jc w:val="both"/>
            </w:pPr>
            <w:r>
              <w:rPr>
                <w:b/>
                <w:bCs/>
                <w:color w:val="1F3864"/>
                <w:sz w:val="18"/>
                <w:szCs w:val="18"/>
              </w:rPr>
              <w:t>III</w:t>
            </w:r>
          </w:p>
        </w:tc>
        <w:tc>
          <w:tcPr>
            <w:tcW w:w="5100" w:type="dxa"/>
            <w:tcMar>
              <w:top w:w="70" w:type="dxa"/>
              <w:left w:w="110" w:type="dxa"/>
              <w:bottom w:w="70" w:type="dxa"/>
              <w:right w:w="110" w:type="dxa"/>
            </w:tcMar>
          </w:tcPr>
          <w:p w14:paraId="6E9363E0" w14:textId="77777777" w:rsidR="00DF4DE6" w:rsidRDefault="001B2AC3" w:rsidP="00240AE0">
            <w:pPr>
              <w:jc w:val="both"/>
            </w:pPr>
            <w:r>
              <w:rPr>
                <w:color w:val="1A1A1A"/>
                <w:sz w:val="18"/>
                <w:szCs w:val="18"/>
              </w:rPr>
              <w:t>Les sources externes</w:t>
            </w:r>
          </w:p>
        </w:tc>
        <w:tc>
          <w:tcPr>
            <w:tcW w:w="1300" w:type="dxa"/>
            <w:tcMar>
              <w:top w:w="70" w:type="dxa"/>
              <w:left w:w="110" w:type="dxa"/>
              <w:bottom w:w="70" w:type="dxa"/>
              <w:right w:w="110" w:type="dxa"/>
            </w:tcMar>
          </w:tcPr>
          <w:p w14:paraId="276B8775" w14:textId="77777777" w:rsidR="00DF4DE6" w:rsidRDefault="001B2AC3" w:rsidP="00240AE0">
            <w:pPr>
              <w:jc w:val="both"/>
            </w:pPr>
            <w:r>
              <w:rPr>
                <w:color w:val="1A1A1A"/>
                <w:sz w:val="18"/>
                <w:szCs w:val="18"/>
              </w:rPr>
              <w:t>12 à 15</w:t>
            </w:r>
          </w:p>
        </w:tc>
        <w:tc>
          <w:tcPr>
            <w:tcW w:w="1600" w:type="dxa"/>
            <w:tcMar>
              <w:top w:w="70" w:type="dxa"/>
              <w:left w:w="110" w:type="dxa"/>
              <w:bottom w:w="70" w:type="dxa"/>
              <w:right w:w="110" w:type="dxa"/>
            </w:tcMar>
          </w:tcPr>
          <w:p w14:paraId="63384960" w14:textId="77777777" w:rsidR="00DF4DE6" w:rsidRDefault="001B2AC3" w:rsidP="00240AE0">
            <w:pPr>
              <w:jc w:val="both"/>
            </w:pPr>
            <w:r>
              <w:rPr>
                <w:color w:val="1A1A1A"/>
                <w:sz w:val="18"/>
                <w:szCs w:val="18"/>
              </w:rPr>
              <w:t>115 – 152</w:t>
            </w:r>
          </w:p>
        </w:tc>
      </w:tr>
      <w:tr w:rsidR="00DF4DE6" w14:paraId="335B7ECF" w14:textId="77777777">
        <w:tblPrEx>
          <w:tblCellMar>
            <w:top w:w="0" w:type="dxa"/>
            <w:bottom w:w="0" w:type="dxa"/>
          </w:tblCellMar>
        </w:tblPrEx>
        <w:tc>
          <w:tcPr>
            <w:tcW w:w="1100" w:type="dxa"/>
            <w:shd w:val="clear" w:color="auto" w:fill="EDF1F7"/>
            <w:tcMar>
              <w:top w:w="70" w:type="dxa"/>
              <w:left w:w="110" w:type="dxa"/>
              <w:bottom w:w="70" w:type="dxa"/>
              <w:right w:w="110" w:type="dxa"/>
            </w:tcMar>
          </w:tcPr>
          <w:p w14:paraId="6E7DD372" w14:textId="77777777" w:rsidR="00DF4DE6" w:rsidRDefault="001B2AC3" w:rsidP="00240AE0">
            <w:pPr>
              <w:jc w:val="both"/>
            </w:pPr>
            <w:r>
              <w:rPr>
                <w:b/>
                <w:bCs/>
                <w:color w:val="1F3864"/>
                <w:sz w:val="18"/>
                <w:szCs w:val="18"/>
              </w:rPr>
              <w:t>IV</w:t>
            </w:r>
          </w:p>
        </w:tc>
        <w:tc>
          <w:tcPr>
            <w:tcW w:w="5100" w:type="dxa"/>
            <w:shd w:val="clear" w:color="auto" w:fill="EDF1F7"/>
            <w:tcMar>
              <w:top w:w="70" w:type="dxa"/>
              <w:left w:w="110" w:type="dxa"/>
              <w:bottom w:w="70" w:type="dxa"/>
              <w:right w:w="110" w:type="dxa"/>
            </w:tcMar>
          </w:tcPr>
          <w:p w14:paraId="6C25BCFD" w14:textId="77777777" w:rsidR="00DF4DE6" w:rsidRDefault="001B2AC3" w:rsidP="00240AE0">
            <w:pPr>
              <w:jc w:val="both"/>
            </w:pPr>
            <w:r>
              <w:rPr>
                <w:color w:val="1A1A1A"/>
                <w:sz w:val="18"/>
                <w:szCs w:val="18"/>
              </w:rPr>
              <w:t>Les mécanismes internes de protection</w:t>
            </w:r>
          </w:p>
        </w:tc>
        <w:tc>
          <w:tcPr>
            <w:tcW w:w="1300" w:type="dxa"/>
            <w:shd w:val="clear" w:color="auto" w:fill="EDF1F7"/>
            <w:tcMar>
              <w:top w:w="70" w:type="dxa"/>
              <w:left w:w="110" w:type="dxa"/>
              <w:bottom w:w="70" w:type="dxa"/>
              <w:right w:w="110" w:type="dxa"/>
            </w:tcMar>
          </w:tcPr>
          <w:p w14:paraId="7ED035F6" w14:textId="77777777" w:rsidR="00DF4DE6" w:rsidRDefault="001B2AC3" w:rsidP="00240AE0">
            <w:pPr>
              <w:jc w:val="both"/>
            </w:pPr>
            <w:r>
              <w:rPr>
                <w:color w:val="1A1A1A"/>
                <w:sz w:val="18"/>
                <w:szCs w:val="18"/>
              </w:rPr>
              <w:t>16 à 20</w:t>
            </w:r>
          </w:p>
        </w:tc>
        <w:tc>
          <w:tcPr>
            <w:tcW w:w="1600" w:type="dxa"/>
            <w:shd w:val="clear" w:color="auto" w:fill="EDF1F7"/>
            <w:tcMar>
              <w:top w:w="70" w:type="dxa"/>
              <w:left w:w="110" w:type="dxa"/>
              <w:bottom w:w="70" w:type="dxa"/>
              <w:right w:w="110" w:type="dxa"/>
            </w:tcMar>
          </w:tcPr>
          <w:p w14:paraId="14B3088B" w14:textId="77777777" w:rsidR="00DF4DE6" w:rsidRDefault="001B2AC3" w:rsidP="00240AE0">
            <w:pPr>
              <w:jc w:val="both"/>
            </w:pPr>
            <w:r>
              <w:rPr>
                <w:color w:val="1A1A1A"/>
                <w:sz w:val="18"/>
                <w:szCs w:val="18"/>
              </w:rPr>
              <w:t>153 – 207</w:t>
            </w:r>
          </w:p>
        </w:tc>
      </w:tr>
      <w:tr w:rsidR="00DF4DE6" w14:paraId="629339FF" w14:textId="77777777">
        <w:tblPrEx>
          <w:tblCellMar>
            <w:top w:w="0" w:type="dxa"/>
            <w:bottom w:w="0" w:type="dxa"/>
          </w:tblCellMar>
        </w:tblPrEx>
        <w:tc>
          <w:tcPr>
            <w:tcW w:w="1100" w:type="dxa"/>
            <w:tcMar>
              <w:top w:w="70" w:type="dxa"/>
              <w:left w:w="110" w:type="dxa"/>
              <w:bottom w:w="70" w:type="dxa"/>
              <w:right w:w="110" w:type="dxa"/>
            </w:tcMar>
          </w:tcPr>
          <w:p w14:paraId="581C9B85" w14:textId="77777777" w:rsidR="00DF4DE6" w:rsidRDefault="001B2AC3" w:rsidP="00240AE0">
            <w:pPr>
              <w:jc w:val="both"/>
            </w:pPr>
            <w:r>
              <w:rPr>
                <w:b/>
                <w:bCs/>
                <w:color w:val="1F3864"/>
                <w:sz w:val="18"/>
                <w:szCs w:val="18"/>
              </w:rPr>
              <w:t>V</w:t>
            </w:r>
          </w:p>
        </w:tc>
        <w:tc>
          <w:tcPr>
            <w:tcW w:w="5100" w:type="dxa"/>
            <w:tcMar>
              <w:top w:w="70" w:type="dxa"/>
              <w:left w:w="110" w:type="dxa"/>
              <w:bottom w:w="70" w:type="dxa"/>
              <w:right w:w="110" w:type="dxa"/>
            </w:tcMar>
          </w:tcPr>
          <w:p w14:paraId="5C8732BA" w14:textId="77777777" w:rsidR="00DF4DE6" w:rsidRDefault="001B2AC3" w:rsidP="00240AE0">
            <w:pPr>
              <w:jc w:val="both"/>
            </w:pPr>
            <w:r>
              <w:rPr>
                <w:color w:val="1A1A1A"/>
                <w:sz w:val="18"/>
                <w:szCs w:val="18"/>
              </w:rPr>
              <w:t>Les mécanismes internationaux et européens de protection</w:t>
            </w:r>
          </w:p>
        </w:tc>
        <w:tc>
          <w:tcPr>
            <w:tcW w:w="1300" w:type="dxa"/>
            <w:tcMar>
              <w:top w:w="70" w:type="dxa"/>
              <w:left w:w="110" w:type="dxa"/>
              <w:bottom w:w="70" w:type="dxa"/>
              <w:right w:w="110" w:type="dxa"/>
            </w:tcMar>
          </w:tcPr>
          <w:p w14:paraId="49B1FB9C" w14:textId="77777777" w:rsidR="00DF4DE6" w:rsidRDefault="001B2AC3" w:rsidP="00240AE0">
            <w:pPr>
              <w:jc w:val="both"/>
            </w:pPr>
            <w:r>
              <w:rPr>
                <w:color w:val="1A1A1A"/>
                <w:sz w:val="18"/>
                <w:szCs w:val="18"/>
              </w:rPr>
              <w:t>21 à 25</w:t>
            </w:r>
          </w:p>
        </w:tc>
        <w:tc>
          <w:tcPr>
            <w:tcW w:w="1600" w:type="dxa"/>
            <w:tcMar>
              <w:top w:w="70" w:type="dxa"/>
              <w:left w:w="110" w:type="dxa"/>
              <w:bottom w:w="70" w:type="dxa"/>
              <w:right w:w="110" w:type="dxa"/>
            </w:tcMar>
          </w:tcPr>
          <w:p w14:paraId="4C0E7B0B" w14:textId="77777777" w:rsidR="00DF4DE6" w:rsidRDefault="001B2AC3" w:rsidP="00240AE0">
            <w:pPr>
              <w:jc w:val="both"/>
            </w:pPr>
            <w:r>
              <w:rPr>
                <w:color w:val="1A1A1A"/>
                <w:sz w:val="18"/>
                <w:szCs w:val="18"/>
              </w:rPr>
              <w:t>208 – 253</w:t>
            </w:r>
          </w:p>
        </w:tc>
      </w:tr>
      <w:tr w:rsidR="00DF4DE6" w14:paraId="04FC6A2F" w14:textId="77777777">
        <w:tblPrEx>
          <w:tblCellMar>
            <w:top w:w="0" w:type="dxa"/>
            <w:bottom w:w="0" w:type="dxa"/>
          </w:tblCellMar>
        </w:tblPrEx>
        <w:tc>
          <w:tcPr>
            <w:tcW w:w="1100" w:type="dxa"/>
            <w:shd w:val="clear" w:color="auto" w:fill="EDF1F7"/>
            <w:tcMar>
              <w:top w:w="70" w:type="dxa"/>
              <w:left w:w="110" w:type="dxa"/>
              <w:bottom w:w="70" w:type="dxa"/>
              <w:right w:w="110" w:type="dxa"/>
            </w:tcMar>
          </w:tcPr>
          <w:p w14:paraId="4524E625" w14:textId="77777777" w:rsidR="00DF4DE6" w:rsidRDefault="001B2AC3" w:rsidP="00240AE0">
            <w:pPr>
              <w:jc w:val="both"/>
            </w:pPr>
            <w:r>
              <w:rPr>
                <w:b/>
                <w:bCs/>
                <w:color w:val="1F3864"/>
                <w:sz w:val="18"/>
                <w:szCs w:val="18"/>
              </w:rPr>
              <w:t>VI</w:t>
            </w:r>
          </w:p>
        </w:tc>
        <w:tc>
          <w:tcPr>
            <w:tcW w:w="5100" w:type="dxa"/>
            <w:shd w:val="clear" w:color="auto" w:fill="EDF1F7"/>
            <w:tcMar>
              <w:top w:w="70" w:type="dxa"/>
              <w:left w:w="110" w:type="dxa"/>
              <w:bottom w:w="70" w:type="dxa"/>
              <w:right w:w="110" w:type="dxa"/>
            </w:tcMar>
          </w:tcPr>
          <w:p w14:paraId="339DF29B" w14:textId="77777777" w:rsidR="00DF4DE6" w:rsidRDefault="001B2AC3" w:rsidP="00240AE0">
            <w:pPr>
              <w:jc w:val="both"/>
            </w:pPr>
            <w:r>
              <w:rPr>
                <w:color w:val="1A1A1A"/>
                <w:sz w:val="18"/>
                <w:szCs w:val="18"/>
              </w:rPr>
              <w:t>Les droits civils et politiques</w:t>
            </w:r>
          </w:p>
        </w:tc>
        <w:tc>
          <w:tcPr>
            <w:tcW w:w="1300" w:type="dxa"/>
            <w:shd w:val="clear" w:color="auto" w:fill="EDF1F7"/>
            <w:tcMar>
              <w:top w:w="70" w:type="dxa"/>
              <w:left w:w="110" w:type="dxa"/>
              <w:bottom w:w="70" w:type="dxa"/>
              <w:right w:w="110" w:type="dxa"/>
            </w:tcMar>
          </w:tcPr>
          <w:p w14:paraId="4D7103FE" w14:textId="77777777" w:rsidR="00DF4DE6" w:rsidRDefault="001B2AC3" w:rsidP="00240AE0">
            <w:pPr>
              <w:jc w:val="both"/>
            </w:pPr>
            <w:r>
              <w:rPr>
                <w:color w:val="1A1A1A"/>
                <w:sz w:val="18"/>
                <w:szCs w:val="18"/>
              </w:rPr>
              <w:t>26 à 44</w:t>
            </w:r>
          </w:p>
        </w:tc>
        <w:tc>
          <w:tcPr>
            <w:tcW w:w="1600" w:type="dxa"/>
            <w:shd w:val="clear" w:color="auto" w:fill="EDF1F7"/>
            <w:tcMar>
              <w:top w:w="70" w:type="dxa"/>
              <w:left w:w="110" w:type="dxa"/>
              <w:bottom w:w="70" w:type="dxa"/>
              <w:right w:w="110" w:type="dxa"/>
            </w:tcMar>
          </w:tcPr>
          <w:p w14:paraId="03B2FF65" w14:textId="77777777" w:rsidR="00DF4DE6" w:rsidRDefault="001B2AC3" w:rsidP="00240AE0">
            <w:pPr>
              <w:jc w:val="both"/>
            </w:pPr>
            <w:r>
              <w:rPr>
                <w:color w:val="1A1A1A"/>
                <w:sz w:val="18"/>
                <w:szCs w:val="18"/>
              </w:rPr>
              <w:t>254 – 466</w:t>
            </w:r>
          </w:p>
        </w:tc>
      </w:tr>
      <w:tr w:rsidR="00DF4DE6" w14:paraId="1A69709A" w14:textId="77777777">
        <w:tblPrEx>
          <w:tblCellMar>
            <w:top w:w="0" w:type="dxa"/>
            <w:bottom w:w="0" w:type="dxa"/>
          </w:tblCellMar>
        </w:tblPrEx>
        <w:tc>
          <w:tcPr>
            <w:tcW w:w="1100" w:type="dxa"/>
            <w:tcMar>
              <w:top w:w="70" w:type="dxa"/>
              <w:left w:w="110" w:type="dxa"/>
              <w:bottom w:w="70" w:type="dxa"/>
              <w:right w:w="110" w:type="dxa"/>
            </w:tcMar>
          </w:tcPr>
          <w:p w14:paraId="62825228" w14:textId="77777777" w:rsidR="00DF4DE6" w:rsidRDefault="001B2AC3" w:rsidP="00240AE0">
            <w:pPr>
              <w:jc w:val="both"/>
            </w:pPr>
            <w:r>
              <w:rPr>
                <w:b/>
                <w:bCs/>
                <w:color w:val="1F3864"/>
                <w:sz w:val="18"/>
                <w:szCs w:val="18"/>
              </w:rPr>
              <w:t>VII</w:t>
            </w:r>
          </w:p>
        </w:tc>
        <w:tc>
          <w:tcPr>
            <w:tcW w:w="5100" w:type="dxa"/>
            <w:tcMar>
              <w:top w:w="70" w:type="dxa"/>
              <w:left w:w="110" w:type="dxa"/>
              <w:bottom w:w="70" w:type="dxa"/>
              <w:right w:w="110" w:type="dxa"/>
            </w:tcMar>
          </w:tcPr>
          <w:p w14:paraId="3C96B481" w14:textId="77777777" w:rsidR="00DF4DE6" w:rsidRDefault="001B2AC3" w:rsidP="00240AE0">
            <w:pPr>
              <w:jc w:val="both"/>
            </w:pPr>
            <w:r>
              <w:rPr>
                <w:color w:val="1A1A1A"/>
                <w:sz w:val="18"/>
                <w:szCs w:val="18"/>
              </w:rPr>
              <w:t>Les droits économiques, sociaux et culturels</w:t>
            </w:r>
          </w:p>
        </w:tc>
        <w:tc>
          <w:tcPr>
            <w:tcW w:w="1300" w:type="dxa"/>
            <w:tcMar>
              <w:top w:w="70" w:type="dxa"/>
              <w:left w:w="110" w:type="dxa"/>
              <w:bottom w:w="70" w:type="dxa"/>
              <w:right w:w="110" w:type="dxa"/>
            </w:tcMar>
          </w:tcPr>
          <w:p w14:paraId="7C9788E2" w14:textId="77777777" w:rsidR="00DF4DE6" w:rsidRDefault="001B2AC3" w:rsidP="00240AE0">
            <w:pPr>
              <w:jc w:val="both"/>
            </w:pPr>
            <w:r>
              <w:rPr>
                <w:color w:val="1A1A1A"/>
                <w:sz w:val="18"/>
                <w:szCs w:val="18"/>
              </w:rPr>
              <w:t>45 à 53</w:t>
            </w:r>
          </w:p>
        </w:tc>
        <w:tc>
          <w:tcPr>
            <w:tcW w:w="1600" w:type="dxa"/>
            <w:tcMar>
              <w:top w:w="70" w:type="dxa"/>
              <w:left w:w="110" w:type="dxa"/>
              <w:bottom w:w="70" w:type="dxa"/>
              <w:right w:w="110" w:type="dxa"/>
            </w:tcMar>
          </w:tcPr>
          <w:p w14:paraId="5C6B4601" w14:textId="77777777" w:rsidR="00DF4DE6" w:rsidRDefault="001B2AC3" w:rsidP="00240AE0">
            <w:pPr>
              <w:jc w:val="both"/>
            </w:pPr>
            <w:r>
              <w:rPr>
                <w:color w:val="1A1A1A"/>
                <w:sz w:val="18"/>
                <w:szCs w:val="18"/>
              </w:rPr>
              <w:t>467 – 545</w:t>
            </w:r>
          </w:p>
        </w:tc>
      </w:tr>
      <w:tr w:rsidR="00DF4DE6" w14:paraId="66058826" w14:textId="77777777">
        <w:tblPrEx>
          <w:tblCellMar>
            <w:top w:w="0" w:type="dxa"/>
            <w:bottom w:w="0" w:type="dxa"/>
          </w:tblCellMar>
        </w:tblPrEx>
        <w:tc>
          <w:tcPr>
            <w:tcW w:w="1100" w:type="dxa"/>
            <w:shd w:val="clear" w:color="auto" w:fill="EDF1F7"/>
            <w:tcMar>
              <w:top w:w="70" w:type="dxa"/>
              <w:left w:w="110" w:type="dxa"/>
              <w:bottom w:w="70" w:type="dxa"/>
              <w:right w:w="110" w:type="dxa"/>
            </w:tcMar>
          </w:tcPr>
          <w:p w14:paraId="5A118E6C" w14:textId="77777777" w:rsidR="00DF4DE6" w:rsidRDefault="001B2AC3" w:rsidP="00240AE0">
            <w:pPr>
              <w:jc w:val="both"/>
            </w:pPr>
            <w:r>
              <w:rPr>
                <w:b/>
                <w:bCs/>
                <w:color w:val="1F3864"/>
                <w:sz w:val="18"/>
                <w:szCs w:val="18"/>
              </w:rPr>
              <w:t>VIII</w:t>
            </w:r>
          </w:p>
        </w:tc>
        <w:tc>
          <w:tcPr>
            <w:tcW w:w="5100" w:type="dxa"/>
            <w:shd w:val="clear" w:color="auto" w:fill="EDF1F7"/>
            <w:tcMar>
              <w:top w:w="70" w:type="dxa"/>
              <w:left w:w="110" w:type="dxa"/>
              <w:bottom w:w="70" w:type="dxa"/>
              <w:right w:w="110" w:type="dxa"/>
            </w:tcMar>
          </w:tcPr>
          <w:p w14:paraId="6E91B433" w14:textId="77777777" w:rsidR="00DF4DE6" w:rsidRDefault="001B2AC3" w:rsidP="00240AE0">
            <w:pPr>
              <w:jc w:val="both"/>
            </w:pPr>
            <w:r>
              <w:rPr>
                <w:color w:val="1A1A1A"/>
                <w:sz w:val="18"/>
                <w:szCs w:val="18"/>
              </w:rPr>
              <w:t>L'égalité et la non-discrimination</w:t>
            </w:r>
          </w:p>
        </w:tc>
        <w:tc>
          <w:tcPr>
            <w:tcW w:w="1300" w:type="dxa"/>
            <w:shd w:val="clear" w:color="auto" w:fill="EDF1F7"/>
            <w:tcMar>
              <w:top w:w="70" w:type="dxa"/>
              <w:left w:w="110" w:type="dxa"/>
              <w:bottom w:w="70" w:type="dxa"/>
              <w:right w:w="110" w:type="dxa"/>
            </w:tcMar>
          </w:tcPr>
          <w:p w14:paraId="66BB091A" w14:textId="77777777" w:rsidR="00DF4DE6" w:rsidRDefault="001B2AC3" w:rsidP="00240AE0">
            <w:pPr>
              <w:jc w:val="both"/>
            </w:pPr>
            <w:r>
              <w:rPr>
                <w:color w:val="1A1A1A"/>
                <w:sz w:val="18"/>
                <w:szCs w:val="18"/>
              </w:rPr>
              <w:t>54 à 56</w:t>
            </w:r>
          </w:p>
        </w:tc>
        <w:tc>
          <w:tcPr>
            <w:tcW w:w="1600" w:type="dxa"/>
            <w:shd w:val="clear" w:color="auto" w:fill="EDF1F7"/>
            <w:tcMar>
              <w:top w:w="70" w:type="dxa"/>
              <w:left w:w="110" w:type="dxa"/>
              <w:bottom w:w="70" w:type="dxa"/>
              <w:right w:w="110" w:type="dxa"/>
            </w:tcMar>
          </w:tcPr>
          <w:p w14:paraId="30591EF6" w14:textId="77777777" w:rsidR="00DF4DE6" w:rsidRDefault="001B2AC3" w:rsidP="00240AE0">
            <w:pPr>
              <w:jc w:val="both"/>
            </w:pPr>
            <w:r>
              <w:rPr>
                <w:color w:val="1A1A1A"/>
                <w:sz w:val="18"/>
                <w:szCs w:val="18"/>
              </w:rPr>
              <w:t>546 – 580</w:t>
            </w:r>
          </w:p>
        </w:tc>
      </w:tr>
    </w:tbl>
    <w:p w14:paraId="7D451043" w14:textId="77777777" w:rsidR="00DF4DE6" w:rsidRDefault="001B2AC3" w:rsidP="00240AE0">
      <w:pPr>
        <w:pStyle w:val="Titre2"/>
        <w:spacing w:before="360" w:after="160"/>
        <w:jc w:val="both"/>
      </w:pPr>
      <w:r>
        <w:rPr>
          <w:rFonts w:ascii="Cambria" w:eastAsia="Cambria" w:hAnsi="Cambria" w:cs="Cambria"/>
          <w:b/>
          <w:bCs/>
          <w:color w:val="1F3864"/>
        </w:rPr>
        <w:t>Les 56 fiches</w:t>
      </w:r>
    </w:p>
    <w:p w14:paraId="5D8DE136" w14:textId="77777777" w:rsidR="00DF4DE6" w:rsidRDefault="001B2AC3" w:rsidP="00240AE0">
      <w:pPr>
        <w:spacing w:before="180" w:after="70"/>
        <w:jc w:val="both"/>
      </w:pPr>
      <w:r>
        <w:rPr>
          <w:b/>
          <w:bCs/>
          <w:color w:val="2E5A88"/>
          <w:sz w:val="19"/>
          <w:szCs w:val="19"/>
        </w:rPr>
        <w:t>PARTIE I — ÉLÉMENTS INTRODUCTIFS</w:t>
      </w:r>
    </w:p>
    <w:p w14:paraId="2705ACA9"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1 — </w:t>
      </w:r>
      <w:r>
        <w:rPr>
          <w:color w:val="1A1A1A"/>
          <w:sz w:val="18"/>
          <w:szCs w:val="18"/>
        </w:rPr>
        <w:t>Les notions</w:t>
      </w:r>
      <w:r>
        <w:rPr>
          <w:color w:val="595959"/>
          <w:sz w:val="18"/>
          <w:szCs w:val="18"/>
        </w:rPr>
        <w:tab/>
        <w:t>p. 5</w:t>
      </w:r>
    </w:p>
    <w:p w14:paraId="1FBD9348"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2 — </w:t>
      </w:r>
      <w:r>
        <w:rPr>
          <w:color w:val="1A1A1A"/>
          <w:sz w:val="18"/>
          <w:szCs w:val="18"/>
        </w:rPr>
        <w:t>Les origines philosophiques et religieuses</w:t>
      </w:r>
      <w:r>
        <w:rPr>
          <w:color w:val="595959"/>
          <w:sz w:val="18"/>
          <w:szCs w:val="18"/>
        </w:rPr>
        <w:tab/>
        <w:t>p. 17</w:t>
      </w:r>
    </w:p>
    <w:p w14:paraId="46C7FA5C"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3 — </w:t>
      </w:r>
      <w:r>
        <w:rPr>
          <w:color w:val="1A1A1A"/>
          <w:sz w:val="18"/>
          <w:szCs w:val="18"/>
        </w:rPr>
        <w:t>Les origines textuelles</w:t>
      </w:r>
      <w:r>
        <w:rPr>
          <w:color w:val="595959"/>
          <w:sz w:val="18"/>
          <w:szCs w:val="18"/>
        </w:rPr>
        <w:tab/>
        <w:t>p. 28</w:t>
      </w:r>
    </w:p>
    <w:p w14:paraId="00DC8706"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4 — </w:t>
      </w:r>
      <w:r>
        <w:rPr>
          <w:color w:val="1A1A1A"/>
          <w:sz w:val="18"/>
          <w:szCs w:val="18"/>
        </w:rPr>
        <w:t>Les classifications</w:t>
      </w:r>
      <w:r>
        <w:rPr>
          <w:color w:val="595959"/>
          <w:sz w:val="18"/>
          <w:szCs w:val="18"/>
        </w:rPr>
        <w:tab/>
        <w:t>p. 37</w:t>
      </w:r>
    </w:p>
    <w:p w14:paraId="27349E5D"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5 — </w:t>
      </w:r>
      <w:r>
        <w:rPr>
          <w:color w:val="1A1A1A"/>
          <w:sz w:val="18"/>
          <w:szCs w:val="18"/>
        </w:rPr>
        <w:t>Les principes directeurs</w:t>
      </w:r>
      <w:r>
        <w:rPr>
          <w:color w:val="595959"/>
          <w:sz w:val="18"/>
          <w:szCs w:val="18"/>
        </w:rPr>
        <w:tab/>
        <w:t>p. 46</w:t>
      </w:r>
    </w:p>
    <w:p w14:paraId="28AC1D92"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6 — </w:t>
      </w:r>
      <w:r>
        <w:rPr>
          <w:color w:val="1A1A1A"/>
          <w:sz w:val="18"/>
          <w:szCs w:val="18"/>
        </w:rPr>
        <w:t>Les régimes</w:t>
      </w:r>
      <w:r>
        <w:rPr>
          <w:color w:val="595959"/>
          <w:sz w:val="18"/>
          <w:szCs w:val="18"/>
        </w:rPr>
        <w:tab/>
        <w:t>p. 56</w:t>
      </w:r>
    </w:p>
    <w:p w14:paraId="6DF72977" w14:textId="77777777" w:rsidR="00DF4DE6" w:rsidRDefault="001B2AC3" w:rsidP="00240AE0">
      <w:pPr>
        <w:tabs>
          <w:tab w:val="right" w:leader="dot" w:pos="8900"/>
        </w:tabs>
        <w:spacing w:after="20" w:line="250" w:lineRule="auto"/>
        <w:ind w:left="260"/>
        <w:jc w:val="both"/>
      </w:pPr>
      <w:r>
        <w:rPr>
          <w:b/>
          <w:bCs/>
          <w:color w:val="1A1A1A"/>
          <w:sz w:val="18"/>
          <w:szCs w:val="18"/>
        </w:rPr>
        <w:lastRenderedPageBreak/>
        <w:t xml:space="preserve">Fiche 7 — </w:t>
      </w:r>
      <w:r>
        <w:rPr>
          <w:color w:val="1A1A1A"/>
          <w:sz w:val="18"/>
          <w:szCs w:val="18"/>
        </w:rPr>
        <w:t>Limitations et états d’exception</w:t>
      </w:r>
      <w:r>
        <w:rPr>
          <w:color w:val="595959"/>
          <w:sz w:val="18"/>
          <w:szCs w:val="18"/>
        </w:rPr>
        <w:tab/>
        <w:t>p. 63</w:t>
      </w:r>
    </w:p>
    <w:p w14:paraId="3DFE9DFF"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8 — </w:t>
      </w:r>
      <w:r>
        <w:rPr>
          <w:color w:val="1A1A1A"/>
          <w:sz w:val="18"/>
          <w:szCs w:val="18"/>
        </w:rPr>
        <w:t>La crise des droits humains et l’État de droit</w:t>
      </w:r>
      <w:r>
        <w:rPr>
          <w:color w:val="595959"/>
          <w:sz w:val="18"/>
          <w:szCs w:val="18"/>
        </w:rPr>
        <w:tab/>
        <w:t>p. 74</w:t>
      </w:r>
    </w:p>
    <w:p w14:paraId="6C00271C" w14:textId="77777777" w:rsidR="00DF4DE6" w:rsidRDefault="001B2AC3" w:rsidP="00240AE0">
      <w:pPr>
        <w:spacing w:before="180" w:after="70"/>
        <w:jc w:val="both"/>
      </w:pPr>
      <w:r>
        <w:rPr>
          <w:b/>
          <w:bCs/>
          <w:color w:val="2E5A88"/>
          <w:sz w:val="19"/>
          <w:szCs w:val="19"/>
        </w:rPr>
        <w:t>PARTIE II — LES SOURCES INTERNES</w:t>
      </w:r>
    </w:p>
    <w:p w14:paraId="5CE95774"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9 — </w:t>
      </w:r>
      <w:r>
        <w:rPr>
          <w:color w:val="1A1A1A"/>
          <w:sz w:val="18"/>
          <w:szCs w:val="18"/>
        </w:rPr>
        <w:t>Les sources constitutionnelles</w:t>
      </w:r>
      <w:r>
        <w:rPr>
          <w:color w:val="595959"/>
          <w:sz w:val="18"/>
          <w:szCs w:val="18"/>
        </w:rPr>
        <w:tab/>
        <w:t>p. 83</w:t>
      </w:r>
    </w:p>
    <w:p w14:paraId="7ECCE7C3"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10 — </w:t>
      </w:r>
      <w:r>
        <w:rPr>
          <w:color w:val="1A1A1A"/>
          <w:sz w:val="18"/>
          <w:szCs w:val="18"/>
        </w:rPr>
        <w:t>Le bloc de légalité</w:t>
      </w:r>
      <w:r>
        <w:rPr>
          <w:color w:val="595959"/>
          <w:sz w:val="18"/>
          <w:szCs w:val="18"/>
        </w:rPr>
        <w:tab/>
        <w:t>p. 94</w:t>
      </w:r>
    </w:p>
    <w:p w14:paraId="15E40FE4"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11 — </w:t>
      </w:r>
      <w:r>
        <w:rPr>
          <w:color w:val="1A1A1A"/>
          <w:sz w:val="18"/>
          <w:szCs w:val="18"/>
        </w:rPr>
        <w:t>Le règlement et les libertés</w:t>
      </w:r>
      <w:r>
        <w:rPr>
          <w:color w:val="595959"/>
          <w:sz w:val="18"/>
          <w:szCs w:val="18"/>
        </w:rPr>
        <w:tab/>
        <w:t>p. 104</w:t>
      </w:r>
    </w:p>
    <w:p w14:paraId="69424E74" w14:textId="77777777" w:rsidR="00DF4DE6" w:rsidRDefault="001B2AC3" w:rsidP="00240AE0">
      <w:pPr>
        <w:spacing w:before="180" w:after="70"/>
        <w:jc w:val="both"/>
      </w:pPr>
      <w:r>
        <w:rPr>
          <w:b/>
          <w:bCs/>
          <w:color w:val="2E5A88"/>
          <w:sz w:val="19"/>
          <w:szCs w:val="19"/>
        </w:rPr>
        <w:t>PARTIE III — LES SOURCES EXTERNES</w:t>
      </w:r>
    </w:p>
    <w:p w14:paraId="2FC8B3EC"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12 — </w:t>
      </w:r>
      <w:r>
        <w:rPr>
          <w:color w:val="1A1A1A"/>
          <w:sz w:val="18"/>
          <w:szCs w:val="18"/>
        </w:rPr>
        <w:t>L’internationalisation du droit des libertés</w:t>
      </w:r>
      <w:r>
        <w:rPr>
          <w:color w:val="595959"/>
          <w:sz w:val="18"/>
          <w:szCs w:val="18"/>
        </w:rPr>
        <w:tab/>
        <w:t>p. 116</w:t>
      </w:r>
    </w:p>
    <w:p w14:paraId="41AB4145"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13 — </w:t>
      </w:r>
      <w:r>
        <w:rPr>
          <w:color w:val="1A1A1A"/>
          <w:sz w:val="18"/>
          <w:szCs w:val="18"/>
        </w:rPr>
        <w:t>Le droit onusien</w:t>
      </w:r>
      <w:r>
        <w:rPr>
          <w:color w:val="595959"/>
          <w:sz w:val="18"/>
          <w:szCs w:val="18"/>
        </w:rPr>
        <w:tab/>
        <w:t>p. 125</w:t>
      </w:r>
    </w:p>
    <w:p w14:paraId="61F3DA6B"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14 — </w:t>
      </w:r>
      <w:r>
        <w:rPr>
          <w:color w:val="1A1A1A"/>
          <w:sz w:val="18"/>
          <w:szCs w:val="18"/>
        </w:rPr>
        <w:t>Le Conseil de l’Europe et la Convention européenne des droits de l’homme</w:t>
      </w:r>
      <w:r>
        <w:rPr>
          <w:color w:val="595959"/>
          <w:sz w:val="18"/>
          <w:szCs w:val="18"/>
        </w:rPr>
        <w:tab/>
        <w:t>p. 133</w:t>
      </w:r>
    </w:p>
    <w:p w14:paraId="630F195B"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15 — </w:t>
      </w:r>
      <w:r>
        <w:rPr>
          <w:color w:val="1A1A1A"/>
          <w:sz w:val="18"/>
          <w:szCs w:val="18"/>
        </w:rPr>
        <w:t>Le droit de l’Union européenne</w:t>
      </w:r>
      <w:r>
        <w:rPr>
          <w:color w:val="595959"/>
          <w:sz w:val="18"/>
          <w:szCs w:val="18"/>
        </w:rPr>
        <w:tab/>
        <w:t>p. 144</w:t>
      </w:r>
    </w:p>
    <w:p w14:paraId="554C93C5" w14:textId="77777777" w:rsidR="00DF4DE6" w:rsidRDefault="001B2AC3" w:rsidP="00240AE0">
      <w:pPr>
        <w:spacing w:before="180" w:after="70"/>
        <w:jc w:val="both"/>
      </w:pPr>
      <w:r>
        <w:rPr>
          <w:b/>
          <w:bCs/>
          <w:color w:val="2E5A88"/>
          <w:sz w:val="19"/>
          <w:szCs w:val="19"/>
        </w:rPr>
        <w:t>PARTIE IV — LES MÉCANISMES INTERNES DE PROTECTION</w:t>
      </w:r>
    </w:p>
    <w:p w14:paraId="75CDD2FE"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16 — </w:t>
      </w:r>
      <w:r>
        <w:rPr>
          <w:color w:val="1A1A1A"/>
          <w:sz w:val="18"/>
          <w:szCs w:val="18"/>
        </w:rPr>
        <w:t>La protection par le juge constitutionnel</w:t>
      </w:r>
      <w:r>
        <w:rPr>
          <w:color w:val="595959"/>
          <w:sz w:val="18"/>
          <w:szCs w:val="18"/>
        </w:rPr>
        <w:tab/>
        <w:t>p. 154</w:t>
      </w:r>
    </w:p>
    <w:p w14:paraId="74243FB9"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17 — </w:t>
      </w:r>
      <w:r>
        <w:rPr>
          <w:color w:val="1A1A1A"/>
          <w:sz w:val="18"/>
          <w:szCs w:val="18"/>
        </w:rPr>
        <w:t>La protection par le juge judiciaire</w:t>
      </w:r>
      <w:r>
        <w:rPr>
          <w:color w:val="595959"/>
          <w:sz w:val="18"/>
          <w:szCs w:val="18"/>
        </w:rPr>
        <w:tab/>
        <w:t>p. 164</w:t>
      </w:r>
    </w:p>
    <w:p w14:paraId="2DAD9A2A"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18 — </w:t>
      </w:r>
      <w:r>
        <w:rPr>
          <w:color w:val="1A1A1A"/>
          <w:sz w:val="18"/>
          <w:szCs w:val="18"/>
        </w:rPr>
        <w:t>La protection par le juge administratif</w:t>
      </w:r>
      <w:r>
        <w:rPr>
          <w:color w:val="595959"/>
          <w:sz w:val="18"/>
          <w:szCs w:val="18"/>
        </w:rPr>
        <w:tab/>
        <w:t>p. 177</w:t>
      </w:r>
    </w:p>
    <w:p w14:paraId="77FFFDC5"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19 — </w:t>
      </w:r>
      <w:r>
        <w:rPr>
          <w:color w:val="1A1A1A"/>
          <w:sz w:val="18"/>
          <w:szCs w:val="18"/>
        </w:rPr>
        <w:t>Les dérogations au principe de séparation des autorités</w:t>
      </w:r>
      <w:r>
        <w:rPr>
          <w:color w:val="595959"/>
          <w:sz w:val="18"/>
          <w:szCs w:val="18"/>
        </w:rPr>
        <w:tab/>
        <w:t>p. 188</w:t>
      </w:r>
    </w:p>
    <w:p w14:paraId="32B75778"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20 — </w:t>
      </w:r>
      <w:r>
        <w:rPr>
          <w:color w:val="1A1A1A"/>
          <w:sz w:val="18"/>
          <w:szCs w:val="18"/>
        </w:rPr>
        <w:t>La protection administrative</w:t>
      </w:r>
      <w:r>
        <w:rPr>
          <w:color w:val="595959"/>
          <w:sz w:val="18"/>
          <w:szCs w:val="18"/>
        </w:rPr>
        <w:tab/>
        <w:t>p. 197</w:t>
      </w:r>
    </w:p>
    <w:p w14:paraId="3EA35576" w14:textId="77777777" w:rsidR="00DF4DE6" w:rsidRDefault="001B2AC3" w:rsidP="00240AE0">
      <w:pPr>
        <w:spacing w:before="180" w:after="70"/>
        <w:jc w:val="both"/>
      </w:pPr>
      <w:r>
        <w:rPr>
          <w:b/>
          <w:bCs/>
          <w:color w:val="2E5A88"/>
          <w:sz w:val="19"/>
          <w:szCs w:val="19"/>
        </w:rPr>
        <w:t>PARTIE V — LES MÉCANISMES INTERNATIONAUX ET EUROPÉENS DE PROTECTION</w:t>
      </w:r>
    </w:p>
    <w:p w14:paraId="1B12528E"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21 — </w:t>
      </w:r>
      <w:r>
        <w:rPr>
          <w:color w:val="1A1A1A"/>
          <w:sz w:val="18"/>
          <w:szCs w:val="18"/>
        </w:rPr>
        <w:t>Les comités onusiens</w:t>
      </w:r>
      <w:r>
        <w:rPr>
          <w:color w:val="595959"/>
          <w:sz w:val="18"/>
          <w:szCs w:val="18"/>
        </w:rPr>
        <w:tab/>
        <w:t>p. 209</w:t>
      </w:r>
    </w:p>
    <w:p w14:paraId="28F5DE64"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22 — </w:t>
      </w:r>
      <w:r>
        <w:rPr>
          <w:color w:val="1A1A1A"/>
          <w:sz w:val="18"/>
          <w:szCs w:val="18"/>
        </w:rPr>
        <w:t>La Cour européenne des droits de l’homme</w:t>
      </w:r>
      <w:r>
        <w:rPr>
          <w:color w:val="595959"/>
          <w:sz w:val="18"/>
          <w:szCs w:val="18"/>
        </w:rPr>
        <w:tab/>
        <w:t>p. 217</w:t>
      </w:r>
    </w:p>
    <w:p w14:paraId="7B615CC5"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23 — </w:t>
      </w:r>
      <w:r>
        <w:rPr>
          <w:color w:val="1A1A1A"/>
          <w:sz w:val="18"/>
          <w:szCs w:val="18"/>
        </w:rPr>
        <w:t>La Cour de justice de l’Union européenne</w:t>
      </w:r>
      <w:r>
        <w:rPr>
          <w:color w:val="595959"/>
          <w:sz w:val="18"/>
          <w:szCs w:val="18"/>
        </w:rPr>
        <w:tab/>
        <w:t>p. 227</w:t>
      </w:r>
    </w:p>
    <w:p w14:paraId="6130E57B"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24 — </w:t>
      </w:r>
      <w:r>
        <w:rPr>
          <w:color w:val="1A1A1A"/>
          <w:sz w:val="18"/>
          <w:szCs w:val="18"/>
        </w:rPr>
        <w:t>Les autres juridictions régionales</w:t>
      </w:r>
      <w:r>
        <w:rPr>
          <w:color w:val="595959"/>
          <w:sz w:val="18"/>
          <w:szCs w:val="18"/>
        </w:rPr>
        <w:tab/>
        <w:t>p. 237</w:t>
      </w:r>
    </w:p>
    <w:p w14:paraId="2BE07986"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25 — </w:t>
      </w:r>
      <w:r>
        <w:rPr>
          <w:color w:val="1A1A1A"/>
          <w:sz w:val="18"/>
          <w:szCs w:val="18"/>
        </w:rPr>
        <w:t>La protection politique et administrative internationale</w:t>
      </w:r>
      <w:r>
        <w:rPr>
          <w:color w:val="595959"/>
          <w:sz w:val="18"/>
          <w:szCs w:val="18"/>
        </w:rPr>
        <w:tab/>
        <w:t>p. 245</w:t>
      </w:r>
    </w:p>
    <w:p w14:paraId="5DA2DB5A" w14:textId="77777777" w:rsidR="00DF4DE6" w:rsidRDefault="001B2AC3" w:rsidP="00240AE0">
      <w:pPr>
        <w:spacing w:before="180" w:after="70"/>
        <w:jc w:val="both"/>
      </w:pPr>
      <w:r>
        <w:rPr>
          <w:b/>
          <w:bCs/>
          <w:color w:val="2E5A88"/>
          <w:sz w:val="19"/>
          <w:szCs w:val="19"/>
        </w:rPr>
        <w:t>PARTIE VI — LES DROITS CIVILS ET POLITIQUES</w:t>
      </w:r>
    </w:p>
    <w:p w14:paraId="4BC5E516"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26 — </w:t>
      </w:r>
      <w:r>
        <w:rPr>
          <w:color w:val="1A1A1A"/>
          <w:sz w:val="18"/>
          <w:szCs w:val="18"/>
        </w:rPr>
        <w:t>Le droit à la vie</w:t>
      </w:r>
      <w:r>
        <w:rPr>
          <w:color w:val="595959"/>
          <w:sz w:val="18"/>
          <w:szCs w:val="18"/>
        </w:rPr>
        <w:tab/>
        <w:t>p. 256</w:t>
      </w:r>
    </w:p>
    <w:p w14:paraId="01F24B39"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27 — </w:t>
      </w:r>
      <w:r>
        <w:rPr>
          <w:color w:val="1A1A1A"/>
          <w:sz w:val="18"/>
          <w:szCs w:val="18"/>
        </w:rPr>
        <w:t>Le droit à l’intégrité de la personne</w:t>
      </w:r>
      <w:r>
        <w:rPr>
          <w:color w:val="595959"/>
          <w:sz w:val="18"/>
          <w:szCs w:val="18"/>
        </w:rPr>
        <w:tab/>
        <w:t>p. 267</w:t>
      </w:r>
    </w:p>
    <w:p w14:paraId="473C6F19"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28 — </w:t>
      </w:r>
      <w:r>
        <w:rPr>
          <w:color w:val="1A1A1A"/>
          <w:sz w:val="18"/>
          <w:szCs w:val="18"/>
        </w:rPr>
        <w:t>L’interdiction de la torture et des peines ou traitements inhumains ou dégradants</w:t>
      </w:r>
      <w:r>
        <w:rPr>
          <w:color w:val="595959"/>
          <w:sz w:val="18"/>
          <w:szCs w:val="18"/>
        </w:rPr>
        <w:tab/>
        <w:t>p. 279</w:t>
      </w:r>
    </w:p>
    <w:p w14:paraId="747EDE0F"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29 — </w:t>
      </w:r>
      <w:r>
        <w:rPr>
          <w:color w:val="1A1A1A"/>
          <w:sz w:val="18"/>
          <w:szCs w:val="18"/>
        </w:rPr>
        <w:t>L’interdiction de l’esclavage, de la traite, de la servitude et du travail forcé</w:t>
      </w:r>
      <w:r>
        <w:rPr>
          <w:color w:val="595959"/>
          <w:sz w:val="18"/>
          <w:szCs w:val="18"/>
        </w:rPr>
        <w:tab/>
        <w:t>p. 288</w:t>
      </w:r>
    </w:p>
    <w:p w14:paraId="4219DD56"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30 — </w:t>
      </w:r>
      <w:r>
        <w:rPr>
          <w:color w:val="1A1A1A"/>
          <w:sz w:val="18"/>
          <w:szCs w:val="18"/>
        </w:rPr>
        <w:t>Le droit à la liberté et à la sûreté</w:t>
      </w:r>
      <w:r>
        <w:rPr>
          <w:color w:val="595959"/>
          <w:sz w:val="18"/>
          <w:szCs w:val="18"/>
        </w:rPr>
        <w:tab/>
        <w:t>p. 298</w:t>
      </w:r>
    </w:p>
    <w:p w14:paraId="754CF7B1"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31 — </w:t>
      </w:r>
      <w:r>
        <w:rPr>
          <w:color w:val="1A1A1A"/>
          <w:sz w:val="18"/>
          <w:szCs w:val="18"/>
        </w:rPr>
        <w:t>Le droit à un procès équitable et le droit à un recours effectif</w:t>
      </w:r>
      <w:r>
        <w:rPr>
          <w:color w:val="595959"/>
          <w:sz w:val="18"/>
          <w:szCs w:val="18"/>
        </w:rPr>
        <w:tab/>
        <w:t>p. 308</w:t>
      </w:r>
    </w:p>
    <w:p w14:paraId="24C73E22"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32 — </w:t>
      </w:r>
      <w:r>
        <w:rPr>
          <w:color w:val="1A1A1A"/>
          <w:sz w:val="18"/>
          <w:szCs w:val="18"/>
        </w:rPr>
        <w:t>Les garanties fondamentales en droit pénal</w:t>
      </w:r>
      <w:r>
        <w:rPr>
          <w:color w:val="595959"/>
          <w:sz w:val="18"/>
          <w:szCs w:val="18"/>
        </w:rPr>
        <w:tab/>
        <w:t>p. 321</w:t>
      </w:r>
    </w:p>
    <w:p w14:paraId="0AA7695C"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33 — </w:t>
      </w:r>
      <w:r>
        <w:rPr>
          <w:color w:val="1A1A1A"/>
          <w:sz w:val="18"/>
          <w:szCs w:val="18"/>
        </w:rPr>
        <w:t>Le droit à la vie privée</w:t>
      </w:r>
      <w:r>
        <w:rPr>
          <w:color w:val="595959"/>
          <w:sz w:val="18"/>
          <w:szCs w:val="18"/>
        </w:rPr>
        <w:tab/>
        <w:t>p. 331</w:t>
      </w:r>
    </w:p>
    <w:p w14:paraId="53819B14"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34 — </w:t>
      </w:r>
      <w:r>
        <w:rPr>
          <w:color w:val="1A1A1A"/>
          <w:sz w:val="18"/>
          <w:szCs w:val="18"/>
        </w:rPr>
        <w:t>Le droit à la vie familiale</w:t>
      </w:r>
      <w:r>
        <w:rPr>
          <w:color w:val="595959"/>
          <w:sz w:val="18"/>
          <w:szCs w:val="18"/>
        </w:rPr>
        <w:tab/>
        <w:t>p. 343</w:t>
      </w:r>
    </w:p>
    <w:p w14:paraId="2E2731FF"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35 — </w:t>
      </w:r>
      <w:r>
        <w:rPr>
          <w:color w:val="1A1A1A"/>
          <w:sz w:val="18"/>
          <w:szCs w:val="18"/>
        </w:rPr>
        <w:t>Le droit à la protection des données à caractère personnel</w:t>
      </w:r>
      <w:r>
        <w:rPr>
          <w:color w:val="595959"/>
          <w:sz w:val="18"/>
          <w:szCs w:val="18"/>
        </w:rPr>
        <w:tab/>
        <w:t>p. 355</w:t>
      </w:r>
    </w:p>
    <w:p w14:paraId="30B5D469"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36 — </w:t>
      </w:r>
      <w:r>
        <w:rPr>
          <w:color w:val="1A1A1A"/>
          <w:sz w:val="18"/>
          <w:szCs w:val="18"/>
        </w:rPr>
        <w:t>La liberté de penser, de conscience et de religion</w:t>
      </w:r>
      <w:r>
        <w:rPr>
          <w:color w:val="595959"/>
          <w:sz w:val="18"/>
          <w:szCs w:val="18"/>
        </w:rPr>
        <w:tab/>
        <w:t>p. 369</w:t>
      </w:r>
    </w:p>
    <w:p w14:paraId="4AA292A4"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37 — </w:t>
      </w:r>
      <w:r>
        <w:rPr>
          <w:color w:val="1A1A1A"/>
          <w:sz w:val="18"/>
          <w:szCs w:val="18"/>
        </w:rPr>
        <w:t>La liberté d’expression</w:t>
      </w:r>
      <w:r>
        <w:rPr>
          <w:color w:val="595959"/>
          <w:sz w:val="18"/>
          <w:szCs w:val="18"/>
        </w:rPr>
        <w:tab/>
        <w:t>p. 381</w:t>
      </w:r>
    </w:p>
    <w:p w14:paraId="59E076E4"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38 — </w:t>
      </w:r>
      <w:r>
        <w:rPr>
          <w:color w:val="1A1A1A"/>
          <w:sz w:val="18"/>
          <w:szCs w:val="18"/>
        </w:rPr>
        <w:t>La liberté de réunion et de manifestation pacifique</w:t>
      </w:r>
      <w:r>
        <w:rPr>
          <w:color w:val="595959"/>
          <w:sz w:val="18"/>
          <w:szCs w:val="18"/>
        </w:rPr>
        <w:tab/>
        <w:t>p. 395</w:t>
      </w:r>
    </w:p>
    <w:p w14:paraId="133DF674"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39 — </w:t>
      </w:r>
      <w:r>
        <w:rPr>
          <w:color w:val="1A1A1A"/>
          <w:sz w:val="18"/>
          <w:szCs w:val="18"/>
        </w:rPr>
        <w:t>La liberté d’association</w:t>
      </w:r>
      <w:r>
        <w:rPr>
          <w:color w:val="595959"/>
          <w:sz w:val="18"/>
          <w:szCs w:val="18"/>
        </w:rPr>
        <w:tab/>
        <w:t>p. 404</w:t>
      </w:r>
    </w:p>
    <w:p w14:paraId="4B2469A7"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40 — </w:t>
      </w:r>
      <w:r>
        <w:rPr>
          <w:color w:val="1A1A1A"/>
          <w:sz w:val="18"/>
          <w:szCs w:val="18"/>
        </w:rPr>
        <w:t>La liberté d’aller et venir</w:t>
      </w:r>
      <w:r>
        <w:rPr>
          <w:color w:val="595959"/>
          <w:sz w:val="18"/>
          <w:szCs w:val="18"/>
        </w:rPr>
        <w:tab/>
        <w:t>p. 416</w:t>
      </w:r>
    </w:p>
    <w:p w14:paraId="4EF5F745"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41 — </w:t>
      </w:r>
      <w:r>
        <w:rPr>
          <w:color w:val="1A1A1A"/>
          <w:sz w:val="18"/>
          <w:szCs w:val="18"/>
        </w:rPr>
        <w:t>La liberté d’enseignement</w:t>
      </w:r>
      <w:r>
        <w:rPr>
          <w:color w:val="595959"/>
          <w:sz w:val="18"/>
          <w:szCs w:val="18"/>
        </w:rPr>
        <w:tab/>
        <w:t>p. 428</w:t>
      </w:r>
    </w:p>
    <w:p w14:paraId="4D1BF678"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42 — </w:t>
      </w:r>
      <w:r>
        <w:rPr>
          <w:color w:val="1A1A1A"/>
          <w:sz w:val="18"/>
          <w:szCs w:val="18"/>
        </w:rPr>
        <w:t>Le droit à des élections libres</w:t>
      </w:r>
      <w:r>
        <w:rPr>
          <w:color w:val="595959"/>
          <w:sz w:val="18"/>
          <w:szCs w:val="18"/>
        </w:rPr>
        <w:tab/>
        <w:t>p. 436</w:t>
      </w:r>
    </w:p>
    <w:p w14:paraId="44CB42B8"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43 — </w:t>
      </w:r>
      <w:r>
        <w:rPr>
          <w:color w:val="1A1A1A"/>
          <w:sz w:val="18"/>
          <w:szCs w:val="18"/>
        </w:rPr>
        <w:t>Les protections fondamentales en cas d’éloignement, d’expulsion et d’extradition</w:t>
      </w:r>
      <w:r>
        <w:rPr>
          <w:color w:val="595959"/>
          <w:sz w:val="18"/>
          <w:szCs w:val="18"/>
        </w:rPr>
        <w:tab/>
        <w:t>p. 445</w:t>
      </w:r>
    </w:p>
    <w:p w14:paraId="44CB609D"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44 — </w:t>
      </w:r>
      <w:r>
        <w:rPr>
          <w:color w:val="1A1A1A"/>
          <w:sz w:val="18"/>
          <w:szCs w:val="18"/>
        </w:rPr>
        <w:t>Le droit des peuples à disposer d’eux-mêmes</w:t>
      </w:r>
      <w:r>
        <w:rPr>
          <w:color w:val="595959"/>
          <w:sz w:val="18"/>
          <w:szCs w:val="18"/>
        </w:rPr>
        <w:tab/>
        <w:t>p. 456</w:t>
      </w:r>
    </w:p>
    <w:p w14:paraId="494643B9" w14:textId="77777777" w:rsidR="00DF4DE6" w:rsidRDefault="001B2AC3" w:rsidP="00240AE0">
      <w:pPr>
        <w:spacing w:before="180" w:after="70"/>
        <w:jc w:val="both"/>
      </w:pPr>
      <w:r>
        <w:rPr>
          <w:b/>
          <w:bCs/>
          <w:color w:val="2E5A88"/>
          <w:sz w:val="19"/>
          <w:szCs w:val="19"/>
        </w:rPr>
        <w:t>PARTIE VII — LES DROITS ÉCONOMIQUES, SOCIAUX ET CULTURELS</w:t>
      </w:r>
    </w:p>
    <w:p w14:paraId="27A0DE22"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45 — </w:t>
      </w:r>
      <w:r>
        <w:rPr>
          <w:color w:val="1A1A1A"/>
          <w:sz w:val="18"/>
          <w:szCs w:val="18"/>
        </w:rPr>
        <w:t>La liberté du commerce et de l’industrie</w:t>
      </w:r>
      <w:r>
        <w:rPr>
          <w:color w:val="595959"/>
          <w:sz w:val="18"/>
          <w:szCs w:val="18"/>
        </w:rPr>
        <w:tab/>
        <w:t>p. 468</w:t>
      </w:r>
    </w:p>
    <w:p w14:paraId="61769498"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46 — </w:t>
      </w:r>
      <w:r>
        <w:rPr>
          <w:color w:val="1A1A1A"/>
          <w:sz w:val="18"/>
          <w:szCs w:val="18"/>
        </w:rPr>
        <w:t>Le droit de propriété</w:t>
      </w:r>
      <w:r>
        <w:rPr>
          <w:color w:val="595959"/>
          <w:sz w:val="18"/>
          <w:szCs w:val="18"/>
        </w:rPr>
        <w:tab/>
        <w:t>p. 475</w:t>
      </w:r>
    </w:p>
    <w:p w14:paraId="1D2F67AF"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47 — </w:t>
      </w:r>
      <w:r>
        <w:rPr>
          <w:color w:val="1A1A1A"/>
          <w:sz w:val="18"/>
          <w:szCs w:val="18"/>
        </w:rPr>
        <w:t>Le droit à l’éducation et à la formation</w:t>
      </w:r>
      <w:r>
        <w:rPr>
          <w:color w:val="595959"/>
          <w:sz w:val="18"/>
          <w:szCs w:val="18"/>
        </w:rPr>
        <w:tab/>
        <w:t>p. 481</w:t>
      </w:r>
    </w:p>
    <w:p w14:paraId="3EA95D98"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48 — </w:t>
      </w:r>
      <w:r>
        <w:rPr>
          <w:color w:val="1A1A1A"/>
          <w:sz w:val="18"/>
          <w:szCs w:val="18"/>
        </w:rPr>
        <w:t>Le droit à la santé et à la protection sociale</w:t>
      </w:r>
      <w:r>
        <w:rPr>
          <w:color w:val="595959"/>
          <w:sz w:val="18"/>
          <w:szCs w:val="18"/>
        </w:rPr>
        <w:tab/>
        <w:t>p. 490</w:t>
      </w:r>
    </w:p>
    <w:p w14:paraId="027872D4"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49 — </w:t>
      </w:r>
      <w:r>
        <w:rPr>
          <w:color w:val="1A1A1A"/>
          <w:sz w:val="18"/>
          <w:szCs w:val="18"/>
        </w:rPr>
        <w:t>Le droit à un environnement sain</w:t>
      </w:r>
      <w:r>
        <w:rPr>
          <w:color w:val="595959"/>
          <w:sz w:val="18"/>
          <w:szCs w:val="18"/>
        </w:rPr>
        <w:tab/>
        <w:t>p. 500</w:t>
      </w:r>
    </w:p>
    <w:p w14:paraId="61D9E3FD"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50 — </w:t>
      </w:r>
      <w:r>
        <w:rPr>
          <w:color w:val="1A1A1A"/>
          <w:sz w:val="18"/>
          <w:szCs w:val="18"/>
        </w:rPr>
        <w:t>Le droit au travail</w:t>
      </w:r>
      <w:r>
        <w:rPr>
          <w:color w:val="595959"/>
          <w:sz w:val="18"/>
          <w:szCs w:val="18"/>
        </w:rPr>
        <w:tab/>
        <w:t>p. 509</w:t>
      </w:r>
    </w:p>
    <w:p w14:paraId="7F0C4ADC"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51 — </w:t>
      </w:r>
      <w:r>
        <w:rPr>
          <w:color w:val="1A1A1A"/>
          <w:sz w:val="18"/>
          <w:szCs w:val="18"/>
        </w:rPr>
        <w:t>Le droit au logement</w:t>
      </w:r>
      <w:r>
        <w:rPr>
          <w:color w:val="595959"/>
          <w:sz w:val="18"/>
          <w:szCs w:val="18"/>
        </w:rPr>
        <w:tab/>
        <w:t>p. 518</w:t>
      </w:r>
    </w:p>
    <w:p w14:paraId="15A0C49F"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52 — </w:t>
      </w:r>
      <w:r>
        <w:rPr>
          <w:color w:val="1A1A1A"/>
          <w:sz w:val="18"/>
          <w:szCs w:val="18"/>
        </w:rPr>
        <w:t>Le droit à la culture</w:t>
      </w:r>
      <w:r>
        <w:rPr>
          <w:color w:val="595959"/>
          <w:sz w:val="18"/>
          <w:szCs w:val="18"/>
        </w:rPr>
        <w:tab/>
        <w:t>p. 526</w:t>
      </w:r>
    </w:p>
    <w:p w14:paraId="53A3D46A" w14:textId="77777777" w:rsidR="00DF4DE6" w:rsidRDefault="001B2AC3" w:rsidP="00240AE0">
      <w:pPr>
        <w:tabs>
          <w:tab w:val="right" w:leader="dot" w:pos="8900"/>
        </w:tabs>
        <w:spacing w:after="20" w:line="250" w:lineRule="auto"/>
        <w:ind w:left="260"/>
        <w:jc w:val="both"/>
      </w:pPr>
      <w:r>
        <w:rPr>
          <w:b/>
          <w:bCs/>
          <w:color w:val="1A1A1A"/>
          <w:sz w:val="18"/>
          <w:szCs w:val="18"/>
        </w:rPr>
        <w:lastRenderedPageBreak/>
        <w:t xml:space="preserve">Fiche 53 — </w:t>
      </w:r>
      <w:r>
        <w:rPr>
          <w:color w:val="1A1A1A"/>
          <w:sz w:val="18"/>
          <w:szCs w:val="18"/>
        </w:rPr>
        <w:t>Le droit d’asile</w:t>
      </w:r>
      <w:r>
        <w:rPr>
          <w:color w:val="595959"/>
          <w:sz w:val="18"/>
          <w:szCs w:val="18"/>
        </w:rPr>
        <w:tab/>
        <w:t>p. 536</w:t>
      </w:r>
    </w:p>
    <w:p w14:paraId="4F18B961" w14:textId="77777777" w:rsidR="00DF4DE6" w:rsidRDefault="001B2AC3" w:rsidP="00240AE0">
      <w:pPr>
        <w:spacing w:before="180" w:after="70"/>
        <w:jc w:val="both"/>
      </w:pPr>
      <w:r>
        <w:rPr>
          <w:b/>
          <w:bCs/>
          <w:color w:val="2E5A88"/>
          <w:sz w:val="19"/>
          <w:szCs w:val="19"/>
        </w:rPr>
        <w:t>PARTIE VIII — L'ÉGALITÉ ET LA NON-DISCRIMINATION</w:t>
      </w:r>
    </w:p>
    <w:p w14:paraId="028C9409"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54 — </w:t>
      </w:r>
      <w:r>
        <w:rPr>
          <w:color w:val="1A1A1A"/>
          <w:sz w:val="18"/>
          <w:szCs w:val="18"/>
        </w:rPr>
        <w:t>L’interdiction de la discrimination</w:t>
      </w:r>
      <w:r>
        <w:rPr>
          <w:color w:val="595959"/>
          <w:sz w:val="18"/>
          <w:szCs w:val="18"/>
        </w:rPr>
        <w:tab/>
        <w:t>p. 547</w:t>
      </w:r>
    </w:p>
    <w:p w14:paraId="6617CFEB"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55 — </w:t>
      </w:r>
      <w:r>
        <w:rPr>
          <w:color w:val="1A1A1A"/>
          <w:sz w:val="18"/>
          <w:szCs w:val="18"/>
        </w:rPr>
        <w:t>La prise en compte des vulnérabilités</w:t>
      </w:r>
      <w:r>
        <w:rPr>
          <w:color w:val="595959"/>
          <w:sz w:val="18"/>
          <w:szCs w:val="18"/>
        </w:rPr>
        <w:tab/>
        <w:t>p. 559</w:t>
      </w:r>
    </w:p>
    <w:p w14:paraId="3A90627C" w14:textId="77777777" w:rsidR="00DF4DE6" w:rsidRDefault="001B2AC3" w:rsidP="00240AE0">
      <w:pPr>
        <w:tabs>
          <w:tab w:val="right" w:leader="dot" w:pos="8900"/>
        </w:tabs>
        <w:spacing w:after="20" w:line="250" w:lineRule="auto"/>
        <w:ind w:left="260"/>
        <w:jc w:val="both"/>
      </w:pPr>
      <w:r>
        <w:rPr>
          <w:b/>
          <w:bCs/>
          <w:color w:val="1A1A1A"/>
          <w:sz w:val="18"/>
          <w:szCs w:val="18"/>
        </w:rPr>
        <w:t xml:space="preserve">Fiche 56 — </w:t>
      </w:r>
      <w:r>
        <w:rPr>
          <w:color w:val="1A1A1A"/>
          <w:sz w:val="18"/>
          <w:szCs w:val="18"/>
        </w:rPr>
        <w:t>Les mesures d’inégalité compensatoire</w:t>
      </w:r>
      <w:r>
        <w:rPr>
          <w:color w:val="595959"/>
          <w:sz w:val="18"/>
          <w:szCs w:val="18"/>
        </w:rPr>
        <w:tab/>
        <w:t>p. 571</w:t>
      </w:r>
    </w:p>
    <w:p w14:paraId="501F000B" w14:textId="77777777" w:rsidR="00DF4DE6" w:rsidRDefault="001B2AC3" w:rsidP="00240AE0">
      <w:pPr>
        <w:jc w:val="both"/>
      </w:pPr>
      <w:r>
        <w:br w:type="page"/>
      </w:r>
    </w:p>
    <w:p w14:paraId="50518D65" w14:textId="77777777" w:rsidR="00DF4DE6" w:rsidRDefault="001B2AC3" w:rsidP="00240AE0">
      <w:pPr>
        <w:spacing w:after="40"/>
        <w:jc w:val="both"/>
      </w:pPr>
      <w:r>
        <w:rPr>
          <w:b/>
          <w:bCs/>
          <w:color w:val="2E5A88"/>
          <w:spacing w:val="50"/>
        </w:rPr>
        <w:lastRenderedPageBreak/>
        <w:t>PARTIE I</w:t>
      </w:r>
    </w:p>
    <w:p w14:paraId="63AA4F01" w14:textId="77777777" w:rsidR="00DF4DE6" w:rsidRDefault="001B2AC3" w:rsidP="00240AE0">
      <w:pPr>
        <w:pStyle w:val="Titre1"/>
        <w:pBdr>
          <w:bottom w:val="single" w:sz="10" w:space="0" w:color="C7D2E0"/>
        </w:pBdr>
        <w:spacing w:after="100"/>
        <w:jc w:val="both"/>
      </w:pPr>
      <w:r>
        <w:rPr>
          <w:rFonts w:ascii="Cambria" w:eastAsia="Cambria" w:hAnsi="Cambria" w:cs="Cambria"/>
          <w:b/>
          <w:bCs/>
          <w:color w:val="1F3864"/>
          <w:sz w:val="34"/>
          <w:szCs w:val="34"/>
        </w:rPr>
        <w:t>Éléments introductifs</w:t>
      </w:r>
    </w:p>
    <w:p w14:paraId="17A5C81C" w14:textId="77777777" w:rsidR="00DF4DE6" w:rsidRDefault="001B2AC3" w:rsidP="00240AE0">
      <w:pPr>
        <w:spacing w:before="60" w:after="160"/>
        <w:jc w:val="both"/>
      </w:pPr>
      <w:r>
        <w:rPr>
          <w:i/>
          <w:iCs/>
          <w:color w:val="595959"/>
          <w:sz w:val="18"/>
          <w:szCs w:val="18"/>
        </w:rPr>
        <w:t xml:space="preserve">Fiches 1 à </w:t>
      </w:r>
      <w:proofErr w:type="gramStart"/>
      <w:r>
        <w:rPr>
          <w:i/>
          <w:iCs/>
          <w:color w:val="595959"/>
          <w:sz w:val="18"/>
          <w:szCs w:val="18"/>
        </w:rPr>
        <w:t>8  ·</w:t>
      </w:r>
      <w:proofErr w:type="gramEnd"/>
      <w:r>
        <w:rPr>
          <w:i/>
          <w:iCs/>
          <w:color w:val="595959"/>
          <w:sz w:val="18"/>
          <w:szCs w:val="18"/>
        </w:rPr>
        <w:t xml:space="preserve">  pages 4 à 81 du fascicule</w:t>
      </w:r>
    </w:p>
    <w:p w14:paraId="4DFA9F7B" w14:textId="77777777" w:rsidR="00DF4DE6" w:rsidRDefault="001B2AC3" w:rsidP="00240AE0">
      <w:pPr>
        <w:spacing w:after="200" w:line="276" w:lineRule="auto"/>
        <w:jc w:val="both"/>
      </w:pPr>
      <w:r>
        <w:t>La partie installe l'outillage. Les fiches 1 à 5 donnent le vocabulaire (notions), la double généalogie (philosophique puis textuelle), les grilles de rangement (classifications) et les principes transversaux (inaliénabilité, universalité, indivisibilité, dignité). Les fiches 6 et 7 donnent la mécanique : comment une liberté s'exerce en temps normal (régimes répressif, préventif, déclaratif) et comment elle se restreint en temps de crise (états d'exception). La fiche 8 ferme la partie sur l'état du débat contemporain : la crise de l'État de droit. C'est la partie la plus rentable pour construire des introductions et des problématiques.</w:t>
      </w:r>
    </w:p>
    <w:p w14:paraId="22C50C33" w14:textId="77777777" w:rsidR="00DF4DE6" w:rsidRDefault="001B2AC3" w:rsidP="00240AE0">
      <w:pPr>
        <w:pStyle w:val="Titre2"/>
        <w:spacing w:before="120" w:after="30"/>
        <w:jc w:val="both"/>
      </w:pPr>
      <w:r>
        <w:rPr>
          <w:b/>
          <w:bCs/>
          <w:color w:val="2E5A88"/>
          <w:sz w:val="22"/>
          <w:szCs w:val="22"/>
        </w:rPr>
        <w:t xml:space="preserve">Fiche </w:t>
      </w:r>
      <w:proofErr w:type="gramStart"/>
      <w:r>
        <w:rPr>
          <w:b/>
          <w:bCs/>
          <w:color w:val="2E5A88"/>
          <w:sz w:val="22"/>
          <w:szCs w:val="22"/>
        </w:rPr>
        <w:t>1  ·</w:t>
      </w:r>
      <w:proofErr w:type="gramEnd"/>
      <w:r>
        <w:rPr>
          <w:b/>
          <w:bCs/>
          <w:color w:val="2E5A88"/>
          <w:sz w:val="22"/>
          <w:szCs w:val="22"/>
        </w:rPr>
        <w:t xml:space="preserve">  </w:t>
      </w:r>
      <w:r>
        <w:rPr>
          <w:rFonts w:ascii="Cambria" w:eastAsia="Cambria" w:hAnsi="Cambria" w:cs="Cambria"/>
          <w:b/>
          <w:bCs/>
          <w:color w:val="1F3864"/>
        </w:rPr>
        <w:t>Les notions</w:t>
      </w:r>
    </w:p>
    <w:p w14:paraId="7C71C42F" w14:textId="77777777" w:rsidR="00DF4DE6" w:rsidRDefault="001B2AC3" w:rsidP="00240AE0">
      <w:pPr>
        <w:spacing w:after="120"/>
        <w:jc w:val="both"/>
      </w:pPr>
      <w:r>
        <w:rPr>
          <w:i/>
          <w:iCs/>
          <w:color w:val="595959"/>
          <w:sz w:val="17"/>
          <w:szCs w:val="17"/>
        </w:rPr>
        <w:t>Fascicule, p. 5</w:t>
      </w:r>
    </w:p>
    <w:p w14:paraId="3380401A" w14:textId="77777777" w:rsidR="00DF4DE6" w:rsidRDefault="001B2AC3" w:rsidP="00240AE0">
      <w:pPr>
        <w:spacing w:before="200" w:after="70"/>
        <w:jc w:val="both"/>
      </w:pPr>
      <w:r>
        <w:rPr>
          <w:b/>
          <w:bCs/>
          <w:color w:val="2E5A88"/>
          <w:spacing w:val="24"/>
          <w:sz w:val="17"/>
          <w:szCs w:val="17"/>
        </w:rPr>
        <w:t>IDÉE DIRECTRICE</w:t>
      </w:r>
    </w:p>
    <w:p w14:paraId="5A27F70A" w14:textId="77777777" w:rsidR="00DF4DE6" w:rsidRDefault="001B2AC3" w:rsidP="00240AE0">
      <w:pPr>
        <w:spacing w:after="60" w:line="276" w:lineRule="auto"/>
        <w:jc w:val="both"/>
      </w:pPr>
      <w:r>
        <w:t xml:space="preserve">Fiche de vocabulaire. Elle montre que « libertés publiques », « droits de l'homme », « droits fondamentaux » et « droits humains » ne se recouvrent pas, et que toute définition suppose un choix : approche formelle (est fondamental ce qui figure dans un texte supra-législatif) ou approche substantielle (est fondamental ce qui touche à un ordre de valeurs, indépendamment du support textuel). Elle installe ensuite les deux mouvements de fond du cours : la subjectivisation des rapports juridiques (liberté + dignité) et la fondamentalisation (montée des sources supra-législatives). Elle se termine sur les débats ouverts : universalité inclusive, </w:t>
      </w:r>
      <w:proofErr w:type="spellStart"/>
      <w:r>
        <w:t>neurodroits</w:t>
      </w:r>
      <w:proofErr w:type="spellEnd"/>
      <w:r>
        <w:t>, bénéficiaires non humains.</w:t>
      </w:r>
    </w:p>
    <w:p w14:paraId="4A3D336B" w14:textId="77777777" w:rsidR="00DF4DE6" w:rsidRDefault="001B2AC3" w:rsidP="00240AE0">
      <w:pPr>
        <w:spacing w:before="200" w:after="70"/>
        <w:jc w:val="both"/>
      </w:pPr>
      <w:r>
        <w:rPr>
          <w:b/>
          <w:bCs/>
          <w:color w:val="2E5A88"/>
          <w:spacing w:val="24"/>
          <w:sz w:val="17"/>
          <w:szCs w:val="17"/>
        </w:rPr>
        <w:t>POINTS CLÉS (ENCADRÉ DU FASCICULE)</w:t>
      </w:r>
    </w:p>
    <w:p w14:paraId="28EA6238" w14:textId="77777777" w:rsidR="00DF4DE6" w:rsidRDefault="001B2AC3" w:rsidP="00240AE0">
      <w:pPr>
        <w:pStyle w:val="Paragraphedeliste"/>
        <w:numPr>
          <w:ilvl w:val="0"/>
          <w:numId w:val="2"/>
        </w:numPr>
        <w:spacing w:after="40" w:line="264" w:lineRule="auto"/>
        <w:jc w:val="both"/>
      </w:pPr>
      <w:r>
        <w:rPr>
          <w:color w:val="1A1A1A"/>
          <w:sz w:val="19"/>
          <w:szCs w:val="19"/>
        </w:rPr>
        <w:t>Des notions imprécises et une terminologie variée à l’origine du droit des libertés.</w:t>
      </w:r>
    </w:p>
    <w:p w14:paraId="42C6C9B9" w14:textId="77777777" w:rsidR="00DF4DE6" w:rsidRDefault="001B2AC3" w:rsidP="00240AE0">
      <w:pPr>
        <w:pStyle w:val="Paragraphedeliste"/>
        <w:numPr>
          <w:ilvl w:val="0"/>
          <w:numId w:val="2"/>
        </w:numPr>
        <w:spacing w:after="40" w:line="264" w:lineRule="auto"/>
        <w:jc w:val="both"/>
      </w:pPr>
      <w:r>
        <w:rPr>
          <w:color w:val="1A1A1A"/>
          <w:sz w:val="19"/>
          <w:szCs w:val="19"/>
        </w:rPr>
        <w:t>Des libertés publiques définies dans la Constitution et le droit international.</w:t>
      </w:r>
    </w:p>
    <w:p w14:paraId="5F358DB4" w14:textId="77777777" w:rsidR="00DF4DE6" w:rsidRDefault="001B2AC3" w:rsidP="00240AE0">
      <w:pPr>
        <w:pStyle w:val="Paragraphedeliste"/>
        <w:numPr>
          <w:ilvl w:val="0"/>
          <w:numId w:val="2"/>
        </w:numPr>
        <w:spacing w:after="40" w:line="264" w:lineRule="auto"/>
        <w:jc w:val="both"/>
      </w:pPr>
      <w:r>
        <w:rPr>
          <w:color w:val="1A1A1A"/>
          <w:sz w:val="19"/>
          <w:szCs w:val="19"/>
        </w:rPr>
        <w:t>Consécration dans des instruments nationaux, régionaux et internationaux.</w:t>
      </w:r>
    </w:p>
    <w:p w14:paraId="248A27E1" w14:textId="77777777" w:rsidR="00DF4DE6" w:rsidRDefault="001B2AC3" w:rsidP="00240AE0">
      <w:pPr>
        <w:pStyle w:val="Paragraphedeliste"/>
        <w:numPr>
          <w:ilvl w:val="0"/>
          <w:numId w:val="2"/>
        </w:numPr>
        <w:spacing w:after="40" w:line="264" w:lineRule="auto"/>
        <w:jc w:val="both"/>
      </w:pPr>
      <w:r>
        <w:rPr>
          <w:color w:val="1A1A1A"/>
          <w:sz w:val="19"/>
          <w:szCs w:val="19"/>
        </w:rPr>
        <w:t>Rôle du législateur et des juges administratif et judiciaire dans le droit des libertés.</w:t>
      </w:r>
    </w:p>
    <w:p w14:paraId="6328B562" w14:textId="77777777" w:rsidR="00DF4DE6" w:rsidRDefault="001B2AC3" w:rsidP="00240AE0">
      <w:pPr>
        <w:pStyle w:val="Paragraphedeliste"/>
        <w:numPr>
          <w:ilvl w:val="0"/>
          <w:numId w:val="2"/>
        </w:numPr>
        <w:spacing w:after="40" w:line="264" w:lineRule="auto"/>
        <w:jc w:val="both"/>
      </w:pPr>
      <w:r>
        <w:rPr>
          <w:color w:val="1A1A1A"/>
          <w:sz w:val="19"/>
          <w:szCs w:val="19"/>
        </w:rPr>
        <w:t>Les évolutions attachées aux droits et libertés fondamentaux.</w:t>
      </w:r>
    </w:p>
    <w:p w14:paraId="2BC357DB" w14:textId="77777777" w:rsidR="00DF4DE6" w:rsidRDefault="001B2AC3" w:rsidP="00240AE0">
      <w:pPr>
        <w:pStyle w:val="Paragraphedeliste"/>
        <w:numPr>
          <w:ilvl w:val="0"/>
          <w:numId w:val="2"/>
        </w:numPr>
        <w:spacing w:after="40" w:line="264" w:lineRule="auto"/>
        <w:jc w:val="both"/>
      </w:pPr>
      <w:r>
        <w:rPr>
          <w:color w:val="1A1A1A"/>
          <w:sz w:val="19"/>
          <w:szCs w:val="19"/>
        </w:rPr>
        <w:t>La question du titulaire des droits et libertés : la personne humaine.</w:t>
      </w:r>
    </w:p>
    <w:p w14:paraId="000E2B94" w14:textId="77777777" w:rsidR="00DF4DE6" w:rsidRDefault="001B2AC3" w:rsidP="00240AE0">
      <w:pPr>
        <w:pStyle w:val="Paragraphedeliste"/>
        <w:numPr>
          <w:ilvl w:val="0"/>
          <w:numId w:val="2"/>
        </w:numPr>
        <w:spacing w:after="40" w:line="264" w:lineRule="auto"/>
        <w:jc w:val="both"/>
      </w:pPr>
      <w:r>
        <w:rPr>
          <w:color w:val="1A1A1A"/>
          <w:sz w:val="19"/>
          <w:szCs w:val="19"/>
        </w:rPr>
        <w:t>L’obsolescence et l’insuffisance de l’expression « droits de l’homme ».</w:t>
      </w:r>
    </w:p>
    <w:p w14:paraId="3AAA7707" w14:textId="77777777" w:rsidR="00DF4DE6" w:rsidRDefault="001B2AC3" w:rsidP="00240AE0">
      <w:pPr>
        <w:pStyle w:val="Paragraphedeliste"/>
        <w:numPr>
          <w:ilvl w:val="0"/>
          <w:numId w:val="2"/>
        </w:numPr>
        <w:spacing w:after="40" w:line="264" w:lineRule="auto"/>
        <w:jc w:val="both"/>
      </w:pPr>
      <w:r>
        <w:rPr>
          <w:color w:val="1A1A1A"/>
          <w:sz w:val="19"/>
          <w:szCs w:val="19"/>
        </w:rPr>
        <w:t>L’approche dynamique des droits humains pour une universalité effective.</w:t>
      </w:r>
    </w:p>
    <w:p w14:paraId="38A50C1B" w14:textId="77777777" w:rsidR="00DF4DE6" w:rsidRDefault="001B2AC3" w:rsidP="00240AE0">
      <w:pPr>
        <w:spacing w:before="200" w:after="70"/>
        <w:jc w:val="both"/>
      </w:pPr>
      <w:r>
        <w:rPr>
          <w:b/>
          <w:bCs/>
          <w:color w:val="2E5A88"/>
          <w:spacing w:val="24"/>
          <w:sz w:val="17"/>
          <w:szCs w:val="17"/>
        </w:rPr>
        <w:t>PLAN DE LA FICHE</w:t>
      </w:r>
    </w:p>
    <w:p w14:paraId="2ECE30A4" w14:textId="77777777" w:rsidR="00DF4DE6" w:rsidRDefault="001B2AC3" w:rsidP="00240AE0">
      <w:pPr>
        <w:spacing w:after="20" w:line="250" w:lineRule="auto"/>
        <w:ind w:left="240"/>
        <w:jc w:val="both"/>
      </w:pPr>
      <w:r>
        <w:rPr>
          <w:b/>
          <w:bCs/>
          <w:color w:val="1F3864"/>
          <w:sz w:val="19"/>
          <w:szCs w:val="19"/>
        </w:rPr>
        <w:t>1. Prolégomènes historiques</w:t>
      </w:r>
    </w:p>
    <w:p w14:paraId="372CCC56" w14:textId="77777777" w:rsidR="00DF4DE6" w:rsidRDefault="001B2AC3" w:rsidP="00240AE0">
      <w:pPr>
        <w:spacing w:after="20" w:line="250" w:lineRule="auto"/>
        <w:ind w:left="500"/>
        <w:jc w:val="both"/>
      </w:pPr>
      <w:r>
        <w:rPr>
          <w:color w:val="333333"/>
          <w:sz w:val="18"/>
          <w:szCs w:val="18"/>
        </w:rPr>
        <w:t>1.1. Les notions de liberté et de dignité au fondement des droits de la personne humaine : la subjectivisation des rapports juridiques</w:t>
      </w:r>
    </w:p>
    <w:p w14:paraId="4CA7C107" w14:textId="77777777" w:rsidR="00DF4DE6" w:rsidRDefault="001B2AC3" w:rsidP="00240AE0">
      <w:pPr>
        <w:spacing w:after="20" w:line="250" w:lineRule="auto"/>
        <w:ind w:left="500"/>
        <w:jc w:val="both"/>
      </w:pPr>
      <w:r>
        <w:rPr>
          <w:color w:val="333333"/>
          <w:sz w:val="18"/>
          <w:szCs w:val="18"/>
        </w:rPr>
        <w:t>1.2. L’École moderne du droit naturel et les doctrines du contrat social à l’origine de la conception moderne des droits de l’homme</w:t>
      </w:r>
    </w:p>
    <w:p w14:paraId="5AA515D0" w14:textId="77777777" w:rsidR="00DF4DE6" w:rsidRDefault="001B2AC3" w:rsidP="00240AE0">
      <w:pPr>
        <w:spacing w:after="20" w:line="250" w:lineRule="auto"/>
        <w:ind w:left="760"/>
        <w:jc w:val="both"/>
      </w:pPr>
      <w:r>
        <w:rPr>
          <w:color w:val="595959"/>
          <w:sz w:val="18"/>
          <w:szCs w:val="18"/>
        </w:rPr>
        <w:t>1.2.1. Le Jusnaturalisme</w:t>
      </w:r>
    </w:p>
    <w:p w14:paraId="0A42B876" w14:textId="77777777" w:rsidR="00DF4DE6" w:rsidRDefault="001B2AC3" w:rsidP="00240AE0">
      <w:pPr>
        <w:spacing w:after="20" w:line="250" w:lineRule="auto"/>
        <w:ind w:left="760"/>
        <w:jc w:val="both"/>
      </w:pPr>
      <w:r>
        <w:rPr>
          <w:color w:val="595959"/>
          <w:sz w:val="18"/>
          <w:szCs w:val="18"/>
        </w:rPr>
        <w:t>1.2.2. Le Contrat social</w:t>
      </w:r>
    </w:p>
    <w:p w14:paraId="3CAB4FEC" w14:textId="77777777" w:rsidR="00DF4DE6" w:rsidRDefault="001B2AC3" w:rsidP="00240AE0">
      <w:pPr>
        <w:spacing w:after="20" w:line="250" w:lineRule="auto"/>
        <w:ind w:left="500"/>
        <w:jc w:val="both"/>
      </w:pPr>
      <w:r>
        <w:rPr>
          <w:color w:val="333333"/>
          <w:sz w:val="18"/>
          <w:szCs w:val="18"/>
        </w:rPr>
        <w:t>1.3. Les enjeux juridiques de l’invisibilisation linguistique des femmes</w:t>
      </w:r>
    </w:p>
    <w:p w14:paraId="1325EE66" w14:textId="77777777" w:rsidR="00DF4DE6" w:rsidRDefault="001B2AC3" w:rsidP="00240AE0">
      <w:pPr>
        <w:spacing w:after="20" w:line="250" w:lineRule="auto"/>
        <w:ind w:left="240"/>
        <w:jc w:val="both"/>
      </w:pPr>
      <w:r>
        <w:rPr>
          <w:b/>
          <w:bCs/>
          <w:color w:val="1F3864"/>
          <w:sz w:val="19"/>
          <w:szCs w:val="19"/>
        </w:rPr>
        <w:t>2. La fondamentalisation des droits et libertés : l’importance croissante des sources supra-législatives</w:t>
      </w:r>
    </w:p>
    <w:p w14:paraId="3137747B" w14:textId="77777777" w:rsidR="00DF4DE6" w:rsidRDefault="001B2AC3" w:rsidP="00240AE0">
      <w:pPr>
        <w:spacing w:after="20" w:line="250" w:lineRule="auto"/>
        <w:ind w:left="500"/>
        <w:jc w:val="both"/>
      </w:pPr>
      <w:r>
        <w:rPr>
          <w:color w:val="333333"/>
          <w:sz w:val="18"/>
          <w:szCs w:val="18"/>
        </w:rPr>
        <w:t>2.2. Les sources constitutionnelles</w:t>
      </w:r>
    </w:p>
    <w:p w14:paraId="377C59B7" w14:textId="77777777" w:rsidR="00DF4DE6" w:rsidRDefault="001B2AC3" w:rsidP="00240AE0">
      <w:pPr>
        <w:spacing w:after="20" w:line="250" w:lineRule="auto"/>
        <w:ind w:left="500"/>
        <w:jc w:val="both"/>
      </w:pPr>
      <w:r>
        <w:rPr>
          <w:color w:val="333333"/>
          <w:sz w:val="18"/>
          <w:szCs w:val="18"/>
        </w:rPr>
        <w:t>2.1. La fascination de la doctrine française pour le modèle allemand</w:t>
      </w:r>
    </w:p>
    <w:p w14:paraId="388AA2D0" w14:textId="77777777" w:rsidR="00DF4DE6" w:rsidRDefault="001B2AC3" w:rsidP="00240AE0">
      <w:pPr>
        <w:spacing w:after="20" w:line="250" w:lineRule="auto"/>
        <w:ind w:left="760"/>
        <w:jc w:val="both"/>
      </w:pPr>
      <w:r>
        <w:rPr>
          <w:color w:val="595959"/>
          <w:sz w:val="18"/>
          <w:szCs w:val="18"/>
        </w:rPr>
        <w:t>2.1.1. La construction incertaine du droit positif français</w:t>
      </w:r>
    </w:p>
    <w:p w14:paraId="3994DD87" w14:textId="77777777" w:rsidR="00DF4DE6" w:rsidRDefault="001B2AC3" w:rsidP="00240AE0">
      <w:pPr>
        <w:spacing w:after="20" w:line="250" w:lineRule="auto"/>
        <w:ind w:left="760"/>
        <w:jc w:val="both"/>
      </w:pPr>
      <w:r>
        <w:rPr>
          <w:color w:val="595959"/>
          <w:sz w:val="18"/>
          <w:szCs w:val="18"/>
        </w:rPr>
        <w:t>2.1.2. Les droits fondamentaux sous l’angle de l’Union européenne</w:t>
      </w:r>
    </w:p>
    <w:p w14:paraId="1F036753" w14:textId="77777777" w:rsidR="00DF4DE6" w:rsidRDefault="001B2AC3" w:rsidP="00240AE0">
      <w:pPr>
        <w:spacing w:after="20" w:line="250" w:lineRule="auto"/>
        <w:ind w:left="500"/>
        <w:jc w:val="both"/>
      </w:pPr>
      <w:r>
        <w:rPr>
          <w:color w:val="333333"/>
          <w:sz w:val="18"/>
          <w:szCs w:val="18"/>
        </w:rPr>
        <w:t>2.3. Les sources conventionnelles</w:t>
      </w:r>
    </w:p>
    <w:p w14:paraId="609FA87A" w14:textId="77777777" w:rsidR="00DF4DE6" w:rsidRDefault="001B2AC3" w:rsidP="00240AE0">
      <w:pPr>
        <w:spacing w:after="20" w:line="250" w:lineRule="auto"/>
        <w:ind w:left="240"/>
        <w:jc w:val="both"/>
      </w:pPr>
      <w:r>
        <w:rPr>
          <w:b/>
          <w:bCs/>
          <w:color w:val="1F3864"/>
          <w:sz w:val="19"/>
          <w:szCs w:val="19"/>
        </w:rPr>
        <w:t>3. Les débats contemporains autour de la notion de droits humains</w:t>
      </w:r>
    </w:p>
    <w:p w14:paraId="680F3B8A" w14:textId="77777777" w:rsidR="00DF4DE6" w:rsidRDefault="001B2AC3" w:rsidP="00240AE0">
      <w:pPr>
        <w:spacing w:after="20" w:line="250" w:lineRule="auto"/>
        <w:ind w:left="500"/>
        <w:jc w:val="both"/>
      </w:pPr>
      <w:r>
        <w:rPr>
          <w:color w:val="333333"/>
          <w:sz w:val="18"/>
          <w:szCs w:val="18"/>
        </w:rPr>
        <w:t>3.1. Glissements terminologiques et évolution sémantique : vers une universalité inclusive</w:t>
      </w:r>
    </w:p>
    <w:p w14:paraId="2B6C1A90" w14:textId="77777777" w:rsidR="00DF4DE6" w:rsidRDefault="001B2AC3" w:rsidP="00240AE0">
      <w:pPr>
        <w:spacing w:after="20" w:line="250" w:lineRule="auto"/>
        <w:ind w:left="500"/>
        <w:jc w:val="both"/>
      </w:pPr>
      <w:r>
        <w:rPr>
          <w:color w:val="333333"/>
          <w:sz w:val="18"/>
          <w:szCs w:val="18"/>
        </w:rPr>
        <w:t xml:space="preserve">3.2. Les libertés de la personne humaine à l’ère du numérique : vers des </w:t>
      </w:r>
      <w:proofErr w:type="spellStart"/>
      <w:r>
        <w:rPr>
          <w:color w:val="333333"/>
          <w:sz w:val="18"/>
          <w:szCs w:val="18"/>
        </w:rPr>
        <w:t>neurodroits</w:t>
      </w:r>
      <w:proofErr w:type="spellEnd"/>
      <w:r>
        <w:rPr>
          <w:color w:val="333333"/>
          <w:sz w:val="18"/>
          <w:szCs w:val="18"/>
        </w:rPr>
        <w:t xml:space="preserve"> humains</w:t>
      </w:r>
    </w:p>
    <w:p w14:paraId="6D43E2B2" w14:textId="77777777" w:rsidR="00DF4DE6" w:rsidRDefault="001B2AC3" w:rsidP="00240AE0">
      <w:pPr>
        <w:spacing w:after="20" w:line="250" w:lineRule="auto"/>
        <w:ind w:left="500"/>
        <w:jc w:val="both"/>
      </w:pPr>
      <w:r>
        <w:rPr>
          <w:color w:val="333333"/>
          <w:sz w:val="18"/>
          <w:szCs w:val="18"/>
        </w:rPr>
        <w:t>3.3. L’élargissement potentiel du cercle des bénéficiaires : la prise en compte juridique des « non-humains »</w:t>
      </w:r>
    </w:p>
    <w:p w14:paraId="605CC571" w14:textId="77777777" w:rsidR="00DF4DE6" w:rsidRDefault="001B2AC3" w:rsidP="00240AE0">
      <w:pPr>
        <w:spacing w:before="200" w:after="70"/>
        <w:jc w:val="both"/>
      </w:pPr>
      <w:r>
        <w:rPr>
          <w:b/>
          <w:bCs/>
          <w:color w:val="2E5A88"/>
          <w:spacing w:val="24"/>
          <w:sz w:val="17"/>
          <w:szCs w:val="17"/>
        </w:rPr>
        <w:t>RÉFÉRENCES CENTRALES</w:t>
      </w:r>
    </w:p>
    <w:p w14:paraId="620F66C7" w14:textId="77777777" w:rsidR="00DF4DE6" w:rsidRDefault="001B2AC3" w:rsidP="00240AE0">
      <w:pPr>
        <w:pStyle w:val="Paragraphedeliste"/>
        <w:numPr>
          <w:ilvl w:val="0"/>
          <w:numId w:val="2"/>
        </w:numPr>
        <w:spacing w:after="40" w:line="264" w:lineRule="auto"/>
        <w:jc w:val="both"/>
      </w:pPr>
      <w:r>
        <w:rPr>
          <w:color w:val="333333"/>
          <w:sz w:val="18"/>
          <w:szCs w:val="18"/>
        </w:rPr>
        <w:lastRenderedPageBreak/>
        <w:t xml:space="preserve">Cons. </w:t>
      </w:r>
      <w:proofErr w:type="spellStart"/>
      <w:proofErr w:type="gramStart"/>
      <w:r>
        <w:rPr>
          <w:color w:val="333333"/>
          <w:sz w:val="18"/>
          <w:szCs w:val="18"/>
        </w:rPr>
        <w:t>const</w:t>
      </w:r>
      <w:proofErr w:type="spellEnd"/>
      <w:proofErr w:type="gramEnd"/>
      <w:r>
        <w:rPr>
          <w:color w:val="333333"/>
          <w:sz w:val="18"/>
          <w:szCs w:val="18"/>
        </w:rPr>
        <w:t>., déc. no 71-44 DC, 16 juillet 1971.</w:t>
      </w:r>
    </w:p>
    <w:p w14:paraId="03E6BB43" w14:textId="77777777" w:rsidR="00DF4DE6" w:rsidRDefault="001B2AC3" w:rsidP="00240AE0">
      <w:pPr>
        <w:pStyle w:val="Paragraphedeliste"/>
        <w:numPr>
          <w:ilvl w:val="0"/>
          <w:numId w:val="2"/>
        </w:numPr>
        <w:spacing w:after="40" w:line="264" w:lineRule="auto"/>
        <w:jc w:val="both"/>
      </w:pPr>
      <w:r>
        <w:rPr>
          <w:color w:val="333333"/>
          <w:sz w:val="18"/>
          <w:szCs w:val="18"/>
        </w:rPr>
        <w:t>Loi constitutionnelle no 74-904 du 29 octobre 1974.</w:t>
      </w:r>
    </w:p>
    <w:p w14:paraId="45AA9A15"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74-54 DC, 15 janvier 1975.</w:t>
      </w:r>
    </w:p>
    <w:p w14:paraId="3CE5FFEE" w14:textId="77777777" w:rsidR="00DF4DE6" w:rsidRDefault="001B2AC3" w:rsidP="00240AE0">
      <w:pPr>
        <w:pStyle w:val="Paragraphedeliste"/>
        <w:numPr>
          <w:ilvl w:val="0"/>
          <w:numId w:val="2"/>
        </w:numPr>
        <w:spacing w:after="40" w:line="264" w:lineRule="auto"/>
        <w:jc w:val="both"/>
      </w:pPr>
      <w:r>
        <w:rPr>
          <w:color w:val="333333"/>
          <w:sz w:val="18"/>
          <w:szCs w:val="18"/>
        </w:rPr>
        <w:t>CE, Assemblée, 30 octobre 1998, Sarran et Levacher.</w:t>
      </w:r>
    </w:p>
    <w:p w14:paraId="5E98214E" w14:textId="77777777" w:rsidR="00DF4DE6" w:rsidRDefault="001B2AC3" w:rsidP="00240AE0">
      <w:pPr>
        <w:pStyle w:val="Paragraphedeliste"/>
        <w:numPr>
          <w:ilvl w:val="0"/>
          <w:numId w:val="2"/>
        </w:numPr>
        <w:spacing w:after="40" w:line="264" w:lineRule="auto"/>
        <w:jc w:val="both"/>
      </w:pPr>
      <w:r>
        <w:rPr>
          <w:color w:val="333333"/>
          <w:sz w:val="18"/>
          <w:szCs w:val="18"/>
        </w:rPr>
        <w:t>Cour de cassation, Assemblée plénière, 2 juin 2000.</w:t>
      </w:r>
    </w:p>
    <w:p w14:paraId="0D4290FE" w14:textId="77777777" w:rsidR="00DF4DE6" w:rsidRDefault="001B2AC3" w:rsidP="00240AE0">
      <w:pPr>
        <w:pStyle w:val="Paragraphedeliste"/>
        <w:numPr>
          <w:ilvl w:val="0"/>
          <w:numId w:val="2"/>
        </w:numPr>
        <w:spacing w:after="40" w:line="264" w:lineRule="auto"/>
        <w:jc w:val="both"/>
      </w:pPr>
      <w:r>
        <w:rPr>
          <w:color w:val="333333"/>
          <w:sz w:val="18"/>
          <w:szCs w:val="18"/>
        </w:rPr>
        <w:t>Loi constitutionnelle no 2008-724 du 23 juillet 2008.</w:t>
      </w:r>
    </w:p>
    <w:p w14:paraId="4DC12A14"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décision no 2017-750 DC, 23 mars 2017.</w:t>
      </w:r>
    </w:p>
    <w:p w14:paraId="067817E3" w14:textId="77777777" w:rsidR="00DF4DE6" w:rsidRDefault="00DF4DE6" w:rsidP="00240AE0">
      <w:pPr>
        <w:pBdr>
          <w:top w:val="single" w:sz="6" w:space="0" w:color="C7D2E0"/>
        </w:pBdr>
        <w:spacing w:before="260" w:after="180"/>
        <w:jc w:val="both"/>
      </w:pPr>
    </w:p>
    <w:p w14:paraId="4839120B"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2  ·</w:t>
      </w:r>
      <w:proofErr w:type="gramEnd"/>
      <w:r>
        <w:rPr>
          <w:b/>
          <w:bCs/>
          <w:color w:val="2E5A88"/>
          <w:sz w:val="22"/>
          <w:szCs w:val="22"/>
        </w:rPr>
        <w:t xml:space="preserve">  </w:t>
      </w:r>
      <w:r>
        <w:rPr>
          <w:rFonts w:ascii="Cambria" w:eastAsia="Cambria" w:hAnsi="Cambria" w:cs="Cambria"/>
          <w:b/>
          <w:bCs/>
          <w:color w:val="1F3864"/>
        </w:rPr>
        <w:t>Les origines philosophiques et religieuses</w:t>
      </w:r>
    </w:p>
    <w:p w14:paraId="5075FAC6" w14:textId="77777777" w:rsidR="00DF4DE6" w:rsidRDefault="001B2AC3" w:rsidP="00240AE0">
      <w:pPr>
        <w:spacing w:after="120"/>
        <w:jc w:val="both"/>
      </w:pPr>
      <w:r>
        <w:rPr>
          <w:i/>
          <w:iCs/>
          <w:color w:val="595959"/>
          <w:sz w:val="17"/>
          <w:szCs w:val="17"/>
        </w:rPr>
        <w:t>Fascicule, p. 17</w:t>
      </w:r>
    </w:p>
    <w:p w14:paraId="59226268" w14:textId="77777777" w:rsidR="00DF4DE6" w:rsidRDefault="001B2AC3" w:rsidP="00240AE0">
      <w:pPr>
        <w:spacing w:before="200" w:after="70"/>
        <w:jc w:val="both"/>
      </w:pPr>
      <w:r>
        <w:rPr>
          <w:b/>
          <w:bCs/>
          <w:color w:val="2E5A88"/>
          <w:spacing w:val="24"/>
          <w:sz w:val="17"/>
          <w:szCs w:val="17"/>
        </w:rPr>
        <w:t>IDÉE DIRECTRICE</w:t>
      </w:r>
    </w:p>
    <w:p w14:paraId="17261FE0" w14:textId="77777777" w:rsidR="00DF4DE6" w:rsidRDefault="001B2AC3" w:rsidP="00240AE0">
      <w:pPr>
        <w:spacing w:after="60" w:line="276" w:lineRule="auto"/>
        <w:jc w:val="both"/>
      </w:pPr>
      <w:r>
        <w:t>Généalogie philosophique, présentée explicitement comme non linéaire et impossible à dater. Le fil : Antiquité (Hammourabi, Cyrus, Grèce, stoïcisme) → christianisme (individualisme, séparation du spirituel et du temporel, mais aussi obstacles) → XVIe-XVIIe (droit naturel, contrat social) → Lumières et 1789 → critiques du XIXe (marxiste, socialiste) → XXe (féminisme, protection du vivant).</w:t>
      </w:r>
    </w:p>
    <w:p w14:paraId="2CA1A406" w14:textId="77777777" w:rsidR="00DF4DE6" w:rsidRDefault="001B2AC3" w:rsidP="00240AE0">
      <w:pPr>
        <w:spacing w:before="200" w:after="70"/>
        <w:jc w:val="both"/>
      </w:pPr>
      <w:r>
        <w:rPr>
          <w:b/>
          <w:bCs/>
          <w:color w:val="2E5A88"/>
          <w:spacing w:val="24"/>
          <w:sz w:val="17"/>
          <w:szCs w:val="17"/>
        </w:rPr>
        <w:t>POINTS CLÉS (ENCADRÉ DU FASCICULE)</w:t>
      </w:r>
    </w:p>
    <w:p w14:paraId="501E573D" w14:textId="77777777" w:rsidR="00DF4DE6" w:rsidRDefault="001B2AC3" w:rsidP="00240AE0">
      <w:pPr>
        <w:pStyle w:val="Paragraphedeliste"/>
        <w:numPr>
          <w:ilvl w:val="0"/>
          <w:numId w:val="2"/>
        </w:numPr>
        <w:spacing w:after="40" w:line="264" w:lineRule="auto"/>
        <w:jc w:val="both"/>
      </w:pPr>
      <w:r>
        <w:rPr>
          <w:color w:val="1A1A1A"/>
          <w:sz w:val="19"/>
          <w:szCs w:val="19"/>
        </w:rPr>
        <w:t>L’évolution des origines philosophiques et religieuses des libertés n’est pas linéaire.</w:t>
      </w:r>
    </w:p>
    <w:p w14:paraId="3705AFEE" w14:textId="77777777" w:rsidR="00DF4DE6" w:rsidRDefault="001B2AC3" w:rsidP="00240AE0">
      <w:pPr>
        <w:pStyle w:val="Paragraphedeliste"/>
        <w:numPr>
          <w:ilvl w:val="0"/>
          <w:numId w:val="2"/>
        </w:numPr>
        <w:spacing w:after="40" w:line="264" w:lineRule="auto"/>
        <w:jc w:val="both"/>
      </w:pPr>
      <w:r>
        <w:rPr>
          <w:color w:val="1A1A1A"/>
          <w:sz w:val="19"/>
          <w:szCs w:val="19"/>
        </w:rPr>
        <w:t>Il est difficile de dater précisément les origines des libertés publiques.</w:t>
      </w:r>
    </w:p>
    <w:p w14:paraId="703AFF18" w14:textId="77777777" w:rsidR="00DF4DE6" w:rsidRDefault="001B2AC3" w:rsidP="00240AE0">
      <w:pPr>
        <w:pStyle w:val="Paragraphedeliste"/>
        <w:numPr>
          <w:ilvl w:val="0"/>
          <w:numId w:val="2"/>
        </w:numPr>
        <w:spacing w:after="40" w:line="264" w:lineRule="auto"/>
        <w:jc w:val="both"/>
      </w:pPr>
      <w:r>
        <w:rPr>
          <w:color w:val="1A1A1A"/>
          <w:sz w:val="19"/>
          <w:szCs w:val="19"/>
        </w:rPr>
        <w:t>Chaque période doit faire face aux menaces permanentes des libertés.</w:t>
      </w:r>
    </w:p>
    <w:p w14:paraId="2259406B" w14:textId="77777777" w:rsidR="00DF4DE6" w:rsidRDefault="001B2AC3" w:rsidP="00240AE0">
      <w:pPr>
        <w:spacing w:before="200" w:after="70"/>
        <w:jc w:val="both"/>
      </w:pPr>
      <w:r>
        <w:rPr>
          <w:b/>
          <w:bCs/>
          <w:color w:val="2E5A88"/>
          <w:spacing w:val="24"/>
          <w:sz w:val="17"/>
          <w:szCs w:val="17"/>
        </w:rPr>
        <w:t>PLAN DE LA FICHE</w:t>
      </w:r>
    </w:p>
    <w:p w14:paraId="550916B8" w14:textId="77777777" w:rsidR="00DF4DE6" w:rsidRDefault="001B2AC3" w:rsidP="00240AE0">
      <w:pPr>
        <w:spacing w:after="20" w:line="250" w:lineRule="auto"/>
        <w:ind w:left="240"/>
        <w:jc w:val="both"/>
      </w:pPr>
      <w:r>
        <w:rPr>
          <w:b/>
          <w:bCs/>
          <w:color w:val="1F3864"/>
          <w:sz w:val="19"/>
          <w:szCs w:val="19"/>
        </w:rPr>
        <w:t>1. La difficile recherche des origines antiques</w:t>
      </w:r>
    </w:p>
    <w:p w14:paraId="58B9867B" w14:textId="77777777" w:rsidR="00DF4DE6" w:rsidRDefault="001B2AC3" w:rsidP="00240AE0">
      <w:pPr>
        <w:spacing w:after="20" w:line="250" w:lineRule="auto"/>
        <w:ind w:left="500"/>
        <w:jc w:val="both"/>
      </w:pPr>
      <w:r>
        <w:rPr>
          <w:color w:val="333333"/>
          <w:sz w:val="18"/>
          <w:szCs w:val="18"/>
        </w:rPr>
        <w:t>1.1. Le Code d’Hammourabi</w:t>
      </w:r>
    </w:p>
    <w:p w14:paraId="6068FD44" w14:textId="77777777" w:rsidR="00DF4DE6" w:rsidRDefault="001B2AC3" w:rsidP="00240AE0">
      <w:pPr>
        <w:spacing w:after="20" w:line="250" w:lineRule="auto"/>
        <w:ind w:left="500"/>
        <w:jc w:val="both"/>
      </w:pPr>
      <w:r>
        <w:rPr>
          <w:color w:val="333333"/>
          <w:sz w:val="18"/>
          <w:szCs w:val="18"/>
        </w:rPr>
        <w:t>1.2. Le cylindre de Cyrus</w:t>
      </w:r>
    </w:p>
    <w:p w14:paraId="36C8F8B7" w14:textId="77777777" w:rsidR="00DF4DE6" w:rsidRDefault="001B2AC3" w:rsidP="00240AE0">
      <w:pPr>
        <w:spacing w:after="20" w:line="250" w:lineRule="auto"/>
        <w:ind w:left="240"/>
        <w:jc w:val="both"/>
      </w:pPr>
      <w:r>
        <w:rPr>
          <w:b/>
          <w:bCs/>
          <w:color w:val="1F3864"/>
          <w:sz w:val="19"/>
          <w:szCs w:val="19"/>
        </w:rPr>
        <w:t>2. La philosophie grecque classique des libertés publiques</w:t>
      </w:r>
    </w:p>
    <w:p w14:paraId="56FA443E" w14:textId="77777777" w:rsidR="00DF4DE6" w:rsidRDefault="001B2AC3" w:rsidP="00240AE0">
      <w:pPr>
        <w:spacing w:after="20" w:line="250" w:lineRule="auto"/>
        <w:ind w:left="500"/>
        <w:jc w:val="both"/>
      </w:pPr>
      <w:r>
        <w:rPr>
          <w:color w:val="333333"/>
          <w:sz w:val="18"/>
          <w:szCs w:val="18"/>
        </w:rPr>
        <w:t>2.1. La pensée grecque classique : liberté et citoyenneté</w:t>
      </w:r>
    </w:p>
    <w:p w14:paraId="5A18EE77" w14:textId="77777777" w:rsidR="00DF4DE6" w:rsidRDefault="001B2AC3" w:rsidP="00240AE0">
      <w:pPr>
        <w:spacing w:after="20" w:line="250" w:lineRule="auto"/>
        <w:ind w:left="500"/>
        <w:jc w:val="both"/>
      </w:pPr>
      <w:r>
        <w:rPr>
          <w:color w:val="333333"/>
          <w:sz w:val="18"/>
          <w:szCs w:val="18"/>
        </w:rPr>
        <w:t>2.2. La pensée stoïcienne : l’émancipation de l’individu de la Cité</w:t>
      </w:r>
    </w:p>
    <w:p w14:paraId="0981334F" w14:textId="77777777" w:rsidR="00DF4DE6" w:rsidRDefault="001B2AC3" w:rsidP="00240AE0">
      <w:pPr>
        <w:spacing w:after="20" w:line="250" w:lineRule="auto"/>
        <w:ind w:left="240"/>
        <w:jc w:val="both"/>
      </w:pPr>
      <w:r>
        <w:rPr>
          <w:b/>
          <w:bCs/>
          <w:color w:val="1F3864"/>
          <w:sz w:val="19"/>
          <w:szCs w:val="19"/>
        </w:rPr>
        <w:t>3. La philosophie chrétienne : une nouvelle conception de l’humain</w:t>
      </w:r>
    </w:p>
    <w:p w14:paraId="3C9A1CA4" w14:textId="77777777" w:rsidR="00DF4DE6" w:rsidRDefault="001B2AC3" w:rsidP="00240AE0">
      <w:pPr>
        <w:spacing w:after="20" w:line="250" w:lineRule="auto"/>
        <w:ind w:left="500"/>
        <w:jc w:val="both"/>
      </w:pPr>
      <w:r>
        <w:rPr>
          <w:color w:val="333333"/>
          <w:sz w:val="18"/>
          <w:szCs w:val="18"/>
        </w:rPr>
        <w:t>3.1. Les apports du christianisme : le renforcement de l’individualisme</w:t>
      </w:r>
    </w:p>
    <w:p w14:paraId="7F49893B" w14:textId="77777777" w:rsidR="00DF4DE6" w:rsidRDefault="001B2AC3" w:rsidP="00240AE0">
      <w:pPr>
        <w:spacing w:after="20" w:line="250" w:lineRule="auto"/>
        <w:ind w:left="760"/>
        <w:jc w:val="both"/>
      </w:pPr>
      <w:r>
        <w:rPr>
          <w:color w:val="595959"/>
          <w:sz w:val="18"/>
          <w:szCs w:val="18"/>
        </w:rPr>
        <w:t>3.1.1. L’égalité dans la pensée chrétienne</w:t>
      </w:r>
    </w:p>
    <w:p w14:paraId="43228B7A" w14:textId="77777777" w:rsidR="00DF4DE6" w:rsidRDefault="001B2AC3" w:rsidP="00240AE0">
      <w:pPr>
        <w:spacing w:after="20" w:line="250" w:lineRule="auto"/>
        <w:ind w:left="760"/>
        <w:jc w:val="both"/>
      </w:pPr>
      <w:r>
        <w:rPr>
          <w:color w:val="595959"/>
          <w:sz w:val="18"/>
          <w:szCs w:val="18"/>
        </w:rPr>
        <w:t>3.1.2. La séparation du spirituel et du temporel</w:t>
      </w:r>
    </w:p>
    <w:p w14:paraId="1F4DA881" w14:textId="77777777" w:rsidR="00DF4DE6" w:rsidRDefault="001B2AC3" w:rsidP="00240AE0">
      <w:pPr>
        <w:spacing w:after="20" w:line="250" w:lineRule="auto"/>
        <w:ind w:left="500"/>
        <w:jc w:val="both"/>
      </w:pPr>
      <w:r>
        <w:rPr>
          <w:color w:val="333333"/>
          <w:sz w:val="18"/>
          <w:szCs w:val="18"/>
        </w:rPr>
        <w:t>3.2. Les obstacles du christianisme au développement des libertés publiques</w:t>
      </w:r>
    </w:p>
    <w:p w14:paraId="014626E6" w14:textId="77777777" w:rsidR="00DF4DE6" w:rsidRDefault="001B2AC3" w:rsidP="00240AE0">
      <w:pPr>
        <w:spacing w:after="20" w:line="250" w:lineRule="auto"/>
        <w:ind w:left="240"/>
        <w:jc w:val="both"/>
      </w:pPr>
      <w:r>
        <w:rPr>
          <w:b/>
          <w:bCs/>
          <w:color w:val="1F3864"/>
          <w:sz w:val="19"/>
          <w:szCs w:val="19"/>
        </w:rPr>
        <w:t>4. La limitation du pouvoir de l’État (XVIe et XVIIe siècles)</w:t>
      </w:r>
    </w:p>
    <w:p w14:paraId="7B4EE459" w14:textId="77777777" w:rsidR="00DF4DE6" w:rsidRDefault="001B2AC3" w:rsidP="00240AE0">
      <w:pPr>
        <w:spacing w:after="20" w:line="250" w:lineRule="auto"/>
        <w:ind w:left="500"/>
        <w:jc w:val="both"/>
      </w:pPr>
      <w:r>
        <w:rPr>
          <w:color w:val="333333"/>
          <w:sz w:val="18"/>
          <w:szCs w:val="18"/>
        </w:rPr>
        <w:t>4.1. Le droit naturel : un droit intrinsèque à l’individu</w:t>
      </w:r>
    </w:p>
    <w:p w14:paraId="1C9B1D47" w14:textId="77777777" w:rsidR="00DF4DE6" w:rsidRDefault="001B2AC3" w:rsidP="00240AE0">
      <w:pPr>
        <w:spacing w:after="20" w:line="250" w:lineRule="auto"/>
        <w:ind w:left="500"/>
        <w:jc w:val="both"/>
      </w:pPr>
      <w:r>
        <w:rPr>
          <w:color w:val="333333"/>
          <w:sz w:val="18"/>
          <w:szCs w:val="18"/>
        </w:rPr>
        <w:t>4.2. Les théories du contrat social</w:t>
      </w:r>
    </w:p>
    <w:p w14:paraId="05BEDDE0" w14:textId="77777777" w:rsidR="00DF4DE6" w:rsidRDefault="001B2AC3" w:rsidP="00240AE0">
      <w:pPr>
        <w:spacing w:after="20" w:line="250" w:lineRule="auto"/>
        <w:ind w:left="240"/>
        <w:jc w:val="both"/>
      </w:pPr>
      <w:r>
        <w:rPr>
          <w:b/>
          <w:bCs/>
          <w:color w:val="1F3864"/>
          <w:sz w:val="19"/>
          <w:szCs w:val="19"/>
        </w:rPr>
        <w:t>5. La philosophie des Lumières, l’essor des libertés (XVIIIe siècle)</w:t>
      </w:r>
    </w:p>
    <w:p w14:paraId="06528CE1" w14:textId="77777777" w:rsidR="00DF4DE6" w:rsidRDefault="001B2AC3" w:rsidP="00240AE0">
      <w:pPr>
        <w:spacing w:after="20" w:line="250" w:lineRule="auto"/>
        <w:ind w:left="500"/>
        <w:jc w:val="both"/>
      </w:pPr>
      <w:r>
        <w:rPr>
          <w:color w:val="333333"/>
          <w:sz w:val="18"/>
          <w:szCs w:val="18"/>
        </w:rPr>
        <w:t>5.1. La pensée des Lumières, prémices de la Déclaration des droits de l’homme et du citoyen</w:t>
      </w:r>
    </w:p>
    <w:p w14:paraId="27F3578D" w14:textId="77777777" w:rsidR="00DF4DE6" w:rsidRDefault="001B2AC3" w:rsidP="00240AE0">
      <w:pPr>
        <w:spacing w:after="20" w:line="250" w:lineRule="auto"/>
        <w:ind w:left="500"/>
        <w:jc w:val="both"/>
      </w:pPr>
      <w:r>
        <w:rPr>
          <w:color w:val="333333"/>
          <w:sz w:val="18"/>
          <w:szCs w:val="18"/>
        </w:rPr>
        <w:t>5.2. La philosophie révolutionnaire et la Déclaration des droits de l’homme et du citoyen</w:t>
      </w:r>
    </w:p>
    <w:p w14:paraId="3D727E76" w14:textId="77777777" w:rsidR="00DF4DE6" w:rsidRDefault="001B2AC3" w:rsidP="00240AE0">
      <w:pPr>
        <w:spacing w:after="20" w:line="250" w:lineRule="auto"/>
        <w:ind w:left="240"/>
        <w:jc w:val="both"/>
      </w:pPr>
      <w:r>
        <w:rPr>
          <w:b/>
          <w:bCs/>
          <w:color w:val="1F3864"/>
          <w:sz w:val="19"/>
          <w:szCs w:val="19"/>
        </w:rPr>
        <w:t>6. Le renouveau philosophique des libertés (XIXe et XXe siècle)</w:t>
      </w:r>
    </w:p>
    <w:p w14:paraId="6C6A3E38" w14:textId="77777777" w:rsidR="00DF4DE6" w:rsidRDefault="001B2AC3" w:rsidP="00240AE0">
      <w:pPr>
        <w:spacing w:after="20" w:line="250" w:lineRule="auto"/>
        <w:ind w:left="500"/>
        <w:jc w:val="both"/>
      </w:pPr>
      <w:r>
        <w:rPr>
          <w:color w:val="333333"/>
          <w:sz w:val="18"/>
          <w:szCs w:val="18"/>
        </w:rPr>
        <w:t>6.1. La critique marxiste des droits révolutionnaires</w:t>
      </w:r>
    </w:p>
    <w:p w14:paraId="42E1E3E1" w14:textId="77777777" w:rsidR="00DF4DE6" w:rsidRDefault="001B2AC3" w:rsidP="00240AE0">
      <w:pPr>
        <w:spacing w:after="20" w:line="250" w:lineRule="auto"/>
        <w:ind w:left="500"/>
        <w:jc w:val="both"/>
      </w:pPr>
      <w:r>
        <w:rPr>
          <w:color w:val="333333"/>
          <w:sz w:val="18"/>
          <w:szCs w:val="18"/>
        </w:rPr>
        <w:t>6.2. La pensée socialiste et l’intervention de l’État</w:t>
      </w:r>
    </w:p>
    <w:p w14:paraId="6EEFFA0A" w14:textId="77777777" w:rsidR="00DF4DE6" w:rsidRDefault="001B2AC3" w:rsidP="00240AE0">
      <w:pPr>
        <w:spacing w:after="20" w:line="250" w:lineRule="auto"/>
        <w:ind w:left="240"/>
        <w:jc w:val="both"/>
      </w:pPr>
      <w:r>
        <w:rPr>
          <w:b/>
          <w:bCs/>
          <w:color w:val="1F3864"/>
          <w:sz w:val="19"/>
          <w:szCs w:val="19"/>
        </w:rPr>
        <w:t>7. L’émergence de nouvelles philosophies des libertés (XXe siècle)</w:t>
      </w:r>
    </w:p>
    <w:p w14:paraId="07584088" w14:textId="77777777" w:rsidR="00DF4DE6" w:rsidRDefault="001B2AC3" w:rsidP="00240AE0">
      <w:pPr>
        <w:spacing w:after="20" w:line="250" w:lineRule="auto"/>
        <w:ind w:left="500"/>
        <w:jc w:val="both"/>
      </w:pPr>
      <w:r>
        <w:rPr>
          <w:color w:val="333333"/>
          <w:sz w:val="18"/>
          <w:szCs w:val="18"/>
        </w:rPr>
        <w:t>7.1. Les théories féministes et la critique féministe</w:t>
      </w:r>
    </w:p>
    <w:p w14:paraId="5FB04E49" w14:textId="77777777" w:rsidR="00DF4DE6" w:rsidRDefault="001B2AC3" w:rsidP="00240AE0">
      <w:pPr>
        <w:spacing w:after="20" w:line="250" w:lineRule="auto"/>
        <w:ind w:left="500"/>
        <w:jc w:val="both"/>
      </w:pPr>
      <w:r>
        <w:rPr>
          <w:color w:val="333333"/>
          <w:sz w:val="18"/>
          <w:szCs w:val="18"/>
        </w:rPr>
        <w:t>7.2. La protection du vivant face aux technologies</w:t>
      </w:r>
    </w:p>
    <w:p w14:paraId="09B83F28" w14:textId="77777777" w:rsidR="00DF4DE6" w:rsidRDefault="001B2AC3" w:rsidP="00240AE0">
      <w:pPr>
        <w:spacing w:before="200" w:after="70"/>
        <w:jc w:val="both"/>
      </w:pPr>
      <w:r>
        <w:rPr>
          <w:b/>
          <w:bCs/>
          <w:color w:val="2E5A88"/>
          <w:spacing w:val="24"/>
          <w:sz w:val="17"/>
          <w:szCs w:val="17"/>
        </w:rPr>
        <w:t>RÉFÉRENCES CENTRALES</w:t>
      </w:r>
    </w:p>
    <w:p w14:paraId="7C5BA5F0" w14:textId="77777777" w:rsidR="00DF4DE6" w:rsidRDefault="001B2AC3" w:rsidP="00240AE0">
      <w:pPr>
        <w:pStyle w:val="Paragraphedeliste"/>
        <w:numPr>
          <w:ilvl w:val="0"/>
          <w:numId w:val="2"/>
        </w:numPr>
        <w:spacing w:after="40" w:line="264" w:lineRule="auto"/>
        <w:jc w:val="both"/>
      </w:pPr>
      <w:r>
        <w:rPr>
          <w:color w:val="333333"/>
          <w:sz w:val="18"/>
          <w:szCs w:val="18"/>
        </w:rPr>
        <w:t>Article 16 de la Déclaration des droits de l’homme et du citoyen.</w:t>
      </w:r>
    </w:p>
    <w:p w14:paraId="62F9E22B" w14:textId="77777777" w:rsidR="00DF4DE6" w:rsidRDefault="00DF4DE6" w:rsidP="00240AE0">
      <w:pPr>
        <w:pBdr>
          <w:top w:val="single" w:sz="6" w:space="0" w:color="C7D2E0"/>
        </w:pBdr>
        <w:spacing w:before="260" w:after="180"/>
        <w:jc w:val="both"/>
      </w:pPr>
    </w:p>
    <w:p w14:paraId="276680BC"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3  ·</w:t>
      </w:r>
      <w:proofErr w:type="gramEnd"/>
      <w:r>
        <w:rPr>
          <w:b/>
          <w:bCs/>
          <w:color w:val="2E5A88"/>
          <w:sz w:val="22"/>
          <w:szCs w:val="22"/>
        </w:rPr>
        <w:t xml:space="preserve">  </w:t>
      </w:r>
      <w:r>
        <w:rPr>
          <w:rFonts w:ascii="Cambria" w:eastAsia="Cambria" w:hAnsi="Cambria" w:cs="Cambria"/>
          <w:b/>
          <w:bCs/>
          <w:color w:val="1F3864"/>
        </w:rPr>
        <w:t>Les origines textuelles</w:t>
      </w:r>
    </w:p>
    <w:p w14:paraId="22658277" w14:textId="77777777" w:rsidR="00DF4DE6" w:rsidRDefault="001B2AC3" w:rsidP="00240AE0">
      <w:pPr>
        <w:spacing w:after="120"/>
        <w:jc w:val="both"/>
      </w:pPr>
      <w:r>
        <w:rPr>
          <w:i/>
          <w:iCs/>
          <w:color w:val="595959"/>
          <w:sz w:val="17"/>
          <w:szCs w:val="17"/>
        </w:rPr>
        <w:lastRenderedPageBreak/>
        <w:t>Fascicule, p. 28</w:t>
      </w:r>
    </w:p>
    <w:p w14:paraId="2B4AE4BA" w14:textId="77777777" w:rsidR="00DF4DE6" w:rsidRDefault="001B2AC3" w:rsidP="00240AE0">
      <w:pPr>
        <w:spacing w:before="200" w:after="70"/>
        <w:jc w:val="both"/>
      </w:pPr>
      <w:r>
        <w:rPr>
          <w:b/>
          <w:bCs/>
          <w:color w:val="2E5A88"/>
          <w:spacing w:val="24"/>
          <w:sz w:val="17"/>
          <w:szCs w:val="17"/>
        </w:rPr>
        <w:t>IDÉE DIRECTRICE</w:t>
      </w:r>
    </w:p>
    <w:p w14:paraId="733570B6" w14:textId="77777777" w:rsidR="00DF4DE6" w:rsidRDefault="001B2AC3" w:rsidP="00240AE0">
      <w:pPr>
        <w:spacing w:after="60" w:line="276" w:lineRule="auto"/>
        <w:jc w:val="both"/>
      </w:pPr>
      <w:r>
        <w:t xml:space="preserve">Généalogie textuelle, en trois foyers successifs : l'Angleterre (Grande Charte 1215, Pétition des droits 1628, Habeas Corpus 1679, Bill of </w:t>
      </w:r>
      <w:proofErr w:type="spellStart"/>
      <w:r>
        <w:t>Rights</w:t>
      </w:r>
      <w:proofErr w:type="spellEnd"/>
      <w:r>
        <w:t xml:space="preserve"> 1689), l'Amérique (Virginie et Indépendance 1776, Constitution 1787), puis la France (DDHC 1789). La fiche insiste autant sur le contenu et les caractères de 1789 que sur les trois critiques adressées à la Déclaration : contre-révolutionnaire, féministe, socialiste et marxiste.</w:t>
      </w:r>
    </w:p>
    <w:p w14:paraId="6431D859" w14:textId="77777777" w:rsidR="00DF4DE6" w:rsidRDefault="001B2AC3" w:rsidP="00240AE0">
      <w:pPr>
        <w:spacing w:before="200" w:after="70"/>
        <w:jc w:val="both"/>
      </w:pPr>
      <w:r>
        <w:rPr>
          <w:b/>
          <w:bCs/>
          <w:color w:val="2E5A88"/>
          <w:spacing w:val="24"/>
          <w:sz w:val="17"/>
          <w:szCs w:val="17"/>
        </w:rPr>
        <w:t>POINTS CLÉS (ENCADRÉ DU FASCICULE)</w:t>
      </w:r>
    </w:p>
    <w:p w14:paraId="6745AD44" w14:textId="77777777" w:rsidR="00DF4DE6" w:rsidRDefault="001B2AC3" w:rsidP="00240AE0">
      <w:pPr>
        <w:pStyle w:val="Paragraphedeliste"/>
        <w:numPr>
          <w:ilvl w:val="0"/>
          <w:numId w:val="2"/>
        </w:numPr>
        <w:spacing w:after="40" w:line="264" w:lineRule="auto"/>
        <w:jc w:val="both"/>
      </w:pPr>
      <w:r>
        <w:rPr>
          <w:color w:val="1A1A1A"/>
          <w:sz w:val="19"/>
          <w:szCs w:val="19"/>
        </w:rPr>
        <w:t>Origine anglaise des textes fondateurs.</w:t>
      </w:r>
    </w:p>
    <w:p w14:paraId="7714E8DC" w14:textId="77777777" w:rsidR="00DF4DE6" w:rsidRDefault="001B2AC3" w:rsidP="00240AE0">
      <w:pPr>
        <w:pStyle w:val="Paragraphedeliste"/>
        <w:numPr>
          <w:ilvl w:val="0"/>
          <w:numId w:val="2"/>
        </w:numPr>
        <w:spacing w:after="40" w:line="264" w:lineRule="auto"/>
        <w:jc w:val="both"/>
      </w:pPr>
      <w:r>
        <w:rPr>
          <w:color w:val="1A1A1A"/>
          <w:sz w:val="19"/>
          <w:szCs w:val="19"/>
        </w:rPr>
        <w:t>Indépendance américaine et proclamation des droits.</w:t>
      </w:r>
    </w:p>
    <w:p w14:paraId="783633FC" w14:textId="77777777" w:rsidR="00DF4DE6" w:rsidRDefault="001B2AC3" w:rsidP="00240AE0">
      <w:pPr>
        <w:pStyle w:val="Paragraphedeliste"/>
        <w:numPr>
          <w:ilvl w:val="0"/>
          <w:numId w:val="2"/>
        </w:numPr>
        <w:spacing w:after="40" w:line="264" w:lineRule="auto"/>
        <w:jc w:val="both"/>
      </w:pPr>
      <w:r>
        <w:rPr>
          <w:color w:val="1A1A1A"/>
          <w:sz w:val="19"/>
          <w:szCs w:val="19"/>
        </w:rPr>
        <w:t>Révolution française et abolition de la monarchie.</w:t>
      </w:r>
    </w:p>
    <w:p w14:paraId="52753252" w14:textId="77777777" w:rsidR="00DF4DE6" w:rsidRDefault="001B2AC3" w:rsidP="00240AE0">
      <w:pPr>
        <w:pStyle w:val="Paragraphedeliste"/>
        <w:numPr>
          <w:ilvl w:val="0"/>
          <w:numId w:val="2"/>
        </w:numPr>
        <w:spacing w:after="40" w:line="264" w:lineRule="auto"/>
        <w:jc w:val="both"/>
      </w:pPr>
      <w:r>
        <w:rPr>
          <w:color w:val="1A1A1A"/>
          <w:sz w:val="19"/>
          <w:szCs w:val="19"/>
        </w:rPr>
        <w:t>Rédaction de la Déclaration des droits de l’homme et du citoyen.</w:t>
      </w:r>
    </w:p>
    <w:p w14:paraId="751863A7" w14:textId="77777777" w:rsidR="00DF4DE6" w:rsidRDefault="001B2AC3" w:rsidP="00240AE0">
      <w:pPr>
        <w:spacing w:before="200" w:after="70"/>
        <w:jc w:val="both"/>
      </w:pPr>
      <w:r>
        <w:rPr>
          <w:b/>
          <w:bCs/>
          <w:color w:val="2E5A88"/>
          <w:spacing w:val="24"/>
          <w:sz w:val="17"/>
          <w:szCs w:val="17"/>
        </w:rPr>
        <w:t>PLAN DE LA FICHE</w:t>
      </w:r>
    </w:p>
    <w:p w14:paraId="43B40523" w14:textId="77777777" w:rsidR="00DF4DE6" w:rsidRDefault="001B2AC3" w:rsidP="00240AE0">
      <w:pPr>
        <w:spacing w:after="20" w:line="250" w:lineRule="auto"/>
        <w:ind w:left="240"/>
        <w:jc w:val="both"/>
      </w:pPr>
      <w:r>
        <w:rPr>
          <w:b/>
          <w:bCs/>
          <w:color w:val="1F3864"/>
          <w:sz w:val="19"/>
          <w:szCs w:val="19"/>
        </w:rPr>
        <w:t>1. Les premiers textes anglais</w:t>
      </w:r>
    </w:p>
    <w:p w14:paraId="6C35F923" w14:textId="77777777" w:rsidR="00DF4DE6" w:rsidRDefault="001B2AC3" w:rsidP="00240AE0">
      <w:pPr>
        <w:spacing w:after="20" w:line="250" w:lineRule="auto"/>
        <w:ind w:left="500"/>
        <w:jc w:val="both"/>
      </w:pPr>
      <w:r>
        <w:rPr>
          <w:color w:val="333333"/>
          <w:sz w:val="18"/>
          <w:szCs w:val="18"/>
        </w:rPr>
        <w:t>1.1. La Grande Charte (1215)</w:t>
      </w:r>
    </w:p>
    <w:p w14:paraId="6DA3A35B" w14:textId="77777777" w:rsidR="00DF4DE6" w:rsidRDefault="001B2AC3" w:rsidP="00240AE0">
      <w:pPr>
        <w:spacing w:after="20" w:line="250" w:lineRule="auto"/>
        <w:ind w:left="500"/>
        <w:jc w:val="both"/>
      </w:pPr>
      <w:r>
        <w:rPr>
          <w:color w:val="333333"/>
          <w:sz w:val="18"/>
          <w:szCs w:val="18"/>
        </w:rPr>
        <w:t>1.2. La Pétition des droits (1628)</w:t>
      </w:r>
    </w:p>
    <w:p w14:paraId="39BECCA0" w14:textId="77777777" w:rsidR="00DF4DE6" w:rsidRDefault="001B2AC3" w:rsidP="00240AE0">
      <w:pPr>
        <w:spacing w:after="20" w:line="250" w:lineRule="auto"/>
        <w:ind w:left="500"/>
        <w:jc w:val="both"/>
      </w:pPr>
      <w:r>
        <w:rPr>
          <w:color w:val="333333"/>
          <w:sz w:val="18"/>
          <w:szCs w:val="18"/>
        </w:rPr>
        <w:t xml:space="preserve">1.3. L’Habeas Corpus </w:t>
      </w:r>
      <w:proofErr w:type="spellStart"/>
      <w:r>
        <w:rPr>
          <w:color w:val="333333"/>
          <w:sz w:val="18"/>
          <w:szCs w:val="18"/>
        </w:rPr>
        <w:t>Act</w:t>
      </w:r>
      <w:proofErr w:type="spellEnd"/>
      <w:r>
        <w:rPr>
          <w:color w:val="333333"/>
          <w:sz w:val="18"/>
          <w:szCs w:val="18"/>
        </w:rPr>
        <w:t xml:space="preserve"> (1679)</w:t>
      </w:r>
    </w:p>
    <w:p w14:paraId="67BCE59F" w14:textId="77777777" w:rsidR="00DF4DE6" w:rsidRDefault="001B2AC3" w:rsidP="00240AE0">
      <w:pPr>
        <w:spacing w:after="20" w:line="250" w:lineRule="auto"/>
        <w:ind w:left="500"/>
        <w:jc w:val="both"/>
      </w:pPr>
      <w:r>
        <w:rPr>
          <w:color w:val="333333"/>
          <w:sz w:val="18"/>
          <w:szCs w:val="18"/>
        </w:rPr>
        <w:t xml:space="preserve">1.4. Le Bill of </w:t>
      </w:r>
      <w:proofErr w:type="spellStart"/>
      <w:r>
        <w:rPr>
          <w:color w:val="333333"/>
          <w:sz w:val="18"/>
          <w:szCs w:val="18"/>
        </w:rPr>
        <w:t>rights</w:t>
      </w:r>
      <w:proofErr w:type="spellEnd"/>
      <w:r>
        <w:rPr>
          <w:color w:val="333333"/>
          <w:sz w:val="18"/>
          <w:szCs w:val="18"/>
        </w:rPr>
        <w:t xml:space="preserve"> (1689)</w:t>
      </w:r>
    </w:p>
    <w:p w14:paraId="54C1FA40" w14:textId="77777777" w:rsidR="00DF4DE6" w:rsidRDefault="001B2AC3" w:rsidP="00240AE0">
      <w:pPr>
        <w:spacing w:after="20" w:line="250" w:lineRule="auto"/>
        <w:ind w:left="240"/>
        <w:jc w:val="both"/>
      </w:pPr>
      <w:r>
        <w:rPr>
          <w:b/>
          <w:bCs/>
          <w:color w:val="1F3864"/>
          <w:sz w:val="19"/>
          <w:szCs w:val="19"/>
        </w:rPr>
        <w:t>2. Les textes américains</w:t>
      </w:r>
    </w:p>
    <w:p w14:paraId="30AA3BE6" w14:textId="77777777" w:rsidR="00DF4DE6" w:rsidRDefault="001B2AC3" w:rsidP="00240AE0">
      <w:pPr>
        <w:spacing w:after="20" w:line="250" w:lineRule="auto"/>
        <w:ind w:left="500"/>
        <w:jc w:val="both"/>
      </w:pPr>
      <w:r>
        <w:rPr>
          <w:color w:val="333333"/>
          <w:sz w:val="18"/>
          <w:szCs w:val="18"/>
        </w:rPr>
        <w:t>2.1. La Constitution de l’État de Virginie (12 juin 1776)</w:t>
      </w:r>
    </w:p>
    <w:p w14:paraId="0DC8A772" w14:textId="77777777" w:rsidR="00DF4DE6" w:rsidRDefault="001B2AC3" w:rsidP="00240AE0">
      <w:pPr>
        <w:spacing w:after="20" w:line="250" w:lineRule="auto"/>
        <w:ind w:left="500"/>
        <w:jc w:val="both"/>
      </w:pPr>
      <w:r>
        <w:rPr>
          <w:color w:val="333333"/>
          <w:sz w:val="18"/>
          <w:szCs w:val="18"/>
        </w:rPr>
        <w:t>2.2. La Déclaration d’Indépendance des États-Unis d’Amérique (4 juillet 1776)</w:t>
      </w:r>
    </w:p>
    <w:p w14:paraId="65CC7F6D" w14:textId="77777777" w:rsidR="00DF4DE6" w:rsidRDefault="001B2AC3" w:rsidP="00240AE0">
      <w:pPr>
        <w:spacing w:after="20" w:line="250" w:lineRule="auto"/>
        <w:ind w:left="500"/>
        <w:jc w:val="both"/>
      </w:pPr>
      <w:r>
        <w:rPr>
          <w:color w:val="333333"/>
          <w:sz w:val="18"/>
          <w:szCs w:val="18"/>
        </w:rPr>
        <w:t>2.3. La Constitution américaine du 17 septembre 1787</w:t>
      </w:r>
    </w:p>
    <w:p w14:paraId="71416F95" w14:textId="77777777" w:rsidR="00DF4DE6" w:rsidRDefault="001B2AC3" w:rsidP="00240AE0">
      <w:pPr>
        <w:spacing w:after="20" w:line="250" w:lineRule="auto"/>
        <w:ind w:left="240"/>
        <w:jc w:val="both"/>
      </w:pPr>
      <w:r>
        <w:rPr>
          <w:b/>
          <w:bCs/>
          <w:color w:val="1F3864"/>
          <w:sz w:val="19"/>
          <w:szCs w:val="19"/>
        </w:rPr>
        <w:t>3. La Déclaration des droits de l’homme et du Citoyen de 1789</w:t>
      </w:r>
    </w:p>
    <w:p w14:paraId="7662920C" w14:textId="77777777" w:rsidR="00DF4DE6" w:rsidRDefault="001B2AC3" w:rsidP="00240AE0">
      <w:pPr>
        <w:spacing w:after="20" w:line="250" w:lineRule="auto"/>
        <w:ind w:left="500"/>
        <w:jc w:val="both"/>
      </w:pPr>
      <w:r>
        <w:rPr>
          <w:color w:val="333333"/>
          <w:sz w:val="18"/>
          <w:szCs w:val="18"/>
        </w:rPr>
        <w:t>3.1. Le contexte de la Déclaration de 1789</w:t>
      </w:r>
    </w:p>
    <w:p w14:paraId="3E89DE5B" w14:textId="77777777" w:rsidR="00DF4DE6" w:rsidRDefault="001B2AC3" w:rsidP="00240AE0">
      <w:pPr>
        <w:spacing w:after="20" w:line="250" w:lineRule="auto"/>
        <w:ind w:left="500"/>
        <w:jc w:val="both"/>
      </w:pPr>
      <w:r>
        <w:rPr>
          <w:color w:val="333333"/>
          <w:sz w:val="18"/>
          <w:szCs w:val="18"/>
        </w:rPr>
        <w:t>3.2. Le contenu de la Déclaration de 1789</w:t>
      </w:r>
    </w:p>
    <w:p w14:paraId="4A24169C" w14:textId="77777777" w:rsidR="00DF4DE6" w:rsidRDefault="001B2AC3" w:rsidP="00240AE0">
      <w:pPr>
        <w:spacing w:after="20" w:line="250" w:lineRule="auto"/>
        <w:ind w:left="500"/>
        <w:jc w:val="both"/>
      </w:pPr>
      <w:r>
        <w:rPr>
          <w:color w:val="333333"/>
          <w:sz w:val="18"/>
          <w:szCs w:val="18"/>
        </w:rPr>
        <w:t>3.3. Les caractères de la Déclaration de 1789</w:t>
      </w:r>
    </w:p>
    <w:p w14:paraId="6584386F" w14:textId="77777777" w:rsidR="00DF4DE6" w:rsidRDefault="001B2AC3" w:rsidP="00240AE0">
      <w:pPr>
        <w:spacing w:after="20" w:line="250" w:lineRule="auto"/>
        <w:ind w:left="500"/>
        <w:jc w:val="both"/>
      </w:pPr>
      <w:r>
        <w:rPr>
          <w:color w:val="333333"/>
          <w:sz w:val="18"/>
          <w:szCs w:val="18"/>
        </w:rPr>
        <w:t>3.4. Les critiques à l’encontre de la Déclaration de 1789</w:t>
      </w:r>
    </w:p>
    <w:p w14:paraId="1C75EB65" w14:textId="77777777" w:rsidR="00DF4DE6" w:rsidRDefault="001B2AC3" w:rsidP="00240AE0">
      <w:pPr>
        <w:spacing w:after="20" w:line="250" w:lineRule="auto"/>
        <w:ind w:left="760"/>
        <w:jc w:val="both"/>
      </w:pPr>
      <w:r>
        <w:rPr>
          <w:color w:val="595959"/>
          <w:sz w:val="18"/>
          <w:szCs w:val="18"/>
        </w:rPr>
        <w:t>3.4.1. La critique contre-révolutionnaire</w:t>
      </w:r>
    </w:p>
    <w:p w14:paraId="72D438D6" w14:textId="77777777" w:rsidR="00DF4DE6" w:rsidRDefault="001B2AC3" w:rsidP="00240AE0">
      <w:pPr>
        <w:spacing w:after="20" w:line="250" w:lineRule="auto"/>
        <w:ind w:left="760"/>
        <w:jc w:val="both"/>
      </w:pPr>
      <w:r>
        <w:rPr>
          <w:color w:val="595959"/>
          <w:sz w:val="18"/>
          <w:szCs w:val="18"/>
        </w:rPr>
        <w:t>3.4.2. La critique féministe</w:t>
      </w:r>
    </w:p>
    <w:p w14:paraId="52955DF5" w14:textId="77777777" w:rsidR="00DF4DE6" w:rsidRDefault="001B2AC3" w:rsidP="00240AE0">
      <w:pPr>
        <w:spacing w:after="20" w:line="250" w:lineRule="auto"/>
        <w:ind w:left="760"/>
        <w:jc w:val="both"/>
      </w:pPr>
      <w:r>
        <w:rPr>
          <w:color w:val="595959"/>
          <w:sz w:val="18"/>
          <w:szCs w:val="18"/>
        </w:rPr>
        <w:t>3.4.3. La critique socialiste et marxiste</w:t>
      </w:r>
    </w:p>
    <w:p w14:paraId="47424F5A" w14:textId="77777777" w:rsidR="00DF4DE6" w:rsidRDefault="001B2AC3" w:rsidP="00240AE0">
      <w:pPr>
        <w:spacing w:before="200" w:after="70"/>
        <w:jc w:val="both"/>
      </w:pPr>
      <w:r>
        <w:rPr>
          <w:b/>
          <w:bCs/>
          <w:color w:val="2E5A88"/>
          <w:spacing w:val="24"/>
          <w:sz w:val="17"/>
          <w:szCs w:val="17"/>
        </w:rPr>
        <w:t>RÉFÉRENCES CENTRALES</w:t>
      </w:r>
    </w:p>
    <w:p w14:paraId="55EB173F" w14:textId="77777777" w:rsidR="00DF4DE6" w:rsidRDefault="001B2AC3" w:rsidP="00240AE0">
      <w:pPr>
        <w:pStyle w:val="Paragraphedeliste"/>
        <w:numPr>
          <w:ilvl w:val="0"/>
          <w:numId w:val="2"/>
        </w:numPr>
        <w:spacing w:after="40" w:line="264" w:lineRule="auto"/>
        <w:jc w:val="both"/>
      </w:pPr>
      <w:r>
        <w:rPr>
          <w:color w:val="333333"/>
          <w:sz w:val="18"/>
          <w:szCs w:val="18"/>
        </w:rPr>
        <w:t>La Grande Charte anglaise (1215).</w:t>
      </w:r>
    </w:p>
    <w:p w14:paraId="36E7A6C7" w14:textId="77777777" w:rsidR="00DF4DE6" w:rsidRDefault="001B2AC3" w:rsidP="00240AE0">
      <w:pPr>
        <w:pStyle w:val="Paragraphedeliste"/>
        <w:numPr>
          <w:ilvl w:val="0"/>
          <w:numId w:val="2"/>
        </w:numPr>
        <w:spacing w:after="40" w:line="264" w:lineRule="auto"/>
        <w:jc w:val="both"/>
      </w:pPr>
      <w:r>
        <w:rPr>
          <w:color w:val="333333"/>
          <w:sz w:val="18"/>
          <w:szCs w:val="18"/>
        </w:rPr>
        <w:t xml:space="preserve">Le Bill of </w:t>
      </w:r>
      <w:proofErr w:type="spellStart"/>
      <w:r>
        <w:rPr>
          <w:color w:val="333333"/>
          <w:sz w:val="18"/>
          <w:szCs w:val="18"/>
        </w:rPr>
        <w:t>Rights</w:t>
      </w:r>
      <w:proofErr w:type="spellEnd"/>
      <w:r>
        <w:rPr>
          <w:color w:val="333333"/>
          <w:sz w:val="18"/>
          <w:szCs w:val="18"/>
        </w:rPr>
        <w:t xml:space="preserve"> anglais (1689).</w:t>
      </w:r>
    </w:p>
    <w:p w14:paraId="6FF5E06E" w14:textId="77777777" w:rsidR="00DF4DE6" w:rsidRDefault="001B2AC3" w:rsidP="00240AE0">
      <w:pPr>
        <w:pStyle w:val="Paragraphedeliste"/>
        <w:numPr>
          <w:ilvl w:val="0"/>
          <w:numId w:val="2"/>
        </w:numPr>
        <w:spacing w:after="40" w:line="264" w:lineRule="auto"/>
        <w:jc w:val="both"/>
      </w:pPr>
      <w:r>
        <w:rPr>
          <w:color w:val="333333"/>
          <w:sz w:val="18"/>
          <w:szCs w:val="18"/>
        </w:rPr>
        <w:t>La Déclaration d’Indépendance des États-Unis (1776).</w:t>
      </w:r>
    </w:p>
    <w:p w14:paraId="46AFC862" w14:textId="77777777" w:rsidR="00DF4DE6" w:rsidRDefault="001B2AC3" w:rsidP="00240AE0">
      <w:pPr>
        <w:pStyle w:val="Paragraphedeliste"/>
        <w:numPr>
          <w:ilvl w:val="0"/>
          <w:numId w:val="2"/>
        </w:numPr>
        <w:spacing w:after="40" w:line="264" w:lineRule="auto"/>
        <w:jc w:val="both"/>
      </w:pPr>
      <w:r>
        <w:rPr>
          <w:color w:val="333333"/>
          <w:sz w:val="18"/>
          <w:szCs w:val="18"/>
        </w:rPr>
        <w:t>La Constitution américaine du 17 septembre 1787.</w:t>
      </w:r>
    </w:p>
    <w:p w14:paraId="60A72B25" w14:textId="77777777" w:rsidR="00DF4DE6" w:rsidRDefault="001B2AC3" w:rsidP="00240AE0">
      <w:pPr>
        <w:pStyle w:val="Paragraphedeliste"/>
        <w:numPr>
          <w:ilvl w:val="0"/>
          <w:numId w:val="2"/>
        </w:numPr>
        <w:spacing w:after="40" w:line="264" w:lineRule="auto"/>
        <w:jc w:val="both"/>
      </w:pPr>
      <w:r>
        <w:rPr>
          <w:color w:val="333333"/>
          <w:sz w:val="18"/>
          <w:szCs w:val="18"/>
        </w:rPr>
        <w:t>La Déclaration des droits de l’homme et du citoyen de 1789.</w:t>
      </w:r>
    </w:p>
    <w:p w14:paraId="082F1897" w14:textId="77777777" w:rsidR="00DF4DE6" w:rsidRDefault="001B2AC3" w:rsidP="00240AE0">
      <w:pPr>
        <w:pStyle w:val="Paragraphedeliste"/>
        <w:numPr>
          <w:ilvl w:val="0"/>
          <w:numId w:val="2"/>
        </w:numPr>
        <w:spacing w:after="40" w:line="264" w:lineRule="auto"/>
        <w:jc w:val="both"/>
      </w:pPr>
      <w:r>
        <w:rPr>
          <w:color w:val="333333"/>
          <w:sz w:val="18"/>
          <w:szCs w:val="18"/>
        </w:rPr>
        <w:t>Stéphane Rials (présenté par), La Déclaration des droits de l’homme et du citoyen, Paris, Hachette, coll. « Pluriel », 1988.</w:t>
      </w:r>
    </w:p>
    <w:p w14:paraId="11CF0CC9" w14:textId="77777777" w:rsidR="00DF4DE6" w:rsidRDefault="001B2AC3" w:rsidP="00240AE0">
      <w:pPr>
        <w:pStyle w:val="Paragraphedeliste"/>
        <w:numPr>
          <w:ilvl w:val="0"/>
          <w:numId w:val="2"/>
        </w:numPr>
        <w:spacing w:after="40" w:line="264" w:lineRule="auto"/>
        <w:jc w:val="both"/>
      </w:pPr>
      <w:r>
        <w:rPr>
          <w:color w:val="333333"/>
          <w:sz w:val="18"/>
          <w:szCs w:val="18"/>
        </w:rPr>
        <w:t>Alexis de Tocqueville, De la démocratie en Amérique I (1835), Paris, Gallimard, coll. Bibliothèque de la Pléiade, 1992.</w:t>
      </w:r>
    </w:p>
    <w:p w14:paraId="4F2A29C6" w14:textId="77777777" w:rsidR="00DF4DE6" w:rsidRDefault="001B2AC3" w:rsidP="00240AE0">
      <w:pPr>
        <w:pStyle w:val="Paragraphedeliste"/>
        <w:numPr>
          <w:ilvl w:val="0"/>
          <w:numId w:val="2"/>
        </w:numPr>
        <w:spacing w:after="40" w:line="264" w:lineRule="auto"/>
        <w:jc w:val="both"/>
      </w:pPr>
      <w:r>
        <w:rPr>
          <w:color w:val="333333"/>
          <w:sz w:val="18"/>
          <w:szCs w:val="18"/>
        </w:rPr>
        <w:t>Frédéric Rouvillon, Les Déclarations des droits de l’Homme, Flammarion, 2009.</w:t>
      </w:r>
    </w:p>
    <w:p w14:paraId="1F9177F5" w14:textId="77777777" w:rsidR="00DF4DE6" w:rsidRDefault="00DF4DE6" w:rsidP="00240AE0">
      <w:pPr>
        <w:pBdr>
          <w:top w:val="single" w:sz="6" w:space="0" w:color="C7D2E0"/>
        </w:pBdr>
        <w:spacing w:before="260" w:after="180"/>
        <w:jc w:val="both"/>
      </w:pPr>
    </w:p>
    <w:p w14:paraId="2AB3C27B"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4  ·</w:t>
      </w:r>
      <w:proofErr w:type="gramEnd"/>
      <w:r>
        <w:rPr>
          <w:b/>
          <w:bCs/>
          <w:color w:val="2E5A88"/>
          <w:sz w:val="22"/>
          <w:szCs w:val="22"/>
        </w:rPr>
        <w:t xml:space="preserve">  </w:t>
      </w:r>
      <w:r>
        <w:rPr>
          <w:rFonts w:ascii="Cambria" w:eastAsia="Cambria" w:hAnsi="Cambria" w:cs="Cambria"/>
          <w:b/>
          <w:bCs/>
          <w:color w:val="1F3864"/>
        </w:rPr>
        <w:t>Les classifications</w:t>
      </w:r>
    </w:p>
    <w:p w14:paraId="4D389F4E" w14:textId="77777777" w:rsidR="00DF4DE6" w:rsidRDefault="001B2AC3" w:rsidP="00240AE0">
      <w:pPr>
        <w:spacing w:after="120"/>
        <w:jc w:val="both"/>
      </w:pPr>
      <w:r>
        <w:rPr>
          <w:i/>
          <w:iCs/>
          <w:color w:val="595959"/>
          <w:sz w:val="17"/>
          <w:szCs w:val="17"/>
        </w:rPr>
        <w:t>Fascicule, p. 37</w:t>
      </w:r>
    </w:p>
    <w:p w14:paraId="10445D23" w14:textId="77777777" w:rsidR="00DF4DE6" w:rsidRDefault="001B2AC3" w:rsidP="00240AE0">
      <w:pPr>
        <w:spacing w:before="200" w:after="70"/>
        <w:jc w:val="both"/>
      </w:pPr>
      <w:r>
        <w:rPr>
          <w:b/>
          <w:bCs/>
          <w:color w:val="2E5A88"/>
          <w:spacing w:val="24"/>
          <w:sz w:val="17"/>
          <w:szCs w:val="17"/>
        </w:rPr>
        <w:t>IDÉE DIRECTRICE</w:t>
      </w:r>
    </w:p>
    <w:p w14:paraId="29B5CD7A" w14:textId="77777777" w:rsidR="00DF4DE6" w:rsidRDefault="001B2AC3" w:rsidP="00240AE0">
      <w:pPr>
        <w:spacing w:after="60" w:line="276" w:lineRule="auto"/>
        <w:jc w:val="both"/>
      </w:pPr>
      <w:r>
        <w:t xml:space="preserve">Fiche d'outillage : comment ranger les droits. Deux familles, posées en </w:t>
      </w:r>
      <w:proofErr w:type="spellStart"/>
      <w:r>
        <w:t>summa</w:t>
      </w:r>
      <w:proofErr w:type="spellEnd"/>
      <w:r>
        <w:t xml:space="preserve"> divisio. Les classifications doctrinales (générations chronologiques, objet, rôle de l'État selon Jellinek et Marx, régime d'exercice) et les classifications prétoriennes (Conseil d'État : individuelles/collectives ; Conseil constitutionnel : </w:t>
      </w:r>
      <w:r>
        <w:lastRenderedPageBreak/>
        <w:t>fondamentales/publiques). Le message assumé : aucune classification n'est exhaustive ni neutre, leur utilité est didactique.</w:t>
      </w:r>
    </w:p>
    <w:p w14:paraId="3E9878EB" w14:textId="77777777" w:rsidR="00DF4DE6" w:rsidRDefault="001B2AC3" w:rsidP="00240AE0">
      <w:pPr>
        <w:spacing w:before="200" w:after="70"/>
        <w:jc w:val="both"/>
      </w:pPr>
      <w:r>
        <w:rPr>
          <w:b/>
          <w:bCs/>
          <w:color w:val="2E5A88"/>
          <w:spacing w:val="24"/>
          <w:sz w:val="17"/>
          <w:szCs w:val="17"/>
        </w:rPr>
        <w:t>POINTS CLÉS (ENCADRÉ DU FASCICULE)</w:t>
      </w:r>
    </w:p>
    <w:p w14:paraId="7A63A0AA" w14:textId="77777777" w:rsidR="00DF4DE6" w:rsidRDefault="001B2AC3" w:rsidP="00240AE0">
      <w:pPr>
        <w:pStyle w:val="Paragraphedeliste"/>
        <w:numPr>
          <w:ilvl w:val="0"/>
          <w:numId w:val="2"/>
        </w:numPr>
        <w:spacing w:after="40" w:line="264" w:lineRule="auto"/>
        <w:jc w:val="both"/>
      </w:pPr>
      <w:r>
        <w:rPr>
          <w:color w:val="1A1A1A"/>
          <w:sz w:val="19"/>
          <w:szCs w:val="19"/>
        </w:rPr>
        <w:t>Il existe deux grandes méthodes de classification : la méthode doctrinale et la méthode prétorienne.</w:t>
      </w:r>
    </w:p>
    <w:p w14:paraId="5B179D08" w14:textId="77777777" w:rsidR="00DF4DE6" w:rsidRDefault="001B2AC3" w:rsidP="00240AE0">
      <w:pPr>
        <w:pStyle w:val="Paragraphedeliste"/>
        <w:numPr>
          <w:ilvl w:val="0"/>
          <w:numId w:val="2"/>
        </w:numPr>
        <w:spacing w:after="40" w:line="264" w:lineRule="auto"/>
        <w:jc w:val="both"/>
      </w:pPr>
      <w:r>
        <w:rPr>
          <w:color w:val="1A1A1A"/>
          <w:sz w:val="19"/>
          <w:szCs w:val="19"/>
        </w:rPr>
        <w:t>Chaque classification a sa propre démarche et sa propre raison d’être.</w:t>
      </w:r>
    </w:p>
    <w:p w14:paraId="33F01EBD" w14:textId="77777777" w:rsidR="00DF4DE6" w:rsidRDefault="001B2AC3" w:rsidP="00240AE0">
      <w:pPr>
        <w:pStyle w:val="Paragraphedeliste"/>
        <w:numPr>
          <w:ilvl w:val="0"/>
          <w:numId w:val="2"/>
        </w:numPr>
        <w:spacing w:after="40" w:line="264" w:lineRule="auto"/>
        <w:jc w:val="both"/>
      </w:pPr>
      <w:r>
        <w:rPr>
          <w:color w:val="1A1A1A"/>
          <w:sz w:val="19"/>
          <w:szCs w:val="19"/>
        </w:rPr>
        <w:t>Les classifications sont réalisées en fonction d’un critère déterminé : les titulaires des libertés, l’histoire ou encore leur contenu. Plusieurs tentatives de catégorisation des droits et libertés fondamentaux peuvent être mises en lumière.</w:t>
      </w:r>
    </w:p>
    <w:p w14:paraId="1DD8028B" w14:textId="77777777" w:rsidR="00DF4DE6" w:rsidRDefault="001B2AC3" w:rsidP="00240AE0">
      <w:pPr>
        <w:spacing w:before="200" w:after="70"/>
        <w:jc w:val="both"/>
      </w:pPr>
      <w:r>
        <w:rPr>
          <w:b/>
          <w:bCs/>
          <w:color w:val="2E5A88"/>
          <w:spacing w:val="24"/>
          <w:sz w:val="17"/>
          <w:szCs w:val="17"/>
        </w:rPr>
        <w:t>PLAN DE LA FICHE</w:t>
      </w:r>
    </w:p>
    <w:p w14:paraId="02E645B9" w14:textId="77777777" w:rsidR="00DF4DE6" w:rsidRDefault="001B2AC3" w:rsidP="00240AE0">
      <w:pPr>
        <w:spacing w:after="20" w:line="250" w:lineRule="auto"/>
        <w:ind w:left="240"/>
        <w:jc w:val="both"/>
      </w:pPr>
      <w:r>
        <w:rPr>
          <w:b/>
          <w:bCs/>
          <w:color w:val="1F3864"/>
          <w:sz w:val="19"/>
          <w:szCs w:val="19"/>
        </w:rPr>
        <w:t>1. Les classifications doctrinales</w:t>
      </w:r>
    </w:p>
    <w:p w14:paraId="570D78A9" w14:textId="77777777" w:rsidR="00DF4DE6" w:rsidRDefault="001B2AC3" w:rsidP="00240AE0">
      <w:pPr>
        <w:spacing w:after="20" w:line="250" w:lineRule="auto"/>
        <w:ind w:left="500"/>
        <w:jc w:val="both"/>
      </w:pPr>
      <w:r>
        <w:rPr>
          <w:color w:val="333333"/>
          <w:sz w:val="18"/>
          <w:szCs w:val="18"/>
        </w:rPr>
        <w:t>1.1. La classification chronologique ou diachronique : les générations de droit</w:t>
      </w:r>
    </w:p>
    <w:p w14:paraId="3ADADCEA" w14:textId="77777777" w:rsidR="00DF4DE6" w:rsidRDefault="001B2AC3" w:rsidP="00240AE0">
      <w:pPr>
        <w:spacing w:after="20" w:line="250" w:lineRule="auto"/>
        <w:ind w:left="760"/>
        <w:jc w:val="both"/>
      </w:pPr>
      <w:r>
        <w:rPr>
          <w:color w:val="595959"/>
          <w:sz w:val="18"/>
          <w:szCs w:val="18"/>
        </w:rPr>
        <w:t>1.1.1. Les droits de première génération (XVIIIe siècle)</w:t>
      </w:r>
    </w:p>
    <w:p w14:paraId="7959CE9A" w14:textId="77777777" w:rsidR="00DF4DE6" w:rsidRDefault="001B2AC3" w:rsidP="00240AE0">
      <w:pPr>
        <w:spacing w:after="20" w:line="250" w:lineRule="auto"/>
        <w:ind w:left="760"/>
        <w:jc w:val="both"/>
      </w:pPr>
      <w:r>
        <w:rPr>
          <w:color w:val="595959"/>
          <w:sz w:val="18"/>
          <w:szCs w:val="18"/>
        </w:rPr>
        <w:t>1.1.2. Les droits de deuxième génération (XIXe siècle)</w:t>
      </w:r>
    </w:p>
    <w:p w14:paraId="0557E2BC" w14:textId="77777777" w:rsidR="00DF4DE6" w:rsidRDefault="001B2AC3" w:rsidP="00240AE0">
      <w:pPr>
        <w:spacing w:after="20" w:line="250" w:lineRule="auto"/>
        <w:ind w:left="760"/>
        <w:jc w:val="both"/>
      </w:pPr>
      <w:r>
        <w:rPr>
          <w:color w:val="595959"/>
          <w:sz w:val="18"/>
          <w:szCs w:val="18"/>
        </w:rPr>
        <w:t>1.1.3. Les droits de troisième génération</w:t>
      </w:r>
    </w:p>
    <w:p w14:paraId="17A1F248" w14:textId="77777777" w:rsidR="00DF4DE6" w:rsidRDefault="001B2AC3" w:rsidP="00240AE0">
      <w:pPr>
        <w:spacing w:after="20" w:line="250" w:lineRule="auto"/>
        <w:ind w:left="760"/>
        <w:jc w:val="both"/>
      </w:pPr>
      <w:r>
        <w:rPr>
          <w:color w:val="595959"/>
          <w:sz w:val="18"/>
          <w:szCs w:val="18"/>
        </w:rPr>
        <w:t>1.1.4. Les droits de quatrième génération</w:t>
      </w:r>
    </w:p>
    <w:p w14:paraId="3AD87F89" w14:textId="77777777" w:rsidR="00DF4DE6" w:rsidRDefault="001B2AC3" w:rsidP="00240AE0">
      <w:pPr>
        <w:spacing w:after="20" w:line="250" w:lineRule="auto"/>
        <w:ind w:left="760"/>
        <w:jc w:val="both"/>
      </w:pPr>
      <w:r>
        <w:rPr>
          <w:color w:val="595959"/>
          <w:sz w:val="18"/>
          <w:szCs w:val="18"/>
        </w:rPr>
        <w:t>1.1.5. Une classification soumise à critique</w:t>
      </w:r>
    </w:p>
    <w:p w14:paraId="1EA17A45" w14:textId="77777777" w:rsidR="00DF4DE6" w:rsidRDefault="001B2AC3" w:rsidP="00240AE0">
      <w:pPr>
        <w:spacing w:after="20" w:line="250" w:lineRule="auto"/>
        <w:ind w:left="500"/>
        <w:jc w:val="both"/>
      </w:pPr>
      <w:r>
        <w:rPr>
          <w:color w:val="333333"/>
          <w:sz w:val="18"/>
          <w:szCs w:val="18"/>
        </w:rPr>
        <w:t>1.2. Les classifications en fonction de l’objet</w:t>
      </w:r>
    </w:p>
    <w:p w14:paraId="33DC7831" w14:textId="77777777" w:rsidR="00DF4DE6" w:rsidRDefault="001B2AC3" w:rsidP="00240AE0">
      <w:pPr>
        <w:spacing w:after="20" w:line="250" w:lineRule="auto"/>
        <w:ind w:left="760"/>
        <w:jc w:val="both"/>
      </w:pPr>
      <w:r>
        <w:rPr>
          <w:color w:val="595959"/>
          <w:sz w:val="18"/>
          <w:szCs w:val="18"/>
        </w:rPr>
        <w:t>1.2.1. La distinction entre droit substantiel/droit procédural</w:t>
      </w:r>
    </w:p>
    <w:p w14:paraId="2BFBC273" w14:textId="77777777" w:rsidR="00DF4DE6" w:rsidRDefault="001B2AC3" w:rsidP="00240AE0">
      <w:pPr>
        <w:spacing w:after="20" w:line="250" w:lineRule="auto"/>
        <w:ind w:left="760"/>
        <w:jc w:val="both"/>
      </w:pPr>
      <w:r>
        <w:rPr>
          <w:color w:val="595959"/>
          <w:sz w:val="18"/>
          <w:szCs w:val="18"/>
        </w:rPr>
        <w:t>1.2.2. La distinction entre liberté physique, intellectuelle et relationnelle</w:t>
      </w:r>
    </w:p>
    <w:p w14:paraId="745F76AA" w14:textId="77777777" w:rsidR="00DF4DE6" w:rsidRDefault="001B2AC3" w:rsidP="00240AE0">
      <w:pPr>
        <w:spacing w:after="20" w:line="250" w:lineRule="auto"/>
        <w:ind w:left="500"/>
        <w:jc w:val="both"/>
      </w:pPr>
      <w:r>
        <w:rPr>
          <w:color w:val="333333"/>
          <w:sz w:val="18"/>
          <w:szCs w:val="18"/>
        </w:rPr>
        <w:t>1.3. La classification fondée sur le rôle de l’État</w:t>
      </w:r>
    </w:p>
    <w:p w14:paraId="0D583D24" w14:textId="77777777" w:rsidR="00DF4DE6" w:rsidRDefault="001B2AC3" w:rsidP="00240AE0">
      <w:pPr>
        <w:spacing w:after="20" w:line="250" w:lineRule="auto"/>
        <w:ind w:left="760"/>
        <w:jc w:val="both"/>
      </w:pPr>
      <w:r>
        <w:rPr>
          <w:color w:val="595959"/>
          <w:sz w:val="18"/>
          <w:szCs w:val="18"/>
        </w:rPr>
        <w:t>1.3.1. La distinction opérée par G. Jellinek</w:t>
      </w:r>
    </w:p>
    <w:p w14:paraId="0D2E386B" w14:textId="77777777" w:rsidR="00DF4DE6" w:rsidRDefault="001B2AC3" w:rsidP="00240AE0">
      <w:pPr>
        <w:spacing w:after="20" w:line="250" w:lineRule="auto"/>
        <w:ind w:left="760"/>
        <w:jc w:val="both"/>
      </w:pPr>
      <w:r>
        <w:rPr>
          <w:color w:val="595959"/>
          <w:sz w:val="18"/>
          <w:szCs w:val="18"/>
        </w:rPr>
        <w:t>1.3.2. La distinction opérée par K. Marx</w:t>
      </w:r>
    </w:p>
    <w:p w14:paraId="41370609" w14:textId="77777777" w:rsidR="00DF4DE6" w:rsidRDefault="001B2AC3" w:rsidP="00240AE0">
      <w:pPr>
        <w:spacing w:after="20" w:line="250" w:lineRule="auto"/>
        <w:ind w:left="500"/>
        <w:jc w:val="both"/>
      </w:pPr>
      <w:r>
        <w:rPr>
          <w:color w:val="333333"/>
          <w:sz w:val="18"/>
          <w:szCs w:val="18"/>
        </w:rPr>
        <w:t>1.4. La distinction fondée sur le régime d’exercice</w:t>
      </w:r>
    </w:p>
    <w:p w14:paraId="76EF64B4" w14:textId="77777777" w:rsidR="00DF4DE6" w:rsidRDefault="001B2AC3" w:rsidP="00240AE0">
      <w:pPr>
        <w:spacing w:after="20" w:line="250" w:lineRule="auto"/>
        <w:ind w:left="760"/>
        <w:jc w:val="both"/>
      </w:pPr>
      <w:r>
        <w:rPr>
          <w:color w:val="595959"/>
          <w:sz w:val="18"/>
          <w:szCs w:val="18"/>
        </w:rPr>
        <w:t>1.4.1. Le régime répressif</w:t>
      </w:r>
    </w:p>
    <w:p w14:paraId="58F73AA3" w14:textId="77777777" w:rsidR="00DF4DE6" w:rsidRDefault="001B2AC3" w:rsidP="00240AE0">
      <w:pPr>
        <w:spacing w:after="20" w:line="250" w:lineRule="auto"/>
        <w:ind w:left="760"/>
        <w:jc w:val="both"/>
      </w:pPr>
      <w:r>
        <w:rPr>
          <w:color w:val="595959"/>
          <w:sz w:val="18"/>
          <w:szCs w:val="18"/>
        </w:rPr>
        <w:t>1.4.2. Le régime de la déclaration préalable</w:t>
      </w:r>
    </w:p>
    <w:p w14:paraId="1F91529D" w14:textId="77777777" w:rsidR="00DF4DE6" w:rsidRDefault="001B2AC3" w:rsidP="00240AE0">
      <w:pPr>
        <w:spacing w:after="20" w:line="250" w:lineRule="auto"/>
        <w:ind w:left="760"/>
        <w:jc w:val="both"/>
      </w:pPr>
      <w:r>
        <w:rPr>
          <w:color w:val="595959"/>
          <w:sz w:val="18"/>
          <w:szCs w:val="18"/>
        </w:rPr>
        <w:t>1.4.3. Le régime préventif</w:t>
      </w:r>
    </w:p>
    <w:p w14:paraId="251B0AE2" w14:textId="77777777" w:rsidR="00DF4DE6" w:rsidRDefault="001B2AC3" w:rsidP="00240AE0">
      <w:pPr>
        <w:spacing w:after="20" w:line="250" w:lineRule="auto"/>
        <w:ind w:left="240"/>
        <w:jc w:val="both"/>
      </w:pPr>
      <w:r>
        <w:rPr>
          <w:b/>
          <w:bCs/>
          <w:color w:val="1F3864"/>
          <w:sz w:val="19"/>
          <w:szCs w:val="19"/>
        </w:rPr>
        <w:t>2. Les classifications prétoriennes</w:t>
      </w:r>
    </w:p>
    <w:p w14:paraId="197D3C46" w14:textId="77777777" w:rsidR="00DF4DE6" w:rsidRDefault="001B2AC3" w:rsidP="00240AE0">
      <w:pPr>
        <w:spacing w:after="20" w:line="250" w:lineRule="auto"/>
        <w:ind w:left="500"/>
        <w:jc w:val="both"/>
      </w:pPr>
      <w:r>
        <w:rPr>
          <w:color w:val="333333"/>
          <w:sz w:val="18"/>
          <w:szCs w:val="18"/>
        </w:rPr>
        <w:t>2.1. La classification retenue par le Conseil d’État : libertés individuelles/libertés collectives</w:t>
      </w:r>
    </w:p>
    <w:p w14:paraId="747DF76F" w14:textId="77777777" w:rsidR="00DF4DE6" w:rsidRDefault="001B2AC3" w:rsidP="00240AE0">
      <w:pPr>
        <w:spacing w:after="20" w:line="250" w:lineRule="auto"/>
        <w:ind w:left="500"/>
        <w:jc w:val="both"/>
      </w:pPr>
      <w:r>
        <w:rPr>
          <w:color w:val="333333"/>
          <w:sz w:val="18"/>
          <w:szCs w:val="18"/>
        </w:rPr>
        <w:t>2.2. La classification retenue par le Conseil constitutionnel : libertés fondamentales/libertés publiques</w:t>
      </w:r>
    </w:p>
    <w:p w14:paraId="1F8A4B65" w14:textId="77777777" w:rsidR="00DF4DE6" w:rsidRDefault="001B2AC3" w:rsidP="00240AE0">
      <w:pPr>
        <w:spacing w:before="200" w:after="70"/>
        <w:jc w:val="both"/>
      </w:pPr>
      <w:r>
        <w:rPr>
          <w:b/>
          <w:bCs/>
          <w:color w:val="2E5A88"/>
          <w:spacing w:val="24"/>
          <w:sz w:val="17"/>
          <w:szCs w:val="17"/>
        </w:rPr>
        <w:t>RÉFÉRENCES CENTRALES</w:t>
      </w:r>
    </w:p>
    <w:p w14:paraId="177B3517" w14:textId="77777777" w:rsidR="00DF4DE6" w:rsidRDefault="001B2AC3" w:rsidP="00240AE0">
      <w:pPr>
        <w:pStyle w:val="Paragraphedeliste"/>
        <w:numPr>
          <w:ilvl w:val="0"/>
          <w:numId w:val="2"/>
        </w:numPr>
        <w:spacing w:after="40" w:line="264" w:lineRule="auto"/>
        <w:jc w:val="both"/>
      </w:pPr>
      <w:r>
        <w:rPr>
          <w:color w:val="333333"/>
          <w:sz w:val="18"/>
          <w:szCs w:val="18"/>
        </w:rPr>
        <w:t>Articles 7, 10 et 11 de la Déclaration des droits de l’homme et du citoyen.</w:t>
      </w:r>
    </w:p>
    <w:p w14:paraId="6CB06D33" w14:textId="77777777" w:rsidR="00DF4DE6" w:rsidRDefault="001B2AC3" w:rsidP="00240AE0">
      <w:pPr>
        <w:pStyle w:val="Paragraphedeliste"/>
        <w:numPr>
          <w:ilvl w:val="0"/>
          <w:numId w:val="2"/>
        </w:numPr>
        <w:spacing w:after="40" w:line="264" w:lineRule="auto"/>
        <w:jc w:val="both"/>
      </w:pPr>
      <w:r>
        <w:rPr>
          <w:color w:val="333333"/>
          <w:sz w:val="18"/>
          <w:szCs w:val="18"/>
        </w:rPr>
        <w:t>Préambule de la Constitution du 27 octobre 1946.</w:t>
      </w:r>
    </w:p>
    <w:p w14:paraId="475A200F" w14:textId="77777777" w:rsidR="00DF4DE6" w:rsidRDefault="001B2AC3" w:rsidP="00240AE0">
      <w:pPr>
        <w:pStyle w:val="Paragraphedeliste"/>
        <w:numPr>
          <w:ilvl w:val="0"/>
          <w:numId w:val="2"/>
        </w:numPr>
        <w:spacing w:after="40" w:line="264" w:lineRule="auto"/>
        <w:jc w:val="both"/>
      </w:pPr>
      <w:r>
        <w:rPr>
          <w:color w:val="333333"/>
          <w:sz w:val="18"/>
          <w:szCs w:val="18"/>
        </w:rPr>
        <w:t>CE, avis, 13 août 1947.</w:t>
      </w:r>
    </w:p>
    <w:p w14:paraId="678CB3E4"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décision no 84-181 DC du 11 octobre 1984, Loi visant à limiter la concentration et à assurer la transparence financière et le pluralisme des entreprises de presse.</w:t>
      </w:r>
    </w:p>
    <w:p w14:paraId="1BDE26DE" w14:textId="77777777" w:rsidR="00DF4DE6" w:rsidRDefault="00DF4DE6" w:rsidP="00240AE0">
      <w:pPr>
        <w:pBdr>
          <w:top w:val="single" w:sz="6" w:space="0" w:color="C7D2E0"/>
        </w:pBdr>
        <w:spacing w:before="260" w:after="180"/>
        <w:jc w:val="both"/>
      </w:pPr>
    </w:p>
    <w:p w14:paraId="3485E1D9"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5  ·</w:t>
      </w:r>
      <w:proofErr w:type="gramEnd"/>
      <w:r>
        <w:rPr>
          <w:b/>
          <w:bCs/>
          <w:color w:val="2E5A88"/>
          <w:sz w:val="22"/>
          <w:szCs w:val="22"/>
        </w:rPr>
        <w:t xml:space="preserve">  </w:t>
      </w:r>
      <w:r>
        <w:rPr>
          <w:rFonts w:ascii="Cambria" w:eastAsia="Cambria" w:hAnsi="Cambria" w:cs="Cambria"/>
          <w:b/>
          <w:bCs/>
          <w:color w:val="1F3864"/>
        </w:rPr>
        <w:t>Les principes directeurs</w:t>
      </w:r>
    </w:p>
    <w:p w14:paraId="0F361B73" w14:textId="77777777" w:rsidR="00DF4DE6" w:rsidRDefault="001B2AC3" w:rsidP="00240AE0">
      <w:pPr>
        <w:spacing w:after="120"/>
        <w:jc w:val="both"/>
      </w:pPr>
      <w:r>
        <w:rPr>
          <w:i/>
          <w:iCs/>
          <w:color w:val="595959"/>
          <w:sz w:val="17"/>
          <w:szCs w:val="17"/>
        </w:rPr>
        <w:t>Fascicule, p. 46</w:t>
      </w:r>
    </w:p>
    <w:p w14:paraId="29C7C78C" w14:textId="77777777" w:rsidR="00DF4DE6" w:rsidRDefault="001B2AC3" w:rsidP="00240AE0">
      <w:pPr>
        <w:spacing w:before="200" w:after="70"/>
        <w:jc w:val="both"/>
      </w:pPr>
      <w:r>
        <w:rPr>
          <w:b/>
          <w:bCs/>
          <w:color w:val="2E5A88"/>
          <w:spacing w:val="24"/>
          <w:sz w:val="17"/>
          <w:szCs w:val="17"/>
        </w:rPr>
        <w:t>IDÉE DIRECTRICE</w:t>
      </w:r>
    </w:p>
    <w:p w14:paraId="703F053F" w14:textId="77777777" w:rsidR="00DF4DE6" w:rsidRDefault="001B2AC3" w:rsidP="00240AE0">
      <w:pPr>
        <w:spacing w:after="60" w:line="276" w:lineRule="auto"/>
        <w:jc w:val="both"/>
      </w:pPr>
      <w:r>
        <w:t>Les quatre principes transversaux qui traversent tout le reste du fascicule : inaliénabilité (et sa limite, la renonciation volontaire — fin de vie, droit de se faire mal), universalité (limite terminologique et limite géographique), indivisibilité, et la dignité présentée comme le principe matriciel dont dérivent les autres. Chaque principe est exposé avec ses lacunes.</w:t>
      </w:r>
    </w:p>
    <w:p w14:paraId="3CB9355A" w14:textId="77777777" w:rsidR="00DF4DE6" w:rsidRDefault="001B2AC3" w:rsidP="00240AE0">
      <w:pPr>
        <w:spacing w:before="200" w:after="70"/>
        <w:jc w:val="both"/>
      </w:pPr>
      <w:r>
        <w:rPr>
          <w:b/>
          <w:bCs/>
          <w:color w:val="2E5A88"/>
          <w:spacing w:val="24"/>
          <w:sz w:val="17"/>
          <w:szCs w:val="17"/>
        </w:rPr>
        <w:t>POINTS CLÉS (ENCADRÉ DU FASCICULE)</w:t>
      </w:r>
    </w:p>
    <w:p w14:paraId="28409417" w14:textId="77777777" w:rsidR="00DF4DE6" w:rsidRDefault="001B2AC3" w:rsidP="00240AE0">
      <w:pPr>
        <w:pStyle w:val="Paragraphedeliste"/>
        <w:numPr>
          <w:ilvl w:val="0"/>
          <w:numId w:val="2"/>
        </w:numPr>
        <w:spacing w:after="40" w:line="264" w:lineRule="auto"/>
        <w:jc w:val="both"/>
      </w:pPr>
      <w:r>
        <w:rPr>
          <w:color w:val="1A1A1A"/>
          <w:sz w:val="19"/>
          <w:szCs w:val="19"/>
        </w:rPr>
        <w:t>Il existe de nombreux principes directeurs, c’est-à-dire des principes ayant une force suffisamment générale pour qu’ils puissent s’imposer à tout individu et à tout État.</w:t>
      </w:r>
    </w:p>
    <w:p w14:paraId="507DFA64" w14:textId="77777777" w:rsidR="00DF4DE6" w:rsidRDefault="001B2AC3" w:rsidP="00240AE0">
      <w:pPr>
        <w:pStyle w:val="Paragraphedeliste"/>
        <w:numPr>
          <w:ilvl w:val="0"/>
          <w:numId w:val="2"/>
        </w:numPr>
        <w:spacing w:after="40" w:line="264" w:lineRule="auto"/>
        <w:jc w:val="both"/>
      </w:pPr>
      <w:r>
        <w:rPr>
          <w:color w:val="1A1A1A"/>
          <w:sz w:val="19"/>
          <w:szCs w:val="19"/>
        </w:rPr>
        <w:t>Parmi ces principes, on retrouve l’inaliénabilité des droits, la dignité, l’indivisibilité et l’universalité.</w:t>
      </w:r>
    </w:p>
    <w:p w14:paraId="0BFBA579" w14:textId="77777777" w:rsidR="00DF4DE6" w:rsidRDefault="001B2AC3" w:rsidP="00240AE0">
      <w:pPr>
        <w:pStyle w:val="Paragraphedeliste"/>
        <w:numPr>
          <w:ilvl w:val="0"/>
          <w:numId w:val="2"/>
        </w:numPr>
        <w:spacing w:after="40" w:line="264" w:lineRule="auto"/>
        <w:jc w:val="both"/>
      </w:pPr>
      <w:r>
        <w:rPr>
          <w:color w:val="1A1A1A"/>
          <w:sz w:val="19"/>
          <w:szCs w:val="19"/>
        </w:rPr>
        <w:t>Bien qu’ils soient consacrés par plusieurs textes, ces principes souffrent souvent de lacunes.</w:t>
      </w:r>
    </w:p>
    <w:p w14:paraId="5007CFF3" w14:textId="77777777" w:rsidR="00DF4DE6" w:rsidRDefault="001B2AC3" w:rsidP="00240AE0">
      <w:pPr>
        <w:pStyle w:val="Paragraphedeliste"/>
        <w:numPr>
          <w:ilvl w:val="0"/>
          <w:numId w:val="2"/>
        </w:numPr>
        <w:spacing w:after="40" w:line="264" w:lineRule="auto"/>
        <w:jc w:val="both"/>
      </w:pPr>
      <w:r>
        <w:rPr>
          <w:color w:val="1A1A1A"/>
          <w:sz w:val="19"/>
          <w:szCs w:val="19"/>
        </w:rPr>
        <w:lastRenderedPageBreak/>
        <w:t>Ces lacunes impliquent qu’ils soient parfois remis en question et que la protection des droits soit parfois moins importante.</w:t>
      </w:r>
    </w:p>
    <w:p w14:paraId="56C17192" w14:textId="77777777" w:rsidR="00DF4DE6" w:rsidRDefault="001B2AC3" w:rsidP="00240AE0">
      <w:pPr>
        <w:spacing w:before="200" w:after="70"/>
        <w:jc w:val="both"/>
      </w:pPr>
      <w:r>
        <w:rPr>
          <w:b/>
          <w:bCs/>
          <w:color w:val="2E5A88"/>
          <w:spacing w:val="24"/>
          <w:sz w:val="17"/>
          <w:szCs w:val="17"/>
        </w:rPr>
        <w:t>PLAN DE LA FICHE</w:t>
      </w:r>
    </w:p>
    <w:p w14:paraId="562ED524" w14:textId="77777777" w:rsidR="00DF4DE6" w:rsidRDefault="001B2AC3" w:rsidP="00240AE0">
      <w:pPr>
        <w:spacing w:after="20" w:line="250" w:lineRule="auto"/>
        <w:ind w:left="240"/>
        <w:jc w:val="both"/>
      </w:pPr>
      <w:r>
        <w:rPr>
          <w:b/>
          <w:bCs/>
          <w:color w:val="1F3864"/>
          <w:sz w:val="19"/>
          <w:szCs w:val="19"/>
        </w:rPr>
        <w:t>1. L’inaliénabilité des droits humains</w:t>
      </w:r>
    </w:p>
    <w:p w14:paraId="5DB39D85" w14:textId="77777777" w:rsidR="00DF4DE6" w:rsidRDefault="001B2AC3" w:rsidP="00240AE0">
      <w:pPr>
        <w:spacing w:after="20" w:line="250" w:lineRule="auto"/>
        <w:ind w:left="500"/>
        <w:jc w:val="both"/>
      </w:pPr>
      <w:r>
        <w:rPr>
          <w:color w:val="333333"/>
          <w:sz w:val="18"/>
          <w:szCs w:val="18"/>
        </w:rPr>
        <w:t>1.1. Les fondements textuels de l’inaliénabilité</w:t>
      </w:r>
    </w:p>
    <w:p w14:paraId="4EAED02E" w14:textId="77777777" w:rsidR="00DF4DE6" w:rsidRDefault="001B2AC3" w:rsidP="00240AE0">
      <w:pPr>
        <w:spacing w:after="20" w:line="250" w:lineRule="auto"/>
        <w:ind w:left="500"/>
        <w:jc w:val="both"/>
      </w:pPr>
      <w:r>
        <w:rPr>
          <w:color w:val="333333"/>
          <w:sz w:val="18"/>
          <w:szCs w:val="18"/>
        </w:rPr>
        <w:t>1.2. La question de la renonciation volontaire</w:t>
      </w:r>
    </w:p>
    <w:p w14:paraId="23755EE3" w14:textId="77777777" w:rsidR="00DF4DE6" w:rsidRDefault="001B2AC3" w:rsidP="00240AE0">
      <w:pPr>
        <w:spacing w:after="20" w:line="250" w:lineRule="auto"/>
        <w:ind w:left="760"/>
        <w:jc w:val="both"/>
      </w:pPr>
      <w:r>
        <w:rPr>
          <w:color w:val="595959"/>
          <w:sz w:val="18"/>
          <w:szCs w:val="18"/>
        </w:rPr>
        <w:t>1.2.1. L’inaliénabilité et la fin de vie</w:t>
      </w:r>
    </w:p>
    <w:p w14:paraId="68C5ECB3" w14:textId="77777777" w:rsidR="00DF4DE6" w:rsidRDefault="001B2AC3" w:rsidP="00240AE0">
      <w:pPr>
        <w:spacing w:after="20" w:line="250" w:lineRule="auto"/>
        <w:ind w:left="760"/>
        <w:jc w:val="both"/>
      </w:pPr>
      <w:r>
        <w:rPr>
          <w:color w:val="595959"/>
          <w:sz w:val="18"/>
          <w:szCs w:val="18"/>
        </w:rPr>
        <w:t>1.2.2. L’inaliénabilité et le droit de se faire mal</w:t>
      </w:r>
    </w:p>
    <w:p w14:paraId="0C167EC0" w14:textId="77777777" w:rsidR="00DF4DE6" w:rsidRDefault="001B2AC3" w:rsidP="00240AE0">
      <w:pPr>
        <w:spacing w:after="20" w:line="250" w:lineRule="auto"/>
        <w:ind w:left="240"/>
        <w:jc w:val="both"/>
      </w:pPr>
      <w:r>
        <w:rPr>
          <w:b/>
          <w:bCs/>
          <w:color w:val="1F3864"/>
          <w:sz w:val="19"/>
          <w:szCs w:val="19"/>
        </w:rPr>
        <w:t>2. L’universalité des droits humains</w:t>
      </w:r>
    </w:p>
    <w:p w14:paraId="5609388E" w14:textId="77777777" w:rsidR="00DF4DE6" w:rsidRDefault="001B2AC3" w:rsidP="00240AE0">
      <w:pPr>
        <w:spacing w:after="20" w:line="250" w:lineRule="auto"/>
        <w:ind w:left="500"/>
        <w:jc w:val="both"/>
      </w:pPr>
      <w:r>
        <w:rPr>
          <w:color w:val="333333"/>
          <w:sz w:val="18"/>
          <w:szCs w:val="18"/>
        </w:rPr>
        <w:t>2.1. La limite terminologique de l’universalité : droits de l’homme ou droits humains ?</w:t>
      </w:r>
    </w:p>
    <w:p w14:paraId="3ACB9141" w14:textId="77777777" w:rsidR="00DF4DE6" w:rsidRDefault="001B2AC3" w:rsidP="00240AE0">
      <w:pPr>
        <w:spacing w:after="20" w:line="250" w:lineRule="auto"/>
        <w:ind w:left="500"/>
        <w:jc w:val="both"/>
      </w:pPr>
      <w:r>
        <w:rPr>
          <w:color w:val="333333"/>
          <w:sz w:val="18"/>
          <w:szCs w:val="18"/>
        </w:rPr>
        <w:t>2.2. La limite géographique de l’universalité : protection régionale ou universelle ?</w:t>
      </w:r>
    </w:p>
    <w:p w14:paraId="2E903325" w14:textId="77777777" w:rsidR="00DF4DE6" w:rsidRDefault="001B2AC3" w:rsidP="00240AE0">
      <w:pPr>
        <w:spacing w:after="20" w:line="250" w:lineRule="auto"/>
        <w:ind w:left="760"/>
        <w:jc w:val="both"/>
      </w:pPr>
      <w:r>
        <w:rPr>
          <w:color w:val="595959"/>
          <w:sz w:val="18"/>
          <w:szCs w:val="18"/>
        </w:rPr>
        <w:t>2.2.1. La difficile universalité au niveau mondial</w:t>
      </w:r>
    </w:p>
    <w:p w14:paraId="6D06E5AF" w14:textId="77777777" w:rsidR="00DF4DE6" w:rsidRDefault="001B2AC3" w:rsidP="00240AE0">
      <w:pPr>
        <w:spacing w:after="20" w:line="250" w:lineRule="auto"/>
        <w:ind w:left="760"/>
        <w:jc w:val="both"/>
      </w:pPr>
      <w:r>
        <w:rPr>
          <w:color w:val="595959"/>
          <w:sz w:val="18"/>
          <w:szCs w:val="18"/>
        </w:rPr>
        <w:t>2.2.2. La difficile universalité au niveau régional et étatique</w:t>
      </w:r>
    </w:p>
    <w:p w14:paraId="3CA66336" w14:textId="77777777" w:rsidR="00DF4DE6" w:rsidRDefault="001B2AC3" w:rsidP="00240AE0">
      <w:pPr>
        <w:spacing w:after="20" w:line="250" w:lineRule="auto"/>
        <w:ind w:left="240"/>
        <w:jc w:val="both"/>
      </w:pPr>
      <w:r>
        <w:rPr>
          <w:b/>
          <w:bCs/>
          <w:color w:val="1F3864"/>
          <w:sz w:val="19"/>
          <w:szCs w:val="19"/>
        </w:rPr>
        <w:t>3. L’unité ou l’indivisibilité des droits humains</w:t>
      </w:r>
    </w:p>
    <w:p w14:paraId="5638D307" w14:textId="77777777" w:rsidR="00DF4DE6" w:rsidRDefault="001B2AC3" w:rsidP="00240AE0">
      <w:pPr>
        <w:spacing w:after="20" w:line="250" w:lineRule="auto"/>
        <w:ind w:left="240"/>
        <w:jc w:val="both"/>
      </w:pPr>
      <w:r>
        <w:rPr>
          <w:b/>
          <w:bCs/>
          <w:color w:val="1F3864"/>
          <w:sz w:val="19"/>
          <w:szCs w:val="19"/>
        </w:rPr>
        <w:t>4. Le principe matriciel : la dignité humaine</w:t>
      </w:r>
    </w:p>
    <w:p w14:paraId="5D048729" w14:textId="77777777" w:rsidR="00DF4DE6" w:rsidRDefault="001B2AC3" w:rsidP="00240AE0">
      <w:pPr>
        <w:spacing w:after="20" w:line="250" w:lineRule="auto"/>
        <w:ind w:left="500"/>
        <w:jc w:val="both"/>
      </w:pPr>
      <w:r>
        <w:rPr>
          <w:color w:val="333333"/>
          <w:sz w:val="18"/>
          <w:szCs w:val="18"/>
        </w:rPr>
        <w:t>4.1. La définition de la dignité de la personne humaine</w:t>
      </w:r>
    </w:p>
    <w:p w14:paraId="11C22503" w14:textId="77777777" w:rsidR="00DF4DE6" w:rsidRDefault="001B2AC3" w:rsidP="00240AE0">
      <w:pPr>
        <w:spacing w:after="20" w:line="250" w:lineRule="auto"/>
        <w:ind w:left="500"/>
        <w:jc w:val="both"/>
      </w:pPr>
      <w:r>
        <w:rPr>
          <w:color w:val="333333"/>
          <w:sz w:val="18"/>
          <w:szCs w:val="18"/>
        </w:rPr>
        <w:t>4.2. Les consécrations de la dignité de la personne humaine</w:t>
      </w:r>
    </w:p>
    <w:p w14:paraId="601293E4" w14:textId="77777777" w:rsidR="00DF4DE6" w:rsidRDefault="001B2AC3" w:rsidP="00240AE0">
      <w:pPr>
        <w:spacing w:after="20" w:line="250" w:lineRule="auto"/>
        <w:ind w:left="500"/>
        <w:jc w:val="both"/>
      </w:pPr>
      <w:r>
        <w:rPr>
          <w:color w:val="333333"/>
          <w:sz w:val="18"/>
          <w:szCs w:val="18"/>
        </w:rPr>
        <w:t>4.3. La portée du principe de dignité</w:t>
      </w:r>
    </w:p>
    <w:p w14:paraId="43C08DAF" w14:textId="77777777" w:rsidR="00DF4DE6" w:rsidRDefault="001B2AC3" w:rsidP="00240AE0">
      <w:pPr>
        <w:spacing w:after="20" w:line="250" w:lineRule="auto"/>
        <w:ind w:left="500"/>
        <w:jc w:val="both"/>
      </w:pPr>
      <w:r>
        <w:rPr>
          <w:color w:val="333333"/>
          <w:sz w:val="18"/>
          <w:szCs w:val="18"/>
        </w:rPr>
        <w:t>4.4. Les droits couverts par le principe de dignité</w:t>
      </w:r>
    </w:p>
    <w:p w14:paraId="4D085614" w14:textId="77777777" w:rsidR="00DF4DE6" w:rsidRDefault="001B2AC3" w:rsidP="00240AE0">
      <w:pPr>
        <w:spacing w:before="200" w:after="70"/>
        <w:jc w:val="both"/>
      </w:pPr>
      <w:r>
        <w:rPr>
          <w:b/>
          <w:bCs/>
          <w:color w:val="2E5A88"/>
          <w:spacing w:val="24"/>
          <w:sz w:val="17"/>
          <w:szCs w:val="17"/>
        </w:rPr>
        <w:t>RÉFÉRENCES CENTRALES</w:t>
      </w:r>
    </w:p>
    <w:p w14:paraId="53DB1F7F" w14:textId="77777777" w:rsidR="00DF4DE6" w:rsidRDefault="001B2AC3" w:rsidP="00240AE0">
      <w:pPr>
        <w:pStyle w:val="Paragraphedeliste"/>
        <w:numPr>
          <w:ilvl w:val="0"/>
          <w:numId w:val="2"/>
        </w:numPr>
        <w:spacing w:after="40" w:line="264" w:lineRule="auto"/>
        <w:jc w:val="both"/>
      </w:pPr>
      <w:r>
        <w:rPr>
          <w:color w:val="333333"/>
          <w:sz w:val="18"/>
          <w:szCs w:val="18"/>
        </w:rPr>
        <w:t>Préambule de la Déclaration universelle des droits de l’homme.</w:t>
      </w:r>
    </w:p>
    <w:p w14:paraId="18542A00" w14:textId="77777777" w:rsidR="00DF4DE6" w:rsidRDefault="001B2AC3" w:rsidP="00240AE0">
      <w:pPr>
        <w:pStyle w:val="Paragraphedeliste"/>
        <w:numPr>
          <w:ilvl w:val="0"/>
          <w:numId w:val="2"/>
        </w:numPr>
        <w:spacing w:after="40" w:line="264" w:lineRule="auto"/>
        <w:jc w:val="both"/>
      </w:pPr>
      <w:r>
        <w:rPr>
          <w:color w:val="333333"/>
          <w:sz w:val="18"/>
          <w:szCs w:val="18"/>
        </w:rPr>
        <w:t>Article 20 de la Charte africaine des droits de l’homme.</w:t>
      </w:r>
    </w:p>
    <w:p w14:paraId="6FDBF3D3" w14:textId="77777777" w:rsidR="00DF4DE6" w:rsidRDefault="001B2AC3" w:rsidP="00240AE0">
      <w:pPr>
        <w:pStyle w:val="Paragraphedeliste"/>
        <w:numPr>
          <w:ilvl w:val="0"/>
          <w:numId w:val="2"/>
        </w:numPr>
        <w:spacing w:after="40" w:line="264" w:lineRule="auto"/>
        <w:jc w:val="both"/>
      </w:pPr>
      <w:r>
        <w:rPr>
          <w:color w:val="333333"/>
          <w:sz w:val="18"/>
          <w:szCs w:val="18"/>
        </w:rPr>
        <w:t>Article 5 de la Déclaration des droits de l’homme et du citoyen.</w:t>
      </w:r>
    </w:p>
    <w:p w14:paraId="6425DDD6" w14:textId="77777777" w:rsidR="00DF4DE6" w:rsidRDefault="001B2AC3" w:rsidP="00240AE0">
      <w:pPr>
        <w:pStyle w:val="Paragraphedeliste"/>
        <w:numPr>
          <w:ilvl w:val="0"/>
          <w:numId w:val="2"/>
        </w:numPr>
        <w:spacing w:after="40" w:line="264" w:lineRule="auto"/>
        <w:jc w:val="both"/>
      </w:pPr>
      <w:r>
        <w:rPr>
          <w:color w:val="333333"/>
          <w:sz w:val="18"/>
          <w:szCs w:val="18"/>
        </w:rPr>
        <w:t>Article 2 de la Convention européenne des droits de l’homme.</w:t>
      </w:r>
    </w:p>
    <w:p w14:paraId="1BBC4212" w14:textId="77777777" w:rsidR="00DF4DE6" w:rsidRDefault="00DF4DE6" w:rsidP="00240AE0">
      <w:pPr>
        <w:pBdr>
          <w:top w:val="single" w:sz="6" w:space="0" w:color="C7D2E0"/>
        </w:pBdr>
        <w:spacing w:before="260" w:after="180"/>
        <w:jc w:val="both"/>
      </w:pPr>
    </w:p>
    <w:p w14:paraId="203F7286"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6  ·</w:t>
      </w:r>
      <w:proofErr w:type="gramEnd"/>
      <w:r>
        <w:rPr>
          <w:b/>
          <w:bCs/>
          <w:color w:val="2E5A88"/>
          <w:sz w:val="22"/>
          <w:szCs w:val="22"/>
        </w:rPr>
        <w:t xml:space="preserve">  </w:t>
      </w:r>
      <w:r>
        <w:rPr>
          <w:rFonts w:ascii="Cambria" w:eastAsia="Cambria" w:hAnsi="Cambria" w:cs="Cambria"/>
          <w:b/>
          <w:bCs/>
          <w:color w:val="1F3864"/>
        </w:rPr>
        <w:t>Les régimes</w:t>
      </w:r>
    </w:p>
    <w:p w14:paraId="3D194B2F" w14:textId="77777777" w:rsidR="00DF4DE6" w:rsidRDefault="001B2AC3" w:rsidP="00240AE0">
      <w:pPr>
        <w:spacing w:after="120"/>
        <w:jc w:val="both"/>
      </w:pPr>
      <w:r>
        <w:rPr>
          <w:i/>
          <w:iCs/>
          <w:color w:val="595959"/>
          <w:sz w:val="17"/>
          <w:szCs w:val="17"/>
        </w:rPr>
        <w:t>Fascicule, p. 56</w:t>
      </w:r>
    </w:p>
    <w:p w14:paraId="0E660F03" w14:textId="77777777" w:rsidR="00DF4DE6" w:rsidRDefault="001B2AC3" w:rsidP="00240AE0">
      <w:pPr>
        <w:spacing w:before="200" w:after="70"/>
        <w:jc w:val="both"/>
      </w:pPr>
      <w:r>
        <w:rPr>
          <w:b/>
          <w:bCs/>
          <w:color w:val="2E5A88"/>
          <w:spacing w:val="24"/>
          <w:sz w:val="17"/>
          <w:szCs w:val="17"/>
        </w:rPr>
        <w:t>IDÉE DIRECTRICE</w:t>
      </w:r>
    </w:p>
    <w:p w14:paraId="7C5A9DC2" w14:textId="77777777" w:rsidR="00DF4DE6" w:rsidRDefault="001B2AC3" w:rsidP="00240AE0">
      <w:pPr>
        <w:spacing w:after="60" w:line="276" w:lineRule="auto"/>
        <w:jc w:val="both"/>
      </w:pPr>
      <w:r>
        <w:t>Fiche de mécanique : comment une liberté s'exerce en temps normal. Elle pose d'abord la nécessité de conciliation avec l'ordre public, puis distingue les trois régimes d'exercice : répressif (liberté en amont, sanction en aval), préventif (autorisation préalable) et déclaratif (information préalable). C'est la grille à réutiliser dans toutes les fiches de la partie VI.</w:t>
      </w:r>
    </w:p>
    <w:p w14:paraId="3B631A1B" w14:textId="77777777" w:rsidR="00DF4DE6" w:rsidRDefault="001B2AC3" w:rsidP="00240AE0">
      <w:pPr>
        <w:spacing w:before="200" w:after="70"/>
        <w:jc w:val="both"/>
      </w:pPr>
      <w:r>
        <w:rPr>
          <w:b/>
          <w:bCs/>
          <w:color w:val="2E5A88"/>
          <w:spacing w:val="24"/>
          <w:sz w:val="17"/>
          <w:szCs w:val="17"/>
        </w:rPr>
        <w:t>POINTS CLÉS (ENCADRÉ DU FASCICULE)</w:t>
      </w:r>
    </w:p>
    <w:p w14:paraId="63ED5699" w14:textId="77777777" w:rsidR="00DF4DE6" w:rsidRDefault="001B2AC3" w:rsidP="00240AE0">
      <w:pPr>
        <w:pStyle w:val="Paragraphedeliste"/>
        <w:numPr>
          <w:ilvl w:val="0"/>
          <w:numId w:val="2"/>
        </w:numPr>
        <w:spacing w:after="40" w:line="264" w:lineRule="auto"/>
        <w:jc w:val="both"/>
      </w:pPr>
      <w:r>
        <w:rPr>
          <w:color w:val="1A1A1A"/>
          <w:sz w:val="19"/>
          <w:szCs w:val="19"/>
        </w:rPr>
        <w:t>Régime répressif.</w:t>
      </w:r>
    </w:p>
    <w:p w14:paraId="23200ECA" w14:textId="77777777" w:rsidR="00DF4DE6" w:rsidRDefault="001B2AC3" w:rsidP="00240AE0">
      <w:pPr>
        <w:pStyle w:val="Paragraphedeliste"/>
        <w:numPr>
          <w:ilvl w:val="0"/>
          <w:numId w:val="2"/>
        </w:numPr>
        <w:spacing w:after="40" w:line="264" w:lineRule="auto"/>
        <w:jc w:val="both"/>
      </w:pPr>
      <w:r>
        <w:rPr>
          <w:color w:val="1A1A1A"/>
          <w:sz w:val="19"/>
          <w:szCs w:val="19"/>
        </w:rPr>
        <w:t>Régime préventif.</w:t>
      </w:r>
    </w:p>
    <w:p w14:paraId="1FE421BE" w14:textId="77777777" w:rsidR="00DF4DE6" w:rsidRDefault="001B2AC3" w:rsidP="00240AE0">
      <w:pPr>
        <w:pStyle w:val="Paragraphedeliste"/>
        <w:numPr>
          <w:ilvl w:val="0"/>
          <w:numId w:val="2"/>
        </w:numPr>
        <w:spacing w:after="40" w:line="264" w:lineRule="auto"/>
        <w:jc w:val="both"/>
      </w:pPr>
      <w:r>
        <w:rPr>
          <w:color w:val="1A1A1A"/>
          <w:sz w:val="19"/>
          <w:szCs w:val="19"/>
        </w:rPr>
        <w:t>Régime déclaratif.</w:t>
      </w:r>
    </w:p>
    <w:p w14:paraId="0DEF3F02" w14:textId="77777777" w:rsidR="00DF4DE6" w:rsidRDefault="001B2AC3" w:rsidP="00240AE0">
      <w:pPr>
        <w:pStyle w:val="Paragraphedeliste"/>
        <w:numPr>
          <w:ilvl w:val="0"/>
          <w:numId w:val="2"/>
        </w:numPr>
        <w:spacing w:after="40" w:line="264" w:lineRule="auto"/>
        <w:jc w:val="both"/>
      </w:pPr>
      <w:r>
        <w:rPr>
          <w:color w:val="1A1A1A"/>
          <w:sz w:val="19"/>
          <w:szCs w:val="19"/>
        </w:rPr>
        <w:t>Ordre public.</w:t>
      </w:r>
    </w:p>
    <w:p w14:paraId="2E50E00F" w14:textId="77777777" w:rsidR="00DF4DE6" w:rsidRDefault="001B2AC3" w:rsidP="00240AE0">
      <w:pPr>
        <w:pStyle w:val="Paragraphedeliste"/>
        <w:numPr>
          <w:ilvl w:val="0"/>
          <w:numId w:val="2"/>
        </w:numPr>
        <w:spacing w:after="40" w:line="264" w:lineRule="auto"/>
        <w:jc w:val="both"/>
      </w:pPr>
      <w:r>
        <w:rPr>
          <w:color w:val="1A1A1A"/>
          <w:sz w:val="19"/>
          <w:szCs w:val="19"/>
        </w:rPr>
        <w:t>Test de proportionnalité.</w:t>
      </w:r>
    </w:p>
    <w:p w14:paraId="6FB058FE" w14:textId="77777777" w:rsidR="00DF4DE6" w:rsidRDefault="001B2AC3" w:rsidP="00240AE0">
      <w:pPr>
        <w:pStyle w:val="Paragraphedeliste"/>
        <w:numPr>
          <w:ilvl w:val="0"/>
          <w:numId w:val="2"/>
        </w:numPr>
        <w:spacing w:after="40" w:line="264" w:lineRule="auto"/>
        <w:jc w:val="both"/>
      </w:pPr>
      <w:r>
        <w:rPr>
          <w:color w:val="1A1A1A"/>
          <w:sz w:val="19"/>
          <w:szCs w:val="19"/>
        </w:rPr>
        <w:t>Pouvoir de police.</w:t>
      </w:r>
    </w:p>
    <w:p w14:paraId="5B52F54B" w14:textId="77777777" w:rsidR="00DF4DE6" w:rsidRDefault="001B2AC3" w:rsidP="00240AE0">
      <w:pPr>
        <w:spacing w:before="200" w:after="70"/>
        <w:jc w:val="both"/>
      </w:pPr>
      <w:r>
        <w:rPr>
          <w:b/>
          <w:bCs/>
          <w:color w:val="2E5A88"/>
          <w:spacing w:val="24"/>
          <w:sz w:val="17"/>
          <w:szCs w:val="17"/>
        </w:rPr>
        <w:t>PLAN DE LA FICHE</w:t>
      </w:r>
    </w:p>
    <w:p w14:paraId="1899232D" w14:textId="77777777" w:rsidR="00DF4DE6" w:rsidRDefault="001B2AC3" w:rsidP="00240AE0">
      <w:pPr>
        <w:spacing w:after="20" w:line="250" w:lineRule="auto"/>
        <w:ind w:left="240"/>
        <w:jc w:val="both"/>
      </w:pPr>
      <w:r>
        <w:rPr>
          <w:b/>
          <w:bCs/>
          <w:color w:val="1F3864"/>
          <w:sz w:val="19"/>
          <w:szCs w:val="19"/>
        </w:rPr>
        <w:t>1. Une nécessité de conciliation des libertés avec d’autres impératifs</w:t>
      </w:r>
    </w:p>
    <w:p w14:paraId="45E74286" w14:textId="77777777" w:rsidR="00DF4DE6" w:rsidRDefault="001B2AC3" w:rsidP="00240AE0">
      <w:pPr>
        <w:spacing w:after="20" w:line="250" w:lineRule="auto"/>
        <w:ind w:left="500"/>
        <w:jc w:val="both"/>
      </w:pPr>
      <w:r>
        <w:rPr>
          <w:color w:val="333333"/>
          <w:sz w:val="18"/>
          <w:szCs w:val="18"/>
        </w:rPr>
        <w:t>1.1. Les principes généraux</w:t>
      </w:r>
    </w:p>
    <w:p w14:paraId="53EFEBF7" w14:textId="77777777" w:rsidR="00DF4DE6" w:rsidRDefault="001B2AC3" w:rsidP="00240AE0">
      <w:pPr>
        <w:spacing w:after="20" w:line="250" w:lineRule="auto"/>
        <w:ind w:left="500"/>
        <w:jc w:val="both"/>
      </w:pPr>
      <w:r>
        <w:rPr>
          <w:color w:val="333333"/>
          <w:sz w:val="18"/>
          <w:szCs w:val="18"/>
        </w:rPr>
        <w:t>1.2. La notion d’ordre public</w:t>
      </w:r>
    </w:p>
    <w:p w14:paraId="363C420A" w14:textId="77777777" w:rsidR="00DF4DE6" w:rsidRDefault="001B2AC3" w:rsidP="00240AE0">
      <w:pPr>
        <w:spacing w:after="20" w:line="250" w:lineRule="auto"/>
        <w:ind w:left="240"/>
        <w:jc w:val="both"/>
      </w:pPr>
      <w:r>
        <w:rPr>
          <w:b/>
          <w:bCs/>
          <w:color w:val="1F3864"/>
          <w:sz w:val="19"/>
          <w:szCs w:val="19"/>
        </w:rPr>
        <w:t>2. Les types de régimes</w:t>
      </w:r>
    </w:p>
    <w:p w14:paraId="40BE5545" w14:textId="77777777" w:rsidR="00DF4DE6" w:rsidRDefault="001B2AC3" w:rsidP="00240AE0">
      <w:pPr>
        <w:spacing w:after="20" w:line="250" w:lineRule="auto"/>
        <w:ind w:left="500"/>
        <w:jc w:val="both"/>
      </w:pPr>
      <w:r>
        <w:rPr>
          <w:color w:val="333333"/>
          <w:sz w:val="18"/>
          <w:szCs w:val="18"/>
        </w:rPr>
        <w:t>2.1. Le régime répressif</w:t>
      </w:r>
    </w:p>
    <w:p w14:paraId="60DA1786" w14:textId="77777777" w:rsidR="00DF4DE6" w:rsidRDefault="001B2AC3" w:rsidP="00240AE0">
      <w:pPr>
        <w:spacing w:after="20" w:line="250" w:lineRule="auto"/>
        <w:ind w:left="500"/>
        <w:jc w:val="both"/>
      </w:pPr>
      <w:r>
        <w:rPr>
          <w:color w:val="333333"/>
          <w:sz w:val="18"/>
          <w:szCs w:val="18"/>
        </w:rPr>
        <w:t>2.2. Le régime préventif</w:t>
      </w:r>
    </w:p>
    <w:p w14:paraId="29C55941" w14:textId="77777777" w:rsidR="00DF4DE6" w:rsidRDefault="001B2AC3" w:rsidP="00240AE0">
      <w:pPr>
        <w:spacing w:after="20" w:line="250" w:lineRule="auto"/>
        <w:ind w:left="500"/>
        <w:jc w:val="both"/>
      </w:pPr>
      <w:r>
        <w:rPr>
          <w:color w:val="333333"/>
          <w:sz w:val="18"/>
          <w:szCs w:val="18"/>
        </w:rPr>
        <w:t>2.3. Le régime déclaratif</w:t>
      </w:r>
    </w:p>
    <w:p w14:paraId="12FDE9D5" w14:textId="77777777" w:rsidR="00DF4DE6" w:rsidRDefault="001B2AC3" w:rsidP="00240AE0">
      <w:pPr>
        <w:spacing w:before="200" w:after="70"/>
        <w:jc w:val="both"/>
      </w:pPr>
      <w:r>
        <w:rPr>
          <w:b/>
          <w:bCs/>
          <w:color w:val="2E5A88"/>
          <w:spacing w:val="24"/>
          <w:sz w:val="17"/>
          <w:szCs w:val="17"/>
        </w:rPr>
        <w:lastRenderedPageBreak/>
        <w:t>RÉFÉRENCES CENTRALES</w:t>
      </w:r>
    </w:p>
    <w:p w14:paraId="32005457" w14:textId="77777777" w:rsidR="00DF4DE6" w:rsidRDefault="001B2AC3" w:rsidP="00240AE0">
      <w:pPr>
        <w:pStyle w:val="Paragraphedeliste"/>
        <w:numPr>
          <w:ilvl w:val="0"/>
          <w:numId w:val="2"/>
        </w:numPr>
        <w:spacing w:after="40" w:line="264" w:lineRule="auto"/>
        <w:jc w:val="both"/>
      </w:pPr>
      <w:r>
        <w:rPr>
          <w:color w:val="333333"/>
          <w:sz w:val="18"/>
          <w:szCs w:val="18"/>
        </w:rPr>
        <w:t>Art. 34 de la Constitution.</w:t>
      </w:r>
    </w:p>
    <w:p w14:paraId="51B05DC7" w14:textId="77777777" w:rsidR="00DF4DE6" w:rsidRDefault="001B2AC3" w:rsidP="00240AE0">
      <w:pPr>
        <w:pStyle w:val="Paragraphedeliste"/>
        <w:numPr>
          <w:ilvl w:val="0"/>
          <w:numId w:val="2"/>
        </w:numPr>
        <w:spacing w:after="40" w:line="264" w:lineRule="auto"/>
        <w:jc w:val="both"/>
      </w:pPr>
      <w:r>
        <w:rPr>
          <w:color w:val="333333"/>
          <w:sz w:val="18"/>
          <w:szCs w:val="18"/>
        </w:rPr>
        <w:t>Art. 4 de la Déclaration des droits de l’homme et du citoyen.</w:t>
      </w:r>
    </w:p>
    <w:p w14:paraId="760A82C4"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82-141 DC, 27 juillet 1982, Loi sur la communication audiovisuelle.</w:t>
      </w:r>
    </w:p>
    <w:p w14:paraId="0C47937D" w14:textId="77777777" w:rsidR="00DF4DE6" w:rsidRDefault="001B2AC3" w:rsidP="00240AE0">
      <w:pPr>
        <w:pStyle w:val="Paragraphedeliste"/>
        <w:numPr>
          <w:ilvl w:val="0"/>
          <w:numId w:val="2"/>
        </w:numPr>
        <w:spacing w:after="40" w:line="264" w:lineRule="auto"/>
        <w:jc w:val="both"/>
      </w:pPr>
      <w:r>
        <w:rPr>
          <w:color w:val="333333"/>
          <w:sz w:val="18"/>
          <w:szCs w:val="18"/>
        </w:rPr>
        <w:t>Art. L. 211-1 du Code de la sécurité intérieure.</w:t>
      </w:r>
    </w:p>
    <w:p w14:paraId="30F1E6AC" w14:textId="77777777" w:rsidR="00DF4DE6" w:rsidRDefault="00DF4DE6" w:rsidP="00240AE0">
      <w:pPr>
        <w:pBdr>
          <w:top w:val="single" w:sz="6" w:space="0" w:color="C7D2E0"/>
        </w:pBdr>
        <w:spacing w:before="260" w:after="180"/>
        <w:jc w:val="both"/>
      </w:pPr>
    </w:p>
    <w:p w14:paraId="4B2B1A2B" w14:textId="77777777" w:rsidR="00DF4DE6" w:rsidRDefault="001B2AC3" w:rsidP="00240AE0">
      <w:pPr>
        <w:pStyle w:val="Titre2"/>
        <w:spacing w:after="30"/>
        <w:jc w:val="both"/>
      </w:pPr>
      <w:r>
        <w:rPr>
          <w:b/>
          <w:bCs/>
          <w:color w:val="2E5A88"/>
          <w:sz w:val="22"/>
          <w:szCs w:val="22"/>
        </w:rPr>
        <w:t xml:space="preserve">Fiche 7  ·  </w:t>
      </w:r>
      <w:r>
        <w:rPr>
          <w:rFonts w:ascii="Cambria" w:eastAsia="Cambria" w:hAnsi="Cambria" w:cs="Cambria"/>
          <w:b/>
          <w:bCs/>
          <w:color w:val="1F3864"/>
        </w:rPr>
        <w:t>Limitations et états d’exception</w:t>
      </w:r>
    </w:p>
    <w:p w14:paraId="4F97BA9D" w14:textId="77777777" w:rsidR="00DF4DE6" w:rsidRDefault="001B2AC3" w:rsidP="00240AE0">
      <w:pPr>
        <w:spacing w:after="120"/>
        <w:jc w:val="both"/>
      </w:pPr>
      <w:r>
        <w:rPr>
          <w:i/>
          <w:iCs/>
          <w:color w:val="595959"/>
          <w:sz w:val="17"/>
          <w:szCs w:val="17"/>
        </w:rPr>
        <w:t>Fascicule, p. 63</w:t>
      </w:r>
    </w:p>
    <w:p w14:paraId="0ADEEE75" w14:textId="77777777" w:rsidR="00DF4DE6" w:rsidRDefault="001B2AC3" w:rsidP="00240AE0">
      <w:pPr>
        <w:spacing w:before="200" w:after="70"/>
        <w:jc w:val="both"/>
      </w:pPr>
      <w:r>
        <w:rPr>
          <w:b/>
          <w:bCs/>
          <w:color w:val="2E5A88"/>
          <w:spacing w:val="24"/>
          <w:sz w:val="17"/>
          <w:szCs w:val="17"/>
        </w:rPr>
        <w:t>IDÉE DIRECTRICE</w:t>
      </w:r>
    </w:p>
    <w:p w14:paraId="256EB4AE" w14:textId="77777777" w:rsidR="00DF4DE6" w:rsidRDefault="001B2AC3" w:rsidP="00240AE0">
      <w:pPr>
        <w:spacing w:after="60" w:line="276" w:lineRule="auto"/>
        <w:jc w:val="both"/>
      </w:pPr>
      <w:r>
        <w:t>Le pendant de la fiche 6 en temps de crise. Quatre étages : les régimes d'exception constitutionnels (article 16, état de siège de l'article 36), l'état d'urgence législatif (loi du 3 avril 1955, puis urgence sanitaire de mars 2020), la théorie prétorienne des circonstances exceptionnelles, et la dérogation conventionnelle (article 4 PIDCP, article 15 CEDH). Elle se ferme sur le noyau de droits indérogeables, y compris en période d'exception.</w:t>
      </w:r>
    </w:p>
    <w:p w14:paraId="23163734" w14:textId="77777777" w:rsidR="00DF4DE6" w:rsidRDefault="001B2AC3" w:rsidP="00240AE0">
      <w:pPr>
        <w:spacing w:before="200" w:after="70"/>
        <w:jc w:val="both"/>
      </w:pPr>
      <w:r>
        <w:rPr>
          <w:b/>
          <w:bCs/>
          <w:color w:val="2E5A88"/>
          <w:spacing w:val="24"/>
          <w:sz w:val="17"/>
          <w:szCs w:val="17"/>
        </w:rPr>
        <w:t>POINTS CLÉS (ENCADRÉ DU FASCICULE)</w:t>
      </w:r>
    </w:p>
    <w:p w14:paraId="26507E04" w14:textId="77777777" w:rsidR="00DF4DE6" w:rsidRDefault="001B2AC3" w:rsidP="00240AE0">
      <w:pPr>
        <w:pStyle w:val="Paragraphedeliste"/>
        <w:numPr>
          <w:ilvl w:val="0"/>
          <w:numId w:val="2"/>
        </w:numPr>
        <w:spacing w:after="40" w:line="264" w:lineRule="auto"/>
        <w:jc w:val="both"/>
      </w:pPr>
      <w:r>
        <w:rPr>
          <w:color w:val="1A1A1A"/>
          <w:sz w:val="19"/>
          <w:szCs w:val="19"/>
        </w:rPr>
        <w:t>Pouvoirs exceptionnels du président de la République.</w:t>
      </w:r>
    </w:p>
    <w:p w14:paraId="78FF14CD" w14:textId="77777777" w:rsidR="00DF4DE6" w:rsidRDefault="001B2AC3" w:rsidP="00240AE0">
      <w:pPr>
        <w:pStyle w:val="Paragraphedeliste"/>
        <w:numPr>
          <w:ilvl w:val="0"/>
          <w:numId w:val="2"/>
        </w:numPr>
        <w:spacing w:after="40" w:line="264" w:lineRule="auto"/>
        <w:jc w:val="both"/>
      </w:pPr>
      <w:r>
        <w:rPr>
          <w:color w:val="1A1A1A"/>
          <w:sz w:val="19"/>
          <w:szCs w:val="19"/>
        </w:rPr>
        <w:t>État de siège.</w:t>
      </w:r>
    </w:p>
    <w:p w14:paraId="6CCDE2E6" w14:textId="77777777" w:rsidR="00DF4DE6" w:rsidRDefault="001B2AC3" w:rsidP="00240AE0">
      <w:pPr>
        <w:pStyle w:val="Paragraphedeliste"/>
        <w:numPr>
          <w:ilvl w:val="0"/>
          <w:numId w:val="2"/>
        </w:numPr>
        <w:spacing w:after="40" w:line="264" w:lineRule="auto"/>
        <w:jc w:val="both"/>
      </w:pPr>
      <w:r>
        <w:rPr>
          <w:color w:val="1A1A1A"/>
          <w:sz w:val="19"/>
          <w:szCs w:val="19"/>
        </w:rPr>
        <w:t>État d’urgence.</w:t>
      </w:r>
    </w:p>
    <w:p w14:paraId="31867715" w14:textId="77777777" w:rsidR="00DF4DE6" w:rsidRDefault="001B2AC3" w:rsidP="00240AE0">
      <w:pPr>
        <w:pStyle w:val="Paragraphedeliste"/>
        <w:numPr>
          <w:ilvl w:val="0"/>
          <w:numId w:val="2"/>
        </w:numPr>
        <w:spacing w:after="40" w:line="264" w:lineRule="auto"/>
        <w:jc w:val="both"/>
      </w:pPr>
      <w:r>
        <w:rPr>
          <w:color w:val="1A1A1A"/>
          <w:sz w:val="19"/>
          <w:szCs w:val="19"/>
        </w:rPr>
        <w:t>État d’urgence sanitaire.</w:t>
      </w:r>
    </w:p>
    <w:p w14:paraId="0E933F44" w14:textId="77777777" w:rsidR="00DF4DE6" w:rsidRDefault="001B2AC3" w:rsidP="00240AE0">
      <w:pPr>
        <w:pStyle w:val="Paragraphedeliste"/>
        <w:numPr>
          <w:ilvl w:val="0"/>
          <w:numId w:val="2"/>
        </w:numPr>
        <w:spacing w:after="40" w:line="264" w:lineRule="auto"/>
        <w:jc w:val="both"/>
      </w:pPr>
      <w:r>
        <w:rPr>
          <w:color w:val="1A1A1A"/>
          <w:sz w:val="19"/>
          <w:szCs w:val="19"/>
        </w:rPr>
        <w:t>Théorie des circonstances exceptionnelles.</w:t>
      </w:r>
    </w:p>
    <w:p w14:paraId="41EED6FD" w14:textId="77777777" w:rsidR="00DF4DE6" w:rsidRDefault="001B2AC3" w:rsidP="00240AE0">
      <w:pPr>
        <w:pStyle w:val="Paragraphedeliste"/>
        <w:numPr>
          <w:ilvl w:val="0"/>
          <w:numId w:val="2"/>
        </w:numPr>
        <w:spacing w:after="40" w:line="264" w:lineRule="auto"/>
        <w:jc w:val="both"/>
      </w:pPr>
      <w:r>
        <w:rPr>
          <w:color w:val="1A1A1A"/>
          <w:sz w:val="19"/>
          <w:szCs w:val="19"/>
        </w:rPr>
        <w:t>Limitation des droits humains en période d’exception.</w:t>
      </w:r>
    </w:p>
    <w:p w14:paraId="02BA8619" w14:textId="77777777" w:rsidR="00DF4DE6" w:rsidRDefault="001B2AC3" w:rsidP="00240AE0">
      <w:pPr>
        <w:pStyle w:val="Paragraphedeliste"/>
        <w:numPr>
          <w:ilvl w:val="0"/>
          <w:numId w:val="2"/>
        </w:numPr>
        <w:spacing w:after="40" w:line="264" w:lineRule="auto"/>
        <w:jc w:val="both"/>
      </w:pPr>
      <w:r>
        <w:rPr>
          <w:color w:val="1A1A1A"/>
          <w:sz w:val="19"/>
          <w:szCs w:val="19"/>
        </w:rPr>
        <w:t>Droits humains indérogeables même en période d’exception.</w:t>
      </w:r>
    </w:p>
    <w:p w14:paraId="48B72CEC" w14:textId="77777777" w:rsidR="00DF4DE6" w:rsidRDefault="001B2AC3" w:rsidP="00240AE0">
      <w:pPr>
        <w:spacing w:before="200" w:after="70"/>
        <w:jc w:val="both"/>
      </w:pPr>
      <w:r>
        <w:rPr>
          <w:b/>
          <w:bCs/>
          <w:color w:val="2E5A88"/>
          <w:spacing w:val="24"/>
          <w:sz w:val="17"/>
          <w:szCs w:val="17"/>
        </w:rPr>
        <w:t>PLAN DE LA FICHE</w:t>
      </w:r>
    </w:p>
    <w:p w14:paraId="36432A49" w14:textId="77777777" w:rsidR="00DF4DE6" w:rsidRDefault="001B2AC3" w:rsidP="00240AE0">
      <w:pPr>
        <w:spacing w:after="20" w:line="250" w:lineRule="auto"/>
        <w:ind w:left="240"/>
        <w:jc w:val="both"/>
      </w:pPr>
      <w:r>
        <w:rPr>
          <w:b/>
          <w:bCs/>
          <w:color w:val="1F3864"/>
          <w:sz w:val="19"/>
          <w:szCs w:val="19"/>
        </w:rPr>
        <w:t>1. Les régimes d’exception prévus par la Constitution</w:t>
      </w:r>
    </w:p>
    <w:p w14:paraId="49BA071D" w14:textId="77777777" w:rsidR="00DF4DE6" w:rsidRDefault="001B2AC3" w:rsidP="00240AE0">
      <w:pPr>
        <w:spacing w:after="20" w:line="250" w:lineRule="auto"/>
        <w:ind w:left="500"/>
        <w:jc w:val="both"/>
      </w:pPr>
      <w:r>
        <w:rPr>
          <w:color w:val="333333"/>
          <w:sz w:val="18"/>
          <w:szCs w:val="18"/>
        </w:rPr>
        <w:t>1.1 Les pouvoirs exceptionnels du chef de l’État prévus à l’article 16 de la Constitution</w:t>
      </w:r>
    </w:p>
    <w:p w14:paraId="00AFC027" w14:textId="77777777" w:rsidR="00DF4DE6" w:rsidRDefault="001B2AC3" w:rsidP="00240AE0">
      <w:pPr>
        <w:spacing w:after="20" w:line="250" w:lineRule="auto"/>
        <w:ind w:left="760"/>
        <w:jc w:val="both"/>
      </w:pPr>
      <w:r>
        <w:rPr>
          <w:color w:val="595959"/>
          <w:sz w:val="18"/>
          <w:szCs w:val="18"/>
        </w:rPr>
        <w:t>1.1.1. Les conditions de sa mise en œuvre</w:t>
      </w:r>
    </w:p>
    <w:p w14:paraId="716B38C2" w14:textId="77777777" w:rsidR="00DF4DE6" w:rsidRDefault="001B2AC3" w:rsidP="00240AE0">
      <w:pPr>
        <w:spacing w:after="20" w:line="250" w:lineRule="auto"/>
        <w:ind w:left="760"/>
        <w:jc w:val="both"/>
      </w:pPr>
      <w:r>
        <w:rPr>
          <w:color w:val="595959"/>
          <w:sz w:val="18"/>
          <w:szCs w:val="18"/>
        </w:rPr>
        <w:t>1.1.2. Les pouvoirs exceptionnels du chef de l’État</w:t>
      </w:r>
    </w:p>
    <w:p w14:paraId="396D6B35" w14:textId="77777777" w:rsidR="00DF4DE6" w:rsidRDefault="001B2AC3" w:rsidP="00240AE0">
      <w:pPr>
        <w:spacing w:after="20" w:line="250" w:lineRule="auto"/>
        <w:ind w:left="760"/>
        <w:jc w:val="both"/>
      </w:pPr>
      <w:r>
        <w:rPr>
          <w:color w:val="595959"/>
          <w:sz w:val="18"/>
          <w:szCs w:val="18"/>
        </w:rPr>
        <w:t>1.1.3. Le contrôle des décisions prises sur le fondement de l’article 16</w:t>
      </w:r>
    </w:p>
    <w:p w14:paraId="35B69184" w14:textId="77777777" w:rsidR="00DF4DE6" w:rsidRDefault="001B2AC3" w:rsidP="00240AE0">
      <w:pPr>
        <w:spacing w:after="20" w:line="250" w:lineRule="auto"/>
        <w:ind w:left="760"/>
        <w:jc w:val="both"/>
      </w:pPr>
      <w:r>
        <w:rPr>
          <w:color w:val="595959"/>
          <w:sz w:val="18"/>
          <w:szCs w:val="18"/>
        </w:rPr>
        <w:t>1.1.4. La modification de l’article 16 par la révision constitutionnelle du 23 juillet 2008</w:t>
      </w:r>
    </w:p>
    <w:p w14:paraId="37F956CF" w14:textId="77777777" w:rsidR="00DF4DE6" w:rsidRDefault="001B2AC3" w:rsidP="00240AE0">
      <w:pPr>
        <w:spacing w:after="20" w:line="250" w:lineRule="auto"/>
        <w:ind w:left="760"/>
        <w:jc w:val="both"/>
      </w:pPr>
      <w:r>
        <w:rPr>
          <w:color w:val="595959"/>
          <w:sz w:val="18"/>
          <w:szCs w:val="18"/>
        </w:rPr>
        <w:t>1.1.5. L’unique application de l’article 16</w:t>
      </w:r>
    </w:p>
    <w:p w14:paraId="73842594" w14:textId="77777777" w:rsidR="00DF4DE6" w:rsidRDefault="001B2AC3" w:rsidP="00240AE0">
      <w:pPr>
        <w:spacing w:after="20" w:line="250" w:lineRule="auto"/>
        <w:ind w:left="500"/>
        <w:jc w:val="both"/>
      </w:pPr>
      <w:r>
        <w:rPr>
          <w:color w:val="333333"/>
          <w:sz w:val="18"/>
          <w:szCs w:val="18"/>
        </w:rPr>
        <w:t>1.2. L’état de siège prévu à l’article 36 de la Constitution</w:t>
      </w:r>
    </w:p>
    <w:p w14:paraId="2FA28B90" w14:textId="77777777" w:rsidR="00DF4DE6" w:rsidRDefault="001B2AC3" w:rsidP="00240AE0">
      <w:pPr>
        <w:spacing w:after="20" w:line="250" w:lineRule="auto"/>
        <w:ind w:left="760"/>
        <w:jc w:val="both"/>
      </w:pPr>
      <w:r>
        <w:rPr>
          <w:color w:val="595959"/>
          <w:sz w:val="18"/>
          <w:szCs w:val="18"/>
        </w:rPr>
        <w:t>1.2.1. Les conditions de mise en œuvre de l’article 36</w:t>
      </w:r>
    </w:p>
    <w:p w14:paraId="09D0E344" w14:textId="77777777" w:rsidR="00DF4DE6" w:rsidRDefault="001B2AC3" w:rsidP="00240AE0">
      <w:pPr>
        <w:spacing w:after="20" w:line="250" w:lineRule="auto"/>
        <w:ind w:left="760"/>
        <w:jc w:val="both"/>
      </w:pPr>
      <w:r>
        <w:rPr>
          <w:color w:val="595959"/>
          <w:sz w:val="18"/>
          <w:szCs w:val="18"/>
        </w:rPr>
        <w:t>1.2.2. L’accroissement des compétences de l’autorité militaire</w:t>
      </w:r>
    </w:p>
    <w:p w14:paraId="2DAB53EA" w14:textId="77777777" w:rsidR="00DF4DE6" w:rsidRDefault="001B2AC3" w:rsidP="00240AE0">
      <w:pPr>
        <w:spacing w:after="20" w:line="250" w:lineRule="auto"/>
        <w:ind w:left="760"/>
        <w:jc w:val="both"/>
      </w:pPr>
      <w:r>
        <w:rPr>
          <w:color w:val="595959"/>
          <w:sz w:val="18"/>
          <w:szCs w:val="18"/>
        </w:rPr>
        <w:t>1.2.3. Les limitations aux droits humains sous l’état de siège</w:t>
      </w:r>
    </w:p>
    <w:p w14:paraId="20BEF1EE" w14:textId="77777777" w:rsidR="00DF4DE6" w:rsidRDefault="001B2AC3" w:rsidP="00240AE0">
      <w:pPr>
        <w:spacing w:after="20" w:line="250" w:lineRule="auto"/>
        <w:ind w:left="240"/>
        <w:jc w:val="both"/>
      </w:pPr>
      <w:r>
        <w:rPr>
          <w:b/>
          <w:bCs/>
          <w:color w:val="1F3864"/>
          <w:sz w:val="19"/>
          <w:szCs w:val="19"/>
        </w:rPr>
        <w:t>2. L’état d’urgence prévu par le législateur</w:t>
      </w:r>
    </w:p>
    <w:p w14:paraId="5853FA98" w14:textId="77777777" w:rsidR="00DF4DE6" w:rsidRDefault="001B2AC3" w:rsidP="00240AE0">
      <w:pPr>
        <w:spacing w:after="20" w:line="250" w:lineRule="auto"/>
        <w:ind w:left="500"/>
        <w:jc w:val="both"/>
      </w:pPr>
      <w:r>
        <w:rPr>
          <w:color w:val="333333"/>
          <w:sz w:val="18"/>
          <w:szCs w:val="18"/>
        </w:rPr>
        <w:t>2.1. La loi du 3 avril 1955 classiquement appliquée sous la Ve République</w:t>
      </w:r>
    </w:p>
    <w:p w14:paraId="28C18FD5" w14:textId="77777777" w:rsidR="00DF4DE6" w:rsidRDefault="001B2AC3" w:rsidP="00240AE0">
      <w:pPr>
        <w:spacing w:after="20" w:line="250" w:lineRule="auto"/>
        <w:ind w:left="760"/>
        <w:jc w:val="both"/>
      </w:pPr>
      <w:r>
        <w:rPr>
          <w:color w:val="595959"/>
          <w:sz w:val="18"/>
          <w:szCs w:val="18"/>
        </w:rPr>
        <w:t>2.1.1. Les conditions de la mise en œuvre et de la prolongation</w:t>
      </w:r>
    </w:p>
    <w:p w14:paraId="24B7A676" w14:textId="77777777" w:rsidR="00DF4DE6" w:rsidRDefault="001B2AC3" w:rsidP="00240AE0">
      <w:pPr>
        <w:spacing w:after="20" w:line="250" w:lineRule="auto"/>
        <w:ind w:left="760"/>
        <w:jc w:val="both"/>
      </w:pPr>
      <w:r>
        <w:rPr>
          <w:color w:val="595959"/>
          <w:sz w:val="18"/>
          <w:szCs w:val="18"/>
        </w:rPr>
        <w:t>2.1.2. Le contrôle juridictionnel de la mise en œuvre et de la prolongation</w:t>
      </w:r>
    </w:p>
    <w:p w14:paraId="3479CCAB" w14:textId="77777777" w:rsidR="00DF4DE6" w:rsidRDefault="001B2AC3" w:rsidP="00240AE0">
      <w:pPr>
        <w:spacing w:after="20" w:line="250" w:lineRule="auto"/>
        <w:ind w:left="760"/>
        <w:jc w:val="both"/>
      </w:pPr>
      <w:r>
        <w:rPr>
          <w:color w:val="595959"/>
          <w:sz w:val="18"/>
          <w:szCs w:val="18"/>
        </w:rPr>
        <w:t>2.1.3. Les limitations aux droits humains prévues par la loi du 3 avril 1955</w:t>
      </w:r>
    </w:p>
    <w:p w14:paraId="3FAD80C1" w14:textId="77777777" w:rsidR="00DF4DE6" w:rsidRDefault="001B2AC3" w:rsidP="00240AE0">
      <w:pPr>
        <w:spacing w:after="20" w:line="250" w:lineRule="auto"/>
        <w:ind w:left="760"/>
        <w:jc w:val="both"/>
      </w:pPr>
      <w:r>
        <w:rPr>
          <w:color w:val="595959"/>
          <w:sz w:val="18"/>
          <w:szCs w:val="18"/>
        </w:rPr>
        <w:t>2.1.4. Le contrôle des mesures prises sur le fondement de la loi du 3 avril 1955</w:t>
      </w:r>
    </w:p>
    <w:p w14:paraId="7E3154A3" w14:textId="77777777" w:rsidR="00DF4DE6" w:rsidRDefault="001B2AC3" w:rsidP="00240AE0">
      <w:pPr>
        <w:spacing w:after="20" w:line="250" w:lineRule="auto"/>
        <w:ind w:left="760"/>
        <w:jc w:val="both"/>
      </w:pPr>
      <w:r>
        <w:rPr>
          <w:color w:val="595959"/>
          <w:sz w:val="18"/>
          <w:szCs w:val="18"/>
        </w:rPr>
        <w:t>2.1.5. Les applications de la loi du 3 avril 1955 sous la Ve République</w:t>
      </w:r>
    </w:p>
    <w:p w14:paraId="4588D9F7" w14:textId="77777777" w:rsidR="00DF4DE6" w:rsidRDefault="001B2AC3" w:rsidP="00240AE0">
      <w:pPr>
        <w:spacing w:after="20" w:line="250" w:lineRule="auto"/>
        <w:ind w:left="500"/>
        <w:jc w:val="both"/>
      </w:pPr>
      <w:r>
        <w:rPr>
          <w:color w:val="333333"/>
          <w:sz w:val="18"/>
          <w:szCs w:val="18"/>
        </w:rPr>
        <w:t>2.2. L’épidémie de Covid-19 et la loi du 23 mars 2020</w:t>
      </w:r>
    </w:p>
    <w:p w14:paraId="2E1EB006" w14:textId="77777777" w:rsidR="00DF4DE6" w:rsidRDefault="001B2AC3" w:rsidP="00240AE0">
      <w:pPr>
        <w:spacing w:after="20" w:line="250" w:lineRule="auto"/>
        <w:ind w:left="240"/>
        <w:jc w:val="both"/>
      </w:pPr>
      <w:r>
        <w:rPr>
          <w:b/>
          <w:bCs/>
          <w:color w:val="1F3864"/>
          <w:sz w:val="19"/>
          <w:szCs w:val="19"/>
        </w:rPr>
        <w:t>3. La création prétorienne de la théorie des circonstances exceptionnelles</w:t>
      </w:r>
    </w:p>
    <w:p w14:paraId="6A53A11B" w14:textId="77777777" w:rsidR="00DF4DE6" w:rsidRDefault="001B2AC3" w:rsidP="00240AE0">
      <w:pPr>
        <w:spacing w:after="20" w:line="250" w:lineRule="auto"/>
        <w:ind w:left="240"/>
        <w:jc w:val="both"/>
      </w:pPr>
      <w:r>
        <w:rPr>
          <w:b/>
          <w:bCs/>
          <w:color w:val="1F3864"/>
          <w:sz w:val="19"/>
          <w:szCs w:val="19"/>
        </w:rPr>
        <w:t>4. La reconnaissance conventionnelle de la dérogation aux droits humains</w:t>
      </w:r>
    </w:p>
    <w:p w14:paraId="25587B3A" w14:textId="77777777" w:rsidR="00DF4DE6" w:rsidRDefault="001B2AC3" w:rsidP="00240AE0">
      <w:pPr>
        <w:spacing w:after="20" w:line="250" w:lineRule="auto"/>
        <w:ind w:left="500"/>
        <w:jc w:val="both"/>
      </w:pPr>
      <w:r>
        <w:rPr>
          <w:color w:val="333333"/>
          <w:sz w:val="18"/>
          <w:szCs w:val="18"/>
        </w:rPr>
        <w:t>4.1. L’article 4 du Pacte international relatif aux droits civils et politiques</w:t>
      </w:r>
    </w:p>
    <w:p w14:paraId="4E7C218F" w14:textId="77777777" w:rsidR="00DF4DE6" w:rsidRDefault="001B2AC3" w:rsidP="00240AE0">
      <w:pPr>
        <w:spacing w:after="20" w:line="250" w:lineRule="auto"/>
        <w:ind w:left="500"/>
        <w:jc w:val="both"/>
      </w:pPr>
      <w:r>
        <w:rPr>
          <w:color w:val="333333"/>
          <w:sz w:val="18"/>
          <w:szCs w:val="18"/>
        </w:rPr>
        <w:t>4.2. L’article 15 de la Convention européenne et son interprétation prétorienne</w:t>
      </w:r>
    </w:p>
    <w:p w14:paraId="0B203B5A" w14:textId="77777777" w:rsidR="00DF4DE6" w:rsidRDefault="001B2AC3" w:rsidP="00240AE0">
      <w:pPr>
        <w:spacing w:after="20" w:line="250" w:lineRule="auto"/>
        <w:ind w:left="500"/>
        <w:jc w:val="both"/>
      </w:pPr>
      <w:r>
        <w:rPr>
          <w:color w:val="333333"/>
          <w:sz w:val="18"/>
          <w:szCs w:val="18"/>
        </w:rPr>
        <w:t>4.3. Les droits indérogeables en période d’exception</w:t>
      </w:r>
    </w:p>
    <w:p w14:paraId="6E919B59" w14:textId="77777777" w:rsidR="00DF4DE6" w:rsidRDefault="001B2AC3" w:rsidP="00240AE0">
      <w:pPr>
        <w:spacing w:after="20" w:line="250" w:lineRule="auto"/>
        <w:ind w:left="760"/>
        <w:jc w:val="both"/>
      </w:pPr>
      <w:r>
        <w:rPr>
          <w:color w:val="595959"/>
          <w:sz w:val="18"/>
          <w:szCs w:val="18"/>
        </w:rPr>
        <w:t>4.3.1. Les droits indérogeables selon le Pacte international relatif aux droits civils et politiques</w:t>
      </w:r>
    </w:p>
    <w:p w14:paraId="63019340" w14:textId="77777777" w:rsidR="00DF4DE6" w:rsidRDefault="001B2AC3" w:rsidP="00240AE0">
      <w:pPr>
        <w:spacing w:after="20" w:line="250" w:lineRule="auto"/>
        <w:ind w:left="760"/>
        <w:jc w:val="both"/>
      </w:pPr>
      <w:r>
        <w:rPr>
          <w:color w:val="595959"/>
          <w:sz w:val="18"/>
          <w:szCs w:val="18"/>
        </w:rPr>
        <w:t>4.3.2. Les droits indérogeables selon la Convention européenne des droits de l’homme</w:t>
      </w:r>
    </w:p>
    <w:p w14:paraId="4E7AEA12" w14:textId="77777777" w:rsidR="00DF4DE6" w:rsidRDefault="001B2AC3" w:rsidP="00240AE0">
      <w:pPr>
        <w:spacing w:before="200" w:after="70"/>
        <w:jc w:val="both"/>
      </w:pPr>
      <w:r>
        <w:rPr>
          <w:b/>
          <w:bCs/>
          <w:color w:val="2E5A88"/>
          <w:spacing w:val="24"/>
          <w:sz w:val="17"/>
          <w:szCs w:val="17"/>
        </w:rPr>
        <w:t>RÉFÉRENCES CENTRALES</w:t>
      </w:r>
    </w:p>
    <w:p w14:paraId="5C729CFD" w14:textId="77777777" w:rsidR="00DF4DE6" w:rsidRDefault="001B2AC3" w:rsidP="00240AE0">
      <w:pPr>
        <w:pStyle w:val="Paragraphedeliste"/>
        <w:numPr>
          <w:ilvl w:val="0"/>
          <w:numId w:val="2"/>
        </w:numPr>
        <w:spacing w:after="40" w:line="264" w:lineRule="auto"/>
        <w:jc w:val="both"/>
      </w:pPr>
      <w:r>
        <w:rPr>
          <w:color w:val="333333"/>
          <w:sz w:val="18"/>
          <w:szCs w:val="18"/>
        </w:rPr>
        <w:lastRenderedPageBreak/>
        <w:t>Article 16 de la Constitution.</w:t>
      </w:r>
    </w:p>
    <w:p w14:paraId="33FD77B1" w14:textId="77777777" w:rsidR="00DF4DE6" w:rsidRDefault="001B2AC3" w:rsidP="00240AE0">
      <w:pPr>
        <w:pStyle w:val="Paragraphedeliste"/>
        <w:numPr>
          <w:ilvl w:val="0"/>
          <w:numId w:val="2"/>
        </w:numPr>
        <w:spacing w:after="40" w:line="264" w:lineRule="auto"/>
        <w:jc w:val="both"/>
      </w:pPr>
      <w:r>
        <w:rPr>
          <w:color w:val="333333"/>
          <w:sz w:val="18"/>
          <w:szCs w:val="18"/>
        </w:rPr>
        <w:t xml:space="preserve">CE, </w:t>
      </w:r>
      <w:proofErr w:type="spellStart"/>
      <w:r>
        <w:rPr>
          <w:color w:val="333333"/>
          <w:sz w:val="18"/>
          <w:szCs w:val="18"/>
        </w:rPr>
        <w:t>ass</w:t>
      </w:r>
      <w:proofErr w:type="spellEnd"/>
      <w:r>
        <w:rPr>
          <w:color w:val="333333"/>
          <w:sz w:val="18"/>
          <w:szCs w:val="18"/>
        </w:rPr>
        <w:t>., 2 mars 1962, Rubin de Servens, no 55049.</w:t>
      </w:r>
    </w:p>
    <w:p w14:paraId="1DE59CB7" w14:textId="77777777" w:rsidR="00DF4DE6" w:rsidRDefault="001B2AC3" w:rsidP="00240AE0">
      <w:pPr>
        <w:pStyle w:val="Paragraphedeliste"/>
        <w:numPr>
          <w:ilvl w:val="0"/>
          <w:numId w:val="2"/>
        </w:numPr>
        <w:spacing w:after="40" w:line="264" w:lineRule="auto"/>
        <w:jc w:val="both"/>
      </w:pPr>
      <w:r>
        <w:rPr>
          <w:color w:val="333333"/>
          <w:sz w:val="18"/>
          <w:szCs w:val="18"/>
        </w:rPr>
        <w:t>Article 36 de la Constitution.</w:t>
      </w:r>
    </w:p>
    <w:p w14:paraId="0CB9E30A" w14:textId="77777777" w:rsidR="00DF4DE6" w:rsidRDefault="001B2AC3" w:rsidP="00240AE0">
      <w:pPr>
        <w:pStyle w:val="Paragraphedeliste"/>
        <w:numPr>
          <w:ilvl w:val="0"/>
          <w:numId w:val="2"/>
        </w:numPr>
        <w:spacing w:after="40" w:line="264" w:lineRule="auto"/>
        <w:jc w:val="both"/>
      </w:pPr>
      <w:r>
        <w:rPr>
          <w:color w:val="333333"/>
          <w:sz w:val="18"/>
          <w:szCs w:val="18"/>
        </w:rPr>
        <w:t>Loi no 55-385 du 3 avril 1955 relative à l’état d’urgence.</w:t>
      </w:r>
    </w:p>
    <w:p w14:paraId="52479FD8"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85-187 DC du 25 janvier 1985, Loi relative à l’état d’urgence en Nouvelle-Calédonie.</w:t>
      </w:r>
    </w:p>
    <w:p w14:paraId="20CBF790" w14:textId="77777777" w:rsidR="00DF4DE6" w:rsidRDefault="001B2AC3" w:rsidP="00240AE0">
      <w:pPr>
        <w:pStyle w:val="Paragraphedeliste"/>
        <w:numPr>
          <w:ilvl w:val="0"/>
          <w:numId w:val="2"/>
        </w:numPr>
        <w:spacing w:after="40" w:line="264" w:lineRule="auto"/>
        <w:jc w:val="both"/>
      </w:pPr>
      <w:r>
        <w:rPr>
          <w:color w:val="333333"/>
          <w:sz w:val="18"/>
          <w:szCs w:val="18"/>
        </w:rPr>
        <w:t>CE, ord., 14 novembre 2005, Rolin, no 286835.</w:t>
      </w:r>
    </w:p>
    <w:p w14:paraId="4BE51DD6" w14:textId="77777777" w:rsidR="00DF4DE6" w:rsidRDefault="001B2AC3" w:rsidP="00240AE0">
      <w:pPr>
        <w:pStyle w:val="Paragraphedeliste"/>
        <w:numPr>
          <w:ilvl w:val="0"/>
          <w:numId w:val="2"/>
        </w:numPr>
        <w:spacing w:after="40" w:line="264" w:lineRule="auto"/>
        <w:jc w:val="both"/>
      </w:pPr>
      <w:r>
        <w:rPr>
          <w:color w:val="333333"/>
          <w:sz w:val="18"/>
          <w:szCs w:val="18"/>
        </w:rPr>
        <w:t>Loi no 2020-290 du 23 mars 2020 d’urgence pour faire face à l’épidémie de Covid- 19.</w:t>
      </w:r>
    </w:p>
    <w:p w14:paraId="2FB6825F" w14:textId="77777777" w:rsidR="00DF4DE6" w:rsidRDefault="001B2AC3" w:rsidP="00240AE0">
      <w:pPr>
        <w:pStyle w:val="Paragraphedeliste"/>
        <w:numPr>
          <w:ilvl w:val="0"/>
          <w:numId w:val="2"/>
        </w:numPr>
        <w:spacing w:after="40" w:line="264" w:lineRule="auto"/>
        <w:jc w:val="both"/>
      </w:pPr>
      <w:r>
        <w:rPr>
          <w:color w:val="333333"/>
          <w:sz w:val="18"/>
          <w:szCs w:val="18"/>
        </w:rPr>
        <w:t>Article 4 du Pacte international relatif aux droits civils et politiques.</w:t>
      </w:r>
    </w:p>
    <w:p w14:paraId="07B43202" w14:textId="77777777" w:rsidR="00DF4DE6" w:rsidRDefault="001B2AC3" w:rsidP="00240AE0">
      <w:pPr>
        <w:pStyle w:val="Paragraphedeliste"/>
        <w:numPr>
          <w:ilvl w:val="0"/>
          <w:numId w:val="2"/>
        </w:numPr>
        <w:spacing w:after="40" w:line="264" w:lineRule="auto"/>
        <w:jc w:val="both"/>
      </w:pPr>
      <w:r>
        <w:rPr>
          <w:color w:val="333333"/>
          <w:sz w:val="18"/>
          <w:szCs w:val="18"/>
        </w:rPr>
        <w:t>Article 15 de la Convention européenne de sauvegarde des droits de l’homme et des libertés fondamentales. 1. Les régimes d’exception prévus par la Constitution Deux états d’exception sont reconnus par la Constitution du 4 octobre 1958. L’un, inscrit à l’article 16, confère au président de la République des pouvoirs extraordinaires. L’autre, inséré à l’article 36, prévoit l’état de siège qui élargit les pouvoirs de l’autorité militaire. 1.1 Les pouvoirs exceptionnels du chef de l’État prévus à l’article 16 de la Constitution L’introduction de l’article 16 de la Constitution traduit la volonté du général de Gaulle de prévenir la survenance d’événements similaires à ceux de 1940. 1.1.1. Les conditions de sa mise en œuvre L’article 16 précise les conditions cumulatives de sa mise en œuvre, dont les contours ne sont pas précis. Il est applicable : « Lorsque les institutions de la République, l’indépendance de la Nation, l’intégrité de son territoire ou l’exécution de ses engagements internationaux sont menacés d’une manière grave et immédiate et que le fonctionnement régulier des pouvoirs publics constitutionnels est interrompu. » La décision du président de la République de le déclencher n’est pas soumise à contreseing, mais requiert une consultation préalable pour avis du Premier ministre, des présidents de l’Assemblée nationale et du Sénat, ainsi que du Conseil constitutionnel, sans que la décision du président de la République soit liée par cette consultation.</w:t>
      </w:r>
    </w:p>
    <w:p w14:paraId="26EF32BF" w14:textId="77777777" w:rsidR="00DF4DE6" w:rsidRDefault="00DF4DE6" w:rsidP="00240AE0">
      <w:pPr>
        <w:pBdr>
          <w:top w:val="single" w:sz="6" w:space="0" w:color="C7D2E0"/>
        </w:pBdr>
        <w:spacing w:before="260" w:after="180"/>
        <w:jc w:val="both"/>
      </w:pPr>
    </w:p>
    <w:p w14:paraId="417A8FD2"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8  ·</w:t>
      </w:r>
      <w:proofErr w:type="gramEnd"/>
      <w:r>
        <w:rPr>
          <w:b/>
          <w:bCs/>
          <w:color w:val="2E5A88"/>
          <w:sz w:val="22"/>
          <w:szCs w:val="22"/>
        </w:rPr>
        <w:t xml:space="preserve">  </w:t>
      </w:r>
      <w:r>
        <w:rPr>
          <w:rFonts w:ascii="Cambria" w:eastAsia="Cambria" w:hAnsi="Cambria" w:cs="Cambria"/>
          <w:b/>
          <w:bCs/>
          <w:color w:val="1F3864"/>
        </w:rPr>
        <w:t>La crise des droits humains et l’État de droit</w:t>
      </w:r>
    </w:p>
    <w:p w14:paraId="15EC3B3E" w14:textId="77777777" w:rsidR="00DF4DE6" w:rsidRDefault="001B2AC3" w:rsidP="00240AE0">
      <w:pPr>
        <w:spacing w:after="120"/>
        <w:jc w:val="both"/>
      </w:pPr>
      <w:r>
        <w:rPr>
          <w:i/>
          <w:iCs/>
          <w:color w:val="595959"/>
          <w:sz w:val="17"/>
          <w:szCs w:val="17"/>
        </w:rPr>
        <w:t>Fascicule, p. 74</w:t>
      </w:r>
    </w:p>
    <w:p w14:paraId="22A965BC" w14:textId="77777777" w:rsidR="00DF4DE6" w:rsidRDefault="001B2AC3" w:rsidP="00240AE0">
      <w:pPr>
        <w:spacing w:before="200" w:after="70"/>
        <w:jc w:val="both"/>
      </w:pPr>
      <w:r>
        <w:rPr>
          <w:b/>
          <w:bCs/>
          <w:color w:val="2E5A88"/>
          <w:spacing w:val="24"/>
          <w:sz w:val="17"/>
          <w:szCs w:val="17"/>
        </w:rPr>
        <w:t>IDÉE DIRECTRICE</w:t>
      </w:r>
    </w:p>
    <w:p w14:paraId="57B09737" w14:textId="77777777" w:rsidR="00DF4DE6" w:rsidRDefault="001B2AC3" w:rsidP="00240AE0">
      <w:pPr>
        <w:spacing w:after="60" w:line="276" w:lineRule="auto"/>
        <w:jc w:val="both"/>
      </w:pPr>
      <w:r>
        <w:t>Fiche d'actualité et de problématisation, très utile à l'oral. Elle définit d'abord l'État de droit (absence de définition normative univoque, textes constitutionnels et conventionnels, définition de la Commission de Venise), puis recense les formes de sa remise en cause : contestation de la légitimité des juges, contestation du droit supranational, et crise des droits humains déclinée en quatre terrains (droits de l'opposition, liberté académique, droits des femmes, personnes migrantes).</w:t>
      </w:r>
    </w:p>
    <w:p w14:paraId="2CA6027B" w14:textId="77777777" w:rsidR="00DF4DE6" w:rsidRDefault="001B2AC3" w:rsidP="00240AE0">
      <w:pPr>
        <w:spacing w:before="200" w:after="70"/>
        <w:jc w:val="both"/>
      </w:pPr>
      <w:r>
        <w:rPr>
          <w:b/>
          <w:bCs/>
          <w:color w:val="2E5A88"/>
          <w:spacing w:val="24"/>
          <w:sz w:val="17"/>
          <w:szCs w:val="17"/>
        </w:rPr>
        <w:t>POINTS CLÉS (ENCADRÉ DU FASCICULE)</w:t>
      </w:r>
    </w:p>
    <w:p w14:paraId="77B9F8EE" w14:textId="77777777" w:rsidR="00DF4DE6" w:rsidRDefault="001B2AC3" w:rsidP="00240AE0">
      <w:pPr>
        <w:pStyle w:val="Paragraphedeliste"/>
        <w:numPr>
          <w:ilvl w:val="0"/>
          <w:numId w:val="2"/>
        </w:numPr>
        <w:spacing w:after="40" w:line="264" w:lineRule="auto"/>
        <w:jc w:val="both"/>
      </w:pPr>
      <w:r>
        <w:rPr>
          <w:color w:val="1A1A1A"/>
          <w:sz w:val="19"/>
          <w:szCs w:val="19"/>
        </w:rPr>
        <w:t>Commission pour la démocratie par le droit du Conseil de l’Europe.</w:t>
      </w:r>
    </w:p>
    <w:p w14:paraId="348FB0E8" w14:textId="77777777" w:rsidR="00DF4DE6" w:rsidRDefault="001B2AC3" w:rsidP="00240AE0">
      <w:pPr>
        <w:pStyle w:val="Paragraphedeliste"/>
        <w:numPr>
          <w:ilvl w:val="0"/>
          <w:numId w:val="2"/>
        </w:numPr>
        <w:spacing w:after="40" w:line="264" w:lineRule="auto"/>
        <w:jc w:val="both"/>
      </w:pPr>
      <w:r>
        <w:rPr>
          <w:color w:val="1A1A1A"/>
          <w:sz w:val="19"/>
          <w:szCs w:val="19"/>
        </w:rPr>
        <w:t>Contestation de la légitimité des juges.</w:t>
      </w:r>
    </w:p>
    <w:p w14:paraId="07828415" w14:textId="77777777" w:rsidR="00DF4DE6" w:rsidRDefault="001B2AC3" w:rsidP="00240AE0">
      <w:pPr>
        <w:pStyle w:val="Paragraphedeliste"/>
        <w:numPr>
          <w:ilvl w:val="0"/>
          <w:numId w:val="2"/>
        </w:numPr>
        <w:spacing w:after="40" w:line="264" w:lineRule="auto"/>
        <w:jc w:val="both"/>
      </w:pPr>
      <w:r>
        <w:rPr>
          <w:color w:val="1A1A1A"/>
          <w:sz w:val="19"/>
          <w:szCs w:val="19"/>
        </w:rPr>
        <w:t>Contestation du droit supranational.</w:t>
      </w:r>
    </w:p>
    <w:p w14:paraId="3511DE44" w14:textId="77777777" w:rsidR="00DF4DE6" w:rsidRDefault="001B2AC3" w:rsidP="00240AE0">
      <w:pPr>
        <w:pStyle w:val="Paragraphedeliste"/>
        <w:numPr>
          <w:ilvl w:val="0"/>
          <w:numId w:val="2"/>
        </w:numPr>
        <w:spacing w:after="40" w:line="264" w:lineRule="auto"/>
        <w:jc w:val="both"/>
      </w:pPr>
      <w:r>
        <w:rPr>
          <w:color w:val="1A1A1A"/>
          <w:sz w:val="19"/>
          <w:szCs w:val="19"/>
        </w:rPr>
        <w:t>Crise des droits humains.</w:t>
      </w:r>
    </w:p>
    <w:p w14:paraId="098898DE" w14:textId="77777777" w:rsidR="00DF4DE6" w:rsidRDefault="001B2AC3" w:rsidP="00240AE0">
      <w:pPr>
        <w:pStyle w:val="Paragraphedeliste"/>
        <w:numPr>
          <w:ilvl w:val="0"/>
          <w:numId w:val="2"/>
        </w:numPr>
        <w:spacing w:after="40" w:line="264" w:lineRule="auto"/>
        <w:jc w:val="both"/>
      </w:pPr>
      <w:r>
        <w:rPr>
          <w:color w:val="1A1A1A"/>
          <w:sz w:val="19"/>
          <w:szCs w:val="19"/>
        </w:rPr>
        <w:t>Fragilisation des droits de l’opposition.</w:t>
      </w:r>
    </w:p>
    <w:p w14:paraId="585D3F09" w14:textId="77777777" w:rsidR="00DF4DE6" w:rsidRDefault="001B2AC3" w:rsidP="00240AE0">
      <w:pPr>
        <w:pStyle w:val="Paragraphedeliste"/>
        <w:numPr>
          <w:ilvl w:val="0"/>
          <w:numId w:val="2"/>
        </w:numPr>
        <w:spacing w:after="40" w:line="264" w:lineRule="auto"/>
        <w:jc w:val="both"/>
      </w:pPr>
      <w:r>
        <w:rPr>
          <w:color w:val="1A1A1A"/>
          <w:sz w:val="19"/>
          <w:szCs w:val="19"/>
        </w:rPr>
        <w:t>Liberté académique en crise.</w:t>
      </w:r>
    </w:p>
    <w:p w14:paraId="0C481391" w14:textId="77777777" w:rsidR="00DF4DE6" w:rsidRDefault="001B2AC3" w:rsidP="00240AE0">
      <w:pPr>
        <w:pStyle w:val="Paragraphedeliste"/>
        <w:numPr>
          <w:ilvl w:val="0"/>
          <w:numId w:val="2"/>
        </w:numPr>
        <w:spacing w:after="40" w:line="264" w:lineRule="auto"/>
        <w:jc w:val="both"/>
      </w:pPr>
      <w:r>
        <w:rPr>
          <w:color w:val="1A1A1A"/>
          <w:sz w:val="19"/>
          <w:szCs w:val="19"/>
        </w:rPr>
        <w:t>Remise en cause des droits des femmes.</w:t>
      </w:r>
    </w:p>
    <w:p w14:paraId="4423463E" w14:textId="77777777" w:rsidR="00DF4DE6" w:rsidRDefault="001B2AC3" w:rsidP="00240AE0">
      <w:pPr>
        <w:pStyle w:val="Paragraphedeliste"/>
        <w:numPr>
          <w:ilvl w:val="0"/>
          <w:numId w:val="2"/>
        </w:numPr>
        <w:spacing w:after="40" w:line="264" w:lineRule="auto"/>
        <w:jc w:val="both"/>
      </w:pPr>
      <w:r>
        <w:rPr>
          <w:color w:val="1A1A1A"/>
          <w:sz w:val="19"/>
          <w:szCs w:val="19"/>
        </w:rPr>
        <w:t>Réticence à l’égard des droits des personnes migrantes.</w:t>
      </w:r>
    </w:p>
    <w:p w14:paraId="184A8494" w14:textId="77777777" w:rsidR="00DF4DE6" w:rsidRDefault="001B2AC3" w:rsidP="00240AE0">
      <w:pPr>
        <w:spacing w:before="200" w:after="70"/>
        <w:jc w:val="both"/>
      </w:pPr>
      <w:r>
        <w:rPr>
          <w:b/>
          <w:bCs/>
          <w:color w:val="2E5A88"/>
          <w:spacing w:val="24"/>
          <w:sz w:val="17"/>
          <w:szCs w:val="17"/>
        </w:rPr>
        <w:t>PLAN DE LA FICHE</w:t>
      </w:r>
    </w:p>
    <w:p w14:paraId="7DCCE340" w14:textId="77777777" w:rsidR="00DF4DE6" w:rsidRDefault="001B2AC3" w:rsidP="00240AE0">
      <w:pPr>
        <w:spacing w:after="20" w:line="250" w:lineRule="auto"/>
        <w:ind w:left="240"/>
        <w:jc w:val="both"/>
      </w:pPr>
      <w:r>
        <w:rPr>
          <w:b/>
          <w:bCs/>
          <w:color w:val="1F3864"/>
          <w:sz w:val="19"/>
          <w:szCs w:val="19"/>
        </w:rPr>
        <w:t>1. La définition de l’État de droit</w:t>
      </w:r>
    </w:p>
    <w:p w14:paraId="38370503" w14:textId="77777777" w:rsidR="00DF4DE6" w:rsidRDefault="001B2AC3" w:rsidP="00240AE0">
      <w:pPr>
        <w:spacing w:after="20" w:line="250" w:lineRule="auto"/>
        <w:ind w:left="500"/>
        <w:jc w:val="both"/>
      </w:pPr>
      <w:r>
        <w:rPr>
          <w:color w:val="333333"/>
          <w:sz w:val="18"/>
          <w:szCs w:val="18"/>
        </w:rPr>
        <w:t>1.1. L’absence de définition normative univoque</w:t>
      </w:r>
    </w:p>
    <w:p w14:paraId="31C81A2F" w14:textId="77777777" w:rsidR="00DF4DE6" w:rsidRDefault="001B2AC3" w:rsidP="00240AE0">
      <w:pPr>
        <w:spacing w:after="20" w:line="250" w:lineRule="auto"/>
        <w:ind w:left="500"/>
        <w:jc w:val="both"/>
      </w:pPr>
      <w:r>
        <w:rPr>
          <w:color w:val="333333"/>
          <w:sz w:val="18"/>
          <w:szCs w:val="18"/>
        </w:rPr>
        <w:t>1.2. L’État de droit dans des textes constitutionnels et conventionnels</w:t>
      </w:r>
    </w:p>
    <w:p w14:paraId="64A14B99" w14:textId="77777777" w:rsidR="00DF4DE6" w:rsidRDefault="001B2AC3" w:rsidP="00240AE0">
      <w:pPr>
        <w:spacing w:after="20" w:line="250" w:lineRule="auto"/>
        <w:ind w:left="500"/>
        <w:jc w:val="both"/>
      </w:pPr>
      <w:r>
        <w:rPr>
          <w:color w:val="333333"/>
          <w:sz w:val="18"/>
          <w:szCs w:val="18"/>
        </w:rPr>
        <w:t>1.3. La définition de l’État de droit selon la Commission de Venise</w:t>
      </w:r>
    </w:p>
    <w:p w14:paraId="1ADE1436" w14:textId="77777777" w:rsidR="00DF4DE6" w:rsidRDefault="001B2AC3" w:rsidP="00240AE0">
      <w:pPr>
        <w:spacing w:after="20" w:line="250" w:lineRule="auto"/>
        <w:ind w:left="240"/>
        <w:jc w:val="both"/>
      </w:pPr>
      <w:r>
        <w:rPr>
          <w:b/>
          <w:bCs/>
          <w:color w:val="1F3864"/>
          <w:sz w:val="19"/>
          <w:szCs w:val="19"/>
        </w:rPr>
        <w:t>2. La remise en cause protéiforme de l’État de droit</w:t>
      </w:r>
    </w:p>
    <w:p w14:paraId="54BA171C" w14:textId="77777777" w:rsidR="00DF4DE6" w:rsidRDefault="001B2AC3" w:rsidP="00240AE0">
      <w:pPr>
        <w:spacing w:after="20" w:line="250" w:lineRule="auto"/>
        <w:ind w:left="500"/>
        <w:jc w:val="both"/>
      </w:pPr>
      <w:r>
        <w:rPr>
          <w:color w:val="333333"/>
          <w:sz w:val="18"/>
          <w:szCs w:val="18"/>
        </w:rPr>
        <w:t>2.1. La contestation de la légitimité des juges</w:t>
      </w:r>
    </w:p>
    <w:p w14:paraId="02156F8F" w14:textId="77777777" w:rsidR="00DF4DE6" w:rsidRDefault="001B2AC3" w:rsidP="00240AE0">
      <w:pPr>
        <w:spacing w:after="20" w:line="250" w:lineRule="auto"/>
        <w:ind w:left="500"/>
        <w:jc w:val="both"/>
      </w:pPr>
      <w:r>
        <w:rPr>
          <w:color w:val="333333"/>
          <w:sz w:val="18"/>
          <w:szCs w:val="18"/>
        </w:rPr>
        <w:t>2.2. La contestation du droit supranational</w:t>
      </w:r>
    </w:p>
    <w:p w14:paraId="0B656106" w14:textId="77777777" w:rsidR="00DF4DE6" w:rsidRDefault="001B2AC3" w:rsidP="00240AE0">
      <w:pPr>
        <w:spacing w:after="20" w:line="250" w:lineRule="auto"/>
        <w:ind w:left="500"/>
        <w:jc w:val="both"/>
      </w:pPr>
      <w:r>
        <w:rPr>
          <w:color w:val="333333"/>
          <w:sz w:val="18"/>
          <w:szCs w:val="18"/>
        </w:rPr>
        <w:t>2.3. La crise des droits humains</w:t>
      </w:r>
    </w:p>
    <w:p w14:paraId="4B47CCC4" w14:textId="77777777" w:rsidR="00DF4DE6" w:rsidRDefault="001B2AC3" w:rsidP="00240AE0">
      <w:pPr>
        <w:spacing w:after="20" w:line="250" w:lineRule="auto"/>
        <w:ind w:left="760"/>
        <w:jc w:val="both"/>
      </w:pPr>
      <w:r>
        <w:rPr>
          <w:color w:val="595959"/>
          <w:sz w:val="18"/>
          <w:szCs w:val="18"/>
        </w:rPr>
        <w:t>2.3.1 La fragilisation des droits de l’opposition</w:t>
      </w:r>
    </w:p>
    <w:p w14:paraId="1C8764C5" w14:textId="77777777" w:rsidR="00DF4DE6" w:rsidRDefault="001B2AC3" w:rsidP="00240AE0">
      <w:pPr>
        <w:spacing w:after="20" w:line="250" w:lineRule="auto"/>
        <w:ind w:left="760"/>
        <w:jc w:val="both"/>
      </w:pPr>
      <w:r>
        <w:rPr>
          <w:color w:val="595959"/>
          <w:sz w:val="18"/>
          <w:szCs w:val="18"/>
        </w:rPr>
        <w:lastRenderedPageBreak/>
        <w:t>2.3.2. La liberté académique en crise</w:t>
      </w:r>
    </w:p>
    <w:p w14:paraId="1131A180" w14:textId="77777777" w:rsidR="00DF4DE6" w:rsidRDefault="001B2AC3" w:rsidP="00240AE0">
      <w:pPr>
        <w:spacing w:after="20" w:line="250" w:lineRule="auto"/>
        <w:ind w:left="760"/>
        <w:jc w:val="both"/>
      </w:pPr>
      <w:r>
        <w:rPr>
          <w:color w:val="595959"/>
          <w:sz w:val="18"/>
          <w:szCs w:val="18"/>
        </w:rPr>
        <w:t>2.3.3. La remise en cause des droits des femmes</w:t>
      </w:r>
    </w:p>
    <w:p w14:paraId="380D6D5D" w14:textId="77777777" w:rsidR="00DF4DE6" w:rsidRDefault="001B2AC3" w:rsidP="00240AE0">
      <w:pPr>
        <w:spacing w:after="20" w:line="250" w:lineRule="auto"/>
        <w:ind w:left="760"/>
        <w:jc w:val="both"/>
      </w:pPr>
      <w:r>
        <w:rPr>
          <w:color w:val="595959"/>
          <w:sz w:val="18"/>
          <w:szCs w:val="18"/>
        </w:rPr>
        <w:t>2.3.4. La réticence à l’égard des droits des personnes migrantes</w:t>
      </w:r>
    </w:p>
    <w:p w14:paraId="762955A9" w14:textId="77777777" w:rsidR="00DF4DE6" w:rsidRDefault="001B2AC3" w:rsidP="00240AE0">
      <w:pPr>
        <w:spacing w:before="200" w:after="70"/>
        <w:jc w:val="both"/>
      </w:pPr>
      <w:r>
        <w:rPr>
          <w:b/>
          <w:bCs/>
          <w:color w:val="2E5A88"/>
          <w:spacing w:val="24"/>
          <w:sz w:val="17"/>
          <w:szCs w:val="17"/>
        </w:rPr>
        <w:t>RÉFÉRENCES CENTRALES</w:t>
      </w:r>
    </w:p>
    <w:p w14:paraId="2AC81C2C" w14:textId="77777777" w:rsidR="00DF4DE6" w:rsidRDefault="001B2AC3" w:rsidP="00240AE0">
      <w:pPr>
        <w:pStyle w:val="Paragraphedeliste"/>
        <w:numPr>
          <w:ilvl w:val="0"/>
          <w:numId w:val="2"/>
        </w:numPr>
        <w:spacing w:after="40" w:line="264" w:lineRule="auto"/>
        <w:jc w:val="both"/>
      </w:pPr>
      <w:r>
        <w:rPr>
          <w:color w:val="333333"/>
          <w:sz w:val="18"/>
          <w:szCs w:val="18"/>
        </w:rPr>
        <w:t>Article 16 de la Déclaration des droits de l’homme et du citoyen.</w:t>
      </w:r>
    </w:p>
    <w:p w14:paraId="59ED8D7D" w14:textId="77777777" w:rsidR="00DF4DE6" w:rsidRDefault="001B2AC3" w:rsidP="00240AE0">
      <w:pPr>
        <w:pStyle w:val="Paragraphedeliste"/>
        <w:numPr>
          <w:ilvl w:val="0"/>
          <w:numId w:val="2"/>
        </w:numPr>
        <w:spacing w:after="40" w:line="264" w:lineRule="auto"/>
        <w:jc w:val="both"/>
      </w:pPr>
      <w:r>
        <w:rPr>
          <w:color w:val="333333"/>
          <w:sz w:val="18"/>
          <w:szCs w:val="18"/>
        </w:rPr>
        <w:t>Article 2 du Traité sur l’Union européenne.</w:t>
      </w:r>
    </w:p>
    <w:p w14:paraId="0959D585" w14:textId="77777777" w:rsidR="00DF4DE6" w:rsidRDefault="001B2AC3" w:rsidP="00240AE0">
      <w:pPr>
        <w:pStyle w:val="Paragraphedeliste"/>
        <w:numPr>
          <w:ilvl w:val="0"/>
          <w:numId w:val="2"/>
        </w:numPr>
        <w:spacing w:after="40" w:line="264" w:lineRule="auto"/>
        <w:jc w:val="both"/>
      </w:pPr>
      <w:r>
        <w:rPr>
          <w:color w:val="333333"/>
          <w:sz w:val="18"/>
          <w:szCs w:val="18"/>
        </w:rPr>
        <w:t>Article 7 du Traité sur l’Union européenne.</w:t>
      </w:r>
    </w:p>
    <w:p w14:paraId="56611260" w14:textId="77777777" w:rsidR="00DF4DE6" w:rsidRDefault="001B2AC3" w:rsidP="00240AE0">
      <w:pPr>
        <w:pStyle w:val="Paragraphedeliste"/>
        <w:numPr>
          <w:ilvl w:val="0"/>
          <w:numId w:val="2"/>
        </w:numPr>
        <w:spacing w:after="40" w:line="264" w:lineRule="auto"/>
        <w:jc w:val="both"/>
      </w:pPr>
      <w:r>
        <w:rPr>
          <w:color w:val="333333"/>
          <w:sz w:val="18"/>
          <w:szCs w:val="18"/>
        </w:rPr>
        <w:t>Article 258 du Traité sur le fonctionnement de l’Union.</w:t>
      </w:r>
    </w:p>
    <w:p w14:paraId="650ADC84" w14:textId="77777777" w:rsidR="00DF4DE6" w:rsidRDefault="001B2AC3" w:rsidP="00240AE0">
      <w:pPr>
        <w:pStyle w:val="Paragraphedeliste"/>
        <w:numPr>
          <w:ilvl w:val="0"/>
          <w:numId w:val="2"/>
        </w:numPr>
        <w:spacing w:after="40" w:line="264" w:lineRule="auto"/>
        <w:jc w:val="both"/>
      </w:pPr>
      <w:r>
        <w:rPr>
          <w:color w:val="333333"/>
          <w:sz w:val="18"/>
          <w:szCs w:val="18"/>
        </w:rPr>
        <w:t>CJUE, 15 juillet 1964, Costa contre Enel, no C-6/64.</w:t>
      </w:r>
    </w:p>
    <w:p w14:paraId="6CBAA684" w14:textId="77777777" w:rsidR="00DF4DE6" w:rsidRDefault="001B2AC3" w:rsidP="00240AE0">
      <w:pPr>
        <w:pStyle w:val="Paragraphedeliste"/>
        <w:numPr>
          <w:ilvl w:val="0"/>
          <w:numId w:val="2"/>
        </w:numPr>
        <w:spacing w:after="40" w:line="264" w:lineRule="auto"/>
        <w:jc w:val="both"/>
      </w:pPr>
      <w:r>
        <w:rPr>
          <w:color w:val="333333"/>
          <w:sz w:val="18"/>
          <w:szCs w:val="18"/>
        </w:rPr>
        <w:t xml:space="preserve">CJUE, 2 avril 2020, Commission contre Pologne, Hongrie et République Tchèque, </w:t>
      </w:r>
      <w:proofErr w:type="spellStart"/>
      <w:r>
        <w:rPr>
          <w:color w:val="333333"/>
          <w:sz w:val="18"/>
          <w:szCs w:val="18"/>
        </w:rPr>
        <w:t>aff.</w:t>
      </w:r>
      <w:proofErr w:type="spellEnd"/>
      <w:r>
        <w:rPr>
          <w:color w:val="333333"/>
          <w:sz w:val="18"/>
          <w:szCs w:val="18"/>
        </w:rPr>
        <w:t xml:space="preserve"> C-715/17, C-718/17, C719/17.</w:t>
      </w:r>
    </w:p>
    <w:p w14:paraId="4F930BBD" w14:textId="77777777" w:rsidR="00DF4DE6" w:rsidRDefault="001B2AC3" w:rsidP="00240AE0">
      <w:pPr>
        <w:pStyle w:val="Paragraphedeliste"/>
        <w:numPr>
          <w:ilvl w:val="0"/>
          <w:numId w:val="2"/>
        </w:numPr>
        <w:spacing w:after="40" w:line="264" w:lineRule="auto"/>
        <w:jc w:val="both"/>
      </w:pPr>
      <w:r>
        <w:rPr>
          <w:color w:val="333333"/>
          <w:sz w:val="18"/>
          <w:szCs w:val="18"/>
        </w:rPr>
        <w:t xml:space="preserve">CEDH, 3 septembre 2024, </w:t>
      </w:r>
      <w:proofErr w:type="spellStart"/>
      <w:r>
        <w:rPr>
          <w:color w:val="333333"/>
          <w:sz w:val="18"/>
          <w:szCs w:val="18"/>
        </w:rPr>
        <w:t>Shlosberg</w:t>
      </w:r>
      <w:proofErr w:type="spellEnd"/>
      <w:r>
        <w:rPr>
          <w:color w:val="333333"/>
          <w:sz w:val="18"/>
          <w:szCs w:val="18"/>
        </w:rPr>
        <w:t xml:space="preserve"> contre Russie, no 32648/22.</w:t>
      </w:r>
    </w:p>
    <w:p w14:paraId="5736402E" w14:textId="77777777" w:rsidR="00DF4DE6" w:rsidRDefault="001B2AC3" w:rsidP="00240AE0">
      <w:pPr>
        <w:pStyle w:val="Paragraphedeliste"/>
        <w:numPr>
          <w:ilvl w:val="0"/>
          <w:numId w:val="2"/>
        </w:numPr>
        <w:spacing w:after="40" w:line="264" w:lineRule="auto"/>
        <w:jc w:val="both"/>
      </w:pPr>
      <w:r>
        <w:rPr>
          <w:color w:val="333333"/>
          <w:sz w:val="18"/>
          <w:szCs w:val="18"/>
        </w:rPr>
        <w:t>CEDH, 7 janvier 2025, A.R.E. contre Grèce, no 15783/21.</w:t>
      </w:r>
    </w:p>
    <w:p w14:paraId="5748FB7A" w14:textId="77777777" w:rsidR="00DF4DE6" w:rsidRDefault="001B2AC3" w:rsidP="00240AE0">
      <w:pPr>
        <w:pStyle w:val="Paragraphedeliste"/>
        <w:numPr>
          <w:ilvl w:val="0"/>
          <w:numId w:val="2"/>
        </w:numPr>
        <w:spacing w:after="40" w:line="264" w:lineRule="auto"/>
        <w:jc w:val="both"/>
      </w:pPr>
      <w:r>
        <w:rPr>
          <w:color w:val="333333"/>
          <w:sz w:val="18"/>
          <w:szCs w:val="18"/>
        </w:rPr>
        <w:t>Tribunal constitutionnel polonais, 22 octobre 2020.</w:t>
      </w:r>
    </w:p>
    <w:p w14:paraId="25E45E33"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Cour suprême américaine, 24 juin 2022, Dobbs v. Jackson </w:t>
      </w:r>
      <w:proofErr w:type="spellStart"/>
      <w:r>
        <w:rPr>
          <w:color w:val="333333"/>
          <w:sz w:val="18"/>
          <w:szCs w:val="18"/>
        </w:rPr>
        <w:t>Wowen’s</w:t>
      </w:r>
      <w:proofErr w:type="spellEnd"/>
      <w:r>
        <w:rPr>
          <w:color w:val="333333"/>
          <w:sz w:val="18"/>
          <w:szCs w:val="18"/>
        </w:rPr>
        <w:t xml:space="preserve"> Health </w:t>
      </w:r>
      <w:proofErr w:type="spellStart"/>
      <w:r>
        <w:rPr>
          <w:color w:val="333333"/>
          <w:sz w:val="18"/>
          <w:szCs w:val="18"/>
        </w:rPr>
        <w:t>Organization</w:t>
      </w:r>
      <w:proofErr w:type="spellEnd"/>
      <w:r>
        <w:rPr>
          <w:color w:val="333333"/>
          <w:sz w:val="18"/>
          <w:szCs w:val="18"/>
        </w:rPr>
        <w:t>.</w:t>
      </w:r>
    </w:p>
    <w:p w14:paraId="44FE8D10" w14:textId="77777777" w:rsidR="00DF4DE6" w:rsidRDefault="001B2AC3" w:rsidP="00240AE0">
      <w:pPr>
        <w:jc w:val="both"/>
      </w:pPr>
      <w:r>
        <w:br w:type="page"/>
      </w:r>
    </w:p>
    <w:p w14:paraId="7476840A" w14:textId="77777777" w:rsidR="00DF4DE6" w:rsidRDefault="001B2AC3" w:rsidP="00240AE0">
      <w:pPr>
        <w:spacing w:after="40"/>
        <w:jc w:val="both"/>
      </w:pPr>
      <w:r>
        <w:rPr>
          <w:b/>
          <w:bCs/>
          <w:color w:val="2E5A88"/>
          <w:spacing w:val="50"/>
        </w:rPr>
        <w:lastRenderedPageBreak/>
        <w:t>PARTIE II</w:t>
      </w:r>
    </w:p>
    <w:p w14:paraId="01B45CB0" w14:textId="77777777" w:rsidR="00DF4DE6" w:rsidRDefault="001B2AC3" w:rsidP="00240AE0">
      <w:pPr>
        <w:pStyle w:val="Titre1"/>
        <w:pBdr>
          <w:bottom w:val="single" w:sz="10" w:space="0" w:color="C7D2E0"/>
        </w:pBdr>
        <w:spacing w:after="100"/>
        <w:jc w:val="both"/>
      </w:pPr>
      <w:r>
        <w:rPr>
          <w:rFonts w:ascii="Cambria" w:eastAsia="Cambria" w:hAnsi="Cambria" w:cs="Cambria"/>
          <w:b/>
          <w:bCs/>
          <w:color w:val="1F3864"/>
          <w:sz w:val="34"/>
          <w:szCs w:val="34"/>
        </w:rPr>
        <w:t>Les sources internes</w:t>
      </w:r>
    </w:p>
    <w:p w14:paraId="7F54725F" w14:textId="77777777" w:rsidR="00DF4DE6" w:rsidRDefault="001B2AC3" w:rsidP="00240AE0">
      <w:pPr>
        <w:spacing w:before="60" w:after="160"/>
        <w:jc w:val="both"/>
      </w:pPr>
      <w:r>
        <w:rPr>
          <w:i/>
          <w:iCs/>
          <w:color w:val="595959"/>
          <w:sz w:val="18"/>
          <w:szCs w:val="18"/>
        </w:rPr>
        <w:t xml:space="preserve">Fiches 9 à </w:t>
      </w:r>
      <w:proofErr w:type="gramStart"/>
      <w:r>
        <w:rPr>
          <w:i/>
          <w:iCs/>
          <w:color w:val="595959"/>
          <w:sz w:val="18"/>
          <w:szCs w:val="18"/>
        </w:rPr>
        <w:t>11  ·</w:t>
      </w:r>
      <w:proofErr w:type="gramEnd"/>
      <w:r>
        <w:rPr>
          <w:i/>
          <w:iCs/>
          <w:color w:val="595959"/>
          <w:sz w:val="18"/>
          <w:szCs w:val="18"/>
        </w:rPr>
        <w:t xml:space="preserve">  pages 82 à 114 du fascicule</w:t>
      </w:r>
    </w:p>
    <w:p w14:paraId="65B4ADAF" w14:textId="77777777" w:rsidR="00DF4DE6" w:rsidRDefault="001B2AC3" w:rsidP="00240AE0">
      <w:pPr>
        <w:spacing w:after="200" w:line="276" w:lineRule="auto"/>
        <w:jc w:val="both"/>
      </w:pPr>
      <w:r>
        <w:t>Descente de la hiérarchie des normes en droit interne : le bloc de constitutionnalité (fiche 9), le bloc de légalité élargi aux principes généraux du droit (fiche 10), puis le règlement (fiche 11). Trois fiches courtes mais structurantes : elles répondent à la question « sur quel texte français fonder la liberté invoquée ? ».</w:t>
      </w:r>
    </w:p>
    <w:p w14:paraId="5F77F70D" w14:textId="77777777" w:rsidR="00DF4DE6" w:rsidRDefault="001B2AC3" w:rsidP="00240AE0">
      <w:pPr>
        <w:pStyle w:val="Titre2"/>
        <w:spacing w:before="120" w:after="30"/>
        <w:jc w:val="both"/>
      </w:pPr>
      <w:r>
        <w:rPr>
          <w:b/>
          <w:bCs/>
          <w:color w:val="2E5A88"/>
          <w:sz w:val="22"/>
          <w:szCs w:val="22"/>
        </w:rPr>
        <w:t xml:space="preserve">Fiche </w:t>
      </w:r>
      <w:proofErr w:type="gramStart"/>
      <w:r>
        <w:rPr>
          <w:b/>
          <w:bCs/>
          <w:color w:val="2E5A88"/>
          <w:sz w:val="22"/>
          <w:szCs w:val="22"/>
        </w:rPr>
        <w:t>9  ·</w:t>
      </w:r>
      <w:proofErr w:type="gramEnd"/>
      <w:r>
        <w:rPr>
          <w:b/>
          <w:bCs/>
          <w:color w:val="2E5A88"/>
          <w:sz w:val="22"/>
          <w:szCs w:val="22"/>
        </w:rPr>
        <w:t xml:space="preserve">  </w:t>
      </w:r>
      <w:r>
        <w:rPr>
          <w:rFonts w:ascii="Cambria" w:eastAsia="Cambria" w:hAnsi="Cambria" w:cs="Cambria"/>
          <w:b/>
          <w:bCs/>
          <w:color w:val="1F3864"/>
        </w:rPr>
        <w:t>Les sources constitutionnelles</w:t>
      </w:r>
    </w:p>
    <w:p w14:paraId="184D9DD1" w14:textId="77777777" w:rsidR="00DF4DE6" w:rsidRDefault="001B2AC3" w:rsidP="00240AE0">
      <w:pPr>
        <w:spacing w:after="120"/>
        <w:jc w:val="both"/>
      </w:pPr>
      <w:r>
        <w:rPr>
          <w:i/>
          <w:iCs/>
          <w:color w:val="595959"/>
          <w:sz w:val="17"/>
          <w:szCs w:val="17"/>
        </w:rPr>
        <w:t>Fascicule, p. 83</w:t>
      </w:r>
    </w:p>
    <w:p w14:paraId="74AC2A92" w14:textId="77777777" w:rsidR="00DF4DE6" w:rsidRDefault="001B2AC3" w:rsidP="00240AE0">
      <w:pPr>
        <w:spacing w:before="200" w:after="70"/>
        <w:jc w:val="both"/>
      </w:pPr>
      <w:r>
        <w:rPr>
          <w:b/>
          <w:bCs/>
          <w:color w:val="2E5A88"/>
          <w:spacing w:val="24"/>
          <w:sz w:val="17"/>
          <w:szCs w:val="17"/>
        </w:rPr>
        <w:t>IDÉE DIRECTRICE</w:t>
      </w:r>
    </w:p>
    <w:p w14:paraId="0BEA2677" w14:textId="77777777" w:rsidR="00DF4DE6" w:rsidRDefault="001B2AC3" w:rsidP="00240AE0">
      <w:pPr>
        <w:spacing w:after="60" w:line="276" w:lineRule="auto"/>
        <w:jc w:val="both"/>
      </w:pPr>
      <w:r>
        <w:t>Le sommet de la hiérarchie interne. Naissance prétorienne du bloc de constitutionnalité (décision du 16 juillet 1971), puis inventaire de son contenu : Constitution de 1958 et son préambule, préambule de 1946 (principes fondamentaux reconnus par les lois de la République et principes particulièrement nécessaires à notre temps), DDHC de 1789, Charte de l'environnement, principes et objectifs à valeur constitutionnelle. Se termine sur la question de sa supériorité.</w:t>
      </w:r>
    </w:p>
    <w:p w14:paraId="30D26DA3" w14:textId="77777777" w:rsidR="00DF4DE6" w:rsidRDefault="001B2AC3" w:rsidP="00240AE0">
      <w:pPr>
        <w:spacing w:before="200" w:after="70"/>
        <w:jc w:val="both"/>
      </w:pPr>
      <w:r>
        <w:rPr>
          <w:b/>
          <w:bCs/>
          <w:color w:val="2E5A88"/>
          <w:spacing w:val="24"/>
          <w:sz w:val="17"/>
          <w:szCs w:val="17"/>
        </w:rPr>
        <w:t>POINTS CLÉS (ENCADRÉ DU FASCICULE)</w:t>
      </w:r>
    </w:p>
    <w:p w14:paraId="13C4C7DB" w14:textId="77777777" w:rsidR="00DF4DE6" w:rsidRDefault="001B2AC3" w:rsidP="00240AE0">
      <w:pPr>
        <w:pStyle w:val="Paragraphedeliste"/>
        <w:numPr>
          <w:ilvl w:val="0"/>
          <w:numId w:val="2"/>
        </w:numPr>
        <w:spacing w:after="40" w:line="264" w:lineRule="auto"/>
        <w:jc w:val="both"/>
      </w:pPr>
      <w:r>
        <w:rPr>
          <w:color w:val="1A1A1A"/>
          <w:sz w:val="19"/>
          <w:szCs w:val="19"/>
        </w:rPr>
        <w:t>Évolution du rôle du Conseil constitutionnel.</w:t>
      </w:r>
    </w:p>
    <w:p w14:paraId="7F33D487" w14:textId="77777777" w:rsidR="00DF4DE6" w:rsidRDefault="001B2AC3" w:rsidP="00240AE0">
      <w:pPr>
        <w:pStyle w:val="Paragraphedeliste"/>
        <w:numPr>
          <w:ilvl w:val="0"/>
          <w:numId w:val="2"/>
        </w:numPr>
        <w:spacing w:after="40" w:line="264" w:lineRule="auto"/>
        <w:jc w:val="both"/>
      </w:pPr>
      <w:r>
        <w:rPr>
          <w:color w:val="1A1A1A"/>
          <w:sz w:val="19"/>
          <w:szCs w:val="19"/>
        </w:rPr>
        <w:t>Création prétorienne du bloc de constitutionnalité.</w:t>
      </w:r>
    </w:p>
    <w:p w14:paraId="026D3330" w14:textId="77777777" w:rsidR="00DF4DE6" w:rsidRDefault="001B2AC3" w:rsidP="00240AE0">
      <w:pPr>
        <w:pStyle w:val="Paragraphedeliste"/>
        <w:numPr>
          <w:ilvl w:val="0"/>
          <w:numId w:val="2"/>
        </w:numPr>
        <w:spacing w:after="40" w:line="264" w:lineRule="auto"/>
        <w:jc w:val="both"/>
      </w:pPr>
      <w:r>
        <w:rPr>
          <w:color w:val="1A1A1A"/>
          <w:sz w:val="19"/>
          <w:szCs w:val="19"/>
        </w:rPr>
        <w:t>Diversité des composants du bloc de constitutionnalité.</w:t>
      </w:r>
    </w:p>
    <w:p w14:paraId="32515A62" w14:textId="77777777" w:rsidR="00DF4DE6" w:rsidRDefault="001B2AC3" w:rsidP="00240AE0">
      <w:pPr>
        <w:pStyle w:val="Paragraphedeliste"/>
        <w:numPr>
          <w:ilvl w:val="0"/>
          <w:numId w:val="2"/>
        </w:numPr>
        <w:spacing w:after="40" w:line="264" w:lineRule="auto"/>
        <w:jc w:val="both"/>
      </w:pPr>
      <w:r>
        <w:rPr>
          <w:color w:val="1A1A1A"/>
          <w:sz w:val="19"/>
          <w:szCs w:val="19"/>
        </w:rPr>
        <w:t>Le Conseil constitutionnel garant des droits et libertés fondamentaux.</w:t>
      </w:r>
    </w:p>
    <w:p w14:paraId="76051FF1" w14:textId="77777777" w:rsidR="00DF4DE6" w:rsidRDefault="001B2AC3" w:rsidP="00240AE0">
      <w:pPr>
        <w:spacing w:before="200" w:after="70"/>
        <w:jc w:val="both"/>
      </w:pPr>
      <w:r>
        <w:rPr>
          <w:b/>
          <w:bCs/>
          <w:color w:val="2E5A88"/>
          <w:spacing w:val="24"/>
          <w:sz w:val="17"/>
          <w:szCs w:val="17"/>
        </w:rPr>
        <w:t>PLAN DE LA FICHE</w:t>
      </w:r>
    </w:p>
    <w:p w14:paraId="3DA75630" w14:textId="77777777" w:rsidR="00DF4DE6" w:rsidRDefault="001B2AC3" w:rsidP="00240AE0">
      <w:pPr>
        <w:spacing w:after="20" w:line="250" w:lineRule="auto"/>
        <w:ind w:left="240"/>
        <w:jc w:val="both"/>
      </w:pPr>
      <w:r>
        <w:rPr>
          <w:b/>
          <w:bCs/>
          <w:color w:val="1F3864"/>
          <w:sz w:val="19"/>
          <w:szCs w:val="19"/>
        </w:rPr>
        <w:t>1. Le bloc de constitutionnalité</w:t>
      </w:r>
    </w:p>
    <w:p w14:paraId="57A25005" w14:textId="77777777" w:rsidR="00DF4DE6" w:rsidRDefault="001B2AC3" w:rsidP="00240AE0">
      <w:pPr>
        <w:spacing w:after="20" w:line="250" w:lineRule="auto"/>
        <w:ind w:left="500"/>
        <w:jc w:val="both"/>
      </w:pPr>
      <w:r>
        <w:rPr>
          <w:color w:val="333333"/>
          <w:sz w:val="18"/>
          <w:szCs w:val="18"/>
        </w:rPr>
        <w:t>1.1. Avant la Constitution de 1958</w:t>
      </w:r>
    </w:p>
    <w:p w14:paraId="08E4AED4" w14:textId="77777777" w:rsidR="00DF4DE6" w:rsidRDefault="001B2AC3" w:rsidP="00240AE0">
      <w:pPr>
        <w:spacing w:after="20" w:line="250" w:lineRule="auto"/>
        <w:ind w:left="500"/>
        <w:jc w:val="both"/>
      </w:pPr>
      <w:r>
        <w:rPr>
          <w:color w:val="333333"/>
          <w:sz w:val="18"/>
          <w:szCs w:val="18"/>
        </w:rPr>
        <w:t>1.2. Après la Constitution de 1958</w:t>
      </w:r>
    </w:p>
    <w:p w14:paraId="4813BAC8" w14:textId="77777777" w:rsidR="00DF4DE6" w:rsidRDefault="001B2AC3" w:rsidP="00240AE0">
      <w:pPr>
        <w:spacing w:after="20" w:line="250" w:lineRule="auto"/>
        <w:ind w:left="240"/>
        <w:jc w:val="both"/>
      </w:pPr>
      <w:r>
        <w:rPr>
          <w:b/>
          <w:bCs/>
          <w:color w:val="1F3864"/>
          <w:sz w:val="19"/>
          <w:szCs w:val="19"/>
        </w:rPr>
        <w:t>2. Le contenu du bloc de constitutionnalité</w:t>
      </w:r>
    </w:p>
    <w:p w14:paraId="37F1543D" w14:textId="77777777" w:rsidR="00DF4DE6" w:rsidRDefault="001B2AC3" w:rsidP="00240AE0">
      <w:pPr>
        <w:spacing w:after="20" w:line="250" w:lineRule="auto"/>
        <w:ind w:left="500"/>
        <w:jc w:val="both"/>
      </w:pPr>
      <w:r>
        <w:rPr>
          <w:color w:val="333333"/>
          <w:sz w:val="18"/>
          <w:szCs w:val="18"/>
        </w:rPr>
        <w:t>2.1. La Constitution de 1958 et son préambule</w:t>
      </w:r>
    </w:p>
    <w:p w14:paraId="403969DF" w14:textId="77777777" w:rsidR="00DF4DE6" w:rsidRDefault="001B2AC3" w:rsidP="00240AE0">
      <w:pPr>
        <w:spacing w:after="20" w:line="250" w:lineRule="auto"/>
        <w:ind w:left="500"/>
        <w:jc w:val="both"/>
      </w:pPr>
      <w:r>
        <w:rPr>
          <w:color w:val="333333"/>
          <w:sz w:val="18"/>
          <w:szCs w:val="18"/>
        </w:rPr>
        <w:t>2.2. Le préambule de la Constitution de 1946</w:t>
      </w:r>
    </w:p>
    <w:p w14:paraId="759F7550" w14:textId="77777777" w:rsidR="00DF4DE6" w:rsidRDefault="001B2AC3" w:rsidP="00240AE0">
      <w:pPr>
        <w:spacing w:after="20" w:line="250" w:lineRule="auto"/>
        <w:ind w:left="760"/>
        <w:jc w:val="both"/>
      </w:pPr>
      <w:r>
        <w:rPr>
          <w:color w:val="595959"/>
          <w:sz w:val="18"/>
          <w:szCs w:val="18"/>
        </w:rPr>
        <w:t>2.2.1. Les principes fondamentaux reconnus par les lois de la République</w:t>
      </w:r>
    </w:p>
    <w:p w14:paraId="01646E16" w14:textId="77777777" w:rsidR="00DF4DE6" w:rsidRDefault="001B2AC3" w:rsidP="00240AE0">
      <w:pPr>
        <w:spacing w:after="20" w:line="250" w:lineRule="auto"/>
        <w:ind w:left="760"/>
        <w:jc w:val="both"/>
      </w:pPr>
      <w:r>
        <w:rPr>
          <w:color w:val="595959"/>
          <w:sz w:val="18"/>
          <w:szCs w:val="18"/>
        </w:rPr>
        <w:t>2.2.2. Les principes particulièrement nécessaires à notre temps</w:t>
      </w:r>
    </w:p>
    <w:p w14:paraId="04DFE463" w14:textId="77777777" w:rsidR="00DF4DE6" w:rsidRDefault="001B2AC3" w:rsidP="00240AE0">
      <w:pPr>
        <w:spacing w:after="20" w:line="250" w:lineRule="auto"/>
        <w:ind w:left="500"/>
        <w:jc w:val="both"/>
      </w:pPr>
      <w:r>
        <w:rPr>
          <w:color w:val="333333"/>
          <w:sz w:val="18"/>
          <w:szCs w:val="18"/>
        </w:rPr>
        <w:t>2.3. La Déclaration de 1789</w:t>
      </w:r>
    </w:p>
    <w:p w14:paraId="1C496BC1" w14:textId="77777777" w:rsidR="00DF4DE6" w:rsidRDefault="001B2AC3" w:rsidP="00240AE0">
      <w:pPr>
        <w:spacing w:after="20" w:line="250" w:lineRule="auto"/>
        <w:ind w:left="500"/>
        <w:jc w:val="both"/>
      </w:pPr>
      <w:r>
        <w:rPr>
          <w:color w:val="333333"/>
          <w:sz w:val="18"/>
          <w:szCs w:val="18"/>
        </w:rPr>
        <w:t>2.4. La Charte de l’environnement</w:t>
      </w:r>
    </w:p>
    <w:p w14:paraId="47B79C86" w14:textId="77777777" w:rsidR="00DF4DE6" w:rsidRDefault="001B2AC3" w:rsidP="00240AE0">
      <w:pPr>
        <w:spacing w:after="20" w:line="250" w:lineRule="auto"/>
        <w:ind w:left="500"/>
        <w:jc w:val="both"/>
      </w:pPr>
      <w:r>
        <w:rPr>
          <w:color w:val="333333"/>
          <w:sz w:val="18"/>
          <w:szCs w:val="18"/>
        </w:rPr>
        <w:t>2.5. Les principes à valeur constitutionnelle</w:t>
      </w:r>
    </w:p>
    <w:p w14:paraId="69FC94DC" w14:textId="77777777" w:rsidR="00DF4DE6" w:rsidRDefault="001B2AC3" w:rsidP="00240AE0">
      <w:pPr>
        <w:spacing w:after="20" w:line="250" w:lineRule="auto"/>
        <w:ind w:left="500"/>
        <w:jc w:val="both"/>
      </w:pPr>
      <w:r>
        <w:rPr>
          <w:color w:val="333333"/>
          <w:sz w:val="18"/>
          <w:szCs w:val="18"/>
        </w:rPr>
        <w:t>2.6. Les objectifs à valeur constitutionnelle</w:t>
      </w:r>
    </w:p>
    <w:p w14:paraId="19E7ABCB" w14:textId="77777777" w:rsidR="00DF4DE6" w:rsidRDefault="001B2AC3" w:rsidP="00240AE0">
      <w:pPr>
        <w:spacing w:after="20" w:line="250" w:lineRule="auto"/>
        <w:ind w:left="240"/>
        <w:jc w:val="both"/>
      </w:pPr>
      <w:r>
        <w:rPr>
          <w:b/>
          <w:bCs/>
          <w:color w:val="1F3864"/>
          <w:sz w:val="19"/>
          <w:szCs w:val="19"/>
        </w:rPr>
        <w:t>3. La supériorité du bloc de constitutionnalité</w:t>
      </w:r>
    </w:p>
    <w:p w14:paraId="67B6457D" w14:textId="77777777" w:rsidR="00DF4DE6" w:rsidRDefault="001B2AC3" w:rsidP="00240AE0">
      <w:pPr>
        <w:spacing w:before="200" w:after="70"/>
        <w:jc w:val="both"/>
      </w:pPr>
      <w:r>
        <w:rPr>
          <w:b/>
          <w:bCs/>
          <w:color w:val="2E5A88"/>
          <w:spacing w:val="24"/>
          <w:sz w:val="17"/>
          <w:szCs w:val="17"/>
        </w:rPr>
        <w:t>RÉFÉRENCES CENTRALES</w:t>
      </w:r>
    </w:p>
    <w:p w14:paraId="5694B5D5"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no 71-44 DC, 16 juillet 1971, Loi complétant les dispositions des articles 5 et 7 de la loi du 1er juillet 1901 relative au contrat d'association.</w:t>
      </w:r>
    </w:p>
    <w:p w14:paraId="22109C06" w14:textId="77777777" w:rsidR="00DF4DE6" w:rsidRDefault="001B2AC3" w:rsidP="00240AE0">
      <w:pPr>
        <w:pStyle w:val="Paragraphedeliste"/>
        <w:numPr>
          <w:ilvl w:val="0"/>
          <w:numId w:val="2"/>
        </w:numPr>
        <w:spacing w:after="40" w:line="264" w:lineRule="auto"/>
        <w:jc w:val="both"/>
      </w:pPr>
      <w:r>
        <w:rPr>
          <w:color w:val="333333"/>
          <w:sz w:val="18"/>
          <w:szCs w:val="18"/>
        </w:rPr>
        <w:t>Pierre Avril, Jean Gicquel, Le Conseil constitutionnel, Montchrestien, 6e éd., 2011.</w:t>
      </w:r>
    </w:p>
    <w:p w14:paraId="723E5E61" w14:textId="77777777" w:rsidR="00DF4DE6" w:rsidRDefault="001B2AC3" w:rsidP="00240AE0">
      <w:pPr>
        <w:pStyle w:val="Paragraphedeliste"/>
        <w:numPr>
          <w:ilvl w:val="0"/>
          <w:numId w:val="2"/>
        </w:numPr>
        <w:spacing w:after="40" w:line="264" w:lineRule="auto"/>
        <w:jc w:val="both"/>
      </w:pPr>
      <w:r>
        <w:rPr>
          <w:color w:val="333333"/>
          <w:sz w:val="18"/>
          <w:szCs w:val="18"/>
        </w:rPr>
        <w:t>Louis Favoreu et al. Les grandes décisions du Conseil constitutionnel, Dalloz, 20e éd., 2022.</w:t>
      </w:r>
    </w:p>
    <w:p w14:paraId="5DB7A506" w14:textId="77777777" w:rsidR="00DF4DE6" w:rsidRDefault="001B2AC3" w:rsidP="00240AE0">
      <w:pPr>
        <w:pStyle w:val="Paragraphedeliste"/>
        <w:numPr>
          <w:ilvl w:val="0"/>
          <w:numId w:val="2"/>
        </w:numPr>
        <w:spacing w:after="40" w:line="264" w:lineRule="auto"/>
        <w:jc w:val="both"/>
      </w:pPr>
      <w:r>
        <w:rPr>
          <w:color w:val="333333"/>
          <w:sz w:val="18"/>
          <w:szCs w:val="18"/>
        </w:rPr>
        <w:t>E. Picard, « L’émergence des droits fondamentaux en France », AJDA, 1998. 6, no spécial juillet-août.</w:t>
      </w:r>
    </w:p>
    <w:p w14:paraId="6942C5B2" w14:textId="77777777" w:rsidR="00DF4DE6" w:rsidRDefault="001B2AC3" w:rsidP="00240AE0">
      <w:pPr>
        <w:pStyle w:val="Paragraphedeliste"/>
        <w:numPr>
          <w:ilvl w:val="0"/>
          <w:numId w:val="2"/>
        </w:numPr>
        <w:spacing w:after="40" w:line="264" w:lineRule="auto"/>
        <w:jc w:val="both"/>
      </w:pPr>
      <w:r>
        <w:rPr>
          <w:color w:val="333333"/>
          <w:sz w:val="18"/>
          <w:szCs w:val="18"/>
        </w:rPr>
        <w:t>« Le Conseil constitutionnel », Pouvoirs, 2003, no 105.</w:t>
      </w:r>
    </w:p>
    <w:p w14:paraId="41A73ACB" w14:textId="77777777" w:rsidR="00DF4DE6" w:rsidRDefault="001B2AC3" w:rsidP="00240AE0">
      <w:pPr>
        <w:pStyle w:val="Paragraphedeliste"/>
        <w:numPr>
          <w:ilvl w:val="0"/>
          <w:numId w:val="2"/>
        </w:numPr>
        <w:spacing w:after="40" w:line="264" w:lineRule="auto"/>
        <w:jc w:val="both"/>
      </w:pPr>
      <w:r>
        <w:rPr>
          <w:color w:val="333333"/>
          <w:sz w:val="18"/>
          <w:szCs w:val="18"/>
        </w:rPr>
        <w:t>« Les catégories de normes constitutionnelles », Titre VII, no 8, 2022.</w:t>
      </w:r>
    </w:p>
    <w:p w14:paraId="4787649F" w14:textId="77777777" w:rsidR="00DF4DE6" w:rsidRDefault="001B2AC3" w:rsidP="00240AE0">
      <w:pPr>
        <w:pStyle w:val="Paragraphedeliste"/>
        <w:numPr>
          <w:ilvl w:val="0"/>
          <w:numId w:val="2"/>
        </w:numPr>
        <w:spacing w:after="40" w:line="264" w:lineRule="auto"/>
        <w:jc w:val="both"/>
      </w:pPr>
      <w:r>
        <w:rPr>
          <w:color w:val="333333"/>
          <w:sz w:val="18"/>
          <w:szCs w:val="18"/>
        </w:rPr>
        <w:t>Redécouvrir le Préambule de la Constitution – Rapport du comité présidé par Simone Veil, La Documentation française, 2008. POUR ALLER PLUS LOIN Cette expression initialement créée par Claude Emeri, par opposition au bloc de légalité, lequel contenait les libertés adoptées par voie législative lors de la IIIe République, a été popularisée et développée par Louis Favoreu. À ce vocable est parfois préféré celui de normes de référence du contrôle de constitutionnalité. Il s’agit toujours de désigner les normes qui ont une valeur constitutionnelle que le juge constitutionnel peut utiliser dans son contrôle de constitutionnalité des lois et des traités internationaux.</w:t>
      </w:r>
    </w:p>
    <w:p w14:paraId="302C10AA" w14:textId="77777777" w:rsidR="00DF4DE6" w:rsidRDefault="00DF4DE6" w:rsidP="00240AE0">
      <w:pPr>
        <w:pBdr>
          <w:top w:val="single" w:sz="6" w:space="0" w:color="C7D2E0"/>
        </w:pBdr>
        <w:spacing w:before="260" w:after="180"/>
        <w:jc w:val="both"/>
      </w:pPr>
    </w:p>
    <w:p w14:paraId="258808A0"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10  ·</w:t>
      </w:r>
      <w:proofErr w:type="gramEnd"/>
      <w:r>
        <w:rPr>
          <w:b/>
          <w:bCs/>
          <w:color w:val="2E5A88"/>
          <w:sz w:val="22"/>
          <w:szCs w:val="22"/>
        </w:rPr>
        <w:t xml:space="preserve">  </w:t>
      </w:r>
      <w:r>
        <w:rPr>
          <w:rFonts w:ascii="Cambria" w:eastAsia="Cambria" w:hAnsi="Cambria" w:cs="Cambria"/>
          <w:b/>
          <w:bCs/>
          <w:color w:val="1F3864"/>
        </w:rPr>
        <w:t>Le bloc de légalité</w:t>
      </w:r>
    </w:p>
    <w:p w14:paraId="6EBFA4CF" w14:textId="77777777" w:rsidR="00DF4DE6" w:rsidRDefault="001B2AC3" w:rsidP="00240AE0">
      <w:pPr>
        <w:spacing w:after="120"/>
        <w:jc w:val="both"/>
      </w:pPr>
      <w:r>
        <w:rPr>
          <w:i/>
          <w:iCs/>
          <w:color w:val="595959"/>
          <w:sz w:val="17"/>
          <w:szCs w:val="17"/>
        </w:rPr>
        <w:t>Fascicule, p. 94</w:t>
      </w:r>
    </w:p>
    <w:p w14:paraId="49228C5D" w14:textId="77777777" w:rsidR="00DF4DE6" w:rsidRDefault="001B2AC3" w:rsidP="00240AE0">
      <w:pPr>
        <w:spacing w:before="200" w:after="70"/>
        <w:jc w:val="both"/>
      </w:pPr>
      <w:r>
        <w:rPr>
          <w:b/>
          <w:bCs/>
          <w:color w:val="2E5A88"/>
          <w:spacing w:val="24"/>
          <w:sz w:val="17"/>
          <w:szCs w:val="17"/>
        </w:rPr>
        <w:t>IDÉE DIRECTRICE</w:t>
      </w:r>
    </w:p>
    <w:p w14:paraId="4D6FACAB" w14:textId="77777777" w:rsidR="00DF4DE6" w:rsidRDefault="001B2AC3" w:rsidP="00240AE0">
      <w:pPr>
        <w:spacing w:after="60" w:line="276" w:lineRule="auto"/>
        <w:jc w:val="both"/>
      </w:pPr>
      <w:r>
        <w:t>L'étage législatif. La fiche part de la fin du légicentrisme (la loi n'est plus omnipotente) pour montrer que le « bloc de légalité » est hétérogène : normes législatives de valeurs différentes, élargies par les principes généraux du droit dont la valeur reste incertaine. Elle articule ensuite la protection par la loi (article 34) et les limites de la loi : contrôle juridictionnel, critique doctrinale, désobéissance.</w:t>
      </w:r>
    </w:p>
    <w:p w14:paraId="503FF0A4" w14:textId="77777777" w:rsidR="00DF4DE6" w:rsidRDefault="001B2AC3" w:rsidP="00240AE0">
      <w:pPr>
        <w:spacing w:before="200" w:after="70"/>
        <w:jc w:val="both"/>
      </w:pPr>
      <w:r>
        <w:rPr>
          <w:b/>
          <w:bCs/>
          <w:color w:val="2E5A88"/>
          <w:spacing w:val="24"/>
          <w:sz w:val="17"/>
          <w:szCs w:val="17"/>
        </w:rPr>
        <w:t>POINTS CLÉS (ENCADRÉ DU FASCICULE)</w:t>
      </w:r>
    </w:p>
    <w:p w14:paraId="3FFF9939" w14:textId="77777777" w:rsidR="00DF4DE6" w:rsidRDefault="001B2AC3" w:rsidP="00240AE0">
      <w:pPr>
        <w:pStyle w:val="Paragraphedeliste"/>
        <w:numPr>
          <w:ilvl w:val="0"/>
          <w:numId w:val="2"/>
        </w:numPr>
        <w:spacing w:after="40" w:line="264" w:lineRule="auto"/>
        <w:jc w:val="both"/>
      </w:pPr>
      <w:r>
        <w:rPr>
          <w:color w:val="1A1A1A"/>
          <w:sz w:val="19"/>
          <w:szCs w:val="19"/>
        </w:rPr>
        <w:t>En raison du légicentrisme, la loi était considérée comme omnipotente, mais cette conception a disparu.</w:t>
      </w:r>
    </w:p>
    <w:p w14:paraId="4BA5EAC9" w14:textId="77777777" w:rsidR="00DF4DE6" w:rsidRDefault="001B2AC3" w:rsidP="00240AE0">
      <w:pPr>
        <w:pStyle w:val="Paragraphedeliste"/>
        <w:numPr>
          <w:ilvl w:val="0"/>
          <w:numId w:val="2"/>
        </w:numPr>
        <w:spacing w:after="40" w:line="264" w:lineRule="auto"/>
        <w:jc w:val="both"/>
      </w:pPr>
      <w:r>
        <w:rPr>
          <w:color w:val="1A1A1A"/>
          <w:sz w:val="19"/>
          <w:szCs w:val="19"/>
        </w:rPr>
        <w:t>La loi n’est pas une norme uniforme, car il en existe plusieurs types. Tous ces types n’ont pas la même valeur : on préfèrera parler de bloc de légalité.</w:t>
      </w:r>
    </w:p>
    <w:p w14:paraId="372CFB02" w14:textId="77777777" w:rsidR="00DF4DE6" w:rsidRDefault="001B2AC3" w:rsidP="00240AE0">
      <w:pPr>
        <w:pStyle w:val="Paragraphedeliste"/>
        <w:numPr>
          <w:ilvl w:val="0"/>
          <w:numId w:val="2"/>
        </w:numPr>
        <w:spacing w:after="40" w:line="264" w:lineRule="auto"/>
        <w:jc w:val="both"/>
      </w:pPr>
      <w:r>
        <w:rPr>
          <w:color w:val="1A1A1A"/>
          <w:sz w:val="19"/>
          <w:szCs w:val="19"/>
        </w:rPr>
        <w:t>Ce bloc de légalité est hétérogène : il existe plusieurs types de lois intéressant les libertés, progressivement concurrencés par les principes généraux du droit.</w:t>
      </w:r>
    </w:p>
    <w:p w14:paraId="53A65B56" w14:textId="77777777" w:rsidR="00DF4DE6" w:rsidRDefault="001B2AC3" w:rsidP="00240AE0">
      <w:pPr>
        <w:pStyle w:val="Paragraphedeliste"/>
        <w:numPr>
          <w:ilvl w:val="0"/>
          <w:numId w:val="2"/>
        </w:numPr>
        <w:spacing w:after="40" w:line="264" w:lineRule="auto"/>
        <w:jc w:val="both"/>
      </w:pPr>
      <w:r>
        <w:rPr>
          <w:color w:val="1A1A1A"/>
          <w:sz w:val="19"/>
          <w:szCs w:val="19"/>
        </w:rPr>
        <w:t>Désormais, la Constitution donne compétence au législateur pour organiser les droits et les libertés tout en encadrant cette possibilité.</w:t>
      </w:r>
    </w:p>
    <w:p w14:paraId="300AC364" w14:textId="77777777" w:rsidR="00DF4DE6" w:rsidRDefault="001B2AC3" w:rsidP="00240AE0">
      <w:pPr>
        <w:pStyle w:val="Paragraphedeliste"/>
        <w:numPr>
          <w:ilvl w:val="0"/>
          <w:numId w:val="2"/>
        </w:numPr>
        <w:spacing w:after="40" w:line="264" w:lineRule="auto"/>
        <w:jc w:val="both"/>
      </w:pPr>
      <w:r>
        <w:rPr>
          <w:color w:val="1A1A1A"/>
          <w:sz w:val="19"/>
          <w:szCs w:val="19"/>
        </w:rPr>
        <w:t>La loi connaît des limites en raison de contrôles juridictionnels, de critiques ou encore de la faculté d’y désobéir.</w:t>
      </w:r>
    </w:p>
    <w:p w14:paraId="27F6A24E" w14:textId="77777777" w:rsidR="00DF4DE6" w:rsidRDefault="001B2AC3" w:rsidP="00240AE0">
      <w:pPr>
        <w:spacing w:before="200" w:after="70"/>
        <w:jc w:val="both"/>
      </w:pPr>
      <w:r>
        <w:rPr>
          <w:b/>
          <w:bCs/>
          <w:color w:val="2E5A88"/>
          <w:spacing w:val="24"/>
          <w:sz w:val="17"/>
          <w:szCs w:val="17"/>
        </w:rPr>
        <w:t>PLAN DE LA FICHE</w:t>
      </w:r>
    </w:p>
    <w:p w14:paraId="3BBD4F0C" w14:textId="77777777" w:rsidR="00DF4DE6" w:rsidRDefault="001B2AC3" w:rsidP="00240AE0">
      <w:pPr>
        <w:spacing w:after="20" w:line="250" w:lineRule="auto"/>
        <w:ind w:left="240"/>
        <w:jc w:val="both"/>
      </w:pPr>
      <w:r>
        <w:rPr>
          <w:b/>
          <w:bCs/>
          <w:color w:val="1F3864"/>
          <w:sz w:val="19"/>
          <w:szCs w:val="19"/>
        </w:rPr>
        <w:t>1. Les origines de la consécration législative des libertés</w:t>
      </w:r>
    </w:p>
    <w:p w14:paraId="688E487D" w14:textId="77777777" w:rsidR="00DF4DE6" w:rsidRDefault="001B2AC3" w:rsidP="00240AE0">
      <w:pPr>
        <w:spacing w:after="20" w:line="250" w:lineRule="auto"/>
        <w:ind w:left="240"/>
        <w:jc w:val="both"/>
      </w:pPr>
      <w:r>
        <w:rPr>
          <w:b/>
          <w:bCs/>
          <w:color w:val="1F3864"/>
          <w:sz w:val="19"/>
          <w:szCs w:val="19"/>
        </w:rPr>
        <w:t>2. La définition du bloc de légalité</w:t>
      </w:r>
    </w:p>
    <w:p w14:paraId="357FC80A" w14:textId="77777777" w:rsidR="00DF4DE6" w:rsidRDefault="001B2AC3" w:rsidP="00240AE0">
      <w:pPr>
        <w:spacing w:after="20" w:line="250" w:lineRule="auto"/>
        <w:ind w:left="500"/>
        <w:jc w:val="both"/>
      </w:pPr>
      <w:r>
        <w:rPr>
          <w:color w:val="333333"/>
          <w:sz w:val="18"/>
          <w:szCs w:val="18"/>
        </w:rPr>
        <w:t>2.1. Le bloc de légalité « traditionnel » : la norme législative</w:t>
      </w:r>
    </w:p>
    <w:p w14:paraId="0229FF4E" w14:textId="77777777" w:rsidR="00DF4DE6" w:rsidRDefault="001B2AC3" w:rsidP="00240AE0">
      <w:pPr>
        <w:spacing w:after="20" w:line="250" w:lineRule="auto"/>
        <w:ind w:left="760"/>
        <w:jc w:val="both"/>
      </w:pPr>
      <w:r>
        <w:rPr>
          <w:color w:val="595959"/>
          <w:sz w:val="18"/>
          <w:szCs w:val="18"/>
        </w:rPr>
        <w:t>2.1.1. La définition formelle : la hiérarchie des normes</w:t>
      </w:r>
    </w:p>
    <w:p w14:paraId="2033F462" w14:textId="77777777" w:rsidR="00DF4DE6" w:rsidRDefault="001B2AC3" w:rsidP="00240AE0">
      <w:pPr>
        <w:spacing w:after="20" w:line="250" w:lineRule="auto"/>
        <w:ind w:left="760"/>
        <w:jc w:val="both"/>
      </w:pPr>
      <w:r>
        <w:rPr>
          <w:color w:val="595959"/>
          <w:sz w:val="18"/>
          <w:szCs w:val="18"/>
        </w:rPr>
        <w:t>2.1.2. La définition matérielle : le contenu du bloc de légalité</w:t>
      </w:r>
    </w:p>
    <w:p w14:paraId="04330B0E" w14:textId="77777777" w:rsidR="00DF4DE6" w:rsidRDefault="001B2AC3" w:rsidP="00240AE0">
      <w:pPr>
        <w:spacing w:after="20" w:line="250" w:lineRule="auto"/>
        <w:ind w:left="500"/>
        <w:jc w:val="both"/>
      </w:pPr>
      <w:r>
        <w:rPr>
          <w:color w:val="333333"/>
          <w:sz w:val="18"/>
          <w:szCs w:val="18"/>
        </w:rPr>
        <w:t>2.2. Le bloc de légalité « élargi » : l’intégration des principes généraux du droit</w:t>
      </w:r>
    </w:p>
    <w:p w14:paraId="353BCC16" w14:textId="77777777" w:rsidR="00DF4DE6" w:rsidRDefault="001B2AC3" w:rsidP="00240AE0">
      <w:pPr>
        <w:spacing w:after="20" w:line="250" w:lineRule="auto"/>
        <w:ind w:left="760"/>
        <w:jc w:val="both"/>
      </w:pPr>
      <w:r>
        <w:rPr>
          <w:color w:val="595959"/>
          <w:sz w:val="18"/>
          <w:szCs w:val="18"/>
        </w:rPr>
        <w:t>2.2.1. La notion de principe général du droit</w:t>
      </w:r>
    </w:p>
    <w:p w14:paraId="52114414" w14:textId="77777777" w:rsidR="00DF4DE6" w:rsidRDefault="001B2AC3" w:rsidP="00240AE0">
      <w:pPr>
        <w:spacing w:after="20" w:line="250" w:lineRule="auto"/>
        <w:ind w:left="760"/>
        <w:jc w:val="both"/>
      </w:pPr>
      <w:r>
        <w:rPr>
          <w:color w:val="595959"/>
          <w:sz w:val="18"/>
          <w:szCs w:val="18"/>
        </w:rPr>
        <w:t>2.2.2. L’incertitude de la valeur des principes généraux du droit</w:t>
      </w:r>
    </w:p>
    <w:p w14:paraId="7B6D962B" w14:textId="77777777" w:rsidR="00DF4DE6" w:rsidRDefault="001B2AC3" w:rsidP="00240AE0">
      <w:pPr>
        <w:spacing w:after="20" w:line="250" w:lineRule="auto"/>
        <w:ind w:left="240"/>
        <w:jc w:val="both"/>
      </w:pPr>
      <w:r>
        <w:rPr>
          <w:b/>
          <w:bCs/>
          <w:color w:val="1F3864"/>
          <w:sz w:val="19"/>
          <w:szCs w:val="19"/>
        </w:rPr>
        <w:t>3. Une protection législative des droits et libertés</w:t>
      </w:r>
    </w:p>
    <w:p w14:paraId="3626E6D5" w14:textId="77777777" w:rsidR="00DF4DE6" w:rsidRDefault="001B2AC3" w:rsidP="00240AE0">
      <w:pPr>
        <w:spacing w:after="20" w:line="250" w:lineRule="auto"/>
        <w:ind w:left="500"/>
        <w:jc w:val="both"/>
      </w:pPr>
      <w:r>
        <w:rPr>
          <w:color w:val="333333"/>
          <w:sz w:val="18"/>
          <w:szCs w:val="18"/>
        </w:rPr>
        <w:t>3.1. Une protection législative prévue par la Constitution</w:t>
      </w:r>
    </w:p>
    <w:p w14:paraId="0D7252EC" w14:textId="77777777" w:rsidR="00DF4DE6" w:rsidRDefault="001B2AC3" w:rsidP="00240AE0">
      <w:pPr>
        <w:spacing w:after="20" w:line="250" w:lineRule="auto"/>
        <w:ind w:left="500"/>
        <w:jc w:val="both"/>
      </w:pPr>
      <w:r>
        <w:rPr>
          <w:color w:val="333333"/>
          <w:sz w:val="18"/>
          <w:szCs w:val="18"/>
        </w:rPr>
        <w:t>3.2. Une intervention du législateur indispensable en pratique</w:t>
      </w:r>
    </w:p>
    <w:p w14:paraId="75E3DD88" w14:textId="77777777" w:rsidR="00DF4DE6" w:rsidRDefault="001B2AC3" w:rsidP="00240AE0">
      <w:pPr>
        <w:spacing w:after="20" w:line="250" w:lineRule="auto"/>
        <w:ind w:left="500"/>
        <w:jc w:val="both"/>
      </w:pPr>
      <w:r>
        <w:rPr>
          <w:color w:val="333333"/>
          <w:sz w:val="18"/>
          <w:szCs w:val="18"/>
        </w:rPr>
        <w:t>3.3. Un outil de conciliation entre les droits</w:t>
      </w:r>
    </w:p>
    <w:p w14:paraId="41B69448" w14:textId="77777777" w:rsidR="00DF4DE6" w:rsidRDefault="001B2AC3" w:rsidP="00240AE0">
      <w:pPr>
        <w:spacing w:after="20" w:line="250" w:lineRule="auto"/>
        <w:ind w:left="240"/>
        <w:jc w:val="both"/>
      </w:pPr>
      <w:r>
        <w:rPr>
          <w:b/>
          <w:bCs/>
          <w:color w:val="1F3864"/>
          <w:sz w:val="19"/>
          <w:szCs w:val="19"/>
        </w:rPr>
        <w:t>4. Les limites de la loi : la protection des droits contre la loi</w:t>
      </w:r>
    </w:p>
    <w:p w14:paraId="14635AF6" w14:textId="77777777" w:rsidR="00DF4DE6" w:rsidRDefault="001B2AC3" w:rsidP="00240AE0">
      <w:pPr>
        <w:spacing w:after="20" w:line="250" w:lineRule="auto"/>
        <w:ind w:left="500"/>
        <w:jc w:val="both"/>
      </w:pPr>
      <w:r>
        <w:rPr>
          <w:color w:val="333333"/>
          <w:sz w:val="18"/>
          <w:szCs w:val="18"/>
        </w:rPr>
        <w:t>4.1. Le contrôle juridictionnel de la loi</w:t>
      </w:r>
    </w:p>
    <w:p w14:paraId="42A549D0" w14:textId="77777777" w:rsidR="00DF4DE6" w:rsidRDefault="001B2AC3" w:rsidP="00240AE0">
      <w:pPr>
        <w:spacing w:after="20" w:line="250" w:lineRule="auto"/>
        <w:ind w:left="500"/>
        <w:jc w:val="both"/>
      </w:pPr>
      <w:r>
        <w:rPr>
          <w:color w:val="333333"/>
          <w:sz w:val="18"/>
          <w:szCs w:val="18"/>
        </w:rPr>
        <w:t>4.2. La critique de la loi</w:t>
      </w:r>
    </w:p>
    <w:p w14:paraId="5A0D7E1D" w14:textId="77777777" w:rsidR="00DF4DE6" w:rsidRDefault="001B2AC3" w:rsidP="00240AE0">
      <w:pPr>
        <w:spacing w:after="20" w:line="250" w:lineRule="auto"/>
        <w:ind w:left="500"/>
        <w:jc w:val="both"/>
      </w:pPr>
      <w:r>
        <w:rPr>
          <w:color w:val="333333"/>
          <w:sz w:val="18"/>
          <w:szCs w:val="18"/>
        </w:rPr>
        <w:t>4.3. La désobéissance à la loi</w:t>
      </w:r>
    </w:p>
    <w:p w14:paraId="52ABF84C" w14:textId="77777777" w:rsidR="00DF4DE6" w:rsidRDefault="001B2AC3" w:rsidP="00240AE0">
      <w:pPr>
        <w:spacing w:before="200" w:after="70"/>
        <w:jc w:val="both"/>
      </w:pPr>
      <w:r>
        <w:rPr>
          <w:b/>
          <w:bCs/>
          <w:color w:val="2E5A88"/>
          <w:spacing w:val="24"/>
          <w:sz w:val="17"/>
          <w:szCs w:val="17"/>
        </w:rPr>
        <w:t>RÉFÉRENCES CENTRALES</w:t>
      </w:r>
    </w:p>
    <w:p w14:paraId="2A616CAE" w14:textId="77777777" w:rsidR="00DF4DE6" w:rsidRDefault="001B2AC3" w:rsidP="00240AE0">
      <w:pPr>
        <w:pStyle w:val="Paragraphedeliste"/>
        <w:numPr>
          <w:ilvl w:val="0"/>
          <w:numId w:val="2"/>
        </w:numPr>
        <w:spacing w:after="40" w:line="264" w:lineRule="auto"/>
        <w:jc w:val="both"/>
      </w:pPr>
      <w:r>
        <w:rPr>
          <w:color w:val="333333"/>
          <w:sz w:val="18"/>
          <w:szCs w:val="18"/>
        </w:rPr>
        <w:t>Articles 5 et 6 de la Déclaration des droits de l’homme et du citoyen de 1789.</w:t>
      </w:r>
    </w:p>
    <w:p w14:paraId="7693065B" w14:textId="77777777" w:rsidR="00DF4DE6" w:rsidRDefault="001B2AC3" w:rsidP="00240AE0">
      <w:pPr>
        <w:pStyle w:val="Paragraphedeliste"/>
        <w:numPr>
          <w:ilvl w:val="0"/>
          <w:numId w:val="2"/>
        </w:numPr>
        <w:spacing w:after="40" w:line="264" w:lineRule="auto"/>
        <w:jc w:val="both"/>
      </w:pPr>
      <w:r>
        <w:rPr>
          <w:color w:val="333333"/>
          <w:sz w:val="18"/>
          <w:szCs w:val="18"/>
        </w:rPr>
        <w:t>Article 34 de la Constitution de 1958</w:t>
      </w:r>
    </w:p>
    <w:p w14:paraId="0167C547" w14:textId="77777777" w:rsidR="00DF4DE6" w:rsidRDefault="001B2AC3" w:rsidP="00240AE0">
      <w:pPr>
        <w:pStyle w:val="Paragraphedeliste"/>
        <w:numPr>
          <w:ilvl w:val="0"/>
          <w:numId w:val="2"/>
        </w:numPr>
        <w:spacing w:after="40" w:line="264" w:lineRule="auto"/>
        <w:jc w:val="both"/>
      </w:pPr>
      <w:r>
        <w:rPr>
          <w:color w:val="333333"/>
          <w:sz w:val="18"/>
          <w:szCs w:val="18"/>
        </w:rPr>
        <w:t>CE, 26 octobre 1945, Aramu, no 77726…. POUR ALLER PLUS LOIN Dans son discours d’investiture en tant que nouveau président de la République en février 1849, Grévy va renoncer à utiliser certains pouvoirs constitutionnellement prévus comme le droit de dissolution. Cette déclaration, ultérieurement appelée « Constitution Grévy », impliquait un déséquilibre dans la séparation des pouvoirs bénéficiant au pouvoir législatif.</w:t>
      </w:r>
    </w:p>
    <w:p w14:paraId="0507DDC8" w14:textId="77777777" w:rsidR="00DF4DE6" w:rsidRDefault="00DF4DE6" w:rsidP="00240AE0">
      <w:pPr>
        <w:pBdr>
          <w:top w:val="single" w:sz="6" w:space="0" w:color="C7D2E0"/>
        </w:pBdr>
        <w:spacing w:before="260" w:after="180"/>
        <w:jc w:val="both"/>
      </w:pPr>
    </w:p>
    <w:p w14:paraId="19D402D9"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11  ·</w:t>
      </w:r>
      <w:proofErr w:type="gramEnd"/>
      <w:r>
        <w:rPr>
          <w:b/>
          <w:bCs/>
          <w:color w:val="2E5A88"/>
          <w:sz w:val="22"/>
          <w:szCs w:val="22"/>
        </w:rPr>
        <w:t xml:space="preserve">  </w:t>
      </w:r>
      <w:r>
        <w:rPr>
          <w:rFonts w:ascii="Cambria" w:eastAsia="Cambria" w:hAnsi="Cambria" w:cs="Cambria"/>
          <w:b/>
          <w:bCs/>
          <w:color w:val="1F3864"/>
        </w:rPr>
        <w:t>Le règlement et les libertés</w:t>
      </w:r>
    </w:p>
    <w:p w14:paraId="757DFEDB" w14:textId="77777777" w:rsidR="00DF4DE6" w:rsidRDefault="001B2AC3" w:rsidP="00240AE0">
      <w:pPr>
        <w:spacing w:after="120"/>
        <w:jc w:val="both"/>
      </w:pPr>
      <w:r>
        <w:rPr>
          <w:i/>
          <w:iCs/>
          <w:color w:val="595959"/>
          <w:sz w:val="17"/>
          <w:szCs w:val="17"/>
        </w:rPr>
        <w:t>Fascicule, p. 104</w:t>
      </w:r>
    </w:p>
    <w:p w14:paraId="7DA70CB5" w14:textId="77777777" w:rsidR="00DF4DE6" w:rsidRDefault="001B2AC3" w:rsidP="00240AE0">
      <w:pPr>
        <w:spacing w:before="200" w:after="70"/>
        <w:jc w:val="both"/>
      </w:pPr>
      <w:r>
        <w:rPr>
          <w:b/>
          <w:bCs/>
          <w:color w:val="2E5A88"/>
          <w:spacing w:val="24"/>
          <w:sz w:val="17"/>
          <w:szCs w:val="17"/>
        </w:rPr>
        <w:t>IDÉE DIRECTRICE</w:t>
      </w:r>
    </w:p>
    <w:p w14:paraId="0C9F68A1" w14:textId="77777777" w:rsidR="00DF4DE6" w:rsidRDefault="001B2AC3" w:rsidP="00240AE0">
      <w:pPr>
        <w:spacing w:after="60" w:line="276" w:lineRule="auto"/>
        <w:jc w:val="both"/>
      </w:pPr>
      <w:r>
        <w:t xml:space="preserve">L'étage réglementaire, souvent sous-estimé. La Constitution de 1958 donne au pouvoir réglementaire un domaine étendu : suppléer la loi, agir en situation de crise, exercer la police administrative, sanctionner par voie </w:t>
      </w:r>
      <w:r>
        <w:lastRenderedPageBreak/>
        <w:t>contraventionnelle. La fiche se referme sur le contrôle du juge administratif, qui est la vraie garantie dans ce domaine.</w:t>
      </w:r>
    </w:p>
    <w:p w14:paraId="5A7D991E" w14:textId="77777777" w:rsidR="00DF4DE6" w:rsidRDefault="001B2AC3" w:rsidP="00240AE0">
      <w:pPr>
        <w:spacing w:before="200" w:after="70"/>
        <w:jc w:val="both"/>
      </w:pPr>
      <w:r>
        <w:rPr>
          <w:b/>
          <w:bCs/>
          <w:color w:val="2E5A88"/>
          <w:spacing w:val="24"/>
          <w:sz w:val="17"/>
          <w:szCs w:val="17"/>
        </w:rPr>
        <w:t>POINTS CLÉS (ENCADRÉ DU FASCICULE)</w:t>
      </w:r>
    </w:p>
    <w:p w14:paraId="1F67E952" w14:textId="77777777" w:rsidR="00DF4DE6" w:rsidRDefault="001B2AC3" w:rsidP="00240AE0">
      <w:pPr>
        <w:pStyle w:val="Paragraphedeliste"/>
        <w:numPr>
          <w:ilvl w:val="0"/>
          <w:numId w:val="2"/>
        </w:numPr>
        <w:spacing w:after="40" w:line="264" w:lineRule="auto"/>
        <w:jc w:val="both"/>
      </w:pPr>
      <w:r>
        <w:rPr>
          <w:color w:val="1A1A1A"/>
          <w:sz w:val="19"/>
          <w:szCs w:val="19"/>
        </w:rPr>
        <w:t>La Constitution de 1958 donne au pouvoir règlementaire un domaine de compétence étendu.</w:t>
      </w:r>
    </w:p>
    <w:p w14:paraId="706EA4F6" w14:textId="77777777" w:rsidR="00DF4DE6" w:rsidRDefault="001B2AC3" w:rsidP="00240AE0">
      <w:pPr>
        <w:pStyle w:val="Paragraphedeliste"/>
        <w:numPr>
          <w:ilvl w:val="0"/>
          <w:numId w:val="2"/>
        </w:numPr>
        <w:spacing w:after="40" w:line="264" w:lineRule="auto"/>
        <w:jc w:val="both"/>
      </w:pPr>
      <w:r>
        <w:rPr>
          <w:color w:val="1A1A1A"/>
          <w:sz w:val="19"/>
          <w:szCs w:val="19"/>
        </w:rPr>
        <w:t>S’il revient au législateur de connaître des garanties relatives aux libertés publiques, le pouvoir règlementaire dispose d’une compétence certaine en la matière.</w:t>
      </w:r>
    </w:p>
    <w:p w14:paraId="5FBB57B8" w14:textId="77777777" w:rsidR="00DF4DE6" w:rsidRDefault="001B2AC3" w:rsidP="00240AE0">
      <w:pPr>
        <w:pStyle w:val="Paragraphedeliste"/>
        <w:numPr>
          <w:ilvl w:val="0"/>
          <w:numId w:val="2"/>
        </w:numPr>
        <w:spacing w:after="40" w:line="264" w:lineRule="auto"/>
        <w:jc w:val="both"/>
      </w:pPr>
      <w:r>
        <w:rPr>
          <w:color w:val="1A1A1A"/>
          <w:sz w:val="19"/>
          <w:szCs w:val="19"/>
        </w:rPr>
        <w:t>Le pouvoir règlementaire intervient, dans le cadre de l’article 37 de la Constitution, pour interpréter les lois, mais aussi par des décrets autonomes.</w:t>
      </w:r>
    </w:p>
    <w:p w14:paraId="31210C54" w14:textId="77777777" w:rsidR="00DF4DE6" w:rsidRDefault="001B2AC3" w:rsidP="00240AE0">
      <w:pPr>
        <w:pStyle w:val="Paragraphedeliste"/>
        <w:numPr>
          <w:ilvl w:val="0"/>
          <w:numId w:val="2"/>
        </w:numPr>
        <w:spacing w:after="40" w:line="264" w:lineRule="auto"/>
        <w:jc w:val="both"/>
      </w:pPr>
      <w:r>
        <w:rPr>
          <w:color w:val="1A1A1A"/>
          <w:sz w:val="19"/>
          <w:szCs w:val="19"/>
        </w:rPr>
        <w:t>Il intervient enfin pour restreindre les libertés afin de maintenir l’ordre public, dans le cadre de la police administrative.</w:t>
      </w:r>
    </w:p>
    <w:p w14:paraId="5BE2CE3A" w14:textId="77777777" w:rsidR="00DF4DE6" w:rsidRDefault="001B2AC3" w:rsidP="00240AE0">
      <w:pPr>
        <w:pStyle w:val="Paragraphedeliste"/>
        <w:numPr>
          <w:ilvl w:val="0"/>
          <w:numId w:val="2"/>
        </w:numPr>
        <w:spacing w:after="40" w:line="264" w:lineRule="auto"/>
        <w:jc w:val="both"/>
      </w:pPr>
      <w:r>
        <w:rPr>
          <w:color w:val="1A1A1A"/>
          <w:sz w:val="19"/>
          <w:szCs w:val="19"/>
        </w:rPr>
        <w:t>Cette mise en balance des libertés publiques avec la protection de l’ordre public se fait sous le contrôle du juge administratif.</w:t>
      </w:r>
    </w:p>
    <w:p w14:paraId="270E6D80" w14:textId="77777777" w:rsidR="00DF4DE6" w:rsidRDefault="001B2AC3" w:rsidP="00240AE0">
      <w:pPr>
        <w:spacing w:before="200" w:after="70"/>
        <w:jc w:val="both"/>
      </w:pPr>
      <w:r>
        <w:rPr>
          <w:b/>
          <w:bCs/>
          <w:color w:val="2E5A88"/>
          <w:spacing w:val="24"/>
          <w:sz w:val="17"/>
          <w:szCs w:val="17"/>
        </w:rPr>
        <w:t>PLAN DE LA FICHE</w:t>
      </w:r>
    </w:p>
    <w:p w14:paraId="6F8B8696" w14:textId="77777777" w:rsidR="00DF4DE6" w:rsidRDefault="001B2AC3" w:rsidP="00240AE0">
      <w:pPr>
        <w:spacing w:after="20" w:line="250" w:lineRule="auto"/>
        <w:ind w:left="240"/>
        <w:jc w:val="both"/>
      </w:pPr>
      <w:r>
        <w:rPr>
          <w:b/>
          <w:bCs/>
          <w:color w:val="1F3864"/>
          <w:sz w:val="19"/>
          <w:szCs w:val="19"/>
        </w:rPr>
        <w:t>1. La définition du pouvoir règlementaire</w:t>
      </w:r>
    </w:p>
    <w:p w14:paraId="56B72672" w14:textId="77777777" w:rsidR="00DF4DE6" w:rsidRDefault="001B2AC3" w:rsidP="00240AE0">
      <w:pPr>
        <w:spacing w:after="20" w:line="250" w:lineRule="auto"/>
        <w:ind w:left="500"/>
        <w:jc w:val="both"/>
      </w:pPr>
      <w:r>
        <w:rPr>
          <w:color w:val="333333"/>
          <w:sz w:val="18"/>
          <w:szCs w:val="18"/>
        </w:rPr>
        <w:t>1.1. Les autorités chargées du pouvoir règlementaire</w:t>
      </w:r>
    </w:p>
    <w:p w14:paraId="4B4ACA4A" w14:textId="77777777" w:rsidR="00DF4DE6" w:rsidRDefault="001B2AC3" w:rsidP="00240AE0">
      <w:pPr>
        <w:spacing w:after="20" w:line="250" w:lineRule="auto"/>
        <w:ind w:left="500"/>
        <w:jc w:val="both"/>
      </w:pPr>
      <w:r>
        <w:rPr>
          <w:color w:val="333333"/>
          <w:sz w:val="18"/>
          <w:szCs w:val="18"/>
        </w:rPr>
        <w:t>1.2. La classification des normes règlementaires</w:t>
      </w:r>
    </w:p>
    <w:p w14:paraId="0F3F61C9" w14:textId="77777777" w:rsidR="00DF4DE6" w:rsidRDefault="001B2AC3" w:rsidP="00240AE0">
      <w:pPr>
        <w:spacing w:after="20" w:line="250" w:lineRule="auto"/>
        <w:ind w:left="240"/>
        <w:jc w:val="both"/>
      </w:pPr>
      <w:r>
        <w:rPr>
          <w:b/>
          <w:bCs/>
          <w:color w:val="1F3864"/>
          <w:sz w:val="19"/>
          <w:szCs w:val="19"/>
        </w:rPr>
        <w:t>2. La détermination des droits et des libertés par le pouvoir règlementaire</w:t>
      </w:r>
    </w:p>
    <w:p w14:paraId="0D971AE3" w14:textId="77777777" w:rsidR="00DF4DE6" w:rsidRDefault="001B2AC3" w:rsidP="00240AE0">
      <w:pPr>
        <w:spacing w:after="20" w:line="250" w:lineRule="auto"/>
        <w:ind w:left="500"/>
        <w:jc w:val="both"/>
      </w:pPr>
      <w:r>
        <w:rPr>
          <w:color w:val="333333"/>
          <w:sz w:val="18"/>
          <w:szCs w:val="18"/>
        </w:rPr>
        <w:t>2.1. Le pouvoir règlementaire pour suppléer la loi</w:t>
      </w:r>
    </w:p>
    <w:p w14:paraId="78EF3926" w14:textId="77777777" w:rsidR="00DF4DE6" w:rsidRDefault="001B2AC3" w:rsidP="00240AE0">
      <w:pPr>
        <w:spacing w:after="20" w:line="250" w:lineRule="auto"/>
        <w:ind w:left="500"/>
        <w:jc w:val="both"/>
      </w:pPr>
      <w:r>
        <w:rPr>
          <w:color w:val="333333"/>
          <w:sz w:val="18"/>
          <w:szCs w:val="18"/>
        </w:rPr>
        <w:t>2.2. Le pouvoir règlementaire et les situations de crise</w:t>
      </w:r>
    </w:p>
    <w:p w14:paraId="0C7059F9" w14:textId="77777777" w:rsidR="00DF4DE6" w:rsidRDefault="001B2AC3" w:rsidP="00240AE0">
      <w:pPr>
        <w:spacing w:after="20" w:line="250" w:lineRule="auto"/>
        <w:ind w:left="500"/>
        <w:jc w:val="both"/>
      </w:pPr>
      <w:r>
        <w:rPr>
          <w:color w:val="333333"/>
          <w:sz w:val="18"/>
          <w:szCs w:val="18"/>
        </w:rPr>
        <w:t>2.3. Le pouvoir règlementaire et la police administrative</w:t>
      </w:r>
    </w:p>
    <w:p w14:paraId="4D385FFA" w14:textId="77777777" w:rsidR="00DF4DE6" w:rsidRDefault="001B2AC3" w:rsidP="00240AE0">
      <w:pPr>
        <w:spacing w:after="20" w:line="250" w:lineRule="auto"/>
        <w:ind w:left="500"/>
        <w:jc w:val="both"/>
      </w:pPr>
      <w:r>
        <w:rPr>
          <w:color w:val="333333"/>
          <w:sz w:val="18"/>
          <w:szCs w:val="18"/>
        </w:rPr>
        <w:t>2.4. Le pouvoir règlementaire contraventionnel du Premier ministre</w:t>
      </w:r>
    </w:p>
    <w:p w14:paraId="06C6CE58" w14:textId="77777777" w:rsidR="00DF4DE6" w:rsidRDefault="001B2AC3" w:rsidP="00240AE0">
      <w:pPr>
        <w:spacing w:after="20" w:line="250" w:lineRule="auto"/>
        <w:ind w:left="500"/>
        <w:jc w:val="both"/>
      </w:pPr>
      <w:r>
        <w:rPr>
          <w:color w:val="333333"/>
          <w:sz w:val="18"/>
          <w:szCs w:val="18"/>
        </w:rPr>
        <w:t>2.5. Le contrôle du juge sur l’exercice du pouvoir règlementaire</w:t>
      </w:r>
    </w:p>
    <w:p w14:paraId="13E6B540" w14:textId="77777777" w:rsidR="00DF4DE6" w:rsidRDefault="001B2AC3" w:rsidP="00240AE0">
      <w:pPr>
        <w:spacing w:before="200" w:after="70"/>
        <w:jc w:val="both"/>
      </w:pPr>
      <w:r>
        <w:rPr>
          <w:b/>
          <w:bCs/>
          <w:color w:val="2E5A88"/>
          <w:spacing w:val="24"/>
          <w:sz w:val="17"/>
          <w:szCs w:val="17"/>
        </w:rPr>
        <w:t>RÉFÉRENCES CENTRALES</w:t>
      </w:r>
    </w:p>
    <w:p w14:paraId="14C42355" w14:textId="77777777" w:rsidR="00DF4DE6" w:rsidRDefault="001B2AC3" w:rsidP="00240AE0">
      <w:pPr>
        <w:pStyle w:val="Paragraphedeliste"/>
        <w:numPr>
          <w:ilvl w:val="0"/>
          <w:numId w:val="2"/>
        </w:numPr>
        <w:spacing w:after="40" w:line="264" w:lineRule="auto"/>
        <w:jc w:val="both"/>
      </w:pPr>
      <w:r>
        <w:rPr>
          <w:color w:val="333333"/>
          <w:sz w:val="18"/>
          <w:szCs w:val="18"/>
        </w:rPr>
        <w:t>Articles 21 et 37 de la Constitution.</w:t>
      </w:r>
    </w:p>
    <w:p w14:paraId="438C2781" w14:textId="77777777" w:rsidR="00DF4DE6" w:rsidRDefault="001B2AC3" w:rsidP="00240AE0">
      <w:pPr>
        <w:pStyle w:val="Paragraphedeliste"/>
        <w:numPr>
          <w:ilvl w:val="0"/>
          <w:numId w:val="2"/>
        </w:numPr>
        <w:spacing w:after="40" w:line="264" w:lineRule="auto"/>
        <w:jc w:val="both"/>
      </w:pPr>
      <w:r>
        <w:rPr>
          <w:color w:val="333333"/>
          <w:sz w:val="18"/>
          <w:szCs w:val="18"/>
        </w:rPr>
        <w:t>CE, 7 février 1936, Jamart, no 43321.</w:t>
      </w:r>
    </w:p>
    <w:p w14:paraId="72D45F78" w14:textId="77777777" w:rsidR="00DF4DE6" w:rsidRDefault="001B2AC3" w:rsidP="00240AE0">
      <w:pPr>
        <w:pStyle w:val="Paragraphedeliste"/>
        <w:numPr>
          <w:ilvl w:val="0"/>
          <w:numId w:val="2"/>
        </w:numPr>
        <w:spacing w:after="40" w:line="264" w:lineRule="auto"/>
        <w:jc w:val="both"/>
      </w:pPr>
      <w:r>
        <w:rPr>
          <w:color w:val="333333"/>
          <w:sz w:val="18"/>
          <w:szCs w:val="18"/>
        </w:rPr>
        <w:t>CE, 28 juin 1919, Heyriès, no 63412.</w:t>
      </w:r>
    </w:p>
    <w:p w14:paraId="585F761A" w14:textId="77777777" w:rsidR="00DF4DE6" w:rsidRDefault="001B2AC3" w:rsidP="00240AE0">
      <w:pPr>
        <w:pStyle w:val="Paragraphedeliste"/>
        <w:numPr>
          <w:ilvl w:val="0"/>
          <w:numId w:val="2"/>
        </w:numPr>
        <w:spacing w:after="40" w:line="264" w:lineRule="auto"/>
        <w:jc w:val="both"/>
      </w:pPr>
      <w:r>
        <w:rPr>
          <w:color w:val="333333"/>
          <w:sz w:val="18"/>
          <w:szCs w:val="18"/>
        </w:rPr>
        <w:t>CE, 19 mai 1933, Benjamin, no 17413.</w:t>
      </w:r>
    </w:p>
    <w:p w14:paraId="6142B8DB" w14:textId="77777777" w:rsidR="00DF4DE6" w:rsidRDefault="001B2AC3" w:rsidP="00240AE0">
      <w:pPr>
        <w:jc w:val="both"/>
      </w:pPr>
      <w:r>
        <w:br w:type="page"/>
      </w:r>
    </w:p>
    <w:p w14:paraId="57BA9B99" w14:textId="77777777" w:rsidR="00DF4DE6" w:rsidRDefault="001B2AC3" w:rsidP="00240AE0">
      <w:pPr>
        <w:spacing w:after="40"/>
        <w:jc w:val="both"/>
      </w:pPr>
      <w:r>
        <w:rPr>
          <w:b/>
          <w:bCs/>
          <w:color w:val="2E5A88"/>
          <w:spacing w:val="50"/>
        </w:rPr>
        <w:lastRenderedPageBreak/>
        <w:t>PARTIE III</w:t>
      </w:r>
    </w:p>
    <w:p w14:paraId="2CF027F5" w14:textId="77777777" w:rsidR="00DF4DE6" w:rsidRDefault="001B2AC3" w:rsidP="00240AE0">
      <w:pPr>
        <w:pStyle w:val="Titre1"/>
        <w:pBdr>
          <w:bottom w:val="single" w:sz="10" w:space="0" w:color="C7D2E0"/>
        </w:pBdr>
        <w:spacing w:after="100"/>
        <w:jc w:val="both"/>
      </w:pPr>
      <w:r>
        <w:rPr>
          <w:rFonts w:ascii="Cambria" w:eastAsia="Cambria" w:hAnsi="Cambria" w:cs="Cambria"/>
          <w:b/>
          <w:bCs/>
          <w:color w:val="1F3864"/>
          <w:sz w:val="34"/>
          <w:szCs w:val="34"/>
        </w:rPr>
        <w:t>Les sources externes</w:t>
      </w:r>
    </w:p>
    <w:p w14:paraId="1439A0A6" w14:textId="77777777" w:rsidR="00DF4DE6" w:rsidRDefault="001B2AC3" w:rsidP="00240AE0">
      <w:pPr>
        <w:spacing w:before="60" w:after="160"/>
        <w:jc w:val="both"/>
      </w:pPr>
      <w:r>
        <w:rPr>
          <w:i/>
          <w:iCs/>
          <w:color w:val="595959"/>
          <w:sz w:val="18"/>
          <w:szCs w:val="18"/>
        </w:rPr>
        <w:t xml:space="preserve">Fiches 12 à </w:t>
      </w:r>
      <w:proofErr w:type="gramStart"/>
      <w:r>
        <w:rPr>
          <w:i/>
          <w:iCs/>
          <w:color w:val="595959"/>
          <w:sz w:val="18"/>
          <w:szCs w:val="18"/>
        </w:rPr>
        <w:t>15  ·</w:t>
      </w:r>
      <w:proofErr w:type="gramEnd"/>
      <w:r>
        <w:rPr>
          <w:i/>
          <w:iCs/>
          <w:color w:val="595959"/>
          <w:sz w:val="18"/>
          <w:szCs w:val="18"/>
        </w:rPr>
        <w:t xml:space="preserve">  pages 115 à 152 du fascicule</w:t>
      </w:r>
    </w:p>
    <w:p w14:paraId="01D4AE17" w14:textId="77777777" w:rsidR="00DF4DE6" w:rsidRDefault="001B2AC3" w:rsidP="00240AE0">
      <w:pPr>
        <w:spacing w:after="200" w:line="276" w:lineRule="auto"/>
        <w:jc w:val="both"/>
      </w:pPr>
      <w:r>
        <w:t>Même question, versant international. La fiche 12 explique le mouvement d'internationalisation et ses limites géographiques ; les fiches 13 à 15 détaillent les trois systèmes utiles en pratique : onusien, Conseil de l'Europe et Convention européenne, Union européenne. Les parties II et III forment ensemble le bloc « d'où vient le droit ? ».</w:t>
      </w:r>
    </w:p>
    <w:p w14:paraId="57275B28" w14:textId="77777777" w:rsidR="00DF4DE6" w:rsidRDefault="001B2AC3" w:rsidP="00240AE0">
      <w:pPr>
        <w:pStyle w:val="Titre2"/>
        <w:spacing w:before="120" w:after="30"/>
        <w:jc w:val="both"/>
      </w:pPr>
      <w:r>
        <w:rPr>
          <w:b/>
          <w:bCs/>
          <w:color w:val="2E5A88"/>
          <w:sz w:val="22"/>
          <w:szCs w:val="22"/>
        </w:rPr>
        <w:t xml:space="preserve">Fiche </w:t>
      </w:r>
      <w:proofErr w:type="gramStart"/>
      <w:r>
        <w:rPr>
          <w:b/>
          <w:bCs/>
          <w:color w:val="2E5A88"/>
          <w:sz w:val="22"/>
          <w:szCs w:val="22"/>
        </w:rPr>
        <w:t>12  ·</w:t>
      </w:r>
      <w:proofErr w:type="gramEnd"/>
      <w:r>
        <w:rPr>
          <w:b/>
          <w:bCs/>
          <w:color w:val="2E5A88"/>
          <w:sz w:val="22"/>
          <w:szCs w:val="22"/>
        </w:rPr>
        <w:t xml:space="preserve">  </w:t>
      </w:r>
      <w:r>
        <w:rPr>
          <w:rFonts w:ascii="Cambria" w:eastAsia="Cambria" w:hAnsi="Cambria" w:cs="Cambria"/>
          <w:b/>
          <w:bCs/>
          <w:color w:val="1F3864"/>
        </w:rPr>
        <w:t>L’internationalisation du droit des libertés</w:t>
      </w:r>
    </w:p>
    <w:p w14:paraId="1BE0ED38" w14:textId="77777777" w:rsidR="00DF4DE6" w:rsidRDefault="001B2AC3" w:rsidP="00240AE0">
      <w:pPr>
        <w:spacing w:after="120"/>
        <w:jc w:val="both"/>
      </w:pPr>
      <w:r>
        <w:rPr>
          <w:i/>
          <w:iCs/>
          <w:color w:val="595959"/>
          <w:sz w:val="17"/>
          <w:szCs w:val="17"/>
        </w:rPr>
        <w:t>Fascicule, p. 116</w:t>
      </w:r>
    </w:p>
    <w:p w14:paraId="1EF9461A" w14:textId="77777777" w:rsidR="00DF4DE6" w:rsidRDefault="001B2AC3" w:rsidP="00240AE0">
      <w:pPr>
        <w:spacing w:before="200" w:after="70"/>
        <w:jc w:val="both"/>
      </w:pPr>
      <w:r>
        <w:rPr>
          <w:b/>
          <w:bCs/>
          <w:color w:val="2E5A88"/>
          <w:spacing w:val="24"/>
          <w:sz w:val="17"/>
          <w:szCs w:val="17"/>
        </w:rPr>
        <w:t>IDÉE DIRECTRICE</w:t>
      </w:r>
    </w:p>
    <w:p w14:paraId="5C03153B" w14:textId="77777777" w:rsidR="00DF4DE6" w:rsidRDefault="001B2AC3" w:rsidP="00240AE0">
      <w:pPr>
        <w:spacing w:after="60" w:line="276" w:lineRule="auto"/>
        <w:jc w:val="both"/>
      </w:pPr>
      <w:r>
        <w:t>Fiche charnière entre sources internes et externes. Elle explique pourquoi les droits se sont internationalisés (traumatisme des conflits du XXe siècle), ce que cela a produit (DUDH de 1948, accès des individus aux juridictions supranationales, reconfiguration de la hiérarchie des normes), et où cela s'arrête : une internationalisation à géographie variable (Europe, Amérique, Afrique, Asie, monde arabo-musulman) confrontée au relativisme culturel.</w:t>
      </w:r>
    </w:p>
    <w:p w14:paraId="7D5264B4" w14:textId="77777777" w:rsidR="00DF4DE6" w:rsidRDefault="001B2AC3" w:rsidP="00240AE0">
      <w:pPr>
        <w:spacing w:before="200" w:after="70"/>
        <w:jc w:val="both"/>
      </w:pPr>
      <w:r>
        <w:rPr>
          <w:b/>
          <w:bCs/>
          <w:color w:val="2E5A88"/>
          <w:spacing w:val="24"/>
          <w:sz w:val="17"/>
          <w:szCs w:val="17"/>
        </w:rPr>
        <w:t>POINTS CLÉS (ENCADRÉ DU FASCICULE)</w:t>
      </w:r>
    </w:p>
    <w:p w14:paraId="5CEE3949" w14:textId="77777777" w:rsidR="00DF4DE6" w:rsidRDefault="001B2AC3" w:rsidP="00240AE0">
      <w:pPr>
        <w:pStyle w:val="Paragraphedeliste"/>
        <w:numPr>
          <w:ilvl w:val="0"/>
          <w:numId w:val="2"/>
        </w:numPr>
        <w:spacing w:after="40" w:line="264" w:lineRule="auto"/>
        <w:jc w:val="both"/>
      </w:pPr>
      <w:r>
        <w:rPr>
          <w:color w:val="1A1A1A"/>
          <w:sz w:val="19"/>
          <w:szCs w:val="19"/>
        </w:rPr>
        <w:t>Conflits mondiaux et impulsion de l’internationalisation des droits.</w:t>
      </w:r>
    </w:p>
    <w:p w14:paraId="3A1894F0" w14:textId="77777777" w:rsidR="00DF4DE6" w:rsidRDefault="001B2AC3" w:rsidP="00240AE0">
      <w:pPr>
        <w:pStyle w:val="Paragraphedeliste"/>
        <w:numPr>
          <w:ilvl w:val="0"/>
          <w:numId w:val="2"/>
        </w:numPr>
        <w:spacing w:after="40" w:line="264" w:lineRule="auto"/>
        <w:jc w:val="both"/>
      </w:pPr>
      <w:r>
        <w:rPr>
          <w:color w:val="1A1A1A"/>
          <w:sz w:val="19"/>
          <w:szCs w:val="19"/>
        </w:rPr>
        <w:t>Déclaration universelle de 1948 et nouveaux droits sociaux.</w:t>
      </w:r>
    </w:p>
    <w:p w14:paraId="5C1698D9" w14:textId="77777777" w:rsidR="00DF4DE6" w:rsidRDefault="001B2AC3" w:rsidP="00240AE0">
      <w:pPr>
        <w:pStyle w:val="Paragraphedeliste"/>
        <w:numPr>
          <w:ilvl w:val="0"/>
          <w:numId w:val="2"/>
        </w:numPr>
        <w:spacing w:after="40" w:line="264" w:lineRule="auto"/>
        <w:jc w:val="both"/>
      </w:pPr>
      <w:r>
        <w:rPr>
          <w:color w:val="1A1A1A"/>
          <w:sz w:val="19"/>
          <w:szCs w:val="19"/>
        </w:rPr>
        <w:t>Mutation de la figure du titulaire des droits.</w:t>
      </w:r>
    </w:p>
    <w:p w14:paraId="69F2989E" w14:textId="77777777" w:rsidR="00DF4DE6" w:rsidRDefault="001B2AC3" w:rsidP="00240AE0">
      <w:pPr>
        <w:pStyle w:val="Paragraphedeliste"/>
        <w:numPr>
          <w:ilvl w:val="0"/>
          <w:numId w:val="2"/>
        </w:numPr>
        <w:spacing w:after="40" w:line="264" w:lineRule="auto"/>
        <w:jc w:val="both"/>
      </w:pPr>
      <w:r>
        <w:rPr>
          <w:color w:val="1A1A1A"/>
          <w:sz w:val="19"/>
          <w:szCs w:val="19"/>
        </w:rPr>
        <w:t>Multiplication des systèmes de protection régionaux.</w:t>
      </w:r>
    </w:p>
    <w:p w14:paraId="1AD5D2CC" w14:textId="77777777" w:rsidR="00DF4DE6" w:rsidRDefault="001B2AC3" w:rsidP="00240AE0">
      <w:pPr>
        <w:pStyle w:val="Paragraphedeliste"/>
        <w:numPr>
          <w:ilvl w:val="0"/>
          <w:numId w:val="2"/>
        </w:numPr>
        <w:spacing w:after="40" w:line="264" w:lineRule="auto"/>
        <w:jc w:val="both"/>
      </w:pPr>
      <w:r>
        <w:rPr>
          <w:color w:val="1A1A1A"/>
          <w:sz w:val="19"/>
          <w:szCs w:val="19"/>
        </w:rPr>
        <w:t>Articulation complexe entre normes nationales et internationales.</w:t>
      </w:r>
    </w:p>
    <w:p w14:paraId="18049715" w14:textId="77777777" w:rsidR="00DF4DE6" w:rsidRDefault="001B2AC3" w:rsidP="00240AE0">
      <w:pPr>
        <w:pStyle w:val="Paragraphedeliste"/>
        <w:numPr>
          <w:ilvl w:val="0"/>
          <w:numId w:val="2"/>
        </w:numPr>
        <w:spacing w:after="40" w:line="264" w:lineRule="auto"/>
        <w:jc w:val="both"/>
      </w:pPr>
      <w:r>
        <w:rPr>
          <w:color w:val="1A1A1A"/>
          <w:sz w:val="19"/>
          <w:szCs w:val="19"/>
        </w:rPr>
        <w:t>Coopération et confrontation entre ordres juridiques européens et nationaux.</w:t>
      </w:r>
    </w:p>
    <w:p w14:paraId="0324B23C" w14:textId="77777777" w:rsidR="00DF4DE6" w:rsidRDefault="001B2AC3" w:rsidP="00240AE0">
      <w:pPr>
        <w:pStyle w:val="Paragraphedeliste"/>
        <w:numPr>
          <w:ilvl w:val="0"/>
          <w:numId w:val="2"/>
        </w:numPr>
        <w:spacing w:after="40" w:line="264" w:lineRule="auto"/>
        <w:jc w:val="both"/>
      </w:pPr>
      <w:r>
        <w:rPr>
          <w:color w:val="1A1A1A"/>
          <w:sz w:val="19"/>
          <w:szCs w:val="19"/>
        </w:rPr>
        <w:t>Accès des individus aux juridictions supranationales.</w:t>
      </w:r>
    </w:p>
    <w:p w14:paraId="31D664B7" w14:textId="77777777" w:rsidR="00DF4DE6" w:rsidRDefault="001B2AC3" w:rsidP="00240AE0">
      <w:pPr>
        <w:spacing w:before="200" w:after="70"/>
        <w:jc w:val="both"/>
      </w:pPr>
      <w:r>
        <w:rPr>
          <w:b/>
          <w:bCs/>
          <w:color w:val="2E5A88"/>
          <w:spacing w:val="24"/>
          <w:sz w:val="17"/>
          <w:szCs w:val="17"/>
        </w:rPr>
        <w:t>PLAN DE LA FICHE</w:t>
      </w:r>
    </w:p>
    <w:p w14:paraId="08E28DD0" w14:textId="77777777" w:rsidR="00DF4DE6" w:rsidRDefault="001B2AC3" w:rsidP="00240AE0">
      <w:pPr>
        <w:spacing w:after="20" w:line="250" w:lineRule="auto"/>
        <w:ind w:left="240"/>
        <w:jc w:val="both"/>
      </w:pPr>
      <w:r>
        <w:rPr>
          <w:b/>
          <w:bCs/>
          <w:color w:val="1F3864"/>
          <w:sz w:val="19"/>
          <w:szCs w:val="19"/>
        </w:rPr>
        <w:t>1. Le contexte général de l’internationalisation du droit des libertés en France</w:t>
      </w:r>
    </w:p>
    <w:p w14:paraId="76671A0F" w14:textId="77777777" w:rsidR="00DF4DE6" w:rsidRDefault="001B2AC3" w:rsidP="00240AE0">
      <w:pPr>
        <w:spacing w:after="20" w:line="250" w:lineRule="auto"/>
        <w:ind w:left="500"/>
        <w:jc w:val="both"/>
      </w:pPr>
      <w:r>
        <w:rPr>
          <w:color w:val="333333"/>
          <w:sz w:val="18"/>
          <w:szCs w:val="18"/>
        </w:rPr>
        <w:t>1.1. Les conflits du XXe siècle, traumatisme fondateur de l’internationalisation des droits humains</w:t>
      </w:r>
    </w:p>
    <w:p w14:paraId="6C5FA5CF" w14:textId="77777777" w:rsidR="00DF4DE6" w:rsidRDefault="001B2AC3" w:rsidP="00240AE0">
      <w:pPr>
        <w:spacing w:after="20" w:line="250" w:lineRule="auto"/>
        <w:ind w:left="500"/>
        <w:jc w:val="both"/>
      </w:pPr>
      <w:r>
        <w:rPr>
          <w:color w:val="333333"/>
          <w:sz w:val="18"/>
          <w:szCs w:val="18"/>
        </w:rPr>
        <w:t>1.2. Un vecteur d’universalisation en phase avec l’idéal des Lumières</w:t>
      </w:r>
    </w:p>
    <w:p w14:paraId="2C68F9DA" w14:textId="77777777" w:rsidR="00DF4DE6" w:rsidRDefault="001B2AC3" w:rsidP="00240AE0">
      <w:pPr>
        <w:spacing w:after="20" w:line="250" w:lineRule="auto"/>
        <w:ind w:left="760"/>
        <w:jc w:val="both"/>
      </w:pPr>
      <w:r>
        <w:rPr>
          <w:color w:val="595959"/>
          <w:sz w:val="18"/>
          <w:szCs w:val="18"/>
        </w:rPr>
        <w:t>1.2.1. Une filiation avec l’universalisme de 1789 au-delà de l’État</w:t>
      </w:r>
    </w:p>
    <w:p w14:paraId="5245D937" w14:textId="77777777" w:rsidR="00DF4DE6" w:rsidRDefault="001B2AC3" w:rsidP="00240AE0">
      <w:pPr>
        <w:spacing w:after="20" w:line="250" w:lineRule="auto"/>
        <w:ind w:left="760"/>
        <w:jc w:val="both"/>
      </w:pPr>
      <w:r>
        <w:rPr>
          <w:color w:val="595959"/>
          <w:sz w:val="18"/>
          <w:szCs w:val="18"/>
        </w:rPr>
        <w:t>1.2.2. La Déclaration universelle des droits de l’homme de 1948 : les droits d’un être humain situé</w:t>
      </w:r>
    </w:p>
    <w:p w14:paraId="5CAAF596" w14:textId="77777777" w:rsidR="00DF4DE6" w:rsidRDefault="001B2AC3" w:rsidP="00240AE0">
      <w:pPr>
        <w:spacing w:after="20" w:line="250" w:lineRule="auto"/>
        <w:ind w:left="760"/>
        <w:jc w:val="both"/>
      </w:pPr>
      <w:r>
        <w:rPr>
          <w:color w:val="595959"/>
          <w:sz w:val="18"/>
          <w:szCs w:val="18"/>
        </w:rPr>
        <w:t>1.2.3. Les mécanismes de plaintes au cœur de la protection internationale des droits humains</w:t>
      </w:r>
    </w:p>
    <w:p w14:paraId="259C56D5" w14:textId="77777777" w:rsidR="00DF4DE6" w:rsidRDefault="001B2AC3" w:rsidP="00240AE0">
      <w:pPr>
        <w:spacing w:after="20" w:line="250" w:lineRule="auto"/>
        <w:ind w:left="500"/>
        <w:jc w:val="both"/>
      </w:pPr>
      <w:r>
        <w:rPr>
          <w:color w:val="333333"/>
          <w:sz w:val="18"/>
          <w:szCs w:val="18"/>
        </w:rPr>
        <w:t>1.3. Reconfiguration juridique de l’ordre interne : hiérarchie des normes</w:t>
      </w:r>
    </w:p>
    <w:p w14:paraId="79BBECF6" w14:textId="77777777" w:rsidR="00DF4DE6" w:rsidRDefault="001B2AC3" w:rsidP="00240AE0">
      <w:pPr>
        <w:spacing w:after="20" w:line="250" w:lineRule="auto"/>
        <w:ind w:left="240"/>
        <w:jc w:val="both"/>
      </w:pPr>
      <w:r>
        <w:rPr>
          <w:b/>
          <w:bCs/>
          <w:color w:val="1F3864"/>
          <w:sz w:val="19"/>
          <w:szCs w:val="19"/>
        </w:rPr>
        <w:t>2. Une internationalisation à géographie variable</w:t>
      </w:r>
    </w:p>
    <w:p w14:paraId="397E936D" w14:textId="77777777" w:rsidR="00DF4DE6" w:rsidRDefault="001B2AC3" w:rsidP="00240AE0">
      <w:pPr>
        <w:spacing w:after="20" w:line="250" w:lineRule="auto"/>
        <w:ind w:left="500"/>
        <w:jc w:val="both"/>
      </w:pPr>
      <w:r>
        <w:rPr>
          <w:color w:val="333333"/>
          <w:sz w:val="18"/>
          <w:szCs w:val="18"/>
        </w:rPr>
        <w:t>2.1. L’européanisation du droit des libertés</w:t>
      </w:r>
    </w:p>
    <w:p w14:paraId="47EA9264" w14:textId="77777777" w:rsidR="00DF4DE6" w:rsidRDefault="001B2AC3" w:rsidP="00240AE0">
      <w:pPr>
        <w:spacing w:after="20" w:line="250" w:lineRule="auto"/>
        <w:ind w:left="760"/>
        <w:jc w:val="both"/>
      </w:pPr>
      <w:r>
        <w:rPr>
          <w:color w:val="595959"/>
          <w:sz w:val="18"/>
          <w:szCs w:val="18"/>
        </w:rPr>
        <w:t>2.1.1. Le Conseil de l’Europe</w:t>
      </w:r>
    </w:p>
    <w:p w14:paraId="0CFEDF59" w14:textId="77777777" w:rsidR="00DF4DE6" w:rsidRDefault="001B2AC3" w:rsidP="00240AE0">
      <w:pPr>
        <w:spacing w:after="20" w:line="250" w:lineRule="auto"/>
        <w:ind w:left="760"/>
        <w:jc w:val="both"/>
      </w:pPr>
      <w:r>
        <w:rPr>
          <w:color w:val="595959"/>
          <w:sz w:val="18"/>
          <w:szCs w:val="18"/>
        </w:rPr>
        <w:t>2.1.2. L’Union européenne</w:t>
      </w:r>
    </w:p>
    <w:p w14:paraId="28CB04B8" w14:textId="77777777" w:rsidR="00DF4DE6" w:rsidRDefault="001B2AC3" w:rsidP="00240AE0">
      <w:pPr>
        <w:spacing w:after="20" w:line="250" w:lineRule="auto"/>
        <w:ind w:left="760"/>
        <w:jc w:val="both"/>
      </w:pPr>
      <w:r>
        <w:rPr>
          <w:color w:val="595959"/>
          <w:sz w:val="18"/>
          <w:szCs w:val="18"/>
        </w:rPr>
        <w:t>2.1.3. L’européanisation à l’épreuve de la souveraineté démocratique</w:t>
      </w:r>
    </w:p>
    <w:p w14:paraId="0F80C0D7" w14:textId="77777777" w:rsidR="00DF4DE6" w:rsidRDefault="001B2AC3" w:rsidP="00240AE0">
      <w:pPr>
        <w:spacing w:after="20" w:line="250" w:lineRule="auto"/>
        <w:ind w:left="500"/>
        <w:jc w:val="both"/>
      </w:pPr>
      <w:r>
        <w:rPr>
          <w:color w:val="333333"/>
          <w:sz w:val="18"/>
          <w:szCs w:val="18"/>
        </w:rPr>
        <w:t>2.2. La situation des autres régions dans le monde</w:t>
      </w:r>
    </w:p>
    <w:p w14:paraId="5972C235" w14:textId="77777777" w:rsidR="00DF4DE6" w:rsidRDefault="001B2AC3" w:rsidP="00240AE0">
      <w:pPr>
        <w:spacing w:after="20" w:line="250" w:lineRule="auto"/>
        <w:ind w:left="760"/>
        <w:jc w:val="both"/>
      </w:pPr>
      <w:r>
        <w:rPr>
          <w:color w:val="595959"/>
          <w:sz w:val="18"/>
          <w:szCs w:val="18"/>
        </w:rPr>
        <w:t>2.2.1. L’Amérique</w:t>
      </w:r>
    </w:p>
    <w:p w14:paraId="22915DBF" w14:textId="77777777" w:rsidR="00DF4DE6" w:rsidRDefault="001B2AC3" w:rsidP="00240AE0">
      <w:pPr>
        <w:spacing w:after="20" w:line="250" w:lineRule="auto"/>
        <w:ind w:left="760"/>
        <w:jc w:val="both"/>
      </w:pPr>
      <w:r>
        <w:rPr>
          <w:color w:val="595959"/>
          <w:sz w:val="18"/>
          <w:szCs w:val="18"/>
        </w:rPr>
        <w:t>2.2.2. L’Afrique</w:t>
      </w:r>
    </w:p>
    <w:p w14:paraId="3DC630D8" w14:textId="77777777" w:rsidR="00DF4DE6" w:rsidRDefault="001B2AC3" w:rsidP="00240AE0">
      <w:pPr>
        <w:spacing w:after="20" w:line="250" w:lineRule="auto"/>
        <w:ind w:left="760"/>
        <w:jc w:val="both"/>
      </w:pPr>
      <w:r>
        <w:rPr>
          <w:color w:val="595959"/>
          <w:sz w:val="18"/>
          <w:szCs w:val="18"/>
        </w:rPr>
        <w:t>2.2.3. L’Asie</w:t>
      </w:r>
    </w:p>
    <w:p w14:paraId="774C9ABE" w14:textId="77777777" w:rsidR="00DF4DE6" w:rsidRDefault="001B2AC3" w:rsidP="00240AE0">
      <w:pPr>
        <w:spacing w:after="20" w:line="250" w:lineRule="auto"/>
        <w:ind w:left="760"/>
        <w:jc w:val="both"/>
      </w:pPr>
      <w:r>
        <w:rPr>
          <w:color w:val="595959"/>
          <w:sz w:val="18"/>
          <w:szCs w:val="18"/>
        </w:rPr>
        <w:t>2.2.4. Le monde arabo-musulman</w:t>
      </w:r>
    </w:p>
    <w:p w14:paraId="50D967C7" w14:textId="77777777" w:rsidR="00DF4DE6" w:rsidRDefault="001B2AC3" w:rsidP="00240AE0">
      <w:pPr>
        <w:spacing w:after="20" w:line="250" w:lineRule="auto"/>
        <w:ind w:left="240"/>
        <w:jc w:val="both"/>
      </w:pPr>
      <w:r>
        <w:rPr>
          <w:b/>
          <w:bCs/>
          <w:color w:val="1F3864"/>
          <w:sz w:val="19"/>
          <w:szCs w:val="19"/>
        </w:rPr>
        <w:t>3. L’internationalisation des droits humains face au relativisme culturel</w:t>
      </w:r>
    </w:p>
    <w:p w14:paraId="3F6F27C4" w14:textId="77777777" w:rsidR="00DF4DE6" w:rsidRDefault="001B2AC3" w:rsidP="00240AE0">
      <w:pPr>
        <w:spacing w:after="20" w:line="250" w:lineRule="auto"/>
        <w:ind w:left="500"/>
        <w:jc w:val="both"/>
      </w:pPr>
      <w:r>
        <w:rPr>
          <w:color w:val="333333"/>
          <w:sz w:val="18"/>
          <w:szCs w:val="18"/>
        </w:rPr>
        <w:t>3.1. L’hégémonisme politique et culturel de l’Occident</w:t>
      </w:r>
    </w:p>
    <w:p w14:paraId="26556851" w14:textId="77777777" w:rsidR="00DF4DE6" w:rsidRDefault="001B2AC3" w:rsidP="00240AE0">
      <w:pPr>
        <w:spacing w:after="20" w:line="250" w:lineRule="auto"/>
        <w:ind w:left="500"/>
        <w:jc w:val="both"/>
      </w:pPr>
      <w:r>
        <w:rPr>
          <w:color w:val="333333"/>
          <w:sz w:val="18"/>
          <w:szCs w:val="18"/>
        </w:rPr>
        <w:t>3.2. La cohabitation des droits humains avec des systèmes de pensée valorisant la collectivité</w:t>
      </w:r>
    </w:p>
    <w:p w14:paraId="358FA44C" w14:textId="77777777" w:rsidR="00DF4DE6" w:rsidRDefault="001B2AC3" w:rsidP="00240AE0">
      <w:pPr>
        <w:spacing w:before="200" w:after="70"/>
        <w:jc w:val="both"/>
      </w:pPr>
      <w:r>
        <w:rPr>
          <w:b/>
          <w:bCs/>
          <w:color w:val="2E5A88"/>
          <w:spacing w:val="24"/>
          <w:sz w:val="17"/>
          <w:szCs w:val="17"/>
        </w:rPr>
        <w:t>RÉFÉRENCES CENTRALES</w:t>
      </w:r>
    </w:p>
    <w:p w14:paraId="629ECC47" w14:textId="77777777" w:rsidR="00DF4DE6" w:rsidRDefault="001B2AC3" w:rsidP="00240AE0">
      <w:pPr>
        <w:pStyle w:val="Paragraphedeliste"/>
        <w:numPr>
          <w:ilvl w:val="0"/>
          <w:numId w:val="2"/>
        </w:numPr>
        <w:spacing w:after="40" w:line="264" w:lineRule="auto"/>
        <w:jc w:val="both"/>
      </w:pPr>
      <w:r>
        <w:rPr>
          <w:color w:val="333333"/>
          <w:sz w:val="18"/>
          <w:szCs w:val="18"/>
        </w:rPr>
        <w:t>Charte des Nations unies du 26 juin 1945.</w:t>
      </w:r>
    </w:p>
    <w:p w14:paraId="010FA360" w14:textId="77777777" w:rsidR="00DF4DE6" w:rsidRDefault="001B2AC3" w:rsidP="00240AE0">
      <w:pPr>
        <w:pStyle w:val="Paragraphedeliste"/>
        <w:numPr>
          <w:ilvl w:val="0"/>
          <w:numId w:val="2"/>
        </w:numPr>
        <w:spacing w:after="40" w:line="264" w:lineRule="auto"/>
        <w:jc w:val="both"/>
      </w:pPr>
      <w:r>
        <w:rPr>
          <w:color w:val="333333"/>
          <w:sz w:val="18"/>
          <w:szCs w:val="18"/>
        </w:rPr>
        <w:t>Déclaration universelle des droits de l’homme et du citoyen de 1948.</w:t>
      </w:r>
    </w:p>
    <w:p w14:paraId="4FFB5CB6" w14:textId="77777777" w:rsidR="00DF4DE6" w:rsidRDefault="001B2AC3" w:rsidP="00240AE0">
      <w:pPr>
        <w:pStyle w:val="Paragraphedeliste"/>
        <w:numPr>
          <w:ilvl w:val="0"/>
          <w:numId w:val="2"/>
        </w:numPr>
        <w:spacing w:after="40" w:line="264" w:lineRule="auto"/>
        <w:jc w:val="both"/>
      </w:pPr>
      <w:r>
        <w:rPr>
          <w:color w:val="333333"/>
          <w:sz w:val="18"/>
          <w:szCs w:val="18"/>
        </w:rPr>
        <w:lastRenderedPageBreak/>
        <w:t>Pacte international relatif aux droits civils et politiques et Pacte relatif aux droits économiques, sociaux et culturels de 1966.</w:t>
      </w:r>
    </w:p>
    <w:p w14:paraId="79208CDA" w14:textId="77777777" w:rsidR="00DF4DE6" w:rsidRDefault="001B2AC3" w:rsidP="00240AE0">
      <w:pPr>
        <w:pStyle w:val="Paragraphedeliste"/>
        <w:numPr>
          <w:ilvl w:val="0"/>
          <w:numId w:val="2"/>
        </w:numPr>
        <w:spacing w:after="40" w:line="264" w:lineRule="auto"/>
        <w:jc w:val="both"/>
      </w:pPr>
      <w:r>
        <w:rPr>
          <w:color w:val="333333"/>
          <w:sz w:val="18"/>
          <w:szCs w:val="18"/>
        </w:rPr>
        <w:t>Convention européenne des droits de l’homme et du citoyen.</w:t>
      </w:r>
    </w:p>
    <w:p w14:paraId="70C89196" w14:textId="77777777" w:rsidR="00DF4DE6" w:rsidRDefault="001B2AC3" w:rsidP="00240AE0">
      <w:pPr>
        <w:pStyle w:val="Paragraphedeliste"/>
        <w:numPr>
          <w:ilvl w:val="0"/>
          <w:numId w:val="2"/>
        </w:numPr>
        <w:spacing w:after="40" w:line="264" w:lineRule="auto"/>
        <w:jc w:val="both"/>
      </w:pPr>
      <w:r>
        <w:rPr>
          <w:color w:val="333333"/>
          <w:sz w:val="18"/>
          <w:szCs w:val="18"/>
        </w:rPr>
        <w:t>Charte des droits fondamentaux de l’Union européenne.</w:t>
      </w:r>
    </w:p>
    <w:p w14:paraId="59861436" w14:textId="77777777" w:rsidR="00DF4DE6" w:rsidRDefault="001B2AC3" w:rsidP="00240AE0">
      <w:pPr>
        <w:pStyle w:val="Paragraphedeliste"/>
        <w:numPr>
          <w:ilvl w:val="0"/>
          <w:numId w:val="2"/>
        </w:numPr>
        <w:spacing w:after="40" w:line="264" w:lineRule="auto"/>
        <w:jc w:val="both"/>
      </w:pPr>
      <w:r>
        <w:rPr>
          <w:color w:val="333333"/>
          <w:sz w:val="18"/>
          <w:szCs w:val="18"/>
        </w:rPr>
        <w:t>CJUE, 11 décembre 2007, Viking, C-438/05.</w:t>
      </w:r>
    </w:p>
    <w:p w14:paraId="07C24B0A" w14:textId="77777777" w:rsidR="00DF4DE6" w:rsidRDefault="001B2AC3" w:rsidP="00240AE0">
      <w:pPr>
        <w:pStyle w:val="Paragraphedeliste"/>
        <w:numPr>
          <w:ilvl w:val="0"/>
          <w:numId w:val="2"/>
        </w:numPr>
        <w:spacing w:after="40" w:line="264" w:lineRule="auto"/>
        <w:jc w:val="both"/>
      </w:pPr>
      <w:r>
        <w:rPr>
          <w:color w:val="333333"/>
          <w:sz w:val="18"/>
          <w:szCs w:val="18"/>
        </w:rPr>
        <w:t>CJUE, 3 septembre 2008, Kadi c. Conseil et Commission.</w:t>
      </w:r>
    </w:p>
    <w:p w14:paraId="43C575EE" w14:textId="77777777" w:rsidR="00DF4DE6" w:rsidRDefault="001B2AC3" w:rsidP="00240AE0">
      <w:pPr>
        <w:pStyle w:val="Paragraphedeliste"/>
        <w:numPr>
          <w:ilvl w:val="0"/>
          <w:numId w:val="2"/>
        </w:numPr>
        <w:spacing w:after="40" w:line="264" w:lineRule="auto"/>
        <w:jc w:val="both"/>
      </w:pPr>
      <w:r>
        <w:rPr>
          <w:color w:val="333333"/>
          <w:sz w:val="18"/>
          <w:szCs w:val="18"/>
        </w:rPr>
        <w:t>CEDH,12 septembre 2012, Nada c. Suisse, no 10593/08.</w:t>
      </w:r>
    </w:p>
    <w:p w14:paraId="094A0740" w14:textId="77777777" w:rsidR="00DF4DE6" w:rsidRDefault="00DF4DE6" w:rsidP="00240AE0">
      <w:pPr>
        <w:pBdr>
          <w:top w:val="single" w:sz="6" w:space="0" w:color="C7D2E0"/>
        </w:pBdr>
        <w:spacing w:before="260" w:after="180"/>
        <w:jc w:val="both"/>
      </w:pPr>
    </w:p>
    <w:p w14:paraId="7804E947"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13  ·</w:t>
      </w:r>
      <w:proofErr w:type="gramEnd"/>
      <w:r>
        <w:rPr>
          <w:b/>
          <w:bCs/>
          <w:color w:val="2E5A88"/>
          <w:sz w:val="22"/>
          <w:szCs w:val="22"/>
        </w:rPr>
        <w:t xml:space="preserve">  </w:t>
      </w:r>
      <w:r>
        <w:rPr>
          <w:rFonts w:ascii="Cambria" w:eastAsia="Cambria" w:hAnsi="Cambria" w:cs="Cambria"/>
          <w:b/>
          <w:bCs/>
          <w:color w:val="1F3864"/>
        </w:rPr>
        <w:t>Le droit onusien</w:t>
      </w:r>
    </w:p>
    <w:p w14:paraId="6F76507C" w14:textId="77777777" w:rsidR="00DF4DE6" w:rsidRDefault="001B2AC3" w:rsidP="00240AE0">
      <w:pPr>
        <w:spacing w:after="120"/>
        <w:jc w:val="both"/>
      </w:pPr>
      <w:r>
        <w:rPr>
          <w:i/>
          <w:iCs/>
          <w:color w:val="595959"/>
          <w:sz w:val="17"/>
          <w:szCs w:val="17"/>
        </w:rPr>
        <w:t>Fascicule, p. 125</w:t>
      </w:r>
    </w:p>
    <w:p w14:paraId="28FAA374" w14:textId="77777777" w:rsidR="00DF4DE6" w:rsidRDefault="001B2AC3" w:rsidP="00240AE0">
      <w:pPr>
        <w:spacing w:before="200" w:after="70"/>
        <w:jc w:val="both"/>
      </w:pPr>
      <w:r>
        <w:rPr>
          <w:b/>
          <w:bCs/>
          <w:color w:val="2E5A88"/>
          <w:spacing w:val="24"/>
          <w:sz w:val="17"/>
          <w:szCs w:val="17"/>
        </w:rPr>
        <w:t>IDÉE DIRECTRICE</w:t>
      </w:r>
    </w:p>
    <w:p w14:paraId="325D5D1A" w14:textId="77777777" w:rsidR="00DF4DE6" w:rsidRDefault="001B2AC3" w:rsidP="00240AE0">
      <w:pPr>
        <w:spacing w:after="60" w:line="276" w:lineRule="auto"/>
        <w:jc w:val="both"/>
      </w:pPr>
      <w:r>
        <w:t>Le socle onusien. La Charte internationale des droits de l'homme : DUDH de 1948, puis les deux Pactes de 1966 (droits civils et politiques d'un côté, droits économiques, sociaux et culturels de l'autre), complétés par les traités spécialisés (torture, discrimination raciale, femmes, enfants, travailleurs migrants, handicap, disparitions forcées). Les questions récurrentes : valeur juridique, droit de dérogation, obligations positives et négatives.</w:t>
      </w:r>
    </w:p>
    <w:p w14:paraId="42C97E9E" w14:textId="77777777" w:rsidR="00DF4DE6" w:rsidRDefault="001B2AC3" w:rsidP="00240AE0">
      <w:pPr>
        <w:spacing w:before="200" w:after="70"/>
        <w:jc w:val="both"/>
      </w:pPr>
      <w:r>
        <w:rPr>
          <w:b/>
          <w:bCs/>
          <w:color w:val="2E5A88"/>
          <w:spacing w:val="24"/>
          <w:sz w:val="17"/>
          <w:szCs w:val="17"/>
        </w:rPr>
        <w:t>POINTS CLÉS (ENCADRÉ DU FASCICULE)</w:t>
      </w:r>
    </w:p>
    <w:p w14:paraId="470B5AE0" w14:textId="77777777" w:rsidR="00DF4DE6" w:rsidRDefault="001B2AC3" w:rsidP="00240AE0">
      <w:pPr>
        <w:pStyle w:val="Paragraphedeliste"/>
        <w:numPr>
          <w:ilvl w:val="0"/>
          <w:numId w:val="2"/>
        </w:numPr>
        <w:spacing w:after="40" w:line="264" w:lineRule="auto"/>
        <w:jc w:val="both"/>
      </w:pPr>
      <w:r>
        <w:rPr>
          <w:color w:val="1A1A1A"/>
          <w:sz w:val="19"/>
          <w:szCs w:val="19"/>
        </w:rPr>
        <w:t>Universalité, interdépendance et indivisibilité des droits humains.</w:t>
      </w:r>
    </w:p>
    <w:p w14:paraId="19AA174C" w14:textId="77777777" w:rsidR="00DF4DE6" w:rsidRDefault="001B2AC3" w:rsidP="00240AE0">
      <w:pPr>
        <w:pStyle w:val="Paragraphedeliste"/>
        <w:numPr>
          <w:ilvl w:val="0"/>
          <w:numId w:val="2"/>
        </w:numPr>
        <w:spacing w:after="40" w:line="264" w:lineRule="auto"/>
        <w:jc w:val="both"/>
      </w:pPr>
      <w:r>
        <w:rPr>
          <w:color w:val="1A1A1A"/>
          <w:sz w:val="19"/>
          <w:szCs w:val="19"/>
        </w:rPr>
        <w:t>Inspiration libérale.</w:t>
      </w:r>
    </w:p>
    <w:p w14:paraId="2D4C82DF" w14:textId="77777777" w:rsidR="00DF4DE6" w:rsidRDefault="001B2AC3" w:rsidP="00240AE0">
      <w:pPr>
        <w:pStyle w:val="Paragraphedeliste"/>
        <w:numPr>
          <w:ilvl w:val="0"/>
          <w:numId w:val="2"/>
        </w:numPr>
        <w:spacing w:after="40" w:line="264" w:lineRule="auto"/>
        <w:jc w:val="both"/>
      </w:pPr>
      <w:r>
        <w:rPr>
          <w:color w:val="1A1A1A"/>
          <w:sz w:val="19"/>
          <w:szCs w:val="19"/>
        </w:rPr>
        <w:t>Idéal commun de protection universelle.</w:t>
      </w:r>
    </w:p>
    <w:p w14:paraId="6B456AB1" w14:textId="77777777" w:rsidR="00DF4DE6" w:rsidRDefault="001B2AC3" w:rsidP="00240AE0">
      <w:pPr>
        <w:pStyle w:val="Paragraphedeliste"/>
        <w:numPr>
          <w:ilvl w:val="0"/>
          <w:numId w:val="2"/>
        </w:numPr>
        <w:spacing w:after="40" w:line="264" w:lineRule="auto"/>
        <w:jc w:val="both"/>
      </w:pPr>
      <w:r>
        <w:rPr>
          <w:color w:val="1A1A1A"/>
          <w:sz w:val="19"/>
          <w:szCs w:val="19"/>
        </w:rPr>
        <w:t>Valeur juridique.</w:t>
      </w:r>
    </w:p>
    <w:p w14:paraId="611B05A7" w14:textId="77777777" w:rsidR="00DF4DE6" w:rsidRDefault="001B2AC3" w:rsidP="00240AE0">
      <w:pPr>
        <w:pStyle w:val="Paragraphedeliste"/>
        <w:numPr>
          <w:ilvl w:val="0"/>
          <w:numId w:val="2"/>
        </w:numPr>
        <w:spacing w:after="40" w:line="264" w:lineRule="auto"/>
        <w:jc w:val="both"/>
      </w:pPr>
      <w:r>
        <w:rPr>
          <w:color w:val="1A1A1A"/>
          <w:sz w:val="19"/>
          <w:szCs w:val="19"/>
        </w:rPr>
        <w:t>Droit de dérogation.</w:t>
      </w:r>
    </w:p>
    <w:p w14:paraId="64B4D386" w14:textId="77777777" w:rsidR="00DF4DE6" w:rsidRDefault="001B2AC3" w:rsidP="00240AE0">
      <w:pPr>
        <w:pStyle w:val="Paragraphedeliste"/>
        <w:numPr>
          <w:ilvl w:val="0"/>
          <w:numId w:val="2"/>
        </w:numPr>
        <w:spacing w:after="40" w:line="264" w:lineRule="auto"/>
        <w:jc w:val="both"/>
      </w:pPr>
      <w:r>
        <w:rPr>
          <w:color w:val="1A1A1A"/>
          <w:sz w:val="19"/>
          <w:szCs w:val="19"/>
        </w:rPr>
        <w:t>Obligations positives et négatives.</w:t>
      </w:r>
    </w:p>
    <w:p w14:paraId="08239F30" w14:textId="77777777" w:rsidR="00DF4DE6" w:rsidRDefault="001B2AC3" w:rsidP="00240AE0">
      <w:pPr>
        <w:spacing w:before="200" w:after="70"/>
        <w:jc w:val="both"/>
      </w:pPr>
      <w:r>
        <w:rPr>
          <w:b/>
          <w:bCs/>
          <w:color w:val="2E5A88"/>
          <w:spacing w:val="24"/>
          <w:sz w:val="17"/>
          <w:szCs w:val="17"/>
        </w:rPr>
        <w:t>PLAN DE LA FICHE</w:t>
      </w:r>
    </w:p>
    <w:p w14:paraId="599EB04E" w14:textId="77777777" w:rsidR="00DF4DE6" w:rsidRDefault="001B2AC3" w:rsidP="00240AE0">
      <w:pPr>
        <w:spacing w:after="20" w:line="250" w:lineRule="auto"/>
        <w:ind w:left="240"/>
        <w:jc w:val="both"/>
      </w:pPr>
      <w:r>
        <w:rPr>
          <w:b/>
          <w:bCs/>
          <w:color w:val="1F3864"/>
          <w:sz w:val="19"/>
          <w:szCs w:val="19"/>
        </w:rPr>
        <w:t>1. La Charte internationale des droits de l’homme</w:t>
      </w:r>
    </w:p>
    <w:p w14:paraId="37DE7F32" w14:textId="77777777" w:rsidR="00DF4DE6" w:rsidRDefault="001B2AC3" w:rsidP="00240AE0">
      <w:pPr>
        <w:spacing w:after="20" w:line="250" w:lineRule="auto"/>
        <w:ind w:left="500"/>
        <w:jc w:val="both"/>
      </w:pPr>
      <w:r>
        <w:rPr>
          <w:color w:val="333333"/>
          <w:sz w:val="18"/>
          <w:szCs w:val="18"/>
        </w:rPr>
        <w:t>1.1. La Déclaration universelle des droits de l’homme</w:t>
      </w:r>
    </w:p>
    <w:p w14:paraId="6DC2795A" w14:textId="77777777" w:rsidR="00DF4DE6" w:rsidRDefault="001B2AC3" w:rsidP="00240AE0">
      <w:pPr>
        <w:spacing w:after="20" w:line="250" w:lineRule="auto"/>
        <w:ind w:left="500"/>
        <w:jc w:val="both"/>
      </w:pPr>
      <w:r>
        <w:rPr>
          <w:color w:val="333333"/>
          <w:sz w:val="18"/>
          <w:szCs w:val="18"/>
        </w:rPr>
        <w:t>1.2. Le Pacte international relatif aux droits civils et politiques</w:t>
      </w:r>
    </w:p>
    <w:p w14:paraId="58B669E1" w14:textId="77777777" w:rsidR="00DF4DE6" w:rsidRDefault="001B2AC3" w:rsidP="00240AE0">
      <w:pPr>
        <w:spacing w:after="20" w:line="250" w:lineRule="auto"/>
        <w:ind w:left="500"/>
        <w:jc w:val="both"/>
      </w:pPr>
      <w:r>
        <w:rPr>
          <w:color w:val="333333"/>
          <w:sz w:val="18"/>
          <w:szCs w:val="18"/>
        </w:rPr>
        <w:t>1.3. Le Pacte international relatif aux droits économiques, sociaux et culturels</w:t>
      </w:r>
    </w:p>
    <w:p w14:paraId="6908C410" w14:textId="77777777" w:rsidR="00DF4DE6" w:rsidRDefault="001B2AC3" w:rsidP="00240AE0">
      <w:pPr>
        <w:spacing w:after="20" w:line="250" w:lineRule="auto"/>
        <w:ind w:left="240"/>
        <w:jc w:val="both"/>
      </w:pPr>
      <w:r>
        <w:rPr>
          <w:b/>
          <w:bCs/>
          <w:color w:val="1F3864"/>
          <w:sz w:val="19"/>
          <w:szCs w:val="19"/>
        </w:rPr>
        <w:t>2. Les traités spécialisés</w:t>
      </w:r>
    </w:p>
    <w:p w14:paraId="10568629" w14:textId="77777777" w:rsidR="00DF4DE6" w:rsidRDefault="001B2AC3" w:rsidP="00240AE0">
      <w:pPr>
        <w:spacing w:before="200" w:after="70"/>
        <w:jc w:val="both"/>
      </w:pPr>
      <w:r>
        <w:rPr>
          <w:b/>
          <w:bCs/>
          <w:color w:val="2E5A88"/>
          <w:spacing w:val="24"/>
          <w:sz w:val="17"/>
          <w:szCs w:val="17"/>
        </w:rPr>
        <w:t>RÉFÉRENCES CENTRALES</w:t>
      </w:r>
    </w:p>
    <w:p w14:paraId="62659F65" w14:textId="77777777" w:rsidR="00DF4DE6" w:rsidRDefault="001B2AC3" w:rsidP="00240AE0">
      <w:pPr>
        <w:pStyle w:val="Paragraphedeliste"/>
        <w:numPr>
          <w:ilvl w:val="0"/>
          <w:numId w:val="2"/>
        </w:numPr>
        <w:spacing w:after="40" w:line="264" w:lineRule="auto"/>
        <w:jc w:val="both"/>
      </w:pPr>
      <w:r>
        <w:rPr>
          <w:color w:val="333333"/>
          <w:sz w:val="18"/>
          <w:szCs w:val="18"/>
        </w:rPr>
        <w:t>Art. 1er – 30 de la Déclaration universelle des droits de l’homme.</w:t>
      </w:r>
    </w:p>
    <w:p w14:paraId="6FA0D0FC" w14:textId="77777777" w:rsidR="00DF4DE6" w:rsidRDefault="001B2AC3" w:rsidP="00240AE0">
      <w:pPr>
        <w:pStyle w:val="Paragraphedeliste"/>
        <w:numPr>
          <w:ilvl w:val="0"/>
          <w:numId w:val="2"/>
        </w:numPr>
        <w:spacing w:after="40" w:line="264" w:lineRule="auto"/>
        <w:jc w:val="both"/>
      </w:pPr>
      <w:r>
        <w:rPr>
          <w:color w:val="333333"/>
          <w:sz w:val="18"/>
          <w:szCs w:val="18"/>
        </w:rPr>
        <w:t>Art. 1er– 27 du Pacte international relatif aux droits civils et politiques.</w:t>
      </w:r>
    </w:p>
    <w:p w14:paraId="077E57F3" w14:textId="77777777" w:rsidR="00DF4DE6" w:rsidRDefault="001B2AC3" w:rsidP="00240AE0">
      <w:pPr>
        <w:pStyle w:val="Paragraphedeliste"/>
        <w:numPr>
          <w:ilvl w:val="0"/>
          <w:numId w:val="2"/>
        </w:numPr>
        <w:spacing w:after="40" w:line="264" w:lineRule="auto"/>
        <w:jc w:val="both"/>
      </w:pPr>
      <w:r>
        <w:rPr>
          <w:color w:val="333333"/>
          <w:sz w:val="18"/>
          <w:szCs w:val="18"/>
        </w:rPr>
        <w:t>Art. 1er– 15 du Pacte international relatif aux droits économiques, sociaux et culturels.</w:t>
      </w:r>
    </w:p>
    <w:p w14:paraId="1500B742" w14:textId="77777777" w:rsidR="00DF4DE6" w:rsidRDefault="001B2AC3" w:rsidP="00240AE0">
      <w:pPr>
        <w:pStyle w:val="Paragraphedeliste"/>
        <w:numPr>
          <w:ilvl w:val="0"/>
          <w:numId w:val="2"/>
        </w:numPr>
        <w:spacing w:after="40" w:line="264" w:lineRule="auto"/>
        <w:jc w:val="both"/>
      </w:pPr>
      <w:r>
        <w:rPr>
          <w:color w:val="333333"/>
          <w:sz w:val="18"/>
          <w:szCs w:val="18"/>
        </w:rPr>
        <w:t>Art. 1er – 16 de la Convention contre la torture et autres peines ou traitements cruels, inhumains ou dégradants.</w:t>
      </w:r>
    </w:p>
    <w:p w14:paraId="5783185F" w14:textId="77777777" w:rsidR="00DF4DE6" w:rsidRDefault="001B2AC3" w:rsidP="00240AE0">
      <w:pPr>
        <w:pStyle w:val="Paragraphedeliste"/>
        <w:numPr>
          <w:ilvl w:val="0"/>
          <w:numId w:val="2"/>
        </w:numPr>
        <w:spacing w:after="40" w:line="264" w:lineRule="auto"/>
        <w:jc w:val="both"/>
      </w:pPr>
      <w:r>
        <w:rPr>
          <w:color w:val="333333"/>
          <w:sz w:val="18"/>
          <w:szCs w:val="18"/>
        </w:rPr>
        <w:t>Art. 1er – 7 de la Convention sur l’élimination de toutes les formes de discrimination raciale.</w:t>
      </w:r>
    </w:p>
    <w:p w14:paraId="5B4AD398" w14:textId="77777777" w:rsidR="00DF4DE6" w:rsidRDefault="001B2AC3" w:rsidP="00240AE0">
      <w:pPr>
        <w:pStyle w:val="Paragraphedeliste"/>
        <w:numPr>
          <w:ilvl w:val="0"/>
          <w:numId w:val="2"/>
        </w:numPr>
        <w:spacing w:after="40" w:line="264" w:lineRule="auto"/>
        <w:jc w:val="both"/>
      </w:pPr>
      <w:r>
        <w:rPr>
          <w:color w:val="333333"/>
          <w:sz w:val="18"/>
          <w:szCs w:val="18"/>
        </w:rPr>
        <w:t>Art. 1er – 16 de la Convention sur l’élimination de la discrimination à l’égard des femmes.</w:t>
      </w:r>
    </w:p>
    <w:p w14:paraId="60A45B50" w14:textId="77777777" w:rsidR="00DF4DE6" w:rsidRDefault="001B2AC3" w:rsidP="00240AE0">
      <w:pPr>
        <w:pStyle w:val="Paragraphedeliste"/>
        <w:numPr>
          <w:ilvl w:val="0"/>
          <w:numId w:val="2"/>
        </w:numPr>
        <w:spacing w:after="40" w:line="264" w:lineRule="auto"/>
        <w:jc w:val="both"/>
      </w:pPr>
      <w:r>
        <w:rPr>
          <w:color w:val="333333"/>
          <w:sz w:val="18"/>
          <w:szCs w:val="18"/>
        </w:rPr>
        <w:t>Art. 1er – 41 de la Convention relative aux droits de l’enfant.</w:t>
      </w:r>
    </w:p>
    <w:p w14:paraId="1C4FF7E3" w14:textId="77777777" w:rsidR="00DF4DE6" w:rsidRDefault="001B2AC3" w:rsidP="00240AE0">
      <w:pPr>
        <w:pStyle w:val="Paragraphedeliste"/>
        <w:numPr>
          <w:ilvl w:val="0"/>
          <w:numId w:val="2"/>
        </w:numPr>
        <w:spacing w:after="40" w:line="264" w:lineRule="auto"/>
        <w:jc w:val="both"/>
      </w:pPr>
      <w:r>
        <w:rPr>
          <w:color w:val="333333"/>
          <w:sz w:val="18"/>
          <w:szCs w:val="18"/>
        </w:rPr>
        <w:t>Art. 1er – 71 de la Convention internationale sur la protection des droits de tous les travailleurs migrants et des membres de leur famille.</w:t>
      </w:r>
    </w:p>
    <w:p w14:paraId="42E5818D" w14:textId="77777777" w:rsidR="00DF4DE6" w:rsidRDefault="001B2AC3" w:rsidP="00240AE0">
      <w:pPr>
        <w:pStyle w:val="Paragraphedeliste"/>
        <w:numPr>
          <w:ilvl w:val="0"/>
          <w:numId w:val="2"/>
        </w:numPr>
        <w:spacing w:after="40" w:line="264" w:lineRule="auto"/>
        <w:jc w:val="both"/>
      </w:pPr>
      <w:r>
        <w:rPr>
          <w:color w:val="333333"/>
          <w:sz w:val="18"/>
          <w:szCs w:val="18"/>
        </w:rPr>
        <w:t>Art. 1er– 33 de la Convention relative aux droits des personnes handicapées.</w:t>
      </w:r>
    </w:p>
    <w:p w14:paraId="79A7E000" w14:textId="77777777" w:rsidR="00DF4DE6" w:rsidRDefault="001B2AC3" w:rsidP="00240AE0">
      <w:pPr>
        <w:pStyle w:val="Paragraphedeliste"/>
        <w:numPr>
          <w:ilvl w:val="0"/>
          <w:numId w:val="2"/>
        </w:numPr>
        <w:spacing w:after="40" w:line="264" w:lineRule="auto"/>
        <w:jc w:val="both"/>
      </w:pPr>
      <w:r>
        <w:rPr>
          <w:color w:val="333333"/>
          <w:sz w:val="18"/>
          <w:szCs w:val="18"/>
        </w:rPr>
        <w:t>Art. 1er – 25 de la Convention internationale pour la protection de toutes les personnes contre les disparitions forcées.</w:t>
      </w:r>
    </w:p>
    <w:p w14:paraId="384961C7" w14:textId="77777777" w:rsidR="00DF4DE6" w:rsidRDefault="00DF4DE6" w:rsidP="00240AE0">
      <w:pPr>
        <w:pBdr>
          <w:top w:val="single" w:sz="6" w:space="0" w:color="C7D2E0"/>
        </w:pBdr>
        <w:spacing w:before="260" w:after="180"/>
        <w:jc w:val="both"/>
      </w:pPr>
    </w:p>
    <w:p w14:paraId="7238D9D8"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14  ·</w:t>
      </w:r>
      <w:proofErr w:type="gramEnd"/>
      <w:r>
        <w:rPr>
          <w:b/>
          <w:bCs/>
          <w:color w:val="2E5A88"/>
          <w:sz w:val="22"/>
          <w:szCs w:val="22"/>
        </w:rPr>
        <w:t xml:space="preserve">  </w:t>
      </w:r>
      <w:r>
        <w:rPr>
          <w:rFonts w:ascii="Cambria" w:eastAsia="Cambria" w:hAnsi="Cambria" w:cs="Cambria"/>
          <w:b/>
          <w:bCs/>
          <w:color w:val="1F3864"/>
        </w:rPr>
        <w:t>Le Conseil de l’Europe et la Convention européenne des droits de l’homme</w:t>
      </w:r>
    </w:p>
    <w:p w14:paraId="0A0A2969" w14:textId="77777777" w:rsidR="00DF4DE6" w:rsidRDefault="001B2AC3" w:rsidP="00240AE0">
      <w:pPr>
        <w:spacing w:after="120"/>
        <w:jc w:val="both"/>
      </w:pPr>
      <w:r>
        <w:rPr>
          <w:i/>
          <w:iCs/>
          <w:color w:val="595959"/>
          <w:sz w:val="17"/>
          <w:szCs w:val="17"/>
        </w:rPr>
        <w:t>Fascicule, p. 133</w:t>
      </w:r>
    </w:p>
    <w:p w14:paraId="42E350E0" w14:textId="77777777" w:rsidR="00DF4DE6" w:rsidRDefault="001B2AC3" w:rsidP="00240AE0">
      <w:pPr>
        <w:spacing w:before="200" w:after="70"/>
        <w:jc w:val="both"/>
      </w:pPr>
      <w:r>
        <w:rPr>
          <w:b/>
          <w:bCs/>
          <w:color w:val="2E5A88"/>
          <w:spacing w:val="24"/>
          <w:sz w:val="17"/>
          <w:szCs w:val="17"/>
        </w:rPr>
        <w:lastRenderedPageBreak/>
        <w:t>IDÉE DIRECTRICE</w:t>
      </w:r>
    </w:p>
    <w:p w14:paraId="25A26FE7" w14:textId="77777777" w:rsidR="00DF4DE6" w:rsidRDefault="001B2AC3" w:rsidP="00240AE0">
      <w:pPr>
        <w:spacing w:after="60" w:line="276" w:lineRule="auto"/>
        <w:jc w:val="both"/>
      </w:pPr>
      <w:r>
        <w:t>Le système européen, versant Conseil de l'Europe. D'abord l'organisation (46 États, organes politiques, près de 200 traités), ensuite la Convention elle-même et ses quatre traits caractéristiques : primauté sur le droit interne, plein effet direct, subsidiarité, et caractère d'instrument vivant garantissant des droits « concrets et effectifs » et non « théoriques et illusoires ». Se termine sur la dénonciation des traités.</w:t>
      </w:r>
    </w:p>
    <w:p w14:paraId="63ABB22E" w14:textId="77777777" w:rsidR="00DF4DE6" w:rsidRDefault="001B2AC3" w:rsidP="00240AE0">
      <w:pPr>
        <w:spacing w:before="200" w:after="70"/>
        <w:jc w:val="both"/>
      </w:pPr>
      <w:r>
        <w:rPr>
          <w:b/>
          <w:bCs/>
          <w:color w:val="2E5A88"/>
          <w:spacing w:val="24"/>
          <w:sz w:val="17"/>
          <w:szCs w:val="17"/>
        </w:rPr>
        <w:t>POINTS CLÉS (ENCADRÉ DU FASCICULE)</w:t>
      </w:r>
    </w:p>
    <w:p w14:paraId="4CDF7091" w14:textId="77777777" w:rsidR="00DF4DE6" w:rsidRDefault="001B2AC3" w:rsidP="00240AE0">
      <w:pPr>
        <w:pStyle w:val="Paragraphedeliste"/>
        <w:numPr>
          <w:ilvl w:val="0"/>
          <w:numId w:val="2"/>
        </w:numPr>
        <w:spacing w:after="40" w:line="264" w:lineRule="auto"/>
        <w:jc w:val="both"/>
      </w:pPr>
      <w:r>
        <w:rPr>
          <w:color w:val="1A1A1A"/>
          <w:sz w:val="19"/>
          <w:szCs w:val="19"/>
        </w:rPr>
        <w:t>Une organisation régionale comprenant 46 États membres.</w:t>
      </w:r>
    </w:p>
    <w:p w14:paraId="32EE4D0F" w14:textId="77777777" w:rsidR="00DF4DE6" w:rsidRDefault="001B2AC3" w:rsidP="00240AE0">
      <w:pPr>
        <w:pStyle w:val="Paragraphedeliste"/>
        <w:numPr>
          <w:ilvl w:val="0"/>
          <w:numId w:val="2"/>
        </w:numPr>
        <w:spacing w:after="40" w:line="264" w:lineRule="auto"/>
        <w:jc w:val="both"/>
      </w:pPr>
      <w:r>
        <w:rPr>
          <w:color w:val="1A1A1A"/>
          <w:sz w:val="19"/>
          <w:szCs w:val="19"/>
        </w:rPr>
        <w:t>Une organisation ayant pour mission la promotion, la défense et la protection des droits humains, de l’État de droit et de la démocratie.</w:t>
      </w:r>
    </w:p>
    <w:p w14:paraId="7B0EFEE1" w14:textId="77777777" w:rsidR="00DF4DE6" w:rsidRDefault="001B2AC3" w:rsidP="00240AE0">
      <w:pPr>
        <w:pStyle w:val="Paragraphedeliste"/>
        <w:numPr>
          <w:ilvl w:val="0"/>
          <w:numId w:val="2"/>
        </w:numPr>
        <w:spacing w:after="40" w:line="264" w:lineRule="auto"/>
        <w:jc w:val="both"/>
      </w:pPr>
      <w:r>
        <w:rPr>
          <w:color w:val="1A1A1A"/>
          <w:sz w:val="19"/>
          <w:szCs w:val="19"/>
        </w:rPr>
        <w:t>Près de 200 traités et protocoles additionnels sur des thématiques diverses en lien avec les buts de l’organisation ont été adoptés.</w:t>
      </w:r>
    </w:p>
    <w:p w14:paraId="0954F40E" w14:textId="77777777" w:rsidR="00DF4DE6" w:rsidRDefault="001B2AC3" w:rsidP="00240AE0">
      <w:pPr>
        <w:pStyle w:val="Paragraphedeliste"/>
        <w:numPr>
          <w:ilvl w:val="0"/>
          <w:numId w:val="2"/>
        </w:numPr>
        <w:spacing w:after="40" w:line="264" w:lineRule="auto"/>
        <w:jc w:val="both"/>
      </w:pPr>
      <w:r>
        <w:rPr>
          <w:color w:val="1A1A1A"/>
          <w:sz w:val="19"/>
          <w:szCs w:val="19"/>
        </w:rPr>
        <w:t>Une organisation ayant élaboré la Convention de sauvegarde des droits de l’Homme et des libertés fondamentales (</w:t>
      </w:r>
      <w:proofErr w:type="spellStart"/>
      <w:r>
        <w:rPr>
          <w:color w:val="1A1A1A"/>
          <w:sz w:val="19"/>
          <w:szCs w:val="19"/>
        </w:rPr>
        <w:t>Conv</w:t>
      </w:r>
      <w:proofErr w:type="spellEnd"/>
      <w:r>
        <w:rPr>
          <w:color w:val="1A1A1A"/>
          <w:sz w:val="19"/>
          <w:szCs w:val="19"/>
        </w:rPr>
        <w:t>. EDH).</w:t>
      </w:r>
    </w:p>
    <w:p w14:paraId="1B23695F" w14:textId="77777777" w:rsidR="00DF4DE6" w:rsidRDefault="001B2AC3" w:rsidP="00240AE0">
      <w:pPr>
        <w:pStyle w:val="Paragraphedeliste"/>
        <w:numPr>
          <w:ilvl w:val="0"/>
          <w:numId w:val="2"/>
        </w:numPr>
        <w:spacing w:after="40" w:line="264" w:lineRule="auto"/>
        <w:jc w:val="both"/>
      </w:pPr>
      <w:r>
        <w:rPr>
          <w:color w:val="1A1A1A"/>
          <w:sz w:val="19"/>
          <w:szCs w:val="19"/>
        </w:rPr>
        <w:t>La Convention EDH est un instrument vivant et central dans la protection des droits humains au sein du continent européen.</w:t>
      </w:r>
    </w:p>
    <w:p w14:paraId="388E2267" w14:textId="77777777" w:rsidR="00DF4DE6" w:rsidRDefault="001B2AC3" w:rsidP="00240AE0">
      <w:pPr>
        <w:spacing w:before="200" w:after="70"/>
        <w:jc w:val="both"/>
      </w:pPr>
      <w:r>
        <w:rPr>
          <w:b/>
          <w:bCs/>
          <w:color w:val="2E5A88"/>
          <w:spacing w:val="24"/>
          <w:sz w:val="17"/>
          <w:szCs w:val="17"/>
        </w:rPr>
        <w:t>PLAN DE LA FICHE</w:t>
      </w:r>
    </w:p>
    <w:p w14:paraId="3FCA886F" w14:textId="77777777" w:rsidR="00DF4DE6" w:rsidRDefault="001B2AC3" w:rsidP="00240AE0">
      <w:pPr>
        <w:spacing w:after="20" w:line="250" w:lineRule="auto"/>
        <w:ind w:left="240"/>
        <w:jc w:val="both"/>
      </w:pPr>
      <w:r>
        <w:rPr>
          <w:b/>
          <w:bCs/>
          <w:color w:val="1F3864"/>
          <w:sz w:val="19"/>
          <w:szCs w:val="19"/>
        </w:rPr>
        <w:t>1. Le Conseil de l’Europe</w:t>
      </w:r>
    </w:p>
    <w:p w14:paraId="57E0DAF2" w14:textId="77777777" w:rsidR="00DF4DE6" w:rsidRDefault="001B2AC3" w:rsidP="00240AE0">
      <w:pPr>
        <w:spacing w:after="20" w:line="250" w:lineRule="auto"/>
        <w:ind w:left="500"/>
        <w:jc w:val="both"/>
      </w:pPr>
      <w:r>
        <w:rPr>
          <w:color w:val="333333"/>
          <w:sz w:val="18"/>
          <w:szCs w:val="18"/>
        </w:rPr>
        <w:t>1.1. Les organes politiques du Conseil de l’Europe</w:t>
      </w:r>
    </w:p>
    <w:p w14:paraId="683C60D6" w14:textId="77777777" w:rsidR="00DF4DE6" w:rsidRDefault="001B2AC3" w:rsidP="00240AE0">
      <w:pPr>
        <w:spacing w:after="20" w:line="250" w:lineRule="auto"/>
        <w:ind w:left="500"/>
        <w:jc w:val="both"/>
      </w:pPr>
      <w:r>
        <w:rPr>
          <w:color w:val="333333"/>
          <w:sz w:val="18"/>
          <w:szCs w:val="18"/>
        </w:rPr>
        <w:t>1.2. La diversité des normes adoptées au sein du Conseil de l’Europe</w:t>
      </w:r>
    </w:p>
    <w:p w14:paraId="6F5BD34C" w14:textId="77777777" w:rsidR="00DF4DE6" w:rsidRDefault="001B2AC3" w:rsidP="00240AE0">
      <w:pPr>
        <w:spacing w:after="20" w:line="250" w:lineRule="auto"/>
        <w:ind w:left="760"/>
        <w:jc w:val="both"/>
      </w:pPr>
      <w:r>
        <w:rPr>
          <w:color w:val="595959"/>
          <w:sz w:val="18"/>
          <w:szCs w:val="18"/>
        </w:rPr>
        <w:t>1.2.1. L’activité normative du Comité des ministres</w:t>
      </w:r>
    </w:p>
    <w:p w14:paraId="30C5F77B" w14:textId="77777777" w:rsidR="00DF4DE6" w:rsidRDefault="001B2AC3" w:rsidP="00240AE0">
      <w:pPr>
        <w:spacing w:after="20" w:line="250" w:lineRule="auto"/>
        <w:ind w:left="760"/>
        <w:jc w:val="both"/>
      </w:pPr>
      <w:r>
        <w:rPr>
          <w:color w:val="595959"/>
          <w:sz w:val="18"/>
          <w:szCs w:val="18"/>
        </w:rPr>
        <w:t>1.2.2. Les principaux traités autres que la Convention européenne des droits de l’homme</w:t>
      </w:r>
    </w:p>
    <w:p w14:paraId="35B400AD" w14:textId="77777777" w:rsidR="00DF4DE6" w:rsidRDefault="001B2AC3" w:rsidP="00240AE0">
      <w:pPr>
        <w:spacing w:after="20" w:line="250" w:lineRule="auto"/>
        <w:ind w:left="240"/>
        <w:jc w:val="both"/>
      </w:pPr>
      <w:r>
        <w:rPr>
          <w:b/>
          <w:bCs/>
          <w:color w:val="1F3864"/>
          <w:sz w:val="19"/>
          <w:szCs w:val="19"/>
        </w:rPr>
        <w:t>2. La Convention de sauvegarde des droits de l’homme et des libertés fondamentales</w:t>
      </w:r>
    </w:p>
    <w:p w14:paraId="558AC244" w14:textId="77777777" w:rsidR="00DF4DE6" w:rsidRDefault="001B2AC3" w:rsidP="00240AE0">
      <w:pPr>
        <w:spacing w:after="20" w:line="250" w:lineRule="auto"/>
        <w:ind w:left="500"/>
        <w:jc w:val="both"/>
      </w:pPr>
      <w:r>
        <w:rPr>
          <w:color w:val="333333"/>
          <w:sz w:val="18"/>
          <w:szCs w:val="18"/>
        </w:rPr>
        <w:t>2.1. Un mécanisme subsidiaire de protection des droits de l’Homme doté d’un plein effet direct</w:t>
      </w:r>
    </w:p>
    <w:p w14:paraId="474B873D" w14:textId="77777777" w:rsidR="00DF4DE6" w:rsidRDefault="001B2AC3" w:rsidP="00240AE0">
      <w:pPr>
        <w:spacing w:after="20" w:line="250" w:lineRule="auto"/>
        <w:ind w:left="760"/>
        <w:jc w:val="both"/>
      </w:pPr>
      <w:r>
        <w:rPr>
          <w:color w:val="595959"/>
          <w:sz w:val="18"/>
          <w:szCs w:val="18"/>
        </w:rPr>
        <w:t>2.1.1. La primauté de la Convention sur le droit interne</w:t>
      </w:r>
    </w:p>
    <w:p w14:paraId="37901583" w14:textId="77777777" w:rsidR="00DF4DE6" w:rsidRDefault="001B2AC3" w:rsidP="00240AE0">
      <w:pPr>
        <w:spacing w:after="20" w:line="250" w:lineRule="auto"/>
        <w:ind w:left="760"/>
        <w:jc w:val="both"/>
      </w:pPr>
      <w:r>
        <w:rPr>
          <w:color w:val="595959"/>
          <w:sz w:val="18"/>
          <w:szCs w:val="18"/>
        </w:rPr>
        <w:t>2.1.2. Une Convention dotée d’un plein effet direct en droit interne</w:t>
      </w:r>
    </w:p>
    <w:p w14:paraId="2D962113" w14:textId="77777777" w:rsidR="00DF4DE6" w:rsidRDefault="001B2AC3" w:rsidP="00240AE0">
      <w:pPr>
        <w:spacing w:after="20" w:line="250" w:lineRule="auto"/>
        <w:ind w:left="760"/>
        <w:jc w:val="both"/>
      </w:pPr>
      <w:r>
        <w:rPr>
          <w:color w:val="595959"/>
          <w:sz w:val="18"/>
          <w:szCs w:val="18"/>
        </w:rPr>
        <w:t>2.1.3. Un mécanisme de protection des droits humains reposant sur le principe de subsidiarité</w:t>
      </w:r>
    </w:p>
    <w:p w14:paraId="737FB19D" w14:textId="77777777" w:rsidR="00DF4DE6" w:rsidRDefault="001B2AC3" w:rsidP="00240AE0">
      <w:pPr>
        <w:spacing w:after="20" w:line="250" w:lineRule="auto"/>
        <w:ind w:left="760"/>
        <w:jc w:val="both"/>
      </w:pPr>
      <w:r>
        <w:rPr>
          <w:color w:val="595959"/>
          <w:sz w:val="18"/>
          <w:szCs w:val="18"/>
        </w:rPr>
        <w:t>2.1.4. Une Convention vivante garantissant des droits non pas théoriques et illusoires, mais concrets et effectifs</w:t>
      </w:r>
    </w:p>
    <w:p w14:paraId="04CDBA77" w14:textId="77777777" w:rsidR="00DF4DE6" w:rsidRDefault="001B2AC3" w:rsidP="00240AE0">
      <w:pPr>
        <w:spacing w:after="20" w:line="250" w:lineRule="auto"/>
        <w:ind w:left="500"/>
        <w:jc w:val="both"/>
      </w:pPr>
      <w:r>
        <w:rPr>
          <w:color w:val="333333"/>
          <w:sz w:val="18"/>
          <w:szCs w:val="18"/>
        </w:rPr>
        <w:t>2.2. La dénonciation des traités du Conseil de l’Europe</w:t>
      </w:r>
    </w:p>
    <w:p w14:paraId="63772665" w14:textId="77777777" w:rsidR="00DF4DE6" w:rsidRDefault="001B2AC3" w:rsidP="00240AE0">
      <w:pPr>
        <w:spacing w:before="200" w:after="70"/>
        <w:jc w:val="both"/>
      </w:pPr>
      <w:r>
        <w:rPr>
          <w:b/>
          <w:bCs/>
          <w:color w:val="2E5A88"/>
          <w:spacing w:val="24"/>
          <w:sz w:val="17"/>
          <w:szCs w:val="17"/>
        </w:rPr>
        <w:t>RÉFÉRENCES CENTRALES</w:t>
      </w:r>
    </w:p>
    <w:p w14:paraId="6D08CF40" w14:textId="77777777" w:rsidR="00DF4DE6" w:rsidRDefault="001B2AC3" w:rsidP="00240AE0">
      <w:pPr>
        <w:pStyle w:val="Paragraphedeliste"/>
        <w:numPr>
          <w:ilvl w:val="0"/>
          <w:numId w:val="2"/>
        </w:numPr>
        <w:spacing w:after="40" w:line="264" w:lineRule="auto"/>
        <w:jc w:val="both"/>
      </w:pPr>
      <w:r>
        <w:rPr>
          <w:color w:val="333333"/>
          <w:sz w:val="18"/>
          <w:szCs w:val="18"/>
        </w:rPr>
        <w:t>CEDH, déc., 11 janvier 1961, Autriche c. Italie, no 788/60.</w:t>
      </w:r>
    </w:p>
    <w:p w14:paraId="0603ACEF" w14:textId="77777777" w:rsidR="00DF4DE6" w:rsidRDefault="001B2AC3" w:rsidP="00240AE0">
      <w:pPr>
        <w:pStyle w:val="Paragraphedeliste"/>
        <w:numPr>
          <w:ilvl w:val="0"/>
          <w:numId w:val="2"/>
        </w:numPr>
        <w:spacing w:after="40" w:line="264" w:lineRule="auto"/>
        <w:jc w:val="both"/>
      </w:pPr>
      <w:r>
        <w:rPr>
          <w:color w:val="333333"/>
          <w:sz w:val="18"/>
          <w:szCs w:val="18"/>
        </w:rPr>
        <w:t xml:space="preserve">CEDH, GC., 23 mars 1995, </w:t>
      </w:r>
      <w:proofErr w:type="spellStart"/>
      <w:r>
        <w:rPr>
          <w:color w:val="333333"/>
          <w:sz w:val="18"/>
          <w:szCs w:val="18"/>
        </w:rPr>
        <w:t>Loizidou</w:t>
      </w:r>
      <w:proofErr w:type="spellEnd"/>
      <w:r>
        <w:rPr>
          <w:color w:val="333333"/>
          <w:sz w:val="18"/>
          <w:szCs w:val="18"/>
        </w:rPr>
        <w:t xml:space="preserve"> c. Turquie (exceptions préliminaires), no 15318/89.</w:t>
      </w:r>
    </w:p>
    <w:p w14:paraId="560E08D7" w14:textId="77777777" w:rsidR="00DF4DE6" w:rsidRDefault="001B2AC3" w:rsidP="00240AE0">
      <w:pPr>
        <w:pStyle w:val="Paragraphedeliste"/>
        <w:numPr>
          <w:ilvl w:val="0"/>
          <w:numId w:val="2"/>
        </w:numPr>
        <w:spacing w:after="40" w:line="264" w:lineRule="auto"/>
        <w:jc w:val="both"/>
      </w:pPr>
      <w:r>
        <w:rPr>
          <w:color w:val="333333"/>
          <w:sz w:val="18"/>
          <w:szCs w:val="18"/>
        </w:rPr>
        <w:t>CEDH, 8 juillet 2004, Ilascu c. Moldavie et Russie, no 48787/99.</w:t>
      </w:r>
    </w:p>
    <w:p w14:paraId="73760CE6" w14:textId="77777777" w:rsidR="00DF4DE6" w:rsidRDefault="001B2AC3" w:rsidP="00240AE0">
      <w:pPr>
        <w:pStyle w:val="Paragraphedeliste"/>
        <w:numPr>
          <w:ilvl w:val="0"/>
          <w:numId w:val="2"/>
        </w:numPr>
        <w:spacing w:after="40" w:line="264" w:lineRule="auto"/>
        <w:jc w:val="both"/>
      </w:pPr>
      <w:r>
        <w:rPr>
          <w:color w:val="333333"/>
          <w:sz w:val="18"/>
          <w:szCs w:val="18"/>
        </w:rPr>
        <w:t xml:space="preserve">Cass. </w:t>
      </w:r>
      <w:proofErr w:type="spellStart"/>
      <w:proofErr w:type="gramStart"/>
      <w:r>
        <w:rPr>
          <w:color w:val="333333"/>
          <w:sz w:val="18"/>
          <w:szCs w:val="18"/>
        </w:rPr>
        <w:t>crim</w:t>
      </w:r>
      <w:proofErr w:type="spellEnd"/>
      <w:proofErr w:type="gramEnd"/>
      <w:r>
        <w:rPr>
          <w:color w:val="333333"/>
          <w:sz w:val="18"/>
          <w:szCs w:val="18"/>
        </w:rPr>
        <w:t xml:space="preserve">, 3 juin 1975, </w:t>
      </w:r>
      <w:proofErr w:type="spellStart"/>
      <w:r>
        <w:rPr>
          <w:color w:val="333333"/>
          <w:sz w:val="18"/>
          <w:szCs w:val="18"/>
        </w:rPr>
        <w:t>Respino</w:t>
      </w:r>
      <w:proofErr w:type="spellEnd"/>
      <w:r>
        <w:rPr>
          <w:color w:val="333333"/>
          <w:sz w:val="18"/>
          <w:szCs w:val="18"/>
        </w:rPr>
        <w:t>, no 75-90.687.</w:t>
      </w:r>
    </w:p>
    <w:p w14:paraId="12D9C9DF" w14:textId="77777777" w:rsidR="00DF4DE6" w:rsidRDefault="00DF4DE6" w:rsidP="00240AE0">
      <w:pPr>
        <w:pBdr>
          <w:top w:val="single" w:sz="6" w:space="0" w:color="C7D2E0"/>
        </w:pBdr>
        <w:spacing w:before="260" w:after="180"/>
        <w:jc w:val="both"/>
      </w:pPr>
    </w:p>
    <w:p w14:paraId="48221C4B"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15  ·</w:t>
      </w:r>
      <w:proofErr w:type="gramEnd"/>
      <w:r>
        <w:rPr>
          <w:b/>
          <w:bCs/>
          <w:color w:val="2E5A88"/>
          <w:sz w:val="22"/>
          <w:szCs w:val="22"/>
        </w:rPr>
        <w:t xml:space="preserve">  </w:t>
      </w:r>
      <w:r>
        <w:rPr>
          <w:rFonts w:ascii="Cambria" w:eastAsia="Cambria" w:hAnsi="Cambria" w:cs="Cambria"/>
          <w:b/>
          <w:bCs/>
          <w:color w:val="1F3864"/>
        </w:rPr>
        <w:t>Le droit de l’Union européenne</w:t>
      </w:r>
    </w:p>
    <w:p w14:paraId="5FA4507F" w14:textId="77777777" w:rsidR="00DF4DE6" w:rsidRDefault="001B2AC3" w:rsidP="00240AE0">
      <w:pPr>
        <w:spacing w:after="120"/>
        <w:jc w:val="both"/>
      </w:pPr>
      <w:r>
        <w:rPr>
          <w:i/>
          <w:iCs/>
          <w:color w:val="595959"/>
          <w:sz w:val="17"/>
          <w:szCs w:val="17"/>
        </w:rPr>
        <w:t>Fascicule, p. 144</w:t>
      </w:r>
    </w:p>
    <w:p w14:paraId="3DB0FD84" w14:textId="77777777" w:rsidR="00DF4DE6" w:rsidRDefault="001B2AC3" w:rsidP="00240AE0">
      <w:pPr>
        <w:spacing w:before="200" w:after="70"/>
        <w:jc w:val="both"/>
      </w:pPr>
      <w:r>
        <w:rPr>
          <w:b/>
          <w:bCs/>
          <w:color w:val="2E5A88"/>
          <w:spacing w:val="24"/>
          <w:sz w:val="17"/>
          <w:szCs w:val="17"/>
        </w:rPr>
        <w:t>IDÉE DIRECTRICE</w:t>
      </w:r>
    </w:p>
    <w:p w14:paraId="49FA8193" w14:textId="77777777" w:rsidR="00DF4DE6" w:rsidRDefault="001B2AC3" w:rsidP="00240AE0">
      <w:pPr>
        <w:spacing w:after="60" w:line="276" w:lineRule="auto"/>
        <w:jc w:val="both"/>
      </w:pPr>
      <w:r>
        <w:t xml:space="preserve">Le système européen, versant Union. Récit d'une conquête progressive : des traités initialement économiques et muets sur les droits, une résistance des cours constitutionnelles nationales (Solange), une consécration prétorienne </w:t>
      </w:r>
      <w:proofErr w:type="gramStart"/>
      <w:r>
        <w:t>par principes</w:t>
      </w:r>
      <w:proofErr w:type="gramEnd"/>
      <w:r>
        <w:t xml:space="preserve"> généraux du droit, puis Maastricht et Lisbonne (Charte des droits fondamentaux, adhésion à la CEDH). La fiche pose aussi la question critique : constitutionnalisation, fédéralisation ou instrumentalisation des droits au service de l'intégration ?</w:t>
      </w:r>
    </w:p>
    <w:p w14:paraId="2A49CF54" w14:textId="77777777" w:rsidR="00DF4DE6" w:rsidRDefault="001B2AC3" w:rsidP="00240AE0">
      <w:pPr>
        <w:spacing w:before="200" w:after="70"/>
        <w:jc w:val="both"/>
      </w:pPr>
      <w:r>
        <w:rPr>
          <w:b/>
          <w:bCs/>
          <w:color w:val="2E5A88"/>
          <w:spacing w:val="24"/>
          <w:sz w:val="17"/>
          <w:szCs w:val="17"/>
        </w:rPr>
        <w:t>POINTS CLÉS (ENCADRÉ DU FASCICULE)</w:t>
      </w:r>
    </w:p>
    <w:p w14:paraId="6CA384B5" w14:textId="77777777" w:rsidR="00DF4DE6" w:rsidRDefault="001B2AC3" w:rsidP="00240AE0">
      <w:pPr>
        <w:pStyle w:val="Paragraphedeliste"/>
        <w:numPr>
          <w:ilvl w:val="0"/>
          <w:numId w:val="2"/>
        </w:numPr>
        <w:spacing w:after="40" w:line="264" w:lineRule="auto"/>
        <w:jc w:val="both"/>
      </w:pPr>
      <w:r>
        <w:rPr>
          <w:color w:val="1A1A1A"/>
          <w:sz w:val="19"/>
          <w:szCs w:val="19"/>
        </w:rPr>
        <w:t>Un droit initialement conçu comme un instrument d’intégration économique.</w:t>
      </w:r>
    </w:p>
    <w:p w14:paraId="582700A0" w14:textId="77777777" w:rsidR="00DF4DE6" w:rsidRDefault="001B2AC3" w:rsidP="00240AE0">
      <w:pPr>
        <w:pStyle w:val="Paragraphedeliste"/>
        <w:numPr>
          <w:ilvl w:val="0"/>
          <w:numId w:val="2"/>
        </w:numPr>
        <w:spacing w:after="40" w:line="264" w:lineRule="auto"/>
        <w:jc w:val="both"/>
      </w:pPr>
      <w:r>
        <w:rPr>
          <w:color w:val="1A1A1A"/>
          <w:sz w:val="19"/>
          <w:szCs w:val="19"/>
        </w:rPr>
        <w:t>L’intégration des droits fondamentaux comme processus lent mais constant.</w:t>
      </w:r>
    </w:p>
    <w:p w14:paraId="6B4FD11D" w14:textId="77777777" w:rsidR="00DF4DE6" w:rsidRDefault="001B2AC3" w:rsidP="00240AE0">
      <w:pPr>
        <w:pStyle w:val="Paragraphedeliste"/>
        <w:numPr>
          <w:ilvl w:val="0"/>
          <w:numId w:val="2"/>
        </w:numPr>
        <w:spacing w:after="40" w:line="264" w:lineRule="auto"/>
        <w:jc w:val="both"/>
      </w:pPr>
      <w:r>
        <w:rPr>
          <w:color w:val="1A1A1A"/>
          <w:sz w:val="19"/>
          <w:szCs w:val="19"/>
        </w:rPr>
        <w:t>L’incomplétude des premiers traités comblée par la jurisprudence.</w:t>
      </w:r>
    </w:p>
    <w:p w14:paraId="70164150" w14:textId="77777777" w:rsidR="00DF4DE6" w:rsidRDefault="001B2AC3" w:rsidP="00240AE0">
      <w:pPr>
        <w:pStyle w:val="Paragraphedeliste"/>
        <w:numPr>
          <w:ilvl w:val="0"/>
          <w:numId w:val="2"/>
        </w:numPr>
        <w:spacing w:after="40" w:line="264" w:lineRule="auto"/>
        <w:jc w:val="both"/>
      </w:pPr>
      <w:r>
        <w:rPr>
          <w:color w:val="1A1A1A"/>
          <w:sz w:val="19"/>
          <w:szCs w:val="19"/>
        </w:rPr>
        <w:t>Le rôle historique des Cours constitutionnelles nationales.</w:t>
      </w:r>
    </w:p>
    <w:p w14:paraId="20D49CF7" w14:textId="77777777" w:rsidR="00DF4DE6" w:rsidRDefault="001B2AC3" w:rsidP="00240AE0">
      <w:pPr>
        <w:pStyle w:val="Paragraphedeliste"/>
        <w:numPr>
          <w:ilvl w:val="0"/>
          <w:numId w:val="2"/>
        </w:numPr>
        <w:spacing w:after="40" w:line="264" w:lineRule="auto"/>
        <w:jc w:val="both"/>
      </w:pPr>
      <w:r>
        <w:rPr>
          <w:color w:val="1A1A1A"/>
          <w:sz w:val="19"/>
          <w:szCs w:val="19"/>
        </w:rPr>
        <w:lastRenderedPageBreak/>
        <w:t>Le rôle dynamique de la Cour de justice dans la consécration des droits humains.</w:t>
      </w:r>
    </w:p>
    <w:p w14:paraId="17966FCC" w14:textId="77777777" w:rsidR="00DF4DE6" w:rsidRDefault="001B2AC3" w:rsidP="00240AE0">
      <w:pPr>
        <w:pStyle w:val="Paragraphedeliste"/>
        <w:numPr>
          <w:ilvl w:val="0"/>
          <w:numId w:val="2"/>
        </w:numPr>
        <w:spacing w:after="40" w:line="264" w:lineRule="auto"/>
        <w:jc w:val="both"/>
      </w:pPr>
      <w:r>
        <w:rPr>
          <w:color w:val="1A1A1A"/>
          <w:sz w:val="19"/>
          <w:szCs w:val="19"/>
        </w:rPr>
        <w:t>L’importance secondaire du droit dérivé dans la protection des droits humains.</w:t>
      </w:r>
    </w:p>
    <w:p w14:paraId="014BA434" w14:textId="77777777" w:rsidR="00DF4DE6" w:rsidRDefault="001B2AC3" w:rsidP="00240AE0">
      <w:pPr>
        <w:pStyle w:val="Paragraphedeliste"/>
        <w:numPr>
          <w:ilvl w:val="0"/>
          <w:numId w:val="2"/>
        </w:numPr>
        <w:spacing w:after="40" w:line="264" w:lineRule="auto"/>
        <w:jc w:val="both"/>
      </w:pPr>
      <w:r>
        <w:rPr>
          <w:color w:val="1A1A1A"/>
          <w:sz w:val="19"/>
          <w:szCs w:val="19"/>
        </w:rPr>
        <w:t>Une recherche d’harmonie avec le droit issu de la Convention européenne.</w:t>
      </w:r>
    </w:p>
    <w:p w14:paraId="4DE7101E" w14:textId="77777777" w:rsidR="00DF4DE6" w:rsidRDefault="001B2AC3" w:rsidP="00240AE0">
      <w:pPr>
        <w:pStyle w:val="Paragraphedeliste"/>
        <w:numPr>
          <w:ilvl w:val="0"/>
          <w:numId w:val="2"/>
        </w:numPr>
        <w:spacing w:after="40" w:line="264" w:lineRule="auto"/>
        <w:jc w:val="both"/>
      </w:pPr>
      <w:r>
        <w:rPr>
          <w:color w:val="1A1A1A"/>
          <w:sz w:val="19"/>
          <w:szCs w:val="19"/>
        </w:rPr>
        <w:t>L’instrumentalisation des droits humains au service de l’intégration européenne.</w:t>
      </w:r>
    </w:p>
    <w:p w14:paraId="346235B4" w14:textId="77777777" w:rsidR="00DF4DE6" w:rsidRDefault="001B2AC3" w:rsidP="00240AE0">
      <w:pPr>
        <w:pStyle w:val="Paragraphedeliste"/>
        <w:numPr>
          <w:ilvl w:val="0"/>
          <w:numId w:val="2"/>
        </w:numPr>
        <w:spacing w:after="40" w:line="264" w:lineRule="auto"/>
        <w:jc w:val="both"/>
      </w:pPr>
      <w:r>
        <w:rPr>
          <w:color w:val="1A1A1A"/>
          <w:sz w:val="19"/>
          <w:szCs w:val="19"/>
        </w:rPr>
        <w:t>Des critiques persistantes sous l’angle des droits sociaux.</w:t>
      </w:r>
    </w:p>
    <w:p w14:paraId="36B3016C" w14:textId="77777777" w:rsidR="00DF4DE6" w:rsidRDefault="001B2AC3" w:rsidP="00240AE0">
      <w:pPr>
        <w:spacing w:before="200" w:after="70"/>
        <w:jc w:val="both"/>
      </w:pPr>
      <w:r>
        <w:rPr>
          <w:b/>
          <w:bCs/>
          <w:color w:val="2E5A88"/>
          <w:spacing w:val="24"/>
          <w:sz w:val="17"/>
          <w:szCs w:val="17"/>
        </w:rPr>
        <w:t>PLAN DE LA FICHE</w:t>
      </w:r>
    </w:p>
    <w:p w14:paraId="0C4A6D92" w14:textId="77777777" w:rsidR="00DF4DE6" w:rsidRDefault="001B2AC3" w:rsidP="00240AE0">
      <w:pPr>
        <w:spacing w:after="20" w:line="250" w:lineRule="auto"/>
        <w:ind w:left="240"/>
        <w:jc w:val="both"/>
      </w:pPr>
      <w:r>
        <w:rPr>
          <w:b/>
          <w:bCs/>
          <w:color w:val="1F3864"/>
          <w:sz w:val="19"/>
          <w:szCs w:val="19"/>
        </w:rPr>
        <w:t>1. Les sources des droits fondamentaux dans l’Union européenne</w:t>
      </w:r>
    </w:p>
    <w:p w14:paraId="1E5A2BA5" w14:textId="77777777" w:rsidR="00DF4DE6" w:rsidRDefault="001B2AC3" w:rsidP="00240AE0">
      <w:pPr>
        <w:spacing w:after="20" w:line="250" w:lineRule="auto"/>
        <w:ind w:left="500"/>
        <w:jc w:val="both"/>
      </w:pPr>
      <w:r>
        <w:rPr>
          <w:color w:val="333333"/>
          <w:sz w:val="18"/>
          <w:szCs w:val="18"/>
        </w:rPr>
        <w:t>1.1. L’influence historique et persistance de la jurisprudence</w:t>
      </w:r>
    </w:p>
    <w:p w14:paraId="044915DD" w14:textId="77777777" w:rsidR="00DF4DE6" w:rsidRDefault="001B2AC3" w:rsidP="00240AE0">
      <w:pPr>
        <w:spacing w:after="20" w:line="250" w:lineRule="auto"/>
        <w:ind w:left="760"/>
        <w:jc w:val="both"/>
      </w:pPr>
      <w:r>
        <w:rPr>
          <w:color w:val="595959"/>
          <w:sz w:val="18"/>
          <w:szCs w:val="18"/>
        </w:rPr>
        <w:t>1.1.1. La résistance des Cours constitutionnelles nationales face aux lacunes des premiers traités</w:t>
      </w:r>
    </w:p>
    <w:p w14:paraId="02D86640" w14:textId="77777777" w:rsidR="00DF4DE6" w:rsidRDefault="001B2AC3" w:rsidP="00240AE0">
      <w:pPr>
        <w:spacing w:after="20" w:line="250" w:lineRule="auto"/>
        <w:ind w:left="760"/>
        <w:jc w:val="both"/>
      </w:pPr>
      <w:r>
        <w:rPr>
          <w:color w:val="595959"/>
          <w:sz w:val="18"/>
          <w:szCs w:val="18"/>
        </w:rPr>
        <w:t>1.1.2. La consécration prétorienne des principes généraux du droit</w:t>
      </w:r>
    </w:p>
    <w:p w14:paraId="42D76A1C" w14:textId="77777777" w:rsidR="00DF4DE6" w:rsidRDefault="001B2AC3" w:rsidP="00240AE0">
      <w:pPr>
        <w:spacing w:after="20" w:line="250" w:lineRule="auto"/>
        <w:ind w:left="500"/>
        <w:jc w:val="both"/>
      </w:pPr>
      <w:r>
        <w:rPr>
          <w:color w:val="333333"/>
          <w:sz w:val="18"/>
          <w:szCs w:val="18"/>
        </w:rPr>
        <w:t>1.2. Le droit primaire : une incomplétude dépassée au fil des traités</w:t>
      </w:r>
    </w:p>
    <w:p w14:paraId="5D0E8B3D" w14:textId="77777777" w:rsidR="00DF4DE6" w:rsidRDefault="001B2AC3" w:rsidP="00240AE0">
      <w:pPr>
        <w:spacing w:after="20" w:line="250" w:lineRule="auto"/>
        <w:ind w:left="760"/>
        <w:jc w:val="both"/>
      </w:pPr>
      <w:r>
        <w:rPr>
          <w:color w:val="595959"/>
          <w:sz w:val="18"/>
          <w:szCs w:val="18"/>
        </w:rPr>
        <w:t>1.2.1. Le tournant Maastricht : couverture conventionnelle et citoyenneté de l’Union</w:t>
      </w:r>
    </w:p>
    <w:p w14:paraId="1200968E" w14:textId="77777777" w:rsidR="00DF4DE6" w:rsidRDefault="001B2AC3" w:rsidP="00240AE0">
      <w:pPr>
        <w:spacing w:after="20" w:line="250" w:lineRule="auto"/>
        <w:ind w:left="760"/>
        <w:jc w:val="both"/>
      </w:pPr>
      <w:r>
        <w:rPr>
          <w:color w:val="595959"/>
          <w:sz w:val="18"/>
          <w:szCs w:val="18"/>
        </w:rPr>
        <w:t>1.2.2. L’apport de Lisbonne : Charte des droits fondamentaux et adhésion à la Convention européenne des droits de l’homme</w:t>
      </w:r>
    </w:p>
    <w:p w14:paraId="3B9C6E93" w14:textId="77777777" w:rsidR="00DF4DE6" w:rsidRDefault="001B2AC3" w:rsidP="00240AE0">
      <w:pPr>
        <w:spacing w:after="20" w:line="250" w:lineRule="auto"/>
        <w:ind w:left="500"/>
        <w:jc w:val="both"/>
      </w:pPr>
      <w:r>
        <w:rPr>
          <w:color w:val="333333"/>
          <w:sz w:val="18"/>
          <w:szCs w:val="18"/>
        </w:rPr>
        <w:t>1.3. Le droit dérivé : une importance secondaire</w:t>
      </w:r>
    </w:p>
    <w:p w14:paraId="7B4ABE96" w14:textId="77777777" w:rsidR="00DF4DE6" w:rsidRDefault="001B2AC3" w:rsidP="00240AE0">
      <w:pPr>
        <w:spacing w:after="20" w:line="250" w:lineRule="auto"/>
        <w:ind w:left="240"/>
        <w:jc w:val="both"/>
      </w:pPr>
      <w:r>
        <w:rPr>
          <w:b/>
          <w:bCs/>
          <w:color w:val="1F3864"/>
          <w:sz w:val="19"/>
          <w:szCs w:val="19"/>
        </w:rPr>
        <w:t>2. La protection des droits fondamentaux : enjeu de fédéralisation pour l’Union</w:t>
      </w:r>
    </w:p>
    <w:p w14:paraId="7D7E81BD" w14:textId="77777777" w:rsidR="00DF4DE6" w:rsidRDefault="001B2AC3" w:rsidP="00240AE0">
      <w:pPr>
        <w:spacing w:after="20" w:line="250" w:lineRule="auto"/>
        <w:ind w:left="500"/>
        <w:jc w:val="both"/>
      </w:pPr>
      <w:r>
        <w:rPr>
          <w:color w:val="333333"/>
          <w:sz w:val="18"/>
          <w:szCs w:val="18"/>
        </w:rPr>
        <w:t>2.1. La spécificité des droits fondamentaux en droit de l’Union</w:t>
      </w:r>
    </w:p>
    <w:p w14:paraId="79443C99" w14:textId="77777777" w:rsidR="00DF4DE6" w:rsidRDefault="001B2AC3" w:rsidP="00240AE0">
      <w:pPr>
        <w:spacing w:after="20" w:line="250" w:lineRule="auto"/>
        <w:ind w:left="500"/>
        <w:jc w:val="both"/>
      </w:pPr>
      <w:r>
        <w:rPr>
          <w:color w:val="333333"/>
          <w:sz w:val="18"/>
          <w:szCs w:val="18"/>
        </w:rPr>
        <w:t>2.2. Constitutionnalisation, fédéralisation ou instrumentalisation ?</w:t>
      </w:r>
    </w:p>
    <w:p w14:paraId="49D5AD0C" w14:textId="77777777" w:rsidR="00DF4DE6" w:rsidRDefault="001B2AC3" w:rsidP="00240AE0">
      <w:pPr>
        <w:spacing w:after="20" w:line="250" w:lineRule="auto"/>
        <w:ind w:left="500"/>
        <w:jc w:val="both"/>
      </w:pPr>
      <w:r>
        <w:rPr>
          <w:color w:val="333333"/>
          <w:sz w:val="18"/>
          <w:szCs w:val="18"/>
        </w:rPr>
        <w:t>2.3. Droits fondamentaux des individus et « droits fondamentaux » des États</w:t>
      </w:r>
    </w:p>
    <w:p w14:paraId="255C7BC1" w14:textId="77777777" w:rsidR="00DF4DE6" w:rsidRDefault="001B2AC3" w:rsidP="00240AE0">
      <w:pPr>
        <w:spacing w:after="20" w:line="250" w:lineRule="auto"/>
        <w:ind w:left="240"/>
        <w:jc w:val="both"/>
      </w:pPr>
      <w:r>
        <w:rPr>
          <w:b/>
          <w:bCs/>
          <w:color w:val="1F3864"/>
          <w:sz w:val="19"/>
          <w:szCs w:val="19"/>
        </w:rPr>
        <w:t>3. Les rapports ambivalents entre droit de l’Union et droit de la Convention</w:t>
      </w:r>
    </w:p>
    <w:p w14:paraId="68045F25" w14:textId="77777777" w:rsidR="00DF4DE6" w:rsidRDefault="001B2AC3" w:rsidP="00240AE0">
      <w:pPr>
        <w:spacing w:after="20" w:line="250" w:lineRule="auto"/>
        <w:ind w:left="500"/>
        <w:jc w:val="both"/>
      </w:pPr>
      <w:r>
        <w:rPr>
          <w:color w:val="333333"/>
          <w:sz w:val="18"/>
          <w:szCs w:val="18"/>
        </w:rPr>
        <w:t>3.1. Une recherche de cohérence entre les deux ordres juridiques européens</w:t>
      </w:r>
    </w:p>
    <w:p w14:paraId="0AC30BF3" w14:textId="77777777" w:rsidR="00DF4DE6" w:rsidRDefault="001B2AC3" w:rsidP="00240AE0">
      <w:pPr>
        <w:spacing w:after="20" w:line="250" w:lineRule="auto"/>
        <w:ind w:left="500"/>
        <w:jc w:val="both"/>
      </w:pPr>
      <w:r>
        <w:rPr>
          <w:color w:val="333333"/>
          <w:sz w:val="18"/>
          <w:szCs w:val="18"/>
        </w:rPr>
        <w:t>3.2. Adhésion de l’Union à la Convention : enjeux juridiques et politiques</w:t>
      </w:r>
    </w:p>
    <w:p w14:paraId="77AE2644" w14:textId="77777777" w:rsidR="00DF4DE6" w:rsidRDefault="001B2AC3" w:rsidP="00240AE0">
      <w:pPr>
        <w:spacing w:after="20" w:line="250" w:lineRule="auto"/>
        <w:ind w:left="500"/>
        <w:jc w:val="both"/>
      </w:pPr>
      <w:r>
        <w:rPr>
          <w:color w:val="333333"/>
          <w:sz w:val="18"/>
          <w:szCs w:val="18"/>
        </w:rPr>
        <w:t>3.3. Des obstacles persistants</w:t>
      </w:r>
    </w:p>
    <w:p w14:paraId="6EFEF95C" w14:textId="77777777" w:rsidR="00DF4DE6" w:rsidRDefault="001B2AC3" w:rsidP="00240AE0">
      <w:pPr>
        <w:spacing w:before="200" w:after="70"/>
        <w:jc w:val="both"/>
      </w:pPr>
      <w:r>
        <w:rPr>
          <w:b/>
          <w:bCs/>
          <w:color w:val="2E5A88"/>
          <w:spacing w:val="24"/>
          <w:sz w:val="17"/>
          <w:szCs w:val="17"/>
        </w:rPr>
        <w:t>RÉFÉRENCES CENTRALES</w:t>
      </w:r>
    </w:p>
    <w:p w14:paraId="46B12599" w14:textId="77777777" w:rsidR="00DF4DE6" w:rsidRDefault="001B2AC3" w:rsidP="00240AE0">
      <w:pPr>
        <w:pStyle w:val="Paragraphedeliste"/>
        <w:numPr>
          <w:ilvl w:val="0"/>
          <w:numId w:val="2"/>
        </w:numPr>
        <w:spacing w:after="40" w:line="264" w:lineRule="auto"/>
        <w:jc w:val="both"/>
      </w:pPr>
      <w:r>
        <w:rPr>
          <w:color w:val="333333"/>
          <w:sz w:val="18"/>
          <w:szCs w:val="18"/>
        </w:rPr>
        <w:t>CJCE, 15 juillet 1964, Costa c/ Enel, aff.6/64.</w:t>
      </w:r>
    </w:p>
    <w:p w14:paraId="14FC3D12" w14:textId="77777777" w:rsidR="00DF4DE6" w:rsidRDefault="001B2AC3" w:rsidP="00240AE0">
      <w:pPr>
        <w:pStyle w:val="Paragraphedeliste"/>
        <w:numPr>
          <w:ilvl w:val="0"/>
          <w:numId w:val="2"/>
        </w:numPr>
        <w:spacing w:after="40" w:line="264" w:lineRule="auto"/>
        <w:jc w:val="both"/>
      </w:pPr>
      <w:r>
        <w:rPr>
          <w:color w:val="333333"/>
          <w:sz w:val="18"/>
          <w:szCs w:val="18"/>
        </w:rPr>
        <w:t>CJCE, 17 décembre 1970, Internationale Handelsgesellschaft, aff.11/70.</w:t>
      </w:r>
    </w:p>
    <w:p w14:paraId="2BBF90E4" w14:textId="77777777" w:rsidR="00DF4DE6" w:rsidRDefault="001B2AC3" w:rsidP="00240AE0">
      <w:pPr>
        <w:pStyle w:val="Paragraphedeliste"/>
        <w:numPr>
          <w:ilvl w:val="0"/>
          <w:numId w:val="2"/>
        </w:numPr>
        <w:spacing w:after="40" w:line="264" w:lineRule="auto"/>
        <w:jc w:val="both"/>
      </w:pPr>
      <w:r>
        <w:rPr>
          <w:color w:val="333333"/>
          <w:sz w:val="18"/>
          <w:szCs w:val="18"/>
        </w:rPr>
        <w:t>Tribunal constitutionnel de Karlsruhe, 29 mai 1974, So lange I.</w:t>
      </w:r>
    </w:p>
    <w:p w14:paraId="6F263AE4" w14:textId="77777777" w:rsidR="00DF4DE6" w:rsidRDefault="001B2AC3" w:rsidP="00240AE0">
      <w:pPr>
        <w:pStyle w:val="Paragraphedeliste"/>
        <w:numPr>
          <w:ilvl w:val="0"/>
          <w:numId w:val="2"/>
        </w:numPr>
        <w:spacing w:after="40" w:line="264" w:lineRule="auto"/>
        <w:jc w:val="both"/>
      </w:pPr>
      <w:r>
        <w:rPr>
          <w:color w:val="333333"/>
          <w:sz w:val="18"/>
          <w:szCs w:val="18"/>
        </w:rPr>
        <w:t>CJCE, 21 septembre 1989, Hoechst / Commission, C-46/87.</w:t>
      </w:r>
    </w:p>
    <w:p w14:paraId="28AE2248" w14:textId="77777777" w:rsidR="00DF4DE6" w:rsidRDefault="001B2AC3" w:rsidP="00240AE0">
      <w:pPr>
        <w:pStyle w:val="Paragraphedeliste"/>
        <w:numPr>
          <w:ilvl w:val="0"/>
          <w:numId w:val="2"/>
        </w:numPr>
        <w:spacing w:after="40" w:line="264" w:lineRule="auto"/>
        <w:jc w:val="both"/>
      </w:pPr>
      <w:r>
        <w:rPr>
          <w:color w:val="333333"/>
          <w:sz w:val="18"/>
          <w:szCs w:val="18"/>
        </w:rPr>
        <w:t xml:space="preserve">CJCE, 29 mai 1997, </w:t>
      </w:r>
      <w:proofErr w:type="spellStart"/>
      <w:r>
        <w:rPr>
          <w:color w:val="333333"/>
          <w:sz w:val="18"/>
          <w:szCs w:val="18"/>
        </w:rPr>
        <w:t>Kremzow</w:t>
      </w:r>
      <w:proofErr w:type="spellEnd"/>
      <w:r>
        <w:rPr>
          <w:color w:val="333333"/>
          <w:sz w:val="18"/>
          <w:szCs w:val="18"/>
        </w:rPr>
        <w:t>, C-299/95.</w:t>
      </w:r>
    </w:p>
    <w:p w14:paraId="3B65FBBF" w14:textId="77777777" w:rsidR="00DF4DE6" w:rsidRDefault="001B2AC3" w:rsidP="00240AE0">
      <w:pPr>
        <w:pStyle w:val="Paragraphedeliste"/>
        <w:numPr>
          <w:ilvl w:val="0"/>
          <w:numId w:val="2"/>
        </w:numPr>
        <w:spacing w:after="40" w:line="264" w:lineRule="auto"/>
        <w:jc w:val="both"/>
      </w:pPr>
      <w:r>
        <w:rPr>
          <w:color w:val="333333"/>
          <w:sz w:val="18"/>
          <w:szCs w:val="18"/>
        </w:rPr>
        <w:t>CJCE, 14 octobre 2004, Omega, C-36/02.</w:t>
      </w:r>
    </w:p>
    <w:p w14:paraId="5277B530" w14:textId="77777777" w:rsidR="00DF4DE6" w:rsidRDefault="001B2AC3" w:rsidP="00240AE0">
      <w:pPr>
        <w:pStyle w:val="Paragraphedeliste"/>
        <w:numPr>
          <w:ilvl w:val="0"/>
          <w:numId w:val="2"/>
        </w:numPr>
        <w:spacing w:after="40" w:line="264" w:lineRule="auto"/>
        <w:jc w:val="both"/>
      </w:pPr>
      <w:r>
        <w:rPr>
          <w:color w:val="333333"/>
          <w:sz w:val="18"/>
          <w:szCs w:val="18"/>
        </w:rPr>
        <w:t>CJCE, 11 décembre 200, Viking, C-438-05.</w:t>
      </w:r>
    </w:p>
    <w:p w14:paraId="556ED45E" w14:textId="77777777" w:rsidR="00DF4DE6" w:rsidRDefault="001B2AC3" w:rsidP="00240AE0">
      <w:pPr>
        <w:pStyle w:val="Paragraphedeliste"/>
        <w:numPr>
          <w:ilvl w:val="0"/>
          <w:numId w:val="2"/>
        </w:numPr>
        <w:spacing w:after="40" w:line="264" w:lineRule="auto"/>
        <w:jc w:val="both"/>
      </w:pPr>
      <w:r>
        <w:rPr>
          <w:color w:val="333333"/>
          <w:sz w:val="18"/>
          <w:szCs w:val="18"/>
        </w:rPr>
        <w:t xml:space="preserve">CJUE, 6 mars 2014, </w:t>
      </w:r>
      <w:proofErr w:type="spellStart"/>
      <w:r>
        <w:rPr>
          <w:color w:val="333333"/>
          <w:sz w:val="18"/>
          <w:szCs w:val="18"/>
        </w:rPr>
        <w:t>Cruciano</w:t>
      </w:r>
      <w:proofErr w:type="spellEnd"/>
      <w:r>
        <w:rPr>
          <w:color w:val="333333"/>
          <w:sz w:val="18"/>
          <w:szCs w:val="18"/>
        </w:rPr>
        <w:t xml:space="preserve"> Siragusa, C-206/13.</w:t>
      </w:r>
    </w:p>
    <w:p w14:paraId="17D60380" w14:textId="77777777" w:rsidR="00DF4DE6" w:rsidRDefault="001B2AC3" w:rsidP="00240AE0">
      <w:pPr>
        <w:pStyle w:val="Paragraphedeliste"/>
        <w:numPr>
          <w:ilvl w:val="0"/>
          <w:numId w:val="2"/>
        </w:numPr>
        <w:spacing w:after="40" w:line="264" w:lineRule="auto"/>
        <w:jc w:val="both"/>
      </w:pPr>
      <w:r>
        <w:rPr>
          <w:color w:val="333333"/>
          <w:sz w:val="18"/>
          <w:szCs w:val="18"/>
        </w:rPr>
        <w:t>CJUE, 26 février 2013, Stefano Melloni, C-399/11.</w:t>
      </w:r>
    </w:p>
    <w:p w14:paraId="085107D1" w14:textId="77777777" w:rsidR="00DF4DE6" w:rsidRDefault="001B2AC3" w:rsidP="00240AE0">
      <w:pPr>
        <w:jc w:val="both"/>
      </w:pPr>
      <w:r>
        <w:br w:type="page"/>
      </w:r>
    </w:p>
    <w:p w14:paraId="27A586E3" w14:textId="77777777" w:rsidR="00DF4DE6" w:rsidRDefault="001B2AC3" w:rsidP="00240AE0">
      <w:pPr>
        <w:spacing w:after="40"/>
        <w:jc w:val="both"/>
      </w:pPr>
      <w:r>
        <w:rPr>
          <w:b/>
          <w:bCs/>
          <w:color w:val="2E5A88"/>
          <w:spacing w:val="50"/>
        </w:rPr>
        <w:lastRenderedPageBreak/>
        <w:t>PARTIE IV</w:t>
      </w:r>
    </w:p>
    <w:p w14:paraId="14348184" w14:textId="77777777" w:rsidR="00DF4DE6" w:rsidRDefault="001B2AC3" w:rsidP="00240AE0">
      <w:pPr>
        <w:pStyle w:val="Titre1"/>
        <w:pBdr>
          <w:bottom w:val="single" w:sz="10" w:space="0" w:color="C7D2E0"/>
        </w:pBdr>
        <w:spacing w:after="100"/>
        <w:jc w:val="both"/>
      </w:pPr>
      <w:r>
        <w:rPr>
          <w:rFonts w:ascii="Cambria" w:eastAsia="Cambria" w:hAnsi="Cambria" w:cs="Cambria"/>
          <w:b/>
          <w:bCs/>
          <w:color w:val="1F3864"/>
          <w:sz w:val="34"/>
          <w:szCs w:val="34"/>
        </w:rPr>
        <w:t>Les mécanismes internes de protection</w:t>
      </w:r>
    </w:p>
    <w:p w14:paraId="3D5970A2" w14:textId="77777777" w:rsidR="00DF4DE6" w:rsidRDefault="001B2AC3" w:rsidP="00240AE0">
      <w:pPr>
        <w:spacing w:before="60" w:after="160"/>
        <w:jc w:val="both"/>
      </w:pPr>
      <w:r>
        <w:rPr>
          <w:i/>
          <w:iCs/>
          <w:color w:val="595959"/>
          <w:sz w:val="18"/>
          <w:szCs w:val="18"/>
        </w:rPr>
        <w:t xml:space="preserve">Fiches 16 à </w:t>
      </w:r>
      <w:proofErr w:type="gramStart"/>
      <w:r>
        <w:rPr>
          <w:i/>
          <w:iCs/>
          <w:color w:val="595959"/>
          <w:sz w:val="18"/>
          <w:szCs w:val="18"/>
        </w:rPr>
        <w:t>20  ·</w:t>
      </w:r>
      <w:proofErr w:type="gramEnd"/>
      <w:r>
        <w:rPr>
          <w:i/>
          <w:iCs/>
          <w:color w:val="595959"/>
          <w:sz w:val="18"/>
          <w:szCs w:val="18"/>
        </w:rPr>
        <w:t xml:space="preserve">  pages 153 à 207 du fascicule</w:t>
      </w:r>
    </w:p>
    <w:p w14:paraId="2B42BBDD" w14:textId="77777777" w:rsidR="00DF4DE6" w:rsidRDefault="001B2AC3" w:rsidP="00240AE0">
      <w:pPr>
        <w:spacing w:after="200" w:line="276" w:lineRule="auto"/>
        <w:jc w:val="both"/>
      </w:pPr>
      <w:r>
        <w:t>On passe des normes aux acteurs : qui fait respecter les droits en France. Juge constitutionnel (16), juge judiciaire (17), juge administratif (18), puis les frontières entre les deux ordres (19) et, hors du juge, la protection administrative par les autorités indépendantes (20). Fiches à connaître précisément : l'oral porte souvent sur l'office du juge.</w:t>
      </w:r>
    </w:p>
    <w:p w14:paraId="3A2DCBED" w14:textId="77777777" w:rsidR="00DF4DE6" w:rsidRDefault="001B2AC3" w:rsidP="00240AE0">
      <w:pPr>
        <w:pStyle w:val="Titre2"/>
        <w:spacing w:before="120" w:after="30"/>
        <w:jc w:val="both"/>
      </w:pPr>
      <w:r>
        <w:rPr>
          <w:b/>
          <w:bCs/>
          <w:color w:val="2E5A88"/>
          <w:sz w:val="22"/>
          <w:szCs w:val="22"/>
        </w:rPr>
        <w:t xml:space="preserve">Fiche </w:t>
      </w:r>
      <w:proofErr w:type="gramStart"/>
      <w:r>
        <w:rPr>
          <w:b/>
          <w:bCs/>
          <w:color w:val="2E5A88"/>
          <w:sz w:val="22"/>
          <w:szCs w:val="22"/>
        </w:rPr>
        <w:t>16  ·</w:t>
      </w:r>
      <w:proofErr w:type="gramEnd"/>
      <w:r>
        <w:rPr>
          <w:b/>
          <w:bCs/>
          <w:color w:val="2E5A88"/>
          <w:sz w:val="22"/>
          <w:szCs w:val="22"/>
        </w:rPr>
        <w:t xml:space="preserve">  </w:t>
      </w:r>
      <w:r>
        <w:rPr>
          <w:rFonts w:ascii="Cambria" w:eastAsia="Cambria" w:hAnsi="Cambria" w:cs="Cambria"/>
          <w:b/>
          <w:bCs/>
          <w:color w:val="1F3864"/>
        </w:rPr>
        <w:t>La protection par le juge constitutionnel</w:t>
      </w:r>
    </w:p>
    <w:p w14:paraId="09F5173F" w14:textId="77777777" w:rsidR="00DF4DE6" w:rsidRDefault="001B2AC3" w:rsidP="00240AE0">
      <w:pPr>
        <w:spacing w:after="120"/>
        <w:jc w:val="both"/>
      </w:pPr>
      <w:r>
        <w:rPr>
          <w:i/>
          <w:iCs/>
          <w:color w:val="595959"/>
          <w:sz w:val="17"/>
          <w:szCs w:val="17"/>
        </w:rPr>
        <w:t>Fascicule, p. 154</w:t>
      </w:r>
    </w:p>
    <w:p w14:paraId="1A897EB1" w14:textId="77777777" w:rsidR="00DF4DE6" w:rsidRDefault="001B2AC3" w:rsidP="00240AE0">
      <w:pPr>
        <w:spacing w:before="200" w:after="70"/>
        <w:jc w:val="both"/>
      </w:pPr>
      <w:r>
        <w:rPr>
          <w:b/>
          <w:bCs/>
          <w:color w:val="2E5A88"/>
          <w:spacing w:val="24"/>
          <w:sz w:val="17"/>
          <w:szCs w:val="17"/>
        </w:rPr>
        <w:t>IDÉE DIRECTRICE</w:t>
      </w:r>
    </w:p>
    <w:p w14:paraId="27CE059F" w14:textId="77777777" w:rsidR="00DF4DE6" w:rsidRDefault="001B2AC3" w:rsidP="00240AE0">
      <w:pPr>
        <w:spacing w:after="60" w:line="276" w:lineRule="auto"/>
        <w:jc w:val="both"/>
      </w:pPr>
      <w:r>
        <w:t>Qui protège en France, premier acteur. Instauration et affirmation du Conseil constitutionnel comme garant des droits, puis les deux voies de contrôle (a priori sur saisine, a posteriori par QPC), puis les techniques : économie et stratégie du contrôle, réserves d'interprétation, non-conformité et conformité partielle, effet cliquet, moyens soulevés d'office.</w:t>
      </w:r>
    </w:p>
    <w:p w14:paraId="25BA7CE1" w14:textId="77777777" w:rsidR="00DF4DE6" w:rsidRDefault="001B2AC3" w:rsidP="00240AE0">
      <w:pPr>
        <w:spacing w:before="200" w:after="70"/>
        <w:jc w:val="both"/>
      </w:pPr>
      <w:r>
        <w:rPr>
          <w:b/>
          <w:bCs/>
          <w:color w:val="2E5A88"/>
          <w:spacing w:val="24"/>
          <w:sz w:val="17"/>
          <w:szCs w:val="17"/>
        </w:rPr>
        <w:t>POINTS CLÉS (ENCADRÉ DU FASCICULE)</w:t>
      </w:r>
    </w:p>
    <w:p w14:paraId="7E558E97" w14:textId="77777777" w:rsidR="00DF4DE6" w:rsidRDefault="001B2AC3" w:rsidP="00240AE0">
      <w:pPr>
        <w:pStyle w:val="Paragraphedeliste"/>
        <w:numPr>
          <w:ilvl w:val="0"/>
          <w:numId w:val="2"/>
        </w:numPr>
        <w:spacing w:after="40" w:line="264" w:lineRule="auto"/>
        <w:jc w:val="both"/>
      </w:pPr>
      <w:r>
        <w:rPr>
          <w:color w:val="1A1A1A"/>
          <w:sz w:val="19"/>
          <w:szCs w:val="19"/>
        </w:rPr>
        <w:t>Contrôle de constitutionnalité des lois a priori.</w:t>
      </w:r>
    </w:p>
    <w:p w14:paraId="334C224E" w14:textId="77777777" w:rsidR="00DF4DE6" w:rsidRDefault="001B2AC3" w:rsidP="00240AE0">
      <w:pPr>
        <w:pStyle w:val="Paragraphedeliste"/>
        <w:numPr>
          <w:ilvl w:val="0"/>
          <w:numId w:val="2"/>
        </w:numPr>
        <w:spacing w:after="40" w:line="264" w:lineRule="auto"/>
        <w:jc w:val="both"/>
      </w:pPr>
      <w:r>
        <w:rPr>
          <w:color w:val="1A1A1A"/>
          <w:sz w:val="19"/>
          <w:szCs w:val="19"/>
        </w:rPr>
        <w:t>Contrôle de constitutionnalité des lois a posteriori.</w:t>
      </w:r>
    </w:p>
    <w:p w14:paraId="0ACCCFF3" w14:textId="77777777" w:rsidR="00DF4DE6" w:rsidRDefault="001B2AC3" w:rsidP="00240AE0">
      <w:pPr>
        <w:pStyle w:val="Paragraphedeliste"/>
        <w:numPr>
          <w:ilvl w:val="0"/>
          <w:numId w:val="2"/>
        </w:numPr>
        <w:spacing w:after="40" w:line="264" w:lineRule="auto"/>
        <w:jc w:val="both"/>
      </w:pPr>
      <w:r>
        <w:rPr>
          <w:color w:val="1A1A1A"/>
          <w:sz w:val="19"/>
          <w:szCs w:val="19"/>
        </w:rPr>
        <w:t>Réserves d’interprétation.</w:t>
      </w:r>
    </w:p>
    <w:p w14:paraId="6E5246EF" w14:textId="77777777" w:rsidR="00DF4DE6" w:rsidRDefault="001B2AC3" w:rsidP="00240AE0">
      <w:pPr>
        <w:pStyle w:val="Paragraphedeliste"/>
        <w:numPr>
          <w:ilvl w:val="0"/>
          <w:numId w:val="2"/>
        </w:numPr>
        <w:spacing w:after="40" w:line="264" w:lineRule="auto"/>
        <w:jc w:val="both"/>
      </w:pPr>
      <w:r>
        <w:rPr>
          <w:color w:val="1A1A1A"/>
          <w:sz w:val="19"/>
          <w:szCs w:val="19"/>
        </w:rPr>
        <w:t>Modulation des effets dans le temps.</w:t>
      </w:r>
    </w:p>
    <w:p w14:paraId="65783EBA" w14:textId="77777777" w:rsidR="00DF4DE6" w:rsidRDefault="001B2AC3" w:rsidP="00240AE0">
      <w:pPr>
        <w:pStyle w:val="Paragraphedeliste"/>
        <w:numPr>
          <w:ilvl w:val="0"/>
          <w:numId w:val="2"/>
        </w:numPr>
        <w:spacing w:after="40" w:line="264" w:lineRule="auto"/>
        <w:jc w:val="both"/>
      </w:pPr>
      <w:r>
        <w:rPr>
          <w:color w:val="1A1A1A"/>
          <w:sz w:val="19"/>
          <w:szCs w:val="19"/>
        </w:rPr>
        <w:t>Retrait, abrogation.</w:t>
      </w:r>
    </w:p>
    <w:p w14:paraId="510B41CE" w14:textId="77777777" w:rsidR="00DF4DE6" w:rsidRDefault="001B2AC3" w:rsidP="00240AE0">
      <w:pPr>
        <w:spacing w:before="200" w:after="70"/>
        <w:jc w:val="both"/>
      </w:pPr>
      <w:r>
        <w:rPr>
          <w:b/>
          <w:bCs/>
          <w:color w:val="2E5A88"/>
          <w:spacing w:val="24"/>
          <w:sz w:val="17"/>
          <w:szCs w:val="17"/>
        </w:rPr>
        <w:t>PLAN DE LA FICHE</w:t>
      </w:r>
    </w:p>
    <w:p w14:paraId="37E86CAE" w14:textId="77777777" w:rsidR="00DF4DE6" w:rsidRDefault="001B2AC3" w:rsidP="00240AE0">
      <w:pPr>
        <w:spacing w:after="20" w:line="250" w:lineRule="auto"/>
        <w:ind w:left="240"/>
        <w:jc w:val="both"/>
      </w:pPr>
      <w:r>
        <w:rPr>
          <w:b/>
          <w:bCs/>
          <w:color w:val="1F3864"/>
          <w:sz w:val="19"/>
          <w:szCs w:val="19"/>
        </w:rPr>
        <w:t>1. L’instauration du Conseil constitutionnel</w:t>
      </w:r>
    </w:p>
    <w:p w14:paraId="6A9E17D0" w14:textId="77777777" w:rsidR="00DF4DE6" w:rsidRDefault="001B2AC3" w:rsidP="00240AE0">
      <w:pPr>
        <w:spacing w:after="20" w:line="250" w:lineRule="auto"/>
        <w:ind w:left="500"/>
        <w:jc w:val="both"/>
      </w:pPr>
      <w:r>
        <w:rPr>
          <w:color w:val="333333"/>
          <w:sz w:val="18"/>
          <w:szCs w:val="18"/>
        </w:rPr>
        <w:t>1.1. Les timides débuts du Conseil constitutionnel</w:t>
      </w:r>
    </w:p>
    <w:p w14:paraId="4E048724" w14:textId="77777777" w:rsidR="00DF4DE6" w:rsidRDefault="001B2AC3" w:rsidP="00240AE0">
      <w:pPr>
        <w:spacing w:after="20" w:line="250" w:lineRule="auto"/>
        <w:ind w:left="500"/>
        <w:jc w:val="both"/>
      </w:pPr>
      <w:r>
        <w:rPr>
          <w:color w:val="333333"/>
          <w:sz w:val="18"/>
          <w:szCs w:val="18"/>
        </w:rPr>
        <w:t>1.2. L’affirmation du rôle de garant des droits et libertés fondamentaux du Conseil</w:t>
      </w:r>
    </w:p>
    <w:p w14:paraId="1EC13E3B" w14:textId="77777777" w:rsidR="00DF4DE6" w:rsidRDefault="001B2AC3" w:rsidP="00240AE0">
      <w:pPr>
        <w:spacing w:after="20" w:line="250" w:lineRule="auto"/>
        <w:ind w:left="500"/>
        <w:jc w:val="both"/>
      </w:pPr>
      <w:r>
        <w:rPr>
          <w:color w:val="333333"/>
          <w:sz w:val="18"/>
          <w:szCs w:val="18"/>
        </w:rPr>
        <w:t>1.3. Les compétences du Conseil constitutionnel</w:t>
      </w:r>
    </w:p>
    <w:p w14:paraId="767D2237" w14:textId="77777777" w:rsidR="00DF4DE6" w:rsidRDefault="001B2AC3" w:rsidP="00240AE0">
      <w:pPr>
        <w:spacing w:after="20" w:line="250" w:lineRule="auto"/>
        <w:ind w:left="760"/>
        <w:jc w:val="both"/>
      </w:pPr>
      <w:r>
        <w:rPr>
          <w:color w:val="595959"/>
          <w:sz w:val="18"/>
          <w:szCs w:val="18"/>
        </w:rPr>
        <w:t>1.3.1. Les compétences consultatives</w:t>
      </w:r>
    </w:p>
    <w:p w14:paraId="39968E71" w14:textId="77777777" w:rsidR="00DF4DE6" w:rsidRDefault="001B2AC3" w:rsidP="00240AE0">
      <w:pPr>
        <w:spacing w:after="20" w:line="250" w:lineRule="auto"/>
        <w:ind w:left="760"/>
        <w:jc w:val="both"/>
      </w:pPr>
      <w:r>
        <w:rPr>
          <w:color w:val="595959"/>
          <w:sz w:val="18"/>
          <w:szCs w:val="18"/>
        </w:rPr>
        <w:t>1.3.2. Les compétences juridictionnelles</w:t>
      </w:r>
    </w:p>
    <w:p w14:paraId="5FE365A2" w14:textId="77777777" w:rsidR="00DF4DE6" w:rsidRDefault="001B2AC3" w:rsidP="00240AE0">
      <w:pPr>
        <w:spacing w:after="20" w:line="250" w:lineRule="auto"/>
        <w:ind w:left="240"/>
        <w:jc w:val="both"/>
      </w:pPr>
      <w:r>
        <w:rPr>
          <w:b/>
          <w:bCs/>
          <w:color w:val="1F3864"/>
          <w:sz w:val="19"/>
          <w:szCs w:val="19"/>
        </w:rPr>
        <w:t>2. Le contrôle de constitutionnalité des lois</w:t>
      </w:r>
    </w:p>
    <w:p w14:paraId="31BED6DD" w14:textId="77777777" w:rsidR="00DF4DE6" w:rsidRDefault="001B2AC3" w:rsidP="00240AE0">
      <w:pPr>
        <w:spacing w:after="20" w:line="250" w:lineRule="auto"/>
        <w:ind w:left="500"/>
        <w:jc w:val="both"/>
      </w:pPr>
      <w:r>
        <w:rPr>
          <w:color w:val="333333"/>
          <w:sz w:val="18"/>
          <w:szCs w:val="18"/>
        </w:rPr>
        <w:t>2.1. Le contrôle a priori de constitutionnalité des lois</w:t>
      </w:r>
    </w:p>
    <w:p w14:paraId="01459C0E" w14:textId="77777777" w:rsidR="00DF4DE6" w:rsidRDefault="001B2AC3" w:rsidP="00240AE0">
      <w:pPr>
        <w:spacing w:after="20" w:line="250" w:lineRule="auto"/>
        <w:ind w:left="500"/>
        <w:jc w:val="both"/>
      </w:pPr>
      <w:r>
        <w:rPr>
          <w:color w:val="333333"/>
          <w:sz w:val="18"/>
          <w:szCs w:val="18"/>
        </w:rPr>
        <w:t>2.2. Le contrôle a posteriori de constitutionnalité des lois</w:t>
      </w:r>
    </w:p>
    <w:p w14:paraId="6680684D" w14:textId="77777777" w:rsidR="00DF4DE6" w:rsidRDefault="001B2AC3" w:rsidP="00240AE0">
      <w:pPr>
        <w:spacing w:after="20" w:line="250" w:lineRule="auto"/>
        <w:ind w:left="240"/>
        <w:jc w:val="both"/>
      </w:pPr>
      <w:r>
        <w:rPr>
          <w:b/>
          <w:bCs/>
          <w:color w:val="1F3864"/>
          <w:sz w:val="19"/>
          <w:szCs w:val="19"/>
        </w:rPr>
        <w:t>3. Les techniques de contrôle du Conseil constitutionnel</w:t>
      </w:r>
    </w:p>
    <w:p w14:paraId="672E3A0C" w14:textId="77777777" w:rsidR="00DF4DE6" w:rsidRDefault="001B2AC3" w:rsidP="00240AE0">
      <w:pPr>
        <w:spacing w:after="20" w:line="250" w:lineRule="auto"/>
        <w:ind w:left="500"/>
        <w:jc w:val="both"/>
      </w:pPr>
      <w:r>
        <w:rPr>
          <w:color w:val="333333"/>
          <w:sz w:val="18"/>
          <w:szCs w:val="18"/>
        </w:rPr>
        <w:t>3.1. L’économie et la stratégie du contrôle</w:t>
      </w:r>
    </w:p>
    <w:p w14:paraId="7375CF20" w14:textId="77777777" w:rsidR="00DF4DE6" w:rsidRDefault="001B2AC3" w:rsidP="00240AE0">
      <w:pPr>
        <w:spacing w:after="20" w:line="250" w:lineRule="auto"/>
        <w:ind w:left="500"/>
        <w:jc w:val="both"/>
      </w:pPr>
      <w:r>
        <w:rPr>
          <w:color w:val="333333"/>
          <w:sz w:val="18"/>
          <w:szCs w:val="18"/>
        </w:rPr>
        <w:t>3.2. Les réserves d’interprétation</w:t>
      </w:r>
    </w:p>
    <w:p w14:paraId="0997E6A1" w14:textId="77777777" w:rsidR="00DF4DE6" w:rsidRDefault="001B2AC3" w:rsidP="00240AE0">
      <w:pPr>
        <w:spacing w:after="20" w:line="250" w:lineRule="auto"/>
        <w:ind w:left="500"/>
        <w:jc w:val="both"/>
      </w:pPr>
      <w:r>
        <w:rPr>
          <w:color w:val="333333"/>
          <w:sz w:val="18"/>
          <w:szCs w:val="18"/>
        </w:rPr>
        <w:t>3.3. Les décisions de non-conformité et de conformité partielle</w:t>
      </w:r>
    </w:p>
    <w:p w14:paraId="23776676" w14:textId="77777777" w:rsidR="00DF4DE6" w:rsidRDefault="001B2AC3" w:rsidP="00240AE0">
      <w:pPr>
        <w:spacing w:after="20" w:line="250" w:lineRule="auto"/>
        <w:ind w:left="500"/>
        <w:jc w:val="both"/>
      </w:pPr>
      <w:r>
        <w:rPr>
          <w:color w:val="333333"/>
          <w:sz w:val="18"/>
          <w:szCs w:val="18"/>
        </w:rPr>
        <w:t>3.4. L’effet cliquet</w:t>
      </w:r>
    </w:p>
    <w:p w14:paraId="36A28AA5" w14:textId="77777777" w:rsidR="00DF4DE6" w:rsidRDefault="001B2AC3" w:rsidP="00240AE0">
      <w:pPr>
        <w:spacing w:after="20" w:line="250" w:lineRule="auto"/>
        <w:ind w:left="500"/>
        <w:jc w:val="both"/>
      </w:pPr>
      <w:r>
        <w:rPr>
          <w:color w:val="333333"/>
          <w:sz w:val="18"/>
          <w:szCs w:val="18"/>
        </w:rPr>
        <w:t>3.5. Les moyens et conclusions soulevés d’office</w:t>
      </w:r>
    </w:p>
    <w:p w14:paraId="14ADA440" w14:textId="77777777" w:rsidR="00DF4DE6" w:rsidRDefault="001B2AC3" w:rsidP="00240AE0">
      <w:pPr>
        <w:spacing w:before="200" w:after="70"/>
        <w:jc w:val="both"/>
      </w:pPr>
      <w:r>
        <w:rPr>
          <w:b/>
          <w:bCs/>
          <w:color w:val="2E5A88"/>
          <w:spacing w:val="24"/>
          <w:sz w:val="17"/>
          <w:szCs w:val="17"/>
        </w:rPr>
        <w:t>RÉFÉRENCES CENTRALES</w:t>
      </w:r>
    </w:p>
    <w:p w14:paraId="6482E997" w14:textId="77777777" w:rsidR="00DF4DE6" w:rsidRDefault="001B2AC3" w:rsidP="00240AE0">
      <w:pPr>
        <w:pStyle w:val="Paragraphedeliste"/>
        <w:numPr>
          <w:ilvl w:val="0"/>
          <w:numId w:val="2"/>
        </w:numPr>
        <w:spacing w:after="40" w:line="264" w:lineRule="auto"/>
        <w:jc w:val="both"/>
      </w:pPr>
      <w:r>
        <w:rPr>
          <w:color w:val="333333"/>
          <w:sz w:val="18"/>
          <w:szCs w:val="18"/>
        </w:rPr>
        <w:t>Mathieu Disant, L’autorité de la chose interprétée par le Conseil constitutionnel, LGDJ, 2010.</w:t>
      </w:r>
    </w:p>
    <w:p w14:paraId="0D48247E" w14:textId="77777777" w:rsidR="00DF4DE6" w:rsidRDefault="001B2AC3" w:rsidP="00240AE0">
      <w:pPr>
        <w:pStyle w:val="Paragraphedeliste"/>
        <w:numPr>
          <w:ilvl w:val="0"/>
          <w:numId w:val="2"/>
        </w:numPr>
        <w:spacing w:after="40" w:line="264" w:lineRule="auto"/>
        <w:jc w:val="both"/>
      </w:pPr>
      <w:r>
        <w:rPr>
          <w:color w:val="333333"/>
          <w:sz w:val="18"/>
          <w:szCs w:val="18"/>
        </w:rPr>
        <w:t>Louis Favoreu, Le Conseil constitutionnel, PUF, Que sais-</w:t>
      </w:r>
      <w:proofErr w:type="gramStart"/>
      <w:r>
        <w:rPr>
          <w:color w:val="333333"/>
          <w:sz w:val="18"/>
          <w:szCs w:val="18"/>
        </w:rPr>
        <w:t>je ?,</w:t>
      </w:r>
      <w:proofErr w:type="gramEnd"/>
      <w:r>
        <w:rPr>
          <w:color w:val="333333"/>
          <w:sz w:val="18"/>
          <w:szCs w:val="18"/>
        </w:rPr>
        <w:t xml:space="preserve"> 7e éd., 2005</w:t>
      </w:r>
    </w:p>
    <w:p w14:paraId="23ACB910" w14:textId="77777777" w:rsidR="00DF4DE6" w:rsidRDefault="001B2AC3" w:rsidP="00240AE0">
      <w:pPr>
        <w:pStyle w:val="Paragraphedeliste"/>
        <w:numPr>
          <w:ilvl w:val="0"/>
          <w:numId w:val="2"/>
        </w:numPr>
        <w:spacing w:after="40" w:line="264" w:lineRule="auto"/>
        <w:jc w:val="both"/>
      </w:pPr>
      <w:r>
        <w:rPr>
          <w:color w:val="333333"/>
          <w:sz w:val="18"/>
          <w:szCs w:val="18"/>
        </w:rPr>
        <w:t>Karine Foucher (</w:t>
      </w:r>
      <w:proofErr w:type="spellStart"/>
      <w:r>
        <w:rPr>
          <w:color w:val="333333"/>
          <w:sz w:val="18"/>
          <w:szCs w:val="18"/>
        </w:rPr>
        <w:t>dir</w:t>
      </w:r>
      <w:proofErr w:type="spellEnd"/>
      <w:r>
        <w:rPr>
          <w:color w:val="333333"/>
          <w:sz w:val="18"/>
          <w:szCs w:val="18"/>
        </w:rPr>
        <w:t>.), L’apport de la QPC à la protection des droits et libertés, Dalloz, 2010.</w:t>
      </w:r>
    </w:p>
    <w:p w14:paraId="344452A3" w14:textId="77777777" w:rsidR="00DF4DE6" w:rsidRDefault="001B2AC3" w:rsidP="00240AE0">
      <w:pPr>
        <w:pStyle w:val="Paragraphedeliste"/>
        <w:numPr>
          <w:ilvl w:val="0"/>
          <w:numId w:val="2"/>
        </w:numPr>
        <w:spacing w:after="40" w:line="264" w:lineRule="auto"/>
        <w:jc w:val="both"/>
      </w:pPr>
      <w:r>
        <w:rPr>
          <w:color w:val="333333"/>
          <w:sz w:val="18"/>
          <w:szCs w:val="18"/>
        </w:rPr>
        <w:t>Pierre Esplugas-Labatut, Le Conseil constitutionnel, Dalloz, 10e éd., 2023.</w:t>
      </w:r>
    </w:p>
    <w:p w14:paraId="3C22F70E" w14:textId="77777777" w:rsidR="00DF4DE6" w:rsidRDefault="001B2AC3" w:rsidP="00240AE0">
      <w:pPr>
        <w:pStyle w:val="Paragraphedeliste"/>
        <w:numPr>
          <w:ilvl w:val="0"/>
          <w:numId w:val="2"/>
        </w:numPr>
        <w:spacing w:after="40" w:line="264" w:lineRule="auto"/>
        <w:jc w:val="both"/>
      </w:pPr>
      <w:r>
        <w:rPr>
          <w:color w:val="333333"/>
          <w:sz w:val="18"/>
          <w:szCs w:val="18"/>
        </w:rPr>
        <w:t>Marc Guillaume, « Question prioritaire de constitutionnalité », Dalloz, Répertoire de contentieux administratif, avril 2022.</w:t>
      </w:r>
    </w:p>
    <w:p w14:paraId="246CA4A3" w14:textId="77777777" w:rsidR="00DF4DE6" w:rsidRDefault="001B2AC3" w:rsidP="00240AE0">
      <w:pPr>
        <w:pStyle w:val="Paragraphedeliste"/>
        <w:numPr>
          <w:ilvl w:val="0"/>
          <w:numId w:val="2"/>
        </w:numPr>
        <w:spacing w:after="40" w:line="264" w:lineRule="auto"/>
        <w:jc w:val="both"/>
      </w:pPr>
      <w:r>
        <w:rPr>
          <w:color w:val="333333"/>
          <w:sz w:val="18"/>
          <w:szCs w:val="18"/>
        </w:rPr>
        <w:t>Le Conseil constitutionnel et le Parlement, Les Nouveaux Cahiers du Conseil constitutionnel, no 38, janvier 2013.</w:t>
      </w:r>
    </w:p>
    <w:p w14:paraId="76F4BECE" w14:textId="77777777" w:rsidR="00DF4DE6" w:rsidRDefault="00DF4DE6" w:rsidP="00240AE0">
      <w:pPr>
        <w:pBdr>
          <w:top w:val="single" w:sz="6" w:space="0" w:color="C7D2E0"/>
        </w:pBdr>
        <w:spacing w:before="260" w:after="180"/>
        <w:jc w:val="both"/>
      </w:pPr>
    </w:p>
    <w:p w14:paraId="2648CA84" w14:textId="77777777" w:rsidR="00DF4DE6" w:rsidRDefault="001B2AC3" w:rsidP="00240AE0">
      <w:pPr>
        <w:pStyle w:val="Titre2"/>
        <w:spacing w:after="30"/>
        <w:jc w:val="both"/>
      </w:pPr>
      <w:r>
        <w:rPr>
          <w:b/>
          <w:bCs/>
          <w:color w:val="2E5A88"/>
          <w:sz w:val="22"/>
          <w:szCs w:val="22"/>
        </w:rPr>
        <w:lastRenderedPageBreak/>
        <w:t xml:space="preserve">Fiche </w:t>
      </w:r>
      <w:proofErr w:type="gramStart"/>
      <w:r>
        <w:rPr>
          <w:b/>
          <w:bCs/>
          <w:color w:val="2E5A88"/>
          <w:sz w:val="22"/>
          <w:szCs w:val="22"/>
        </w:rPr>
        <w:t>17  ·</w:t>
      </w:r>
      <w:proofErr w:type="gramEnd"/>
      <w:r>
        <w:rPr>
          <w:b/>
          <w:bCs/>
          <w:color w:val="2E5A88"/>
          <w:sz w:val="22"/>
          <w:szCs w:val="22"/>
        </w:rPr>
        <w:t xml:space="preserve">  </w:t>
      </w:r>
      <w:r>
        <w:rPr>
          <w:rFonts w:ascii="Cambria" w:eastAsia="Cambria" w:hAnsi="Cambria" w:cs="Cambria"/>
          <w:b/>
          <w:bCs/>
          <w:color w:val="1F3864"/>
        </w:rPr>
        <w:t>La protection par le juge judiciaire</w:t>
      </w:r>
    </w:p>
    <w:p w14:paraId="518DF029" w14:textId="77777777" w:rsidR="00DF4DE6" w:rsidRDefault="001B2AC3" w:rsidP="00240AE0">
      <w:pPr>
        <w:spacing w:after="120"/>
        <w:jc w:val="both"/>
      </w:pPr>
      <w:r>
        <w:rPr>
          <w:i/>
          <w:iCs/>
          <w:color w:val="595959"/>
          <w:sz w:val="17"/>
          <w:szCs w:val="17"/>
        </w:rPr>
        <w:t>Fascicule, p. 164</w:t>
      </w:r>
    </w:p>
    <w:p w14:paraId="4D43364D" w14:textId="77777777" w:rsidR="00DF4DE6" w:rsidRDefault="001B2AC3" w:rsidP="00240AE0">
      <w:pPr>
        <w:spacing w:before="200" w:after="70"/>
        <w:jc w:val="both"/>
      </w:pPr>
      <w:r>
        <w:rPr>
          <w:b/>
          <w:bCs/>
          <w:color w:val="2E5A88"/>
          <w:spacing w:val="24"/>
          <w:sz w:val="17"/>
          <w:szCs w:val="17"/>
        </w:rPr>
        <w:t>IDÉE DIRECTRICE</w:t>
      </w:r>
    </w:p>
    <w:p w14:paraId="268706E9" w14:textId="77777777" w:rsidR="00DF4DE6" w:rsidRDefault="001B2AC3" w:rsidP="00240AE0">
      <w:pPr>
        <w:spacing w:after="60" w:line="276" w:lineRule="auto"/>
        <w:jc w:val="both"/>
      </w:pPr>
      <w:r>
        <w:t>Le juge judiciaire, gardien historique. Trois offices : protéger les libertés individuelles et la propriété face à l'administration (liberté individuelle, voie de fait, atteintes à la propriété) ; protéger les droits dans les litiges entre particuliers, y compris par transposition du contrôle de proportionnalité ; et servir de filtre, vers le Conseil constitutionnel (QPC) et vers la Cour européenne (avis consultatif). Le contrôle de conventionnalité des lois est le pivot.</w:t>
      </w:r>
    </w:p>
    <w:p w14:paraId="2520D171" w14:textId="77777777" w:rsidR="00DF4DE6" w:rsidRDefault="001B2AC3" w:rsidP="00240AE0">
      <w:pPr>
        <w:spacing w:before="200" w:after="70"/>
        <w:jc w:val="both"/>
      </w:pPr>
      <w:r>
        <w:rPr>
          <w:b/>
          <w:bCs/>
          <w:color w:val="2E5A88"/>
          <w:spacing w:val="24"/>
          <w:sz w:val="17"/>
          <w:szCs w:val="17"/>
        </w:rPr>
        <w:t>POINTS CLÉS (ENCADRÉ DU FASCICULE)</w:t>
      </w:r>
    </w:p>
    <w:p w14:paraId="770FA9C0" w14:textId="77777777" w:rsidR="00DF4DE6" w:rsidRDefault="001B2AC3" w:rsidP="00240AE0">
      <w:pPr>
        <w:pStyle w:val="Paragraphedeliste"/>
        <w:numPr>
          <w:ilvl w:val="0"/>
          <w:numId w:val="2"/>
        </w:numPr>
        <w:spacing w:after="40" w:line="264" w:lineRule="auto"/>
        <w:jc w:val="both"/>
      </w:pPr>
      <w:r>
        <w:rPr>
          <w:color w:val="1A1A1A"/>
          <w:sz w:val="19"/>
          <w:szCs w:val="19"/>
        </w:rPr>
        <w:t>Un juge garant des libertés individuelles.</w:t>
      </w:r>
    </w:p>
    <w:p w14:paraId="2EF01274" w14:textId="77777777" w:rsidR="00DF4DE6" w:rsidRDefault="001B2AC3" w:rsidP="00240AE0">
      <w:pPr>
        <w:pStyle w:val="Paragraphedeliste"/>
        <w:numPr>
          <w:ilvl w:val="0"/>
          <w:numId w:val="2"/>
        </w:numPr>
        <w:spacing w:after="40" w:line="264" w:lineRule="auto"/>
        <w:jc w:val="both"/>
      </w:pPr>
      <w:r>
        <w:rPr>
          <w:color w:val="1A1A1A"/>
          <w:sz w:val="19"/>
          <w:szCs w:val="19"/>
        </w:rPr>
        <w:t>Une exclusivité de compétence en matière de litiges interindividuels.</w:t>
      </w:r>
    </w:p>
    <w:p w14:paraId="4B00AE9A" w14:textId="77777777" w:rsidR="00DF4DE6" w:rsidRDefault="001B2AC3" w:rsidP="00240AE0">
      <w:pPr>
        <w:pStyle w:val="Paragraphedeliste"/>
        <w:numPr>
          <w:ilvl w:val="0"/>
          <w:numId w:val="2"/>
        </w:numPr>
        <w:spacing w:after="40" w:line="264" w:lineRule="auto"/>
        <w:jc w:val="both"/>
      </w:pPr>
      <w:r>
        <w:rPr>
          <w:color w:val="1A1A1A"/>
          <w:sz w:val="19"/>
          <w:szCs w:val="19"/>
        </w:rPr>
        <w:t>La reconnaissance du plein effet direct des droits de la Convention EDH en droit interne.</w:t>
      </w:r>
    </w:p>
    <w:p w14:paraId="74372834" w14:textId="77777777" w:rsidR="00DF4DE6" w:rsidRDefault="001B2AC3" w:rsidP="00240AE0">
      <w:pPr>
        <w:pStyle w:val="Paragraphedeliste"/>
        <w:numPr>
          <w:ilvl w:val="0"/>
          <w:numId w:val="2"/>
        </w:numPr>
        <w:spacing w:after="40" w:line="264" w:lineRule="auto"/>
        <w:jc w:val="both"/>
      </w:pPr>
      <w:r>
        <w:rPr>
          <w:color w:val="1A1A1A"/>
          <w:sz w:val="19"/>
          <w:szCs w:val="19"/>
        </w:rPr>
        <w:t>Un juge compétent pour la réalisation des contrôles de conventionnalité des lois au regard du droit international.</w:t>
      </w:r>
    </w:p>
    <w:p w14:paraId="030E4011" w14:textId="77777777" w:rsidR="00DF4DE6" w:rsidRDefault="001B2AC3" w:rsidP="00240AE0">
      <w:pPr>
        <w:spacing w:before="200" w:after="70"/>
        <w:jc w:val="both"/>
      </w:pPr>
      <w:r>
        <w:rPr>
          <w:b/>
          <w:bCs/>
          <w:color w:val="2E5A88"/>
          <w:spacing w:val="24"/>
          <w:sz w:val="17"/>
          <w:szCs w:val="17"/>
        </w:rPr>
        <w:t>PLAN DE LA FICHE</w:t>
      </w:r>
    </w:p>
    <w:p w14:paraId="54BC7250" w14:textId="77777777" w:rsidR="00DF4DE6" w:rsidRDefault="001B2AC3" w:rsidP="00240AE0">
      <w:pPr>
        <w:spacing w:after="20" w:line="250" w:lineRule="auto"/>
        <w:ind w:left="240"/>
        <w:jc w:val="both"/>
      </w:pPr>
      <w:r>
        <w:rPr>
          <w:b/>
          <w:bCs/>
          <w:color w:val="1F3864"/>
          <w:sz w:val="19"/>
          <w:szCs w:val="19"/>
        </w:rPr>
        <w:t>1. Le juge judiciaire, garant de la protection des droits humains sur le plan interne</w:t>
      </w:r>
    </w:p>
    <w:p w14:paraId="5C7A525C" w14:textId="77777777" w:rsidR="00DF4DE6" w:rsidRDefault="001B2AC3" w:rsidP="00240AE0">
      <w:pPr>
        <w:spacing w:after="20" w:line="250" w:lineRule="auto"/>
        <w:ind w:left="500"/>
        <w:jc w:val="both"/>
      </w:pPr>
      <w:r>
        <w:rPr>
          <w:color w:val="333333"/>
          <w:sz w:val="18"/>
          <w:szCs w:val="18"/>
        </w:rPr>
        <w:t>1.1. La protection des libertés individuelles et du droit de propriété face à l’administration</w:t>
      </w:r>
    </w:p>
    <w:p w14:paraId="5BB68875" w14:textId="77777777" w:rsidR="00DF4DE6" w:rsidRDefault="001B2AC3" w:rsidP="00240AE0">
      <w:pPr>
        <w:spacing w:after="20" w:line="250" w:lineRule="auto"/>
        <w:ind w:left="760"/>
        <w:jc w:val="both"/>
      </w:pPr>
      <w:r>
        <w:rPr>
          <w:color w:val="595959"/>
          <w:sz w:val="18"/>
          <w:szCs w:val="18"/>
        </w:rPr>
        <w:t>1.1.1. La protection de la liberté individuelle</w:t>
      </w:r>
    </w:p>
    <w:p w14:paraId="049DE612" w14:textId="77777777" w:rsidR="00DF4DE6" w:rsidRDefault="001B2AC3" w:rsidP="00240AE0">
      <w:pPr>
        <w:spacing w:after="20" w:line="250" w:lineRule="auto"/>
        <w:ind w:left="760"/>
        <w:jc w:val="both"/>
      </w:pPr>
      <w:r>
        <w:rPr>
          <w:color w:val="595959"/>
          <w:sz w:val="18"/>
          <w:szCs w:val="18"/>
        </w:rPr>
        <w:t>1.1.2. La protection en cas de voie de fait</w:t>
      </w:r>
    </w:p>
    <w:p w14:paraId="388FF3CA" w14:textId="77777777" w:rsidR="00DF4DE6" w:rsidRDefault="001B2AC3" w:rsidP="00240AE0">
      <w:pPr>
        <w:spacing w:after="20" w:line="250" w:lineRule="auto"/>
        <w:ind w:left="760"/>
        <w:jc w:val="both"/>
      </w:pPr>
      <w:r>
        <w:rPr>
          <w:color w:val="595959"/>
          <w:sz w:val="18"/>
          <w:szCs w:val="18"/>
        </w:rPr>
        <w:t>1.1.3. La protection contre les atteintes au droit de propriété portées par l’administration</w:t>
      </w:r>
    </w:p>
    <w:p w14:paraId="05886F84" w14:textId="77777777" w:rsidR="00DF4DE6" w:rsidRDefault="001B2AC3" w:rsidP="00240AE0">
      <w:pPr>
        <w:spacing w:after="20" w:line="250" w:lineRule="auto"/>
        <w:ind w:left="500"/>
        <w:jc w:val="both"/>
      </w:pPr>
      <w:r>
        <w:rPr>
          <w:color w:val="333333"/>
          <w:sz w:val="18"/>
          <w:szCs w:val="18"/>
        </w:rPr>
        <w:t>1.2. La protection des droits humains par le juge judiciaire dans le cadre de litiges interindividuels</w:t>
      </w:r>
    </w:p>
    <w:p w14:paraId="5E2ADA57" w14:textId="77777777" w:rsidR="00DF4DE6" w:rsidRDefault="001B2AC3" w:rsidP="00240AE0">
      <w:pPr>
        <w:spacing w:after="20" w:line="250" w:lineRule="auto"/>
        <w:ind w:left="760"/>
        <w:jc w:val="both"/>
      </w:pPr>
      <w:r>
        <w:rPr>
          <w:color w:val="595959"/>
          <w:sz w:val="18"/>
          <w:szCs w:val="18"/>
        </w:rPr>
        <w:t>1.2.1. La protection des droits humains par l’application des normes afférant</w:t>
      </w:r>
    </w:p>
    <w:p w14:paraId="2D072F12" w14:textId="77777777" w:rsidR="00DF4DE6" w:rsidRDefault="001B2AC3" w:rsidP="00240AE0">
      <w:pPr>
        <w:spacing w:after="20" w:line="250" w:lineRule="auto"/>
        <w:ind w:left="760"/>
        <w:jc w:val="both"/>
      </w:pPr>
      <w:r>
        <w:rPr>
          <w:color w:val="595959"/>
          <w:sz w:val="18"/>
          <w:szCs w:val="18"/>
        </w:rPr>
        <w:t>1.2.2. La transposition du contrôle de proportionnalité</w:t>
      </w:r>
    </w:p>
    <w:p w14:paraId="07A59BDC" w14:textId="77777777" w:rsidR="00DF4DE6" w:rsidRDefault="001B2AC3" w:rsidP="00240AE0">
      <w:pPr>
        <w:spacing w:after="20" w:line="250" w:lineRule="auto"/>
        <w:ind w:left="240"/>
        <w:jc w:val="both"/>
      </w:pPr>
      <w:r>
        <w:rPr>
          <w:b/>
          <w:bCs/>
          <w:color w:val="1F3864"/>
          <w:sz w:val="19"/>
          <w:szCs w:val="19"/>
        </w:rPr>
        <w:t>2. L’internationalisation des fondements de la protection des droits humains utilisés par le juge judiciaire</w:t>
      </w:r>
    </w:p>
    <w:p w14:paraId="775903FC" w14:textId="77777777" w:rsidR="00DF4DE6" w:rsidRDefault="001B2AC3" w:rsidP="00240AE0">
      <w:pPr>
        <w:spacing w:after="20" w:line="250" w:lineRule="auto"/>
        <w:ind w:left="500"/>
        <w:jc w:val="both"/>
      </w:pPr>
      <w:r>
        <w:rPr>
          <w:color w:val="333333"/>
          <w:sz w:val="18"/>
          <w:szCs w:val="18"/>
        </w:rPr>
        <w:t>2.1. La primauté du droit international des droits humains</w:t>
      </w:r>
    </w:p>
    <w:p w14:paraId="2CFADC2D" w14:textId="77777777" w:rsidR="00DF4DE6" w:rsidRDefault="001B2AC3" w:rsidP="00240AE0">
      <w:pPr>
        <w:spacing w:after="20" w:line="250" w:lineRule="auto"/>
        <w:ind w:left="760"/>
        <w:jc w:val="both"/>
      </w:pPr>
      <w:r>
        <w:rPr>
          <w:color w:val="595959"/>
          <w:sz w:val="18"/>
          <w:szCs w:val="18"/>
        </w:rPr>
        <w:t>2.1.1. Le contrôle de conventionnalité des lois et des dispositions internes</w:t>
      </w:r>
    </w:p>
    <w:p w14:paraId="2EDD66F7" w14:textId="77777777" w:rsidR="00DF4DE6" w:rsidRDefault="001B2AC3" w:rsidP="00240AE0">
      <w:pPr>
        <w:spacing w:after="20" w:line="250" w:lineRule="auto"/>
        <w:ind w:left="760"/>
        <w:jc w:val="both"/>
      </w:pPr>
      <w:r>
        <w:rPr>
          <w:color w:val="595959"/>
          <w:sz w:val="18"/>
          <w:szCs w:val="18"/>
        </w:rPr>
        <w:t>2.1.2. Le plein effet direct des normes de droit international en droit interne</w:t>
      </w:r>
    </w:p>
    <w:p w14:paraId="7EC3E98B" w14:textId="77777777" w:rsidR="00DF4DE6" w:rsidRDefault="001B2AC3" w:rsidP="00240AE0">
      <w:pPr>
        <w:spacing w:after="20" w:line="250" w:lineRule="auto"/>
        <w:ind w:left="500"/>
        <w:jc w:val="both"/>
      </w:pPr>
      <w:r>
        <w:rPr>
          <w:color w:val="333333"/>
          <w:sz w:val="18"/>
          <w:szCs w:val="18"/>
        </w:rPr>
        <w:t>2.2. La prise en compte de normes issues du droit international</w:t>
      </w:r>
    </w:p>
    <w:p w14:paraId="3CE37534" w14:textId="77777777" w:rsidR="00DF4DE6" w:rsidRDefault="001B2AC3" w:rsidP="00240AE0">
      <w:pPr>
        <w:spacing w:after="20" w:line="250" w:lineRule="auto"/>
        <w:ind w:left="240"/>
        <w:jc w:val="both"/>
      </w:pPr>
      <w:r>
        <w:rPr>
          <w:b/>
          <w:bCs/>
          <w:color w:val="1F3864"/>
          <w:sz w:val="19"/>
          <w:szCs w:val="19"/>
        </w:rPr>
        <w:t>3. Le rôle de filtre dans la transmission de questions en rapport avec les droits humains auprès d’organes juridictionnels tiers</w:t>
      </w:r>
    </w:p>
    <w:p w14:paraId="7D142188" w14:textId="77777777" w:rsidR="00DF4DE6" w:rsidRDefault="001B2AC3" w:rsidP="00240AE0">
      <w:pPr>
        <w:spacing w:after="20" w:line="250" w:lineRule="auto"/>
        <w:ind w:left="500"/>
        <w:jc w:val="both"/>
      </w:pPr>
      <w:r>
        <w:rPr>
          <w:color w:val="333333"/>
          <w:sz w:val="18"/>
          <w:szCs w:val="18"/>
        </w:rPr>
        <w:t>3.1. La transmission de questions prioritaires de constitutionnalité au Conseil constitutionnel</w:t>
      </w:r>
    </w:p>
    <w:p w14:paraId="08574FDA" w14:textId="77777777" w:rsidR="00DF4DE6" w:rsidRDefault="001B2AC3" w:rsidP="00240AE0">
      <w:pPr>
        <w:spacing w:after="20" w:line="250" w:lineRule="auto"/>
        <w:ind w:left="500"/>
        <w:jc w:val="both"/>
      </w:pPr>
      <w:r>
        <w:rPr>
          <w:color w:val="333333"/>
          <w:sz w:val="18"/>
          <w:szCs w:val="18"/>
        </w:rPr>
        <w:t>3.2. La procédure d’avis consultatif auprès de la Cour européenne des droits de l’homme</w:t>
      </w:r>
    </w:p>
    <w:p w14:paraId="189F11D3" w14:textId="77777777" w:rsidR="00DF4DE6" w:rsidRDefault="001B2AC3" w:rsidP="00240AE0">
      <w:pPr>
        <w:spacing w:before="200" w:after="70"/>
        <w:jc w:val="both"/>
      </w:pPr>
      <w:r>
        <w:rPr>
          <w:b/>
          <w:bCs/>
          <w:color w:val="2E5A88"/>
          <w:spacing w:val="24"/>
          <w:sz w:val="17"/>
          <w:szCs w:val="17"/>
        </w:rPr>
        <w:t>RÉFÉRENCES CENTRALES</w:t>
      </w:r>
    </w:p>
    <w:p w14:paraId="297B84E6" w14:textId="77777777" w:rsidR="00DF4DE6" w:rsidRDefault="001B2AC3" w:rsidP="00240AE0">
      <w:pPr>
        <w:pStyle w:val="Paragraphedeliste"/>
        <w:numPr>
          <w:ilvl w:val="0"/>
          <w:numId w:val="2"/>
        </w:numPr>
        <w:spacing w:after="40" w:line="264" w:lineRule="auto"/>
        <w:jc w:val="both"/>
      </w:pPr>
      <w:r>
        <w:rPr>
          <w:color w:val="333333"/>
          <w:sz w:val="18"/>
          <w:szCs w:val="18"/>
        </w:rPr>
        <w:t xml:space="preserve">Cass. </w:t>
      </w:r>
      <w:proofErr w:type="spellStart"/>
      <w:proofErr w:type="gramStart"/>
      <w:r>
        <w:rPr>
          <w:color w:val="333333"/>
          <w:sz w:val="18"/>
          <w:szCs w:val="18"/>
        </w:rPr>
        <w:t>ass</w:t>
      </w:r>
      <w:proofErr w:type="spellEnd"/>
      <w:proofErr w:type="gramEnd"/>
      <w:r>
        <w:rPr>
          <w:color w:val="333333"/>
          <w:sz w:val="18"/>
          <w:szCs w:val="18"/>
        </w:rPr>
        <w:t xml:space="preserve">. </w:t>
      </w:r>
      <w:proofErr w:type="spellStart"/>
      <w:proofErr w:type="gramStart"/>
      <w:r>
        <w:rPr>
          <w:color w:val="333333"/>
          <w:sz w:val="18"/>
          <w:szCs w:val="18"/>
        </w:rPr>
        <w:t>plén</w:t>
      </w:r>
      <w:proofErr w:type="spellEnd"/>
      <w:proofErr w:type="gramEnd"/>
      <w:r>
        <w:rPr>
          <w:color w:val="333333"/>
          <w:sz w:val="18"/>
          <w:szCs w:val="18"/>
        </w:rPr>
        <w:t>., 15 avril 2011, nos 10-17.049, 10-30.242, 10-30.313 et 10- 30.316.</w:t>
      </w:r>
    </w:p>
    <w:p w14:paraId="02A63CB5" w14:textId="77777777" w:rsidR="00DF4DE6" w:rsidRDefault="001B2AC3" w:rsidP="00240AE0">
      <w:pPr>
        <w:pStyle w:val="Paragraphedeliste"/>
        <w:numPr>
          <w:ilvl w:val="0"/>
          <w:numId w:val="2"/>
        </w:numPr>
        <w:spacing w:after="40" w:line="264" w:lineRule="auto"/>
        <w:jc w:val="both"/>
      </w:pPr>
      <w:r>
        <w:rPr>
          <w:color w:val="333333"/>
          <w:sz w:val="18"/>
          <w:szCs w:val="18"/>
        </w:rPr>
        <w:t xml:space="preserve">Cass. </w:t>
      </w:r>
      <w:proofErr w:type="gramStart"/>
      <w:r>
        <w:rPr>
          <w:color w:val="333333"/>
          <w:sz w:val="18"/>
          <w:szCs w:val="18"/>
        </w:rPr>
        <w:t>mixte</w:t>
      </w:r>
      <w:proofErr w:type="gramEnd"/>
      <w:r>
        <w:rPr>
          <w:color w:val="333333"/>
          <w:sz w:val="18"/>
          <w:szCs w:val="18"/>
        </w:rPr>
        <w:t>, 24 mai 1975, Société des cafés Jacques Vabre, no 73-13.556.</w:t>
      </w:r>
    </w:p>
    <w:p w14:paraId="3E73945E" w14:textId="77777777" w:rsidR="00DF4DE6" w:rsidRDefault="001B2AC3" w:rsidP="00240AE0">
      <w:pPr>
        <w:pStyle w:val="Paragraphedeliste"/>
        <w:numPr>
          <w:ilvl w:val="0"/>
          <w:numId w:val="2"/>
        </w:numPr>
        <w:spacing w:after="40" w:line="264" w:lineRule="auto"/>
        <w:jc w:val="both"/>
      </w:pPr>
      <w:r>
        <w:rPr>
          <w:color w:val="333333"/>
          <w:sz w:val="18"/>
          <w:szCs w:val="18"/>
        </w:rPr>
        <w:t>Cass. civ. 3e, 6 mars 1996, Mel Yedei, no 93-11.113.</w:t>
      </w:r>
    </w:p>
    <w:p w14:paraId="730F9EDB" w14:textId="77777777" w:rsidR="00DF4DE6" w:rsidRDefault="001B2AC3" w:rsidP="00240AE0">
      <w:pPr>
        <w:pStyle w:val="Paragraphedeliste"/>
        <w:numPr>
          <w:ilvl w:val="0"/>
          <w:numId w:val="2"/>
        </w:numPr>
        <w:spacing w:after="40" w:line="264" w:lineRule="auto"/>
        <w:jc w:val="both"/>
      </w:pPr>
      <w:r>
        <w:rPr>
          <w:color w:val="333333"/>
          <w:sz w:val="18"/>
          <w:szCs w:val="18"/>
        </w:rPr>
        <w:t>Cass. civ. 1re, 4 décembre 2013, no 12-26.066.</w:t>
      </w:r>
    </w:p>
    <w:p w14:paraId="394E3E0E" w14:textId="77777777" w:rsidR="00DF4DE6" w:rsidRDefault="00DF4DE6" w:rsidP="00240AE0">
      <w:pPr>
        <w:pBdr>
          <w:top w:val="single" w:sz="6" w:space="0" w:color="C7D2E0"/>
        </w:pBdr>
        <w:spacing w:before="260" w:after="180"/>
        <w:jc w:val="both"/>
      </w:pPr>
    </w:p>
    <w:p w14:paraId="09AF7ABA"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18  ·</w:t>
      </w:r>
      <w:proofErr w:type="gramEnd"/>
      <w:r>
        <w:rPr>
          <w:b/>
          <w:bCs/>
          <w:color w:val="2E5A88"/>
          <w:sz w:val="22"/>
          <w:szCs w:val="22"/>
        </w:rPr>
        <w:t xml:space="preserve">  </w:t>
      </w:r>
      <w:r>
        <w:rPr>
          <w:rFonts w:ascii="Cambria" w:eastAsia="Cambria" w:hAnsi="Cambria" w:cs="Cambria"/>
          <w:b/>
          <w:bCs/>
          <w:color w:val="1F3864"/>
        </w:rPr>
        <w:t>La protection par le juge administratif</w:t>
      </w:r>
    </w:p>
    <w:p w14:paraId="2C03EAAB" w14:textId="77777777" w:rsidR="00DF4DE6" w:rsidRDefault="001B2AC3" w:rsidP="00240AE0">
      <w:pPr>
        <w:spacing w:after="120"/>
        <w:jc w:val="both"/>
      </w:pPr>
      <w:r>
        <w:rPr>
          <w:i/>
          <w:iCs/>
          <w:color w:val="595959"/>
          <w:sz w:val="17"/>
          <w:szCs w:val="17"/>
        </w:rPr>
        <w:t>Fascicule, p. 177</w:t>
      </w:r>
    </w:p>
    <w:p w14:paraId="2D4E6555" w14:textId="77777777" w:rsidR="00DF4DE6" w:rsidRDefault="001B2AC3" w:rsidP="00240AE0">
      <w:pPr>
        <w:spacing w:before="200" w:after="70"/>
        <w:jc w:val="both"/>
      </w:pPr>
      <w:r>
        <w:rPr>
          <w:b/>
          <w:bCs/>
          <w:color w:val="2E5A88"/>
          <w:spacing w:val="24"/>
          <w:sz w:val="17"/>
          <w:szCs w:val="17"/>
        </w:rPr>
        <w:t>IDÉE DIRECTRICE</w:t>
      </w:r>
    </w:p>
    <w:p w14:paraId="33924519" w14:textId="77777777" w:rsidR="00DF4DE6" w:rsidRDefault="001B2AC3" w:rsidP="00240AE0">
      <w:pPr>
        <w:spacing w:after="60" w:line="276" w:lineRule="auto"/>
        <w:jc w:val="both"/>
      </w:pPr>
      <w:r>
        <w:t>Le juge administratif, devenu lui aussi juge des libertés. La fiche justifie d'abord l'intérêt de la dualité juridictionnelle (débat Louvel), puis présente les instruments : recours pour excès de pouvoir devenu subjectif, référés et surtout référé-liberté, contrôle de conventionnalité. Elle se termine sur l'élargissement de la justiciabilité : mesures d'ordre intérieur et actes de droit souple.</w:t>
      </w:r>
    </w:p>
    <w:p w14:paraId="0D71940C" w14:textId="77777777" w:rsidR="00DF4DE6" w:rsidRDefault="001B2AC3" w:rsidP="00240AE0">
      <w:pPr>
        <w:spacing w:before="200" w:after="70"/>
        <w:jc w:val="both"/>
      </w:pPr>
      <w:r>
        <w:rPr>
          <w:b/>
          <w:bCs/>
          <w:color w:val="2E5A88"/>
          <w:spacing w:val="24"/>
          <w:sz w:val="17"/>
          <w:szCs w:val="17"/>
        </w:rPr>
        <w:t>POINTS CLÉS (ENCADRÉ DU FASCICULE)</w:t>
      </w:r>
    </w:p>
    <w:p w14:paraId="59493A2B" w14:textId="77777777" w:rsidR="00DF4DE6" w:rsidRDefault="001B2AC3" w:rsidP="00240AE0">
      <w:pPr>
        <w:pStyle w:val="Paragraphedeliste"/>
        <w:numPr>
          <w:ilvl w:val="0"/>
          <w:numId w:val="2"/>
        </w:numPr>
        <w:spacing w:after="40" w:line="264" w:lineRule="auto"/>
        <w:jc w:val="both"/>
      </w:pPr>
      <w:r>
        <w:rPr>
          <w:color w:val="1A1A1A"/>
          <w:sz w:val="19"/>
          <w:szCs w:val="19"/>
        </w:rPr>
        <w:t>Traditionnellement, la protection des libertés est confiée à l’autorité judiciaire par application extensive de l’article 66 de la Constitution.</w:t>
      </w:r>
    </w:p>
    <w:p w14:paraId="69496B18" w14:textId="77777777" w:rsidR="00DF4DE6" w:rsidRDefault="001B2AC3" w:rsidP="00240AE0">
      <w:pPr>
        <w:pStyle w:val="Paragraphedeliste"/>
        <w:numPr>
          <w:ilvl w:val="0"/>
          <w:numId w:val="2"/>
        </w:numPr>
        <w:spacing w:after="40" w:line="264" w:lineRule="auto"/>
        <w:jc w:val="both"/>
      </w:pPr>
      <w:r>
        <w:rPr>
          <w:color w:val="1A1A1A"/>
          <w:sz w:val="19"/>
          <w:szCs w:val="19"/>
        </w:rPr>
        <w:lastRenderedPageBreak/>
        <w:t>Cependant, le juge administratif a développé son office autour de la protection des libertés.</w:t>
      </w:r>
    </w:p>
    <w:p w14:paraId="409E7201" w14:textId="77777777" w:rsidR="00DF4DE6" w:rsidRDefault="001B2AC3" w:rsidP="00240AE0">
      <w:pPr>
        <w:pStyle w:val="Paragraphedeliste"/>
        <w:numPr>
          <w:ilvl w:val="0"/>
          <w:numId w:val="2"/>
        </w:numPr>
        <w:spacing w:after="40" w:line="264" w:lineRule="auto"/>
        <w:jc w:val="both"/>
      </w:pPr>
      <w:r>
        <w:rPr>
          <w:color w:val="1A1A1A"/>
          <w:sz w:val="19"/>
          <w:szCs w:val="19"/>
        </w:rPr>
        <w:t>Grâce à différentes lois, il s’est doté de pouvoirs destinés à rendre plus effectif le contrôle : injonction, référé.</w:t>
      </w:r>
    </w:p>
    <w:p w14:paraId="198854A0" w14:textId="77777777" w:rsidR="00DF4DE6" w:rsidRDefault="001B2AC3" w:rsidP="00240AE0">
      <w:pPr>
        <w:pStyle w:val="Paragraphedeliste"/>
        <w:numPr>
          <w:ilvl w:val="0"/>
          <w:numId w:val="2"/>
        </w:numPr>
        <w:spacing w:after="40" w:line="264" w:lineRule="auto"/>
        <w:jc w:val="both"/>
      </w:pPr>
      <w:r>
        <w:rPr>
          <w:color w:val="1A1A1A"/>
          <w:sz w:val="19"/>
          <w:szCs w:val="19"/>
        </w:rPr>
        <w:t>Par sa jurisprudence, il a développé son contrôle afin de garantir davantage de libertés et de droits. À plusieurs reprises, l’ancien premier président de la Cour de cassation Bertrand Louvel a remis en cause la pertinence d’un maintien de la dualité juridictionnelle.</w:t>
      </w:r>
    </w:p>
    <w:p w14:paraId="1E2343D0" w14:textId="77777777" w:rsidR="00DF4DE6" w:rsidRDefault="001B2AC3" w:rsidP="00240AE0">
      <w:pPr>
        <w:spacing w:before="200" w:after="70"/>
        <w:jc w:val="both"/>
      </w:pPr>
      <w:r>
        <w:rPr>
          <w:b/>
          <w:bCs/>
          <w:color w:val="2E5A88"/>
          <w:spacing w:val="24"/>
          <w:sz w:val="17"/>
          <w:szCs w:val="17"/>
        </w:rPr>
        <w:t>PLAN DE LA FICHE</w:t>
      </w:r>
    </w:p>
    <w:p w14:paraId="49ED3331" w14:textId="77777777" w:rsidR="00DF4DE6" w:rsidRDefault="001B2AC3" w:rsidP="00240AE0">
      <w:pPr>
        <w:spacing w:after="20" w:line="250" w:lineRule="auto"/>
        <w:ind w:left="240"/>
        <w:jc w:val="both"/>
      </w:pPr>
      <w:r>
        <w:rPr>
          <w:b/>
          <w:bCs/>
          <w:color w:val="1F3864"/>
          <w:sz w:val="19"/>
          <w:szCs w:val="19"/>
        </w:rPr>
        <w:t>1. L’intérêt de la dualité juridictionnelle pour la protection des libertés</w:t>
      </w:r>
    </w:p>
    <w:p w14:paraId="2BD1B438" w14:textId="77777777" w:rsidR="00DF4DE6" w:rsidRDefault="001B2AC3" w:rsidP="00240AE0">
      <w:pPr>
        <w:spacing w:after="20" w:line="250" w:lineRule="auto"/>
        <w:ind w:left="240"/>
        <w:jc w:val="both"/>
      </w:pPr>
      <w:r>
        <w:rPr>
          <w:b/>
          <w:bCs/>
          <w:color w:val="1F3864"/>
          <w:sz w:val="19"/>
          <w:szCs w:val="19"/>
        </w:rPr>
        <w:t>2. Les instruments du juge administratif pour protéger les libertés</w:t>
      </w:r>
    </w:p>
    <w:p w14:paraId="26FBA4E2" w14:textId="77777777" w:rsidR="00DF4DE6" w:rsidRDefault="001B2AC3" w:rsidP="00240AE0">
      <w:pPr>
        <w:spacing w:after="20" w:line="250" w:lineRule="auto"/>
        <w:ind w:left="500"/>
        <w:jc w:val="both"/>
      </w:pPr>
      <w:r>
        <w:rPr>
          <w:color w:val="333333"/>
          <w:sz w:val="18"/>
          <w:szCs w:val="18"/>
        </w:rPr>
        <w:t>2.1. Le recours pour excès de pouvoir</w:t>
      </w:r>
    </w:p>
    <w:p w14:paraId="1EF13218" w14:textId="77777777" w:rsidR="00DF4DE6" w:rsidRDefault="001B2AC3" w:rsidP="00240AE0">
      <w:pPr>
        <w:spacing w:after="20" w:line="250" w:lineRule="auto"/>
        <w:ind w:left="760"/>
        <w:jc w:val="both"/>
      </w:pPr>
      <w:r>
        <w:rPr>
          <w:color w:val="595959"/>
          <w:sz w:val="18"/>
          <w:szCs w:val="18"/>
        </w:rPr>
        <w:t>2.1.1. Un recours objectif : la protection de la légalité</w:t>
      </w:r>
    </w:p>
    <w:p w14:paraId="261B7AD8" w14:textId="77777777" w:rsidR="00DF4DE6" w:rsidRDefault="001B2AC3" w:rsidP="00240AE0">
      <w:pPr>
        <w:spacing w:after="20" w:line="250" w:lineRule="auto"/>
        <w:ind w:left="760"/>
        <w:jc w:val="both"/>
      </w:pPr>
      <w:r>
        <w:rPr>
          <w:color w:val="595959"/>
          <w:sz w:val="18"/>
          <w:szCs w:val="18"/>
        </w:rPr>
        <w:t>2.1.2. Un recours devenu subjectif : l’intégration des droits</w:t>
      </w:r>
    </w:p>
    <w:p w14:paraId="074465D2" w14:textId="77777777" w:rsidR="00DF4DE6" w:rsidRDefault="001B2AC3" w:rsidP="00240AE0">
      <w:pPr>
        <w:spacing w:after="20" w:line="250" w:lineRule="auto"/>
        <w:ind w:left="500"/>
        <w:jc w:val="both"/>
      </w:pPr>
      <w:r>
        <w:rPr>
          <w:color w:val="333333"/>
          <w:sz w:val="18"/>
          <w:szCs w:val="18"/>
        </w:rPr>
        <w:t>2.2. Les référés</w:t>
      </w:r>
    </w:p>
    <w:p w14:paraId="6602E95A" w14:textId="77777777" w:rsidR="00DF4DE6" w:rsidRDefault="001B2AC3" w:rsidP="00240AE0">
      <w:pPr>
        <w:spacing w:after="20" w:line="250" w:lineRule="auto"/>
        <w:ind w:left="760"/>
        <w:jc w:val="both"/>
      </w:pPr>
      <w:r>
        <w:rPr>
          <w:color w:val="595959"/>
          <w:sz w:val="18"/>
          <w:szCs w:val="18"/>
        </w:rPr>
        <w:t>2.2.1. Le référé-liberté</w:t>
      </w:r>
    </w:p>
    <w:p w14:paraId="18BF0727" w14:textId="77777777" w:rsidR="00DF4DE6" w:rsidRDefault="001B2AC3" w:rsidP="00240AE0">
      <w:pPr>
        <w:spacing w:after="20" w:line="250" w:lineRule="auto"/>
        <w:ind w:left="500"/>
        <w:jc w:val="both"/>
      </w:pPr>
      <w:r>
        <w:rPr>
          <w:color w:val="333333"/>
          <w:sz w:val="18"/>
          <w:szCs w:val="18"/>
        </w:rPr>
        <w:t>2.3. Le contrôle de conventionnalité</w:t>
      </w:r>
    </w:p>
    <w:p w14:paraId="73821465" w14:textId="77777777" w:rsidR="00DF4DE6" w:rsidRDefault="001B2AC3" w:rsidP="00240AE0">
      <w:pPr>
        <w:spacing w:after="20" w:line="250" w:lineRule="auto"/>
        <w:ind w:left="240"/>
        <w:jc w:val="both"/>
      </w:pPr>
      <w:r>
        <w:rPr>
          <w:b/>
          <w:bCs/>
          <w:color w:val="1F3864"/>
          <w:sz w:val="19"/>
          <w:szCs w:val="19"/>
        </w:rPr>
        <w:t>3. L’évolution de la protection : la meilleure justiciabilité des actes</w:t>
      </w:r>
    </w:p>
    <w:p w14:paraId="60554D7E" w14:textId="77777777" w:rsidR="00DF4DE6" w:rsidRDefault="001B2AC3" w:rsidP="00240AE0">
      <w:pPr>
        <w:spacing w:after="20" w:line="250" w:lineRule="auto"/>
        <w:ind w:left="500"/>
        <w:jc w:val="both"/>
      </w:pPr>
      <w:r>
        <w:rPr>
          <w:color w:val="333333"/>
          <w:sz w:val="18"/>
          <w:szCs w:val="18"/>
        </w:rPr>
        <w:t>3.1. Les mesures d’ordre intérieur</w:t>
      </w:r>
    </w:p>
    <w:p w14:paraId="438ABCB4" w14:textId="77777777" w:rsidR="00DF4DE6" w:rsidRDefault="001B2AC3" w:rsidP="00240AE0">
      <w:pPr>
        <w:spacing w:after="20" w:line="250" w:lineRule="auto"/>
        <w:ind w:left="500"/>
        <w:jc w:val="both"/>
      </w:pPr>
      <w:r>
        <w:rPr>
          <w:color w:val="333333"/>
          <w:sz w:val="18"/>
          <w:szCs w:val="18"/>
        </w:rPr>
        <w:t>3.2. Les actes de droit souple</w:t>
      </w:r>
    </w:p>
    <w:p w14:paraId="3C762EBE" w14:textId="77777777" w:rsidR="00DF4DE6" w:rsidRDefault="001B2AC3" w:rsidP="00240AE0">
      <w:pPr>
        <w:spacing w:before="200" w:after="70"/>
        <w:jc w:val="both"/>
      </w:pPr>
      <w:r>
        <w:rPr>
          <w:b/>
          <w:bCs/>
          <w:color w:val="2E5A88"/>
          <w:spacing w:val="24"/>
          <w:sz w:val="17"/>
          <w:szCs w:val="17"/>
        </w:rPr>
        <w:t>RÉFÉRENCES CENTRALES</w:t>
      </w:r>
    </w:p>
    <w:p w14:paraId="1CEBF156" w14:textId="77777777" w:rsidR="00DF4DE6" w:rsidRDefault="001B2AC3" w:rsidP="00240AE0">
      <w:pPr>
        <w:pStyle w:val="Paragraphedeliste"/>
        <w:numPr>
          <w:ilvl w:val="0"/>
          <w:numId w:val="2"/>
        </w:numPr>
        <w:spacing w:after="40" w:line="264" w:lineRule="auto"/>
        <w:jc w:val="both"/>
      </w:pPr>
      <w:r>
        <w:rPr>
          <w:color w:val="333333"/>
          <w:sz w:val="18"/>
          <w:szCs w:val="18"/>
        </w:rPr>
        <w:t>Loi des 16-24 août 1790</w:t>
      </w:r>
    </w:p>
    <w:p w14:paraId="22964091" w14:textId="77777777" w:rsidR="00DF4DE6" w:rsidRDefault="001B2AC3" w:rsidP="00240AE0">
      <w:pPr>
        <w:pStyle w:val="Paragraphedeliste"/>
        <w:numPr>
          <w:ilvl w:val="0"/>
          <w:numId w:val="2"/>
        </w:numPr>
        <w:spacing w:after="40" w:line="264" w:lineRule="auto"/>
        <w:jc w:val="both"/>
      </w:pPr>
      <w:r>
        <w:rPr>
          <w:color w:val="333333"/>
          <w:sz w:val="18"/>
          <w:szCs w:val="18"/>
        </w:rPr>
        <w:t>Article 66 de la Constitution de 1958</w:t>
      </w:r>
    </w:p>
    <w:p w14:paraId="7937C9B9"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décision no 80-119 DC, 22 juillet 1980, Loi portant validation d’actes administratifs</w:t>
      </w:r>
    </w:p>
    <w:p w14:paraId="6C42B03F" w14:textId="77777777" w:rsidR="00DF4DE6" w:rsidRDefault="001B2AC3" w:rsidP="00240AE0">
      <w:pPr>
        <w:pStyle w:val="Paragraphedeliste"/>
        <w:numPr>
          <w:ilvl w:val="0"/>
          <w:numId w:val="2"/>
        </w:numPr>
        <w:spacing w:after="40" w:line="264" w:lineRule="auto"/>
        <w:jc w:val="both"/>
      </w:pPr>
      <w:r>
        <w:rPr>
          <w:color w:val="333333"/>
          <w:sz w:val="18"/>
          <w:szCs w:val="18"/>
        </w:rPr>
        <w:t>CE, 17 février 1950, ministre de l’Agriculture c/ Dame Lamotte, no 86949</w:t>
      </w:r>
    </w:p>
    <w:p w14:paraId="55704C42" w14:textId="77777777" w:rsidR="00DF4DE6" w:rsidRDefault="001B2AC3" w:rsidP="00240AE0">
      <w:pPr>
        <w:pStyle w:val="Paragraphedeliste"/>
        <w:numPr>
          <w:ilvl w:val="0"/>
          <w:numId w:val="2"/>
        </w:numPr>
        <w:spacing w:after="40" w:line="264" w:lineRule="auto"/>
        <w:jc w:val="both"/>
      </w:pPr>
      <w:r>
        <w:rPr>
          <w:color w:val="333333"/>
          <w:sz w:val="18"/>
          <w:szCs w:val="18"/>
        </w:rPr>
        <w:t>Loi no 2000-597 du 30 juin 2000 relative au référé devant les juridictions administratives</w:t>
      </w:r>
    </w:p>
    <w:p w14:paraId="502A650E" w14:textId="77777777" w:rsidR="00DF4DE6" w:rsidRDefault="00DF4DE6" w:rsidP="00240AE0">
      <w:pPr>
        <w:pBdr>
          <w:top w:val="single" w:sz="6" w:space="0" w:color="C7D2E0"/>
        </w:pBdr>
        <w:spacing w:before="260" w:after="180"/>
        <w:jc w:val="both"/>
      </w:pPr>
    </w:p>
    <w:p w14:paraId="0573A534"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19  ·</w:t>
      </w:r>
      <w:proofErr w:type="gramEnd"/>
      <w:r>
        <w:rPr>
          <w:b/>
          <w:bCs/>
          <w:color w:val="2E5A88"/>
          <w:sz w:val="22"/>
          <w:szCs w:val="22"/>
        </w:rPr>
        <w:t xml:space="preserve">  </w:t>
      </w:r>
      <w:r>
        <w:rPr>
          <w:rFonts w:ascii="Cambria" w:eastAsia="Cambria" w:hAnsi="Cambria" w:cs="Cambria"/>
          <w:b/>
          <w:bCs/>
          <w:color w:val="1F3864"/>
        </w:rPr>
        <w:t>Les dérogations au principe de séparation des autorités</w:t>
      </w:r>
    </w:p>
    <w:p w14:paraId="40956A92" w14:textId="77777777" w:rsidR="00DF4DE6" w:rsidRDefault="001B2AC3" w:rsidP="00240AE0">
      <w:pPr>
        <w:spacing w:after="120"/>
        <w:jc w:val="both"/>
      </w:pPr>
      <w:r>
        <w:rPr>
          <w:i/>
          <w:iCs/>
          <w:color w:val="595959"/>
          <w:sz w:val="17"/>
          <w:szCs w:val="17"/>
        </w:rPr>
        <w:t>Fascicule, p. 188</w:t>
      </w:r>
    </w:p>
    <w:p w14:paraId="3F264319" w14:textId="77777777" w:rsidR="00DF4DE6" w:rsidRDefault="001B2AC3" w:rsidP="00240AE0">
      <w:pPr>
        <w:spacing w:before="200" w:after="70"/>
        <w:jc w:val="both"/>
      </w:pPr>
      <w:r>
        <w:rPr>
          <w:b/>
          <w:bCs/>
          <w:color w:val="2E5A88"/>
          <w:spacing w:val="24"/>
          <w:sz w:val="17"/>
          <w:szCs w:val="17"/>
        </w:rPr>
        <w:t>IDÉE DIRECTRICE</w:t>
      </w:r>
    </w:p>
    <w:p w14:paraId="39E8EAAD" w14:textId="77777777" w:rsidR="00DF4DE6" w:rsidRDefault="001B2AC3" w:rsidP="00240AE0">
      <w:pPr>
        <w:spacing w:after="60" w:line="276" w:lineRule="auto"/>
        <w:jc w:val="both"/>
      </w:pPr>
      <w:r>
        <w:t>Fiche de frontières. Fondements du dualisme juridictionnel, rôle d'arbitre du Tribunal des conflits, puis les cas où l'autorité judiciaire reprend la main : expropriation pour cause d'utilité publique, voie de fait, emprise irrégulière, reconduite des étrangers à la frontière. Elle se termine sur le juge judiciaire face aux actes administratifs.</w:t>
      </w:r>
    </w:p>
    <w:p w14:paraId="377FCB76" w14:textId="77777777" w:rsidR="00DF4DE6" w:rsidRDefault="001B2AC3" w:rsidP="00240AE0">
      <w:pPr>
        <w:spacing w:before="200" w:after="70"/>
        <w:jc w:val="both"/>
      </w:pPr>
      <w:r>
        <w:rPr>
          <w:b/>
          <w:bCs/>
          <w:color w:val="2E5A88"/>
          <w:spacing w:val="24"/>
          <w:sz w:val="17"/>
          <w:szCs w:val="17"/>
        </w:rPr>
        <w:t>POINTS CLÉS (ENCADRÉ DU FASCICULE)</w:t>
      </w:r>
    </w:p>
    <w:p w14:paraId="3CAD34D3" w14:textId="77777777" w:rsidR="00DF4DE6" w:rsidRDefault="001B2AC3" w:rsidP="00240AE0">
      <w:pPr>
        <w:pStyle w:val="Paragraphedeliste"/>
        <w:numPr>
          <w:ilvl w:val="0"/>
          <w:numId w:val="2"/>
        </w:numPr>
        <w:spacing w:after="40" w:line="264" w:lineRule="auto"/>
        <w:jc w:val="both"/>
      </w:pPr>
      <w:r>
        <w:rPr>
          <w:color w:val="1A1A1A"/>
          <w:sz w:val="19"/>
          <w:szCs w:val="19"/>
        </w:rPr>
        <w:t>Tribunal des conflits.</w:t>
      </w:r>
    </w:p>
    <w:p w14:paraId="5BD05D04" w14:textId="77777777" w:rsidR="00DF4DE6" w:rsidRDefault="001B2AC3" w:rsidP="00240AE0">
      <w:pPr>
        <w:pStyle w:val="Paragraphedeliste"/>
        <w:numPr>
          <w:ilvl w:val="0"/>
          <w:numId w:val="2"/>
        </w:numPr>
        <w:spacing w:after="40" w:line="264" w:lineRule="auto"/>
        <w:jc w:val="both"/>
      </w:pPr>
      <w:r>
        <w:rPr>
          <w:color w:val="1A1A1A"/>
          <w:sz w:val="19"/>
          <w:szCs w:val="19"/>
        </w:rPr>
        <w:t>Expropriation pour cause d’utilité publique.</w:t>
      </w:r>
    </w:p>
    <w:p w14:paraId="638D3E8A" w14:textId="77777777" w:rsidR="00DF4DE6" w:rsidRDefault="001B2AC3" w:rsidP="00240AE0">
      <w:pPr>
        <w:pStyle w:val="Paragraphedeliste"/>
        <w:numPr>
          <w:ilvl w:val="0"/>
          <w:numId w:val="2"/>
        </w:numPr>
        <w:spacing w:after="40" w:line="264" w:lineRule="auto"/>
        <w:jc w:val="both"/>
      </w:pPr>
      <w:r>
        <w:rPr>
          <w:color w:val="1A1A1A"/>
          <w:sz w:val="19"/>
          <w:szCs w:val="19"/>
        </w:rPr>
        <w:t>Voie de fait.</w:t>
      </w:r>
    </w:p>
    <w:p w14:paraId="3CA5170A" w14:textId="77777777" w:rsidR="00DF4DE6" w:rsidRDefault="001B2AC3" w:rsidP="00240AE0">
      <w:pPr>
        <w:pStyle w:val="Paragraphedeliste"/>
        <w:numPr>
          <w:ilvl w:val="0"/>
          <w:numId w:val="2"/>
        </w:numPr>
        <w:spacing w:after="40" w:line="264" w:lineRule="auto"/>
        <w:jc w:val="both"/>
      </w:pPr>
      <w:r>
        <w:rPr>
          <w:color w:val="1A1A1A"/>
          <w:sz w:val="19"/>
          <w:szCs w:val="19"/>
        </w:rPr>
        <w:t>Emprise irrégulière.</w:t>
      </w:r>
    </w:p>
    <w:p w14:paraId="2471AB7C" w14:textId="77777777" w:rsidR="00DF4DE6" w:rsidRDefault="001B2AC3" w:rsidP="00240AE0">
      <w:pPr>
        <w:pStyle w:val="Paragraphedeliste"/>
        <w:numPr>
          <w:ilvl w:val="0"/>
          <w:numId w:val="2"/>
        </w:numPr>
        <w:spacing w:after="40" w:line="264" w:lineRule="auto"/>
        <w:jc w:val="both"/>
      </w:pPr>
      <w:r>
        <w:rPr>
          <w:color w:val="1A1A1A"/>
          <w:sz w:val="19"/>
          <w:szCs w:val="19"/>
        </w:rPr>
        <w:t>Juge judiciaire et actes administratifs.</w:t>
      </w:r>
    </w:p>
    <w:p w14:paraId="37CC6726" w14:textId="77777777" w:rsidR="00DF4DE6" w:rsidRDefault="001B2AC3" w:rsidP="00240AE0">
      <w:pPr>
        <w:pStyle w:val="Paragraphedeliste"/>
        <w:numPr>
          <w:ilvl w:val="0"/>
          <w:numId w:val="2"/>
        </w:numPr>
        <w:spacing w:after="40" w:line="264" w:lineRule="auto"/>
        <w:jc w:val="both"/>
      </w:pPr>
      <w:r>
        <w:rPr>
          <w:color w:val="1A1A1A"/>
          <w:sz w:val="19"/>
          <w:szCs w:val="19"/>
        </w:rPr>
        <w:t>Contentieux de reconduite des étrangers à la frontière.</w:t>
      </w:r>
    </w:p>
    <w:p w14:paraId="379DF200" w14:textId="77777777" w:rsidR="00DF4DE6" w:rsidRDefault="001B2AC3" w:rsidP="00240AE0">
      <w:pPr>
        <w:spacing w:before="200" w:after="70"/>
        <w:jc w:val="both"/>
      </w:pPr>
      <w:r>
        <w:rPr>
          <w:b/>
          <w:bCs/>
          <w:color w:val="2E5A88"/>
          <w:spacing w:val="24"/>
          <w:sz w:val="17"/>
          <w:szCs w:val="17"/>
        </w:rPr>
        <w:t>PLAN DE LA FICHE</w:t>
      </w:r>
    </w:p>
    <w:p w14:paraId="4159B1A2" w14:textId="77777777" w:rsidR="00DF4DE6" w:rsidRDefault="001B2AC3" w:rsidP="00240AE0">
      <w:pPr>
        <w:spacing w:after="20" w:line="250" w:lineRule="auto"/>
        <w:ind w:left="240"/>
        <w:jc w:val="both"/>
      </w:pPr>
      <w:r>
        <w:rPr>
          <w:b/>
          <w:bCs/>
          <w:color w:val="1F3864"/>
          <w:sz w:val="19"/>
          <w:szCs w:val="19"/>
        </w:rPr>
        <w:t>1. Les fondements du dualisme juridictionnel</w:t>
      </w:r>
    </w:p>
    <w:p w14:paraId="29006035" w14:textId="77777777" w:rsidR="00DF4DE6" w:rsidRDefault="001B2AC3" w:rsidP="00240AE0">
      <w:pPr>
        <w:spacing w:after="20" w:line="250" w:lineRule="auto"/>
        <w:ind w:left="240"/>
        <w:jc w:val="both"/>
      </w:pPr>
      <w:r>
        <w:rPr>
          <w:b/>
          <w:bCs/>
          <w:color w:val="1F3864"/>
          <w:sz w:val="19"/>
          <w:szCs w:val="19"/>
        </w:rPr>
        <w:t>2. Le rôle du Tribunal des conflits en cas de situations conflictuelles de compétences</w:t>
      </w:r>
    </w:p>
    <w:p w14:paraId="0E778841" w14:textId="77777777" w:rsidR="00DF4DE6" w:rsidRDefault="001B2AC3" w:rsidP="00240AE0">
      <w:pPr>
        <w:spacing w:after="20" w:line="250" w:lineRule="auto"/>
        <w:ind w:left="240"/>
        <w:jc w:val="both"/>
      </w:pPr>
      <w:r>
        <w:rPr>
          <w:b/>
          <w:bCs/>
          <w:color w:val="1F3864"/>
          <w:sz w:val="19"/>
          <w:szCs w:val="19"/>
        </w:rPr>
        <w:t>3. L’autorité judiciaire gardienne de la propriété privée immobilière et de la liberté individuelle</w:t>
      </w:r>
    </w:p>
    <w:p w14:paraId="1AB2E588" w14:textId="77777777" w:rsidR="00DF4DE6" w:rsidRDefault="001B2AC3" w:rsidP="00240AE0">
      <w:pPr>
        <w:spacing w:after="20" w:line="250" w:lineRule="auto"/>
        <w:ind w:left="500"/>
        <w:jc w:val="both"/>
      </w:pPr>
      <w:r>
        <w:rPr>
          <w:color w:val="333333"/>
          <w:sz w:val="18"/>
          <w:szCs w:val="18"/>
        </w:rPr>
        <w:t>3.1. Les compétences juridictionnelles dans le cadre du contentieux de l’expropriation pour cause d’utilité publique</w:t>
      </w:r>
    </w:p>
    <w:p w14:paraId="5C1C438F" w14:textId="77777777" w:rsidR="00DF4DE6" w:rsidRDefault="001B2AC3" w:rsidP="00240AE0">
      <w:pPr>
        <w:spacing w:after="20" w:line="250" w:lineRule="auto"/>
        <w:ind w:left="500"/>
        <w:jc w:val="both"/>
      </w:pPr>
      <w:r>
        <w:rPr>
          <w:color w:val="333333"/>
          <w:sz w:val="18"/>
          <w:szCs w:val="18"/>
        </w:rPr>
        <w:t>3.2. La compétence juridictionnelle en cas de voie de fait</w:t>
      </w:r>
    </w:p>
    <w:p w14:paraId="4358A4C8" w14:textId="77777777" w:rsidR="00DF4DE6" w:rsidRDefault="001B2AC3" w:rsidP="00240AE0">
      <w:pPr>
        <w:spacing w:after="20" w:line="250" w:lineRule="auto"/>
        <w:ind w:left="500"/>
        <w:jc w:val="both"/>
      </w:pPr>
      <w:r>
        <w:rPr>
          <w:color w:val="333333"/>
          <w:sz w:val="18"/>
          <w:szCs w:val="18"/>
        </w:rPr>
        <w:t>3.3. L’emprise irrégulière</w:t>
      </w:r>
    </w:p>
    <w:p w14:paraId="3AB672B6" w14:textId="77777777" w:rsidR="00DF4DE6" w:rsidRDefault="001B2AC3" w:rsidP="00240AE0">
      <w:pPr>
        <w:spacing w:after="20" w:line="250" w:lineRule="auto"/>
        <w:ind w:left="500"/>
        <w:jc w:val="both"/>
      </w:pPr>
      <w:r>
        <w:rPr>
          <w:color w:val="333333"/>
          <w:sz w:val="18"/>
          <w:szCs w:val="18"/>
        </w:rPr>
        <w:t>3.4. Le contentieux de la reconduite des étrangers à la frontière</w:t>
      </w:r>
    </w:p>
    <w:p w14:paraId="045B72BB" w14:textId="77777777" w:rsidR="00DF4DE6" w:rsidRDefault="001B2AC3" w:rsidP="00240AE0">
      <w:pPr>
        <w:spacing w:after="20" w:line="250" w:lineRule="auto"/>
        <w:ind w:left="240"/>
        <w:jc w:val="both"/>
      </w:pPr>
      <w:r>
        <w:rPr>
          <w:b/>
          <w:bCs/>
          <w:color w:val="1F3864"/>
          <w:sz w:val="19"/>
          <w:szCs w:val="19"/>
        </w:rPr>
        <w:t>4. Le juge judiciaire et les actes administratifs</w:t>
      </w:r>
    </w:p>
    <w:p w14:paraId="434D35C4" w14:textId="77777777" w:rsidR="00DF4DE6" w:rsidRDefault="001B2AC3" w:rsidP="00240AE0">
      <w:pPr>
        <w:spacing w:before="200" w:after="70"/>
        <w:jc w:val="both"/>
      </w:pPr>
      <w:r>
        <w:rPr>
          <w:b/>
          <w:bCs/>
          <w:color w:val="2E5A88"/>
          <w:spacing w:val="24"/>
          <w:sz w:val="17"/>
          <w:szCs w:val="17"/>
        </w:rPr>
        <w:lastRenderedPageBreak/>
        <w:t>RÉFÉRENCES CENTRALES</w:t>
      </w:r>
    </w:p>
    <w:p w14:paraId="04148523" w14:textId="77777777" w:rsidR="00DF4DE6" w:rsidRDefault="001B2AC3" w:rsidP="00240AE0">
      <w:pPr>
        <w:pStyle w:val="Paragraphedeliste"/>
        <w:numPr>
          <w:ilvl w:val="0"/>
          <w:numId w:val="2"/>
        </w:numPr>
        <w:spacing w:after="40" w:line="264" w:lineRule="auto"/>
        <w:jc w:val="both"/>
      </w:pPr>
      <w:r>
        <w:rPr>
          <w:color w:val="333333"/>
          <w:sz w:val="18"/>
          <w:szCs w:val="18"/>
        </w:rPr>
        <w:t>Article 66 de la Constitution.</w:t>
      </w:r>
    </w:p>
    <w:p w14:paraId="22443688" w14:textId="77777777" w:rsidR="00DF4DE6" w:rsidRDefault="001B2AC3" w:rsidP="00240AE0">
      <w:pPr>
        <w:pStyle w:val="Paragraphedeliste"/>
        <w:numPr>
          <w:ilvl w:val="0"/>
          <w:numId w:val="2"/>
        </w:numPr>
        <w:spacing w:after="40" w:line="264" w:lineRule="auto"/>
        <w:jc w:val="both"/>
      </w:pPr>
      <w:r>
        <w:rPr>
          <w:color w:val="333333"/>
          <w:sz w:val="18"/>
          <w:szCs w:val="18"/>
        </w:rPr>
        <w:t>Article 2, 17 Déclaration des droits de l’homme et du citoyen.</w:t>
      </w:r>
    </w:p>
    <w:p w14:paraId="2DECB655" w14:textId="77777777" w:rsidR="00DF4DE6" w:rsidRDefault="001B2AC3" w:rsidP="00240AE0">
      <w:pPr>
        <w:pStyle w:val="Paragraphedeliste"/>
        <w:numPr>
          <w:ilvl w:val="0"/>
          <w:numId w:val="2"/>
        </w:numPr>
        <w:spacing w:after="40" w:line="264" w:lineRule="auto"/>
        <w:jc w:val="both"/>
      </w:pPr>
      <w:r>
        <w:rPr>
          <w:color w:val="333333"/>
          <w:sz w:val="18"/>
          <w:szCs w:val="18"/>
        </w:rPr>
        <w:t>Loi des 16 et 24 août 1790 sur l’organisation judiciaire.</w:t>
      </w:r>
    </w:p>
    <w:p w14:paraId="6D1B93D2" w14:textId="77777777" w:rsidR="00DF4DE6" w:rsidRDefault="001B2AC3" w:rsidP="00240AE0">
      <w:pPr>
        <w:pStyle w:val="Paragraphedeliste"/>
        <w:numPr>
          <w:ilvl w:val="0"/>
          <w:numId w:val="2"/>
        </w:numPr>
        <w:spacing w:after="40" w:line="264" w:lineRule="auto"/>
        <w:jc w:val="both"/>
      </w:pPr>
      <w:r>
        <w:rPr>
          <w:color w:val="333333"/>
          <w:sz w:val="18"/>
          <w:szCs w:val="18"/>
        </w:rPr>
        <w:t xml:space="preserve">T. </w:t>
      </w:r>
      <w:proofErr w:type="spellStart"/>
      <w:r>
        <w:rPr>
          <w:color w:val="333333"/>
          <w:sz w:val="18"/>
          <w:szCs w:val="18"/>
        </w:rPr>
        <w:t>confl</w:t>
      </w:r>
      <w:proofErr w:type="spellEnd"/>
      <w:r>
        <w:rPr>
          <w:color w:val="333333"/>
          <w:sz w:val="18"/>
          <w:szCs w:val="18"/>
        </w:rPr>
        <w:t xml:space="preserve">., 16 juin 1923, </w:t>
      </w:r>
      <w:proofErr w:type="spellStart"/>
      <w:r>
        <w:rPr>
          <w:color w:val="333333"/>
          <w:sz w:val="18"/>
          <w:szCs w:val="18"/>
        </w:rPr>
        <w:t>Sepƞonds</w:t>
      </w:r>
      <w:proofErr w:type="spellEnd"/>
      <w:r>
        <w:rPr>
          <w:color w:val="333333"/>
          <w:sz w:val="18"/>
          <w:szCs w:val="18"/>
        </w:rPr>
        <w:t>, no 00732.</w:t>
      </w:r>
    </w:p>
    <w:p w14:paraId="5602E14A" w14:textId="77777777" w:rsidR="00DF4DE6" w:rsidRDefault="001B2AC3" w:rsidP="00240AE0">
      <w:pPr>
        <w:pStyle w:val="Paragraphedeliste"/>
        <w:numPr>
          <w:ilvl w:val="0"/>
          <w:numId w:val="2"/>
        </w:numPr>
        <w:spacing w:after="40" w:line="264" w:lineRule="auto"/>
        <w:jc w:val="both"/>
      </w:pPr>
      <w:r>
        <w:rPr>
          <w:color w:val="333333"/>
          <w:sz w:val="18"/>
          <w:szCs w:val="18"/>
        </w:rPr>
        <w:t>Loi no 2000-597 du 30 juin 2000 relative au référé devant les juridictions administratives.</w:t>
      </w:r>
    </w:p>
    <w:p w14:paraId="4789B36B" w14:textId="77777777" w:rsidR="00DF4DE6" w:rsidRDefault="001B2AC3" w:rsidP="00240AE0">
      <w:pPr>
        <w:pStyle w:val="Paragraphedeliste"/>
        <w:numPr>
          <w:ilvl w:val="0"/>
          <w:numId w:val="2"/>
        </w:numPr>
        <w:spacing w:after="40" w:line="264" w:lineRule="auto"/>
        <w:jc w:val="both"/>
      </w:pPr>
      <w:r>
        <w:rPr>
          <w:color w:val="333333"/>
          <w:sz w:val="18"/>
          <w:szCs w:val="18"/>
        </w:rPr>
        <w:t xml:space="preserve">T. </w:t>
      </w:r>
      <w:proofErr w:type="spellStart"/>
      <w:r>
        <w:rPr>
          <w:color w:val="333333"/>
          <w:sz w:val="18"/>
          <w:szCs w:val="18"/>
        </w:rPr>
        <w:t>confl</w:t>
      </w:r>
      <w:proofErr w:type="spellEnd"/>
      <w:r>
        <w:rPr>
          <w:color w:val="333333"/>
          <w:sz w:val="18"/>
          <w:szCs w:val="18"/>
        </w:rPr>
        <w:t>., 17 octobre 2011, SCEA du Chéneau c. INAPORC, M. Cherel et a. c. CNIEL, no C3828-3829.</w:t>
      </w:r>
    </w:p>
    <w:p w14:paraId="08B4DA0E" w14:textId="77777777" w:rsidR="00DF4DE6" w:rsidRDefault="001B2AC3" w:rsidP="00240AE0">
      <w:pPr>
        <w:pStyle w:val="Paragraphedeliste"/>
        <w:numPr>
          <w:ilvl w:val="0"/>
          <w:numId w:val="2"/>
        </w:numPr>
        <w:spacing w:after="40" w:line="264" w:lineRule="auto"/>
        <w:jc w:val="both"/>
      </w:pPr>
      <w:r>
        <w:rPr>
          <w:color w:val="333333"/>
          <w:sz w:val="18"/>
          <w:szCs w:val="18"/>
        </w:rPr>
        <w:t xml:space="preserve">T. </w:t>
      </w:r>
      <w:proofErr w:type="spellStart"/>
      <w:r>
        <w:rPr>
          <w:color w:val="333333"/>
          <w:sz w:val="18"/>
          <w:szCs w:val="18"/>
        </w:rPr>
        <w:t>confl</w:t>
      </w:r>
      <w:proofErr w:type="spellEnd"/>
      <w:r>
        <w:rPr>
          <w:color w:val="333333"/>
          <w:sz w:val="18"/>
          <w:szCs w:val="18"/>
        </w:rPr>
        <w:t>., 17 juin 2013, Bergoend c. Société ERDF Annecy Léman, no C3911.</w:t>
      </w:r>
    </w:p>
    <w:p w14:paraId="1D1DF7D2" w14:textId="77777777" w:rsidR="00DF4DE6" w:rsidRDefault="001B2AC3" w:rsidP="00240AE0">
      <w:pPr>
        <w:pStyle w:val="Paragraphedeliste"/>
        <w:numPr>
          <w:ilvl w:val="0"/>
          <w:numId w:val="2"/>
        </w:numPr>
        <w:spacing w:after="40" w:line="264" w:lineRule="auto"/>
        <w:jc w:val="both"/>
      </w:pPr>
      <w:r>
        <w:rPr>
          <w:color w:val="333333"/>
          <w:sz w:val="18"/>
          <w:szCs w:val="18"/>
        </w:rPr>
        <w:t xml:space="preserve">T. </w:t>
      </w:r>
      <w:proofErr w:type="spellStart"/>
      <w:r>
        <w:rPr>
          <w:color w:val="333333"/>
          <w:sz w:val="18"/>
          <w:szCs w:val="18"/>
        </w:rPr>
        <w:t>confl</w:t>
      </w:r>
      <w:proofErr w:type="spellEnd"/>
      <w:r>
        <w:rPr>
          <w:color w:val="333333"/>
          <w:sz w:val="18"/>
          <w:szCs w:val="18"/>
        </w:rPr>
        <w:t xml:space="preserve">., 9 décembre 2013, </w:t>
      </w:r>
      <w:proofErr w:type="spellStart"/>
      <w:r>
        <w:rPr>
          <w:color w:val="333333"/>
          <w:sz w:val="18"/>
          <w:szCs w:val="18"/>
        </w:rPr>
        <w:t>Pannizon</w:t>
      </w:r>
      <w:proofErr w:type="spellEnd"/>
      <w:r>
        <w:rPr>
          <w:color w:val="333333"/>
          <w:sz w:val="18"/>
          <w:szCs w:val="18"/>
        </w:rPr>
        <w:t xml:space="preserve"> c. commune de Saint-Palais-sur-Mer, no C3931.</w:t>
      </w:r>
    </w:p>
    <w:p w14:paraId="21B8F7A0"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89-256 DC, 25 juillet 1989, Loi portant dispositions diverses en matière d’urbanisme et d’agglomérations nouvelles.</w:t>
      </w:r>
    </w:p>
    <w:p w14:paraId="500081C7"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89-261 DC, 28 juillet 1989, Loi relative aux conditions de séjour et d’entrée des étrangers en France.</w:t>
      </w:r>
    </w:p>
    <w:p w14:paraId="3E7F822A" w14:textId="77777777" w:rsidR="00DF4DE6" w:rsidRDefault="00DF4DE6" w:rsidP="00240AE0">
      <w:pPr>
        <w:pBdr>
          <w:top w:val="single" w:sz="6" w:space="0" w:color="C7D2E0"/>
        </w:pBdr>
        <w:spacing w:before="260" w:after="180"/>
        <w:jc w:val="both"/>
      </w:pPr>
    </w:p>
    <w:p w14:paraId="3CB15B0D"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20  ·</w:t>
      </w:r>
      <w:proofErr w:type="gramEnd"/>
      <w:r>
        <w:rPr>
          <w:b/>
          <w:bCs/>
          <w:color w:val="2E5A88"/>
          <w:sz w:val="22"/>
          <w:szCs w:val="22"/>
        </w:rPr>
        <w:t xml:space="preserve">  </w:t>
      </w:r>
      <w:r>
        <w:rPr>
          <w:rFonts w:ascii="Cambria" w:eastAsia="Cambria" w:hAnsi="Cambria" w:cs="Cambria"/>
          <w:b/>
          <w:bCs/>
          <w:color w:val="1F3864"/>
        </w:rPr>
        <w:t>La protection administrative</w:t>
      </w:r>
    </w:p>
    <w:p w14:paraId="7AFEDABC" w14:textId="77777777" w:rsidR="00DF4DE6" w:rsidRDefault="001B2AC3" w:rsidP="00240AE0">
      <w:pPr>
        <w:spacing w:after="120"/>
        <w:jc w:val="both"/>
      </w:pPr>
      <w:r>
        <w:rPr>
          <w:i/>
          <w:iCs/>
          <w:color w:val="595959"/>
          <w:sz w:val="17"/>
          <w:szCs w:val="17"/>
        </w:rPr>
        <w:t>Fascicule, p. 197</w:t>
      </w:r>
    </w:p>
    <w:p w14:paraId="1E1A5669" w14:textId="77777777" w:rsidR="00DF4DE6" w:rsidRDefault="001B2AC3" w:rsidP="00240AE0">
      <w:pPr>
        <w:spacing w:before="200" w:after="70"/>
        <w:jc w:val="both"/>
      </w:pPr>
      <w:r>
        <w:rPr>
          <w:b/>
          <w:bCs/>
          <w:color w:val="2E5A88"/>
          <w:spacing w:val="24"/>
          <w:sz w:val="17"/>
          <w:szCs w:val="17"/>
        </w:rPr>
        <w:t>IDÉE DIRECTRICE</w:t>
      </w:r>
    </w:p>
    <w:p w14:paraId="7371B436" w14:textId="77777777" w:rsidR="00DF4DE6" w:rsidRDefault="001B2AC3" w:rsidP="00240AE0">
      <w:pPr>
        <w:spacing w:after="60" w:line="276" w:lineRule="auto"/>
        <w:jc w:val="both"/>
      </w:pPr>
      <w:r>
        <w:t>La protection hors du juge. La fiche part d'une question — l'effectivité des droits sans le juge est-elle possible ? — puis présente les voies internes à l'administration (recours administratif préalable, inspecteur du travail), la CNCDH, et surtout les autorités administratives indépendantes : le Défenseur des droits, autorité constitutionnelle et généraliste, puis les AAI sectorielles (Contrôleur général des lieux de privation de liberté, CNIL, ARCOM).</w:t>
      </w:r>
    </w:p>
    <w:p w14:paraId="6C1B730D" w14:textId="77777777" w:rsidR="00DF4DE6" w:rsidRDefault="001B2AC3" w:rsidP="00240AE0">
      <w:pPr>
        <w:spacing w:before="200" w:after="70"/>
        <w:jc w:val="both"/>
      </w:pPr>
      <w:r>
        <w:rPr>
          <w:b/>
          <w:bCs/>
          <w:color w:val="2E5A88"/>
          <w:spacing w:val="24"/>
          <w:sz w:val="17"/>
          <w:szCs w:val="17"/>
        </w:rPr>
        <w:t>POINTS CLÉS (ENCADRÉ DU FASCICULE)</w:t>
      </w:r>
    </w:p>
    <w:p w14:paraId="7419A817" w14:textId="77777777" w:rsidR="00DF4DE6" w:rsidRDefault="001B2AC3" w:rsidP="00240AE0">
      <w:pPr>
        <w:pStyle w:val="Paragraphedeliste"/>
        <w:numPr>
          <w:ilvl w:val="0"/>
          <w:numId w:val="2"/>
        </w:numPr>
        <w:spacing w:after="40" w:line="264" w:lineRule="auto"/>
        <w:jc w:val="both"/>
      </w:pPr>
      <w:r>
        <w:rPr>
          <w:color w:val="1A1A1A"/>
          <w:sz w:val="19"/>
          <w:szCs w:val="19"/>
        </w:rPr>
        <w:t>Il revient traditionnellement au juge de régler les différends et de protéger les libertés.</w:t>
      </w:r>
    </w:p>
    <w:p w14:paraId="175269A0" w14:textId="77777777" w:rsidR="00DF4DE6" w:rsidRDefault="001B2AC3" w:rsidP="00240AE0">
      <w:pPr>
        <w:pStyle w:val="Paragraphedeliste"/>
        <w:numPr>
          <w:ilvl w:val="0"/>
          <w:numId w:val="2"/>
        </w:numPr>
        <w:spacing w:after="40" w:line="264" w:lineRule="auto"/>
        <w:jc w:val="both"/>
      </w:pPr>
      <w:r>
        <w:rPr>
          <w:color w:val="1A1A1A"/>
          <w:sz w:val="19"/>
          <w:szCs w:val="19"/>
        </w:rPr>
        <w:t>Cependant, face à certaines défaillances, mais aussi en raison d’une évolution de la mentalité face au contentieux, des voies de règlement extra-juridictionnels des litiges ont émergé.</w:t>
      </w:r>
    </w:p>
    <w:p w14:paraId="4FAAEEEC" w14:textId="77777777" w:rsidR="00DF4DE6" w:rsidRDefault="001B2AC3" w:rsidP="00240AE0">
      <w:pPr>
        <w:pStyle w:val="Paragraphedeliste"/>
        <w:numPr>
          <w:ilvl w:val="0"/>
          <w:numId w:val="2"/>
        </w:numPr>
        <w:spacing w:after="40" w:line="264" w:lineRule="auto"/>
        <w:jc w:val="both"/>
      </w:pPr>
      <w:r>
        <w:rPr>
          <w:color w:val="1A1A1A"/>
          <w:sz w:val="19"/>
          <w:szCs w:val="19"/>
        </w:rPr>
        <w:t>Ce sont des moyens offerts par l’administration elle-même, on parle de protection administrative.</w:t>
      </w:r>
    </w:p>
    <w:p w14:paraId="6B9CBEBB" w14:textId="77777777" w:rsidR="00DF4DE6" w:rsidRDefault="001B2AC3" w:rsidP="00240AE0">
      <w:pPr>
        <w:pStyle w:val="Paragraphedeliste"/>
        <w:numPr>
          <w:ilvl w:val="0"/>
          <w:numId w:val="2"/>
        </w:numPr>
        <w:spacing w:after="40" w:line="264" w:lineRule="auto"/>
        <w:jc w:val="both"/>
      </w:pPr>
      <w:r>
        <w:rPr>
          <w:color w:val="1A1A1A"/>
          <w:sz w:val="19"/>
          <w:szCs w:val="19"/>
        </w:rPr>
        <w:t>Cette protection émerge soit à l’intérieur de l’administration, notamment par des voies de recours administratifs.</w:t>
      </w:r>
    </w:p>
    <w:p w14:paraId="774DF475" w14:textId="77777777" w:rsidR="00DF4DE6" w:rsidRDefault="001B2AC3" w:rsidP="00240AE0">
      <w:pPr>
        <w:pStyle w:val="Paragraphedeliste"/>
        <w:numPr>
          <w:ilvl w:val="0"/>
          <w:numId w:val="2"/>
        </w:numPr>
        <w:spacing w:after="40" w:line="264" w:lineRule="auto"/>
        <w:jc w:val="both"/>
      </w:pPr>
      <w:r>
        <w:rPr>
          <w:color w:val="1A1A1A"/>
          <w:sz w:val="19"/>
          <w:szCs w:val="19"/>
        </w:rPr>
        <w:t>Surtout, cette protection est réalisée par des organes dédiés : les autorités administratives indépendantes.</w:t>
      </w:r>
    </w:p>
    <w:p w14:paraId="04A81555" w14:textId="77777777" w:rsidR="00DF4DE6" w:rsidRDefault="001B2AC3" w:rsidP="00240AE0">
      <w:pPr>
        <w:spacing w:before="200" w:after="70"/>
        <w:jc w:val="both"/>
      </w:pPr>
      <w:r>
        <w:rPr>
          <w:b/>
          <w:bCs/>
          <w:color w:val="2E5A88"/>
          <w:spacing w:val="24"/>
          <w:sz w:val="17"/>
          <w:szCs w:val="17"/>
        </w:rPr>
        <w:t>PLAN DE LA FICHE</w:t>
      </w:r>
    </w:p>
    <w:p w14:paraId="3F4715DA" w14:textId="77777777" w:rsidR="00DF4DE6" w:rsidRDefault="001B2AC3" w:rsidP="00240AE0">
      <w:pPr>
        <w:spacing w:after="20" w:line="250" w:lineRule="auto"/>
        <w:ind w:left="240"/>
        <w:jc w:val="both"/>
      </w:pPr>
      <w:r>
        <w:rPr>
          <w:b/>
          <w:bCs/>
          <w:color w:val="1F3864"/>
          <w:sz w:val="19"/>
          <w:szCs w:val="19"/>
        </w:rPr>
        <w:t>1. L’effectivité des droits sans le juge ?</w:t>
      </w:r>
    </w:p>
    <w:p w14:paraId="251E19F9" w14:textId="77777777" w:rsidR="00DF4DE6" w:rsidRDefault="001B2AC3" w:rsidP="00240AE0">
      <w:pPr>
        <w:spacing w:after="20" w:line="250" w:lineRule="auto"/>
        <w:ind w:left="240"/>
        <w:jc w:val="both"/>
      </w:pPr>
      <w:r>
        <w:rPr>
          <w:b/>
          <w:bCs/>
          <w:color w:val="1F3864"/>
          <w:sz w:val="19"/>
          <w:szCs w:val="19"/>
        </w:rPr>
        <w:t>2. La protection au sein des administrations elles-mêmes</w:t>
      </w:r>
    </w:p>
    <w:p w14:paraId="0ED72DC4" w14:textId="77777777" w:rsidR="00DF4DE6" w:rsidRDefault="001B2AC3" w:rsidP="00240AE0">
      <w:pPr>
        <w:spacing w:after="20" w:line="250" w:lineRule="auto"/>
        <w:ind w:left="500"/>
        <w:jc w:val="both"/>
      </w:pPr>
      <w:r>
        <w:rPr>
          <w:color w:val="333333"/>
          <w:sz w:val="18"/>
          <w:szCs w:val="18"/>
        </w:rPr>
        <w:t>2.1. Les voies de recours consacrées : le recours administratif préalable</w:t>
      </w:r>
    </w:p>
    <w:p w14:paraId="7003768A" w14:textId="77777777" w:rsidR="00DF4DE6" w:rsidRDefault="001B2AC3" w:rsidP="00240AE0">
      <w:pPr>
        <w:spacing w:after="20" w:line="250" w:lineRule="auto"/>
        <w:ind w:left="500"/>
        <w:jc w:val="both"/>
      </w:pPr>
      <w:r>
        <w:rPr>
          <w:color w:val="333333"/>
          <w:sz w:val="18"/>
          <w:szCs w:val="18"/>
        </w:rPr>
        <w:t>2.2. Un agent de l’administration protecteur : l’inspecteur du travail</w:t>
      </w:r>
    </w:p>
    <w:p w14:paraId="4FE79121" w14:textId="77777777" w:rsidR="00DF4DE6" w:rsidRDefault="001B2AC3" w:rsidP="00240AE0">
      <w:pPr>
        <w:spacing w:after="20" w:line="250" w:lineRule="auto"/>
        <w:ind w:left="240"/>
        <w:jc w:val="both"/>
      </w:pPr>
      <w:r>
        <w:rPr>
          <w:b/>
          <w:bCs/>
          <w:color w:val="1F3864"/>
          <w:sz w:val="19"/>
          <w:szCs w:val="19"/>
        </w:rPr>
        <w:t>3. La Commission nationale consultative des droits de l’homme (CNCDH)</w:t>
      </w:r>
    </w:p>
    <w:p w14:paraId="01B788B7" w14:textId="77777777" w:rsidR="00DF4DE6" w:rsidRDefault="001B2AC3" w:rsidP="00240AE0">
      <w:pPr>
        <w:spacing w:after="20" w:line="250" w:lineRule="auto"/>
        <w:ind w:left="240"/>
        <w:jc w:val="both"/>
      </w:pPr>
      <w:r>
        <w:rPr>
          <w:b/>
          <w:bCs/>
          <w:color w:val="1F3864"/>
          <w:sz w:val="19"/>
          <w:szCs w:val="19"/>
        </w:rPr>
        <w:t>4. La protection par des autorités administratives indépendantes</w:t>
      </w:r>
    </w:p>
    <w:p w14:paraId="79049344" w14:textId="77777777" w:rsidR="00DF4DE6" w:rsidRDefault="001B2AC3" w:rsidP="00240AE0">
      <w:pPr>
        <w:spacing w:after="20" w:line="250" w:lineRule="auto"/>
        <w:ind w:left="500"/>
        <w:jc w:val="both"/>
      </w:pPr>
      <w:r>
        <w:rPr>
          <w:color w:val="333333"/>
          <w:sz w:val="18"/>
          <w:szCs w:val="18"/>
        </w:rPr>
        <w:t>4.1. L’ébauche d’une définition générale de la protection administrative</w:t>
      </w:r>
    </w:p>
    <w:p w14:paraId="3F92A026" w14:textId="77777777" w:rsidR="00DF4DE6" w:rsidRDefault="001B2AC3" w:rsidP="00240AE0">
      <w:pPr>
        <w:spacing w:after="20" w:line="250" w:lineRule="auto"/>
        <w:ind w:left="500"/>
        <w:jc w:val="both"/>
      </w:pPr>
      <w:r>
        <w:rPr>
          <w:color w:val="333333"/>
          <w:sz w:val="18"/>
          <w:szCs w:val="18"/>
        </w:rPr>
        <w:t>4.2. Le Défenseur des droits, autorité constitutionnelle et générale</w:t>
      </w:r>
    </w:p>
    <w:p w14:paraId="7716B9BA" w14:textId="77777777" w:rsidR="00DF4DE6" w:rsidRDefault="001B2AC3" w:rsidP="00240AE0">
      <w:pPr>
        <w:spacing w:after="20" w:line="250" w:lineRule="auto"/>
        <w:ind w:left="760"/>
        <w:jc w:val="both"/>
      </w:pPr>
      <w:r>
        <w:rPr>
          <w:color w:val="595959"/>
          <w:sz w:val="18"/>
          <w:szCs w:val="18"/>
        </w:rPr>
        <w:t>4.2.1. L’ancêtre du Défenseur des droits, le Médiateur pour la République</w:t>
      </w:r>
    </w:p>
    <w:p w14:paraId="3DE0124D" w14:textId="77777777" w:rsidR="00DF4DE6" w:rsidRDefault="001B2AC3" w:rsidP="00240AE0">
      <w:pPr>
        <w:spacing w:after="20" w:line="250" w:lineRule="auto"/>
        <w:ind w:left="760"/>
        <w:jc w:val="both"/>
      </w:pPr>
      <w:r>
        <w:rPr>
          <w:color w:val="595959"/>
          <w:sz w:val="18"/>
          <w:szCs w:val="18"/>
        </w:rPr>
        <w:t>4.2.2. La consécration constitutionnelle d’une autorité indépendante</w:t>
      </w:r>
    </w:p>
    <w:p w14:paraId="582AE5DE" w14:textId="77777777" w:rsidR="00DF4DE6" w:rsidRDefault="001B2AC3" w:rsidP="00240AE0">
      <w:pPr>
        <w:spacing w:after="20" w:line="250" w:lineRule="auto"/>
        <w:ind w:left="500"/>
        <w:jc w:val="both"/>
      </w:pPr>
      <w:r>
        <w:rPr>
          <w:color w:val="333333"/>
          <w:sz w:val="18"/>
          <w:szCs w:val="18"/>
        </w:rPr>
        <w:t>4.3. La protection par des autorités administratives indépendantes sectorielles</w:t>
      </w:r>
    </w:p>
    <w:p w14:paraId="00C163F2" w14:textId="77777777" w:rsidR="00DF4DE6" w:rsidRDefault="001B2AC3" w:rsidP="00240AE0">
      <w:pPr>
        <w:spacing w:after="20" w:line="250" w:lineRule="auto"/>
        <w:ind w:left="760"/>
        <w:jc w:val="both"/>
      </w:pPr>
      <w:r>
        <w:rPr>
          <w:color w:val="595959"/>
          <w:sz w:val="18"/>
          <w:szCs w:val="18"/>
        </w:rPr>
        <w:t>4.3.1. Le Contrôleur général des lieux de privation de libertés</w:t>
      </w:r>
    </w:p>
    <w:p w14:paraId="1623FCC7" w14:textId="77777777" w:rsidR="00DF4DE6" w:rsidRDefault="001B2AC3" w:rsidP="00240AE0">
      <w:pPr>
        <w:spacing w:after="20" w:line="250" w:lineRule="auto"/>
        <w:ind w:left="760"/>
        <w:jc w:val="both"/>
      </w:pPr>
      <w:r>
        <w:rPr>
          <w:color w:val="595959"/>
          <w:sz w:val="18"/>
          <w:szCs w:val="18"/>
        </w:rPr>
        <w:t>4.3.2. La Commission nationale de l’informatique et des libertés (CNIL)</w:t>
      </w:r>
    </w:p>
    <w:p w14:paraId="7DA52B2B" w14:textId="77777777" w:rsidR="00DF4DE6" w:rsidRDefault="001B2AC3" w:rsidP="00240AE0">
      <w:pPr>
        <w:spacing w:after="20" w:line="250" w:lineRule="auto"/>
        <w:ind w:left="760"/>
        <w:jc w:val="both"/>
      </w:pPr>
      <w:r>
        <w:rPr>
          <w:color w:val="595959"/>
          <w:sz w:val="18"/>
          <w:szCs w:val="18"/>
        </w:rPr>
        <w:t>4.3.3. L’Autorité de régulation de la communication audiovisuelle et numérique (ARCOM)</w:t>
      </w:r>
    </w:p>
    <w:p w14:paraId="447603E6" w14:textId="77777777" w:rsidR="00DF4DE6" w:rsidRDefault="001B2AC3" w:rsidP="00240AE0">
      <w:pPr>
        <w:spacing w:before="200" w:after="70"/>
        <w:jc w:val="both"/>
      </w:pPr>
      <w:r>
        <w:rPr>
          <w:b/>
          <w:bCs/>
          <w:color w:val="2E5A88"/>
          <w:spacing w:val="24"/>
          <w:sz w:val="17"/>
          <w:szCs w:val="17"/>
        </w:rPr>
        <w:t>RÉFÉRENCES CENTRALES</w:t>
      </w:r>
    </w:p>
    <w:p w14:paraId="7E806698" w14:textId="77777777" w:rsidR="00DF4DE6" w:rsidRDefault="001B2AC3" w:rsidP="00240AE0">
      <w:pPr>
        <w:pStyle w:val="Paragraphedeliste"/>
        <w:numPr>
          <w:ilvl w:val="0"/>
          <w:numId w:val="2"/>
        </w:numPr>
        <w:spacing w:after="40" w:line="264" w:lineRule="auto"/>
        <w:jc w:val="both"/>
      </w:pPr>
      <w:r>
        <w:rPr>
          <w:color w:val="333333"/>
          <w:sz w:val="18"/>
          <w:szCs w:val="18"/>
        </w:rPr>
        <w:t>Article 71-1 de la Constitution de 1958</w:t>
      </w:r>
    </w:p>
    <w:p w14:paraId="1EECBF78" w14:textId="77777777" w:rsidR="00DF4DE6" w:rsidRDefault="001B2AC3" w:rsidP="00240AE0">
      <w:pPr>
        <w:pStyle w:val="Paragraphedeliste"/>
        <w:numPr>
          <w:ilvl w:val="0"/>
          <w:numId w:val="2"/>
        </w:numPr>
        <w:spacing w:after="40" w:line="264" w:lineRule="auto"/>
        <w:jc w:val="both"/>
      </w:pPr>
      <w:r>
        <w:rPr>
          <w:color w:val="333333"/>
          <w:sz w:val="18"/>
          <w:szCs w:val="18"/>
        </w:rPr>
        <w:lastRenderedPageBreak/>
        <w:t xml:space="preserve">Cons. </w:t>
      </w:r>
      <w:proofErr w:type="spellStart"/>
      <w:proofErr w:type="gramStart"/>
      <w:r>
        <w:rPr>
          <w:color w:val="333333"/>
          <w:sz w:val="18"/>
          <w:szCs w:val="18"/>
        </w:rPr>
        <w:t>const</w:t>
      </w:r>
      <w:proofErr w:type="spellEnd"/>
      <w:proofErr w:type="gramEnd"/>
      <w:r>
        <w:rPr>
          <w:color w:val="333333"/>
          <w:sz w:val="18"/>
          <w:szCs w:val="18"/>
        </w:rPr>
        <w:t>., décision no 84-173 DC du 26 juillet 1984, Loi relative à l’exploitation des services de radio-télévision mis à la disposition du public sur un réseau câblé POUR ALLER PLUS LOIN Le récent et célèbre DOGE (</w:t>
      </w:r>
      <w:proofErr w:type="spellStart"/>
      <w:r>
        <w:rPr>
          <w:color w:val="333333"/>
          <w:sz w:val="18"/>
          <w:szCs w:val="18"/>
        </w:rPr>
        <w:t>Department</w:t>
      </w:r>
      <w:proofErr w:type="spellEnd"/>
      <w:r>
        <w:rPr>
          <w:color w:val="333333"/>
          <w:sz w:val="18"/>
          <w:szCs w:val="18"/>
        </w:rPr>
        <w:t xml:space="preserve"> of </w:t>
      </w:r>
      <w:proofErr w:type="spellStart"/>
      <w:r>
        <w:rPr>
          <w:color w:val="333333"/>
          <w:sz w:val="18"/>
          <w:szCs w:val="18"/>
        </w:rPr>
        <w:t>Government</w:t>
      </w:r>
      <w:proofErr w:type="spellEnd"/>
      <w:r>
        <w:rPr>
          <w:color w:val="333333"/>
          <w:sz w:val="18"/>
          <w:szCs w:val="18"/>
        </w:rPr>
        <w:t xml:space="preserve"> </w:t>
      </w:r>
      <w:proofErr w:type="spellStart"/>
      <w:r>
        <w:rPr>
          <w:color w:val="333333"/>
          <w:sz w:val="18"/>
          <w:szCs w:val="18"/>
        </w:rPr>
        <w:t>Efficiency</w:t>
      </w:r>
      <w:proofErr w:type="spellEnd"/>
      <w:r>
        <w:rPr>
          <w:color w:val="333333"/>
          <w:sz w:val="18"/>
          <w:szCs w:val="18"/>
        </w:rPr>
        <w:t xml:space="preserve">) aux États-Unis, anciennement dirigé par Elon Musk </w:t>
      </w:r>
      <w:proofErr w:type="spellStart"/>
      <w:r>
        <w:rPr>
          <w:color w:val="333333"/>
          <w:sz w:val="18"/>
          <w:szCs w:val="18"/>
        </w:rPr>
        <w:t>daepuis</w:t>
      </w:r>
      <w:proofErr w:type="spellEnd"/>
      <w:r>
        <w:rPr>
          <w:color w:val="333333"/>
          <w:sz w:val="18"/>
          <w:szCs w:val="18"/>
        </w:rPr>
        <w:t xml:space="preserve"> sa création par Donald Trump, a notamment pour objectif de réduire considérablement les moyens financiers et humains de ces différentes agences fédérales. Il a également pour mission de « moderniser » les techniques de gouvernance de l’administration fédérale. En France, la proposition de suppression de certaines AAI dans un souci d’économie revient souvent dans les débats.</w:t>
      </w:r>
    </w:p>
    <w:p w14:paraId="7B7A27CC" w14:textId="77777777" w:rsidR="00DF4DE6" w:rsidRDefault="001B2AC3" w:rsidP="00240AE0">
      <w:pPr>
        <w:jc w:val="both"/>
      </w:pPr>
      <w:r>
        <w:br w:type="page"/>
      </w:r>
    </w:p>
    <w:p w14:paraId="1855A8B6" w14:textId="77777777" w:rsidR="00DF4DE6" w:rsidRDefault="001B2AC3" w:rsidP="00240AE0">
      <w:pPr>
        <w:spacing w:after="40"/>
        <w:jc w:val="both"/>
      </w:pPr>
      <w:r>
        <w:rPr>
          <w:b/>
          <w:bCs/>
          <w:color w:val="2E5A88"/>
          <w:spacing w:val="50"/>
        </w:rPr>
        <w:lastRenderedPageBreak/>
        <w:t>PARTIE V</w:t>
      </w:r>
    </w:p>
    <w:p w14:paraId="2935FB4D" w14:textId="77777777" w:rsidR="00DF4DE6" w:rsidRDefault="001B2AC3" w:rsidP="00240AE0">
      <w:pPr>
        <w:pStyle w:val="Titre1"/>
        <w:pBdr>
          <w:bottom w:val="single" w:sz="10" w:space="0" w:color="C7D2E0"/>
        </w:pBdr>
        <w:spacing w:after="100"/>
        <w:jc w:val="both"/>
      </w:pPr>
      <w:r>
        <w:rPr>
          <w:rFonts w:ascii="Cambria" w:eastAsia="Cambria" w:hAnsi="Cambria" w:cs="Cambria"/>
          <w:b/>
          <w:bCs/>
          <w:color w:val="1F3864"/>
          <w:sz w:val="34"/>
          <w:szCs w:val="34"/>
        </w:rPr>
        <w:t>Les mécanismes internationaux et européens de protection</w:t>
      </w:r>
    </w:p>
    <w:p w14:paraId="16F680C2" w14:textId="77777777" w:rsidR="00DF4DE6" w:rsidRDefault="001B2AC3" w:rsidP="00240AE0">
      <w:pPr>
        <w:spacing w:before="60" w:after="160"/>
        <w:jc w:val="both"/>
      </w:pPr>
      <w:r>
        <w:rPr>
          <w:i/>
          <w:iCs/>
          <w:color w:val="595959"/>
          <w:sz w:val="18"/>
          <w:szCs w:val="18"/>
        </w:rPr>
        <w:t xml:space="preserve">Fiches 21 à </w:t>
      </w:r>
      <w:proofErr w:type="gramStart"/>
      <w:r>
        <w:rPr>
          <w:i/>
          <w:iCs/>
          <w:color w:val="595959"/>
          <w:sz w:val="18"/>
          <w:szCs w:val="18"/>
        </w:rPr>
        <w:t>25  ·</w:t>
      </w:r>
      <w:proofErr w:type="gramEnd"/>
      <w:r>
        <w:rPr>
          <w:i/>
          <w:iCs/>
          <w:color w:val="595959"/>
          <w:sz w:val="18"/>
          <w:szCs w:val="18"/>
        </w:rPr>
        <w:t xml:space="preserve">  pages 208 à 253 du fascicule</w:t>
      </w:r>
    </w:p>
    <w:p w14:paraId="09B64668" w14:textId="77777777" w:rsidR="00DF4DE6" w:rsidRDefault="001B2AC3" w:rsidP="00240AE0">
      <w:pPr>
        <w:spacing w:after="200" w:line="276" w:lineRule="auto"/>
        <w:jc w:val="both"/>
      </w:pPr>
      <w:r>
        <w:t>Les mêmes questions à l'échelle supranationale : comités onusiens (21), Cour européenne des droits de l'homme (22), Cour de justice de l'Union (23), autres juridictions régionales (24), et organes politiques et administratifs (25). Les parties IV et V forment le bloc « qui protège ? ».</w:t>
      </w:r>
    </w:p>
    <w:p w14:paraId="30B7B28A" w14:textId="77777777" w:rsidR="00DF4DE6" w:rsidRDefault="001B2AC3" w:rsidP="00240AE0">
      <w:pPr>
        <w:pStyle w:val="Titre2"/>
        <w:spacing w:before="120" w:after="30"/>
        <w:jc w:val="both"/>
      </w:pPr>
      <w:r>
        <w:rPr>
          <w:b/>
          <w:bCs/>
          <w:color w:val="2E5A88"/>
          <w:sz w:val="22"/>
          <w:szCs w:val="22"/>
        </w:rPr>
        <w:t xml:space="preserve">Fiche </w:t>
      </w:r>
      <w:proofErr w:type="gramStart"/>
      <w:r>
        <w:rPr>
          <w:b/>
          <w:bCs/>
          <w:color w:val="2E5A88"/>
          <w:sz w:val="22"/>
          <w:szCs w:val="22"/>
        </w:rPr>
        <w:t>21  ·</w:t>
      </w:r>
      <w:proofErr w:type="gramEnd"/>
      <w:r>
        <w:rPr>
          <w:b/>
          <w:bCs/>
          <w:color w:val="2E5A88"/>
          <w:sz w:val="22"/>
          <w:szCs w:val="22"/>
        </w:rPr>
        <w:t xml:space="preserve">  </w:t>
      </w:r>
      <w:r>
        <w:rPr>
          <w:rFonts w:ascii="Cambria" w:eastAsia="Cambria" w:hAnsi="Cambria" w:cs="Cambria"/>
          <w:b/>
          <w:bCs/>
          <w:color w:val="1F3864"/>
        </w:rPr>
        <w:t>Les comités onusiens</w:t>
      </w:r>
    </w:p>
    <w:p w14:paraId="124918CD" w14:textId="77777777" w:rsidR="00DF4DE6" w:rsidRDefault="001B2AC3" w:rsidP="00240AE0">
      <w:pPr>
        <w:spacing w:after="120"/>
        <w:jc w:val="both"/>
      </w:pPr>
      <w:r>
        <w:rPr>
          <w:i/>
          <w:iCs/>
          <w:color w:val="595959"/>
          <w:sz w:val="17"/>
          <w:szCs w:val="17"/>
        </w:rPr>
        <w:t>Fascicule, p. 209</w:t>
      </w:r>
    </w:p>
    <w:p w14:paraId="19491A96" w14:textId="77777777" w:rsidR="00DF4DE6" w:rsidRDefault="001B2AC3" w:rsidP="00240AE0">
      <w:pPr>
        <w:spacing w:before="200" w:after="70"/>
        <w:jc w:val="both"/>
      </w:pPr>
      <w:r>
        <w:rPr>
          <w:b/>
          <w:bCs/>
          <w:color w:val="2E5A88"/>
          <w:spacing w:val="24"/>
          <w:sz w:val="17"/>
          <w:szCs w:val="17"/>
        </w:rPr>
        <w:t>IDÉE DIRECTRICE</w:t>
      </w:r>
    </w:p>
    <w:p w14:paraId="248DA31E" w14:textId="77777777" w:rsidR="00DF4DE6" w:rsidRDefault="001B2AC3" w:rsidP="00240AE0">
      <w:pPr>
        <w:spacing w:after="60" w:line="276" w:lineRule="auto"/>
        <w:jc w:val="both"/>
      </w:pPr>
      <w:r>
        <w:t xml:space="preserve">Les organes de traité onusiens (« </w:t>
      </w:r>
      <w:proofErr w:type="spellStart"/>
      <w:r>
        <w:t>treaty</w:t>
      </w:r>
      <w:proofErr w:type="spellEnd"/>
      <w:r>
        <w:t xml:space="preserve"> bodies ») qui surveillent la mise en œuvre des conventions. La fiche recense leurs fonctions : rapports périodiques des États, communications interétatiques, communications individuelles (fonction quasi juridictionnelle), observations générales, mesures provisoires, procédures d'enquête et sous-comité de prévention. Elle se termine sur la controverse centrale : quelle valeur juridique pour leurs décisions ?</w:t>
      </w:r>
    </w:p>
    <w:p w14:paraId="68B77955" w14:textId="77777777" w:rsidR="00DF4DE6" w:rsidRDefault="001B2AC3" w:rsidP="00240AE0">
      <w:pPr>
        <w:spacing w:before="200" w:after="70"/>
        <w:jc w:val="both"/>
      </w:pPr>
      <w:r>
        <w:rPr>
          <w:b/>
          <w:bCs/>
          <w:color w:val="2E5A88"/>
          <w:spacing w:val="24"/>
          <w:sz w:val="17"/>
          <w:szCs w:val="17"/>
        </w:rPr>
        <w:t>POINTS CLÉS (ENCADRÉ DU FASCICULE)</w:t>
      </w:r>
    </w:p>
    <w:p w14:paraId="61B69E00" w14:textId="77777777" w:rsidR="00DF4DE6" w:rsidRDefault="001B2AC3" w:rsidP="00240AE0">
      <w:pPr>
        <w:pStyle w:val="Paragraphedeliste"/>
        <w:numPr>
          <w:ilvl w:val="0"/>
          <w:numId w:val="2"/>
        </w:numPr>
        <w:spacing w:after="40" w:line="264" w:lineRule="auto"/>
        <w:jc w:val="both"/>
      </w:pPr>
      <w:r>
        <w:rPr>
          <w:color w:val="1A1A1A"/>
          <w:sz w:val="19"/>
          <w:szCs w:val="19"/>
        </w:rPr>
        <w:t>Contrôle de l’application des traités.</w:t>
      </w:r>
    </w:p>
    <w:p w14:paraId="35D843F6" w14:textId="77777777" w:rsidR="00DF4DE6" w:rsidRDefault="001B2AC3" w:rsidP="00240AE0">
      <w:pPr>
        <w:pStyle w:val="Paragraphedeliste"/>
        <w:numPr>
          <w:ilvl w:val="0"/>
          <w:numId w:val="2"/>
        </w:numPr>
        <w:spacing w:after="40" w:line="264" w:lineRule="auto"/>
        <w:jc w:val="both"/>
      </w:pPr>
      <w:r>
        <w:rPr>
          <w:color w:val="1A1A1A"/>
          <w:sz w:val="19"/>
          <w:szCs w:val="19"/>
        </w:rPr>
        <w:t>Observations générales.</w:t>
      </w:r>
    </w:p>
    <w:p w14:paraId="44B405AA" w14:textId="77777777" w:rsidR="00DF4DE6" w:rsidRDefault="001B2AC3" w:rsidP="00240AE0">
      <w:pPr>
        <w:pStyle w:val="Paragraphedeliste"/>
        <w:numPr>
          <w:ilvl w:val="0"/>
          <w:numId w:val="2"/>
        </w:numPr>
        <w:spacing w:after="40" w:line="264" w:lineRule="auto"/>
        <w:jc w:val="both"/>
      </w:pPr>
      <w:r>
        <w:rPr>
          <w:color w:val="1A1A1A"/>
          <w:sz w:val="19"/>
          <w:szCs w:val="19"/>
        </w:rPr>
        <w:t>Rapports périodiques.</w:t>
      </w:r>
    </w:p>
    <w:p w14:paraId="494A27AB" w14:textId="77777777" w:rsidR="00DF4DE6" w:rsidRDefault="001B2AC3" w:rsidP="00240AE0">
      <w:pPr>
        <w:pStyle w:val="Paragraphedeliste"/>
        <w:numPr>
          <w:ilvl w:val="0"/>
          <w:numId w:val="2"/>
        </w:numPr>
        <w:spacing w:after="40" w:line="264" w:lineRule="auto"/>
        <w:jc w:val="both"/>
      </w:pPr>
      <w:r>
        <w:rPr>
          <w:color w:val="1A1A1A"/>
          <w:sz w:val="19"/>
          <w:szCs w:val="19"/>
        </w:rPr>
        <w:t>Communications individuelles et fonction quasi-juridictionnelle.</w:t>
      </w:r>
    </w:p>
    <w:p w14:paraId="3CE0ADF4" w14:textId="77777777" w:rsidR="00DF4DE6" w:rsidRDefault="001B2AC3" w:rsidP="00240AE0">
      <w:pPr>
        <w:pStyle w:val="Paragraphedeliste"/>
        <w:numPr>
          <w:ilvl w:val="0"/>
          <w:numId w:val="2"/>
        </w:numPr>
        <w:spacing w:after="40" w:line="264" w:lineRule="auto"/>
        <w:jc w:val="both"/>
      </w:pPr>
      <w:r>
        <w:rPr>
          <w:color w:val="1A1A1A"/>
          <w:sz w:val="19"/>
          <w:szCs w:val="19"/>
        </w:rPr>
        <w:t>Communications interétatiques.</w:t>
      </w:r>
    </w:p>
    <w:p w14:paraId="127E3386" w14:textId="77777777" w:rsidR="00DF4DE6" w:rsidRDefault="001B2AC3" w:rsidP="00240AE0">
      <w:pPr>
        <w:pStyle w:val="Paragraphedeliste"/>
        <w:numPr>
          <w:ilvl w:val="0"/>
          <w:numId w:val="2"/>
        </w:numPr>
        <w:spacing w:after="40" w:line="264" w:lineRule="auto"/>
        <w:jc w:val="both"/>
      </w:pPr>
      <w:r>
        <w:rPr>
          <w:color w:val="1A1A1A"/>
          <w:sz w:val="19"/>
          <w:szCs w:val="19"/>
        </w:rPr>
        <w:t>Mesures provisoires.</w:t>
      </w:r>
    </w:p>
    <w:p w14:paraId="0E8B52E8" w14:textId="77777777" w:rsidR="00DF4DE6" w:rsidRDefault="001B2AC3" w:rsidP="00240AE0">
      <w:pPr>
        <w:pStyle w:val="Paragraphedeliste"/>
        <w:numPr>
          <w:ilvl w:val="0"/>
          <w:numId w:val="2"/>
        </w:numPr>
        <w:spacing w:after="40" w:line="264" w:lineRule="auto"/>
        <w:jc w:val="both"/>
      </w:pPr>
      <w:r>
        <w:rPr>
          <w:color w:val="1A1A1A"/>
          <w:sz w:val="19"/>
          <w:szCs w:val="19"/>
        </w:rPr>
        <w:t xml:space="preserve">Procédure d’enquête. Les comités onusiens (qu’on appelle aussi en anglais les « </w:t>
      </w:r>
      <w:proofErr w:type="spellStart"/>
      <w:r>
        <w:rPr>
          <w:color w:val="1A1A1A"/>
          <w:sz w:val="19"/>
          <w:szCs w:val="19"/>
        </w:rPr>
        <w:t>treaty</w:t>
      </w:r>
      <w:proofErr w:type="spellEnd"/>
      <w:r>
        <w:rPr>
          <w:color w:val="1A1A1A"/>
          <w:sz w:val="19"/>
          <w:szCs w:val="19"/>
        </w:rPr>
        <w:t xml:space="preserve"> bodies » ou « organes de traité »), sont les organes chargés de surveiller la bonne mise en œuvre par les États parties des neuf principales conventions onusiennes de protection des droits humains (voir Fiche 13).</w:t>
      </w:r>
    </w:p>
    <w:p w14:paraId="11F83CBD" w14:textId="77777777" w:rsidR="00DF4DE6" w:rsidRDefault="001B2AC3" w:rsidP="00240AE0">
      <w:pPr>
        <w:pStyle w:val="Paragraphedeliste"/>
        <w:numPr>
          <w:ilvl w:val="0"/>
          <w:numId w:val="2"/>
        </w:numPr>
        <w:spacing w:after="40" w:line="264" w:lineRule="auto"/>
        <w:jc w:val="both"/>
      </w:pPr>
      <w:r>
        <w:rPr>
          <w:color w:val="1A1A1A"/>
          <w:sz w:val="19"/>
          <w:szCs w:val="19"/>
        </w:rPr>
        <w:t>L’obligation pour les États de remettre un rapport périodique sur la mise en œuvre de la Convention.</w:t>
      </w:r>
    </w:p>
    <w:p w14:paraId="7B3EE9CF" w14:textId="77777777" w:rsidR="00DF4DE6" w:rsidRDefault="001B2AC3" w:rsidP="00240AE0">
      <w:pPr>
        <w:pStyle w:val="Paragraphedeliste"/>
        <w:numPr>
          <w:ilvl w:val="0"/>
          <w:numId w:val="2"/>
        </w:numPr>
        <w:spacing w:after="40" w:line="264" w:lineRule="auto"/>
        <w:jc w:val="both"/>
      </w:pPr>
      <w:r>
        <w:rPr>
          <w:color w:val="1A1A1A"/>
          <w:sz w:val="19"/>
          <w:szCs w:val="19"/>
        </w:rPr>
        <w:t>La réception de « communications » interétatiques pour alerter sur des manquements d’autres États.</w:t>
      </w:r>
    </w:p>
    <w:p w14:paraId="379CB185" w14:textId="77777777" w:rsidR="00DF4DE6" w:rsidRDefault="001B2AC3" w:rsidP="00240AE0">
      <w:pPr>
        <w:spacing w:before="200" w:after="70"/>
        <w:jc w:val="both"/>
      </w:pPr>
      <w:r>
        <w:rPr>
          <w:b/>
          <w:bCs/>
          <w:color w:val="2E5A88"/>
          <w:spacing w:val="24"/>
          <w:sz w:val="17"/>
          <w:szCs w:val="17"/>
        </w:rPr>
        <w:t>PLAN DE LA FICHE</w:t>
      </w:r>
    </w:p>
    <w:p w14:paraId="115316CF" w14:textId="77777777" w:rsidR="00DF4DE6" w:rsidRDefault="001B2AC3" w:rsidP="00240AE0">
      <w:pPr>
        <w:spacing w:after="20" w:line="250" w:lineRule="auto"/>
        <w:ind w:left="240"/>
        <w:jc w:val="both"/>
      </w:pPr>
      <w:r>
        <w:rPr>
          <w:b/>
          <w:bCs/>
          <w:color w:val="1F3864"/>
          <w:sz w:val="19"/>
          <w:szCs w:val="19"/>
        </w:rPr>
        <w:t>1. La multiplication des comités</w:t>
      </w:r>
    </w:p>
    <w:p w14:paraId="3B9EAE5C" w14:textId="77777777" w:rsidR="00DF4DE6" w:rsidRDefault="001B2AC3" w:rsidP="00240AE0">
      <w:pPr>
        <w:spacing w:after="20" w:line="250" w:lineRule="auto"/>
        <w:ind w:left="500"/>
        <w:jc w:val="both"/>
      </w:pPr>
      <w:r>
        <w:rPr>
          <w:color w:val="333333"/>
          <w:sz w:val="18"/>
          <w:szCs w:val="18"/>
        </w:rPr>
        <w:t>1.1. Fondements normatifs</w:t>
      </w:r>
    </w:p>
    <w:p w14:paraId="5193CAE0" w14:textId="77777777" w:rsidR="00DF4DE6" w:rsidRDefault="001B2AC3" w:rsidP="00240AE0">
      <w:pPr>
        <w:spacing w:after="20" w:line="250" w:lineRule="auto"/>
        <w:ind w:left="500"/>
        <w:jc w:val="both"/>
      </w:pPr>
      <w:r>
        <w:rPr>
          <w:color w:val="333333"/>
          <w:sz w:val="18"/>
          <w:szCs w:val="18"/>
        </w:rPr>
        <w:t>1.2. La composition des comités</w:t>
      </w:r>
    </w:p>
    <w:p w14:paraId="2DDAC9D8" w14:textId="77777777" w:rsidR="00DF4DE6" w:rsidRDefault="001B2AC3" w:rsidP="00240AE0">
      <w:pPr>
        <w:spacing w:after="20" w:line="250" w:lineRule="auto"/>
        <w:ind w:left="240"/>
        <w:jc w:val="both"/>
      </w:pPr>
      <w:r>
        <w:rPr>
          <w:b/>
          <w:bCs/>
          <w:color w:val="1F3864"/>
          <w:sz w:val="19"/>
          <w:szCs w:val="19"/>
        </w:rPr>
        <w:t>2. L’hétérogénéité fonctionnelle des comités</w:t>
      </w:r>
    </w:p>
    <w:p w14:paraId="3D7E2E79" w14:textId="77777777" w:rsidR="00DF4DE6" w:rsidRDefault="001B2AC3" w:rsidP="00240AE0">
      <w:pPr>
        <w:spacing w:after="20" w:line="250" w:lineRule="auto"/>
        <w:ind w:left="500"/>
        <w:jc w:val="both"/>
      </w:pPr>
      <w:r>
        <w:rPr>
          <w:color w:val="333333"/>
          <w:sz w:val="18"/>
          <w:szCs w:val="18"/>
        </w:rPr>
        <w:t>2.1. Les rapports périodiques</w:t>
      </w:r>
    </w:p>
    <w:p w14:paraId="2CC9AAFB" w14:textId="77777777" w:rsidR="00DF4DE6" w:rsidRDefault="001B2AC3" w:rsidP="00240AE0">
      <w:pPr>
        <w:spacing w:after="20" w:line="250" w:lineRule="auto"/>
        <w:ind w:left="500"/>
        <w:jc w:val="both"/>
      </w:pPr>
      <w:r>
        <w:rPr>
          <w:color w:val="333333"/>
          <w:sz w:val="18"/>
          <w:szCs w:val="18"/>
        </w:rPr>
        <w:t>2.2. Les communications interétatiques</w:t>
      </w:r>
    </w:p>
    <w:p w14:paraId="4FB11C8D" w14:textId="77777777" w:rsidR="00DF4DE6" w:rsidRDefault="001B2AC3" w:rsidP="00240AE0">
      <w:pPr>
        <w:spacing w:after="20" w:line="250" w:lineRule="auto"/>
        <w:ind w:left="500"/>
        <w:jc w:val="both"/>
      </w:pPr>
      <w:r>
        <w:rPr>
          <w:color w:val="333333"/>
          <w:sz w:val="18"/>
          <w:szCs w:val="18"/>
        </w:rPr>
        <w:t>2.3. Les communications individuelles</w:t>
      </w:r>
    </w:p>
    <w:p w14:paraId="58A11DFF" w14:textId="77777777" w:rsidR="00DF4DE6" w:rsidRDefault="001B2AC3" w:rsidP="00240AE0">
      <w:pPr>
        <w:spacing w:after="20" w:line="250" w:lineRule="auto"/>
        <w:ind w:left="500"/>
        <w:jc w:val="both"/>
      </w:pPr>
      <w:r>
        <w:rPr>
          <w:color w:val="333333"/>
          <w:sz w:val="18"/>
          <w:szCs w:val="18"/>
        </w:rPr>
        <w:t>2.4. Les Observations générales</w:t>
      </w:r>
    </w:p>
    <w:p w14:paraId="38089222" w14:textId="77777777" w:rsidR="00DF4DE6" w:rsidRDefault="001B2AC3" w:rsidP="00240AE0">
      <w:pPr>
        <w:spacing w:after="20" w:line="250" w:lineRule="auto"/>
        <w:ind w:left="500"/>
        <w:jc w:val="both"/>
      </w:pPr>
      <w:r>
        <w:rPr>
          <w:color w:val="333333"/>
          <w:sz w:val="18"/>
          <w:szCs w:val="18"/>
        </w:rPr>
        <w:t>2.5. Les autres fonctions</w:t>
      </w:r>
    </w:p>
    <w:p w14:paraId="3BDAFBAB" w14:textId="77777777" w:rsidR="00DF4DE6" w:rsidRDefault="001B2AC3" w:rsidP="00240AE0">
      <w:pPr>
        <w:spacing w:after="20" w:line="250" w:lineRule="auto"/>
        <w:ind w:left="760"/>
        <w:jc w:val="both"/>
      </w:pPr>
      <w:r>
        <w:rPr>
          <w:color w:val="595959"/>
          <w:sz w:val="18"/>
          <w:szCs w:val="18"/>
        </w:rPr>
        <w:t>2.5.1. Les procédures d’enquête</w:t>
      </w:r>
    </w:p>
    <w:p w14:paraId="5AF59660" w14:textId="77777777" w:rsidR="00DF4DE6" w:rsidRDefault="001B2AC3" w:rsidP="00240AE0">
      <w:pPr>
        <w:spacing w:after="20" w:line="250" w:lineRule="auto"/>
        <w:ind w:left="760"/>
        <w:jc w:val="both"/>
      </w:pPr>
      <w:r>
        <w:rPr>
          <w:color w:val="595959"/>
          <w:sz w:val="18"/>
          <w:szCs w:val="18"/>
        </w:rPr>
        <w:t>2.5.2. Le Sous-comité de prévention</w:t>
      </w:r>
    </w:p>
    <w:p w14:paraId="1A96D71D" w14:textId="77777777" w:rsidR="00DF4DE6" w:rsidRDefault="001B2AC3" w:rsidP="00240AE0">
      <w:pPr>
        <w:spacing w:after="20" w:line="250" w:lineRule="auto"/>
        <w:ind w:left="240"/>
        <w:jc w:val="both"/>
      </w:pPr>
      <w:r>
        <w:rPr>
          <w:b/>
          <w:bCs/>
          <w:color w:val="1F3864"/>
          <w:sz w:val="19"/>
          <w:szCs w:val="19"/>
        </w:rPr>
        <w:t>3. Les controverses sur la valeur juridique des décisions des comités ?</w:t>
      </w:r>
    </w:p>
    <w:p w14:paraId="27C73F24" w14:textId="77777777" w:rsidR="00DF4DE6" w:rsidRDefault="001B2AC3" w:rsidP="00240AE0">
      <w:pPr>
        <w:spacing w:before="200" w:after="70"/>
        <w:jc w:val="both"/>
      </w:pPr>
      <w:r>
        <w:rPr>
          <w:b/>
          <w:bCs/>
          <w:color w:val="2E5A88"/>
          <w:spacing w:val="24"/>
          <w:sz w:val="17"/>
          <w:szCs w:val="17"/>
        </w:rPr>
        <w:t>RÉFÉRENCES CENTRALES</w:t>
      </w:r>
    </w:p>
    <w:p w14:paraId="21CE061F" w14:textId="77777777" w:rsidR="00DF4DE6" w:rsidRDefault="001B2AC3" w:rsidP="00240AE0">
      <w:pPr>
        <w:pStyle w:val="Paragraphedeliste"/>
        <w:numPr>
          <w:ilvl w:val="0"/>
          <w:numId w:val="2"/>
        </w:numPr>
        <w:spacing w:after="40" w:line="264" w:lineRule="auto"/>
        <w:jc w:val="both"/>
      </w:pPr>
      <w:r>
        <w:rPr>
          <w:color w:val="333333"/>
          <w:sz w:val="18"/>
          <w:szCs w:val="18"/>
        </w:rPr>
        <w:t>Art. 28-45 du Pacte international relatif aux droits civils et politiques.</w:t>
      </w:r>
    </w:p>
    <w:p w14:paraId="77CD9605" w14:textId="77777777" w:rsidR="00DF4DE6" w:rsidRDefault="001B2AC3" w:rsidP="00240AE0">
      <w:pPr>
        <w:pStyle w:val="Paragraphedeliste"/>
        <w:numPr>
          <w:ilvl w:val="0"/>
          <w:numId w:val="2"/>
        </w:numPr>
        <w:spacing w:after="40" w:line="264" w:lineRule="auto"/>
        <w:jc w:val="both"/>
      </w:pPr>
      <w:r>
        <w:rPr>
          <w:color w:val="333333"/>
          <w:sz w:val="18"/>
          <w:szCs w:val="18"/>
        </w:rPr>
        <w:t>Art. 1er- 15 du Protocole facultatif au Pacte international relatif aux droits économiques, sociaux et culturels.</w:t>
      </w:r>
    </w:p>
    <w:p w14:paraId="250137F4" w14:textId="77777777" w:rsidR="00DF4DE6" w:rsidRDefault="001B2AC3" w:rsidP="00240AE0">
      <w:pPr>
        <w:pStyle w:val="Paragraphedeliste"/>
        <w:numPr>
          <w:ilvl w:val="0"/>
          <w:numId w:val="2"/>
        </w:numPr>
        <w:spacing w:after="40" w:line="264" w:lineRule="auto"/>
        <w:jc w:val="both"/>
      </w:pPr>
      <w:r>
        <w:rPr>
          <w:color w:val="333333"/>
          <w:sz w:val="18"/>
          <w:szCs w:val="18"/>
        </w:rPr>
        <w:t>Art. 8-16 de la Convention internationale sur l’élimination de toutes les formes de discrimination raciale.</w:t>
      </w:r>
    </w:p>
    <w:p w14:paraId="3ACC41F7" w14:textId="77777777" w:rsidR="00DF4DE6" w:rsidRDefault="001B2AC3" w:rsidP="00240AE0">
      <w:pPr>
        <w:pStyle w:val="Paragraphedeliste"/>
        <w:numPr>
          <w:ilvl w:val="0"/>
          <w:numId w:val="2"/>
        </w:numPr>
        <w:spacing w:after="40" w:line="264" w:lineRule="auto"/>
        <w:jc w:val="both"/>
      </w:pPr>
      <w:r>
        <w:rPr>
          <w:color w:val="333333"/>
          <w:sz w:val="18"/>
          <w:szCs w:val="18"/>
        </w:rPr>
        <w:t>Art. 1er-12 du Protocole facultatif à la Convention internationale sur l’élimination de toutes les formes de discrimination à l’égard des femmes.</w:t>
      </w:r>
    </w:p>
    <w:p w14:paraId="490B6EA8" w14:textId="77777777" w:rsidR="00DF4DE6" w:rsidRDefault="001B2AC3" w:rsidP="00240AE0">
      <w:pPr>
        <w:pStyle w:val="Paragraphedeliste"/>
        <w:numPr>
          <w:ilvl w:val="0"/>
          <w:numId w:val="2"/>
        </w:numPr>
        <w:spacing w:after="40" w:line="264" w:lineRule="auto"/>
        <w:jc w:val="both"/>
      </w:pPr>
      <w:r>
        <w:rPr>
          <w:color w:val="333333"/>
          <w:sz w:val="18"/>
          <w:szCs w:val="18"/>
        </w:rPr>
        <w:lastRenderedPageBreak/>
        <w:t>Art. 17-24 de la Convention contre la torture et autres peines ou traitements cruels, inhumains ou dégradants.</w:t>
      </w:r>
    </w:p>
    <w:p w14:paraId="56A0F946" w14:textId="77777777" w:rsidR="00DF4DE6" w:rsidRDefault="001B2AC3" w:rsidP="00240AE0">
      <w:pPr>
        <w:pStyle w:val="Paragraphedeliste"/>
        <w:numPr>
          <w:ilvl w:val="0"/>
          <w:numId w:val="2"/>
        </w:numPr>
        <w:spacing w:after="40" w:line="264" w:lineRule="auto"/>
        <w:jc w:val="both"/>
      </w:pPr>
      <w:r>
        <w:rPr>
          <w:color w:val="333333"/>
          <w:sz w:val="18"/>
          <w:szCs w:val="18"/>
        </w:rPr>
        <w:t>Art. 43-45 de la Convention internationale des droits de l’enfant.</w:t>
      </w:r>
    </w:p>
    <w:p w14:paraId="7887CEE3" w14:textId="77777777" w:rsidR="00DF4DE6" w:rsidRDefault="001B2AC3" w:rsidP="00240AE0">
      <w:pPr>
        <w:pStyle w:val="Paragraphedeliste"/>
        <w:numPr>
          <w:ilvl w:val="0"/>
          <w:numId w:val="2"/>
        </w:numPr>
        <w:spacing w:after="40" w:line="264" w:lineRule="auto"/>
        <w:jc w:val="both"/>
      </w:pPr>
      <w:r>
        <w:rPr>
          <w:color w:val="333333"/>
          <w:sz w:val="18"/>
          <w:szCs w:val="18"/>
        </w:rPr>
        <w:t>Art. 72-77 de la Convention internationale sur la protection des droits de tous les travailleurs migrants et des membres de leur famille.</w:t>
      </w:r>
    </w:p>
    <w:p w14:paraId="0D18E037" w14:textId="77777777" w:rsidR="00DF4DE6" w:rsidRDefault="001B2AC3" w:rsidP="00240AE0">
      <w:pPr>
        <w:pStyle w:val="Paragraphedeliste"/>
        <w:numPr>
          <w:ilvl w:val="0"/>
          <w:numId w:val="2"/>
        </w:numPr>
        <w:spacing w:after="40" w:line="264" w:lineRule="auto"/>
        <w:jc w:val="both"/>
      </w:pPr>
      <w:r>
        <w:rPr>
          <w:color w:val="333333"/>
          <w:sz w:val="18"/>
          <w:szCs w:val="18"/>
        </w:rPr>
        <w:t>Art. 34-39 de la Convention relative aux droits des personnes handicapées.</w:t>
      </w:r>
    </w:p>
    <w:p w14:paraId="0E5E5A4D" w14:textId="77777777" w:rsidR="00DF4DE6" w:rsidRDefault="001B2AC3" w:rsidP="00240AE0">
      <w:pPr>
        <w:pStyle w:val="Paragraphedeliste"/>
        <w:numPr>
          <w:ilvl w:val="0"/>
          <w:numId w:val="2"/>
        </w:numPr>
        <w:spacing w:after="40" w:line="264" w:lineRule="auto"/>
        <w:jc w:val="both"/>
      </w:pPr>
      <w:r>
        <w:rPr>
          <w:color w:val="333333"/>
          <w:sz w:val="18"/>
          <w:szCs w:val="18"/>
        </w:rPr>
        <w:t>Art. 26-36 de la Convention internationale pour la protection de toutes les personnes contre les disparitions forcées.</w:t>
      </w:r>
    </w:p>
    <w:p w14:paraId="54BAF7EA" w14:textId="77777777" w:rsidR="00DF4DE6" w:rsidRDefault="00DF4DE6" w:rsidP="00240AE0">
      <w:pPr>
        <w:pBdr>
          <w:top w:val="single" w:sz="6" w:space="0" w:color="C7D2E0"/>
        </w:pBdr>
        <w:spacing w:before="260" w:after="180"/>
        <w:jc w:val="both"/>
      </w:pPr>
    </w:p>
    <w:p w14:paraId="23C5B1D6"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22  ·</w:t>
      </w:r>
      <w:proofErr w:type="gramEnd"/>
      <w:r>
        <w:rPr>
          <w:b/>
          <w:bCs/>
          <w:color w:val="2E5A88"/>
          <w:sz w:val="22"/>
          <w:szCs w:val="22"/>
        </w:rPr>
        <w:t xml:space="preserve">  </w:t>
      </w:r>
      <w:r>
        <w:rPr>
          <w:rFonts w:ascii="Cambria" w:eastAsia="Cambria" w:hAnsi="Cambria" w:cs="Cambria"/>
          <w:b/>
          <w:bCs/>
          <w:color w:val="1F3864"/>
        </w:rPr>
        <w:t>La Cour européenne des droits de l’homme</w:t>
      </w:r>
    </w:p>
    <w:p w14:paraId="724432CF" w14:textId="77777777" w:rsidR="00DF4DE6" w:rsidRDefault="001B2AC3" w:rsidP="00240AE0">
      <w:pPr>
        <w:spacing w:after="120"/>
        <w:jc w:val="both"/>
      </w:pPr>
      <w:r>
        <w:rPr>
          <w:i/>
          <w:iCs/>
          <w:color w:val="595959"/>
          <w:sz w:val="17"/>
          <w:szCs w:val="17"/>
        </w:rPr>
        <w:t>Fascicule, p. 217</w:t>
      </w:r>
    </w:p>
    <w:p w14:paraId="3D5E27C2" w14:textId="77777777" w:rsidR="00DF4DE6" w:rsidRDefault="001B2AC3" w:rsidP="00240AE0">
      <w:pPr>
        <w:spacing w:before="200" w:after="70"/>
        <w:jc w:val="both"/>
      </w:pPr>
      <w:r>
        <w:rPr>
          <w:b/>
          <w:bCs/>
          <w:color w:val="2E5A88"/>
          <w:spacing w:val="24"/>
          <w:sz w:val="17"/>
          <w:szCs w:val="17"/>
        </w:rPr>
        <w:t>IDÉE DIRECTRICE</w:t>
      </w:r>
    </w:p>
    <w:p w14:paraId="6028215B" w14:textId="77777777" w:rsidR="00DF4DE6" w:rsidRDefault="001B2AC3" w:rsidP="00240AE0">
      <w:pPr>
        <w:spacing w:after="60" w:line="276" w:lineRule="auto"/>
        <w:jc w:val="both"/>
      </w:pPr>
      <w:r>
        <w:t>La Cour européenne des droits de l'homme, interprète authentique de la Convention. Trois temps : le fonctionnement (formations de jugement, types de recours, étapes de la procédure) ; l'interprétation (enrichissement dynamique de la Convention, concepts modérateurs, procédure d'avis) ; la portée des arrêts (absence de force exécutoire automatique, force obligatoire à l'égard de l'État condamné, arrêts pilotes, autorité de la chose interprétée).</w:t>
      </w:r>
    </w:p>
    <w:p w14:paraId="7E947EC4" w14:textId="77777777" w:rsidR="00DF4DE6" w:rsidRDefault="001B2AC3" w:rsidP="00240AE0">
      <w:pPr>
        <w:spacing w:before="200" w:after="70"/>
        <w:jc w:val="both"/>
      </w:pPr>
      <w:r>
        <w:rPr>
          <w:b/>
          <w:bCs/>
          <w:color w:val="2E5A88"/>
          <w:spacing w:val="24"/>
          <w:sz w:val="17"/>
          <w:szCs w:val="17"/>
        </w:rPr>
        <w:t>POINTS CLÉS (ENCADRÉ DU FASCICULE)</w:t>
      </w:r>
    </w:p>
    <w:p w14:paraId="21D015D3" w14:textId="77777777" w:rsidR="00DF4DE6" w:rsidRDefault="001B2AC3" w:rsidP="00240AE0">
      <w:pPr>
        <w:pStyle w:val="Paragraphedeliste"/>
        <w:numPr>
          <w:ilvl w:val="0"/>
          <w:numId w:val="2"/>
        </w:numPr>
        <w:spacing w:after="40" w:line="264" w:lineRule="auto"/>
        <w:jc w:val="both"/>
      </w:pPr>
      <w:r>
        <w:rPr>
          <w:color w:val="1A1A1A"/>
          <w:sz w:val="19"/>
          <w:szCs w:val="19"/>
        </w:rPr>
        <w:t>Une juridiction internationale permanente de protection des droits de l’Homme.</w:t>
      </w:r>
    </w:p>
    <w:p w14:paraId="46E1F36D" w14:textId="77777777" w:rsidR="00DF4DE6" w:rsidRDefault="001B2AC3" w:rsidP="00240AE0">
      <w:pPr>
        <w:pStyle w:val="Paragraphedeliste"/>
        <w:numPr>
          <w:ilvl w:val="0"/>
          <w:numId w:val="2"/>
        </w:numPr>
        <w:spacing w:after="40" w:line="264" w:lineRule="auto"/>
        <w:jc w:val="both"/>
      </w:pPr>
      <w:r>
        <w:rPr>
          <w:color w:val="1A1A1A"/>
          <w:sz w:val="19"/>
          <w:szCs w:val="19"/>
        </w:rPr>
        <w:t>L’interprète authentique de la Convention EDH.</w:t>
      </w:r>
    </w:p>
    <w:p w14:paraId="65448A24" w14:textId="77777777" w:rsidR="00DF4DE6" w:rsidRDefault="001B2AC3" w:rsidP="00240AE0">
      <w:pPr>
        <w:pStyle w:val="Paragraphedeliste"/>
        <w:numPr>
          <w:ilvl w:val="0"/>
          <w:numId w:val="2"/>
        </w:numPr>
        <w:spacing w:after="40" w:line="264" w:lineRule="auto"/>
        <w:jc w:val="both"/>
      </w:pPr>
      <w:r>
        <w:rPr>
          <w:color w:val="1A1A1A"/>
          <w:sz w:val="19"/>
          <w:szCs w:val="19"/>
        </w:rPr>
        <w:t>Une interprétation dynamique et évolutive de la Convention.</w:t>
      </w:r>
    </w:p>
    <w:p w14:paraId="1174765A" w14:textId="77777777" w:rsidR="00DF4DE6" w:rsidRDefault="001B2AC3" w:rsidP="00240AE0">
      <w:pPr>
        <w:spacing w:before="200" w:after="70"/>
        <w:jc w:val="both"/>
      </w:pPr>
      <w:r>
        <w:rPr>
          <w:b/>
          <w:bCs/>
          <w:color w:val="2E5A88"/>
          <w:spacing w:val="24"/>
          <w:sz w:val="17"/>
          <w:szCs w:val="17"/>
        </w:rPr>
        <w:t>PLAN DE LA FICHE</w:t>
      </w:r>
    </w:p>
    <w:p w14:paraId="3BED040E" w14:textId="77777777" w:rsidR="00DF4DE6" w:rsidRDefault="001B2AC3" w:rsidP="00240AE0">
      <w:pPr>
        <w:spacing w:after="20" w:line="250" w:lineRule="auto"/>
        <w:ind w:left="240"/>
        <w:jc w:val="both"/>
      </w:pPr>
      <w:r>
        <w:rPr>
          <w:b/>
          <w:bCs/>
          <w:color w:val="1F3864"/>
          <w:sz w:val="19"/>
          <w:szCs w:val="19"/>
        </w:rPr>
        <w:t>1. Le fonctionnement institutionnel de la Cour</w:t>
      </w:r>
    </w:p>
    <w:p w14:paraId="0EC1711E" w14:textId="77777777" w:rsidR="00DF4DE6" w:rsidRDefault="001B2AC3" w:rsidP="00240AE0">
      <w:pPr>
        <w:spacing w:after="20" w:line="250" w:lineRule="auto"/>
        <w:ind w:left="500"/>
        <w:jc w:val="both"/>
      </w:pPr>
      <w:r>
        <w:rPr>
          <w:color w:val="333333"/>
          <w:sz w:val="18"/>
          <w:szCs w:val="18"/>
        </w:rPr>
        <w:t>1.1. La hiérarchisation des formations de jugement</w:t>
      </w:r>
    </w:p>
    <w:p w14:paraId="2E1D522F" w14:textId="77777777" w:rsidR="00DF4DE6" w:rsidRDefault="001B2AC3" w:rsidP="00240AE0">
      <w:pPr>
        <w:spacing w:after="20" w:line="250" w:lineRule="auto"/>
        <w:ind w:left="500"/>
        <w:jc w:val="both"/>
      </w:pPr>
      <w:r>
        <w:rPr>
          <w:color w:val="333333"/>
          <w:sz w:val="18"/>
          <w:szCs w:val="18"/>
        </w:rPr>
        <w:t>1.2. Les différents types de recours</w:t>
      </w:r>
    </w:p>
    <w:p w14:paraId="35E69716" w14:textId="77777777" w:rsidR="00DF4DE6" w:rsidRDefault="001B2AC3" w:rsidP="00240AE0">
      <w:pPr>
        <w:spacing w:after="20" w:line="250" w:lineRule="auto"/>
        <w:ind w:left="500"/>
        <w:jc w:val="both"/>
      </w:pPr>
      <w:r>
        <w:rPr>
          <w:color w:val="333333"/>
          <w:sz w:val="18"/>
          <w:szCs w:val="18"/>
        </w:rPr>
        <w:t>1.3. Les différentes étapes de la procédure contentieuse</w:t>
      </w:r>
    </w:p>
    <w:p w14:paraId="6A3F01CE" w14:textId="77777777" w:rsidR="00DF4DE6" w:rsidRDefault="001B2AC3" w:rsidP="00240AE0">
      <w:pPr>
        <w:spacing w:after="20" w:line="250" w:lineRule="auto"/>
        <w:ind w:left="240"/>
        <w:jc w:val="both"/>
      </w:pPr>
      <w:r>
        <w:rPr>
          <w:b/>
          <w:bCs/>
          <w:color w:val="1F3864"/>
          <w:sz w:val="19"/>
          <w:szCs w:val="19"/>
        </w:rPr>
        <w:t>2. L’interprétation de la Convention</w:t>
      </w:r>
    </w:p>
    <w:p w14:paraId="0E351B5F" w14:textId="77777777" w:rsidR="00DF4DE6" w:rsidRDefault="001B2AC3" w:rsidP="00240AE0">
      <w:pPr>
        <w:spacing w:after="20" w:line="250" w:lineRule="auto"/>
        <w:ind w:left="500"/>
        <w:jc w:val="both"/>
      </w:pPr>
      <w:r>
        <w:rPr>
          <w:color w:val="333333"/>
          <w:sz w:val="18"/>
          <w:szCs w:val="18"/>
        </w:rPr>
        <w:t>2.1. L’activité juridictionnelle de la Cour</w:t>
      </w:r>
    </w:p>
    <w:p w14:paraId="2667D5B1" w14:textId="77777777" w:rsidR="00DF4DE6" w:rsidRDefault="001B2AC3" w:rsidP="00240AE0">
      <w:pPr>
        <w:spacing w:after="20" w:line="250" w:lineRule="auto"/>
        <w:ind w:left="760"/>
        <w:jc w:val="both"/>
      </w:pPr>
      <w:r>
        <w:rPr>
          <w:color w:val="595959"/>
          <w:sz w:val="18"/>
          <w:szCs w:val="18"/>
        </w:rPr>
        <w:t>2.1.1. L’enrichissement de la Convention par l’interprétation dynamique de la Cour</w:t>
      </w:r>
    </w:p>
    <w:p w14:paraId="787DBA65" w14:textId="77777777" w:rsidR="00DF4DE6" w:rsidRDefault="001B2AC3" w:rsidP="00240AE0">
      <w:pPr>
        <w:spacing w:after="20" w:line="250" w:lineRule="auto"/>
        <w:ind w:left="760"/>
        <w:jc w:val="both"/>
      </w:pPr>
      <w:r>
        <w:rPr>
          <w:color w:val="595959"/>
          <w:sz w:val="18"/>
          <w:szCs w:val="18"/>
        </w:rPr>
        <w:t>2.1.2. La découverte de concepts modérateurs de la Convention</w:t>
      </w:r>
    </w:p>
    <w:p w14:paraId="0A649F65" w14:textId="77777777" w:rsidR="00DF4DE6" w:rsidRDefault="001B2AC3" w:rsidP="00240AE0">
      <w:pPr>
        <w:spacing w:after="20" w:line="250" w:lineRule="auto"/>
        <w:ind w:left="500"/>
        <w:jc w:val="both"/>
      </w:pPr>
      <w:r>
        <w:rPr>
          <w:color w:val="333333"/>
          <w:sz w:val="18"/>
          <w:szCs w:val="18"/>
        </w:rPr>
        <w:t>2.2. La procédure d’avis de la Cour</w:t>
      </w:r>
    </w:p>
    <w:p w14:paraId="51438BFB" w14:textId="77777777" w:rsidR="00DF4DE6" w:rsidRDefault="001B2AC3" w:rsidP="00240AE0">
      <w:pPr>
        <w:spacing w:after="20" w:line="250" w:lineRule="auto"/>
        <w:ind w:left="240"/>
        <w:jc w:val="both"/>
      </w:pPr>
      <w:r>
        <w:rPr>
          <w:b/>
          <w:bCs/>
          <w:color w:val="1F3864"/>
          <w:sz w:val="19"/>
          <w:szCs w:val="19"/>
        </w:rPr>
        <w:t>3. La portée des arrêts de la Cour</w:t>
      </w:r>
    </w:p>
    <w:p w14:paraId="275DEF0E" w14:textId="77777777" w:rsidR="00DF4DE6" w:rsidRDefault="001B2AC3" w:rsidP="00240AE0">
      <w:pPr>
        <w:spacing w:after="20" w:line="250" w:lineRule="auto"/>
        <w:ind w:left="500"/>
        <w:jc w:val="both"/>
      </w:pPr>
      <w:r>
        <w:rPr>
          <w:color w:val="333333"/>
          <w:sz w:val="18"/>
          <w:szCs w:val="18"/>
        </w:rPr>
        <w:t>3.1. L’absence de force exécutoire automatique en droit interne</w:t>
      </w:r>
    </w:p>
    <w:p w14:paraId="59A8C1E1" w14:textId="77777777" w:rsidR="00DF4DE6" w:rsidRDefault="001B2AC3" w:rsidP="00240AE0">
      <w:pPr>
        <w:spacing w:after="20" w:line="250" w:lineRule="auto"/>
        <w:ind w:left="500"/>
        <w:jc w:val="both"/>
      </w:pPr>
      <w:r>
        <w:rPr>
          <w:color w:val="333333"/>
          <w:sz w:val="18"/>
          <w:szCs w:val="18"/>
        </w:rPr>
        <w:t>3.2. La force obligatoire des arrêts de condamnation à l’égard des États condamnés</w:t>
      </w:r>
    </w:p>
    <w:p w14:paraId="3A22ADC1" w14:textId="77777777" w:rsidR="00DF4DE6" w:rsidRDefault="001B2AC3" w:rsidP="00240AE0">
      <w:pPr>
        <w:spacing w:after="20" w:line="250" w:lineRule="auto"/>
        <w:ind w:left="760"/>
        <w:jc w:val="both"/>
      </w:pPr>
      <w:r>
        <w:rPr>
          <w:color w:val="595959"/>
          <w:sz w:val="18"/>
          <w:szCs w:val="18"/>
        </w:rPr>
        <w:t>3.2.1. La force obligatoire des arrêts de la Cour</w:t>
      </w:r>
    </w:p>
    <w:p w14:paraId="5F7096DC" w14:textId="77777777" w:rsidR="00DF4DE6" w:rsidRDefault="001B2AC3" w:rsidP="00240AE0">
      <w:pPr>
        <w:spacing w:after="20" w:line="250" w:lineRule="auto"/>
        <w:ind w:left="760"/>
        <w:jc w:val="both"/>
      </w:pPr>
      <w:r>
        <w:rPr>
          <w:color w:val="595959"/>
          <w:sz w:val="18"/>
          <w:szCs w:val="18"/>
        </w:rPr>
        <w:t>3.2.2. La procédure des arrêts pilotes</w:t>
      </w:r>
    </w:p>
    <w:p w14:paraId="7D585647" w14:textId="77777777" w:rsidR="00DF4DE6" w:rsidRDefault="001B2AC3" w:rsidP="00240AE0">
      <w:pPr>
        <w:spacing w:before="200" w:after="70"/>
        <w:jc w:val="both"/>
      </w:pPr>
      <w:r>
        <w:rPr>
          <w:b/>
          <w:bCs/>
          <w:color w:val="2E5A88"/>
          <w:spacing w:val="24"/>
          <w:sz w:val="17"/>
          <w:szCs w:val="17"/>
        </w:rPr>
        <w:t>RÉFÉRENCES CENTRALES</w:t>
      </w:r>
    </w:p>
    <w:p w14:paraId="40F2D243" w14:textId="77777777" w:rsidR="00DF4DE6" w:rsidRDefault="001B2AC3" w:rsidP="00240AE0">
      <w:pPr>
        <w:pStyle w:val="Paragraphedeliste"/>
        <w:numPr>
          <w:ilvl w:val="0"/>
          <w:numId w:val="2"/>
        </w:numPr>
        <w:spacing w:after="40" w:line="264" w:lineRule="auto"/>
        <w:jc w:val="both"/>
      </w:pPr>
      <w:r>
        <w:rPr>
          <w:color w:val="333333"/>
          <w:sz w:val="18"/>
          <w:szCs w:val="18"/>
        </w:rPr>
        <w:t>CEDH, 23 juillet 1968, Affaire relative à certains aspects du régime linguistique de l’enseignement en Belgique c. Belgique, no 1474/62 et a.</w:t>
      </w:r>
    </w:p>
    <w:p w14:paraId="3E79208B" w14:textId="77777777" w:rsidR="00DF4DE6" w:rsidRDefault="001B2AC3" w:rsidP="00240AE0">
      <w:pPr>
        <w:pStyle w:val="Paragraphedeliste"/>
        <w:numPr>
          <w:ilvl w:val="0"/>
          <w:numId w:val="2"/>
        </w:numPr>
        <w:spacing w:after="40" w:line="264" w:lineRule="auto"/>
        <w:jc w:val="both"/>
      </w:pPr>
      <w:r>
        <w:rPr>
          <w:color w:val="333333"/>
          <w:sz w:val="18"/>
          <w:szCs w:val="18"/>
        </w:rPr>
        <w:t>CEDH, AP., 21 février 1975, Golder c. Royaume-Uni, no 4451/70.</w:t>
      </w:r>
    </w:p>
    <w:p w14:paraId="47E243EC" w14:textId="77777777" w:rsidR="00DF4DE6" w:rsidRDefault="001B2AC3" w:rsidP="00240AE0">
      <w:pPr>
        <w:pStyle w:val="Paragraphedeliste"/>
        <w:numPr>
          <w:ilvl w:val="0"/>
          <w:numId w:val="2"/>
        </w:numPr>
        <w:spacing w:after="40" w:line="264" w:lineRule="auto"/>
        <w:jc w:val="both"/>
      </w:pPr>
      <w:r>
        <w:rPr>
          <w:color w:val="333333"/>
          <w:sz w:val="18"/>
          <w:szCs w:val="18"/>
        </w:rPr>
        <w:t>CEDH, 9 octobre 1979, Airey c. Irlande, no 6289/73.</w:t>
      </w:r>
    </w:p>
    <w:p w14:paraId="4E547CE4" w14:textId="77777777" w:rsidR="00DF4DE6" w:rsidRDefault="001B2AC3" w:rsidP="00240AE0">
      <w:pPr>
        <w:pStyle w:val="Paragraphedeliste"/>
        <w:numPr>
          <w:ilvl w:val="0"/>
          <w:numId w:val="2"/>
        </w:numPr>
        <w:spacing w:after="40" w:line="264" w:lineRule="auto"/>
        <w:jc w:val="both"/>
      </w:pPr>
      <w:r>
        <w:rPr>
          <w:color w:val="333333"/>
          <w:sz w:val="18"/>
          <w:szCs w:val="18"/>
        </w:rPr>
        <w:t xml:space="preserve">CEDH, GC., 6 avril 2000, </w:t>
      </w:r>
      <w:proofErr w:type="spellStart"/>
      <w:r>
        <w:rPr>
          <w:color w:val="333333"/>
          <w:sz w:val="18"/>
          <w:szCs w:val="18"/>
        </w:rPr>
        <w:t>Thlimmenos</w:t>
      </w:r>
      <w:proofErr w:type="spellEnd"/>
      <w:r>
        <w:rPr>
          <w:color w:val="333333"/>
          <w:sz w:val="18"/>
          <w:szCs w:val="18"/>
        </w:rPr>
        <w:t xml:space="preserve"> c. Grèce, no 34369/97.</w:t>
      </w:r>
    </w:p>
    <w:p w14:paraId="1A480D99" w14:textId="77777777" w:rsidR="00DF4DE6" w:rsidRDefault="001B2AC3" w:rsidP="00240AE0">
      <w:pPr>
        <w:pStyle w:val="Paragraphedeliste"/>
        <w:numPr>
          <w:ilvl w:val="0"/>
          <w:numId w:val="2"/>
        </w:numPr>
        <w:spacing w:after="40" w:line="264" w:lineRule="auto"/>
        <w:jc w:val="both"/>
      </w:pPr>
      <w:r>
        <w:rPr>
          <w:color w:val="333333"/>
          <w:sz w:val="18"/>
          <w:szCs w:val="18"/>
        </w:rPr>
        <w:t>CEDH, GC., 22 juin 2004, Broniowski c. Pologne, no 31443/96.</w:t>
      </w:r>
    </w:p>
    <w:p w14:paraId="593E6718" w14:textId="77777777" w:rsidR="00DF4DE6" w:rsidRDefault="00DF4DE6" w:rsidP="00240AE0">
      <w:pPr>
        <w:pBdr>
          <w:top w:val="single" w:sz="6" w:space="0" w:color="C7D2E0"/>
        </w:pBdr>
        <w:spacing w:before="260" w:after="180"/>
        <w:jc w:val="both"/>
      </w:pPr>
    </w:p>
    <w:p w14:paraId="4A05EC9E"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23  ·</w:t>
      </w:r>
      <w:proofErr w:type="gramEnd"/>
      <w:r>
        <w:rPr>
          <w:b/>
          <w:bCs/>
          <w:color w:val="2E5A88"/>
          <w:sz w:val="22"/>
          <w:szCs w:val="22"/>
        </w:rPr>
        <w:t xml:space="preserve">  </w:t>
      </w:r>
      <w:r>
        <w:rPr>
          <w:rFonts w:ascii="Cambria" w:eastAsia="Cambria" w:hAnsi="Cambria" w:cs="Cambria"/>
          <w:b/>
          <w:bCs/>
          <w:color w:val="1F3864"/>
        </w:rPr>
        <w:t>La Cour de justice de l’Union européenne</w:t>
      </w:r>
    </w:p>
    <w:p w14:paraId="60534EA0" w14:textId="77777777" w:rsidR="00DF4DE6" w:rsidRDefault="001B2AC3" w:rsidP="00240AE0">
      <w:pPr>
        <w:spacing w:after="120"/>
        <w:jc w:val="both"/>
      </w:pPr>
      <w:r>
        <w:rPr>
          <w:i/>
          <w:iCs/>
          <w:color w:val="595959"/>
          <w:sz w:val="17"/>
          <w:szCs w:val="17"/>
        </w:rPr>
        <w:t>Fascicule, p. 227</w:t>
      </w:r>
    </w:p>
    <w:p w14:paraId="76FC392C" w14:textId="77777777" w:rsidR="00DF4DE6" w:rsidRDefault="001B2AC3" w:rsidP="00240AE0">
      <w:pPr>
        <w:spacing w:before="200" w:after="70"/>
        <w:jc w:val="both"/>
      </w:pPr>
      <w:r>
        <w:rPr>
          <w:b/>
          <w:bCs/>
          <w:color w:val="2E5A88"/>
          <w:spacing w:val="24"/>
          <w:sz w:val="17"/>
          <w:szCs w:val="17"/>
        </w:rPr>
        <w:t>IDÉE DIRECTRICE</w:t>
      </w:r>
    </w:p>
    <w:p w14:paraId="452A4026" w14:textId="77777777" w:rsidR="00DF4DE6" w:rsidRDefault="001B2AC3" w:rsidP="00240AE0">
      <w:pPr>
        <w:spacing w:after="60" w:line="276" w:lineRule="auto"/>
        <w:jc w:val="both"/>
      </w:pPr>
      <w:r>
        <w:lastRenderedPageBreak/>
        <w:t xml:space="preserve">La Cour de justice de l'Union européenne. Ses voies d'accès (annulation devant le Tribunal, renvoi préjudiciel, manquement), la difficulté d'accès des particuliers (jurisprudence </w:t>
      </w:r>
      <w:proofErr w:type="spellStart"/>
      <w:r>
        <w:t>Plaumann</w:t>
      </w:r>
      <w:proofErr w:type="spellEnd"/>
      <w:r>
        <w:t>, corrigée par l'article 47 de la Charte), puis la logique de subsidiarité juridictionnelle qui fait du juge national le premier juge des droits. La fiche se termine sur les rapports CJUE / juridictions nationales et CJUE / Cour européenne : concurrence ou synergie ?</w:t>
      </w:r>
    </w:p>
    <w:p w14:paraId="00EBD2B1" w14:textId="77777777" w:rsidR="00DF4DE6" w:rsidRDefault="001B2AC3" w:rsidP="00240AE0">
      <w:pPr>
        <w:spacing w:before="200" w:after="70"/>
        <w:jc w:val="both"/>
      </w:pPr>
      <w:r>
        <w:rPr>
          <w:b/>
          <w:bCs/>
          <w:color w:val="2E5A88"/>
          <w:spacing w:val="24"/>
          <w:sz w:val="17"/>
          <w:szCs w:val="17"/>
        </w:rPr>
        <w:t>POINTS CLÉS (ENCADRÉ DU FASCICULE)</w:t>
      </w:r>
    </w:p>
    <w:p w14:paraId="71FE7E74" w14:textId="77777777" w:rsidR="00DF4DE6" w:rsidRDefault="001B2AC3" w:rsidP="00240AE0">
      <w:pPr>
        <w:pStyle w:val="Paragraphedeliste"/>
        <w:numPr>
          <w:ilvl w:val="0"/>
          <w:numId w:val="2"/>
        </w:numPr>
        <w:spacing w:after="40" w:line="264" w:lineRule="auto"/>
        <w:jc w:val="both"/>
      </w:pPr>
      <w:proofErr w:type="gramStart"/>
      <w:r>
        <w:rPr>
          <w:color w:val="1A1A1A"/>
          <w:sz w:val="19"/>
          <w:szCs w:val="19"/>
        </w:rPr>
        <w:t>Fonctions contentieuse</w:t>
      </w:r>
      <w:proofErr w:type="gramEnd"/>
      <w:r>
        <w:rPr>
          <w:color w:val="1A1A1A"/>
          <w:sz w:val="19"/>
          <w:szCs w:val="19"/>
        </w:rPr>
        <w:t>, régulatrice et consultative.</w:t>
      </w:r>
    </w:p>
    <w:p w14:paraId="4B462426" w14:textId="77777777" w:rsidR="00DF4DE6" w:rsidRDefault="001B2AC3" w:rsidP="00240AE0">
      <w:pPr>
        <w:pStyle w:val="Paragraphedeliste"/>
        <w:numPr>
          <w:ilvl w:val="0"/>
          <w:numId w:val="2"/>
        </w:numPr>
        <w:spacing w:after="40" w:line="264" w:lineRule="auto"/>
        <w:jc w:val="both"/>
      </w:pPr>
      <w:r>
        <w:rPr>
          <w:color w:val="1A1A1A"/>
          <w:sz w:val="19"/>
          <w:szCs w:val="19"/>
        </w:rPr>
        <w:t>Contrôle de la légalité des actes de l’Union européenne.</w:t>
      </w:r>
    </w:p>
    <w:p w14:paraId="5CE59C58" w14:textId="77777777" w:rsidR="00DF4DE6" w:rsidRDefault="001B2AC3" w:rsidP="00240AE0">
      <w:pPr>
        <w:pStyle w:val="Paragraphedeliste"/>
        <w:numPr>
          <w:ilvl w:val="0"/>
          <w:numId w:val="2"/>
        </w:numPr>
        <w:spacing w:after="40" w:line="264" w:lineRule="auto"/>
        <w:jc w:val="both"/>
      </w:pPr>
      <w:r>
        <w:rPr>
          <w:color w:val="1A1A1A"/>
          <w:sz w:val="19"/>
          <w:szCs w:val="19"/>
        </w:rPr>
        <w:t>Requérants non privilégiés : accès difficile des particuliers à la Cour de justice.</w:t>
      </w:r>
    </w:p>
    <w:p w14:paraId="6FABD44D" w14:textId="77777777" w:rsidR="00DF4DE6" w:rsidRDefault="001B2AC3" w:rsidP="00240AE0">
      <w:pPr>
        <w:pStyle w:val="Paragraphedeliste"/>
        <w:numPr>
          <w:ilvl w:val="0"/>
          <w:numId w:val="2"/>
        </w:numPr>
        <w:spacing w:after="40" w:line="264" w:lineRule="auto"/>
        <w:jc w:val="both"/>
      </w:pPr>
      <w:r>
        <w:rPr>
          <w:color w:val="1A1A1A"/>
          <w:sz w:val="19"/>
          <w:szCs w:val="19"/>
        </w:rPr>
        <w:t>Collaboration avec les juridictions nationales : subsidiarité juridictionnelle.</w:t>
      </w:r>
    </w:p>
    <w:p w14:paraId="2DFC833D" w14:textId="77777777" w:rsidR="00DF4DE6" w:rsidRDefault="001B2AC3" w:rsidP="00240AE0">
      <w:pPr>
        <w:pStyle w:val="Paragraphedeliste"/>
        <w:numPr>
          <w:ilvl w:val="0"/>
          <w:numId w:val="2"/>
        </w:numPr>
        <w:spacing w:after="40" w:line="264" w:lineRule="auto"/>
        <w:jc w:val="both"/>
      </w:pPr>
      <w:r>
        <w:rPr>
          <w:color w:val="1A1A1A"/>
          <w:sz w:val="19"/>
          <w:szCs w:val="19"/>
        </w:rPr>
        <w:t>Interprétation uniforme du droit de l’Union européenne.</w:t>
      </w:r>
    </w:p>
    <w:p w14:paraId="4B4378FA" w14:textId="77777777" w:rsidR="00DF4DE6" w:rsidRDefault="001B2AC3" w:rsidP="00240AE0">
      <w:pPr>
        <w:pStyle w:val="Paragraphedeliste"/>
        <w:numPr>
          <w:ilvl w:val="0"/>
          <w:numId w:val="2"/>
        </w:numPr>
        <w:spacing w:after="40" w:line="264" w:lineRule="auto"/>
        <w:jc w:val="both"/>
      </w:pPr>
      <w:r>
        <w:rPr>
          <w:color w:val="1A1A1A"/>
          <w:sz w:val="19"/>
          <w:szCs w:val="19"/>
        </w:rPr>
        <w:t>Rôle du juge national dans la protection des justiciables.</w:t>
      </w:r>
    </w:p>
    <w:p w14:paraId="7684E309" w14:textId="77777777" w:rsidR="00DF4DE6" w:rsidRDefault="001B2AC3" w:rsidP="00240AE0">
      <w:pPr>
        <w:pStyle w:val="Paragraphedeliste"/>
        <w:numPr>
          <w:ilvl w:val="0"/>
          <w:numId w:val="2"/>
        </w:numPr>
        <w:spacing w:after="40" w:line="264" w:lineRule="auto"/>
        <w:jc w:val="both"/>
      </w:pPr>
      <w:r>
        <w:rPr>
          <w:color w:val="1A1A1A"/>
          <w:sz w:val="19"/>
          <w:szCs w:val="19"/>
        </w:rPr>
        <w:t>Droit au juge et protection juridictionnelle effective.</w:t>
      </w:r>
    </w:p>
    <w:p w14:paraId="6306D6C4" w14:textId="77777777" w:rsidR="00DF4DE6" w:rsidRDefault="001B2AC3" w:rsidP="00240AE0">
      <w:pPr>
        <w:spacing w:before="200" w:after="70"/>
        <w:jc w:val="both"/>
      </w:pPr>
      <w:r>
        <w:rPr>
          <w:b/>
          <w:bCs/>
          <w:color w:val="2E5A88"/>
          <w:spacing w:val="24"/>
          <w:sz w:val="17"/>
          <w:szCs w:val="17"/>
        </w:rPr>
        <w:t>PLAN DE LA FICHE</w:t>
      </w:r>
    </w:p>
    <w:p w14:paraId="1869F8D8" w14:textId="77777777" w:rsidR="00DF4DE6" w:rsidRDefault="001B2AC3" w:rsidP="00240AE0">
      <w:pPr>
        <w:spacing w:after="20" w:line="250" w:lineRule="auto"/>
        <w:ind w:left="240"/>
        <w:jc w:val="both"/>
      </w:pPr>
      <w:r>
        <w:rPr>
          <w:b/>
          <w:bCs/>
          <w:color w:val="1F3864"/>
          <w:sz w:val="19"/>
          <w:szCs w:val="19"/>
        </w:rPr>
        <w:t>1. L’institution, ses missions et son fonctionnement</w:t>
      </w:r>
    </w:p>
    <w:p w14:paraId="347C2F91" w14:textId="77777777" w:rsidR="00DF4DE6" w:rsidRDefault="001B2AC3" w:rsidP="00240AE0">
      <w:pPr>
        <w:spacing w:after="20" w:line="250" w:lineRule="auto"/>
        <w:ind w:left="760"/>
        <w:jc w:val="both"/>
      </w:pPr>
      <w:r>
        <w:rPr>
          <w:color w:val="595959"/>
          <w:sz w:val="18"/>
          <w:szCs w:val="18"/>
        </w:rPr>
        <w:t>1.1.1. Le recours en annulation devant le Tribunal</w:t>
      </w:r>
    </w:p>
    <w:p w14:paraId="1B3990E4" w14:textId="77777777" w:rsidR="00DF4DE6" w:rsidRDefault="001B2AC3" w:rsidP="00240AE0">
      <w:pPr>
        <w:spacing w:after="20" w:line="250" w:lineRule="auto"/>
        <w:ind w:left="760"/>
        <w:jc w:val="both"/>
      </w:pPr>
      <w:r>
        <w:rPr>
          <w:color w:val="595959"/>
          <w:sz w:val="18"/>
          <w:szCs w:val="18"/>
        </w:rPr>
        <w:t>1.1.2. La question préjudicielle posée à la Cour de justice</w:t>
      </w:r>
    </w:p>
    <w:p w14:paraId="0A782BAF" w14:textId="77777777" w:rsidR="00DF4DE6" w:rsidRDefault="001B2AC3" w:rsidP="00240AE0">
      <w:pPr>
        <w:spacing w:after="20" w:line="250" w:lineRule="auto"/>
        <w:ind w:left="500"/>
        <w:jc w:val="both"/>
      </w:pPr>
      <w:r>
        <w:rPr>
          <w:color w:val="333333"/>
          <w:sz w:val="18"/>
          <w:szCs w:val="18"/>
        </w:rPr>
        <w:t>1.2. L’accès limité des particuliers à la Cour de justice</w:t>
      </w:r>
    </w:p>
    <w:p w14:paraId="3F309C89" w14:textId="77777777" w:rsidR="00DF4DE6" w:rsidRDefault="001B2AC3" w:rsidP="00240AE0">
      <w:pPr>
        <w:spacing w:after="20" w:line="250" w:lineRule="auto"/>
        <w:ind w:left="760"/>
        <w:jc w:val="both"/>
      </w:pPr>
      <w:r>
        <w:rPr>
          <w:color w:val="595959"/>
          <w:sz w:val="18"/>
          <w:szCs w:val="18"/>
        </w:rPr>
        <w:t xml:space="preserve">1.2.1. Les conditions strictes de la jurisprudence </w:t>
      </w:r>
      <w:proofErr w:type="spellStart"/>
      <w:r>
        <w:rPr>
          <w:color w:val="595959"/>
          <w:sz w:val="18"/>
          <w:szCs w:val="18"/>
        </w:rPr>
        <w:t>Plaumann</w:t>
      </w:r>
      <w:proofErr w:type="spellEnd"/>
    </w:p>
    <w:p w14:paraId="46F203F1" w14:textId="77777777" w:rsidR="00DF4DE6" w:rsidRDefault="001B2AC3" w:rsidP="00240AE0">
      <w:pPr>
        <w:spacing w:after="20" w:line="250" w:lineRule="auto"/>
        <w:ind w:left="760"/>
        <w:jc w:val="both"/>
      </w:pPr>
      <w:r>
        <w:rPr>
          <w:color w:val="595959"/>
          <w:sz w:val="18"/>
          <w:szCs w:val="18"/>
        </w:rPr>
        <w:t>1.2.2. Le droit à un recours effectif consacré par la Charte</w:t>
      </w:r>
    </w:p>
    <w:p w14:paraId="4D8E1C07" w14:textId="77777777" w:rsidR="00DF4DE6" w:rsidRDefault="001B2AC3" w:rsidP="00240AE0">
      <w:pPr>
        <w:spacing w:after="20" w:line="250" w:lineRule="auto"/>
        <w:ind w:left="500"/>
        <w:jc w:val="both"/>
      </w:pPr>
      <w:r>
        <w:rPr>
          <w:color w:val="333333"/>
          <w:sz w:val="18"/>
          <w:szCs w:val="18"/>
        </w:rPr>
        <w:t>1.3. Les recours en manquement en cas de violation des droits fondamentaux par un État</w:t>
      </w:r>
    </w:p>
    <w:p w14:paraId="5FD60C76" w14:textId="77777777" w:rsidR="00DF4DE6" w:rsidRDefault="001B2AC3" w:rsidP="00240AE0">
      <w:pPr>
        <w:spacing w:after="20" w:line="250" w:lineRule="auto"/>
        <w:ind w:left="240"/>
        <w:jc w:val="both"/>
      </w:pPr>
      <w:r>
        <w:rPr>
          <w:b/>
          <w:bCs/>
          <w:color w:val="1F3864"/>
          <w:sz w:val="19"/>
          <w:szCs w:val="19"/>
        </w:rPr>
        <w:t>2. Protection des droits fondamentaux sous l’angle de la subsidiarité juridictionnelle</w:t>
      </w:r>
    </w:p>
    <w:p w14:paraId="31A8F57E" w14:textId="77777777" w:rsidR="00DF4DE6" w:rsidRDefault="001B2AC3" w:rsidP="00240AE0">
      <w:pPr>
        <w:spacing w:after="20" w:line="250" w:lineRule="auto"/>
        <w:ind w:left="500"/>
        <w:jc w:val="both"/>
      </w:pPr>
      <w:r>
        <w:rPr>
          <w:color w:val="333333"/>
          <w:sz w:val="18"/>
          <w:szCs w:val="18"/>
        </w:rPr>
        <w:t>2.1. La compétence première des juridictions nationales</w:t>
      </w:r>
    </w:p>
    <w:p w14:paraId="39DEA875" w14:textId="77777777" w:rsidR="00DF4DE6" w:rsidRDefault="001B2AC3" w:rsidP="00240AE0">
      <w:pPr>
        <w:spacing w:after="20" w:line="250" w:lineRule="auto"/>
        <w:ind w:left="500"/>
        <w:jc w:val="both"/>
      </w:pPr>
      <w:r>
        <w:rPr>
          <w:color w:val="333333"/>
          <w:sz w:val="18"/>
          <w:szCs w:val="18"/>
        </w:rPr>
        <w:t>2.2. La complémentarité des voies de droit de l’Union et des États membres</w:t>
      </w:r>
    </w:p>
    <w:p w14:paraId="2DF1677F" w14:textId="77777777" w:rsidR="00DF4DE6" w:rsidRDefault="001B2AC3" w:rsidP="00240AE0">
      <w:pPr>
        <w:spacing w:after="20" w:line="250" w:lineRule="auto"/>
        <w:ind w:left="240"/>
        <w:jc w:val="both"/>
      </w:pPr>
      <w:r>
        <w:rPr>
          <w:b/>
          <w:bCs/>
          <w:color w:val="1F3864"/>
          <w:sz w:val="19"/>
          <w:szCs w:val="19"/>
        </w:rPr>
        <w:t>3. La Cour de justice et les autres juridictions protectrices des libertés : concurrence ou synergie ?</w:t>
      </w:r>
    </w:p>
    <w:p w14:paraId="211C488F" w14:textId="77777777" w:rsidR="00DF4DE6" w:rsidRDefault="001B2AC3" w:rsidP="00240AE0">
      <w:pPr>
        <w:spacing w:after="20" w:line="250" w:lineRule="auto"/>
        <w:ind w:left="500"/>
        <w:jc w:val="both"/>
      </w:pPr>
      <w:r>
        <w:rPr>
          <w:color w:val="333333"/>
          <w:sz w:val="18"/>
          <w:szCs w:val="18"/>
        </w:rPr>
        <w:t>3.1. Les rapports de la Cour de justice avec les juridictions des États membres</w:t>
      </w:r>
    </w:p>
    <w:p w14:paraId="55184C1F" w14:textId="77777777" w:rsidR="00DF4DE6" w:rsidRDefault="001B2AC3" w:rsidP="00240AE0">
      <w:pPr>
        <w:spacing w:after="20" w:line="250" w:lineRule="auto"/>
        <w:ind w:left="760"/>
        <w:jc w:val="both"/>
      </w:pPr>
      <w:r>
        <w:rPr>
          <w:color w:val="595959"/>
          <w:sz w:val="18"/>
          <w:szCs w:val="18"/>
        </w:rPr>
        <w:t>3.1.1. Le renvoi préjudiciel en interprétation : une coopération indispensable des juges</w:t>
      </w:r>
    </w:p>
    <w:p w14:paraId="202D279E" w14:textId="77777777" w:rsidR="00DF4DE6" w:rsidRDefault="001B2AC3" w:rsidP="00240AE0">
      <w:pPr>
        <w:spacing w:after="20" w:line="250" w:lineRule="auto"/>
        <w:ind w:left="760"/>
        <w:jc w:val="both"/>
      </w:pPr>
      <w:r>
        <w:rPr>
          <w:color w:val="595959"/>
          <w:sz w:val="18"/>
          <w:szCs w:val="18"/>
        </w:rPr>
        <w:t>3.1.2. Protection juridictionnelle effective : protection du justiciable ou de la norme européenne</w:t>
      </w:r>
    </w:p>
    <w:p w14:paraId="7F559084" w14:textId="77777777" w:rsidR="00DF4DE6" w:rsidRDefault="001B2AC3" w:rsidP="00240AE0">
      <w:pPr>
        <w:spacing w:after="20" w:line="250" w:lineRule="auto"/>
        <w:ind w:left="500"/>
        <w:jc w:val="both"/>
      </w:pPr>
      <w:r>
        <w:rPr>
          <w:color w:val="333333"/>
          <w:sz w:val="18"/>
          <w:szCs w:val="18"/>
        </w:rPr>
        <w:t>3.2. Les rapports de la Cour de justice avec la Cour européenne des droits de l’homme</w:t>
      </w:r>
    </w:p>
    <w:p w14:paraId="10961A08" w14:textId="77777777" w:rsidR="00DF4DE6" w:rsidRDefault="001B2AC3" w:rsidP="00240AE0">
      <w:pPr>
        <w:spacing w:before="200" w:after="70"/>
        <w:jc w:val="both"/>
      </w:pPr>
      <w:r>
        <w:rPr>
          <w:b/>
          <w:bCs/>
          <w:color w:val="2E5A88"/>
          <w:spacing w:val="24"/>
          <w:sz w:val="17"/>
          <w:szCs w:val="17"/>
        </w:rPr>
        <w:t>RÉFÉRENCES CENTRALES</w:t>
      </w:r>
    </w:p>
    <w:p w14:paraId="697164F8" w14:textId="77777777" w:rsidR="00DF4DE6" w:rsidRDefault="001B2AC3" w:rsidP="00240AE0">
      <w:pPr>
        <w:pStyle w:val="Paragraphedeliste"/>
        <w:numPr>
          <w:ilvl w:val="0"/>
          <w:numId w:val="2"/>
        </w:numPr>
        <w:spacing w:after="40" w:line="264" w:lineRule="auto"/>
        <w:jc w:val="both"/>
      </w:pPr>
      <w:r>
        <w:rPr>
          <w:color w:val="333333"/>
          <w:sz w:val="18"/>
          <w:szCs w:val="18"/>
        </w:rPr>
        <w:t>Article 19 du Traité sur l’Union européenne.</w:t>
      </w:r>
    </w:p>
    <w:p w14:paraId="3E3B638C" w14:textId="77777777" w:rsidR="00DF4DE6" w:rsidRDefault="001B2AC3" w:rsidP="00240AE0">
      <w:pPr>
        <w:pStyle w:val="Paragraphedeliste"/>
        <w:numPr>
          <w:ilvl w:val="0"/>
          <w:numId w:val="2"/>
        </w:numPr>
        <w:spacing w:after="40" w:line="264" w:lineRule="auto"/>
        <w:jc w:val="both"/>
      </w:pPr>
      <w:r>
        <w:rPr>
          <w:color w:val="333333"/>
          <w:sz w:val="18"/>
          <w:szCs w:val="18"/>
        </w:rPr>
        <w:t>Article 47 de la Charte des droits fondamentaux.</w:t>
      </w:r>
    </w:p>
    <w:p w14:paraId="0766C974" w14:textId="77777777" w:rsidR="00DF4DE6" w:rsidRDefault="001B2AC3" w:rsidP="00240AE0">
      <w:pPr>
        <w:pStyle w:val="Paragraphedeliste"/>
        <w:numPr>
          <w:ilvl w:val="0"/>
          <w:numId w:val="2"/>
        </w:numPr>
        <w:spacing w:after="40" w:line="264" w:lineRule="auto"/>
        <w:jc w:val="both"/>
      </w:pPr>
      <w:r>
        <w:rPr>
          <w:color w:val="333333"/>
          <w:sz w:val="18"/>
          <w:szCs w:val="18"/>
        </w:rPr>
        <w:t>Article 263 du traité sur le fonctionnement de l’Union européenne.</w:t>
      </w:r>
    </w:p>
    <w:p w14:paraId="0D4B2795" w14:textId="77777777" w:rsidR="00DF4DE6" w:rsidRDefault="001B2AC3" w:rsidP="00240AE0">
      <w:pPr>
        <w:pStyle w:val="Paragraphedeliste"/>
        <w:numPr>
          <w:ilvl w:val="0"/>
          <w:numId w:val="2"/>
        </w:numPr>
        <w:spacing w:after="40" w:line="264" w:lineRule="auto"/>
        <w:jc w:val="both"/>
      </w:pPr>
      <w:r>
        <w:rPr>
          <w:color w:val="333333"/>
          <w:sz w:val="18"/>
          <w:szCs w:val="18"/>
        </w:rPr>
        <w:t>Article 267 du traité sur le fonctionnement de l’Union européenne.</w:t>
      </w:r>
    </w:p>
    <w:p w14:paraId="173A3AB3" w14:textId="77777777" w:rsidR="00DF4DE6" w:rsidRDefault="001B2AC3" w:rsidP="00240AE0">
      <w:pPr>
        <w:pStyle w:val="Paragraphedeliste"/>
        <w:numPr>
          <w:ilvl w:val="0"/>
          <w:numId w:val="2"/>
        </w:numPr>
        <w:spacing w:after="40" w:line="264" w:lineRule="auto"/>
        <w:jc w:val="both"/>
      </w:pPr>
      <w:r>
        <w:rPr>
          <w:color w:val="333333"/>
          <w:sz w:val="18"/>
          <w:szCs w:val="18"/>
        </w:rPr>
        <w:t xml:space="preserve">CJCE, 15 juillet 1963, </w:t>
      </w:r>
      <w:proofErr w:type="spellStart"/>
      <w:r>
        <w:rPr>
          <w:color w:val="333333"/>
          <w:sz w:val="18"/>
          <w:szCs w:val="18"/>
        </w:rPr>
        <w:t>Plaumann</w:t>
      </w:r>
      <w:proofErr w:type="spellEnd"/>
      <w:r>
        <w:rPr>
          <w:color w:val="333333"/>
          <w:sz w:val="18"/>
          <w:szCs w:val="18"/>
        </w:rPr>
        <w:t>, aff.25/62.</w:t>
      </w:r>
    </w:p>
    <w:p w14:paraId="2FEAA804" w14:textId="77777777" w:rsidR="00DF4DE6" w:rsidRDefault="001B2AC3" w:rsidP="00240AE0">
      <w:pPr>
        <w:pStyle w:val="Paragraphedeliste"/>
        <w:numPr>
          <w:ilvl w:val="0"/>
          <w:numId w:val="2"/>
        </w:numPr>
        <w:spacing w:after="40" w:line="264" w:lineRule="auto"/>
        <w:jc w:val="both"/>
      </w:pPr>
      <w:r>
        <w:rPr>
          <w:color w:val="333333"/>
          <w:sz w:val="18"/>
          <w:szCs w:val="18"/>
        </w:rPr>
        <w:t xml:space="preserve">CJUE, 8 avril 2014, Digital </w:t>
      </w:r>
      <w:proofErr w:type="spellStart"/>
      <w:r>
        <w:rPr>
          <w:color w:val="333333"/>
          <w:sz w:val="18"/>
          <w:szCs w:val="18"/>
        </w:rPr>
        <w:t>Rights</w:t>
      </w:r>
      <w:proofErr w:type="spellEnd"/>
      <w:r>
        <w:rPr>
          <w:color w:val="333333"/>
          <w:sz w:val="18"/>
          <w:szCs w:val="18"/>
        </w:rPr>
        <w:t xml:space="preserve"> Ireland, C-293/12.</w:t>
      </w:r>
    </w:p>
    <w:p w14:paraId="583C63C3" w14:textId="77777777" w:rsidR="00DF4DE6" w:rsidRDefault="001B2AC3" w:rsidP="00240AE0">
      <w:pPr>
        <w:pStyle w:val="Paragraphedeliste"/>
        <w:numPr>
          <w:ilvl w:val="0"/>
          <w:numId w:val="2"/>
        </w:numPr>
        <w:spacing w:after="40" w:line="264" w:lineRule="auto"/>
        <w:jc w:val="both"/>
      </w:pPr>
      <w:r>
        <w:rPr>
          <w:color w:val="333333"/>
          <w:sz w:val="18"/>
          <w:szCs w:val="18"/>
        </w:rPr>
        <w:t>CJCE, 9 mars 1978, Simmenthal, aff.106/77.</w:t>
      </w:r>
    </w:p>
    <w:p w14:paraId="1FCC2687" w14:textId="77777777" w:rsidR="00DF4DE6" w:rsidRDefault="001B2AC3" w:rsidP="00240AE0">
      <w:pPr>
        <w:pStyle w:val="Paragraphedeliste"/>
        <w:numPr>
          <w:ilvl w:val="0"/>
          <w:numId w:val="2"/>
        </w:numPr>
        <w:spacing w:after="40" w:line="264" w:lineRule="auto"/>
        <w:jc w:val="both"/>
      </w:pPr>
      <w:r>
        <w:rPr>
          <w:color w:val="333333"/>
          <w:sz w:val="18"/>
          <w:szCs w:val="18"/>
        </w:rPr>
        <w:t>CJCE, 15 mai 1986, Johnston, aff.222/84.</w:t>
      </w:r>
    </w:p>
    <w:p w14:paraId="75EED817" w14:textId="77777777" w:rsidR="00DF4DE6" w:rsidRDefault="001B2AC3" w:rsidP="00240AE0">
      <w:pPr>
        <w:pStyle w:val="Paragraphedeliste"/>
        <w:numPr>
          <w:ilvl w:val="0"/>
          <w:numId w:val="2"/>
        </w:numPr>
        <w:spacing w:after="40" w:line="264" w:lineRule="auto"/>
        <w:jc w:val="both"/>
      </w:pPr>
      <w:r>
        <w:rPr>
          <w:color w:val="333333"/>
          <w:sz w:val="18"/>
          <w:szCs w:val="18"/>
        </w:rPr>
        <w:t xml:space="preserve">CJCE,13 mars 2007, </w:t>
      </w:r>
      <w:proofErr w:type="spellStart"/>
      <w:r>
        <w:rPr>
          <w:color w:val="333333"/>
          <w:sz w:val="18"/>
          <w:szCs w:val="18"/>
        </w:rPr>
        <w:t>Unibet</w:t>
      </w:r>
      <w:proofErr w:type="spellEnd"/>
      <w:r>
        <w:rPr>
          <w:color w:val="333333"/>
          <w:sz w:val="18"/>
          <w:szCs w:val="18"/>
        </w:rPr>
        <w:t>, C-432/05.</w:t>
      </w:r>
    </w:p>
    <w:p w14:paraId="66E4DC65" w14:textId="77777777" w:rsidR="00DF4DE6" w:rsidRDefault="001B2AC3" w:rsidP="00240AE0">
      <w:pPr>
        <w:pStyle w:val="Paragraphedeliste"/>
        <w:numPr>
          <w:ilvl w:val="0"/>
          <w:numId w:val="2"/>
        </w:numPr>
        <w:spacing w:after="40" w:line="264" w:lineRule="auto"/>
        <w:jc w:val="both"/>
      </w:pPr>
      <w:r>
        <w:rPr>
          <w:color w:val="333333"/>
          <w:sz w:val="18"/>
          <w:szCs w:val="18"/>
        </w:rPr>
        <w:t>CJUE, 27 octobre 2021, Commission contre Pologne, C-204/21.</w:t>
      </w:r>
    </w:p>
    <w:p w14:paraId="74E7FA10" w14:textId="77777777" w:rsidR="00DF4DE6" w:rsidRDefault="00DF4DE6" w:rsidP="00240AE0">
      <w:pPr>
        <w:pBdr>
          <w:top w:val="single" w:sz="6" w:space="0" w:color="C7D2E0"/>
        </w:pBdr>
        <w:spacing w:before="260" w:after="180"/>
        <w:jc w:val="both"/>
      </w:pPr>
    </w:p>
    <w:p w14:paraId="02711CD2"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24  ·</w:t>
      </w:r>
      <w:proofErr w:type="gramEnd"/>
      <w:r>
        <w:rPr>
          <w:b/>
          <w:bCs/>
          <w:color w:val="2E5A88"/>
          <w:sz w:val="22"/>
          <w:szCs w:val="22"/>
        </w:rPr>
        <w:t xml:space="preserve">  </w:t>
      </w:r>
      <w:r>
        <w:rPr>
          <w:rFonts w:ascii="Cambria" w:eastAsia="Cambria" w:hAnsi="Cambria" w:cs="Cambria"/>
          <w:b/>
          <w:bCs/>
          <w:color w:val="1F3864"/>
        </w:rPr>
        <w:t>Les autres juridictions régionales</w:t>
      </w:r>
    </w:p>
    <w:p w14:paraId="486B5212" w14:textId="77777777" w:rsidR="00DF4DE6" w:rsidRDefault="001B2AC3" w:rsidP="00240AE0">
      <w:pPr>
        <w:spacing w:after="120"/>
        <w:jc w:val="both"/>
      </w:pPr>
      <w:r>
        <w:rPr>
          <w:i/>
          <w:iCs/>
          <w:color w:val="595959"/>
          <w:sz w:val="17"/>
          <w:szCs w:val="17"/>
        </w:rPr>
        <w:t>Fascicule, p. 237</w:t>
      </w:r>
    </w:p>
    <w:p w14:paraId="583855B4" w14:textId="77777777" w:rsidR="00DF4DE6" w:rsidRDefault="001B2AC3" w:rsidP="00240AE0">
      <w:pPr>
        <w:spacing w:before="200" w:after="70"/>
        <w:jc w:val="both"/>
      </w:pPr>
      <w:r>
        <w:rPr>
          <w:b/>
          <w:bCs/>
          <w:color w:val="2E5A88"/>
          <w:spacing w:val="24"/>
          <w:sz w:val="17"/>
          <w:szCs w:val="17"/>
        </w:rPr>
        <w:t>IDÉE DIRECTRICE</w:t>
      </w:r>
    </w:p>
    <w:p w14:paraId="043CD115" w14:textId="77777777" w:rsidR="00DF4DE6" w:rsidRDefault="001B2AC3" w:rsidP="00240AE0">
      <w:pPr>
        <w:spacing w:after="60" w:line="276" w:lineRule="auto"/>
        <w:jc w:val="both"/>
      </w:pPr>
      <w:r>
        <w:t xml:space="preserve">Le panorama comparatif. Cour et Commission interaméricaines, Cour africaine des droits de l'homme et des peuples (et son partage de compétence avec la Commission africaine), Cour arabe des droits de l'homme et sa </w:t>
      </w:r>
      <w:r>
        <w:lastRenderedPageBreak/>
        <w:t>portée limitée. Un tableau comparatif clôt la fiche. C'est le support naturel de la discussion universalisme / relativisme culturel.</w:t>
      </w:r>
    </w:p>
    <w:p w14:paraId="2C2DBB51" w14:textId="77777777" w:rsidR="00DF4DE6" w:rsidRDefault="001B2AC3" w:rsidP="00240AE0">
      <w:pPr>
        <w:spacing w:before="200" w:after="70"/>
        <w:jc w:val="both"/>
      </w:pPr>
      <w:r>
        <w:rPr>
          <w:b/>
          <w:bCs/>
          <w:color w:val="2E5A88"/>
          <w:spacing w:val="24"/>
          <w:sz w:val="17"/>
          <w:szCs w:val="17"/>
        </w:rPr>
        <w:t>POINTS CLÉS (ENCADRÉ DU FASCICULE)</w:t>
      </w:r>
    </w:p>
    <w:p w14:paraId="7177DE1A" w14:textId="77777777" w:rsidR="00DF4DE6" w:rsidRDefault="001B2AC3" w:rsidP="00240AE0">
      <w:pPr>
        <w:pStyle w:val="Paragraphedeliste"/>
        <w:numPr>
          <w:ilvl w:val="0"/>
          <w:numId w:val="2"/>
        </w:numPr>
        <w:spacing w:after="40" w:line="264" w:lineRule="auto"/>
        <w:jc w:val="both"/>
      </w:pPr>
      <w:r>
        <w:rPr>
          <w:color w:val="1A1A1A"/>
          <w:sz w:val="19"/>
          <w:szCs w:val="19"/>
        </w:rPr>
        <w:t>Cour interaméricaine des droits de l’homme.</w:t>
      </w:r>
    </w:p>
    <w:p w14:paraId="1E9076D2" w14:textId="77777777" w:rsidR="00DF4DE6" w:rsidRDefault="001B2AC3" w:rsidP="00240AE0">
      <w:pPr>
        <w:pStyle w:val="Paragraphedeliste"/>
        <w:numPr>
          <w:ilvl w:val="0"/>
          <w:numId w:val="2"/>
        </w:numPr>
        <w:spacing w:after="40" w:line="264" w:lineRule="auto"/>
        <w:jc w:val="both"/>
      </w:pPr>
      <w:r>
        <w:rPr>
          <w:color w:val="1A1A1A"/>
          <w:sz w:val="19"/>
          <w:szCs w:val="19"/>
        </w:rPr>
        <w:t>Commission interaméricaine des droits de l’homme.</w:t>
      </w:r>
    </w:p>
    <w:p w14:paraId="272B1502" w14:textId="77777777" w:rsidR="00DF4DE6" w:rsidRDefault="001B2AC3" w:rsidP="00240AE0">
      <w:pPr>
        <w:pStyle w:val="Paragraphedeliste"/>
        <w:numPr>
          <w:ilvl w:val="0"/>
          <w:numId w:val="2"/>
        </w:numPr>
        <w:spacing w:after="40" w:line="264" w:lineRule="auto"/>
        <w:jc w:val="both"/>
      </w:pPr>
      <w:r>
        <w:rPr>
          <w:color w:val="1A1A1A"/>
          <w:sz w:val="19"/>
          <w:szCs w:val="19"/>
        </w:rPr>
        <w:t>Cour africaine des droits de l’homme et des peuples.</w:t>
      </w:r>
    </w:p>
    <w:p w14:paraId="3AD1A27A" w14:textId="77777777" w:rsidR="00DF4DE6" w:rsidRDefault="001B2AC3" w:rsidP="00240AE0">
      <w:pPr>
        <w:pStyle w:val="Paragraphedeliste"/>
        <w:numPr>
          <w:ilvl w:val="0"/>
          <w:numId w:val="2"/>
        </w:numPr>
        <w:spacing w:after="40" w:line="264" w:lineRule="auto"/>
        <w:jc w:val="both"/>
      </w:pPr>
      <w:r>
        <w:rPr>
          <w:color w:val="1A1A1A"/>
          <w:sz w:val="19"/>
          <w:szCs w:val="19"/>
        </w:rPr>
        <w:t>Cour arabe des droits de l’homme.</w:t>
      </w:r>
    </w:p>
    <w:p w14:paraId="1752F75E" w14:textId="77777777" w:rsidR="00DF4DE6" w:rsidRDefault="001B2AC3" w:rsidP="00240AE0">
      <w:pPr>
        <w:pStyle w:val="Paragraphedeliste"/>
        <w:numPr>
          <w:ilvl w:val="0"/>
          <w:numId w:val="2"/>
        </w:numPr>
        <w:spacing w:after="40" w:line="264" w:lineRule="auto"/>
        <w:jc w:val="both"/>
      </w:pPr>
      <w:r>
        <w:rPr>
          <w:color w:val="1A1A1A"/>
          <w:sz w:val="19"/>
          <w:szCs w:val="19"/>
        </w:rPr>
        <w:t>Universalisme des droits humains.</w:t>
      </w:r>
    </w:p>
    <w:p w14:paraId="64E88AD7" w14:textId="77777777" w:rsidR="00DF4DE6" w:rsidRDefault="001B2AC3" w:rsidP="00240AE0">
      <w:pPr>
        <w:pStyle w:val="Paragraphedeliste"/>
        <w:numPr>
          <w:ilvl w:val="0"/>
          <w:numId w:val="2"/>
        </w:numPr>
        <w:spacing w:after="40" w:line="264" w:lineRule="auto"/>
        <w:jc w:val="both"/>
      </w:pPr>
      <w:r>
        <w:rPr>
          <w:color w:val="1A1A1A"/>
          <w:sz w:val="19"/>
          <w:szCs w:val="19"/>
        </w:rPr>
        <w:t>Relativisme culturel.</w:t>
      </w:r>
    </w:p>
    <w:p w14:paraId="48235510" w14:textId="77777777" w:rsidR="00DF4DE6" w:rsidRDefault="001B2AC3" w:rsidP="00240AE0">
      <w:pPr>
        <w:spacing w:before="200" w:after="70"/>
        <w:jc w:val="both"/>
      </w:pPr>
      <w:r>
        <w:rPr>
          <w:b/>
          <w:bCs/>
          <w:color w:val="2E5A88"/>
          <w:spacing w:val="24"/>
          <w:sz w:val="17"/>
          <w:szCs w:val="17"/>
        </w:rPr>
        <w:t>PLAN DE LA FICHE</w:t>
      </w:r>
    </w:p>
    <w:p w14:paraId="0E83236D" w14:textId="77777777" w:rsidR="00DF4DE6" w:rsidRDefault="001B2AC3" w:rsidP="00240AE0">
      <w:pPr>
        <w:spacing w:after="20" w:line="250" w:lineRule="auto"/>
        <w:ind w:left="240"/>
        <w:jc w:val="both"/>
      </w:pPr>
      <w:r>
        <w:rPr>
          <w:b/>
          <w:bCs/>
          <w:color w:val="1F3864"/>
          <w:sz w:val="19"/>
          <w:szCs w:val="19"/>
        </w:rPr>
        <w:t>1. La Cour interaméricaine des droits de l’homme</w:t>
      </w:r>
    </w:p>
    <w:p w14:paraId="57F2D38E" w14:textId="77777777" w:rsidR="00DF4DE6" w:rsidRDefault="001B2AC3" w:rsidP="00240AE0">
      <w:pPr>
        <w:spacing w:after="20" w:line="250" w:lineRule="auto"/>
        <w:ind w:left="500"/>
        <w:jc w:val="both"/>
      </w:pPr>
      <w:r>
        <w:rPr>
          <w:color w:val="333333"/>
          <w:sz w:val="18"/>
          <w:szCs w:val="18"/>
        </w:rPr>
        <w:t>1.1. L’entrée en vigueur de la Cour interaméricaine et la reconnaissance de sa compétence</w:t>
      </w:r>
    </w:p>
    <w:p w14:paraId="19AAC8F4" w14:textId="77777777" w:rsidR="00DF4DE6" w:rsidRDefault="001B2AC3" w:rsidP="00240AE0">
      <w:pPr>
        <w:spacing w:after="20" w:line="250" w:lineRule="auto"/>
        <w:ind w:left="500"/>
        <w:jc w:val="both"/>
      </w:pPr>
      <w:r>
        <w:rPr>
          <w:color w:val="333333"/>
          <w:sz w:val="18"/>
          <w:szCs w:val="18"/>
        </w:rPr>
        <w:t>1.2. Les compétences de la Commission et de la Cour</w:t>
      </w:r>
    </w:p>
    <w:p w14:paraId="47EBEE5D" w14:textId="77777777" w:rsidR="00DF4DE6" w:rsidRDefault="001B2AC3" w:rsidP="00240AE0">
      <w:pPr>
        <w:spacing w:after="20" w:line="250" w:lineRule="auto"/>
        <w:ind w:left="500"/>
        <w:jc w:val="both"/>
      </w:pPr>
      <w:r>
        <w:rPr>
          <w:color w:val="333333"/>
          <w:sz w:val="18"/>
          <w:szCs w:val="18"/>
        </w:rPr>
        <w:t>1.3. Exemples de rapports adoptés par la Commission interaméricaine</w:t>
      </w:r>
    </w:p>
    <w:p w14:paraId="412448B1" w14:textId="77777777" w:rsidR="00DF4DE6" w:rsidRDefault="001B2AC3" w:rsidP="00240AE0">
      <w:pPr>
        <w:spacing w:after="20" w:line="250" w:lineRule="auto"/>
        <w:ind w:left="500"/>
        <w:jc w:val="both"/>
      </w:pPr>
      <w:r>
        <w:rPr>
          <w:color w:val="333333"/>
          <w:sz w:val="18"/>
          <w:szCs w:val="18"/>
        </w:rPr>
        <w:t>1.4. Exemples de décisions rendues par la Cour interaméricaine</w:t>
      </w:r>
    </w:p>
    <w:p w14:paraId="28057F26" w14:textId="77777777" w:rsidR="00DF4DE6" w:rsidRDefault="001B2AC3" w:rsidP="00240AE0">
      <w:pPr>
        <w:spacing w:after="20" w:line="250" w:lineRule="auto"/>
        <w:ind w:left="240"/>
        <w:jc w:val="both"/>
      </w:pPr>
      <w:r>
        <w:rPr>
          <w:b/>
          <w:bCs/>
          <w:color w:val="1F3864"/>
          <w:sz w:val="19"/>
          <w:szCs w:val="19"/>
        </w:rPr>
        <w:t>2. La Cour africaine des droits de l’homme et des peuples</w:t>
      </w:r>
    </w:p>
    <w:p w14:paraId="75EBAE44" w14:textId="77777777" w:rsidR="00DF4DE6" w:rsidRDefault="001B2AC3" w:rsidP="00240AE0">
      <w:pPr>
        <w:spacing w:after="20" w:line="250" w:lineRule="auto"/>
        <w:ind w:left="500"/>
        <w:jc w:val="both"/>
      </w:pPr>
      <w:r>
        <w:rPr>
          <w:color w:val="333333"/>
          <w:sz w:val="18"/>
          <w:szCs w:val="18"/>
        </w:rPr>
        <w:t>2.1. Entrée en vigueur et ratifications</w:t>
      </w:r>
    </w:p>
    <w:p w14:paraId="6D896242" w14:textId="77777777" w:rsidR="00DF4DE6" w:rsidRDefault="001B2AC3" w:rsidP="00240AE0">
      <w:pPr>
        <w:spacing w:after="20" w:line="250" w:lineRule="auto"/>
        <w:ind w:left="500"/>
        <w:jc w:val="both"/>
      </w:pPr>
      <w:r>
        <w:rPr>
          <w:color w:val="333333"/>
          <w:sz w:val="18"/>
          <w:szCs w:val="18"/>
        </w:rPr>
        <w:t>2.2. Composition de la Cour africaine</w:t>
      </w:r>
    </w:p>
    <w:p w14:paraId="4A8B6C0C" w14:textId="77777777" w:rsidR="00DF4DE6" w:rsidRDefault="001B2AC3" w:rsidP="00240AE0">
      <w:pPr>
        <w:spacing w:after="20" w:line="250" w:lineRule="auto"/>
        <w:ind w:left="500"/>
        <w:jc w:val="both"/>
      </w:pPr>
      <w:r>
        <w:rPr>
          <w:color w:val="333333"/>
          <w:sz w:val="18"/>
          <w:szCs w:val="18"/>
        </w:rPr>
        <w:t>2.3. Les compétences de la Cour africaine</w:t>
      </w:r>
    </w:p>
    <w:p w14:paraId="61BCDBC1" w14:textId="77777777" w:rsidR="00DF4DE6" w:rsidRDefault="001B2AC3" w:rsidP="00240AE0">
      <w:pPr>
        <w:spacing w:after="20" w:line="250" w:lineRule="auto"/>
        <w:ind w:left="760"/>
        <w:jc w:val="both"/>
      </w:pPr>
      <w:r>
        <w:rPr>
          <w:color w:val="595959"/>
          <w:sz w:val="18"/>
          <w:szCs w:val="18"/>
        </w:rPr>
        <w:t>2.3.1. La compétence contentieuse de la Cour africaine</w:t>
      </w:r>
    </w:p>
    <w:p w14:paraId="25475B53" w14:textId="77777777" w:rsidR="00DF4DE6" w:rsidRDefault="001B2AC3" w:rsidP="00240AE0">
      <w:pPr>
        <w:spacing w:after="20" w:line="250" w:lineRule="auto"/>
        <w:ind w:left="760"/>
        <w:jc w:val="both"/>
      </w:pPr>
      <w:r>
        <w:rPr>
          <w:color w:val="595959"/>
          <w:sz w:val="18"/>
          <w:szCs w:val="18"/>
        </w:rPr>
        <w:t>2.3.2. La compétence consultative de la Cour africaine</w:t>
      </w:r>
    </w:p>
    <w:p w14:paraId="3D873B52" w14:textId="77777777" w:rsidR="00DF4DE6" w:rsidRDefault="001B2AC3" w:rsidP="00240AE0">
      <w:pPr>
        <w:spacing w:after="20" w:line="250" w:lineRule="auto"/>
        <w:ind w:left="760"/>
        <w:jc w:val="both"/>
      </w:pPr>
      <w:r>
        <w:rPr>
          <w:color w:val="595959"/>
          <w:sz w:val="18"/>
          <w:szCs w:val="18"/>
        </w:rPr>
        <w:t>2.3.3. Le partage de compétence avec la Commission africaine des droits de l’homme et des peuples</w:t>
      </w:r>
    </w:p>
    <w:p w14:paraId="07FB8D29" w14:textId="77777777" w:rsidR="00DF4DE6" w:rsidRDefault="001B2AC3" w:rsidP="00240AE0">
      <w:pPr>
        <w:spacing w:after="20" w:line="250" w:lineRule="auto"/>
        <w:ind w:left="240"/>
        <w:jc w:val="both"/>
      </w:pPr>
      <w:r>
        <w:rPr>
          <w:b/>
          <w:bCs/>
          <w:color w:val="1F3864"/>
          <w:sz w:val="19"/>
          <w:szCs w:val="19"/>
        </w:rPr>
        <w:t>3. La Cour arabe des droits de l’homme</w:t>
      </w:r>
    </w:p>
    <w:p w14:paraId="5863259A" w14:textId="77777777" w:rsidR="00DF4DE6" w:rsidRDefault="001B2AC3" w:rsidP="00240AE0">
      <w:pPr>
        <w:spacing w:after="20" w:line="250" w:lineRule="auto"/>
        <w:ind w:left="500"/>
        <w:jc w:val="both"/>
      </w:pPr>
      <w:r>
        <w:rPr>
          <w:color w:val="333333"/>
          <w:sz w:val="18"/>
          <w:szCs w:val="18"/>
        </w:rPr>
        <w:t>3.1. L’adoption du Statut portant création de la Cour arabe</w:t>
      </w:r>
    </w:p>
    <w:p w14:paraId="6EA65843" w14:textId="77777777" w:rsidR="00DF4DE6" w:rsidRDefault="001B2AC3" w:rsidP="00240AE0">
      <w:pPr>
        <w:spacing w:after="20" w:line="250" w:lineRule="auto"/>
        <w:ind w:left="500"/>
        <w:jc w:val="both"/>
      </w:pPr>
      <w:r>
        <w:rPr>
          <w:color w:val="333333"/>
          <w:sz w:val="18"/>
          <w:szCs w:val="18"/>
        </w:rPr>
        <w:t>3.2. La composition de la Cour arabe</w:t>
      </w:r>
    </w:p>
    <w:p w14:paraId="7E9501F0" w14:textId="77777777" w:rsidR="00DF4DE6" w:rsidRDefault="001B2AC3" w:rsidP="00240AE0">
      <w:pPr>
        <w:spacing w:after="20" w:line="250" w:lineRule="auto"/>
        <w:ind w:left="500"/>
        <w:jc w:val="both"/>
      </w:pPr>
      <w:r>
        <w:rPr>
          <w:color w:val="333333"/>
          <w:sz w:val="18"/>
          <w:szCs w:val="18"/>
        </w:rPr>
        <w:t>3.3. Les compétences de la Cour arabe</w:t>
      </w:r>
    </w:p>
    <w:p w14:paraId="35786147" w14:textId="77777777" w:rsidR="00DF4DE6" w:rsidRDefault="001B2AC3" w:rsidP="00240AE0">
      <w:pPr>
        <w:spacing w:after="20" w:line="250" w:lineRule="auto"/>
        <w:ind w:left="500"/>
        <w:jc w:val="both"/>
      </w:pPr>
      <w:r>
        <w:rPr>
          <w:color w:val="333333"/>
          <w:sz w:val="18"/>
          <w:szCs w:val="18"/>
        </w:rPr>
        <w:t>3.4. La portée limitée de la Cour arabe</w:t>
      </w:r>
    </w:p>
    <w:p w14:paraId="6638BBD4" w14:textId="77777777" w:rsidR="00DF4DE6" w:rsidRDefault="001B2AC3" w:rsidP="00240AE0">
      <w:pPr>
        <w:spacing w:after="20" w:line="250" w:lineRule="auto"/>
        <w:ind w:left="240"/>
        <w:jc w:val="both"/>
      </w:pPr>
      <w:r>
        <w:rPr>
          <w:b/>
          <w:bCs/>
          <w:color w:val="1F3864"/>
          <w:sz w:val="19"/>
          <w:szCs w:val="19"/>
        </w:rPr>
        <w:t>4. Tableau comparatif des différentes juridictions régionales :</w:t>
      </w:r>
    </w:p>
    <w:p w14:paraId="298AA875" w14:textId="77777777" w:rsidR="00DF4DE6" w:rsidRDefault="001B2AC3" w:rsidP="00240AE0">
      <w:pPr>
        <w:spacing w:before="200" w:after="70"/>
        <w:jc w:val="both"/>
      </w:pPr>
      <w:r>
        <w:rPr>
          <w:b/>
          <w:bCs/>
          <w:color w:val="2E5A88"/>
          <w:spacing w:val="24"/>
          <w:sz w:val="17"/>
          <w:szCs w:val="17"/>
        </w:rPr>
        <w:t>RÉFÉRENCES CENTRALES</w:t>
      </w:r>
    </w:p>
    <w:p w14:paraId="476D4E52" w14:textId="77777777" w:rsidR="00DF4DE6" w:rsidRDefault="001B2AC3" w:rsidP="00240AE0">
      <w:pPr>
        <w:pStyle w:val="Paragraphedeliste"/>
        <w:numPr>
          <w:ilvl w:val="0"/>
          <w:numId w:val="2"/>
        </w:numPr>
        <w:spacing w:after="40" w:line="264" w:lineRule="auto"/>
        <w:jc w:val="both"/>
      </w:pPr>
      <w:r>
        <w:rPr>
          <w:color w:val="333333"/>
          <w:sz w:val="18"/>
          <w:szCs w:val="18"/>
        </w:rPr>
        <w:t>Déclaration américaine des droits et devoirs de l’homme 1948.</w:t>
      </w:r>
    </w:p>
    <w:p w14:paraId="47627402" w14:textId="77777777" w:rsidR="00DF4DE6" w:rsidRDefault="001B2AC3" w:rsidP="00240AE0">
      <w:pPr>
        <w:pStyle w:val="Paragraphedeliste"/>
        <w:numPr>
          <w:ilvl w:val="0"/>
          <w:numId w:val="2"/>
        </w:numPr>
        <w:spacing w:after="40" w:line="264" w:lineRule="auto"/>
        <w:jc w:val="both"/>
      </w:pPr>
      <w:r>
        <w:rPr>
          <w:color w:val="333333"/>
          <w:sz w:val="18"/>
          <w:szCs w:val="18"/>
        </w:rPr>
        <w:t>Déclaration universelle des droits de l’homme de 1948.</w:t>
      </w:r>
    </w:p>
    <w:p w14:paraId="270950DD" w14:textId="77777777" w:rsidR="00DF4DE6" w:rsidRDefault="001B2AC3" w:rsidP="00240AE0">
      <w:pPr>
        <w:pStyle w:val="Paragraphedeliste"/>
        <w:numPr>
          <w:ilvl w:val="0"/>
          <w:numId w:val="2"/>
        </w:numPr>
        <w:spacing w:after="40" w:line="264" w:lineRule="auto"/>
        <w:jc w:val="both"/>
      </w:pPr>
      <w:r>
        <w:rPr>
          <w:color w:val="333333"/>
          <w:sz w:val="18"/>
          <w:szCs w:val="18"/>
        </w:rPr>
        <w:t>Convention américaine relative aux droits de l’homme de 1969.</w:t>
      </w:r>
    </w:p>
    <w:p w14:paraId="2B6FE37C" w14:textId="77777777" w:rsidR="00DF4DE6" w:rsidRDefault="001B2AC3" w:rsidP="00240AE0">
      <w:pPr>
        <w:pStyle w:val="Paragraphedeliste"/>
        <w:numPr>
          <w:ilvl w:val="0"/>
          <w:numId w:val="2"/>
        </w:numPr>
        <w:spacing w:after="40" w:line="264" w:lineRule="auto"/>
        <w:jc w:val="both"/>
      </w:pPr>
      <w:r>
        <w:rPr>
          <w:color w:val="333333"/>
          <w:sz w:val="18"/>
          <w:szCs w:val="18"/>
        </w:rPr>
        <w:t>Charte africaine des droits de l’homme et des peuples de 1981.</w:t>
      </w:r>
    </w:p>
    <w:p w14:paraId="7E76E489" w14:textId="77777777" w:rsidR="00DF4DE6" w:rsidRDefault="001B2AC3" w:rsidP="00240AE0">
      <w:pPr>
        <w:pStyle w:val="Paragraphedeliste"/>
        <w:numPr>
          <w:ilvl w:val="0"/>
          <w:numId w:val="2"/>
        </w:numPr>
        <w:spacing w:after="40" w:line="264" w:lineRule="auto"/>
        <w:jc w:val="both"/>
      </w:pPr>
      <w:r>
        <w:rPr>
          <w:color w:val="333333"/>
          <w:sz w:val="18"/>
          <w:szCs w:val="18"/>
        </w:rPr>
        <w:t>Protocole relatif à la Charte africaine des droits de l’homme et des peuples portant création d’une Cour africaine des droits de l’homme et des peuples de 1998.</w:t>
      </w:r>
    </w:p>
    <w:p w14:paraId="322A4977" w14:textId="77777777" w:rsidR="00DF4DE6" w:rsidRDefault="001B2AC3" w:rsidP="00240AE0">
      <w:pPr>
        <w:pStyle w:val="Paragraphedeliste"/>
        <w:numPr>
          <w:ilvl w:val="0"/>
          <w:numId w:val="2"/>
        </w:numPr>
        <w:spacing w:after="40" w:line="264" w:lineRule="auto"/>
        <w:jc w:val="both"/>
      </w:pPr>
      <w:r>
        <w:rPr>
          <w:color w:val="333333"/>
          <w:sz w:val="18"/>
          <w:szCs w:val="18"/>
        </w:rPr>
        <w:t>Nouveau règlement intérieur de la Cour africaine de 2020.</w:t>
      </w:r>
    </w:p>
    <w:p w14:paraId="1B513113" w14:textId="77777777" w:rsidR="00DF4DE6" w:rsidRDefault="001B2AC3" w:rsidP="00240AE0">
      <w:pPr>
        <w:pStyle w:val="Paragraphedeliste"/>
        <w:numPr>
          <w:ilvl w:val="0"/>
          <w:numId w:val="2"/>
        </w:numPr>
        <w:spacing w:after="40" w:line="264" w:lineRule="auto"/>
        <w:jc w:val="both"/>
      </w:pPr>
      <w:r>
        <w:rPr>
          <w:color w:val="333333"/>
          <w:sz w:val="18"/>
          <w:szCs w:val="18"/>
        </w:rPr>
        <w:t>Charte arabe des droits de l’homme de 2004.</w:t>
      </w:r>
    </w:p>
    <w:p w14:paraId="14D46D63" w14:textId="77777777" w:rsidR="00DF4DE6" w:rsidRDefault="001B2AC3" w:rsidP="00240AE0">
      <w:pPr>
        <w:pStyle w:val="Paragraphedeliste"/>
        <w:numPr>
          <w:ilvl w:val="0"/>
          <w:numId w:val="2"/>
        </w:numPr>
        <w:spacing w:after="40" w:line="264" w:lineRule="auto"/>
        <w:jc w:val="both"/>
      </w:pPr>
      <w:r>
        <w:rPr>
          <w:color w:val="333333"/>
          <w:sz w:val="18"/>
          <w:szCs w:val="18"/>
        </w:rPr>
        <w:t>Résolution no 7790 portant Statut de la Cour arabe des droits de l’homme de 2014.</w:t>
      </w:r>
    </w:p>
    <w:p w14:paraId="34752D62" w14:textId="77777777" w:rsidR="00DF4DE6" w:rsidRDefault="00DF4DE6" w:rsidP="00240AE0">
      <w:pPr>
        <w:pBdr>
          <w:top w:val="single" w:sz="6" w:space="0" w:color="C7D2E0"/>
        </w:pBdr>
        <w:spacing w:before="260" w:after="180"/>
        <w:jc w:val="both"/>
      </w:pPr>
    </w:p>
    <w:p w14:paraId="0E5AC7D8"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25  ·</w:t>
      </w:r>
      <w:proofErr w:type="gramEnd"/>
      <w:r>
        <w:rPr>
          <w:b/>
          <w:bCs/>
          <w:color w:val="2E5A88"/>
          <w:sz w:val="22"/>
          <w:szCs w:val="22"/>
        </w:rPr>
        <w:t xml:space="preserve">  </w:t>
      </w:r>
      <w:r>
        <w:rPr>
          <w:rFonts w:ascii="Cambria" w:eastAsia="Cambria" w:hAnsi="Cambria" w:cs="Cambria"/>
          <w:b/>
          <w:bCs/>
          <w:color w:val="1F3864"/>
        </w:rPr>
        <w:t>La protection politique et administrative internationale</w:t>
      </w:r>
    </w:p>
    <w:p w14:paraId="4BB168A2" w14:textId="77777777" w:rsidR="00DF4DE6" w:rsidRDefault="001B2AC3" w:rsidP="00240AE0">
      <w:pPr>
        <w:spacing w:after="120"/>
        <w:jc w:val="both"/>
      </w:pPr>
      <w:r>
        <w:rPr>
          <w:i/>
          <w:iCs/>
          <w:color w:val="595959"/>
          <w:sz w:val="17"/>
          <w:szCs w:val="17"/>
        </w:rPr>
        <w:t>Fascicule, p. 245</w:t>
      </w:r>
    </w:p>
    <w:p w14:paraId="7007ED69" w14:textId="77777777" w:rsidR="00DF4DE6" w:rsidRDefault="001B2AC3" w:rsidP="00240AE0">
      <w:pPr>
        <w:spacing w:before="200" w:after="70"/>
        <w:jc w:val="both"/>
      </w:pPr>
      <w:r>
        <w:rPr>
          <w:b/>
          <w:bCs/>
          <w:color w:val="2E5A88"/>
          <w:spacing w:val="24"/>
          <w:sz w:val="17"/>
          <w:szCs w:val="17"/>
        </w:rPr>
        <w:t>IDÉE DIRECTRICE</w:t>
      </w:r>
    </w:p>
    <w:p w14:paraId="7B2BB7D2" w14:textId="77777777" w:rsidR="00DF4DE6" w:rsidRDefault="001B2AC3" w:rsidP="00240AE0">
      <w:pPr>
        <w:spacing w:after="60" w:line="276" w:lineRule="auto"/>
        <w:jc w:val="both"/>
      </w:pPr>
      <w:r>
        <w:t>La protection non juridictionnelle à l'échelle internationale. Aux Nations unies : Conseil des droits de l'homme (création, composition, missions, retraits d'États) et Haut-Commissariat. Au Conseil de l'Europe : Commissaire aux droits de l'homme et Commission de Venise. Dans l'Union : Médiateur européen, Agence des droits fondamentaux, Contrôleur européen de la protection des données.</w:t>
      </w:r>
    </w:p>
    <w:p w14:paraId="5737FC08" w14:textId="77777777" w:rsidR="00DF4DE6" w:rsidRDefault="001B2AC3" w:rsidP="00240AE0">
      <w:pPr>
        <w:spacing w:before="200" w:after="70"/>
        <w:jc w:val="both"/>
      </w:pPr>
      <w:r>
        <w:rPr>
          <w:b/>
          <w:bCs/>
          <w:color w:val="2E5A88"/>
          <w:spacing w:val="24"/>
          <w:sz w:val="17"/>
          <w:szCs w:val="17"/>
        </w:rPr>
        <w:t>POINTS CLÉS (ENCADRÉ DU FASCICULE)</w:t>
      </w:r>
    </w:p>
    <w:p w14:paraId="19CCABC8" w14:textId="77777777" w:rsidR="00DF4DE6" w:rsidRDefault="001B2AC3" w:rsidP="00240AE0">
      <w:pPr>
        <w:pStyle w:val="Paragraphedeliste"/>
        <w:numPr>
          <w:ilvl w:val="0"/>
          <w:numId w:val="2"/>
        </w:numPr>
        <w:spacing w:after="40" w:line="264" w:lineRule="auto"/>
        <w:jc w:val="both"/>
      </w:pPr>
      <w:r>
        <w:rPr>
          <w:color w:val="1A1A1A"/>
          <w:sz w:val="19"/>
          <w:szCs w:val="19"/>
        </w:rPr>
        <w:lastRenderedPageBreak/>
        <w:t>Conseil des droits de l’homme des Nations unies.</w:t>
      </w:r>
    </w:p>
    <w:p w14:paraId="5BE6C835" w14:textId="77777777" w:rsidR="00DF4DE6" w:rsidRDefault="001B2AC3" w:rsidP="00240AE0">
      <w:pPr>
        <w:pStyle w:val="Paragraphedeliste"/>
        <w:numPr>
          <w:ilvl w:val="0"/>
          <w:numId w:val="2"/>
        </w:numPr>
        <w:spacing w:after="40" w:line="264" w:lineRule="auto"/>
        <w:jc w:val="both"/>
      </w:pPr>
      <w:r>
        <w:rPr>
          <w:color w:val="1A1A1A"/>
          <w:sz w:val="19"/>
          <w:szCs w:val="19"/>
        </w:rPr>
        <w:t>Haut-Commissariat aux droits de l’homme des Nations unies.</w:t>
      </w:r>
    </w:p>
    <w:p w14:paraId="3F9B8E11" w14:textId="77777777" w:rsidR="00DF4DE6" w:rsidRDefault="001B2AC3" w:rsidP="00240AE0">
      <w:pPr>
        <w:pStyle w:val="Paragraphedeliste"/>
        <w:numPr>
          <w:ilvl w:val="0"/>
          <w:numId w:val="2"/>
        </w:numPr>
        <w:spacing w:after="40" w:line="264" w:lineRule="auto"/>
        <w:jc w:val="both"/>
      </w:pPr>
      <w:r>
        <w:rPr>
          <w:color w:val="1A1A1A"/>
          <w:sz w:val="19"/>
          <w:szCs w:val="19"/>
        </w:rPr>
        <w:t>Commissaire aux droits de l’homme du Conseil de l’Europe.</w:t>
      </w:r>
    </w:p>
    <w:p w14:paraId="4DA602D5" w14:textId="77777777" w:rsidR="00DF4DE6" w:rsidRDefault="001B2AC3" w:rsidP="00240AE0">
      <w:pPr>
        <w:pStyle w:val="Paragraphedeliste"/>
        <w:numPr>
          <w:ilvl w:val="0"/>
          <w:numId w:val="2"/>
        </w:numPr>
        <w:spacing w:after="40" w:line="264" w:lineRule="auto"/>
        <w:jc w:val="both"/>
      </w:pPr>
      <w:r>
        <w:rPr>
          <w:color w:val="1A1A1A"/>
          <w:sz w:val="19"/>
          <w:szCs w:val="19"/>
        </w:rPr>
        <w:t>Commission européenne pour la démocratie par le droit.</w:t>
      </w:r>
    </w:p>
    <w:p w14:paraId="74C78B5A" w14:textId="77777777" w:rsidR="00DF4DE6" w:rsidRDefault="001B2AC3" w:rsidP="00240AE0">
      <w:pPr>
        <w:pStyle w:val="Paragraphedeliste"/>
        <w:numPr>
          <w:ilvl w:val="0"/>
          <w:numId w:val="2"/>
        </w:numPr>
        <w:spacing w:after="40" w:line="264" w:lineRule="auto"/>
        <w:jc w:val="both"/>
      </w:pPr>
      <w:r>
        <w:rPr>
          <w:color w:val="1A1A1A"/>
          <w:sz w:val="19"/>
          <w:szCs w:val="19"/>
        </w:rPr>
        <w:t>Médiateur européen.</w:t>
      </w:r>
    </w:p>
    <w:p w14:paraId="263A0411" w14:textId="77777777" w:rsidR="00DF4DE6" w:rsidRDefault="001B2AC3" w:rsidP="00240AE0">
      <w:pPr>
        <w:pStyle w:val="Paragraphedeliste"/>
        <w:numPr>
          <w:ilvl w:val="0"/>
          <w:numId w:val="2"/>
        </w:numPr>
        <w:spacing w:after="40" w:line="264" w:lineRule="auto"/>
        <w:jc w:val="both"/>
      </w:pPr>
      <w:r>
        <w:rPr>
          <w:color w:val="1A1A1A"/>
          <w:sz w:val="19"/>
          <w:szCs w:val="19"/>
        </w:rPr>
        <w:t>Agence des droits fondamentaux.</w:t>
      </w:r>
    </w:p>
    <w:p w14:paraId="1ABACA22" w14:textId="77777777" w:rsidR="00DF4DE6" w:rsidRDefault="001B2AC3" w:rsidP="00240AE0">
      <w:pPr>
        <w:pStyle w:val="Paragraphedeliste"/>
        <w:numPr>
          <w:ilvl w:val="0"/>
          <w:numId w:val="2"/>
        </w:numPr>
        <w:spacing w:after="40" w:line="264" w:lineRule="auto"/>
        <w:jc w:val="both"/>
      </w:pPr>
      <w:r>
        <w:rPr>
          <w:color w:val="1A1A1A"/>
          <w:sz w:val="19"/>
          <w:szCs w:val="19"/>
        </w:rPr>
        <w:t>Contrôleur européen de la protection des données.</w:t>
      </w:r>
    </w:p>
    <w:p w14:paraId="0AE9388C" w14:textId="77777777" w:rsidR="00DF4DE6" w:rsidRDefault="001B2AC3" w:rsidP="00240AE0">
      <w:pPr>
        <w:spacing w:before="200" w:after="70"/>
        <w:jc w:val="both"/>
      </w:pPr>
      <w:r>
        <w:rPr>
          <w:b/>
          <w:bCs/>
          <w:color w:val="2E5A88"/>
          <w:spacing w:val="24"/>
          <w:sz w:val="17"/>
          <w:szCs w:val="17"/>
        </w:rPr>
        <w:t>PLAN DE LA FICHE</w:t>
      </w:r>
    </w:p>
    <w:p w14:paraId="302AFD32" w14:textId="77777777" w:rsidR="00DF4DE6" w:rsidRDefault="001B2AC3" w:rsidP="00240AE0">
      <w:pPr>
        <w:spacing w:after="20" w:line="250" w:lineRule="auto"/>
        <w:ind w:left="240"/>
        <w:jc w:val="both"/>
      </w:pPr>
      <w:r>
        <w:rPr>
          <w:b/>
          <w:bCs/>
          <w:color w:val="1F3864"/>
          <w:sz w:val="19"/>
          <w:szCs w:val="19"/>
        </w:rPr>
        <w:t>1. La protection administrative et politique par les organes des Nations unies</w:t>
      </w:r>
    </w:p>
    <w:p w14:paraId="7C4032B0" w14:textId="77777777" w:rsidR="00DF4DE6" w:rsidRDefault="001B2AC3" w:rsidP="00240AE0">
      <w:pPr>
        <w:spacing w:after="20" w:line="250" w:lineRule="auto"/>
        <w:ind w:left="500"/>
        <w:jc w:val="both"/>
      </w:pPr>
      <w:r>
        <w:rPr>
          <w:color w:val="333333"/>
          <w:sz w:val="18"/>
          <w:szCs w:val="18"/>
        </w:rPr>
        <w:t>1.1. Le Conseil des droits de l’homme</w:t>
      </w:r>
    </w:p>
    <w:p w14:paraId="45E58DBD" w14:textId="77777777" w:rsidR="00DF4DE6" w:rsidRDefault="001B2AC3" w:rsidP="00240AE0">
      <w:pPr>
        <w:spacing w:after="20" w:line="250" w:lineRule="auto"/>
        <w:ind w:left="760"/>
        <w:jc w:val="both"/>
      </w:pPr>
      <w:r>
        <w:rPr>
          <w:color w:val="595959"/>
          <w:sz w:val="18"/>
          <w:szCs w:val="18"/>
        </w:rPr>
        <w:t>1.1.1 La création du Conseil des droits de l’homme</w:t>
      </w:r>
    </w:p>
    <w:p w14:paraId="127B529F" w14:textId="77777777" w:rsidR="00DF4DE6" w:rsidRDefault="001B2AC3" w:rsidP="00240AE0">
      <w:pPr>
        <w:spacing w:after="20" w:line="250" w:lineRule="auto"/>
        <w:ind w:left="760"/>
        <w:jc w:val="both"/>
      </w:pPr>
      <w:r>
        <w:rPr>
          <w:color w:val="595959"/>
          <w:sz w:val="18"/>
          <w:szCs w:val="18"/>
        </w:rPr>
        <w:t>1.1.2. La composition du Conseil des droits de l’homme</w:t>
      </w:r>
    </w:p>
    <w:p w14:paraId="201D51C4" w14:textId="77777777" w:rsidR="00DF4DE6" w:rsidRDefault="001B2AC3" w:rsidP="00240AE0">
      <w:pPr>
        <w:spacing w:after="20" w:line="250" w:lineRule="auto"/>
        <w:ind w:left="760"/>
        <w:jc w:val="both"/>
      </w:pPr>
      <w:r>
        <w:rPr>
          <w:color w:val="595959"/>
          <w:sz w:val="18"/>
          <w:szCs w:val="18"/>
        </w:rPr>
        <w:t>1.1.3. Les missions du Conseil des droits de l’homme</w:t>
      </w:r>
    </w:p>
    <w:p w14:paraId="1FD681EE" w14:textId="77777777" w:rsidR="00DF4DE6" w:rsidRDefault="001B2AC3" w:rsidP="00240AE0">
      <w:pPr>
        <w:spacing w:after="20" w:line="250" w:lineRule="auto"/>
        <w:ind w:left="760"/>
        <w:jc w:val="both"/>
      </w:pPr>
      <w:r>
        <w:rPr>
          <w:color w:val="595959"/>
          <w:sz w:val="18"/>
          <w:szCs w:val="18"/>
        </w:rPr>
        <w:t>1.1.4. Les récents retraits d’États du Conseil des droits de l’homme</w:t>
      </w:r>
    </w:p>
    <w:p w14:paraId="03434402" w14:textId="77777777" w:rsidR="00DF4DE6" w:rsidRDefault="001B2AC3" w:rsidP="00240AE0">
      <w:pPr>
        <w:spacing w:after="20" w:line="250" w:lineRule="auto"/>
        <w:ind w:left="500"/>
        <w:jc w:val="both"/>
      </w:pPr>
      <w:r>
        <w:rPr>
          <w:color w:val="333333"/>
          <w:sz w:val="18"/>
          <w:szCs w:val="18"/>
        </w:rPr>
        <w:t>1.2. Le Haut-Commissariat aux droits de l’homme</w:t>
      </w:r>
    </w:p>
    <w:p w14:paraId="4694AB36" w14:textId="77777777" w:rsidR="00DF4DE6" w:rsidRDefault="001B2AC3" w:rsidP="00240AE0">
      <w:pPr>
        <w:spacing w:after="20" w:line="250" w:lineRule="auto"/>
        <w:ind w:left="760"/>
        <w:jc w:val="both"/>
      </w:pPr>
      <w:r>
        <w:rPr>
          <w:color w:val="595959"/>
          <w:sz w:val="18"/>
          <w:szCs w:val="18"/>
        </w:rPr>
        <w:t>1.2.1. La composition du Haut-Commissariat aux droits de l’homme</w:t>
      </w:r>
    </w:p>
    <w:p w14:paraId="50791015" w14:textId="77777777" w:rsidR="00DF4DE6" w:rsidRDefault="001B2AC3" w:rsidP="00240AE0">
      <w:pPr>
        <w:spacing w:after="20" w:line="250" w:lineRule="auto"/>
        <w:ind w:left="760"/>
        <w:jc w:val="both"/>
      </w:pPr>
      <w:r>
        <w:rPr>
          <w:color w:val="595959"/>
          <w:sz w:val="18"/>
          <w:szCs w:val="18"/>
        </w:rPr>
        <w:t>1.2.3. Le rôle du Haut-Commissariat aux droits de l’homme</w:t>
      </w:r>
    </w:p>
    <w:p w14:paraId="4F6AE1D3" w14:textId="77777777" w:rsidR="00DF4DE6" w:rsidRDefault="001B2AC3" w:rsidP="00240AE0">
      <w:pPr>
        <w:spacing w:after="20" w:line="250" w:lineRule="auto"/>
        <w:ind w:left="240"/>
        <w:jc w:val="both"/>
      </w:pPr>
      <w:r>
        <w:rPr>
          <w:b/>
          <w:bCs/>
          <w:color w:val="1F3864"/>
          <w:sz w:val="19"/>
          <w:szCs w:val="19"/>
        </w:rPr>
        <w:t>2. La protection politique et administrative par des organes du Conseil de l’Europe</w:t>
      </w:r>
    </w:p>
    <w:p w14:paraId="52664094" w14:textId="77777777" w:rsidR="00DF4DE6" w:rsidRDefault="001B2AC3" w:rsidP="00240AE0">
      <w:pPr>
        <w:spacing w:after="20" w:line="250" w:lineRule="auto"/>
        <w:ind w:left="500"/>
        <w:jc w:val="both"/>
      </w:pPr>
      <w:r>
        <w:rPr>
          <w:color w:val="333333"/>
          <w:sz w:val="18"/>
          <w:szCs w:val="18"/>
        </w:rPr>
        <w:t>2.1. Le Commissaire aux droits de l’homme</w:t>
      </w:r>
    </w:p>
    <w:p w14:paraId="37C8614E" w14:textId="77777777" w:rsidR="00DF4DE6" w:rsidRDefault="001B2AC3" w:rsidP="00240AE0">
      <w:pPr>
        <w:spacing w:after="20" w:line="250" w:lineRule="auto"/>
        <w:ind w:left="760"/>
        <w:jc w:val="both"/>
      </w:pPr>
      <w:r>
        <w:rPr>
          <w:color w:val="595959"/>
          <w:sz w:val="18"/>
          <w:szCs w:val="18"/>
        </w:rPr>
        <w:t>2.1.1. La création du Commissaire aux droits de l’homme</w:t>
      </w:r>
    </w:p>
    <w:p w14:paraId="1D49CAA0" w14:textId="77777777" w:rsidR="00DF4DE6" w:rsidRDefault="001B2AC3" w:rsidP="00240AE0">
      <w:pPr>
        <w:spacing w:after="20" w:line="250" w:lineRule="auto"/>
        <w:ind w:left="760"/>
        <w:jc w:val="both"/>
      </w:pPr>
      <w:r>
        <w:rPr>
          <w:color w:val="595959"/>
          <w:sz w:val="18"/>
          <w:szCs w:val="18"/>
        </w:rPr>
        <w:t>2.1.2. Les compétences du Commissaire aux droits de l’homme</w:t>
      </w:r>
    </w:p>
    <w:p w14:paraId="32EF1512" w14:textId="77777777" w:rsidR="00DF4DE6" w:rsidRDefault="001B2AC3" w:rsidP="00240AE0">
      <w:pPr>
        <w:spacing w:after="20" w:line="250" w:lineRule="auto"/>
        <w:ind w:left="500"/>
        <w:jc w:val="both"/>
      </w:pPr>
      <w:r>
        <w:rPr>
          <w:color w:val="333333"/>
          <w:sz w:val="18"/>
          <w:szCs w:val="18"/>
        </w:rPr>
        <w:t>2.2. La Commission pour la démocratie par le droit</w:t>
      </w:r>
    </w:p>
    <w:p w14:paraId="19082F2E" w14:textId="77777777" w:rsidR="00DF4DE6" w:rsidRDefault="001B2AC3" w:rsidP="00240AE0">
      <w:pPr>
        <w:spacing w:after="20" w:line="250" w:lineRule="auto"/>
        <w:ind w:left="760"/>
        <w:jc w:val="both"/>
      </w:pPr>
      <w:r>
        <w:rPr>
          <w:color w:val="595959"/>
          <w:sz w:val="18"/>
          <w:szCs w:val="18"/>
        </w:rPr>
        <w:t>2.2.1. La création de la Commission de Venise</w:t>
      </w:r>
    </w:p>
    <w:p w14:paraId="6A06B0CE" w14:textId="77777777" w:rsidR="00DF4DE6" w:rsidRDefault="001B2AC3" w:rsidP="00240AE0">
      <w:pPr>
        <w:spacing w:after="20" w:line="250" w:lineRule="auto"/>
        <w:ind w:left="760"/>
        <w:jc w:val="both"/>
      </w:pPr>
      <w:r>
        <w:rPr>
          <w:color w:val="595959"/>
          <w:sz w:val="18"/>
          <w:szCs w:val="18"/>
        </w:rPr>
        <w:t>2.2.1. La composition de la Commission de Venise</w:t>
      </w:r>
    </w:p>
    <w:p w14:paraId="1DB9B86A" w14:textId="77777777" w:rsidR="00DF4DE6" w:rsidRDefault="001B2AC3" w:rsidP="00240AE0">
      <w:pPr>
        <w:spacing w:after="20" w:line="250" w:lineRule="auto"/>
        <w:ind w:left="760"/>
        <w:jc w:val="both"/>
      </w:pPr>
      <w:r>
        <w:rPr>
          <w:color w:val="595959"/>
          <w:sz w:val="18"/>
          <w:szCs w:val="18"/>
        </w:rPr>
        <w:t>2.2.2. Les compétences de la Commission de Venise</w:t>
      </w:r>
    </w:p>
    <w:p w14:paraId="78E46B5C" w14:textId="77777777" w:rsidR="00DF4DE6" w:rsidRDefault="001B2AC3" w:rsidP="00240AE0">
      <w:pPr>
        <w:spacing w:after="20" w:line="250" w:lineRule="auto"/>
        <w:ind w:left="240"/>
        <w:jc w:val="both"/>
      </w:pPr>
      <w:r>
        <w:rPr>
          <w:b/>
          <w:bCs/>
          <w:color w:val="1F3864"/>
          <w:sz w:val="19"/>
          <w:szCs w:val="19"/>
        </w:rPr>
        <w:t>3. La protection politique et administrative par des organes de l’Union européenne</w:t>
      </w:r>
    </w:p>
    <w:p w14:paraId="6DF792BE" w14:textId="77777777" w:rsidR="00DF4DE6" w:rsidRDefault="001B2AC3" w:rsidP="00240AE0">
      <w:pPr>
        <w:spacing w:after="20" w:line="250" w:lineRule="auto"/>
        <w:ind w:left="500"/>
        <w:jc w:val="both"/>
      </w:pPr>
      <w:r>
        <w:rPr>
          <w:color w:val="333333"/>
          <w:sz w:val="18"/>
          <w:szCs w:val="18"/>
        </w:rPr>
        <w:t>3.1. Le médiateur européen</w:t>
      </w:r>
    </w:p>
    <w:p w14:paraId="4DC579A2" w14:textId="77777777" w:rsidR="00DF4DE6" w:rsidRDefault="001B2AC3" w:rsidP="00240AE0">
      <w:pPr>
        <w:spacing w:after="20" w:line="250" w:lineRule="auto"/>
        <w:ind w:left="760"/>
        <w:jc w:val="both"/>
      </w:pPr>
      <w:r>
        <w:rPr>
          <w:color w:val="595959"/>
          <w:sz w:val="18"/>
          <w:szCs w:val="18"/>
        </w:rPr>
        <w:t>3.1.1. L’élection du médiateur européen</w:t>
      </w:r>
    </w:p>
    <w:p w14:paraId="2BD82A5F" w14:textId="77777777" w:rsidR="00DF4DE6" w:rsidRDefault="001B2AC3" w:rsidP="00240AE0">
      <w:pPr>
        <w:spacing w:after="20" w:line="250" w:lineRule="auto"/>
        <w:ind w:left="760"/>
        <w:jc w:val="both"/>
      </w:pPr>
      <w:r>
        <w:rPr>
          <w:color w:val="595959"/>
          <w:sz w:val="18"/>
          <w:szCs w:val="18"/>
        </w:rPr>
        <w:t>3.1.2. Les compétences d’enquête du médiateur européen</w:t>
      </w:r>
    </w:p>
    <w:p w14:paraId="1EDE5548" w14:textId="77777777" w:rsidR="00DF4DE6" w:rsidRDefault="001B2AC3" w:rsidP="00240AE0">
      <w:pPr>
        <w:spacing w:after="20" w:line="250" w:lineRule="auto"/>
        <w:ind w:left="760"/>
        <w:jc w:val="both"/>
      </w:pPr>
      <w:r>
        <w:rPr>
          <w:color w:val="595959"/>
          <w:sz w:val="18"/>
          <w:szCs w:val="18"/>
        </w:rPr>
        <w:t>3.1.3. La portée de l’action du médiateur européen</w:t>
      </w:r>
    </w:p>
    <w:p w14:paraId="527A6BAB" w14:textId="77777777" w:rsidR="00DF4DE6" w:rsidRDefault="001B2AC3" w:rsidP="00240AE0">
      <w:pPr>
        <w:spacing w:after="20" w:line="250" w:lineRule="auto"/>
        <w:ind w:left="500"/>
        <w:jc w:val="both"/>
      </w:pPr>
      <w:r>
        <w:rPr>
          <w:color w:val="333333"/>
          <w:sz w:val="18"/>
          <w:szCs w:val="18"/>
        </w:rPr>
        <w:t>3.2. L’Agence des droits fondamentaux de l’Union européenne</w:t>
      </w:r>
    </w:p>
    <w:p w14:paraId="3D816805" w14:textId="77777777" w:rsidR="00DF4DE6" w:rsidRDefault="001B2AC3" w:rsidP="00240AE0">
      <w:pPr>
        <w:spacing w:after="20" w:line="250" w:lineRule="auto"/>
        <w:ind w:left="760"/>
        <w:jc w:val="both"/>
      </w:pPr>
      <w:r>
        <w:rPr>
          <w:color w:val="595959"/>
          <w:sz w:val="18"/>
          <w:szCs w:val="18"/>
        </w:rPr>
        <w:t>3.2.1. La création de l’Agence des droits fondamentaux</w:t>
      </w:r>
    </w:p>
    <w:p w14:paraId="28806D0C" w14:textId="77777777" w:rsidR="00DF4DE6" w:rsidRDefault="001B2AC3" w:rsidP="00240AE0">
      <w:pPr>
        <w:spacing w:after="20" w:line="250" w:lineRule="auto"/>
        <w:ind w:left="760"/>
        <w:jc w:val="both"/>
      </w:pPr>
      <w:r>
        <w:rPr>
          <w:color w:val="595959"/>
          <w:sz w:val="18"/>
          <w:szCs w:val="18"/>
        </w:rPr>
        <w:t>3.2.2. Les compétences de l’Agence des droits fondamentaux</w:t>
      </w:r>
    </w:p>
    <w:p w14:paraId="61E4280B" w14:textId="77777777" w:rsidR="00DF4DE6" w:rsidRDefault="001B2AC3" w:rsidP="00240AE0">
      <w:pPr>
        <w:spacing w:after="20" w:line="250" w:lineRule="auto"/>
        <w:ind w:left="760"/>
        <w:jc w:val="both"/>
      </w:pPr>
      <w:r>
        <w:rPr>
          <w:color w:val="595959"/>
          <w:sz w:val="18"/>
          <w:szCs w:val="18"/>
        </w:rPr>
        <w:t>3.2.3. La portée limitée de l’action de l’Agence des droits fondamentaux</w:t>
      </w:r>
    </w:p>
    <w:p w14:paraId="08E1212A" w14:textId="77777777" w:rsidR="00DF4DE6" w:rsidRDefault="001B2AC3" w:rsidP="00240AE0">
      <w:pPr>
        <w:spacing w:after="20" w:line="250" w:lineRule="auto"/>
        <w:ind w:left="500"/>
        <w:jc w:val="both"/>
      </w:pPr>
      <w:r>
        <w:rPr>
          <w:color w:val="333333"/>
          <w:sz w:val="18"/>
          <w:szCs w:val="18"/>
        </w:rPr>
        <w:t>3.3. Le contrôleur européen de la protection des données</w:t>
      </w:r>
    </w:p>
    <w:p w14:paraId="3FC202B4" w14:textId="77777777" w:rsidR="00DF4DE6" w:rsidRDefault="001B2AC3" w:rsidP="00240AE0">
      <w:pPr>
        <w:spacing w:after="20" w:line="250" w:lineRule="auto"/>
        <w:ind w:left="760"/>
        <w:jc w:val="both"/>
      </w:pPr>
      <w:r>
        <w:rPr>
          <w:color w:val="595959"/>
          <w:sz w:val="18"/>
          <w:szCs w:val="18"/>
        </w:rPr>
        <w:t>3.3.1. La création du contrôleur européen de la protection des données</w:t>
      </w:r>
    </w:p>
    <w:p w14:paraId="10EE80F2" w14:textId="77777777" w:rsidR="00DF4DE6" w:rsidRDefault="001B2AC3" w:rsidP="00240AE0">
      <w:pPr>
        <w:spacing w:after="20" w:line="250" w:lineRule="auto"/>
        <w:ind w:left="760"/>
        <w:jc w:val="both"/>
      </w:pPr>
      <w:r>
        <w:rPr>
          <w:color w:val="595959"/>
          <w:sz w:val="18"/>
          <w:szCs w:val="18"/>
        </w:rPr>
        <w:t>3.3.2. La nomination du contrôleur européen de la protection des données</w:t>
      </w:r>
    </w:p>
    <w:p w14:paraId="28D57751" w14:textId="77777777" w:rsidR="00DF4DE6" w:rsidRDefault="001B2AC3" w:rsidP="00240AE0">
      <w:pPr>
        <w:spacing w:after="20" w:line="250" w:lineRule="auto"/>
        <w:ind w:left="760"/>
        <w:jc w:val="both"/>
      </w:pPr>
      <w:r>
        <w:rPr>
          <w:color w:val="595959"/>
          <w:sz w:val="18"/>
          <w:szCs w:val="18"/>
        </w:rPr>
        <w:t>3.3.3. Les compétences protéiformes du contrôleur européen des données</w:t>
      </w:r>
    </w:p>
    <w:p w14:paraId="204F2922" w14:textId="77777777" w:rsidR="00DF4DE6" w:rsidRDefault="001B2AC3" w:rsidP="00240AE0">
      <w:pPr>
        <w:spacing w:before="200" w:after="70"/>
        <w:jc w:val="both"/>
      </w:pPr>
      <w:r>
        <w:rPr>
          <w:b/>
          <w:bCs/>
          <w:color w:val="2E5A88"/>
          <w:spacing w:val="24"/>
          <w:sz w:val="17"/>
          <w:szCs w:val="17"/>
        </w:rPr>
        <w:t>RÉFÉRENCES CENTRALES</w:t>
      </w:r>
    </w:p>
    <w:p w14:paraId="17E9B480" w14:textId="77777777" w:rsidR="00DF4DE6" w:rsidRDefault="001B2AC3" w:rsidP="00240AE0">
      <w:pPr>
        <w:pStyle w:val="Paragraphedeliste"/>
        <w:numPr>
          <w:ilvl w:val="0"/>
          <w:numId w:val="2"/>
        </w:numPr>
        <w:spacing w:after="40" w:line="264" w:lineRule="auto"/>
        <w:jc w:val="both"/>
      </w:pPr>
      <w:r>
        <w:rPr>
          <w:color w:val="333333"/>
          <w:sz w:val="18"/>
          <w:szCs w:val="18"/>
        </w:rPr>
        <w:t>Art. 1er de la Charte des Nations unies.</w:t>
      </w:r>
    </w:p>
    <w:p w14:paraId="7BBE6059" w14:textId="77777777" w:rsidR="00DF4DE6" w:rsidRDefault="001B2AC3" w:rsidP="00240AE0">
      <w:pPr>
        <w:pStyle w:val="Paragraphedeliste"/>
        <w:numPr>
          <w:ilvl w:val="0"/>
          <w:numId w:val="2"/>
        </w:numPr>
        <w:spacing w:after="40" w:line="264" w:lineRule="auto"/>
        <w:jc w:val="both"/>
      </w:pPr>
      <w:r>
        <w:rPr>
          <w:color w:val="333333"/>
          <w:sz w:val="18"/>
          <w:szCs w:val="18"/>
        </w:rPr>
        <w:t>Art. 43 de la Charte des droits fondamentaux de l’Union européenne.</w:t>
      </w:r>
    </w:p>
    <w:p w14:paraId="51832BF8" w14:textId="77777777" w:rsidR="00DF4DE6" w:rsidRDefault="001B2AC3" w:rsidP="00240AE0">
      <w:pPr>
        <w:pStyle w:val="Paragraphedeliste"/>
        <w:numPr>
          <w:ilvl w:val="0"/>
          <w:numId w:val="2"/>
        </w:numPr>
        <w:spacing w:after="40" w:line="264" w:lineRule="auto"/>
        <w:jc w:val="both"/>
      </w:pPr>
      <w:r>
        <w:rPr>
          <w:color w:val="333333"/>
          <w:sz w:val="18"/>
          <w:szCs w:val="18"/>
        </w:rPr>
        <w:t>Art. de la Convention européenne des droits de l’homme.</w:t>
      </w:r>
    </w:p>
    <w:p w14:paraId="303AA9AD" w14:textId="77777777" w:rsidR="00DF4DE6" w:rsidRDefault="001B2AC3" w:rsidP="00240AE0">
      <w:pPr>
        <w:pStyle w:val="Paragraphedeliste"/>
        <w:numPr>
          <w:ilvl w:val="0"/>
          <w:numId w:val="2"/>
        </w:numPr>
        <w:spacing w:after="40" w:line="264" w:lineRule="auto"/>
        <w:jc w:val="both"/>
      </w:pPr>
      <w:r>
        <w:rPr>
          <w:color w:val="333333"/>
          <w:sz w:val="18"/>
          <w:szCs w:val="18"/>
        </w:rPr>
        <w:t>Art. 228 du traité sur le fonctionnement de l’Union européenne.</w:t>
      </w:r>
    </w:p>
    <w:p w14:paraId="558C30DB" w14:textId="77777777" w:rsidR="00DF4DE6" w:rsidRDefault="001B2AC3" w:rsidP="00240AE0">
      <w:pPr>
        <w:pStyle w:val="Paragraphedeliste"/>
        <w:numPr>
          <w:ilvl w:val="0"/>
          <w:numId w:val="2"/>
        </w:numPr>
        <w:spacing w:after="40" w:line="264" w:lineRule="auto"/>
        <w:jc w:val="both"/>
      </w:pPr>
      <w:r>
        <w:rPr>
          <w:color w:val="333333"/>
          <w:sz w:val="18"/>
          <w:szCs w:val="18"/>
        </w:rPr>
        <w:t>AGNU, Résolution 48/141 Haut-Commissaire chargé de promouvoir et de protéger tous les droits de l’homme, 20 décembre 1993.</w:t>
      </w:r>
    </w:p>
    <w:p w14:paraId="7E3B27AF" w14:textId="77777777" w:rsidR="00DF4DE6" w:rsidRDefault="001B2AC3" w:rsidP="00240AE0">
      <w:pPr>
        <w:pStyle w:val="Paragraphedeliste"/>
        <w:numPr>
          <w:ilvl w:val="0"/>
          <w:numId w:val="2"/>
        </w:numPr>
        <w:spacing w:after="40" w:line="264" w:lineRule="auto"/>
        <w:jc w:val="both"/>
      </w:pPr>
      <w:r>
        <w:rPr>
          <w:color w:val="333333"/>
          <w:sz w:val="18"/>
          <w:szCs w:val="18"/>
        </w:rPr>
        <w:t>Comité des ministres, Résolution (99)50 sur le Commissaire aux droits de l’homme du Conseil de l’Europe, 7 mai 1999.</w:t>
      </w:r>
    </w:p>
    <w:p w14:paraId="3E6E5484"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Comité des ministres, Résolution (90)6 </w:t>
      </w:r>
      <w:proofErr w:type="gramStart"/>
      <w:r>
        <w:rPr>
          <w:color w:val="333333"/>
          <w:sz w:val="18"/>
          <w:szCs w:val="18"/>
        </w:rPr>
        <w:t>relative</w:t>
      </w:r>
      <w:proofErr w:type="gramEnd"/>
      <w:r>
        <w:rPr>
          <w:color w:val="333333"/>
          <w:sz w:val="18"/>
          <w:szCs w:val="18"/>
        </w:rPr>
        <w:t xml:space="preserve"> à un Accord partiel portant création de la Commission européenne pour la démocratie par le droit, 10 mai 1999.</w:t>
      </w:r>
    </w:p>
    <w:p w14:paraId="29AD3408" w14:textId="77777777" w:rsidR="00DF4DE6" w:rsidRDefault="001B2AC3" w:rsidP="00240AE0">
      <w:pPr>
        <w:pStyle w:val="Paragraphedeliste"/>
        <w:numPr>
          <w:ilvl w:val="0"/>
          <w:numId w:val="2"/>
        </w:numPr>
        <w:spacing w:after="40" w:line="264" w:lineRule="auto"/>
        <w:jc w:val="both"/>
      </w:pPr>
      <w:r>
        <w:rPr>
          <w:color w:val="333333"/>
          <w:sz w:val="18"/>
          <w:szCs w:val="18"/>
        </w:rPr>
        <w:t>Conseil, Règlement no 168/2007 portant création d’une Agence des droits fondamentaux de l’Union européenne, 15 février 2007.</w:t>
      </w:r>
    </w:p>
    <w:p w14:paraId="74B1D5D8" w14:textId="77777777" w:rsidR="00DF4DE6" w:rsidRDefault="001B2AC3" w:rsidP="00240AE0">
      <w:pPr>
        <w:pStyle w:val="Paragraphedeliste"/>
        <w:numPr>
          <w:ilvl w:val="0"/>
          <w:numId w:val="2"/>
        </w:numPr>
        <w:spacing w:after="40" w:line="264" w:lineRule="auto"/>
        <w:jc w:val="both"/>
      </w:pPr>
      <w:r>
        <w:rPr>
          <w:color w:val="333333"/>
          <w:sz w:val="18"/>
          <w:szCs w:val="18"/>
        </w:rPr>
        <w:t>AGNU, Résolution 60/251 Conseil des droits de l’homme, 15 mars 2006.</w:t>
      </w:r>
    </w:p>
    <w:p w14:paraId="6565AF7C" w14:textId="77777777" w:rsidR="00DF4DE6" w:rsidRDefault="001B2AC3" w:rsidP="00240AE0">
      <w:pPr>
        <w:pStyle w:val="Paragraphedeliste"/>
        <w:numPr>
          <w:ilvl w:val="0"/>
          <w:numId w:val="2"/>
        </w:numPr>
        <w:spacing w:after="40" w:line="264" w:lineRule="auto"/>
        <w:jc w:val="both"/>
      </w:pPr>
      <w:r>
        <w:rPr>
          <w:color w:val="333333"/>
          <w:sz w:val="18"/>
          <w:szCs w:val="18"/>
        </w:rPr>
        <w:lastRenderedPageBreak/>
        <w:t>Art. 58 du règlement no 2018/1725 relatif à la protection des personnes physiques à l’égard du traitement des données à caractère personnel par les institutions, organes et organismes de l’Union et à la libre circulation de ces données.</w:t>
      </w:r>
    </w:p>
    <w:p w14:paraId="090A172B" w14:textId="77777777" w:rsidR="00DF4DE6" w:rsidRDefault="001B2AC3" w:rsidP="00240AE0">
      <w:pPr>
        <w:jc w:val="both"/>
      </w:pPr>
      <w:r>
        <w:br w:type="page"/>
      </w:r>
    </w:p>
    <w:p w14:paraId="63278E68" w14:textId="77777777" w:rsidR="00DF4DE6" w:rsidRDefault="001B2AC3" w:rsidP="00240AE0">
      <w:pPr>
        <w:spacing w:after="40"/>
        <w:jc w:val="both"/>
      </w:pPr>
      <w:proofErr w:type="gramStart"/>
      <w:r>
        <w:rPr>
          <w:b/>
          <w:bCs/>
          <w:color w:val="2E5A88"/>
          <w:spacing w:val="50"/>
        </w:rPr>
        <w:lastRenderedPageBreak/>
        <w:t>PARTIE VI</w:t>
      </w:r>
      <w:proofErr w:type="gramEnd"/>
    </w:p>
    <w:p w14:paraId="7F8F180D" w14:textId="77777777" w:rsidR="00DF4DE6" w:rsidRDefault="001B2AC3" w:rsidP="00240AE0">
      <w:pPr>
        <w:pStyle w:val="Titre1"/>
        <w:pBdr>
          <w:bottom w:val="single" w:sz="10" w:space="0" w:color="C7D2E0"/>
        </w:pBdr>
        <w:spacing w:after="100"/>
        <w:jc w:val="both"/>
      </w:pPr>
      <w:r>
        <w:rPr>
          <w:rFonts w:ascii="Cambria" w:eastAsia="Cambria" w:hAnsi="Cambria" w:cs="Cambria"/>
          <w:b/>
          <w:bCs/>
          <w:color w:val="1F3864"/>
          <w:sz w:val="34"/>
          <w:szCs w:val="34"/>
        </w:rPr>
        <w:t>Les droits civils et politiques</w:t>
      </w:r>
    </w:p>
    <w:p w14:paraId="2F9A969F" w14:textId="77777777" w:rsidR="00DF4DE6" w:rsidRDefault="001B2AC3" w:rsidP="00240AE0">
      <w:pPr>
        <w:spacing w:before="60" w:after="160"/>
        <w:jc w:val="both"/>
      </w:pPr>
      <w:r>
        <w:rPr>
          <w:i/>
          <w:iCs/>
          <w:color w:val="595959"/>
          <w:sz w:val="18"/>
          <w:szCs w:val="18"/>
        </w:rPr>
        <w:t xml:space="preserve">Fiches 26 à </w:t>
      </w:r>
      <w:proofErr w:type="gramStart"/>
      <w:r>
        <w:rPr>
          <w:i/>
          <w:iCs/>
          <w:color w:val="595959"/>
          <w:sz w:val="18"/>
          <w:szCs w:val="18"/>
        </w:rPr>
        <w:t>44  ·</w:t>
      </w:r>
      <w:proofErr w:type="gramEnd"/>
      <w:r>
        <w:rPr>
          <w:i/>
          <w:iCs/>
          <w:color w:val="595959"/>
          <w:sz w:val="18"/>
          <w:szCs w:val="18"/>
        </w:rPr>
        <w:t xml:space="preserve">  pages 254 à 466 du fascicule</w:t>
      </w:r>
    </w:p>
    <w:p w14:paraId="58911AD1" w14:textId="77777777" w:rsidR="00DF4DE6" w:rsidRDefault="001B2AC3" w:rsidP="00240AE0">
      <w:pPr>
        <w:spacing w:after="200" w:line="276" w:lineRule="auto"/>
        <w:jc w:val="both"/>
      </w:pPr>
      <w:r>
        <w:t>Le catalogue commence. Dix-neuf fiches, la partie la plus lourde du fascicule. Ordre suivi : d'abord la personne physique (vie, intégrité, torture, esclavage), puis la liberté physique et le procès (sûreté, procès équitable, garanties pénales), puis la sphère privée (vie privée, vie familiale, données), puis les libertés de l'esprit et de l'action collective (religion, expression, réunion et manifestation, association), puis la circulation et l'enseignement, enfin le politique (élections, éloignement des étrangers, droit des peuples).</w:t>
      </w:r>
    </w:p>
    <w:p w14:paraId="51BEA196" w14:textId="77777777" w:rsidR="00DF4DE6" w:rsidRDefault="001B2AC3" w:rsidP="00240AE0">
      <w:pPr>
        <w:pStyle w:val="Titre2"/>
        <w:spacing w:before="120" w:after="30"/>
        <w:jc w:val="both"/>
      </w:pPr>
      <w:r>
        <w:rPr>
          <w:b/>
          <w:bCs/>
          <w:color w:val="2E5A88"/>
          <w:sz w:val="22"/>
          <w:szCs w:val="22"/>
        </w:rPr>
        <w:t xml:space="preserve">Fiche </w:t>
      </w:r>
      <w:proofErr w:type="gramStart"/>
      <w:r>
        <w:rPr>
          <w:b/>
          <w:bCs/>
          <w:color w:val="2E5A88"/>
          <w:sz w:val="22"/>
          <w:szCs w:val="22"/>
        </w:rPr>
        <w:t>26  ·</w:t>
      </w:r>
      <w:proofErr w:type="gramEnd"/>
      <w:r>
        <w:rPr>
          <w:b/>
          <w:bCs/>
          <w:color w:val="2E5A88"/>
          <w:sz w:val="22"/>
          <w:szCs w:val="22"/>
        </w:rPr>
        <w:t xml:space="preserve">  </w:t>
      </w:r>
      <w:r>
        <w:rPr>
          <w:rFonts w:ascii="Cambria" w:eastAsia="Cambria" w:hAnsi="Cambria" w:cs="Cambria"/>
          <w:b/>
          <w:bCs/>
          <w:color w:val="1F3864"/>
        </w:rPr>
        <w:t>Le droit à la vie</w:t>
      </w:r>
    </w:p>
    <w:p w14:paraId="1949D348" w14:textId="77777777" w:rsidR="00DF4DE6" w:rsidRDefault="001B2AC3" w:rsidP="00240AE0">
      <w:pPr>
        <w:spacing w:after="120"/>
        <w:jc w:val="both"/>
      </w:pPr>
      <w:r>
        <w:rPr>
          <w:i/>
          <w:iCs/>
          <w:color w:val="595959"/>
          <w:sz w:val="17"/>
          <w:szCs w:val="17"/>
        </w:rPr>
        <w:t>Fascicule, p. 256</w:t>
      </w:r>
    </w:p>
    <w:p w14:paraId="403B3830" w14:textId="77777777" w:rsidR="00DF4DE6" w:rsidRDefault="001B2AC3" w:rsidP="00240AE0">
      <w:pPr>
        <w:spacing w:before="200" w:after="70"/>
        <w:jc w:val="both"/>
      </w:pPr>
      <w:r>
        <w:rPr>
          <w:b/>
          <w:bCs/>
          <w:color w:val="2E5A88"/>
          <w:spacing w:val="24"/>
          <w:sz w:val="17"/>
          <w:szCs w:val="17"/>
        </w:rPr>
        <w:t>IDÉE DIRECTRICE</w:t>
      </w:r>
    </w:p>
    <w:p w14:paraId="3AE76AC5" w14:textId="77777777" w:rsidR="00DF4DE6" w:rsidRDefault="001B2AC3" w:rsidP="00240AE0">
      <w:pPr>
        <w:spacing w:after="60" w:line="276" w:lineRule="auto"/>
        <w:jc w:val="both"/>
      </w:pPr>
      <w:r>
        <w:t>Première fiche du catalogue. Le droit à la vie est présenté comme valeur suprême et droit indérogeable. Deux blocs : les principes (point de départ de la protection, interdiction d'infliger la mort — peine de mort, opérations de la puissance publique, privilège du combattant en état de guerre) puis l'extension du droit (garanties procédurales, obligations positives, effet horizontal, protection contre les aléas).</w:t>
      </w:r>
    </w:p>
    <w:p w14:paraId="5AF7DF88" w14:textId="77777777" w:rsidR="00DF4DE6" w:rsidRDefault="001B2AC3" w:rsidP="00240AE0">
      <w:pPr>
        <w:spacing w:before="200" w:after="70"/>
        <w:jc w:val="both"/>
      </w:pPr>
      <w:r>
        <w:rPr>
          <w:b/>
          <w:bCs/>
          <w:color w:val="2E5A88"/>
          <w:spacing w:val="24"/>
          <w:sz w:val="17"/>
          <w:szCs w:val="17"/>
        </w:rPr>
        <w:t>POINTS CLÉS (ENCADRÉ DU FASCICULE)</w:t>
      </w:r>
    </w:p>
    <w:p w14:paraId="724747AF" w14:textId="77777777" w:rsidR="00DF4DE6" w:rsidRDefault="001B2AC3" w:rsidP="00240AE0">
      <w:pPr>
        <w:pStyle w:val="Paragraphedeliste"/>
        <w:numPr>
          <w:ilvl w:val="0"/>
          <w:numId w:val="2"/>
        </w:numPr>
        <w:spacing w:after="40" w:line="264" w:lineRule="auto"/>
        <w:jc w:val="both"/>
      </w:pPr>
      <w:r>
        <w:rPr>
          <w:color w:val="1A1A1A"/>
          <w:sz w:val="19"/>
          <w:szCs w:val="19"/>
        </w:rPr>
        <w:t>Valeur suprême et droit indérogeable.</w:t>
      </w:r>
    </w:p>
    <w:p w14:paraId="3395F844" w14:textId="77777777" w:rsidR="00DF4DE6" w:rsidRDefault="001B2AC3" w:rsidP="00240AE0">
      <w:pPr>
        <w:pStyle w:val="Paragraphedeliste"/>
        <w:numPr>
          <w:ilvl w:val="0"/>
          <w:numId w:val="2"/>
        </w:numPr>
        <w:spacing w:after="40" w:line="264" w:lineRule="auto"/>
        <w:jc w:val="both"/>
      </w:pPr>
      <w:r>
        <w:rPr>
          <w:color w:val="1A1A1A"/>
          <w:sz w:val="19"/>
          <w:szCs w:val="19"/>
        </w:rPr>
        <w:t>Début et fin de vie.</w:t>
      </w:r>
    </w:p>
    <w:p w14:paraId="1B620D91" w14:textId="77777777" w:rsidR="00DF4DE6" w:rsidRDefault="001B2AC3" w:rsidP="00240AE0">
      <w:pPr>
        <w:pStyle w:val="Paragraphedeliste"/>
        <w:numPr>
          <w:ilvl w:val="0"/>
          <w:numId w:val="2"/>
        </w:numPr>
        <w:spacing w:after="40" w:line="264" w:lineRule="auto"/>
        <w:jc w:val="both"/>
      </w:pPr>
      <w:r>
        <w:rPr>
          <w:color w:val="1A1A1A"/>
          <w:sz w:val="19"/>
          <w:szCs w:val="19"/>
        </w:rPr>
        <w:t>Interdiction de porter atteinte à la vie.</w:t>
      </w:r>
    </w:p>
    <w:p w14:paraId="1BAF2462" w14:textId="77777777" w:rsidR="00DF4DE6" w:rsidRDefault="001B2AC3" w:rsidP="00240AE0">
      <w:pPr>
        <w:pStyle w:val="Paragraphedeliste"/>
        <w:numPr>
          <w:ilvl w:val="0"/>
          <w:numId w:val="2"/>
        </w:numPr>
        <w:spacing w:after="40" w:line="264" w:lineRule="auto"/>
        <w:jc w:val="both"/>
      </w:pPr>
      <w:r>
        <w:rPr>
          <w:color w:val="1A1A1A"/>
          <w:sz w:val="19"/>
          <w:szCs w:val="19"/>
        </w:rPr>
        <w:t>Peine de mort.</w:t>
      </w:r>
    </w:p>
    <w:p w14:paraId="291379A0" w14:textId="77777777" w:rsidR="00DF4DE6" w:rsidRDefault="001B2AC3" w:rsidP="00240AE0">
      <w:pPr>
        <w:pStyle w:val="Paragraphedeliste"/>
        <w:numPr>
          <w:ilvl w:val="0"/>
          <w:numId w:val="2"/>
        </w:numPr>
        <w:spacing w:after="40" w:line="264" w:lineRule="auto"/>
        <w:jc w:val="both"/>
      </w:pPr>
      <w:r>
        <w:rPr>
          <w:color w:val="1A1A1A"/>
          <w:sz w:val="19"/>
          <w:szCs w:val="19"/>
        </w:rPr>
        <w:t>Opération de puissance publique.</w:t>
      </w:r>
    </w:p>
    <w:p w14:paraId="6B2DC78A" w14:textId="77777777" w:rsidR="00DF4DE6" w:rsidRDefault="001B2AC3" w:rsidP="00240AE0">
      <w:pPr>
        <w:pStyle w:val="Paragraphedeliste"/>
        <w:numPr>
          <w:ilvl w:val="0"/>
          <w:numId w:val="2"/>
        </w:numPr>
        <w:spacing w:after="40" w:line="264" w:lineRule="auto"/>
        <w:jc w:val="both"/>
      </w:pPr>
      <w:r>
        <w:rPr>
          <w:color w:val="1A1A1A"/>
          <w:sz w:val="19"/>
          <w:szCs w:val="19"/>
        </w:rPr>
        <w:t>Situation de conflit armé.</w:t>
      </w:r>
    </w:p>
    <w:p w14:paraId="564CDFDC" w14:textId="77777777" w:rsidR="00DF4DE6" w:rsidRDefault="001B2AC3" w:rsidP="00240AE0">
      <w:pPr>
        <w:pStyle w:val="Paragraphedeliste"/>
        <w:numPr>
          <w:ilvl w:val="0"/>
          <w:numId w:val="2"/>
        </w:numPr>
        <w:spacing w:after="40" w:line="264" w:lineRule="auto"/>
        <w:jc w:val="both"/>
      </w:pPr>
      <w:r>
        <w:rPr>
          <w:color w:val="1A1A1A"/>
          <w:sz w:val="19"/>
          <w:szCs w:val="19"/>
        </w:rPr>
        <w:t>Obligations positives.</w:t>
      </w:r>
    </w:p>
    <w:p w14:paraId="5E34D5F5" w14:textId="77777777" w:rsidR="00DF4DE6" w:rsidRDefault="001B2AC3" w:rsidP="00240AE0">
      <w:pPr>
        <w:pStyle w:val="Paragraphedeliste"/>
        <w:numPr>
          <w:ilvl w:val="0"/>
          <w:numId w:val="2"/>
        </w:numPr>
        <w:spacing w:after="40" w:line="264" w:lineRule="auto"/>
        <w:jc w:val="both"/>
      </w:pPr>
      <w:r>
        <w:rPr>
          <w:color w:val="1A1A1A"/>
          <w:sz w:val="19"/>
          <w:szCs w:val="19"/>
        </w:rPr>
        <w:t>Effet horizontal.</w:t>
      </w:r>
    </w:p>
    <w:p w14:paraId="2C010C72" w14:textId="77777777" w:rsidR="00DF4DE6" w:rsidRDefault="001B2AC3" w:rsidP="00240AE0">
      <w:pPr>
        <w:pStyle w:val="Paragraphedeliste"/>
        <w:numPr>
          <w:ilvl w:val="0"/>
          <w:numId w:val="2"/>
        </w:numPr>
        <w:spacing w:after="40" w:line="264" w:lineRule="auto"/>
        <w:jc w:val="both"/>
      </w:pPr>
      <w:r>
        <w:rPr>
          <w:color w:val="1A1A1A"/>
          <w:sz w:val="19"/>
          <w:szCs w:val="19"/>
        </w:rPr>
        <w:t>Obligations procédurales.</w:t>
      </w:r>
    </w:p>
    <w:p w14:paraId="3F472F3B" w14:textId="77777777" w:rsidR="00DF4DE6" w:rsidRDefault="001B2AC3" w:rsidP="00240AE0">
      <w:pPr>
        <w:spacing w:before="200" w:after="70"/>
        <w:jc w:val="both"/>
      </w:pPr>
      <w:r>
        <w:rPr>
          <w:b/>
          <w:bCs/>
          <w:color w:val="2E5A88"/>
          <w:spacing w:val="24"/>
          <w:sz w:val="17"/>
          <w:szCs w:val="17"/>
        </w:rPr>
        <w:t>PLAN DE LA FICHE</w:t>
      </w:r>
    </w:p>
    <w:p w14:paraId="28EBBEA8" w14:textId="77777777" w:rsidR="00DF4DE6" w:rsidRDefault="001B2AC3" w:rsidP="00240AE0">
      <w:pPr>
        <w:spacing w:after="20" w:line="250" w:lineRule="auto"/>
        <w:ind w:left="240"/>
        <w:jc w:val="both"/>
      </w:pPr>
      <w:r>
        <w:rPr>
          <w:b/>
          <w:bCs/>
          <w:color w:val="1F3864"/>
          <w:sz w:val="19"/>
          <w:szCs w:val="19"/>
        </w:rPr>
        <w:t>1. Principes fondamentaux relatifs à la vie</w:t>
      </w:r>
    </w:p>
    <w:p w14:paraId="76FDECCC" w14:textId="77777777" w:rsidR="00DF4DE6" w:rsidRDefault="001B2AC3" w:rsidP="00240AE0">
      <w:pPr>
        <w:spacing w:after="20" w:line="250" w:lineRule="auto"/>
        <w:ind w:left="500"/>
        <w:jc w:val="both"/>
      </w:pPr>
      <w:r>
        <w:rPr>
          <w:color w:val="333333"/>
          <w:sz w:val="18"/>
          <w:szCs w:val="18"/>
        </w:rPr>
        <w:t>1.1. Le point de départ de la protection</w:t>
      </w:r>
    </w:p>
    <w:p w14:paraId="0672500A" w14:textId="77777777" w:rsidR="00DF4DE6" w:rsidRDefault="001B2AC3" w:rsidP="00240AE0">
      <w:pPr>
        <w:spacing w:after="20" w:line="250" w:lineRule="auto"/>
        <w:ind w:left="500"/>
        <w:jc w:val="both"/>
      </w:pPr>
      <w:r>
        <w:rPr>
          <w:color w:val="333333"/>
          <w:sz w:val="18"/>
          <w:szCs w:val="18"/>
        </w:rPr>
        <w:t>1.2. L’interdiction d’infliger la mort</w:t>
      </w:r>
    </w:p>
    <w:p w14:paraId="6A7541C2" w14:textId="77777777" w:rsidR="00DF4DE6" w:rsidRDefault="001B2AC3" w:rsidP="00240AE0">
      <w:pPr>
        <w:spacing w:after="20" w:line="250" w:lineRule="auto"/>
        <w:ind w:left="760"/>
        <w:jc w:val="both"/>
      </w:pPr>
      <w:r>
        <w:rPr>
          <w:color w:val="595959"/>
          <w:sz w:val="18"/>
          <w:szCs w:val="18"/>
        </w:rPr>
        <w:t>1.2.1. La peine de mort</w:t>
      </w:r>
    </w:p>
    <w:p w14:paraId="2F689D2C" w14:textId="77777777" w:rsidR="00DF4DE6" w:rsidRDefault="001B2AC3" w:rsidP="00240AE0">
      <w:pPr>
        <w:spacing w:after="20" w:line="250" w:lineRule="auto"/>
        <w:ind w:left="760"/>
        <w:jc w:val="both"/>
      </w:pPr>
      <w:r>
        <w:rPr>
          <w:color w:val="595959"/>
          <w:sz w:val="18"/>
          <w:szCs w:val="18"/>
        </w:rPr>
        <w:t>1.2.2. Les atteintes résultant des opérations de la puissance publique</w:t>
      </w:r>
    </w:p>
    <w:p w14:paraId="5B6277D3" w14:textId="77777777" w:rsidR="00DF4DE6" w:rsidRDefault="001B2AC3" w:rsidP="00240AE0">
      <w:pPr>
        <w:spacing w:after="20" w:line="250" w:lineRule="auto"/>
        <w:ind w:left="760"/>
        <w:jc w:val="both"/>
      </w:pPr>
      <w:r>
        <w:rPr>
          <w:color w:val="595959"/>
          <w:sz w:val="18"/>
          <w:szCs w:val="18"/>
        </w:rPr>
        <w:t>1.2.3. L’état de guerre : le privilège du combattant</w:t>
      </w:r>
    </w:p>
    <w:p w14:paraId="6B9BC77F" w14:textId="77777777" w:rsidR="00DF4DE6" w:rsidRDefault="001B2AC3" w:rsidP="00240AE0">
      <w:pPr>
        <w:spacing w:after="20" w:line="250" w:lineRule="auto"/>
        <w:ind w:left="240"/>
        <w:jc w:val="both"/>
      </w:pPr>
      <w:r>
        <w:rPr>
          <w:b/>
          <w:bCs/>
          <w:color w:val="1F3864"/>
          <w:sz w:val="19"/>
          <w:szCs w:val="19"/>
        </w:rPr>
        <w:t>2. La protection étendue du droit à la vie</w:t>
      </w:r>
    </w:p>
    <w:p w14:paraId="524137EA" w14:textId="77777777" w:rsidR="00DF4DE6" w:rsidRDefault="001B2AC3" w:rsidP="00240AE0">
      <w:pPr>
        <w:spacing w:after="20" w:line="250" w:lineRule="auto"/>
        <w:ind w:left="500"/>
        <w:jc w:val="both"/>
      </w:pPr>
      <w:r>
        <w:rPr>
          <w:color w:val="333333"/>
          <w:sz w:val="18"/>
          <w:szCs w:val="18"/>
        </w:rPr>
        <w:t>2.1. Les garanties procédurales</w:t>
      </w:r>
    </w:p>
    <w:p w14:paraId="2B0AF1B0" w14:textId="77777777" w:rsidR="00DF4DE6" w:rsidRDefault="001B2AC3" w:rsidP="00240AE0">
      <w:pPr>
        <w:spacing w:after="20" w:line="250" w:lineRule="auto"/>
        <w:ind w:left="500"/>
        <w:jc w:val="both"/>
      </w:pPr>
      <w:r>
        <w:rPr>
          <w:color w:val="333333"/>
          <w:sz w:val="18"/>
          <w:szCs w:val="18"/>
        </w:rPr>
        <w:t>2.2. Les actions positives spécifiques</w:t>
      </w:r>
    </w:p>
    <w:p w14:paraId="5DE6B312" w14:textId="77777777" w:rsidR="00DF4DE6" w:rsidRDefault="001B2AC3" w:rsidP="00240AE0">
      <w:pPr>
        <w:spacing w:after="20" w:line="250" w:lineRule="auto"/>
        <w:ind w:left="760"/>
        <w:jc w:val="both"/>
      </w:pPr>
      <w:r>
        <w:rPr>
          <w:color w:val="595959"/>
          <w:sz w:val="18"/>
          <w:szCs w:val="18"/>
        </w:rPr>
        <w:t>2.2.1. L’effet « horizontal »</w:t>
      </w:r>
    </w:p>
    <w:p w14:paraId="767093F9" w14:textId="77777777" w:rsidR="00DF4DE6" w:rsidRDefault="001B2AC3" w:rsidP="00240AE0">
      <w:pPr>
        <w:spacing w:after="20" w:line="250" w:lineRule="auto"/>
        <w:ind w:left="760"/>
        <w:jc w:val="both"/>
      </w:pPr>
      <w:r>
        <w:rPr>
          <w:color w:val="595959"/>
          <w:sz w:val="18"/>
          <w:szCs w:val="18"/>
        </w:rPr>
        <w:t>2.2.2. La protection contre les aléas</w:t>
      </w:r>
    </w:p>
    <w:p w14:paraId="57E9C0E0" w14:textId="77777777" w:rsidR="00DF4DE6" w:rsidRDefault="001B2AC3" w:rsidP="00240AE0">
      <w:pPr>
        <w:spacing w:before="200" w:after="70"/>
        <w:jc w:val="both"/>
      </w:pPr>
      <w:r>
        <w:rPr>
          <w:b/>
          <w:bCs/>
          <w:color w:val="2E5A88"/>
          <w:spacing w:val="24"/>
          <w:sz w:val="17"/>
          <w:szCs w:val="17"/>
        </w:rPr>
        <w:t>RÉFÉRENCES CENTRALES</w:t>
      </w:r>
    </w:p>
    <w:p w14:paraId="3D993029"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94-343/344 DC, 27 juillet 1994, Loi relative au respect du corps humain et loi relative au don et à l'utilisation des éléments et produits du corps humain, à l'assistance médicale à la procréation et au diagnostic prénatal.</w:t>
      </w:r>
    </w:p>
    <w:p w14:paraId="38D9661E" w14:textId="77777777" w:rsidR="00DF4DE6" w:rsidRDefault="001B2AC3" w:rsidP="00240AE0">
      <w:pPr>
        <w:pStyle w:val="Paragraphedeliste"/>
        <w:numPr>
          <w:ilvl w:val="0"/>
          <w:numId w:val="2"/>
        </w:numPr>
        <w:spacing w:after="40" w:line="264" w:lineRule="auto"/>
        <w:jc w:val="both"/>
      </w:pPr>
      <w:r>
        <w:rPr>
          <w:color w:val="333333"/>
          <w:sz w:val="18"/>
          <w:szCs w:val="18"/>
        </w:rPr>
        <w:t>Art. 3 de la Déclaration universelle des droits de l’homme.</w:t>
      </w:r>
    </w:p>
    <w:p w14:paraId="072F62D8" w14:textId="77777777" w:rsidR="00DF4DE6" w:rsidRDefault="001B2AC3" w:rsidP="00240AE0">
      <w:pPr>
        <w:pStyle w:val="Paragraphedeliste"/>
        <w:numPr>
          <w:ilvl w:val="0"/>
          <w:numId w:val="2"/>
        </w:numPr>
        <w:spacing w:after="40" w:line="264" w:lineRule="auto"/>
        <w:jc w:val="both"/>
      </w:pPr>
      <w:r>
        <w:rPr>
          <w:color w:val="333333"/>
          <w:sz w:val="18"/>
          <w:szCs w:val="18"/>
        </w:rPr>
        <w:t>Art. 2 de la Convention européenne des droits de l’homme.</w:t>
      </w:r>
    </w:p>
    <w:p w14:paraId="3FEFB90F" w14:textId="77777777" w:rsidR="00DF4DE6" w:rsidRDefault="001B2AC3" w:rsidP="00240AE0">
      <w:pPr>
        <w:pStyle w:val="Paragraphedeliste"/>
        <w:numPr>
          <w:ilvl w:val="0"/>
          <w:numId w:val="2"/>
        </w:numPr>
        <w:spacing w:after="40" w:line="264" w:lineRule="auto"/>
        <w:jc w:val="both"/>
      </w:pPr>
      <w:r>
        <w:rPr>
          <w:color w:val="333333"/>
          <w:sz w:val="18"/>
          <w:szCs w:val="18"/>
        </w:rPr>
        <w:t>Art. 6-1 du Pacte international relatif aux droits civils et politiques.</w:t>
      </w:r>
    </w:p>
    <w:p w14:paraId="6A9B3DF4" w14:textId="77777777" w:rsidR="00DF4DE6" w:rsidRDefault="001B2AC3" w:rsidP="00240AE0">
      <w:pPr>
        <w:pStyle w:val="Paragraphedeliste"/>
        <w:numPr>
          <w:ilvl w:val="0"/>
          <w:numId w:val="2"/>
        </w:numPr>
        <w:spacing w:after="40" w:line="264" w:lineRule="auto"/>
        <w:jc w:val="both"/>
      </w:pPr>
      <w:r>
        <w:rPr>
          <w:color w:val="333333"/>
          <w:sz w:val="18"/>
          <w:szCs w:val="18"/>
        </w:rPr>
        <w:t>Art. 6 de la Convention internationale relative aux droits de l’enfant.</w:t>
      </w:r>
    </w:p>
    <w:p w14:paraId="60A49ABF" w14:textId="77777777" w:rsidR="00DF4DE6" w:rsidRDefault="001B2AC3" w:rsidP="00240AE0">
      <w:pPr>
        <w:pStyle w:val="Paragraphedeliste"/>
        <w:numPr>
          <w:ilvl w:val="0"/>
          <w:numId w:val="2"/>
        </w:numPr>
        <w:spacing w:after="40" w:line="264" w:lineRule="auto"/>
        <w:jc w:val="both"/>
      </w:pPr>
      <w:r>
        <w:rPr>
          <w:color w:val="333333"/>
          <w:sz w:val="18"/>
          <w:szCs w:val="18"/>
        </w:rPr>
        <w:t>Art. 2 de la Charte des droits fondamentaux de l’Union européenne.</w:t>
      </w:r>
    </w:p>
    <w:p w14:paraId="25D17AD0" w14:textId="77777777" w:rsidR="00DF4DE6" w:rsidRDefault="001B2AC3" w:rsidP="00240AE0">
      <w:pPr>
        <w:pStyle w:val="Paragraphedeliste"/>
        <w:numPr>
          <w:ilvl w:val="0"/>
          <w:numId w:val="2"/>
        </w:numPr>
        <w:spacing w:after="40" w:line="264" w:lineRule="auto"/>
        <w:jc w:val="both"/>
      </w:pPr>
      <w:r>
        <w:rPr>
          <w:color w:val="333333"/>
          <w:sz w:val="18"/>
          <w:szCs w:val="18"/>
        </w:rPr>
        <w:t>Art. 122-5 du Code pénal.</w:t>
      </w:r>
    </w:p>
    <w:p w14:paraId="706146D7" w14:textId="77777777" w:rsidR="00DF4DE6" w:rsidRDefault="001B2AC3" w:rsidP="00240AE0">
      <w:pPr>
        <w:pStyle w:val="Paragraphedeliste"/>
        <w:numPr>
          <w:ilvl w:val="0"/>
          <w:numId w:val="2"/>
        </w:numPr>
        <w:spacing w:after="40" w:line="264" w:lineRule="auto"/>
        <w:jc w:val="both"/>
      </w:pPr>
      <w:r>
        <w:rPr>
          <w:color w:val="333333"/>
          <w:sz w:val="18"/>
          <w:szCs w:val="18"/>
        </w:rPr>
        <w:lastRenderedPageBreak/>
        <w:t>Art. L. 435-1 du Code de la sécurité intérieure.</w:t>
      </w:r>
    </w:p>
    <w:p w14:paraId="5EE798AB" w14:textId="77777777" w:rsidR="00DF4DE6" w:rsidRDefault="001B2AC3" w:rsidP="00240AE0">
      <w:pPr>
        <w:pStyle w:val="Paragraphedeliste"/>
        <w:numPr>
          <w:ilvl w:val="0"/>
          <w:numId w:val="2"/>
        </w:numPr>
        <w:spacing w:after="40" w:line="264" w:lineRule="auto"/>
        <w:jc w:val="both"/>
      </w:pPr>
      <w:r>
        <w:rPr>
          <w:color w:val="333333"/>
          <w:sz w:val="18"/>
          <w:szCs w:val="18"/>
        </w:rPr>
        <w:t xml:space="preserve">Loi no 2016-87 du 2 février 2016, dite « </w:t>
      </w:r>
      <w:proofErr w:type="spellStart"/>
      <w:r>
        <w:rPr>
          <w:color w:val="333333"/>
          <w:sz w:val="18"/>
          <w:szCs w:val="18"/>
        </w:rPr>
        <w:t>Claeys-Leonett</w:t>
      </w:r>
      <w:proofErr w:type="spellEnd"/>
      <w:r>
        <w:rPr>
          <w:color w:val="333333"/>
          <w:sz w:val="18"/>
          <w:szCs w:val="18"/>
        </w:rPr>
        <w:t xml:space="preserve"> ».</w:t>
      </w:r>
    </w:p>
    <w:p w14:paraId="75D8CDFB" w14:textId="77777777" w:rsidR="00DF4DE6" w:rsidRDefault="00DF4DE6" w:rsidP="00240AE0">
      <w:pPr>
        <w:pBdr>
          <w:top w:val="single" w:sz="6" w:space="0" w:color="C7D2E0"/>
        </w:pBdr>
        <w:spacing w:before="260" w:after="180"/>
        <w:jc w:val="both"/>
      </w:pPr>
    </w:p>
    <w:p w14:paraId="19630BAD"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27  ·</w:t>
      </w:r>
      <w:proofErr w:type="gramEnd"/>
      <w:r>
        <w:rPr>
          <w:b/>
          <w:bCs/>
          <w:color w:val="2E5A88"/>
          <w:sz w:val="22"/>
          <w:szCs w:val="22"/>
        </w:rPr>
        <w:t xml:space="preserve">  </w:t>
      </w:r>
      <w:r>
        <w:rPr>
          <w:rFonts w:ascii="Cambria" w:eastAsia="Cambria" w:hAnsi="Cambria" w:cs="Cambria"/>
          <w:b/>
          <w:bCs/>
          <w:color w:val="1F3864"/>
        </w:rPr>
        <w:t>Le droit à l’intégrité de la personne</w:t>
      </w:r>
    </w:p>
    <w:p w14:paraId="07C39822" w14:textId="77777777" w:rsidR="00DF4DE6" w:rsidRDefault="001B2AC3" w:rsidP="00240AE0">
      <w:pPr>
        <w:spacing w:after="120"/>
        <w:jc w:val="both"/>
      </w:pPr>
      <w:r>
        <w:rPr>
          <w:i/>
          <w:iCs/>
          <w:color w:val="595959"/>
          <w:sz w:val="17"/>
          <w:szCs w:val="17"/>
        </w:rPr>
        <w:t>Fascicule, p. 267</w:t>
      </w:r>
    </w:p>
    <w:p w14:paraId="75B0113D" w14:textId="77777777" w:rsidR="00DF4DE6" w:rsidRDefault="001B2AC3" w:rsidP="00240AE0">
      <w:pPr>
        <w:spacing w:before="200" w:after="70"/>
        <w:jc w:val="both"/>
      </w:pPr>
      <w:r>
        <w:rPr>
          <w:b/>
          <w:bCs/>
          <w:color w:val="2E5A88"/>
          <w:spacing w:val="24"/>
          <w:sz w:val="17"/>
          <w:szCs w:val="17"/>
        </w:rPr>
        <w:t>IDÉE DIRECTRICE</w:t>
      </w:r>
    </w:p>
    <w:p w14:paraId="7E923689" w14:textId="77777777" w:rsidR="00DF4DE6" w:rsidRDefault="001B2AC3" w:rsidP="00240AE0">
      <w:pPr>
        <w:spacing w:after="60" w:line="276" w:lineRule="auto"/>
        <w:jc w:val="both"/>
      </w:pPr>
      <w:r>
        <w:t>Le droit à l'intégrité, construit autour de deux notions : le consentement, sacralisé, et l'autonomie personnelle. Volet physique : libre disposition de son corps, non-patrimonialité et indisponibilité, protection de la santé, inviolabilité, exceptions au consentement aux soins, fin de vie. Volet moral. La fiche souligne l'absence de consécration d'un droit à mourir et intègre la décision du Conseil constitutionnel du 14 août 2026 sur l'aide à mourir.</w:t>
      </w:r>
    </w:p>
    <w:p w14:paraId="4A431CD5" w14:textId="77777777" w:rsidR="00DF4DE6" w:rsidRDefault="001B2AC3" w:rsidP="00240AE0">
      <w:pPr>
        <w:spacing w:before="200" w:after="70"/>
        <w:jc w:val="both"/>
      </w:pPr>
      <w:r>
        <w:rPr>
          <w:b/>
          <w:bCs/>
          <w:color w:val="2E5A88"/>
          <w:spacing w:val="24"/>
          <w:sz w:val="17"/>
          <w:szCs w:val="17"/>
        </w:rPr>
        <w:t>POINTS CLÉS (ENCADRÉ DU FASCICULE)</w:t>
      </w:r>
    </w:p>
    <w:p w14:paraId="0BB5E2FC" w14:textId="77777777" w:rsidR="00DF4DE6" w:rsidRDefault="001B2AC3" w:rsidP="00240AE0">
      <w:pPr>
        <w:pStyle w:val="Paragraphedeliste"/>
        <w:numPr>
          <w:ilvl w:val="0"/>
          <w:numId w:val="2"/>
        </w:numPr>
        <w:spacing w:after="40" w:line="264" w:lineRule="auto"/>
        <w:jc w:val="both"/>
      </w:pPr>
      <w:r>
        <w:rPr>
          <w:color w:val="1A1A1A"/>
          <w:sz w:val="19"/>
          <w:szCs w:val="19"/>
        </w:rPr>
        <w:t>La sacralisation du consentement.</w:t>
      </w:r>
    </w:p>
    <w:p w14:paraId="5BD19B96" w14:textId="77777777" w:rsidR="00DF4DE6" w:rsidRDefault="001B2AC3" w:rsidP="00240AE0">
      <w:pPr>
        <w:pStyle w:val="Paragraphedeliste"/>
        <w:numPr>
          <w:ilvl w:val="0"/>
          <w:numId w:val="2"/>
        </w:numPr>
        <w:spacing w:after="40" w:line="264" w:lineRule="auto"/>
        <w:jc w:val="both"/>
      </w:pPr>
      <w:r>
        <w:rPr>
          <w:color w:val="1A1A1A"/>
          <w:sz w:val="19"/>
          <w:szCs w:val="19"/>
        </w:rPr>
        <w:t>La consécration de la notion d’autonomie personnelle.</w:t>
      </w:r>
    </w:p>
    <w:p w14:paraId="134AB29F" w14:textId="77777777" w:rsidR="00DF4DE6" w:rsidRDefault="001B2AC3" w:rsidP="00240AE0">
      <w:pPr>
        <w:pStyle w:val="Paragraphedeliste"/>
        <w:numPr>
          <w:ilvl w:val="0"/>
          <w:numId w:val="2"/>
        </w:numPr>
        <w:spacing w:after="40" w:line="264" w:lineRule="auto"/>
        <w:jc w:val="both"/>
      </w:pPr>
      <w:r>
        <w:rPr>
          <w:color w:val="1A1A1A"/>
          <w:sz w:val="19"/>
          <w:szCs w:val="19"/>
        </w:rPr>
        <w:t>La protection de l’intégrité physique et de l’intégrité morale.</w:t>
      </w:r>
    </w:p>
    <w:p w14:paraId="33B32B2B" w14:textId="77777777" w:rsidR="00DF4DE6" w:rsidRDefault="001B2AC3" w:rsidP="00240AE0">
      <w:pPr>
        <w:pStyle w:val="Paragraphedeliste"/>
        <w:numPr>
          <w:ilvl w:val="0"/>
          <w:numId w:val="2"/>
        </w:numPr>
        <w:spacing w:after="40" w:line="264" w:lineRule="auto"/>
        <w:jc w:val="both"/>
      </w:pPr>
      <w:r>
        <w:rPr>
          <w:color w:val="1A1A1A"/>
          <w:sz w:val="19"/>
          <w:szCs w:val="19"/>
        </w:rPr>
        <w:t>L’absence de consécration du droit à mourir. Le droit à l’intégrité de la personne est protégé tant par le système de la Convention européenne des droits de l’homme qu’en droit français.</w:t>
      </w:r>
    </w:p>
    <w:p w14:paraId="7B8BED4E" w14:textId="77777777" w:rsidR="00DF4DE6" w:rsidRDefault="001B2AC3" w:rsidP="00240AE0">
      <w:pPr>
        <w:spacing w:before="200" w:after="70"/>
        <w:jc w:val="both"/>
      </w:pPr>
      <w:r>
        <w:rPr>
          <w:b/>
          <w:bCs/>
          <w:color w:val="2E5A88"/>
          <w:spacing w:val="24"/>
          <w:sz w:val="17"/>
          <w:szCs w:val="17"/>
        </w:rPr>
        <w:t>PLAN DE LA FICHE</w:t>
      </w:r>
    </w:p>
    <w:p w14:paraId="421BBDA0" w14:textId="77777777" w:rsidR="00DF4DE6" w:rsidRDefault="001B2AC3" w:rsidP="00240AE0">
      <w:pPr>
        <w:spacing w:after="20" w:line="250" w:lineRule="auto"/>
        <w:ind w:left="240"/>
        <w:jc w:val="both"/>
      </w:pPr>
      <w:r>
        <w:rPr>
          <w:b/>
          <w:bCs/>
          <w:color w:val="1F3864"/>
          <w:sz w:val="19"/>
          <w:szCs w:val="19"/>
        </w:rPr>
        <w:t>1. Le droit à l’intégrité physique de la personne humaine</w:t>
      </w:r>
    </w:p>
    <w:p w14:paraId="3D46795E" w14:textId="77777777" w:rsidR="00DF4DE6" w:rsidRDefault="001B2AC3" w:rsidP="00240AE0">
      <w:pPr>
        <w:spacing w:after="20" w:line="250" w:lineRule="auto"/>
        <w:ind w:left="500"/>
        <w:jc w:val="both"/>
      </w:pPr>
      <w:r>
        <w:rPr>
          <w:color w:val="333333"/>
          <w:sz w:val="18"/>
          <w:szCs w:val="18"/>
        </w:rPr>
        <w:t>1.1. Le droit de la personne à disposer librement de son corps</w:t>
      </w:r>
    </w:p>
    <w:p w14:paraId="53AAE79C" w14:textId="77777777" w:rsidR="00DF4DE6" w:rsidRDefault="001B2AC3" w:rsidP="00240AE0">
      <w:pPr>
        <w:spacing w:after="20" w:line="250" w:lineRule="auto"/>
        <w:ind w:left="500"/>
        <w:jc w:val="both"/>
      </w:pPr>
      <w:r>
        <w:rPr>
          <w:color w:val="333333"/>
          <w:sz w:val="18"/>
          <w:szCs w:val="18"/>
        </w:rPr>
        <w:t>1.2. La non-patrimonialité et l’indisponibilité du corps humain</w:t>
      </w:r>
    </w:p>
    <w:p w14:paraId="5E842B0E" w14:textId="77777777" w:rsidR="00DF4DE6" w:rsidRDefault="001B2AC3" w:rsidP="00240AE0">
      <w:pPr>
        <w:spacing w:after="20" w:line="250" w:lineRule="auto"/>
        <w:ind w:left="500"/>
        <w:jc w:val="both"/>
      </w:pPr>
      <w:r>
        <w:rPr>
          <w:color w:val="333333"/>
          <w:sz w:val="18"/>
          <w:szCs w:val="18"/>
        </w:rPr>
        <w:t>1.3. Le droit à la protection de la santé</w:t>
      </w:r>
    </w:p>
    <w:p w14:paraId="0F749AB2" w14:textId="77777777" w:rsidR="00DF4DE6" w:rsidRDefault="001B2AC3" w:rsidP="00240AE0">
      <w:pPr>
        <w:spacing w:after="20" w:line="250" w:lineRule="auto"/>
        <w:ind w:left="500"/>
        <w:jc w:val="both"/>
      </w:pPr>
      <w:r>
        <w:rPr>
          <w:color w:val="333333"/>
          <w:sz w:val="18"/>
          <w:szCs w:val="18"/>
        </w:rPr>
        <w:t>1.4. L’inviolabilité du corps humain</w:t>
      </w:r>
    </w:p>
    <w:p w14:paraId="075F53A4" w14:textId="77777777" w:rsidR="00DF4DE6" w:rsidRDefault="001B2AC3" w:rsidP="00240AE0">
      <w:pPr>
        <w:spacing w:after="20" w:line="250" w:lineRule="auto"/>
        <w:ind w:left="760"/>
        <w:jc w:val="both"/>
      </w:pPr>
      <w:r>
        <w:rPr>
          <w:color w:val="595959"/>
          <w:sz w:val="18"/>
          <w:szCs w:val="18"/>
        </w:rPr>
        <w:t>1.4.1. La protection de la personne contre les atteintes à la santé</w:t>
      </w:r>
    </w:p>
    <w:p w14:paraId="6F187E29" w14:textId="77777777" w:rsidR="00DF4DE6" w:rsidRDefault="001B2AC3" w:rsidP="00240AE0">
      <w:pPr>
        <w:spacing w:after="20" w:line="250" w:lineRule="auto"/>
        <w:ind w:left="760"/>
        <w:jc w:val="both"/>
      </w:pPr>
      <w:r>
        <w:rPr>
          <w:color w:val="595959"/>
          <w:sz w:val="18"/>
          <w:szCs w:val="18"/>
        </w:rPr>
        <w:t>1.4.2. Les exceptions à l’exigence de consentement aux soins médicaux</w:t>
      </w:r>
    </w:p>
    <w:p w14:paraId="19ACE4F5" w14:textId="77777777" w:rsidR="00DF4DE6" w:rsidRDefault="001B2AC3" w:rsidP="00240AE0">
      <w:pPr>
        <w:spacing w:after="20" w:line="250" w:lineRule="auto"/>
        <w:ind w:left="760"/>
        <w:jc w:val="both"/>
      </w:pPr>
      <w:r>
        <w:rPr>
          <w:color w:val="595959"/>
          <w:sz w:val="18"/>
          <w:szCs w:val="18"/>
        </w:rPr>
        <w:t>1.4.3. La fin de vie</w:t>
      </w:r>
    </w:p>
    <w:p w14:paraId="18D83A70" w14:textId="77777777" w:rsidR="00DF4DE6" w:rsidRDefault="001B2AC3" w:rsidP="00240AE0">
      <w:pPr>
        <w:spacing w:after="20" w:line="250" w:lineRule="auto"/>
        <w:ind w:left="240"/>
        <w:jc w:val="both"/>
      </w:pPr>
      <w:r>
        <w:rPr>
          <w:b/>
          <w:bCs/>
          <w:color w:val="1F3864"/>
          <w:sz w:val="19"/>
          <w:szCs w:val="19"/>
        </w:rPr>
        <w:t>2. Le droit à l’intégrité morale de la personne humaine</w:t>
      </w:r>
    </w:p>
    <w:p w14:paraId="3A468D57" w14:textId="77777777" w:rsidR="00DF4DE6" w:rsidRDefault="001B2AC3" w:rsidP="00240AE0">
      <w:pPr>
        <w:spacing w:after="20" w:line="250" w:lineRule="auto"/>
        <w:ind w:left="500"/>
        <w:jc w:val="both"/>
      </w:pPr>
      <w:r>
        <w:rPr>
          <w:color w:val="333333"/>
          <w:sz w:val="18"/>
          <w:szCs w:val="18"/>
        </w:rPr>
        <w:t>2.1. La protection internationale de l’intégrité morale</w:t>
      </w:r>
    </w:p>
    <w:p w14:paraId="3FA9145A" w14:textId="77777777" w:rsidR="00DF4DE6" w:rsidRDefault="001B2AC3" w:rsidP="00240AE0">
      <w:pPr>
        <w:spacing w:after="20" w:line="250" w:lineRule="auto"/>
        <w:ind w:left="500"/>
        <w:jc w:val="both"/>
      </w:pPr>
      <w:r>
        <w:rPr>
          <w:color w:val="333333"/>
          <w:sz w:val="18"/>
          <w:szCs w:val="18"/>
        </w:rPr>
        <w:t>2.2. La protection nationale de l’intégrité morale</w:t>
      </w:r>
    </w:p>
    <w:p w14:paraId="547EA10D" w14:textId="77777777" w:rsidR="00DF4DE6" w:rsidRDefault="001B2AC3" w:rsidP="00240AE0">
      <w:pPr>
        <w:spacing w:before="200" w:after="70"/>
        <w:jc w:val="both"/>
      </w:pPr>
      <w:r>
        <w:rPr>
          <w:b/>
          <w:bCs/>
          <w:color w:val="2E5A88"/>
          <w:spacing w:val="24"/>
          <w:sz w:val="17"/>
          <w:szCs w:val="17"/>
        </w:rPr>
        <w:t>RÉFÉRENCES CENTRALES</w:t>
      </w:r>
    </w:p>
    <w:p w14:paraId="18F56031" w14:textId="77777777" w:rsidR="00DF4DE6" w:rsidRDefault="001B2AC3" w:rsidP="00240AE0">
      <w:pPr>
        <w:pStyle w:val="Paragraphedeliste"/>
        <w:numPr>
          <w:ilvl w:val="0"/>
          <w:numId w:val="2"/>
        </w:numPr>
        <w:spacing w:after="40" w:line="264" w:lineRule="auto"/>
        <w:jc w:val="both"/>
      </w:pPr>
      <w:r>
        <w:rPr>
          <w:color w:val="333333"/>
          <w:sz w:val="18"/>
          <w:szCs w:val="18"/>
        </w:rPr>
        <w:t>CEDH, 29 avril 2002, Pretty c. Royaume-Uni, no 2346/02.</w:t>
      </w:r>
    </w:p>
    <w:p w14:paraId="187803EE" w14:textId="77777777" w:rsidR="00DF4DE6" w:rsidRDefault="001B2AC3" w:rsidP="00240AE0">
      <w:pPr>
        <w:pStyle w:val="Paragraphedeliste"/>
        <w:numPr>
          <w:ilvl w:val="0"/>
          <w:numId w:val="2"/>
        </w:numPr>
        <w:spacing w:after="40" w:line="264" w:lineRule="auto"/>
        <w:jc w:val="both"/>
      </w:pPr>
      <w:r>
        <w:rPr>
          <w:color w:val="333333"/>
          <w:sz w:val="18"/>
          <w:szCs w:val="18"/>
        </w:rPr>
        <w:t>CEDH, GC., 25 septembre 2018, Denisov c. Ukraine, no 76639/11.</w:t>
      </w:r>
    </w:p>
    <w:p w14:paraId="4F3B89EA" w14:textId="77777777" w:rsidR="00DF4DE6" w:rsidRDefault="001B2AC3" w:rsidP="00240AE0">
      <w:pPr>
        <w:pStyle w:val="Paragraphedeliste"/>
        <w:numPr>
          <w:ilvl w:val="0"/>
          <w:numId w:val="2"/>
        </w:numPr>
        <w:spacing w:after="40" w:line="264" w:lineRule="auto"/>
        <w:jc w:val="both"/>
      </w:pPr>
      <w:r>
        <w:rPr>
          <w:color w:val="333333"/>
          <w:sz w:val="18"/>
          <w:szCs w:val="18"/>
        </w:rPr>
        <w:t>CEDH, 24 avril 2025, L. et a. c. France, nos 46949/21 et 2 a.</w:t>
      </w:r>
    </w:p>
    <w:p w14:paraId="3A26C8A6" w14:textId="77777777" w:rsidR="00DF4DE6" w:rsidRDefault="001B2AC3" w:rsidP="00240AE0">
      <w:pPr>
        <w:pStyle w:val="Paragraphedeliste"/>
        <w:numPr>
          <w:ilvl w:val="0"/>
          <w:numId w:val="2"/>
        </w:numPr>
        <w:spacing w:after="40" w:line="264" w:lineRule="auto"/>
        <w:jc w:val="both"/>
      </w:pPr>
      <w:r>
        <w:rPr>
          <w:color w:val="333333"/>
          <w:sz w:val="18"/>
          <w:szCs w:val="18"/>
        </w:rPr>
        <w:t>CEDH, 23 janvier 2025, H.W. c. France, no 13805/21.</w:t>
      </w:r>
    </w:p>
    <w:p w14:paraId="7CEC5EB2"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94-343/344 DC, 27 juillet 1994.</w:t>
      </w:r>
    </w:p>
    <w:p w14:paraId="12F9BD11" w14:textId="77777777" w:rsidR="00DF4DE6" w:rsidRDefault="001B2AC3" w:rsidP="00240AE0">
      <w:pPr>
        <w:pStyle w:val="Paragraphedeliste"/>
        <w:numPr>
          <w:ilvl w:val="0"/>
          <w:numId w:val="2"/>
        </w:numPr>
        <w:spacing w:after="40" w:line="264" w:lineRule="auto"/>
        <w:jc w:val="both"/>
      </w:pPr>
      <w:r>
        <w:rPr>
          <w:color w:val="333333"/>
          <w:sz w:val="18"/>
          <w:szCs w:val="18"/>
        </w:rPr>
        <w:t xml:space="preserve">CE, </w:t>
      </w:r>
      <w:proofErr w:type="spellStart"/>
      <w:r>
        <w:rPr>
          <w:color w:val="333333"/>
          <w:sz w:val="18"/>
          <w:szCs w:val="18"/>
        </w:rPr>
        <w:t>ass</w:t>
      </w:r>
      <w:proofErr w:type="spellEnd"/>
      <w:r>
        <w:rPr>
          <w:color w:val="333333"/>
          <w:sz w:val="18"/>
          <w:szCs w:val="18"/>
        </w:rPr>
        <w:t>., 27 octobre 1995, Morsang-sur-Orge, no 136727.</w:t>
      </w:r>
    </w:p>
    <w:p w14:paraId="11D6E5F5"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 2026-910 DC, 14 août 2026, Loi relative au droit à l’aide à mourir. POUR ALLER PLUS LOIN Une atteinte à l’intégrité physique sera traitée sur le fondement de l’article 3 si elle dépasse le seuil de gravité requis pour son application en raison des circonstances de la cause notamment de la gravité de l’atteinte. Lorsque le seuil de gravité ne sera pas rempli, la Cour traitera l’atteinte à l’intégrité sur le fondement des articles 8 et 3 combinés ou 8 en cas d’atteinte de moindre gravité.</w:t>
      </w:r>
    </w:p>
    <w:p w14:paraId="7C40A4FE" w14:textId="77777777" w:rsidR="00DF4DE6" w:rsidRDefault="00DF4DE6" w:rsidP="00240AE0">
      <w:pPr>
        <w:pBdr>
          <w:top w:val="single" w:sz="6" w:space="0" w:color="C7D2E0"/>
        </w:pBdr>
        <w:spacing w:before="260" w:after="180"/>
        <w:jc w:val="both"/>
      </w:pPr>
    </w:p>
    <w:p w14:paraId="57069EEE"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28  ·</w:t>
      </w:r>
      <w:proofErr w:type="gramEnd"/>
      <w:r>
        <w:rPr>
          <w:b/>
          <w:bCs/>
          <w:color w:val="2E5A88"/>
          <w:sz w:val="22"/>
          <w:szCs w:val="22"/>
        </w:rPr>
        <w:t xml:space="preserve">  </w:t>
      </w:r>
      <w:r>
        <w:rPr>
          <w:rFonts w:ascii="Cambria" w:eastAsia="Cambria" w:hAnsi="Cambria" w:cs="Cambria"/>
          <w:b/>
          <w:bCs/>
          <w:color w:val="1F3864"/>
        </w:rPr>
        <w:t>L’interdiction de la torture et des peines ou traitements inhumains ou dégradants</w:t>
      </w:r>
    </w:p>
    <w:p w14:paraId="340BF7A3" w14:textId="77777777" w:rsidR="00DF4DE6" w:rsidRDefault="001B2AC3" w:rsidP="00240AE0">
      <w:pPr>
        <w:spacing w:after="120"/>
        <w:jc w:val="both"/>
      </w:pPr>
      <w:r>
        <w:rPr>
          <w:i/>
          <w:iCs/>
          <w:color w:val="595959"/>
          <w:sz w:val="17"/>
          <w:szCs w:val="17"/>
        </w:rPr>
        <w:t>Fascicule, p. 279</w:t>
      </w:r>
    </w:p>
    <w:p w14:paraId="4A2806A0" w14:textId="77777777" w:rsidR="00DF4DE6" w:rsidRDefault="001B2AC3" w:rsidP="00240AE0">
      <w:pPr>
        <w:spacing w:before="200" w:after="70"/>
        <w:jc w:val="both"/>
      </w:pPr>
      <w:r>
        <w:rPr>
          <w:b/>
          <w:bCs/>
          <w:color w:val="2E5A88"/>
          <w:spacing w:val="24"/>
          <w:sz w:val="17"/>
          <w:szCs w:val="17"/>
        </w:rPr>
        <w:t>IDÉE DIRECTRICE</w:t>
      </w:r>
    </w:p>
    <w:p w14:paraId="7C92FCDE" w14:textId="77777777" w:rsidR="00DF4DE6" w:rsidRDefault="001B2AC3" w:rsidP="00240AE0">
      <w:pPr>
        <w:spacing w:after="60" w:line="276" w:lineRule="auto"/>
        <w:jc w:val="both"/>
      </w:pPr>
      <w:r>
        <w:lastRenderedPageBreak/>
        <w:t>L'article 3 de la Convention. La fiche travaille les seuils : définition de la torture, puis distinction entre traitements « inhumains » et « dégradants », avec leur traduction en droit interne. Elle ajoute l'autonomie normative de l'interdiction de l'esclavage et du travail forcé, et le double jeu d'obligations négatives et positives de l'État — terrain d'élection : les conditions indignes de détention.</w:t>
      </w:r>
    </w:p>
    <w:p w14:paraId="2DFBBB33" w14:textId="77777777" w:rsidR="00DF4DE6" w:rsidRDefault="001B2AC3" w:rsidP="00240AE0">
      <w:pPr>
        <w:spacing w:before="200" w:after="70"/>
        <w:jc w:val="both"/>
      </w:pPr>
      <w:r>
        <w:rPr>
          <w:b/>
          <w:bCs/>
          <w:color w:val="2E5A88"/>
          <w:spacing w:val="24"/>
          <w:sz w:val="17"/>
          <w:szCs w:val="17"/>
        </w:rPr>
        <w:t>POINTS CLÉS (ENCADRÉ DU FASCICULE)</w:t>
      </w:r>
    </w:p>
    <w:p w14:paraId="2D49523E" w14:textId="77777777" w:rsidR="00DF4DE6" w:rsidRDefault="001B2AC3" w:rsidP="00240AE0">
      <w:pPr>
        <w:pStyle w:val="Paragraphedeliste"/>
        <w:numPr>
          <w:ilvl w:val="0"/>
          <w:numId w:val="2"/>
        </w:numPr>
        <w:spacing w:after="40" w:line="264" w:lineRule="auto"/>
        <w:jc w:val="both"/>
      </w:pPr>
      <w:r>
        <w:rPr>
          <w:color w:val="1A1A1A"/>
          <w:sz w:val="19"/>
          <w:szCs w:val="19"/>
        </w:rPr>
        <w:t>La torture.</w:t>
      </w:r>
    </w:p>
    <w:p w14:paraId="70E4EFA2" w14:textId="77777777" w:rsidR="00DF4DE6" w:rsidRDefault="001B2AC3" w:rsidP="00240AE0">
      <w:pPr>
        <w:pStyle w:val="Paragraphedeliste"/>
        <w:numPr>
          <w:ilvl w:val="0"/>
          <w:numId w:val="2"/>
        </w:numPr>
        <w:spacing w:after="40" w:line="264" w:lineRule="auto"/>
        <w:jc w:val="both"/>
      </w:pPr>
      <w:r>
        <w:rPr>
          <w:color w:val="1A1A1A"/>
          <w:sz w:val="19"/>
          <w:szCs w:val="19"/>
        </w:rPr>
        <w:t>Les traitements ou peines inhumains.</w:t>
      </w:r>
    </w:p>
    <w:p w14:paraId="19CA1543" w14:textId="77777777" w:rsidR="00DF4DE6" w:rsidRDefault="001B2AC3" w:rsidP="00240AE0">
      <w:pPr>
        <w:pStyle w:val="Paragraphedeliste"/>
        <w:numPr>
          <w:ilvl w:val="0"/>
          <w:numId w:val="2"/>
        </w:numPr>
        <w:spacing w:after="40" w:line="264" w:lineRule="auto"/>
        <w:jc w:val="both"/>
      </w:pPr>
      <w:r>
        <w:rPr>
          <w:color w:val="1A1A1A"/>
          <w:sz w:val="19"/>
          <w:szCs w:val="19"/>
        </w:rPr>
        <w:t>Les traitements ou peines dégradants.</w:t>
      </w:r>
    </w:p>
    <w:p w14:paraId="789E651B" w14:textId="77777777" w:rsidR="00DF4DE6" w:rsidRDefault="001B2AC3" w:rsidP="00240AE0">
      <w:pPr>
        <w:pStyle w:val="Paragraphedeliste"/>
        <w:numPr>
          <w:ilvl w:val="0"/>
          <w:numId w:val="2"/>
        </w:numPr>
        <w:spacing w:after="40" w:line="264" w:lineRule="auto"/>
        <w:jc w:val="both"/>
      </w:pPr>
      <w:r>
        <w:rPr>
          <w:color w:val="1A1A1A"/>
          <w:sz w:val="19"/>
          <w:szCs w:val="19"/>
        </w:rPr>
        <w:t>L’autonomie normative de l’interdiction de l’esclavage et du travail forcé.</w:t>
      </w:r>
    </w:p>
    <w:p w14:paraId="6F99BEBB" w14:textId="77777777" w:rsidR="00DF4DE6" w:rsidRDefault="001B2AC3" w:rsidP="00240AE0">
      <w:pPr>
        <w:pStyle w:val="Paragraphedeliste"/>
        <w:numPr>
          <w:ilvl w:val="0"/>
          <w:numId w:val="2"/>
        </w:numPr>
        <w:spacing w:after="40" w:line="264" w:lineRule="auto"/>
        <w:jc w:val="both"/>
      </w:pPr>
      <w:r>
        <w:rPr>
          <w:color w:val="1A1A1A"/>
          <w:sz w:val="19"/>
          <w:szCs w:val="19"/>
        </w:rPr>
        <w:t>Obligations négatives et positives de l’État.</w:t>
      </w:r>
    </w:p>
    <w:p w14:paraId="78370AC9" w14:textId="77777777" w:rsidR="00DF4DE6" w:rsidRDefault="001B2AC3" w:rsidP="00240AE0">
      <w:pPr>
        <w:pStyle w:val="Paragraphedeliste"/>
        <w:numPr>
          <w:ilvl w:val="0"/>
          <w:numId w:val="2"/>
        </w:numPr>
        <w:spacing w:after="40" w:line="264" w:lineRule="auto"/>
        <w:jc w:val="both"/>
      </w:pPr>
      <w:r>
        <w:rPr>
          <w:color w:val="1A1A1A"/>
          <w:sz w:val="19"/>
          <w:szCs w:val="19"/>
        </w:rPr>
        <w:t>Conditions indignes de détention.</w:t>
      </w:r>
    </w:p>
    <w:p w14:paraId="72A5AEC9" w14:textId="77777777" w:rsidR="00DF4DE6" w:rsidRDefault="001B2AC3" w:rsidP="00240AE0">
      <w:pPr>
        <w:spacing w:before="200" w:after="70"/>
        <w:jc w:val="both"/>
      </w:pPr>
      <w:r>
        <w:rPr>
          <w:b/>
          <w:bCs/>
          <w:color w:val="2E5A88"/>
          <w:spacing w:val="24"/>
          <w:sz w:val="17"/>
          <w:szCs w:val="17"/>
        </w:rPr>
        <w:t>PLAN DE LA FICHE</w:t>
      </w:r>
    </w:p>
    <w:p w14:paraId="592F5944" w14:textId="77777777" w:rsidR="00DF4DE6" w:rsidRDefault="001B2AC3" w:rsidP="00240AE0">
      <w:pPr>
        <w:spacing w:after="20" w:line="250" w:lineRule="auto"/>
        <w:ind w:left="240"/>
        <w:jc w:val="both"/>
      </w:pPr>
      <w:r>
        <w:rPr>
          <w:b/>
          <w:bCs/>
          <w:color w:val="1F3864"/>
          <w:sz w:val="19"/>
          <w:szCs w:val="19"/>
        </w:rPr>
        <w:t>1. L’interdiction vigoureuse par le droit international et européen des droits humains</w:t>
      </w:r>
    </w:p>
    <w:p w14:paraId="08807679" w14:textId="77777777" w:rsidR="00DF4DE6" w:rsidRDefault="001B2AC3" w:rsidP="00240AE0">
      <w:pPr>
        <w:spacing w:after="20" w:line="250" w:lineRule="auto"/>
        <w:ind w:left="240"/>
        <w:jc w:val="both"/>
      </w:pPr>
      <w:r>
        <w:rPr>
          <w:b/>
          <w:bCs/>
          <w:color w:val="1F3864"/>
          <w:sz w:val="19"/>
          <w:szCs w:val="19"/>
        </w:rPr>
        <w:t>2. L’existence d’instruments conventionnels spécifiques</w:t>
      </w:r>
    </w:p>
    <w:p w14:paraId="434DC198" w14:textId="77777777" w:rsidR="00DF4DE6" w:rsidRDefault="001B2AC3" w:rsidP="00240AE0">
      <w:pPr>
        <w:spacing w:after="20" w:line="250" w:lineRule="auto"/>
        <w:ind w:left="240"/>
        <w:jc w:val="both"/>
      </w:pPr>
      <w:r>
        <w:rPr>
          <w:b/>
          <w:bCs/>
          <w:color w:val="1F3864"/>
          <w:sz w:val="19"/>
          <w:szCs w:val="19"/>
        </w:rPr>
        <w:t>3. Les contours de la torture</w:t>
      </w:r>
    </w:p>
    <w:p w14:paraId="1908C28E" w14:textId="77777777" w:rsidR="00DF4DE6" w:rsidRDefault="001B2AC3" w:rsidP="00240AE0">
      <w:pPr>
        <w:spacing w:after="20" w:line="250" w:lineRule="auto"/>
        <w:ind w:left="500"/>
        <w:jc w:val="both"/>
      </w:pPr>
      <w:r>
        <w:rPr>
          <w:color w:val="333333"/>
          <w:sz w:val="18"/>
          <w:szCs w:val="18"/>
        </w:rPr>
        <w:t>3.1. La définition de la torture</w:t>
      </w:r>
    </w:p>
    <w:p w14:paraId="001C8F5E" w14:textId="77777777" w:rsidR="00DF4DE6" w:rsidRDefault="001B2AC3" w:rsidP="00240AE0">
      <w:pPr>
        <w:spacing w:after="20" w:line="250" w:lineRule="auto"/>
        <w:ind w:left="500"/>
        <w:jc w:val="both"/>
      </w:pPr>
      <w:r>
        <w:rPr>
          <w:color w:val="333333"/>
          <w:sz w:val="18"/>
          <w:szCs w:val="18"/>
        </w:rPr>
        <w:t>3.2. La torture en droit interne</w:t>
      </w:r>
    </w:p>
    <w:p w14:paraId="62B4AB17" w14:textId="77777777" w:rsidR="00DF4DE6" w:rsidRDefault="001B2AC3" w:rsidP="00240AE0">
      <w:pPr>
        <w:spacing w:after="20" w:line="250" w:lineRule="auto"/>
        <w:ind w:left="240"/>
        <w:jc w:val="both"/>
      </w:pPr>
      <w:r>
        <w:rPr>
          <w:b/>
          <w:bCs/>
          <w:color w:val="1F3864"/>
          <w:sz w:val="19"/>
          <w:szCs w:val="19"/>
        </w:rPr>
        <w:t>3. La distinction entre les traitements et peines « inhumains » et « dégradants »</w:t>
      </w:r>
    </w:p>
    <w:p w14:paraId="4814760F" w14:textId="77777777" w:rsidR="00DF4DE6" w:rsidRDefault="001B2AC3" w:rsidP="00240AE0">
      <w:pPr>
        <w:spacing w:after="20" w:line="250" w:lineRule="auto"/>
        <w:ind w:left="500"/>
        <w:jc w:val="both"/>
      </w:pPr>
      <w:r>
        <w:rPr>
          <w:color w:val="333333"/>
          <w:sz w:val="18"/>
          <w:szCs w:val="18"/>
        </w:rPr>
        <w:t>3.1. Le caractère « inhumain »</w:t>
      </w:r>
    </w:p>
    <w:p w14:paraId="54020A78" w14:textId="77777777" w:rsidR="00DF4DE6" w:rsidRDefault="001B2AC3" w:rsidP="00240AE0">
      <w:pPr>
        <w:spacing w:after="20" w:line="250" w:lineRule="auto"/>
        <w:ind w:left="500"/>
        <w:jc w:val="both"/>
      </w:pPr>
      <w:r>
        <w:rPr>
          <w:color w:val="333333"/>
          <w:sz w:val="18"/>
          <w:szCs w:val="18"/>
        </w:rPr>
        <w:t>3.2. Le caractère « dégradant »</w:t>
      </w:r>
    </w:p>
    <w:p w14:paraId="6D588272" w14:textId="77777777" w:rsidR="00DF4DE6" w:rsidRDefault="001B2AC3" w:rsidP="00240AE0">
      <w:pPr>
        <w:spacing w:after="20" w:line="250" w:lineRule="auto"/>
        <w:ind w:left="500"/>
        <w:jc w:val="both"/>
      </w:pPr>
      <w:r>
        <w:rPr>
          <w:color w:val="333333"/>
          <w:sz w:val="18"/>
          <w:szCs w:val="18"/>
        </w:rPr>
        <w:t>3.3. Le droit de ne pas être soumis à des traitements inhumains et dégradants en droit français</w:t>
      </w:r>
    </w:p>
    <w:p w14:paraId="77913BFB" w14:textId="77777777" w:rsidR="00DF4DE6" w:rsidRDefault="001B2AC3" w:rsidP="00240AE0">
      <w:pPr>
        <w:spacing w:after="20" w:line="250" w:lineRule="auto"/>
        <w:ind w:left="240"/>
        <w:jc w:val="both"/>
      </w:pPr>
      <w:r>
        <w:rPr>
          <w:b/>
          <w:bCs/>
          <w:color w:val="1F3864"/>
          <w:sz w:val="19"/>
          <w:szCs w:val="19"/>
        </w:rPr>
        <w:t>4. L’autonomie normative de l’interdiction de l’esclavage et du travail forcé</w:t>
      </w:r>
    </w:p>
    <w:p w14:paraId="19B71408" w14:textId="77777777" w:rsidR="00DF4DE6" w:rsidRDefault="001B2AC3" w:rsidP="00240AE0">
      <w:pPr>
        <w:spacing w:after="20" w:line="250" w:lineRule="auto"/>
        <w:ind w:left="240"/>
        <w:jc w:val="both"/>
      </w:pPr>
      <w:r>
        <w:rPr>
          <w:b/>
          <w:bCs/>
          <w:color w:val="1F3864"/>
          <w:sz w:val="19"/>
          <w:szCs w:val="19"/>
        </w:rPr>
        <w:t>5. Les obligations négatives et positives de l’État</w:t>
      </w:r>
    </w:p>
    <w:p w14:paraId="1F883686" w14:textId="77777777" w:rsidR="00DF4DE6" w:rsidRDefault="001B2AC3" w:rsidP="00240AE0">
      <w:pPr>
        <w:spacing w:before="200" w:after="70"/>
        <w:jc w:val="both"/>
      </w:pPr>
      <w:r>
        <w:rPr>
          <w:b/>
          <w:bCs/>
          <w:color w:val="2E5A88"/>
          <w:spacing w:val="24"/>
          <w:sz w:val="17"/>
          <w:szCs w:val="17"/>
        </w:rPr>
        <w:t>RÉFÉRENCES CENTRALES</w:t>
      </w:r>
    </w:p>
    <w:p w14:paraId="47A06E53" w14:textId="77777777" w:rsidR="00DF4DE6" w:rsidRDefault="001B2AC3" w:rsidP="00240AE0">
      <w:pPr>
        <w:pStyle w:val="Paragraphedeliste"/>
        <w:numPr>
          <w:ilvl w:val="0"/>
          <w:numId w:val="2"/>
        </w:numPr>
        <w:spacing w:after="40" w:line="264" w:lineRule="auto"/>
        <w:jc w:val="both"/>
      </w:pPr>
      <w:r>
        <w:rPr>
          <w:color w:val="333333"/>
          <w:sz w:val="18"/>
          <w:szCs w:val="18"/>
        </w:rPr>
        <w:t>Convention contre la torture et autres peines ou traitements cruels, inhumains ou dégradants.</w:t>
      </w:r>
    </w:p>
    <w:p w14:paraId="70B5301B" w14:textId="77777777" w:rsidR="00DF4DE6" w:rsidRDefault="001B2AC3" w:rsidP="00240AE0">
      <w:pPr>
        <w:pStyle w:val="Paragraphedeliste"/>
        <w:numPr>
          <w:ilvl w:val="0"/>
          <w:numId w:val="2"/>
        </w:numPr>
        <w:spacing w:after="40" w:line="264" w:lineRule="auto"/>
        <w:jc w:val="both"/>
      </w:pPr>
      <w:r>
        <w:rPr>
          <w:color w:val="333333"/>
          <w:sz w:val="18"/>
          <w:szCs w:val="18"/>
        </w:rPr>
        <w:t>Article 3 de la Convention européenne des droits de l’homme et de sauvegarde des libertés fondamentales.</w:t>
      </w:r>
    </w:p>
    <w:p w14:paraId="7203605C" w14:textId="77777777" w:rsidR="00DF4DE6" w:rsidRDefault="001B2AC3" w:rsidP="00240AE0">
      <w:pPr>
        <w:pStyle w:val="Paragraphedeliste"/>
        <w:numPr>
          <w:ilvl w:val="0"/>
          <w:numId w:val="2"/>
        </w:numPr>
        <w:spacing w:after="40" w:line="264" w:lineRule="auto"/>
        <w:jc w:val="both"/>
      </w:pPr>
      <w:r>
        <w:rPr>
          <w:color w:val="333333"/>
          <w:sz w:val="18"/>
          <w:szCs w:val="18"/>
        </w:rPr>
        <w:t>Article 5 de la Déclaration universelle des droits de l’homme.</w:t>
      </w:r>
    </w:p>
    <w:p w14:paraId="0694A07D" w14:textId="77777777" w:rsidR="00DF4DE6" w:rsidRDefault="001B2AC3" w:rsidP="00240AE0">
      <w:pPr>
        <w:pStyle w:val="Paragraphedeliste"/>
        <w:numPr>
          <w:ilvl w:val="0"/>
          <w:numId w:val="2"/>
        </w:numPr>
        <w:spacing w:after="40" w:line="264" w:lineRule="auto"/>
        <w:jc w:val="both"/>
      </w:pPr>
      <w:r>
        <w:rPr>
          <w:color w:val="333333"/>
          <w:sz w:val="18"/>
          <w:szCs w:val="18"/>
        </w:rPr>
        <w:t>Article 7 du Pacte relatif aux droits civils et politiques.</w:t>
      </w:r>
    </w:p>
    <w:p w14:paraId="0EDD80A7" w14:textId="77777777" w:rsidR="00DF4DE6" w:rsidRDefault="001B2AC3" w:rsidP="00240AE0">
      <w:pPr>
        <w:pStyle w:val="Paragraphedeliste"/>
        <w:numPr>
          <w:ilvl w:val="0"/>
          <w:numId w:val="2"/>
        </w:numPr>
        <w:spacing w:after="40" w:line="264" w:lineRule="auto"/>
        <w:jc w:val="both"/>
      </w:pPr>
      <w:r>
        <w:rPr>
          <w:color w:val="333333"/>
          <w:sz w:val="18"/>
          <w:szCs w:val="18"/>
        </w:rPr>
        <w:t>Article 222-1 et suivants du Code pénal.</w:t>
      </w:r>
    </w:p>
    <w:p w14:paraId="629D44B5" w14:textId="77777777" w:rsidR="00DF4DE6" w:rsidRDefault="001B2AC3" w:rsidP="00240AE0">
      <w:pPr>
        <w:pStyle w:val="Paragraphedeliste"/>
        <w:numPr>
          <w:ilvl w:val="0"/>
          <w:numId w:val="2"/>
        </w:numPr>
        <w:spacing w:after="40" w:line="264" w:lineRule="auto"/>
        <w:jc w:val="both"/>
      </w:pPr>
      <w:r>
        <w:rPr>
          <w:color w:val="333333"/>
          <w:sz w:val="18"/>
          <w:szCs w:val="18"/>
        </w:rPr>
        <w:t>Article 2226 du Code civil.</w:t>
      </w:r>
    </w:p>
    <w:p w14:paraId="4661BCE1" w14:textId="77777777" w:rsidR="00DF4DE6" w:rsidRDefault="001B2AC3" w:rsidP="00240AE0">
      <w:pPr>
        <w:pStyle w:val="Paragraphedeliste"/>
        <w:numPr>
          <w:ilvl w:val="0"/>
          <w:numId w:val="2"/>
        </w:numPr>
        <w:spacing w:after="40" w:line="264" w:lineRule="auto"/>
        <w:jc w:val="both"/>
      </w:pPr>
      <w:r>
        <w:rPr>
          <w:color w:val="333333"/>
          <w:sz w:val="18"/>
          <w:szCs w:val="18"/>
        </w:rPr>
        <w:t>CE, ord., 22 décembre 2012, SF-OIP, no 364584.</w:t>
      </w:r>
    </w:p>
    <w:p w14:paraId="2E97D782" w14:textId="77777777" w:rsidR="00DF4DE6" w:rsidRDefault="001B2AC3" w:rsidP="00240AE0">
      <w:pPr>
        <w:pStyle w:val="Paragraphedeliste"/>
        <w:numPr>
          <w:ilvl w:val="0"/>
          <w:numId w:val="2"/>
        </w:numPr>
        <w:spacing w:after="40" w:line="264" w:lineRule="auto"/>
        <w:jc w:val="both"/>
      </w:pPr>
      <w:r>
        <w:rPr>
          <w:color w:val="333333"/>
          <w:sz w:val="18"/>
          <w:szCs w:val="18"/>
        </w:rPr>
        <w:t>CEDH, 30 janvier 2020, J.M.B. et a. c. France, no 9671/15.</w:t>
      </w:r>
    </w:p>
    <w:p w14:paraId="123372EA" w14:textId="77777777" w:rsidR="00DF4DE6" w:rsidRDefault="001B2AC3" w:rsidP="00240AE0">
      <w:pPr>
        <w:pStyle w:val="Paragraphedeliste"/>
        <w:numPr>
          <w:ilvl w:val="0"/>
          <w:numId w:val="2"/>
        </w:numPr>
        <w:spacing w:after="40" w:line="264" w:lineRule="auto"/>
        <w:jc w:val="both"/>
      </w:pPr>
      <w:r>
        <w:rPr>
          <w:color w:val="333333"/>
          <w:sz w:val="18"/>
          <w:szCs w:val="18"/>
        </w:rPr>
        <w:t>Loi no 2021-403 du 8 avril 2021 tendant à garantir le droit au respect de la dignité humaine en détention.</w:t>
      </w:r>
    </w:p>
    <w:p w14:paraId="5ACC48EF" w14:textId="77777777" w:rsidR="00DF4DE6" w:rsidRDefault="00DF4DE6" w:rsidP="00240AE0">
      <w:pPr>
        <w:pBdr>
          <w:top w:val="single" w:sz="6" w:space="0" w:color="C7D2E0"/>
        </w:pBdr>
        <w:spacing w:before="260" w:after="180"/>
        <w:jc w:val="both"/>
      </w:pPr>
    </w:p>
    <w:p w14:paraId="6A16CF10"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29  ·</w:t>
      </w:r>
      <w:proofErr w:type="gramEnd"/>
      <w:r>
        <w:rPr>
          <w:b/>
          <w:bCs/>
          <w:color w:val="2E5A88"/>
          <w:sz w:val="22"/>
          <w:szCs w:val="22"/>
        </w:rPr>
        <w:t xml:space="preserve">  </w:t>
      </w:r>
      <w:r>
        <w:rPr>
          <w:rFonts w:ascii="Cambria" w:eastAsia="Cambria" w:hAnsi="Cambria" w:cs="Cambria"/>
          <w:b/>
          <w:bCs/>
          <w:color w:val="1F3864"/>
        </w:rPr>
        <w:t>L’interdiction de l’esclavage, de la traite, de la servitude et du travail forcé</w:t>
      </w:r>
    </w:p>
    <w:p w14:paraId="08129BA4" w14:textId="77777777" w:rsidR="00DF4DE6" w:rsidRDefault="001B2AC3" w:rsidP="00240AE0">
      <w:pPr>
        <w:spacing w:after="120"/>
        <w:jc w:val="both"/>
      </w:pPr>
      <w:r>
        <w:rPr>
          <w:i/>
          <w:iCs/>
          <w:color w:val="595959"/>
          <w:sz w:val="17"/>
          <w:szCs w:val="17"/>
        </w:rPr>
        <w:t>Fascicule, p. 288</w:t>
      </w:r>
    </w:p>
    <w:p w14:paraId="4CE99B99" w14:textId="77777777" w:rsidR="00DF4DE6" w:rsidRDefault="001B2AC3" w:rsidP="00240AE0">
      <w:pPr>
        <w:spacing w:before="200" w:after="70"/>
        <w:jc w:val="both"/>
      </w:pPr>
      <w:r>
        <w:rPr>
          <w:b/>
          <w:bCs/>
          <w:color w:val="2E5A88"/>
          <w:spacing w:val="24"/>
          <w:sz w:val="17"/>
          <w:szCs w:val="17"/>
        </w:rPr>
        <w:t>IDÉE DIRECTRICE</w:t>
      </w:r>
    </w:p>
    <w:p w14:paraId="39031F30" w14:textId="77777777" w:rsidR="00DF4DE6" w:rsidRDefault="001B2AC3" w:rsidP="00240AE0">
      <w:pPr>
        <w:spacing w:after="60" w:line="276" w:lineRule="auto"/>
        <w:jc w:val="both"/>
      </w:pPr>
      <w:r>
        <w:t>L'article 4 de la Convention. Quatre notions à distinguer nettement : esclavage, servitude, travail forcé ou obligatoire, traite des êtres humains. Le second temps de la fiche est le plus rentable : c'est un terrain privilégié des obligations positives, déclinées en obligation de prévention, mesures opérationnelles, obligation d'enquêter et obligation de réparer.</w:t>
      </w:r>
    </w:p>
    <w:p w14:paraId="47D04FC6" w14:textId="77777777" w:rsidR="00DF4DE6" w:rsidRDefault="001B2AC3" w:rsidP="00240AE0">
      <w:pPr>
        <w:spacing w:before="200" w:after="70"/>
        <w:jc w:val="both"/>
      </w:pPr>
      <w:r>
        <w:rPr>
          <w:b/>
          <w:bCs/>
          <w:color w:val="2E5A88"/>
          <w:spacing w:val="24"/>
          <w:sz w:val="17"/>
          <w:szCs w:val="17"/>
        </w:rPr>
        <w:t>POINTS CLÉS (ENCADRÉ DU FASCICULE)</w:t>
      </w:r>
    </w:p>
    <w:p w14:paraId="1D9148E1" w14:textId="77777777" w:rsidR="00DF4DE6" w:rsidRDefault="001B2AC3" w:rsidP="00240AE0">
      <w:pPr>
        <w:pStyle w:val="Paragraphedeliste"/>
        <w:numPr>
          <w:ilvl w:val="0"/>
          <w:numId w:val="2"/>
        </w:numPr>
        <w:spacing w:after="40" w:line="264" w:lineRule="auto"/>
        <w:jc w:val="both"/>
      </w:pPr>
      <w:r>
        <w:rPr>
          <w:color w:val="1A1A1A"/>
          <w:sz w:val="19"/>
          <w:szCs w:val="19"/>
        </w:rPr>
        <w:t>Esclavage.</w:t>
      </w:r>
    </w:p>
    <w:p w14:paraId="69A5B36E" w14:textId="77777777" w:rsidR="00DF4DE6" w:rsidRDefault="001B2AC3" w:rsidP="00240AE0">
      <w:pPr>
        <w:pStyle w:val="Paragraphedeliste"/>
        <w:numPr>
          <w:ilvl w:val="0"/>
          <w:numId w:val="2"/>
        </w:numPr>
        <w:spacing w:after="40" w:line="264" w:lineRule="auto"/>
        <w:jc w:val="both"/>
      </w:pPr>
      <w:r>
        <w:rPr>
          <w:color w:val="1A1A1A"/>
          <w:sz w:val="19"/>
          <w:szCs w:val="19"/>
        </w:rPr>
        <w:t>Traite des êtres humains.</w:t>
      </w:r>
    </w:p>
    <w:p w14:paraId="14E17F0C" w14:textId="77777777" w:rsidR="00DF4DE6" w:rsidRDefault="001B2AC3" w:rsidP="00240AE0">
      <w:pPr>
        <w:pStyle w:val="Paragraphedeliste"/>
        <w:numPr>
          <w:ilvl w:val="0"/>
          <w:numId w:val="2"/>
        </w:numPr>
        <w:spacing w:after="40" w:line="264" w:lineRule="auto"/>
        <w:jc w:val="both"/>
      </w:pPr>
      <w:r>
        <w:rPr>
          <w:color w:val="1A1A1A"/>
          <w:sz w:val="19"/>
          <w:szCs w:val="19"/>
        </w:rPr>
        <w:t>Servitude.</w:t>
      </w:r>
    </w:p>
    <w:p w14:paraId="29D39B0B" w14:textId="77777777" w:rsidR="00DF4DE6" w:rsidRDefault="001B2AC3" w:rsidP="00240AE0">
      <w:pPr>
        <w:pStyle w:val="Paragraphedeliste"/>
        <w:numPr>
          <w:ilvl w:val="0"/>
          <w:numId w:val="2"/>
        </w:numPr>
        <w:spacing w:after="40" w:line="264" w:lineRule="auto"/>
        <w:jc w:val="both"/>
      </w:pPr>
      <w:r>
        <w:rPr>
          <w:color w:val="1A1A1A"/>
          <w:sz w:val="19"/>
          <w:szCs w:val="19"/>
        </w:rPr>
        <w:lastRenderedPageBreak/>
        <w:t>Travail forcé.</w:t>
      </w:r>
    </w:p>
    <w:p w14:paraId="35EFCADD" w14:textId="77777777" w:rsidR="00DF4DE6" w:rsidRDefault="001B2AC3" w:rsidP="00240AE0">
      <w:pPr>
        <w:pStyle w:val="Paragraphedeliste"/>
        <w:numPr>
          <w:ilvl w:val="0"/>
          <w:numId w:val="2"/>
        </w:numPr>
        <w:spacing w:after="40" w:line="264" w:lineRule="auto"/>
        <w:jc w:val="both"/>
      </w:pPr>
      <w:r>
        <w:rPr>
          <w:color w:val="1A1A1A"/>
          <w:sz w:val="19"/>
          <w:szCs w:val="19"/>
        </w:rPr>
        <w:t>Obligations positives.</w:t>
      </w:r>
    </w:p>
    <w:p w14:paraId="4B466045" w14:textId="77777777" w:rsidR="00DF4DE6" w:rsidRDefault="001B2AC3" w:rsidP="00240AE0">
      <w:pPr>
        <w:pStyle w:val="Paragraphedeliste"/>
        <w:numPr>
          <w:ilvl w:val="0"/>
          <w:numId w:val="2"/>
        </w:numPr>
        <w:spacing w:after="40" w:line="264" w:lineRule="auto"/>
        <w:jc w:val="both"/>
      </w:pPr>
      <w:r>
        <w:rPr>
          <w:color w:val="1A1A1A"/>
          <w:sz w:val="19"/>
          <w:szCs w:val="19"/>
        </w:rPr>
        <w:t>Obligations procédurales.</w:t>
      </w:r>
    </w:p>
    <w:p w14:paraId="65E804B1" w14:textId="77777777" w:rsidR="00DF4DE6" w:rsidRDefault="001B2AC3" w:rsidP="00240AE0">
      <w:pPr>
        <w:spacing w:before="200" w:after="70"/>
        <w:jc w:val="both"/>
      </w:pPr>
      <w:r>
        <w:rPr>
          <w:b/>
          <w:bCs/>
          <w:color w:val="2E5A88"/>
          <w:spacing w:val="24"/>
          <w:sz w:val="17"/>
          <w:szCs w:val="17"/>
        </w:rPr>
        <w:t>PLAN DE LA FICHE</w:t>
      </w:r>
    </w:p>
    <w:p w14:paraId="1108DB09" w14:textId="77777777" w:rsidR="00DF4DE6" w:rsidRDefault="001B2AC3" w:rsidP="00240AE0">
      <w:pPr>
        <w:spacing w:after="20" w:line="250" w:lineRule="auto"/>
        <w:ind w:left="240"/>
        <w:jc w:val="both"/>
      </w:pPr>
      <w:r>
        <w:rPr>
          <w:b/>
          <w:bCs/>
          <w:color w:val="1F3864"/>
          <w:sz w:val="19"/>
          <w:szCs w:val="19"/>
        </w:rPr>
        <w:t>1. Principes généraux</w:t>
      </w:r>
    </w:p>
    <w:p w14:paraId="1BC7AEDB" w14:textId="77777777" w:rsidR="00DF4DE6" w:rsidRDefault="001B2AC3" w:rsidP="00240AE0">
      <w:pPr>
        <w:spacing w:after="20" w:line="250" w:lineRule="auto"/>
        <w:ind w:left="500"/>
        <w:jc w:val="both"/>
      </w:pPr>
      <w:r>
        <w:rPr>
          <w:color w:val="333333"/>
          <w:sz w:val="18"/>
          <w:szCs w:val="18"/>
        </w:rPr>
        <w:t>1.1. L’interdiction de l’esclavage</w:t>
      </w:r>
    </w:p>
    <w:p w14:paraId="568BBF14" w14:textId="77777777" w:rsidR="00DF4DE6" w:rsidRDefault="001B2AC3" w:rsidP="00240AE0">
      <w:pPr>
        <w:spacing w:after="20" w:line="250" w:lineRule="auto"/>
        <w:ind w:left="500"/>
        <w:jc w:val="both"/>
      </w:pPr>
      <w:r>
        <w:rPr>
          <w:color w:val="333333"/>
          <w:sz w:val="18"/>
          <w:szCs w:val="18"/>
        </w:rPr>
        <w:t>1.2. Les formes d’exploitations analogues à l’esclavage</w:t>
      </w:r>
    </w:p>
    <w:p w14:paraId="4A2E52F5" w14:textId="77777777" w:rsidR="00DF4DE6" w:rsidRDefault="001B2AC3" w:rsidP="00240AE0">
      <w:pPr>
        <w:spacing w:after="20" w:line="250" w:lineRule="auto"/>
        <w:ind w:left="760"/>
        <w:jc w:val="both"/>
      </w:pPr>
      <w:r>
        <w:rPr>
          <w:color w:val="595959"/>
          <w:sz w:val="18"/>
          <w:szCs w:val="18"/>
        </w:rPr>
        <w:t>1.2.1 La servitude</w:t>
      </w:r>
    </w:p>
    <w:p w14:paraId="6E316209" w14:textId="77777777" w:rsidR="00DF4DE6" w:rsidRDefault="001B2AC3" w:rsidP="00240AE0">
      <w:pPr>
        <w:spacing w:after="20" w:line="250" w:lineRule="auto"/>
        <w:ind w:left="760"/>
        <w:jc w:val="both"/>
      </w:pPr>
      <w:r>
        <w:rPr>
          <w:color w:val="595959"/>
          <w:sz w:val="18"/>
          <w:szCs w:val="18"/>
        </w:rPr>
        <w:t>1.2.2 L’interdiction du travail forcé ou obligatoire</w:t>
      </w:r>
    </w:p>
    <w:p w14:paraId="778AD5B9" w14:textId="77777777" w:rsidR="00DF4DE6" w:rsidRDefault="001B2AC3" w:rsidP="00240AE0">
      <w:pPr>
        <w:spacing w:after="20" w:line="250" w:lineRule="auto"/>
        <w:ind w:left="760"/>
        <w:jc w:val="both"/>
      </w:pPr>
      <w:r>
        <w:rPr>
          <w:color w:val="595959"/>
          <w:sz w:val="18"/>
          <w:szCs w:val="18"/>
        </w:rPr>
        <w:t>1.2.3. La traite des êtres humains</w:t>
      </w:r>
    </w:p>
    <w:p w14:paraId="24360DF9" w14:textId="77777777" w:rsidR="00DF4DE6" w:rsidRDefault="001B2AC3" w:rsidP="00240AE0">
      <w:pPr>
        <w:spacing w:after="20" w:line="250" w:lineRule="auto"/>
        <w:ind w:left="240"/>
        <w:jc w:val="both"/>
      </w:pPr>
      <w:r>
        <w:rPr>
          <w:b/>
          <w:bCs/>
          <w:color w:val="1F3864"/>
          <w:sz w:val="19"/>
          <w:szCs w:val="19"/>
        </w:rPr>
        <w:t>2. Un terrain privilégié des obligations positives</w:t>
      </w:r>
    </w:p>
    <w:p w14:paraId="48C2D55C" w14:textId="77777777" w:rsidR="00DF4DE6" w:rsidRDefault="001B2AC3" w:rsidP="00240AE0">
      <w:pPr>
        <w:spacing w:after="20" w:line="250" w:lineRule="auto"/>
        <w:ind w:left="500"/>
        <w:jc w:val="both"/>
      </w:pPr>
      <w:r>
        <w:rPr>
          <w:color w:val="333333"/>
          <w:sz w:val="18"/>
          <w:szCs w:val="18"/>
        </w:rPr>
        <w:t>2.1. L’obligation de prévention</w:t>
      </w:r>
    </w:p>
    <w:p w14:paraId="75800455" w14:textId="77777777" w:rsidR="00DF4DE6" w:rsidRDefault="001B2AC3" w:rsidP="00240AE0">
      <w:pPr>
        <w:spacing w:after="20" w:line="250" w:lineRule="auto"/>
        <w:ind w:left="500"/>
        <w:jc w:val="both"/>
      </w:pPr>
      <w:r>
        <w:rPr>
          <w:color w:val="333333"/>
          <w:sz w:val="18"/>
          <w:szCs w:val="18"/>
        </w:rPr>
        <w:t>2.2. Les mesures opérationnelles</w:t>
      </w:r>
    </w:p>
    <w:p w14:paraId="4B332FE2" w14:textId="77777777" w:rsidR="00DF4DE6" w:rsidRDefault="001B2AC3" w:rsidP="00240AE0">
      <w:pPr>
        <w:spacing w:after="20" w:line="250" w:lineRule="auto"/>
        <w:ind w:left="500"/>
        <w:jc w:val="both"/>
      </w:pPr>
      <w:r>
        <w:rPr>
          <w:color w:val="333333"/>
          <w:sz w:val="18"/>
          <w:szCs w:val="18"/>
        </w:rPr>
        <w:t>2.3. L’obligation d’enquêter</w:t>
      </w:r>
    </w:p>
    <w:p w14:paraId="05C0C673" w14:textId="77777777" w:rsidR="00DF4DE6" w:rsidRDefault="001B2AC3" w:rsidP="00240AE0">
      <w:pPr>
        <w:spacing w:after="20" w:line="250" w:lineRule="auto"/>
        <w:ind w:left="500"/>
        <w:jc w:val="both"/>
      </w:pPr>
      <w:r>
        <w:rPr>
          <w:color w:val="333333"/>
          <w:sz w:val="18"/>
          <w:szCs w:val="18"/>
        </w:rPr>
        <w:t>2.4. L’obligation de réparer</w:t>
      </w:r>
    </w:p>
    <w:p w14:paraId="4F89D8FB" w14:textId="77777777" w:rsidR="00DF4DE6" w:rsidRDefault="001B2AC3" w:rsidP="00240AE0">
      <w:pPr>
        <w:spacing w:before="200" w:after="70"/>
        <w:jc w:val="both"/>
      </w:pPr>
      <w:r>
        <w:rPr>
          <w:b/>
          <w:bCs/>
          <w:color w:val="2E5A88"/>
          <w:spacing w:val="24"/>
          <w:sz w:val="17"/>
          <w:szCs w:val="17"/>
        </w:rPr>
        <w:t>RÉFÉRENCES CENTRALES</w:t>
      </w:r>
    </w:p>
    <w:p w14:paraId="7655FFA7" w14:textId="77777777" w:rsidR="00DF4DE6" w:rsidRDefault="001B2AC3" w:rsidP="00240AE0">
      <w:pPr>
        <w:pStyle w:val="Paragraphedeliste"/>
        <w:numPr>
          <w:ilvl w:val="0"/>
          <w:numId w:val="2"/>
        </w:numPr>
        <w:spacing w:after="40" w:line="264" w:lineRule="auto"/>
        <w:jc w:val="both"/>
      </w:pPr>
      <w:r>
        <w:rPr>
          <w:color w:val="333333"/>
          <w:sz w:val="18"/>
          <w:szCs w:val="18"/>
        </w:rPr>
        <w:t>Art. 4 de la Déclaration universelle des droits de l’homme.</w:t>
      </w:r>
    </w:p>
    <w:p w14:paraId="5C3DAE24" w14:textId="77777777" w:rsidR="00DF4DE6" w:rsidRDefault="001B2AC3" w:rsidP="00240AE0">
      <w:pPr>
        <w:pStyle w:val="Paragraphedeliste"/>
        <w:numPr>
          <w:ilvl w:val="0"/>
          <w:numId w:val="2"/>
        </w:numPr>
        <w:spacing w:after="40" w:line="264" w:lineRule="auto"/>
        <w:jc w:val="both"/>
      </w:pPr>
      <w:r>
        <w:rPr>
          <w:color w:val="333333"/>
          <w:sz w:val="18"/>
          <w:szCs w:val="18"/>
        </w:rPr>
        <w:t>Convention pour la répression de la traite des êtres humains et l’exploitation de la prostitution d’autrui (1949).</w:t>
      </w:r>
    </w:p>
    <w:p w14:paraId="454E7A50" w14:textId="77777777" w:rsidR="00DF4DE6" w:rsidRDefault="001B2AC3" w:rsidP="00240AE0">
      <w:pPr>
        <w:pStyle w:val="Paragraphedeliste"/>
        <w:numPr>
          <w:ilvl w:val="0"/>
          <w:numId w:val="2"/>
        </w:numPr>
        <w:spacing w:after="40" w:line="264" w:lineRule="auto"/>
        <w:jc w:val="both"/>
      </w:pPr>
      <w:r>
        <w:rPr>
          <w:color w:val="333333"/>
          <w:sz w:val="18"/>
          <w:szCs w:val="18"/>
        </w:rPr>
        <w:t>Art. 4 de la Convention européenne des droits de l’homme.</w:t>
      </w:r>
    </w:p>
    <w:p w14:paraId="6EB723BB" w14:textId="77777777" w:rsidR="00DF4DE6" w:rsidRDefault="001B2AC3" w:rsidP="00240AE0">
      <w:pPr>
        <w:pStyle w:val="Paragraphedeliste"/>
        <w:numPr>
          <w:ilvl w:val="0"/>
          <w:numId w:val="2"/>
        </w:numPr>
        <w:spacing w:after="40" w:line="264" w:lineRule="auto"/>
        <w:jc w:val="both"/>
      </w:pPr>
      <w:r>
        <w:rPr>
          <w:color w:val="333333"/>
          <w:sz w:val="18"/>
          <w:szCs w:val="18"/>
        </w:rPr>
        <w:t>Convention relative aux droits de l’enfant (1989) et son Protocole facultatif concernant la vente d’enfants, la prostitution des enfants et la pornographie mettant en scène des enfants (2000).</w:t>
      </w:r>
    </w:p>
    <w:p w14:paraId="02E2A084" w14:textId="77777777" w:rsidR="00DF4DE6" w:rsidRDefault="001B2AC3" w:rsidP="00240AE0">
      <w:pPr>
        <w:pStyle w:val="Paragraphedeliste"/>
        <w:numPr>
          <w:ilvl w:val="0"/>
          <w:numId w:val="2"/>
        </w:numPr>
        <w:spacing w:after="40" w:line="264" w:lineRule="auto"/>
        <w:jc w:val="both"/>
      </w:pPr>
      <w:r>
        <w:rPr>
          <w:color w:val="333333"/>
          <w:sz w:val="18"/>
          <w:szCs w:val="18"/>
        </w:rPr>
        <w:t>Protocole additionnel à la Convention des Nations unies contre la criminalité transnationale organisée visant à prévenir, réprimer et punir la traite des personnes, en particulier des femmes et des enfants (Protocole de Palerme) (2000).</w:t>
      </w:r>
    </w:p>
    <w:p w14:paraId="4B34AADD" w14:textId="77777777" w:rsidR="00DF4DE6" w:rsidRDefault="001B2AC3" w:rsidP="00240AE0">
      <w:pPr>
        <w:pStyle w:val="Paragraphedeliste"/>
        <w:numPr>
          <w:ilvl w:val="0"/>
          <w:numId w:val="2"/>
        </w:numPr>
        <w:spacing w:after="40" w:line="264" w:lineRule="auto"/>
        <w:jc w:val="both"/>
      </w:pPr>
      <w:r>
        <w:rPr>
          <w:color w:val="333333"/>
          <w:sz w:val="18"/>
          <w:szCs w:val="18"/>
        </w:rPr>
        <w:t>Convention du Conseil de l’Europe sur la lutte contre la traite des êtres humains (2005).</w:t>
      </w:r>
    </w:p>
    <w:p w14:paraId="3E8BC1FF" w14:textId="77777777" w:rsidR="00DF4DE6" w:rsidRDefault="001B2AC3" w:rsidP="00240AE0">
      <w:pPr>
        <w:pStyle w:val="Paragraphedeliste"/>
        <w:numPr>
          <w:ilvl w:val="0"/>
          <w:numId w:val="2"/>
        </w:numPr>
        <w:spacing w:after="40" w:line="264" w:lineRule="auto"/>
        <w:jc w:val="both"/>
      </w:pPr>
      <w:r>
        <w:rPr>
          <w:color w:val="333333"/>
          <w:sz w:val="18"/>
          <w:szCs w:val="18"/>
        </w:rPr>
        <w:t>Directive 2011/36/UE.</w:t>
      </w:r>
    </w:p>
    <w:p w14:paraId="129E18B9" w14:textId="77777777" w:rsidR="00DF4DE6" w:rsidRDefault="001B2AC3" w:rsidP="00240AE0">
      <w:pPr>
        <w:pStyle w:val="Paragraphedeliste"/>
        <w:numPr>
          <w:ilvl w:val="0"/>
          <w:numId w:val="2"/>
        </w:numPr>
        <w:spacing w:after="40" w:line="264" w:lineRule="auto"/>
        <w:jc w:val="both"/>
      </w:pPr>
      <w:r>
        <w:rPr>
          <w:color w:val="333333"/>
          <w:sz w:val="18"/>
          <w:szCs w:val="18"/>
        </w:rPr>
        <w:t>Loi du 13 avril 2016 visant à renforcer la lutte contre le système prostitutionnel et à accompagner les personnes prostituées.</w:t>
      </w:r>
    </w:p>
    <w:p w14:paraId="562736D0" w14:textId="77777777" w:rsidR="00DF4DE6" w:rsidRDefault="001B2AC3" w:rsidP="00240AE0">
      <w:pPr>
        <w:pStyle w:val="Paragraphedeliste"/>
        <w:numPr>
          <w:ilvl w:val="0"/>
          <w:numId w:val="2"/>
        </w:numPr>
        <w:spacing w:after="40" w:line="264" w:lineRule="auto"/>
        <w:jc w:val="both"/>
      </w:pPr>
      <w:r>
        <w:rPr>
          <w:color w:val="333333"/>
          <w:sz w:val="18"/>
          <w:szCs w:val="18"/>
        </w:rPr>
        <w:t>Loi du 27 mars 2017 relative au devoir de vigilance des sociétés mères et des entreprises donneuses d’ordre.</w:t>
      </w:r>
    </w:p>
    <w:p w14:paraId="396EBFF3" w14:textId="77777777" w:rsidR="00DF4DE6" w:rsidRDefault="001B2AC3" w:rsidP="00240AE0">
      <w:pPr>
        <w:pStyle w:val="Paragraphedeliste"/>
        <w:numPr>
          <w:ilvl w:val="0"/>
          <w:numId w:val="2"/>
        </w:numPr>
        <w:spacing w:after="40" w:line="264" w:lineRule="auto"/>
        <w:jc w:val="both"/>
      </w:pPr>
      <w:r>
        <w:rPr>
          <w:color w:val="333333"/>
          <w:sz w:val="18"/>
          <w:szCs w:val="18"/>
        </w:rPr>
        <w:t>Loi du 21 avril 2021 visant à protéger les mineurs des crimes et délits sexuels et de l’inceste.</w:t>
      </w:r>
    </w:p>
    <w:p w14:paraId="68C6A6D1" w14:textId="77777777" w:rsidR="00DF4DE6" w:rsidRDefault="00DF4DE6" w:rsidP="00240AE0">
      <w:pPr>
        <w:pBdr>
          <w:top w:val="single" w:sz="6" w:space="0" w:color="C7D2E0"/>
        </w:pBdr>
        <w:spacing w:before="260" w:after="180"/>
        <w:jc w:val="both"/>
      </w:pPr>
    </w:p>
    <w:p w14:paraId="27FA7C17"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30  ·</w:t>
      </w:r>
      <w:proofErr w:type="gramEnd"/>
      <w:r>
        <w:rPr>
          <w:b/>
          <w:bCs/>
          <w:color w:val="2E5A88"/>
          <w:sz w:val="22"/>
          <w:szCs w:val="22"/>
        </w:rPr>
        <w:t xml:space="preserve">  </w:t>
      </w:r>
      <w:r>
        <w:rPr>
          <w:rFonts w:ascii="Cambria" w:eastAsia="Cambria" w:hAnsi="Cambria" w:cs="Cambria"/>
          <w:b/>
          <w:bCs/>
          <w:color w:val="1F3864"/>
        </w:rPr>
        <w:t>Le droit à la liberté et à la sûreté</w:t>
      </w:r>
    </w:p>
    <w:p w14:paraId="4F7741DE" w14:textId="77777777" w:rsidR="00DF4DE6" w:rsidRDefault="001B2AC3" w:rsidP="00240AE0">
      <w:pPr>
        <w:spacing w:after="120"/>
        <w:jc w:val="both"/>
      </w:pPr>
      <w:r>
        <w:rPr>
          <w:i/>
          <w:iCs/>
          <w:color w:val="595959"/>
          <w:sz w:val="17"/>
          <w:szCs w:val="17"/>
        </w:rPr>
        <w:t>Fascicule, p. 298</w:t>
      </w:r>
    </w:p>
    <w:p w14:paraId="2D26AE60" w14:textId="77777777" w:rsidR="00DF4DE6" w:rsidRDefault="001B2AC3" w:rsidP="00240AE0">
      <w:pPr>
        <w:spacing w:before="200" w:after="70"/>
        <w:jc w:val="both"/>
      </w:pPr>
      <w:r>
        <w:rPr>
          <w:b/>
          <w:bCs/>
          <w:color w:val="2E5A88"/>
          <w:spacing w:val="24"/>
          <w:sz w:val="17"/>
          <w:szCs w:val="17"/>
        </w:rPr>
        <w:t>IDÉE DIRECTRICE</w:t>
      </w:r>
    </w:p>
    <w:p w14:paraId="3FFC72B7" w14:textId="77777777" w:rsidR="00DF4DE6" w:rsidRDefault="001B2AC3" w:rsidP="00240AE0">
      <w:pPr>
        <w:spacing w:after="60" w:line="276" w:lineRule="auto"/>
        <w:jc w:val="both"/>
      </w:pPr>
      <w:r>
        <w:t>L'habeas corpus à la française. Après les fondements (reconnaissance constitutionnelle par l'article 66, reconnaissance conventionnelle par l'article 5) et le contrôle de légalité de l'enfermement, la fiche passe en revue, une par une, toutes les formes de privation de liberté : garde à vue, détention provisoire, rétention de sûreté, rétention douanière, zone d'attente, centre de rétention administrative, hospitalisation psychiatrique sans consentement, cellule de dégrisement.</w:t>
      </w:r>
    </w:p>
    <w:p w14:paraId="52C9A827" w14:textId="77777777" w:rsidR="00DF4DE6" w:rsidRDefault="001B2AC3" w:rsidP="00240AE0">
      <w:pPr>
        <w:spacing w:before="200" w:after="70"/>
        <w:jc w:val="both"/>
      </w:pPr>
      <w:r>
        <w:rPr>
          <w:b/>
          <w:bCs/>
          <w:color w:val="2E5A88"/>
          <w:spacing w:val="24"/>
          <w:sz w:val="17"/>
          <w:szCs w:val="17"/>
        </w:rPr>
        <w:t>POINTS CLÉS (ENCADRÉ DU FASCICULE)</w:t>
      </w:r>
    </w:p>
    <w:p w14:paraId="1D44B98F" w14:textId="77777777" w:rsidR="00DF4DE6" w:rsidRDefault="001B2AC3" w:rsidP="00240AE0">
      <w:pPr>
        <w:pStyle w:val="Paragraphedeliste"/>
        <w:numPr>
          <w:ilvl w:val="0"/>
          <w:numId w:val="2"/>
        </w:numPr>
        <w:spacing w:after="40" w:line="264" w:lineRule="auto"/>
        <w:jc w:val="both"/>
      </w:pPr>
      <w:r>
        <w:rPr>
          <w:color w:val="1A1A1A"/>
          <w:sz w:val="19"/>
          <w:szCs w:val="19"/>
        </w:rPr>
        <w:t>Habeas corpus.</w:t>
      </w:r>
    </w:p>
    <w:p w14:paraId="708F712C" w14:textId="77777777" w:rsidR="00DF4DE6" w:rsidRDefault="001B2AC3" w:rsidP="00240AE0">
      <w:pPr>
        <w:pStyle w:val="Paragraphedeliste"/>
        <w:numPr>
          <w:ilvl w:val="0"/>
          <w:numId w:val="2"/>
        </w:numPr>
        <w:spacing w:after="40" w:line="264" w:lineRule="auto"/>
        <w:jc w:val="both"/>
      </w:pPr>
      <w:r>
        <w:rPr>
          <w:color w:val="1A1A1A"/>
          <w:sz w:val="19"/>
          <w:szCs w:val="19"/>
        </w:rPr>
        <w:t>Légalité de l’enfermement.</w:t>
      </w:r>
    </w:p>
    <w:p w14:paraId="49F5971A" w14:textId="77777777" w:rsidR="00DF4DE6" w:rsidRDefault="001B2AC3" w:rsidP="00240AE0">
      <w:pPr>
        <w:pStyle w:val="Paragraphedeliste"/>
        <w:numPr>
          <w:ilvl w:val="0"/>
          <w:numId w:val="2"/>
        </w:numPr>
        <w:spacing w:after="40" w:line="264" w:lineRule="auto"/>
        <w:jc w:val="both"/>
      </w:pPr>
      <w:r>
        <w:rPr>
          <w:color w:val="1A1A1A"/>
          <w:sz w:val="19"/>
          <w:szCs w:val="19"/>
        </w:rPr>
        <w:t>Droit au recours effectif.</w:t>
      </w:r>
    </w:p>
    <w:p w14:paraId="6DB28C7F" w14:textId="77777777" w:rsidR="00DF4DE6" w:rsidRDefault="001B2AC3" w:rsidP="00240AE0">
      <w:pPr>
        <w:pStyle w:val="Paragraphedeliste"/>
        <w:numPr>
          <w:ilvl w:val="0"/>
          <w:numId w:val="2"/>
        </w:numPr>
        <w:spacing w:after="40" w:line="264" w:lineRule="auto"/>
        <w:jc w:val="both"/>
      </w:pPr>
      <w:r>
        <w:rPr>
          <w:color w:val="1A1A1A"/>
          <w:sz w:val="19"/>
          <w:szCs w:val="19"/>
        </w:rPr>
        <w:t>Garde à vue.</w:t>
      </w:r>
    </w:p>
    <w:p w14:paraId="75C4CBFC" w14:textId="77777777" w:rsidR="00DF4DE6" w:rsidRDefault="001B2AC3" w:rsidP="00240AE0">
      <w:pPr>
        <w:pStyle w:val="Paragraphedeliste"/>
        <w:numPr>
          <w:ilvl w:val="0"/>
          <w:numId w:val="2"/>
        </w:numPr>
        <w:spacing w:after="40" w:line="264" w:lineRule="auto"/>
        <w:jc w:val="both"/>
      </w:pPr>
      <w:r>
        <w:rPr>
          <w:color w:val="1A1A1A"/>
          <w:sz w:val="19"/>
          <w:szCs w:val="19"/>
        </w:rPr>
        <w:t>Détention provisoire.</w:t>
      </w:r>
    </w:p>
    <w:p w14:paraId="19D27950" w14:textId="77777777" w:rsidR="00DF4DE6" w:rsidRDefault="001B2AC3" w:rsidP="00240AE0">
      <w:pPr>
        <w:pStyle w:val="Paragraphedeliste"/>
        <w:numPr>
          <w:ilvl w:val="0"/>
          <w:numId w:val="2"/>
        </w:numPr>
        <w:spacing w:after="40" w:line="264" w:lineRule="auto"/>
        <w:jc w:val="both"/>
      </w:pPr>
      <w:r>
        <w:rPr>
          <w:color w:val="1A1A1A"/>
          <w:sz w:val="19"/>
          <w:szCs w:val="19"/>
        </w:rPr>
        <w:t>Rétention de sûreté.</w:t>
      </w:r>
    </w:p>
    <w:p w14:paraId="3A84A1CB" w14:textId="77777777" w:rsidR="00DF4DE6" w:rsidRDefault="001B2AC3" w:rsidP="00240AE0">
      <w:pPr>
        <w:pStyle w:val="Paragraphedeliste"/>
        <w:numPr>
          <w:ilvl w:val="0"/>
          <w:numId w:val="2"/>
        </w:numPr>
        <w:spacing w:after="40" w:line="264" w:lineRule="auto"/>
        <w:jc w:val="both"/>
      </w:pPr>
      <w:r>
        <w:rPr>
          <w:color w:val="1A1A1A"/>
          <w:sz w:val="19"/>
          <w:szCs w:val="19"/>
        </w:rPr>
        <w:t>Rétention douanière.</w:t>
      </w:r>
    </w:p>
    <w:p w14:paraId="0D3FB746" w14:textId="77777777" w:rsidR="00DF4DE6" w:rsidRDefault="001B2AC3" w:rsidP="00240AE0">
      <w:pPr>
        <w:pStyle w:val="Paragraphedeliste"/>
        <w:numPr>
          <w:ilvl w:val="0"/>
          <w:numId w:val="2"/>
        </w:numPr>
        <w:spacing w:after="40" w:line="264" w:lineRule="auto"/>
        <w:jc w:val="both"/>
      </w:pPr>
      <w:r>
        <w:rPr>
          <w:color w:val="1A1A1A"/>
          <w:sz w:val="19"/>
          <w:szCs w:val="19"/>
        </w:rPr>
        <w:t>Zone d’attente.</w:t>
      </w:r>
    </w:p>
    <w:p w14:paraId="6066B9B1" w14:textId="77777777" w:rsidR="00DF4DE6" w:rsidRDefault="001B2AC3" w:rsidP="00240AE0">
      <w:pPr>
        <w:pStyle w:val="Paragraphedeliste"/>
        <w:numPr>
          <w:ilvl w:val="0"/>
          <w:numId w:val="2"/>
        </w:numPr>
        <w:spacing w:after="40" w:line="264" w:lineRule="auto"/>
        <w:jc w:val="both"/>
      </w:pPr>
      <w:r>
        <w:rPr>
          <w:color w:val="1A1A1A"/>
          <w:sz w:val="19"/>
          <w:szCs w:val="19"/>
        </w:rPr>
        <w:lastRenderedPageBreak/>
        <w:t>Centre de rétention administrative.</w:t>
      </w:r>
    </w:p>
    <w:p w14:paraId="5FEE9D28" w14:textId="77777777" w:rsidR="00DF4DE6" w:rsidRDefault="001B2AC3" w:rsidP="00240AE0">
      <w:pPr>
        <w:pStyle w:val="Paragraphedeliste"/>
        <w:numPr>
          <w:ilvl w:val="0"/>
          <w:numId w:val="2"/>
        </w:numPr>
        <w:spacing w:after="40" w:line="264" w:lineRule="auto"/>
        <w:jc w:val="both"/>
      </w:pPr>
      <w:r>
        <w:rPr>
          <w:color w:val="1A1A1A"/>
          <w:sz w:val="19"/>
          <w:szCs w:val="19"/>
        </w:rPr>
        <w:t>Hospitalisation psychiatrique sans consentement.</w:t>
      </w:r>
    </w:p>
    <w:p w14:paraId="600FE9E9" w14:textId="77777777" w:rsidR="00DF4DE6" w:rsidRDefault="001B2AC3" w:rsidP="00240AE0">
      <w:pPr>
        <w:pStyle w:val="Paragraphedeliste"/>
        <w:numPr>
          <w:ilvl w:val="0"/>
          <w:numId w:val="2"/>
        </w:numPr>
        <w:spacing w:after="40" w:line="264" w:lineRule="auto"/>
        <w:jc w:val="both"/>
      </w:pPr>
      <w:r>
        <w:rPr>
          <w:color w:val="1A1A1A"/>
          <w:sz w:val="19"/>
          <w:szCs w:val="19"/>
        </w:rPr>
        <w:t>Cellule de dégrisement.</w:t>
      </w:r>
    </w:p>
    <w:p w14:paraId="5D8D7C70" w14:textId="77777777" w:rsidR="00DF4DE6" w:rsidRDefault="001B2AC3" w:rsidP="00240AE0">
      <w:pPr>
        <w:spacing w:before="200" w:after="70"/>
        <w:jc w:val="both"/>
      </w:pPr>
      <w:r>
        <w:rPr>
          <w:b/>
          <w:bCs/>
          <w:color w:val="2E5A88"/>
          <w:spacing w:val="24"/>
          <w:sz w:val="17"/>
          <w:szCs w:val="17"/>
        </w:rPr>
        <w:t>PLAN DE LA FICHE</w:t>
      </w:r>
    </w:p>
    <w:p w14:paraId="17EBCB01" w14:textId="77777777" w:rsidR="00DF4DE6" w:rsidRDefault="001B2AC3" w:rsidP="00240AE0">
      <w:pPr>
        <w:spacing w:after="20" w:line="250" w:lineRule="auto"/>
        <w:ind w:left="240"/>
        <w:jc w:val="both"/>
      </w:pPr>
      <w:r>
        <w:rPr>
          <w:b/>
          <w:bCs/>
          <w:color w:val="1F3864"/>
          <w:sz w:val="19"/>
          <w:szCs w:val="19"/>
        </w:rPr>
        <w:t>1. Le droit à la liberté individuelle et à la sûreté : le droit de ne pas être enfermé arbitrairement</w:t>
      </w:r>
    </w:p>
    <w:p w14:paraId="4BD79192" w14:textId="77777777" w:rsidR="00DF4DE6" w:rsidRDefault="001B2AC3" w:rsidP="00240AE0">
      <w:pPr>
        <w:spacing w:after="20" w:line="250" w:lineRule="auto"/>
        <w:ind w:left="500"/>
        <w:jc w:val="both"/>
      </w:pPr>
      <w:r>
        <w:rPr>
          <w:color w:val="333333"/>
          <w:sz w:val="18"/>
          <w:szCs w:val="18"/>
        </w:rPr>
        <w:t>1.1. La reconnaissance constitutionnelle</w:t>
      </w:r>
    </w:p>
    <w:p w14:paraId="27F86E53" w14:textId="77777777" w:rsidR="00DF4DE6" w:rsidRDefault="001B2AC3" w:rsidP="00240AE0">
      <w:pPr>
        <w:spacing w:after="20" w:line="250" w:lineRule="auto"/>
        <w:ind w:left="500"/>
        <w:jc w:val="both"/>
      </w:pPr>
      <w:r>
        <w:rPr>
          <w:color w:val="333333"/>
          <w:sz w:val="18"/>
          <w:szCs w:val="18"/>
        </w:rPr>
        <w:t>1.2. La reconnaissance conventionnelle</w:t>
      </w:r>
    </w:p>
    <w:p w14:paraId="00AD294B" w14:textId="77777777" w:rsidR="00DF4DE6" w:rsidRDefault="001B2AC3" w:rsidP="00240AE0">
      <w:pPr>
        <w:spacing w:after="20" w:line="250" w:lineRule="auto"/>
        <w:ind w:left="240"/>
        <w:jc w:val="both"/>
      </w:pPr>
      <w:r>
        <w:rPr>
          <w:b/>
          <w:bCs/>
          <w:color w:val="1F3864"/>
          <w:sz w:val="19"/>
          <w:szCs w:val="19"/>
        </w:rPr>
        <w:t>2. Le contrôle de la légalité de l’enfermement</w:t>
      </w:r>
    </w:p>
    <w:p w14:paraId="0E15CC22" w14:textId="77777777" w:rsidR="00DF4DE6" w:rsidRDefault="001B2AC3" w:rsidP="00240AE0">
      <w:pPr>
        <w:spacing w:after="20" w:line="250" w:lineRule="auto"/>
        <w:ind w:left="240"/>
        <w:jc w:val="both"/>
      </w:pPr>
      <w:r>
        <w:rPr>
          <w:b/>
          <w:bCs/>
          <w:color w:val="1F3864"/>
          <w:sz w:val="19"/>
          <w:szCs w:val="19"/>
        </w:rPr>
        <w:t>3. La garde à vue</w:t>
      </w:r>
    </w:p>
    <w:p w14:paraId="7544FC6E" w14:textId="77777777" w:rsidR="00DF4DE6" w:rsidRDefault="001B2AC3" w:rsidP="00240AE0">
      <w:pPr>
        <w:spacing w:after="20" w:line="250" w:lineRule="auto"/>
        <w:ind w:left="240"/>
        <w:jc w:val="both"/>
      </w:pPr>
      <w:r>
        <w:rPr>
          <w:b/>
          <w:bCs/>
          <w:color w:val="1F3864"/>
          <w:sz w:val="19"/>
          <w:szCs w:val="19"/>
        </w:rPr>
        <w:t>4. La détention provisoire</w:t>
      </w:r>
    </w:p>
    <w:p w14:paraId="7295099F" w14:textId="77777777" w:rsidR="00DF4DE6" w:rsidRDefault="001B2AC3" w:rsidP="00240AE0">
      <w:pPr>
        <w:spacing w:after="20" w:line="250" w:lineRule="auto"/>
        <w:ind w:left="240"/>
        <w:jc w:val="both"/>
      </w:pPr>
      <w:r>
        <w:rPr>
          <w:b/>
          <w:bCs/>
          <w:color w:val="1F3864"/>
          <w:sz w:val="19"/>
          <w:szCs w:val="19"/>
        </w:rPr>
        <w:t>5. La rétention de sûreté</w:t>
      </w:r>
    </w:p>
    <w:p w14:paraId="5A9F125E" w14:textId="77777777" w:rsidR="00DF4DE6" w:rsidRDefault="001B2AC3" w:rsidP="00240AE0">
      <w:pPr>
        <w:spacing w:after="20" w:line="250" w:lineRule="auto"/>
        <w:ind w:left="240"/>
        <w:jc w:val="both"/>
      </w:pPr>
      <w:r>
        <w:rPr>
          <w:b/>
          <w:bCs/>
          <w:color w:val="1F3864"/>
          <w:sz w:val="19"/>
          <w:szCs w:val="19"/>
        </w:rPr>
        <w:t>6. La rétention douanière</w:t>
      </w:r>
    </w:p>
    <w:p w14:paraId="239098DC" w14:textId="77777777" w:rsidR="00DF4DE6" w:rsidRDefault="001B2AC3" w:rsidP="00240AE0">
      <w:pPr>
        <w:spacing w:after="20" w:line="250" w:lineRule="auto"/>
        <w:ind w:left="240"/>
        <w:jc w:val="both"/>
      </w:pPr>
      <w:r>
        <w:rPr>
          <w:b/>
          <w:bCs/>
          <w:color w:val="1F3864"/>
          <w:sz w:val="19"/>
          <w:szCs w:val="19"/>
        </w:rPr>
        <w:t>7. Le maintien en zone d’attente</w:t>
      </w:r>
    </w:p>
    <w:p w14:paraId="7D44FB4C" w14:textId="77777777" w:rsidR="00DF4DE6" w:rsidRDefault="001B2AC3" w:rsidP="00240AE0">
      <w:pPr>
        <w:spacing w:after="20" w:line="250" w:lineRule="auto"/>
        <w:ind w:left="240"/>
        <w:jc w:val="both"/>
      </w:pPr>
      <w:r>
        <w:rPr>
          <w:b/>
          <w:bCs/>
          <w:color w:val="1F3864"/>
          <w:sz w:val="19"/>
          <w:szCs w:val="19"/>
        </w:rPr>
        <w:t>8. Le placement en centre de rétention administrative</w:t>
      </w:r>
    </w:p>
    <w:p w14:paraId="5A698878" w14:textId="77777777" w:rsidR="00DF4DE6" w:rsidRDefault="001B2AC3" w:rsidP="00240AE0">
      <w:pPr>
        <w:spacing w:after="20" w:line="250" w:lineRule="auto"/>
        <w:ind w:left="240"/>
        <w:jc w:val="both"/>
      </w:pPr>
      <w:r>
        <w:rPr>
          <w:b/>
          <w:bCs/>
          <w:color w:val="1F3864"/>
          <w:sz w:val="19"/>
          <w:szCs w:val="19"/>
        </w:rPr>
        <w:t>9. L’hospitalisation psychiatrique sans consentement</w:t>
      </w:r>
    </w:p>
    <w:p w14:paraId="1DA55929" w14:textId="77777777" w:rsidR="00DF4DE6" w:rsidRDefault="001B2AC3" w:rsidP="00240AE0">
      <w:pPr>
        <w:spacing w:after="20" w:line="250" w:lineRule="auto"/>
        <w:ind w:left="240"/>
        <w:jc w:val="both"/>
      </w:pPr>
      <w:r>
        <w:rPr>
          <w:b/>
          <w:bCs/>
          <w:color w:val="1F3864"/>
          <w:sz w:val="19"/>
          <w:szCs w:val="19"/>
        </w:rPr>
        <w:t>10. Le placement en cellule de dégrisement</w:t>
      </w:r>
    </w:p>
    <w:p w14:paraId="6B5A2D25" w14:textId="77777777" w:rsidR="00DF4DE6" w:rsidRDefault="001B2AC3" w:rsidP="00240AE0">
      <w:pPr>
        <w:spacing w:before="200" w:after="70"/>
        <w:jc w:val="both"/>
      </w:pPr>
      <w:r>
        <w:rPr>
          <w:b/>
          <w:bCs/>
          <w:color w:val="2E5A88"/>
          <w:spacing w:val="24"/>
          <w:sz w:val="17"/>
          <w:szCs w:val="17"/>
        </w:rPr>
        <w:t>RÉFÉRENCES CENTRALES</w:t>
      </w:r>
    </w:p>
    <w:p w14:paraId="7D82C791" w14:textId="77777777" w:rsidR="00DF4DE6" w:rsidRDefault="001B2AC3" w:rsidP="00240AE0">
      <w:pPr>
        <w:pStyle w:val="Paragraphedeliste"/>
        <w:numPr>
          <w:ilvl w:val="0"/>
          <w:numId w:val="2"/>
        </w:numPr>
        <w:spacing w:after="40" w:line="264" w:lineRule="auto"/>
        <w:jc w:val="both"/>
      </w:pPr>
      <w:r>
        <w:rPr>
          <w:color w:val="333333"/>
          <w:sz w:val="18"/>
          <w:szCs w:val="18"/>
        </w:rPr>
        <w:t>Article 66 de la Constitution.</w:t>
      </w:r>
    </w:p>
    <w:p w14:paraId="1D2F11DE" w14:textId="77777777" w:rsidR="00DF4DE6" w:rsidRDefault="001B2AC3" w:rsidP="00240AE0">
      <w:pPr>
        <w:pStyle w:val="Paragraphedeliste"/>
        <w:numPr>
          <w:ilvl w:val="0"/>
          <w:numId w:val="2"/>
        </w:numPr>
        <w:spacing w:after="40" w:line="264" w:lineRule="auto"/>
        <w:jc w:val="both"/>
      </w:pPr>
      <w:r>
        <w:rPr>
          <w:color w:val="333333"/>
          <w:sz w:val="18"/>
          <w:szCs w:val="18"/>
        </w:rPr>
        <w:t>Articles 2, 7 de la Déclaration des droits de l’homme et du citoyen.</w:t>
      </w:r>
    </w:p>
    <w:p w14:paraId="31CD45CB" w14:textId="77777777" w:rsidR="00DF4DE6" w:rsidRDefault="001B2AC3" w:rsidP="00240AE0">
      <w:pPr>
        <w:pStyle w:val="Paragraphedeliste"/>
        <w:numPr>
          <w:ilvl w:val="0"/>
          <w:numId w:val="2"/>
        </w:numPr>
        <w:spacing w:after="40" w:line="264" w:lineRule="auto"/>
        <w:jc w:val="both"/>
      </w:pPr>
      <w:r>
        <w:rPr>
          <w:color w:val="333333"/>
          <w:sz w:val="18"/>
          <w:szCs w:val="18"/>
        </w:rPr>
        <w:t>Article 5 de la Convention européenne des droits de l’homme.</w:t>
      </w:r>
    </w:p>
    <w:p w14:paraId="2AFB55EA"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décision no 92-307 DC, 25 février 1992, Loi portant modification de l'ordonnance no 45-2658 du 2 novembre 1945 modifiée relative aux conditions d'entrée et de séjour des étrangers en France.</w:t>
      </w:r>
    </w:p>
    <w:p w14:paraId="071BAB55"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décision no 2012-253 QPC, 8 juin 2012, Mickaël D [Ivresse publique].</w:t>
      </w:r>
    </w:p>
    <w:p w14:paraId="4B888DA2"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décision no 2023-1064 QPC, 6 octobre 2023, Association des avocats pénalistes.</w:t>
      </w:r>
    </w:p>
    <w:p w14:paraId="50AE4AB4" w14:textId="77777777" w:rsidR="00DF4DE6" w:rsidRDefault="001B2AC3" w:rsidP="00240AE0">
      <w:pPr>
        <w:pStyle w:val="Paragraphedeliste"/>
        <w:numPr>
          <w:ilvl w:val="0"/>
          <w:numId w:val="2"/>
        </w:numPr>
        <w:spacing w:after="40" w:line="264" w:lineRule="auto"/>
        <w:jc w:val="both"/>
      </w:pPr>
      <w:r>
        <w:rPr>
          <w:color w:val="333333"/>
          <w:sz w:val="18"/>
          <w:szCs w:val="18"/>
        </w:rPr>
        <w:t>CEDH, 26 avril 2007, Gebremedhin c. France, no 25389/05.</w:t>
      </w:r>
    </w:p>
    <w:p w14:paraId="4974C6D6" w14:textId="77777777" w:rsidR="00DF4DE6" w:rsidRDefault="001B2AC3" w:rsidP="00240AE0">
      <w:pPr>
        <w:pStyle w:val="Paragraphedeliste"/>
        <w:numPr>
          <w:ilvl w:val="0"/>
          <w:numId w:val="2"/>
        </w:numPr>
        <w:spacing w:after="40" w:line="264" w:lineRule="auto"/>
        <w:jc w:val="both"/>
      </w:pPr>
      <w:r>
        <w:rPr>
          <w:color w:val="333333"/>
          <w:sz w:val="18"/>
          <w:szCs w:val="18"/>
        </w:rPr>
        <w:t>Loi no 2000-516 du 15 juin 2000 renforçant la protection de la présomption d'innocence et les droits des victimes.</w:t>
      </w:r>
    </w:p>
    <w:p w14:paraId="1FFCEBB7" w14:textId="77777777" w:rsidR="00DF4DE6" w:rsidRDefault="001B2AC3" w:rsidP="00240AE0">
      <w:pPr>
        <w:pStyle w:val="Paragraphedeliste"/>
        <w:numPr>
          <w:ilvl w:val="0"/>
          <w:numId w:val="2"/>
        </w:numPr>
        <w:spacing w:after="40" w:line="264" w:lineRule="auto"/>
        <w:jc w:val="both"/>
      </w:pPr>
      <w:r>
        <w:rPr>
          <w:color w:val="333333"/>
          <w:sz w:val="18"/>
          <w:szCs w:val="18"/>
        </w:rPr>
        <w:t>CE, 16 juillet 2012, Centre hospitalier spécialisé Guillaume Régnier, no 360793.</w:t>
      </w:r>
    </w:p>
    <w:p w14:paraId="44EB9B81" w14:textId="77777777" w:rsidR="00DF4DE6" w:rsidRDefault="00DF4DE6" w:rsidP="00240AE0">
      <w:pPr>
        <w:pBdr>
          <w:top w:val="single" w:sz="6" w:space="0" w:color="C7D2E0"/>
        </w:pBdr>
        <w:spacing w:before="260" w:after="180"/>
        <w:jc w:val="both"/>
      </w:pPr>
    </w:p>
    <w:p w14:paraId="1DB97D68"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31  ·</w:t>
      </w:r>
      <w:proofErr w:type="gramEnd"/>
      <w:r>
        <w:rPr>
          <w:b/>
          <w:bCs/>
          <w:color w:val="2E5A88"/>
          <w:sz w:val="22"/>
          <w:szCs w:val="22"/>
        </w:rPr>
        <w:t xml:space="preserve">  </w:t>
      </w:r>
      <w:r>
        <w:rPr>
          <w:rFonts w:ascii="Cambria" w:eastAsia="Cambria" w:hAnsi="Cambria" w:cs="Cambria"/>
          <w:b/>
          <w:bCs/>
          <w:color w:val="1F3864"/>
        </w:rPr>
        <w:t>Le droit à un procès équitable et le droit à un recours effectif</w:t>
      </w:r>
    </w:p>
    <w:p w14:paraId="700CB494" w14:textId="77777777" w:rsidR="00DF4DE6" w:rsidRDefault="001B2AC3" w:rsidP="00240AE0">
      <w:pPr>
        <w:spacing w:after="120"/>
        <w:jc w:val="both"/>
      </w:pPr>
      <w:r>
        <w:rPr>
          <w:i/>
          <w:iCs/>
          <w:color w:val="595959"/>
          <w:sz w:val="17"/>
          <w:szCs w:val="17"/>
        </w:rPr>
        <w:t>Fascicule, p. 308</w:t>
      </w:r>
    </w:p>
    <w:p w14:paraId="32787BA4" w14:textId="77777777" w:rsidR="00DF4DE6" w:rsidRDefault="001B2AC3" w:rsidP="00240AE0">
      <w:pPr>
        <w:spacing w:before="200" w:after="70"/>
        <w:jc w:val="both"/>
      </w:pPr>
      <w:r>
        <w:rPr>
          <w:b/>
          <w:bCs/>
          <w:color w:val="2E5A88"/>
          <w:spacing w:val="24"/>
          <w:sz w:val="17"/>
          <w:szCs w:val="17"/>
        </w:rPr>
        <w:t>IDÉE DIRECTRICE</w:t>
      </w:r>
    </w:p>
    <w:p w14:paraId="532C0F61" w14:textId="77777777" w:rsidR="00DF4DE6" w:rsidRDefault="001B2AC3" w:rsidP="00240AE0">
      <w:pPr>
        <w:spacing w:after="60" w:line="276" w:lineRule="auto"/>
        <w:jc w:val="both"/>
      </w:pPr>
      <w:r>
        <w:t>Les droits procéduraux, présentés comme ce qui permet de redresser la violation de tous les autres. Droit au recours effectif (article 13), puis droit au procès équitable (article 6) dans ses volets civil et pénal, avec les particularités des contentieux administratif et constitutionnel. Les garanties sont classées en trois blocs : droit à un tribunal, exigences procédurales (droits de la défense, contradictoire, exigences tenant au jugement), exigences institutionnelles (indépendance, impartialité). Puis les restrictions et les immunités de juridiction.</w:t>
      </w:r>
    </w:p>
    <w:p w14:paraId="5C56DD0B" w14:textId="77777777" w:rsidR="00DF4DE6" w:rsidRDefault="001B2AC3" w:rsidP="00240AE0">
      <w:pPr>
        <w:spacing w:before="200" w:after="70"/>
        <w:jc w:val="both"/>
      </w:pPr>
      <w:r>
        <w:rPr>
          <w:b/>
          <w:bCs/>
          <w:color w:val="2E5A88"/>
          <w:spacing w:val="24"/>
          <w:sz w:val="17"/>
          <w:szCs w:val="17"/>
        </w:rPr>
        <w:t>POINTS CLÉS (ENCADRÉ DU FASCICULE)</w:t>
      </w:r>
    </w:p>
    <w:p w14:paraId="0B6AE2EA" w14:textId="77777777" w:rsidR="00DF4DE6" w:rsidRDefault="001B2AC3" w:rsidP="00240AE0">
      <w:pPr>
        <w:pStyle w:val="Paragraphedeliste"/>
        <w:numPr>
          <w:ilvl w:val="0"/>
          <w:numId w:val="2"/>
        </w:numPr>
        <w:spacing w:after="40" w:line="264" w:lineRule="auto"/>
        <w:jc w:val="both"/>
      </w:pPr>
      <w:r>
        <w:rPr>
          <w:color w:val="1A1A1A"/>
          <w:sz w:val="19"/>
          <w:szCs w:val="19"/>
        </w:rPr>
        <w:t>Volet civil.</w:t>
      </w:r>
    </w:p>
    <w:p w14:paraId="1E8FDE69" w14:textId="77777777" w:rsidR="00DF4DE6" w:rsidRDefault="001B2AC3" w:rsidP="00240AE0">
      <w:pPr>
        <w:pStyle w:val="Paragraphedeliste"/>
        <w:numPr>
          <w:ilvl w:val="0"/>
          <w:numId w:val="2"/>
        </w:numPr>
        <w:spacing w:after="40" w:line="264" w:lineRule="auto"/>
        <w:jc w:val="both"/>
      </w:pPr>
      <w:r>
        <w:rPr>
          <w:color w:val="1A1A1A"/>
          <w:sz w:val="19"/>
          <w:szCs w:val="19"/>
        </w:rPr>
        <w:t>Volet pénal.</w:t>
      </w:r>
    </w:p>
    <w:p w14:paraId="10542CDA" w14:textId="77777777" w:rsidR="00DF4DE6" w:rsidRDefault="001B2AC3" w:rsidP="00240AE0">
      <w:pPr>
        <w:pStyle w:val="Paragraphedeliste"/>
        <w:numPr>
          <w:ilvl w:val="0"/>
          <w:numId w:val="2"/>
        </w:numPr>
        <w:spacing w:after="40" w:line="264" w:lineRule="auto"/>
        <w:jc w:val="both"/>
      </w:pPr>
      <w:r>
        <w:rPr>
          <w:color w:val="1A1A1A"/>
          <w:sz w:val="19"/>
          <w:szCs w:val="19"/>
        </w:rPr>
        <w:t>Droit à un tribunal.</w:t>
      </w:r>
    </w:p>
    <w:p w14:paraId="08495E59" w14:textId="77777777" w:rsidR="00DF4DE6" w:rsidRDefault="001B2AC3" w:rsidP="00240AE0">
      <w:pPr>
        <w:pStyle w:val="Paragraphedeliste"/>
        <w:numPr>
          <w:ilvl w:val="0"/>
          <w:numId w:val="2"/>
        </w:numPr>
        <w:spacing w:after="40" w:line="264" w:lineRule="auto"/>
        <w:jc w:val="both"/>
      </w:pPr>
      <w:r>
        <w:rPr>
          <w:color w:val="1A1A1A"/>
          <w:sz w:val="19"/>
          <w:szCs w:val="19"/>
        </w:rPr>
        <w:t>Droits de la défense.</w:t>
      </w:r>
    </w:p>
    <w:p w14:paraId="01B523D3" w14:textId="77777777" w:rsidR="00DF4DE6" w:rsidRDefault="001B2AC3" w:rsidP="00240AE0">
      <w:pPr>
        <w:pStyle w:val="Paragraphedeliste"/>
        <w:numPr>
          <w:ilvl w:val="0"/>
          <w:numId w:val="2"/>
        </w:numPr>
        <w:spacing w:after="40" w:line="264" w:lineRule="auto"/>
        <w:jc w:val="both"/>
      </w:pPr>
      <w:r>
        <w:rPr>
          <w:color w:val="1A1A1A"/>
          <w:sz w:val="19"/>
          <w:szCs w:val="19"/>
        </w:rPr>
        <w:t>Principe du contradictoire.</w:t>
      </w:r>
    </w:p>
    <w:p w14:paraId="1D2BFE91" w14:textId="77777777" w:rsidR="00DF4DE6" w:rsidRDefault="001B2AC3" w:rsidP="00240AE0">
      <w:pPr>
        <w:pStyle w:val="Paragraphedeliste"/>
        <w:numPr>
          <w:ilvl w:val="0"/>
          <w:numId w:val="2"/>
        </w:numPr>
        <w:spacing w:after="40" w:line="264" w:lineRule="auto"/>
        <w:jc w:val="both"/>
      </w:pPr>
      <w:r>
        <w:rPr>
          <w:color w:val="1A1A1A"/>
          <w:sz w:val="19"/>
          <w:szCs w:val="19"/>
        </w:rPr>
        <w:t>Indépendance.</w:t>
      </w:r>
    </w:p>
    <w:p w14:paraId="3BD1BAE6" w14:textId="77777777" w:rsidR="00DF4DE6" w:rsidRDefault="001B2AC3" w:rsidP="00240AE0">
      <w:pPr>
        <w:pStyle w:val="Paragraphedeliste"/>
        <w:numPr>
          <w:ilvl w:val="0"/>
          <w:numId w:val="2"/>
        </w:numPr>
        <w:spacing w:after="40" w:line="264" w:lineRule="auto"/>
        <w:jc w:val="both"/>
      </w:pPr>
      <w:r>
        <w:rPr>
          <w:color w:val="1A1A1A"/>
          <w:sz w:val="19"/>
          <w:szCs w:val="19"/>
        </w:rPr>
        <w:t>Impartialité.</w:t>
      </w:r>
    </w:p>
    <w:p w14:paraId="77FBD933" w14:textId="77777777" w:rsidR="00DF4DE6" w:rsidRDefault="001B2AC3" w:rsidP="00240AE0">
      <w:pPr>
        <w:pStyle w:val="Paragraphedeliste"/>
        <w:numPr>
          <w:ilvl w:val="0"/>
          <w:numId w:val="2"/>
        </w:numPr>
        <w:spacing w:after="40" w:line="264" w:lineRule="auto"/>
        <w:jc w:val="both"/>
      </w:pPr>
      <w:r>
        <w:rPr>
          <w:color w:val="1A1A1A"/>
          <w:sz w:val="19"/>
          <w:szCs w:val="19"/>
        </w:rPr>
        <w:t>Restrictions légitimes. Le droit à un procès équitable et le droit à un recours effectif sont des droits très riches et très largement protégés au niveau national et international.</w:t>
      </w:r>
    </w:p>
    <w:p w14:paraId="13C87CF4" w14:textId="77777777" w:rsidR="00DF4DE6" w:rsidRDefault="001B2AC3" w:rsidP="00240AE0">
      <w:pPr>
        <w:spacing w:before="200" w:after="70"/>
        <w:jc w:val="both"/>
      </w:pPr>
      <w:r>
        <w:rPr>
          <w:b/>
          <w:bCs/>
          <w:color w:val="2E5A88"/>
          <w:spacing w:val="24"/>
          <w:sz w:val="17"/>
          <w:szCs w:val="17"/>
        </w:rPr>
        <w:lastRenderedPageBreak/>
        <w:t>PLAN DE LA FICHE</w:t>
      </w:r>
    </w:p>
    <w:p w14:paraId="0D6E670C" w14:textId="77777777" w:rsidR="00DF4DE6" w:rsidRDefault="001B2AC3" w:rsidP="00240AE0">
      <w:pPr>
        <w:spacing w:after="20" w:line="250" w:lineRule="auto"/>
        <w:ind w:left="240"/>
        <w:jc w:val="both"/>
      </w:pPr>
      <w:r>
        <w:rPr>
          <w:b/>
          <w:bCs/>
          <w:color w:val="1F3864"/>
          <w:sz w:val="19"/>
          <w:szCs w:val="19"/>
        </w:rPr>
        <w:t>1. Le droit à un recours effectif</w:t>
      </w:r>
    </w:p>
    <w:p w14:paraId="5F73F8FF" w14:textId="77777777" w:rsidR="00DF4DE6" w:rsidRDefault="001B2AC3" w:rsidP="00240AE0">
      <w:pPr>
        <w:spacing w:after="20" w:line="250" w:lineRule="auto"/>
        <w:ind w:left="240"/>
        <w:jc w:val="both"/>
      </w:pPr>
      <w:r>
        <w:rPr>
          <w:b/>
          <w:bCs/>
          <w:color w:val="1F3864"/>
          <w:sz w:val="19"/>
          <w:szCs w:val="19"/>
        </w:rPr>
        <w:t>2. Le droit à un procès équitable</w:t>
      </w:r>
    </w:p>
    <w:p w14:paraId="7F242CF8" w14:textId="77777777" w:rsidR="00DF4DE6" w:rsidRDefault="001B2AC3" w:rsidP="00240AE0">
      <w:pPr>
        <w:spacing w:after="20" w:line="250" w:lineRule="auto"/>
        <w:ind w:left="500"/>
        <w:jc w:val="both"/>
      </w:pPr>
      <w:r>
        <w:rPr>
          <w:color w:val="333333"/>
          <w:sz w:val="18"/>
          <w:szCs w:val="18"/>
        </w:rPr>
        <w:t>2.1. Le volet civil du droit à un procès équitable</w:t>
      </w:r>
    </w:p>
    <w:p w14:paraId="29DE1A3C" w14:textId="77777777" w:rsidR="00DF4DE6" w:rsidRDefault="001B2AC3" w:rsidP="00240AE0">
      <w:pPr>
        <w:spacing w:after="20" w:line="250" w:lineRule="auto"/>
        <w:ind w:left="500"/>
        <w:jc w:val="both"/>
      </w:pPr>
      <w:r>
        <w:rPr>
          <w:color w:val="333333"/>
          <w:sz w:val="18"/>
          <w:szCs w:val="18"/>
        </w:rPr>
        <w:t>2.2. Le volet pénal du droit à un procès équitable</w:t>
      </w:r>
    </w:p>
    <w:p w14:paraId="48A1381A" w14:textId="77777777" w:rsidR="00DF4DE6" w:rsidRDefault="001B2AC3" w:rsidP="00240AE0">
      <w:pPr>
        <w:spacing w:after="20" w:line="250" w:lineRule="auto"/>
        <w:ind w:left="500"/>
        <w:jc w:val="both"/>
      </w:pPr>
      <w:r>
        <w:rPr>
          <w:color w:val="333333"/>
          <w:sz w:val="18"/>
          <w:szCs w:val="18"/>
        </w:rPr>
        <w:t>2.3. Les particularités du contentieux administratif</w:t>
      </w:r>
    </w:p>
    <w:p w14:paraId="6BF22226" w14:textId="77777777" w:rsidR="00DF4DE6" w:rsidRDefault="001B2AC3" w:rsidP="00240AE0">
      <w:pPr>
        <w:spacing w:after="20" w:line="250" w:lineRule="auto"/>
        <w:ind w:left="500"/>
        <w:jc w:val="both"/>
      </w:pPr>
      <w:r>
        <w:rPr>
          <w:color w:val="333333"/>
          <w:sz w:val="18"/>
          <w:szCs w:val="18"/>
        </w:rPr>
        <w:t>2.4. Les particularités du contentieux constitutionnel</w:t>
      </w:r>
    </w:p>
    <w:p w14:paraId="4314EA70" w14:textId="77777777" w:rsidR="00DF4DE6" w:rsidRDefault="001B2AC3" w:rsidP="00240AE0">
      <w:pPr>
        <w:spacing w:after="20" w:line="250" w:lineRule="auto"/>
        <w:ind w:left="240"/>
        <w:jc w:val="both"/>
      </w:pPr>
      <w:r>
        <w:rPr>
          <w:b/>
          <w:bCs/>
          <w:color w:val="1F3864"/>
          <w:sz w:val="19"/>
          <w:szCs w:val="19"/>
        </w:rPr>
        <w:t>3. Les garanties du droit à un procès équitable</w:t>
      </w:r>
    </w:p>
    <w:p w14:paraId="1472B46A" w14:textId="77777777" w:rsidR="00DF4DE6" w:rsidRDefault="001B2AC3" w:rsidP="00240AE0">
      <w:pPr>
        <w:spacing w:after="20" w:line="250" w:lineRule="auto"/>
        <w:ind w:left="500"/>
        <w:jc w:val="both"/>
      </w:pPr>
      <w:r>
        <w:rPr>
          <w:color w:val="333333"/>
          <w:sz w:val="18"/>
          <w:szCs w:val="18"/>
        </w:rPr>
        <w:t>3.1. Le droit à un tribunal</w:t>
      </w:r>
    </w:p>
    <w:p w14:paraId="0F80054D" w14:textId="77777777" w:rsidR="00DF4DE6" w:rsidRDefault="001B2AC3" w:rsidP="00240AE0">
      <w:pPr>
        <w:spacing w:after="20" w:line="250" w:lineRule="auto"/>
        <w:ind w:left="500"/>
        <w:jc w:val="both"/>
      </w:pPr>
      <w:r>
        <w:rPr>
          <w:color w:val="333333"/>
          <w:sz w:val="18"/>
          <w:szCs w:val="18"/>
        </w:rPr>
        <w:t>3.2. Les exigences procédurales liées au droit à un procès équitable</w:t>
      </w:r>
    </w:p>
    <w:p w14:paraId="3D5816B1" w14:textId="77777777" w:rsidR="00DF4DE6" w:rsidRDefault="001B2AC3" w:rsidP="00240AE0">
      <w:pPr>
        <w:spacing w:after="20" w:line="250" w:lineRule="auto"/>
        <w:ind w:left="760"/>
        <w:jc w:val="both"/>
      </w:pPr>
      <w:r>
        <w:rPr>
          <w:color w:val="595959"/>
          <w:sz w:val="18"/>
          <w:szCs w:val="18"/>
        </w:rPr>
        <w:t>3.2.1. Les droits de la défense</w:t>
      </w:r>
    </w:p>
    <w:p w14:paraId="776B5538" w14:textId="77777777" w:rsidR="00DF4DE6" w:rsidRDefault="001B2AC3" w:rsidP="00240AE0">
      <w:pPr>
        <w:spacing w:after="20" w:line="250" w:lineRule="auto"/>
        <w:ind w:left="760"/>
        <w:jc w:val="both"/>
      </w:pPr>
      <w:r>
        <w:rPr>
          <w:color w:val="595959"/>
          <w:sz w:val="18"/>
          <w:szCs w:val="18"/>
        </w:rPr>
        <w:t>3.2.2. Le contradictoire</w:t>
      </w:r>
    </w:p>
    <w:p w14:paraId="6BB14C23" w14:textId="77777777" w:rsidR="00DF4DE6" w:rsidRDefault="001B2AC3" w:rsidP="00240AE0">
      <w:pPr>
        <w:spacing w:after="20" w:line="250" w:lineRule="auto"/>
        <w:ind w:left="760"/>
        <w:jc w:val="both"/>
      </w:pPr>
      <w:r>
        <w:rPr>
          <w:color w:val="595959"/>
          <w:sz w:val="18"/>
          <w:szCs w:val="18"/>
        </w:rPr>
        <w:t>3.2.3. Les exigences tenant au jugement</w:t>
      </w:r>
    </w:p>
    <w:p w14:paraId="0BC2D23B" w14:textId="77777777" w:rsidR="00DF4DE6" w:rsidRDefault="001B2AC3" w:rsidP="00240AE0">
      <w:pPr>
        <w:spacing w:after="20" w:line="250" w:lineRule="auto"/>
        <w:ind w:left="500"/>
        <w:jc w:val="both"/>
      </w:pPr>
      <w:r>
        <w:rPr>
          <w:color w:val="333333"/>
          <w:sz w:val="18"/>
          <w:szCs w:val="18"/>
        </w:rPr>
        <w:t>3.3. Les exigences institutionnelles</w:t>
      </w:r>
    </w:p>
    <w:p w14:paraId="4C07CA1F" w14:textId="77777777" w:rsidR="00DF4DE6" w:rsidRDefault="001B2AC3" w:rsidP="00240AE0">
      <w:pPr>
        <w:spacing w:after="20" w:line="250" w:lineRule="auto"/>
        <w:ind w:left="760"/>
        <w:jc w:val="both"/>
      </w:pPr>
      <w:r>
        <w:rPr>
          <w:color w:val="595959"/>
          <w:sz w:val="18"/>
          <w:szCs w:val="18"/>
        </w:rPr>
        <w:t>3.3.1. L’indépendance du juge</w:t>
      </w:r>
    </w:p>
    <w:p w14:paraId="61E1D2F0" w14:textId="77777777" w:rsidR="00DF4DE6" w:rsidRDefault="001B2AC3" w:rsidP="00240AE0">
      <w:pPr>
        <w:spacing w:after="20" w:line="250" w:lineRule="auto"/>
        <w:ind w:left="760"/>
        <w:jc w:val="both"/>
      </w:pPr>
      <w:r>
        <w:rPr>
          <w:color w:val="595959"/>
          <w:sz w:val="18"/>
          <w:szCs w:val="18"/>
        </w:rPr>
        <w:t>3.3.2. L’impartialité du juge</w:t>
      </w:r>
    </w:p>
    <w:p w14:paraId="2F662C90" w14:textId="77777777" w:rsidR="00DF4DE6" w:rsidRDefault="001B2AC3" w:rsidP="00240AE0">
      <w:pPr>
        <w:spacing w:after="20" w:line="250" w:lineRule="auto"/>
        <w:ind w:left="240"/>
        <w:jc w:val="both"/>
      </w:pPr>
      <w:r>
        <w:rPr>
          <w:b/>
          <w:bCs/>
          <w:color w:val="1F3864"/>
          <w:sz w:val="19"/>
          <w:szCs w:val="19"/>
        </w:rPr>
        <w:t>4. Les restrictions au droit à un procès équitable</w:t>
      </w:r>
    </w:p>
    <w:p w14:paraId="7DC84EF3" w14:textId="77777777" w:rsidR="00DF4DE6" w:rsidRDefault="001B2AC3" w:rsidP="00240AE0">
      <w:pPr>
        <w:spacing w:after="20" w:line="250" w:lineRule="auto"/>
        <w:ind w:left="500"/>
        <w:jc w:val="both"/>
      </w:pPr>
      <w:r>
        <w:rPr>
          <w:color w:val="333333"/>
          <w:sz w:val="18"/>
          <w:szCs w:val="18"/>
        </w:rPr>
        <w:t>4.1. Un droit non absolu</w:t>
      </w:r>
    </w:p>
    <w:p w14:paraId="0889BACA" w14:textId="77777777" w:rsidR="00DF4DE6" w:rsidRDefault="001B2AC3" w:rsidP="00240AE0">
      <w:pPr>
        <w:spacing w:after="20" w:line="250" w:lineRule="auto"/>
        <w:ind w:left="500"/>
        <w:jc w:val="both"/>
      </w:pPr>
      <w:r>
        <w:rPr>
          <w:color w:val="333333"/>
          <w:sz w:val="18"/>
          <w:szCs w:val="18"/>
        </w:rPr>
        <w:t>4.2. Le cas des immunités de juridiction</w:t>
      </w:r>
    </w:p>
    <w:p w14:paraId="26CF8A43" w14:textId="77777777" w:rsidR="00DF4DE6" w:rsidRDefault="001B2AC3" w:rsidP="00240AE0">
      <w:pPr>
        <w:spacing w:before="200" w:after="70"/>
        <w:jc w:val="both"/>
      </w:pPr>
      <w:r>
        <w:rPr>
          <w:b/>
          <w:bCs/>
          <w:color w:val="2E5A88"/>
          <w:spacing w:val="24"/>
          <w:sz w:val="17"/>
          <w:szCs w:val="17"/>
        </w:rPr>
        <w:t>RÉFÉRENCES CENTRALES</w:t>
      </w:r>
    </w:p>
    <w:p w14:paraId="02F7ECA2" w14:textId="77777777" w:rsidR="00DF4DE6" w:rsidRDefault="001B2AC3" w:rsidP="00240AE0">
      <w:pPr>
        <w:pStyle w:val="Paragraphedeliste"/>
        <w:numPr>
          <w:ilvl w:val="0"/>
          <w:numId w:val="2"/>
        </w:numPr>
        <w:spacing w:after="40" w:line="264" w:lineRule="auto"/>
        <w:jc w:val="both"/>
      </w:pPr>
      <w:r>
        <w:rPr>
          <w:color w:val="333333"/>
          <w:sz w:val="18"/>
          <w:szCs w:val="18"/>
        </w:rPr>
        <w:t>Art. 64 de la Constitution.</w:t>
      </w:r>
    </w:p>
    <w:p w14:paraId="7C3DB07B" w14:textId="77777777" w:rsidR="00DF4DE6" w:rsidRDefault="001B2AC3" w:rsidP="00240AE0">
      <w:pPr>
        <w:pStyle w:val="Paragraphedeliste"/>
        <w:numPr>
          <w:ilvl w:val="0"/>
          <w:numId w:val="2"/>
        </w:numPr>
        <w:spacing w:after="40" w:line="264" w:lineRule="auto"/>
        <w:jc w:val="both"/>
      </w:pPr>
      <w:r>
        <w:rPr>
          <w:color w:val="333333"/>
          <w:sz w:val="18"/>
          <w:szCs w:val="18"/>
        </w:rPr>
        <w:t>Art. 16 de la Déclaration des droits de l’homme et du citoyen.</w:t>
      </w:r>
    </w:p>
    <w:p w14:paraId="65A85046" w14:textId="77777777" w:rsidR="00DF4DE6" w:rsidRDefault="001B2AC3" w:rsidP="00240AE0">
      <w:pPr>
        <w:pStyle w:val="Paragraphedeliste"/>
        <w:numPr>
          <w:ilvl w:val="0"/>
          <w:numId w:val="2"/>
        </w:numPr>
        <w:spacing w:after="40" w:line="264" w:lineRule="auto"/>
        <w:jc w:val="both"/>
      </w:pPr>
      <w:r>
        <w:rPr>
          <w:color w:val="333333"/>
          <w:sz w:val="18"/>
          <w:szCs w:val="18"/>
        </w:rPr>
        <w:t>Art. 6 et 13 de la Convention européenne des droits de l’homme.</w:t>
      </w:r>
    </w:p>
    <w:p w14:paraId="051C8C4A" w14:textId="77777777" w:rsidR="00DF4DE6" w:rsidRDefault="001B2AC3" w:rsidP="00240AE0">
      <w:pPr>
        <w:pStyle w:val="Paragraphedeliste"/>
        <w:numPr>
          <w:ilvl w:val="0"/>
          <w:numId w:val="2"/>
        </w:numPr>
        <w:spacing w:after="40" w:line="264" w:lineRule="auto"/>
        <w:jc w:val="both"/>
      </w:pPr>
      <w:r>
        <w:rPr>
          <w:color w:val="333333"/>
          <w:sz w:val="18"/>
          <w:szCs w:val="18"/>
        </w:rPr>
        <w:t>Art. 14 du Pacte international relatif aux droits civils et politiques.</w:t>
      </w:r>
    </w:p>
    <w:p w14:paraId="333E93DA" w14:textId="77777777" w:rsidR="00DF4DE6" w:rsidRDefault="001B2AC3" w:rsidP="00240AE0">
      <w:pPr>
        <w:pStyle w:val="Paragraphedeliste"/>
        <w:numPr>
          <w:ilvl w:val="0"/>
          <w:numId w:val="2"/>
        </w:numPr>
        <w:spacing w:after="40" w:line="264" w:lineRule="auto"/>
        <w:jc w:val="both"/>
      </w:pPr>
      <w:r>
        <w:rPr>
          <w:color w:val="333333"/>
          <w:sz w:val="18"/>
          <w:szCs w:val="18"/>
        </w:rPr>
        <w:t>Art. 47 de la Charte des droits fondamentaux de l’Union européenne.</w:t>
      </w:r>
    </w:p>
    <w:p w14:paraId="02BAE90B" w14:textId="77777777" w:rsidR="00DF4DE6" w:rsidRDefault="001B2AC3" w:rsidP="00240AE0">
      <w:pPr>
        <w:pStyle w:val="Paragraphedeliste"/>
        <w:numPr>
          <w:ilvl w:val="0"/>
          <w:numId w:val="2"/>
        </w:numPr>
        <w:spacing w:after="40" w:line="264" w:lineRule="auto"/>
        <w:jc w:val="both"/>
      </w:pPr>
      <w:r>
        <w:rPr>
          <w:color w:val="333333"/>
          <w:sz w:val="18"/>
          <w:szCs w:val="18"/>
        </w:rPr>
        <w:t>Art. 15 et 16 du Code de procédure civile.</w:t>
      </w:r>
    </w:p>
    <w:p w14:paraId="578AEC1D" w14:textId="77777777" w:rsidR="00DF4DE6" w:rsidRDefault="001B2AC3" w:rsidP="00240AE0">
      <w:pPr>
        <w:pStyle w:val="Paragraphedeliste"/>
        <w:numPr>
          <w:ilvl w:val="0"/>
          <w:numId w:val="2"/>
        </w:numPr>
        <w:spacing w:after="40" w:line="264" w:lineRule="auto"/>
        <w:jc w:val="both"/>
      </w:pPr>
      <w:r>
        <w:rPr>
          <w:color w:val="333333"/>
          <w:sz w:val="18"/>
          <w:szCs w:val="18"/>
        </w:rPr>
        <w:t>Art. L. 521-1 du Code de justice administrative.</w:t>
      </w:r>
    </w:p>
    <w:p w14:paraId="0790F952" w14:textId="77777777" w:rsidR="00DF4DE6" w:rsidRDefault="00DF4DE6" w:rsidP="00240AE0">
      <w:pPr>
        <w:pBdr>
          <w:top w:val="single" w:sz="6" w:space="0" w:color="C7D2E0"/>
        </w:pBdr>
        <w:spacing w:before="260" w:after="180"/>
        <w:jc w:val="both"/>
      </w:pPr>
    </w:p>
    <w:p w14:paraId="5FB96EAB"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32  ·</w:t>
      </w:r>
      <w:proofErr w:type="gramEnd"/>
      <w:r>
        <w:rPr>
          <w:b/>
          <w:bCs/>
          <w:color w:val="2E5A88"/>
          <w:sz w:val="22"/>
          <w:szCs w:val="22"/>
        </w:rPr>
        <w:t xml:space="preserve">  </w:t>
      </w:r>
      <w:r>
        <w:rPr>
          <w:rFonts w:ascii="Cambria" w:eastAsia="Cambria" w:hAnsi="Cambria" w:cs="Cambria"/>
          <w:b/>
          <w:bCs/>
          <w:color w:val="1F3864"/>
        </w:rPr>
        <w:t>Les garanties fondamentales en droit pénal</w:t>
      </w:r>
    </w:p>
    <w:p w14:paraId="67D77295" w14:textId="77777777" w:rsidR="00DF4DE6" w:rsidRDefault="001B2AC3" w:rsidP="00240AE0">
      <w:pPr>
        <w:spacing w:after="120"/>
        <w:jc w:val="both"/>
      </w:pPr>
      <w:r>
        <w:rPr>
          <w:i/>
          <w:iCs/>
          <w:color w:val="595959"/>
          <w:sz w:val="17"/>
          <w:szCs w:val="17"/>
        </w:rPr>
        <w:t>Fascicule, p. 321</w:t>
      </w:r>
    </w:p>
    <w:p w14:paraId="4F539D83" w14:textId="77777777" w:rsidR="00DF4DE6" w:rsidRDefault="001B2AC3" w:rsidP="00240AE0">
      <w:pPr>
        <w:spacing w:before="200" w:after="70"/>
        <w:jc w:val="both"/>
      </w:pPr>
      <w:r>
        <w:rPr>
          <w:b/>
          <w:bCs/>
          <w:color w:val="2E5A88"/>
          <w:spacing w:val="24"/>
          <w:sz w:val="17"/>
          <w:szCs w:val="17"/>
        </w:rPr>
        <w:t>IDÉE DIRECTRICE</w:t>
      </w:r>
    </w:p>
    <w:p w14:paraId="55CE8D32" w14:textId="77777777" w:rsidR="00DF4DE6" w:rsidRDefault="001B2AC3" w:rsidP="00240AE0">
      <w:pPr>
        <w:spacing w:after="60" w:line="276" w:lineRule="auto"/>
        <w:jc w:val="both"/>
      </w:pPr>
      <w:r>
        <w:t>Le versant pénal des garanties. Deux moments : la procédure (présomption d'innocence et ses exceptions, articulation avec la détention provisoire, droit de ne pas s'incriminer, droit à l'avocat) et le prononcé de la peine (légalité, nécessité, non bis in idem, non-rétroactivité de la loi plus sévère, individualisation, obligation de motivation, responsabilité du fait propre). Se termine sur l'irresponsabilité en cas d'abolition du discernement.</w:t>
      </w:r>
    </w:p>
    <w:p w14:paraId="700B9280" w14:textId="77777777" w:rsidR="00DF4DE6" w:rsidRDefault="001B2AC3" w:rsidP="00240AE0">
      <w:pPr>
        <w:spacing w:before="200" w:after="70"/>
        <w:jc w:val="both"/>
      </w:pPr>
      <w:r>
        <w:rPr>
          <w:b/>
          <w:bCs/>
          <w:color w:val="2E5A88"/>
          <w:spacing w:val="24"/>
          <w:sz w:val="17"/>
          <w:szCs w:val="17"/>
        </w:rPr>
        <w:t>POINTS CLÉS (ENCADRÉ DU FASCICULE)</w:t>
      </w:r>
    </w:p>
    <w:p w14:paraId="07002274" w14:textId="77777777" w:rsidR="00DF4DE6" w:rsidRDefault="001B2AC3" w:rsidP="00240AE0">
      <w:pPr>
        <w:pStyle w:val="Paragraphedeliste"/>
        <w:numPr>
          <w:ilvl w:val="0"/>
          <w:numId w:val="2"/>
        </w:numPr>
        <w:spacing w:after="40" w:line="264" w:lineRule="auto"/>
        <w:jc w:val="both"/>
      </w:pPr>
      <w:r>
        <w:rPr>
          <w:color w:val="1A1A1A"/>
          <w:sz w:val="19"/>
          <w:szCs w:val="19"/>
        </w:rPr>
        <w:t>Droits de la défense.</w:t>
      </w:r>
    </w:p>
    <w:p w14:paraId="2B366979" w14:textId="77777777" w:rsidR="00DF4DE6" w:rsidRDefault="001B2AC3" w:rsidP="00240AE0">
      <w:pPr>
        <w:pStyle w:val="Paragraphedeliste"/>
        <w:numPr>
          <w:ilvl w:val="0"/>
          <w:numId w:val="2"/>
        </w:numPr>
        <w:spacing w:after="40" w:line="264" w:lineRule="auto"/>
        <w:jc w:val="both"/>
      </w:pPr>
      <w:r>
        <w:rPr>
          <w:color w:val="1A1A1A"/>
          <w:sz w:val="19"/>
          <w:szCs w:val="19"/>
        </w:rPr>
        <w:t>Présomption d’innocence.</w:t>
      </w:r>
    </w:p>
    <w:p w14:paraId="61791CAC" w14:textId="77777777" w:rsidR="00DF4DE6" w:rsidRDefault="001B2AC3" w:rsidP="00240AE0">
      <w:pPr>
        <w:pStyle w:val="Paragraphedeliste"/>
        <w:numPr>
          <w:ilvl w:val="0"/>
          <w:numId w:val="2"/>
        </w:numPr>
        <w:spacing w:after="40" w:line="264" w:lineRule="auto"/>
        <w:jc w:val="both"/>
      </w:pPr>
      <w:r>
        <w:rPr>
          <w:color w:val="1A1A1A"/>
          <w:sz w:val="19"/>
          <w:szCs w:val="19"/>
        </w:rPr>
        <w:t>Droit de ne pas s’incriminer.</w:t>
      </w:r>
    </w:p>
    <w:p w14:paraId="7E4DEAE4" w14:textId="77777777" w:rsidR="00DF4DE6" w:rsidRDefault="001B2AC3" w:rsidP="00240AE0">
      <w:pPr>
        <w:pStyle w:val="Paragraphedeliste"/>
        <w:numPr>
          <w:ilvl w:val="0"/>
          <w:numId w:val="2"/>
        </w:numPr>
        <w:spacing w:after="40" w:line="264" w:lineRule="auto"/>
        <w:jc w:val="both"/>
      </w:pPr>
      <w:r>
        <w:rPr>
          <w:color w:val="1A1A1A"/>
          <w:sz w:val="19"/>
          <w:szCs w:val="19"/>
        </w:rPr>
        <w:t>Droit à l’assistance d’un avocat.</w:t>
      </w:r>
    </w:p>
    <w:p w14:paraId="0E392910" w14:textId="77777777" w:rsidR="00DF4DE6" w:rsidRDefault="001B2AC3" w:rsidP="00240AE0">
      <w:pPr>
        <w:pStyle w:val="Paragraphedeliste"/>
        <w:numPr>
          <w:ilvl w:val="0"/>
          <w:numId w:val="2"/>
        </w:numPr>
        <w:spacing w:after="40" w:line="264" w:lineRule="auto"/>
        <w:jc w:val="both"/>
      </w:pPr>
      <w:r>
        <w:rPr>
          <w:color w:val="1A1A1A"/>
          <w:sz w:val="19"/>
          <w:szCs w:val="19"/>
        </w:rPr>
        <w:t>Principe de légalité des délits et des peines.</w:t>
      </w:r>
    </w:p>
    <w:p w14:paraId="41E9046F" w14:textId="77777777" w:rsidR="00DF4DE6" w:rsidRDefault="001B2AC3" w:rsidP="00240AE0">
      <w:pPr>
        <w:pStyle w:val="Paragraphedeliste"/>
        <w:numPr>
          <w:ilvl w:val="0"/>
          <w:numId w:val="2"/>
        </w:numPr>
        <w:spacing w:after="40" w:line="264" w:lineRule="auto"/>
        <w:jc w:val="both"/>
      </w:pPr>
      <w:r>
        <w:rPr>
          <w:color w:val="1A1A1A"/>
          <w:sz w:val="19"/>
          <w:szCs w:val="19"/>
        </w:rPr>
        <w:t>Principe de nécessité des peines.</w:t>
      </w:r>
    </w:p>
    <w:p w14:paraId="235BE3F4" w14:textId="77777777" w:rsidR="00DF4DE6" w:rsidRDefault="001B2AC3" w:rsidP="00240AE0">
      <w:pPr>
        <w:pStyle w:val="Paragraphedeliste"/>
        <w:numPr>
          <w:ilvl w:val="0"/>
          <w:numId w:val="2"/>
        </w:numPr>
        <w:spacing w:after="40" w:line="264" w:lineRule="auto"/>
        <w:jc w:val="both"/>
      </w:pPr>
      <w:r>
        <w:rPr>
          <w:color w:val="1A1A1A"/>
          <w:sz w:val="19"/>
          <w:szCs w:val="19"/>
        </w:rPr>
        <w:t>Principe de non bis in idem.</w:t>
      </w:r>
    </w:p>
    <w:p w14:paraId="1744C203" w14:textId="77777777" w:rsidR="00DF4DE6" w:rsidRDefault="001B2AC3" w:rsidP="00240AE0">
      <w:pPr>
        <w:pStyle w:val="Paragraphedeliste"/>
        <w:numPr>
          <w:ilvl w:val="0"/>
          <w:numId w:val="2"/>
        </w:numPr>
        <w:spacing w:after="40" w:line="264" w:lineRule="auto"/>
        <w:jc w:val="both"/>
      </w:pPr>
      <w:r>
        <w:rPr>
          <w:color w:val="1A1A1A"/>
          <w:sz w:val="19"/>
          <w:szCs w:val="19"/>
        </w:rPr>
        <w:t>Principe de non-rétroactivité de la loi pénale la plus sévère.</w:t>
      </w:r>
    </w:p>
    <w:p w14:paraId="43D3B3AC" w14:textId="77777777" w:rsidR="00DF4DE6" w:rsidRDefault="001B2AC3" w:rsidP="00240AE0">
      <w:pPr>
        <w:pStyle w:val="Paragraphedeliste"/>
        <w:numPr>
          <w:ilvl w:val="0"/>
          <w:numId w:val="2"/>
        </w:numPr>
        <w:spacing w:after="40" w:line="264" w:lineRule="auto"/>
        <w:jc w:val="both"/>
      </w:pPr>
      <w:r>
        <w:rPr>
          <w:color w:val="1A1A1A"/>
          <w:sz w:val="19"/>
          <w:szCs w:val="19"/>
        </w:rPr>
        <w:t>Principe d’individualisation des peines.</w:t>
      </w:r>
    </w:p>
    <w:p w14:paraId="2BA0AB5F" w14:textId="77777777" w:rsidR="00DF4DE6" w:rsidRDefault="001B2AC3" w:rsidP="00240AE0">
      <w:pPr>
        <w:pStyle w:val="Paragraphedeliste"/>
        <w:numPr>
          <w:ilvl w:val="0"/>
          <w:numId w:val="2"/>
        </w:numPr>
        <w:spacing w:after="40" w:line="264" w:lineRule="auto"/>
        <w:jc w:val="both"/>
      </w:pPr>
      <w:r>
        <w:rPr>
          <w:color w:val="1A1A1A"/>
          <w:sz w:val="19"/>
          <w:szCs w:val="19"/>
        </w:rPr>
        <w:t>Responsabilité du fait propre de la personne.</w:t>
      </w:r>
    </w:p>
    <w:p w14:paraId="4DDB25D7" w14:textId="77777777" w:rsidR="00DF4DE6" w:rsidRDefault="001B2AC3" w:rsidP="00240AE0">
      <w:pPr>
        <w:pStyle w:val="Paragraphedeliste"/>
        <w:numPr>
          <w:ilvl w:val="0"/>
          <w:numId w:val="2"/>
        </w:numPr>
        <w:spacing w:after="40" w:line="264" w:lineRule="auto"/>
        <w:jc w:val="both"/>
      </w:pPr>
      <w:r>
        <w:rPr>
          <w:color w:val="1A1A1A"/>
          <w:sz w:val="19"/>
          <w:szCs w:val="19"/>
        </w:rPr>
        <w:t>Irresponsabilité pénale en cas d’abolition du discernement.</w:t>
      </w:r>
    </w:p>
    <w:p w14:paraId="6B478A23" w14:textId="77777777" w:rsidR="00DF4DE6" w:rsidRDefault="001B2AC3" w:rsidP="00240AE0">
      <w:pPr>
        <w:spacing w:before="200" w:after="70"/>
        <w:jc w:val="both"/>
      </w:pPr>
      <w:r>
        <w:rPr>
          <w:b/>
          <w:bCs/>
          <w:color w:val="2E5A88"/>
          <w:spacing w:val="24"/>
          <w:sz w:val="17"/>
          <w:szCs w:val="17"/>
        </w:rPr>
        <w:lastRenderedPageBreak/>
        <w:t>PLAN DE LA FICHE</w:t>
      </w:r>
    </w:p>
    <w:p w14:paraId="328B432C" w14:textId="77777777" w:rsidR="00DF4DE6" w:rsidRDefault="001B2AC3" w:rsidP="00240AE0">
      <w:pPr>
        <w:spacing w:after="20" w:line="250" w:lineRule="auto"/>
        <w:ind w:left="240"/>
        <w:jc w:val="both"/>
      </w:pPr>
      <w:r>
        <w:rPr>
          <w:b/>
          <w:bCs/>
          <w:color w:val="1F3864"/>
          <w:sz w:val="19"/>
          <w:szCs w:val="19"/>
        </w:rPr>
        <w:t>1. La procédure pénale entourée par des garanties fondamentales</w:t>
      </w:r>
    </w:p>
    <w:p w14:paraId="239CBC63" w14:textId="77777777" w:rsidR="00DF4DE6" w:rsidRDefault="001B2AC3" w:rsidP="00240AE0">
      <w:pPr>
        <w:spacing w:after="20" w:line="250" w:lineRule="auto"/>
        <w:ind w:left="500"/>
        <w:jc w:val="both"/>
      </w:pPr>
      <w:r>
        <w:rPr>
          <w:color w:val="333333"/>
          <w:sz w:val="18"/>
          <w:szCs w:val="18"/>
        </w:rPr>
        <w:t>1.1. Le principe de la présomption d’innocence</w:t>
      </w:r>
    </w:p>
    <w:p w14:paraId="4EF3EDCB" w14:textId="77777777" w:rsidR="00DF4DE6" w:rsidRDefault="001B2AC3" w:rsidP="00240AE0">
      <w:pPr>
        <w:spacing w:after="20" w:line="250" w:lineRule="auto"/>
        <w:ind w:left="760"/>
        <w:jc w:val="both"/>
      </w:pPr>
      <w:r>
        <w:rPr>
          <w:color w:val="595959"/>
          <w:sz w:val="18"/>
          <w:szCs w:val="18"/>
        </w:rPr>
        <w:t>1.1.1. Les exceptions au principe de la présomption d’innocence</w:t>
      </w:r>
    </w:p>
    <w:p w14:paraId="7EF657B0" w14:textId="77777777" w:rsidR="00DF4DE6" w:rsidRDefault="001B2AC3" w:rsidP="00240AE0">
      <w:pPr>
        <w:spacing w:after="20" w:line="250" w:lineRule="auto"/>
        <w:ind w:left="760"/>
        <w:jc w:val="both"/>
      </w:pPr>
      <w:r>
        <w:rPr>
          <w:color w:val="595959"/>
          <w:sz w:val="18"/>
          <w:szCs w:val="18"/>
        </w:rPr>
        <w:t>1.1.2. La présomption d’innocence et la détention provisoire</w:t>
      </w:r>
    </w:p>
    <w:p w14:paraId="4B8EFE10" w14:textId="77777777" w:rsidR="00DF4DE6" w:rsidRDefault="001B2AC3" w:rsidP="00240AE0">
      <w:pPr>
        <w:spacing w:after="20" w:line="250" w:lineRule="auto"/>
        <w:ind w:left="500"/>
        <w:jc w:val="both"/>
      </w:pPr>
      <w:r>
        <w:rPr>
          <w:color w:val="333333"/>
          <w:sz w:val="18"/>
          <w:szCs w:val="18"/>
        </w:rPr>
        <w:t>1.2. Le droit de ne pas s’incriminer</w:t>
      </w:r>
    </w:p>
    <w:p w14:paraId="47B580B5" w14:textId="77777777" w:rsidR="00DF4DE6" w:rsidRDefault="001B2AC3" w:rsidP="00240AE0">
      <w:pPr>
        <w:spacing w:after="20" w:line="250" w:lineRule="auto"/>
        <w:ind w:left="500"/>
        <w:jc w:val="both"/>
      </w:pPr>
      <w:r>
        <w:rPr>
          <w:color w:val="333333"/>
          <w:sz w:val="18"/>
          <w:szCs w:val="18"/>
        </w:rPr>
        <w:t>1.3. Le droit à l’assistance d’un avocat</w:t>
      </w:r>
    </w:p>
    <w:p w14:paraId="191771E1" w14:textId="77777777" w:rsidR="00DF4DE6" w:rsidRDefault="001B2AC3" w:rsidP="00240AE0">
      <w:pPr>
        <w:spacing w:after="20" w:line="250" w:lineRule="auto"/>
        <w:ind w:left="240"/>
        <w:jc w:val="both"/>
      </w:pPr>
      <w:r>
        <w:rPr>
          <w:b/>
          <w:bCs/>
          <w:color w:val="1F3864"/>
          <w:sz w:val="19"/>
          <w:szCs w:val="19"/>
        </w:rPr>
        <w:t>2. Le prononcé de la peine entouré par des garanties fondamentales</w:t>
      </w:r>
    </w:p>
    <w:p w14:paraId="33787B36" w14:textId="77777777" w:rsidR="00DF4DE6" w:rsidRDefault="001B2AC3" w:rsidP="00240AE0">
      <w:pPr>
        <w:spacing w:after="20" w:line="250" w:lineRule="auto"/>
        <w:ind w:left="500"/>
        <w:jc w:val="both"/>
      </w:pPr>
      <w:r>
        <w:rPr>
          <w:color w:val="333333"/>
          <w:sz w:val="18"/>
          <w:szCs w:val="18"/>
        </w:rPr>
        <w:t>2.1 Le principe de légalité des peines</w:t>
      </w:r>
    </w:p>
    <w:p w14:paraId="301BA27B" w14:textId="77777777" w:rsidR="00DF4DE6" w:rsidRDefault="001B2AC3" w:rsidP="00240AE0">
      <w:pPr>
        <w:spacing w:after="20" w:line="250" w:lineRule="auto"/>
        <w:ind w:left="500"/>
        <w:jc w:val="both"/>
      </w:pPr>
      <w:r>
        <w:rPr>
          <w:color w:val="333333"/>
          <w:sz w:val="18"/>
          <w:szCs w:val="18"/>
        </w:rPr>
        <w:t>2.2. Le principe de nécessité des peines</w:t>
      </w:r>
    </w:p>
    <w:p w14:paraId="2F3516AF" w14:textId="77777777" w:rsidR="00DF4DE6" w:rsidRDefault="001B2AC3" w:rsidP="00240AE0">
      <w:pPr>
        <w:spacing w:after="20" w:line="250" w:lineRule="auto"/>
        <w:ind w:left="760"/>
        <w:jc w:val="both"/>
      </w:pPr>
      <w:r>
        <w:rPr>
          <w:color w:val="595959"/>
          <w:sz w:val="18"/>
          <w:szCs w:val="18"/>
        </w:rPr>
        <w:t>2.2.1. La prise en compte du temps écoulé depuis l’infraction : une déclinaison du principe de légalité des délits et des peines</w:t>
      </w:r>
    </w:p>
    <w:p w14:paraId="22B414CA" w14:textId="77777777" w:rsidR="00DF4DE6" w:rsidRDefault="001B2AC3" w:rsidP="00240AE0">
      <w:pPr>
        <w:spacing w:after="20" w:line="250" w:lineRule="auto"/>
        <w:ind w:left="760"/>
        <w:jc w:val="both"/>
      </w:pPr>
      <w:r>
        <w:rPr>
          <w:color w:val="595959"/>
          <w:sz w:val="18"/>
          <w:szCs w:val="18"/>
        </w:rPr>
        <w:t>2.2.2. Le principe de non bis in idem : une déclinaison du principe de légalité des délits et des peines</w:t>
      </w:r>
    </w:p>
    <w:p w14:paraId="718E3B5B" w14:textId="77777777" w:rsidR="00DF4DE6" w:rsidRDefault="001B2AC3" w:rsidP="00240AE0">
      <w:pPr>
        <w:spacing w:after="20" w:line="250" w:lineRule="auto"/>
        <w:ind w:left="760"/>
        <w:jc w:val="both"/>
      </w:pPr>
      <w:r>
        <w:rPr>
          <w:color w:val="595959"/>
          <w:sz w:val="18"/>
          <w:szCs w:val="18"/>
        </w:rPr>
        <w:t>2.2.3. Le principe de non-rétroactivité de la loi pénale plus sévère : une conséquence du principe de légalité des peines</w:t>
      </w:r>
    </w:p>
    <w:p w14:paraId="7888182D" w14:textId="77777777" w:rsidR="00DF4DE6" w:rsidRDefault="001B2AC3" w:rsidP="00240AE0">
      <w:pPr>
        <w:spacing w:after="20" w:line="250" w:lineRule="auto"/>
        <w:ind w:left="500"/>
        <w:jc w:val="both"/>
      </w:pPr>
      <w:r>
        <w:rPr>
          <w:color w:val="333333"/>
          <w:sz w:val="18"/>
          <w:szCs w:val="18"/>
        </w:rPr>
        <w:t>2.3. Le principe d’individualisation des peines</w:t>
      </w:r>
    </w:p>
    <w:p w14:paraId="18147BCC" w14:textId="77777777" w:rsidR="00DF4DE6" w:rsidRDefault="001B2AC3" w:rsidP="00240AE0">
      <w:pPr>
        <w:spacing w:after="20" w:line="250" w:lineRule="auto"/>
        <w:ind w:left="500"/>
        <w:jc w:val="both"/>
      </w:pPr>
      <w:r>
        <w:rPr>
          <w:color w:val="333333"/>
          <w:sz w:val="18"/>
          <w:szCs w:val="18"/>
        </w:rPr>
        <w:t>2.4. L’obligation de motivation des peines</w:t>
      </w:r>
    </w:p>
    <w:p w14:paraId="64DE07EA" w14:textId="77777777" w:rsidR="00DF4DE6" w:rsidRDefault="001B2AC3" w:rsidP="00240AE0">
      <w:pPr>
        <w:spacing w:after="20" w:line="250" w:lineRule="auto"/>
        <w:ind w:left="500"/>
        <w:jc w:val="both"/>
      </w:pPr>
      <w:r>
        <w:rPr>
          <w:color w:val="333333"/>
          <w:sz w:val="18"/>
          <w:szCs w:val="18"/>
        </w:rPr>
        <w:t>2.5. Le principe de responsabilité du fait propre de la personne</w:t>
      </w:r>
    </w:p>
    <w:p w14:paraId="34E28ECD" w14:textId="77777777" w:rsidR="00DF4DE6" w:rsidRDefault="001B2AC3" w:rsidP="00240AE0">
      <w:pPr>
        <w:spacing w:after="20" w:line="250" w:lineRule="auto"/>
        <w:ind w:left="240"/>
        <w:jc w:val="both"/>
      </w:pPr>
      <w:r>
        <w:rPr>
          <w:b/>
          <w:bCs/>
          <w:color w:val="1F3864"/>
          <w:sz w:val="19"/>
          <w:szCs w:val="19"/>
        </w:rPr>
        <w:t>3. Le principe d’irresponsabilité pénale en cas d’abolition du discernement</w:t>
      </w:r>
    </w:p>
    <w:p w14:paraId="728D0C70" w14:textId="77777777" w:rsidR="00DF4DE6" w:rsidRDefault="001B2AC3" w:rsidP="00240AE0">
      <w:pPr>
        <w:spacing w:before="200" w:after="70"/>
        <w:jc w:val="both"/>
      </w:pPr>
      <w:r>
        <w:rPr>
          <w:b/>
          <w:bCs/>
          <w:color w:val="2E5A88"/>
          <w:spacing w:val="24"/>
          <w:sz w:val="17"/>
          <w:szCs w:val="17"/>
        </w:rPr>
        <w:t>RÉFÉRENCES CENTRALES</w:t>
      </w:r>
    </w:p>
    <w:p w14:paraId="282306D8" w14:textId="77777777" w:rsidR="00DF4DE6" w:rsidRDefault="001B2AC3" w:rsidP="00240AE0">
      <w:pPr>
        <w:pStyle w:val="Paragraphedeliste"/>
        <w:numPr>
          <w:ilvl w:val="0"/>
          <w:numId w:val="2"/>
        </w:numPr>
        <w:spacing w:after="40" w:line="264" w:lineRule="auto"/>
        <w:jc w:val="both"/>
      </w:pPr>
      <w:r>
        <w:rPr>
          <w:color w:val="333333"/>
          <w:sz w:val="18"/>
          <w:szCs w:val="18"/>
        </w:rPr>
        <w:t>Art. 34 de la Constitution.</w:t>
      </w:r>
    </w:p>
    <w:p w14:paraId="62CA645C" w14:textId="77777777" w:rsidR="00DF4DE6" w:rsidRDefault="001B2AC3" w:rsidP="00240AE0">
      <w:pPr>
        <w:pStyle w:val="Paragraphedeliste"/>
        <w:numPr>
          <w:ilvl w:val="0"/>
          <w:numId w:val="2"/>
        </w:numPr>
        <w:spacing w:after="40" w:line="264" w:lineRule="auto"/>
        <w:jc w:val="both"/>
      </w:pPr>
      <w:r>
        <w:rPr>
          <w:color w:val="333333"/>
          <w:sz w:val="18"/>
          <w:szCs w:val="18"/>
        </w:rPr>
        <w:t>Art. 8, 9, 16 de la Déclaration des droits de l’homme et du citoyen.</w:t>
      </w:r>
    </w:p>
    <w:p w14:paraId="0978F9BD" w14:textId="77777777" w:rsidR="00DF4DE6" w:rsidRDefault="001B2AC3" w:rsidP="00240AE0">
      <w:pPr>
        <w:pStyle w:val="Paragraphedeliste"/>
        <w:numPr>
          <w:ilvl w:val="0"/>
          <w:numId w:val="2"/>
        </w:numPr>
        <w:spacing w:after="40" w:line="264" w:lineRule="auto"/>
        <w:jc w:val="both"/>
      </w:pPr>
      <w:r>
        <w:rPr>
          <w:color w:val="333333"/>
          <w:sz w:val="18"/>
          <w:szCs w:val="18"/>
        </w:rPr>
        <w:t>Art. 14 du Pacte international relatif aux droits civils et politiques.</w:t>
      </w:r>
    </w:p>
    <w:p w14:paraId="011172C0" w14:textId="77777777" w:rsidR="00DF4DE6" w:rsidRDefault="001B2AC3" w:rsidP="00240AE0">
      <w:pPr>
        <w:pStyle w:val="Paragraphedeliste"/>
        <w:numPr>
          <w:ilvl w:val="0"/>
          <w:numId w:val="2"/>
        </w:numPr>
        <w:spacing w:after="40" w:line="264" w:lineRule="auto"/>
        <w:jc w:val="both"/>
      </w:pPr>
      <w:r>
        <w:rPr>
          <w:color w:val="333333"/>
          <w:sz w:val="18"/>
          <w:szCs w:val="18"/>
        </w:rPr>
        <w:t>Art. 6 de la Convention européenne des droits de l’homme.</w:t>
      </w:r>
    </w:p>
    <w:p w14:paraId="156BCDE0" w14:textId="77777777" w:rsidR="00DF4DE6" w:rsidRDefault="001B2AC3" w:rsidP="00240AE0">
      <w:pPr>
        <w:pStyle w:val="Paragraphedeliste"/>
        <w:numPr>
          <w:ilvl w:val="0"/>
          <w:numId w:val="2"/>
        </w:numPr>
        <w:spacing w:after="40" w:line="264" w:lineRule="auto"/>
        <w:jc w:val="both"/>
      </w:pPr>
      <w:r>
        <w:rPr>
          <w:color w:val="333333"/>
          <w:sz w:val="18"/>
          <w:szCs w:val="18"/>
        </w:rPr>
        <w:t>CEDH, 17 septembre 2009, Scoppola c. Italie (no 2), no 10249/03.</w:t>
      </w:r>
    </w:p>
    <w:p w14:paraId="63C5BE99" w14:textId="77777777" w:rsidR="00DF4DE6" w:rsidRDefault="001B2AC3" w:rsidP="00240AE0">
      <w:pPr>
        <w:pStyle w:val="Paragraphedeliste"/>
        <w:numPr>
          <w:ilvl w:val="0"/>
          <w:numId w:val="2"/>
        </w:numPr>
        <w:spacing w:after="40" w:line="264" w:lineRule="auto"/>
        <w:jc w:val="both"/>
      </w:pPr>
      <w:r>
        <w:rPr>
          <w:color w:val="333333"/>
          <w:sz w:val="18"/>
          <w:szCs w:val="18"/>
        </w:rPr>
        <w:t xml:space="preserve">CEDH, 1er juin 2010, </w:t>
      </w:r>
      <w:proofErr w:type="spellStart"/>
      <w:r>
        <w:rPr>
          <w:color w:val="333333"/>
          <w:sz w:val="18"/>
          <w:szCs w:val="18"/>
        </w:rPr>
        <w:t>Gäfgen</w:t>
      </w:r>
      <w:proofErr w:type="spellEnd"/>
      <w:r>
        <w:rPr>
          <w:color w:val="333333"/>
          <w:sz w:val="18"/>
          <w:szCs w:val="18"/>
        </w:rPr>
        <w:t xml:space="preserve"> c. Allemagne, no 22978/05.</w:t>
      </w:r>
    </w:p>
    <w:p w14:paraId="342DF014" w14:textId="77777777" w:rsidR="00DF4DE6" w:rsidRDefault="001B2AC3" w:rsidP="00240AE0">
      <w:pPr>
        <w:pStyle w:val="Paragraphedeliste"/>
        <w:numPr>
          <w:ilvl w:val="0"/>
          <w:numId w:val="2"/>
        </w:numPr>
        <w:spacing w:after="40" w:line="264" w:lineRule="auto"/>
        <w:jc w:val="both"/>
      </w:pPr>
      <w:r>
        <w:rPr>
          <w:color w:val="333333"/>
          <w:sz w:val="18"/>
          <w:szCs w:val="18"/>
        </w:rPr>
        <w:t>Art. préliminaire du Code de procédure pénale.</w:t>
      </w:r>
    </w:p>
    <w:p w14:paraId="615FEE21" w14:textId="77777777" w:rsidR="00DF4DE6" w:rsidRDefault="001B2AC3" w:rsidP="00240AE0">
      <w:pPr>
        <w:pStyle w:val="Paragraphedeliste"/>
        <w:numPr>
          <w:ilvl w:val="0"/>
          <w:numId w:val="2"/>
        </w:numPr>
        <w:spacing w:after="40" w:line="264" w:lineRule="auto"/>
        <w:jc w:val="both"/>
      </w:pPr>
      <w:r>
        <w:rPr>
          <w:color w:val="333333"/>
          <w:sz w:val="18"/>
          <w:szCs w:val="18"/>
        </w:rPr>
        <w:t>Loi no 2011-392 du 14 avril 2011 relative à la garde à vue.</w:t>
      </w:r>
    </w:p>
    <w:p w14:paraId="383F510A" w14:textId="77777777" w:rsidR="00DF4DE6" w:rsidRDefault="001B2AC3" w:rsidP="00240AE0">
      <w:pPr>
        <w:pStyle w:val="Paragraphedeliste"/>
        <w:numPr>
          <w:ilvl w:val="0"/>
          <w:numId w:val="2"/>
        </w:numPr>
        <w:spacing w:after="40" w:line="264" w:lineRule="auto"/>
        <w:jc w:val="both"/>
      </w:pPr>
      <w:r>
        <w:rPr>
          <w:color w:val="333333"/>
          <w:sz w:val="18"/>
          <w:szCs w:val="18"/>
        </w:rPr>
        <w:t>Loi no 2024-364 du 22 avril 2024 portant diverses dispositions d’adaptation au droit de l’Union européenne en matière d’économie, de finances, de transition écologique, de droit pénal, de droit social et en matière agricole.</w:t>
      </w:r>
    </w:p>
    <w:p w14:paraId="7014B96F" w14:textId="77777777" w:rsidR="00DF4DE6" w:rsidRDefault="001B2AC3" w:rsidP="00240AE0">
      <w:pPr>
        <w:pStyle w:val="Paragraphedeliste"/>
        <w:numPr>
          <w:ilvl w:val="0"/>
          <w:numId w:val="2"/>
        </w:numPr>
        <w:spacing w:after="40" w:line="264" w:lineRule="auto"/>
        <w:jc w:val="both"/>
      </w:pPr>
      <w:r>
        <w:rPr>
          <w:color w:val="333333"/>
          <w:sz w:val="18"/>
          <w:szCs w:val="18"/>
        </w:rPr>
        <w:t>Loi no 2025-532 du 13 juin 2025 visant à sortir la France du piège du narcotrafic.</w:t>
      </w:r>
    </w:p>
    <w:p w14:paraId="661AB821" w14:textId="77777777" w:rsidR="00DF4DE6" w:rsidRDefault="00DF4DE6" w:rsidP="00240AE0">
      <w:pPr>
        <w:pBdr>
          <w:top w:val="single" w:sz="6" w:space="0" w:color="C7D2E0"/>
        </w:pBdr>
        <w:spacing w:before="260" w:after="180"/>
        <w:jc w:val="both"/>
      </w:pPr>
    </w:p>
    <w:p w14:paraId="2A16BDE7"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33  ·</w:t>
      </w:r>
      <w:proofErr w:type="gramEnd"/>
      <w:r>
        <w:rPr>
          <w:b/>
          <w:bCs/>
          <w:color w:val="2E5A88"/>
          <w:sz w:val="22"/>
          <w:szCs w:val="22"/>
        </w:rPr>
        <w:t xml:space="preserve">  </w:t>
      </w:r>
      <w:r>
        <w:rPr>
          <w:rFonts w:ascii="Cambria" w:eastAsia="Cambria" w:hAnsi="Cambria" w:cs="Cambria"/>
          <w:b/>
          <w:bCs/>
          <w:color w:val="1F3864"/>
        </w:rPr>
        <w:t>Le droit à la vie privée</w:t>
      </w:r>
    </w:p>
    <w:p w14:paraId="458020AF" w14:textId="77777777" w:rsidR="00DF4DE6" w:rsidRDefault="001B2AC3" w:rsidP="00240AE0">
      <w:pPr>
        <w:spacing w:after="120"/>
        <w:jc w:val="both"/>
      </w:pPr>
      <w:r>
        <w:rPr>
          <w:i/>
          <w:iCs/>
          <w:color w:val="595959"/>
          <w:sz w:val="17"/>
          <w:szCs w:val="17"/>
        </w:rPr>
        <w:t>Fascicule, p. 331</w:t>
      </w:r>
    </w:p>
    <w:p w14:paraId="5F72A447" w14:textId="77777777" w:rsidR="00DF4DE6" w:rsidRDefault="001B2AC3" w:rsidP="00240AE0">
      <w:pPr>
        <w:spacing w:before="200" w:after="70"/>
        <w:jc w:val="both"/>
      </w:pPr>
      <w:r>
        <w:rPr>
          <w:b/>
          <w:bCs/>
          <w:color w:val="2E5A88"/>
          <w:spacing w:val="24"/>
          <w:sz w:val="17"/>
          <w:szCs w:val="17"/>
        </w:rPr>
        <w:t>IDÉE DIRECTRICE</w:t>
      </w:r>
    </w:p>
    <w:p w14:paraId="4C15154E" w14:textId="77777777" w:rsidR="00DF4DE6" w:rsidRDefault="001B2AC3" w:rsidP="00240AE0">
      <w:pPr>
        <w:spacing w:after="60" w:line="276" w:lineRule="auto"/>
        <w:jc w:val="both"/>
      </w:pPr>
      <w:r>
        <w:t>L'article 8, décrit comme une notion « attrape-tout » à lecture souple et large. Trois entrées : l'affirmation du libre choix de la vie privée (identité, intimité et liberté sexuelle, droit au mariage, réputation), le droit aux secrets (correspondances, situation du salarié, opposition aux publications), et les lieux (inviolabilité du domicile et ses régimes dérogatoires, environnement, espace numérique).</w:t>
      </w:r>
    </w:p>
    <w:p w14:paraId="5FDF1F2F" w14:textId="77777777" w:rsidR="00DF4DE6" w:rsidRDefault="001B2AC3" w:rsidP="00240AE0">
      <w:pPr>
        <w:spacing w:before="200" w:after="70"/>
        <w:jc w:val="both"/>
      </w:pPr>
      <w:r>
        <w:rPr>
          <w:b/>
          <w:bCs/>
          <w:color w:val="2E5A88"/>
          <w:spacing w:val="24"/>
          <w:sz w:val="17"/>
          <w:szCs w:val="17"/>
        </w:rPr>
        <w:t>POINTS CLÉS (ENCADRÉ DU FASCICULE)</w:t>
      </w:r>
    </w:p>
    <w:p w14:paraId="0DBC43B7" w14:textId="77777777" w:rsidR="00DF4DE6" w:rsidRDefault="001B2AC3" w:rsidP="00240AE0">
      <w:pPr>
        <w:pStyle w:val="Paragraphedeliste"/>
        <w:numPr>
          <w:ilvl w:val="0"/>
          <w:numId w:val="2"/>
        </w:numPr>
        <w:spacing w:after="40" w:line="264" w:lineRule="auto"/>
        <w:jc w:val="both"/>
      </w:pPr>
      <w:r>
        <w:rPr>
          <w:color w:val="1A1A1A"/>
          <w:sz w:val="19"/>
          <w:szCs w:val="19"/>
        </w:rPr>
        <w:t>Notion « attrape-tout ».</w:t>
      </w:r>
    </w:p>
    <w:p w14:paraId="0A7E7DB4" w14:textId="77777777" w:rsidR="00DF4DE6" w:rsidRDefault="001B2AC3" w:rsidP="00240AE0">
      <w:pPr>
        <w:pStyle w:val="Paragraphedeliste"/>
        <w:numPr>
          <w:ilvl w:val="0"/>
          <w:numId w:val="2"/>
        </w:numPr>
        <w:spacing w:after="40" w:line="264" w:lineRule="auto"/>
        <w:jc w:val="both"/>
      </w:pPr>
      <w:r>
        <w:rPr>
          <w:color w:val="1A1A1A"/>
          <w:sz w:val="19"/>
          <w:szCs w:val="19"/>
        </w:rPr>
        <w:t>Lecture souple et large.</w:t>
      </w:r>
    </w:p>
    <w:p w14:paraId="31A91B0A" w14:textId="77777777" w:rsidR="00DF4DE6" w:rsidRDefault="001B2AC3" w:rsidP="00240AE0">
      <w:pPr>
        <w:pStyle w:val="Paragraphedeliste"/>
        <w:numPr>
          <w:ilvl w:val="0"/>
          <w:numId w:val="2"/>
        </w:numPr>
        <w:spacing w:after="40" w:line="264" w:lineRule="auto"/>
        <w:jc w:val="both"/>
      </w:pPr>
      <w:r>
        <w:rPr>
          <w:color w:val="1A1A1A"/>
          <w:sz w:val="19"/>
          <w:szCs w:val="19"/>
        </w:rPr>
        <w:t>Jurisprudence européenne marquée par l’effectivité et l’évolution constante.</w:t>
      </w:r>
    </w:p>
    <w:p w14:paraId="3F7F0E66" w14:textId="77777777" w:rsidR="00DF4DE6" w:rsidRDefault="001B2AC3" w:rsidP="00240AE0">
      <w:pPr>
        <w:pStyle w:val="Paragraphedeliste"/>
        <w:numPr>
          <w:ilvl w:val="0"/>
          <w:numId w:val="2"/>
        </w:numPr>
        <w:spacing w:after="40" w:line="264" w:lineRule="auto"/>
        <w:jc w:val="both"/>
      </w:pPr>
      <w:r>
        <w:rPr>
          <w:color w:val="1A1A1A"/>
          <w:sz w:val="19"/>
          <w:szCs w:val="19"/>
        </w:rPr>
        <w:t>Une constitutionnalisation tiraillée entre liberté individuelle et personnelle.</w:t>
      </w:r>
    </w:p>
    <w:p w14:paraId="085828A3" w14:textId="77777777" w:rsidR="00DF4DE6" w:rsidRDefault="001B2AC3" w:rsidP="00240AE0">
      <w:pPr>
        <w:pStyle w:val="Paragraphedeliste"/>
        <w:numPr>
          <w:ilvl w:val="0"/>
          <w:numId w:val="2"/>
        </w:numPr>
        <w:spacing w:after="40" w:line="264" w:lineRule="auto"/>
        <w:jc w:val="both"/>
      </w:pPr>
      <w:r>
        <w:rPr>
          <w:color w:val="1A1A1A"/>
          <w:sz w:val="19"/>
          <w:szCs w:val="19"/>
        </w:rPr>
        <w:t>Double portée, intime et sociale, du droit au respect de la vie privée.</w:t>
      </w:r>
    </w:p>
    <w:p w14:paraId="391BB6ED" w14:textId="77777777" w:rsidR="00DF4DE6" w:rsidRDefault="001B2AC3" w:rsidP="00240AE0">
      <w:pPr>
        <w:spacing w:before="200" w:after="70"/>
        <w:jc w:val="both"/>
      </w:pPr>
      <w:r>
        <w:rPr>
          <w:b/>
          <w:bCs/>
          <w:color w:val="2E5A88"/>
          <w:spacing w:val="24"/>
          <w:sz w:val="17"/>
          <w:szCs w:val="17"/>
        </w:rPr>
        <w:t>PLAN DE LA FICHE</w:t>
      </w:r>
    </w:p>
    <w:p w14:paraId="77458766" w14:textId="77777777" w:rsidR="00DF4DE6" w:rsidRDefault="001B2AC3" w:rsidP="00240AE0">
      <w:pPr>
        <w:spacing w:after="20" w:line="250" w:lineRule="auto"/>
        <w:ind w:left="240"/>
        <w:jc w:val="both"/>
      </w:pPr>
      <w:r>
        <w:rPr>
          <w:b/>
          <w:bCs/>
          <w:color w:val="1F3864"/>
          <w:sz w:val="19"/>
          <w:szCs w:val="19"/>
        </w:rPr>
        <w:t>1. L’affirmation générale du libre choix de la vie privée</w:t>
      </w:r>
    </w:p>
    <w:p w14:paraId="41684413" w14:textId="77777777" w:rsidR="00DF4DE6" w:rsidRDefault="001B2AC3" w:rsidP="00240AE0">
      <w:pPr>
        <w:spacing w:after="20" w:line="250" w:lineRule="auto"/>
        <w:ind w:left="500"/>
        <w:jc w:val="both"/>
      </w:pPr>
      <w:r>
        <w:rPr>
          <w:color w:val="333333"/>
          <w:sz w:val="18"/>
          <w:szCs w:val="18"/>
        </w:rPr>
        <w:t>1.1. La dimension personnelle du droit au respect de la vie privée</w:t>
      </w:r>
    </w:p>
    <w:p w14:paraId="580855A8" w14:textId="77777777" w:rsidR="00DF4DE6" w:rsidRDefault="001B2AC3" w:rsidP="00240AE0">
      <w:pPr>
        <w:spacing w:after="20" w:line="250" w:lineRule="auto"/>
        <w:ind w:left="760"/>
        <w:jc w:val="both"/>
      </w:pPr>
      <w:r>
        <w:rPr>
          <w:color w:val="595959"/>
          <w:sz w:val="18"/>
          <w:szCs w:val="18"/>
        </w:rPr>
        <w:lastRenderedPageBreak/>
        <w:t>1.1.1. Respect de l’identité</w:t>
      </w:r>
    </w:p>
    <w:p w14:paraId="52CAF62E" w14:textId="77777777" w:rsidR="00DF4DE6" w:rsidRDefault="001B2AC3" w:rsidP="00240AE0">
      <w:pPr>
        <w:spacing w:after="20" w:line="250" w:lineRule="auto"/>
        <w:ind w:left="760"/>
        <w:jc w:val="both"/>
      </w:pPr>
      <w:r>
        <w:rPr>
          <w:color w:val="595959"/>
          <w:sz w:val="18"/>
          <w:szCs w:val="18"/>
        </w:rPr>
        <w:t>1.1.2. La reconnaissance de l’identité</w:t>
      </w:r>
    </w:p>
    <w:p w14:paraId="4F532EFB" w14:textId="77777777" w:rsidR="00DF4DE6" w:rsidRDefault="001B2AC3" w:rsidP="00240AE0">
      <w:pPr>
        <w:spacing w:after="20" w:line="250" w:lineRule="auto"/>
        <w:ind w:left="760"/>
        <w:jc w:val="both"/>
      </w:pPr>
      <w:r>
        <w:rPr>
          <w:color w:val="595959"/>
          <w:sz w:val="18"/>
          <w:szCs w:val="18"/>
        </w:rPr>
        <w:t>1.1.3. Reconnaissance de l’identité</w:t>
      </w:r>
    </w:p>
    <w:p w14:paraId="453E3F15" w14:textId="77777777" w:rsidR="00DF4DE6" w:rsidRDefault="001B2AC3" w:rsidP="00240AE0">
      <w:pPr>
        <w:spacing w:after="20" w:line="250" w:lineRule="auto"/>
        <w:ind w:left="500"/>
        <w:jc w:val="both"/>
      </w:pPr>
      <w:r>
        <w:rPr>
          <w:color w:val="333333"/>
          <w:sz w:val="18"/>
          <w:szCs w:val="18"/>
        </w:rPr>
        <w:t>1.2. L’intimité et la liberté sexuelle</w:t>
      </w:r>
    </w:p>
    <w:p w14:paraId="0006D1B0" w14:textId="77777777" w:rsidR="00DF4DE6" w:rsidRDefault="001B2AC3" w:rsidP="00240AE0">
      <w:pPr>
        <w:spacing w:after="20" w:line="250" w:lineRule="auto"/>
        <w:ind w:left="760"/>
        <w:jc w:val="both"/>
      </w:pPr>
      <w:r>
        <w:rPr>
          <w:color w:val="595959"/>
          <w:sz w:val="18"/>
          <w:szCs w:val="18"/>
        </w:rPr>
        <w:t>1.2.1. Respect de la vie et de l’orientation sexuelles</w:t>
      </w:r>
    </w:p>
    <w:p w14:paraId="20A7043D" w14:textId="77777777" w:rsidR="00DF4DE6" w:rsidRDefault="001B2AC3" w:rsidP="00240AE0">
      <w:pPr>
        <w:spacing w:after="20" w:line="250" w:lineRule="auto"/>
        <w:ind w:left="760"/>
        <w:jc w:val="both"/>
      </w:pPr>
      <w:r>
        <w:rPr>
          <w:color w:val="595959"/>
          <w:sz w:val="18"/>
          <w:szCs w:val="18"/>
        </w:rPr>
        <w:t>1.2.2. Droit au mariage et égalité</w:t>
      </w:r>
    </w:p>
    <w:p w14:paraId="425A4D96" w14:textId="77777777" w:rsidR="00DF4DE6" w:rsidRDefault="001B2AC3" w:rsidP="00240AE0">
      <w:pPr>
        <w:spacing w:after="20" w:line="250" w:lineRule="auto"/>
        <w:ind w:left="760"/>
        <w:jc w:val="both"/>
      </w:pPr>
      <w:r>
        <w:rPr>
          <w:color w:val="595959"/>
          <w:sz w:val="18"/>
          <w:szCs w:val="18"/>
        </w:rPr>
        <w:t>1.2.3. Le caractère évolutif et effectif du droit des libertés</w:t>
      </w:r>
    </w:p>
    <w:p w14:paraId="1D5F482A" w14:textId="77777777" w:rsidR="00DF4DE6" w:rsidRDefault="001B2AC3" w:rsidP="00240AE0">
      <w:pPr>
        <w:spacing w:after="20" w:line="250" w:lineRule="auto"/>
        <w:ind w:left="500"/>
        <w:jc w:val="both"/>
      </w:pPr>
      <w:r>
        <w:rPr>
          <w:color w:val="333333"/>
          <w:sz w:val="18"/>
          <w:szCs w:val="18"/>
        </w:rPr>
        <w:t>1.3. Droit à la réputation</w:t>
      </w:r>
    </w:p>
    <w:p w14:paraId="6B603079" w14:textId="77777777" w:rsidR="00DF4DE6" w:rsidRDefault="001B2AC3" w:rsidP="00240AE0">
      <w:pPr>
        <w:spacing w:after="20" w:line="250" w:lineRule="auto"/>
        <w:ind w:left="240"/>
        <w:jc w:val="both"/>
      </w:pPr>
      <w:r>
        <w:rPr>
          <w:b/>
          <w:bCs/>
          <w:color w:val="1F3864"/>
          <w:sz w:val="19"/>
          <w:szCs w:val="19"/>
        </w:rPr>
        <w:t>2. Le droit aux secrets</w:t>
      </w:r>
    </w:p>
    <w:p w14:paraId="64307B28" w14:textId="77777777" w:rsidR="00DF4DE6" w:rsidRDefault="001B2AC3" w:rsidP="00240AE0">
      <w:pPr>
        <w:spacing w:after="20" w:line="250" w:lineRule="auto"/>
        <w:ind w:left="500"/>
        <w:jc w:val="both"/>
      </w:pPr>
      <w:r>
        <w:rPr>
          <w:color w:val="333333"/>
          <w:sz w:val="18"/>
          <w:szCs w:val="18"/>
        </w:rPr>
        <w:t>2.1. Le secret des correspondances</w:t>
      </w:r>
    </w:p>
    <w:p w14:paraId="32F18845" w14:textId="77777777" w:rsidR="00DF4DE6" w:rsidRDefault="001B2AC3" w:rsidP="00240AE0">
      <w:pPr>
        <w:spacing w:after="20" w:line="250" w:lineRule="auto"/>
        <w:ind w:left="500"/>
        <w:jc w:val="both"/>
      </w:pPr>
      <w:r>
        <w:rPr>
          <w:color w:val="333333"/>
          <w:sz w:val="18"/>
          <w:szCs w:val="18"/>
        </w:rPr>
        <w:t>2.2. Le salarié</w:t>
      </w:r>
    </w:p>
    <w:p w14:paraId="770597A1" w14:textId="77777777" w:rsidR="00DF4DE6" w:rsidRDefault="001B2AC3" w:rsidP="00240AE0">
      <w:pPr>
        <w:spacing w:after="20" w:line="250" w:lineRule="auto"/>
        <w:ind w:left="500"/>
        <w:jc w:val="both"/>
      </w:pPr>
      <w:r>
        <w:rPr>
          <w:color w:val="333333"/>
          <w:sz w:val="18"/>
          <w:szCs w:val="18"/>
        </w:rPr>
        <w:t>2.3. Le droit de s’opposer aux publications portant atteinte à l’intimité</w:t>
      </w:r>
    </w:p>
    <w:p w14:paraId="2C96F027" w14:textId="77777777" w:rsidR="00DF4DE6" w:rsidRDefault="001B2AC3" w:rsidP="00240AE0">
      <w:pPr>
        <w:spacing w:after="20" w:line="250" w:lineRule="auto"/>
        <w:ind w:left="240"/>
        <w:jc w:val="both"/>
      </w:pPr>
      <w:r>
        <w:rPr>
          <w:b/>
          <w:bCs/>
          <w:color w:val="1F3864"/>
          <w:sz w:val="19"/>
          <w:szCs w:val="19"/>
        </w:rPr>
        <w:t>3. Lieux spécifiques et respect du droit à la vie privée</w:t>
      </w:r>
    </w:p>
    <w:p w14:paraId="3587DAF7" w14:textId="77777777" w:rsidR="00DF4DE6" w:rsidRDefault="001B2AC3" w:rsidP="00240AE0">
      <w:pPr>
        <w:spacing w:after="20" w:line="250" w:lineRule="auto"/>
        <w:ind w:left="500"/>
        <w:jc w:val="both"/>
      </w:pPr>
      <w:r>
        <w:rPr>
          <w:color w:val="333333"/>
          <w:sz w:val="18"/>
          <w:szCs w:val="18"/>
        </w:rPr>
        <w:t>3.1. Le domicile : l’inviolabilité</w:t>
      </w:r>
    </w:p>
    <w:p w14:paraId="37E8048E" w14:textId="77777777" w:rsidR="00DF4DE6" w:rsidRDefault="001B2AC3" w:rsidP="00240AE0">
      <w:pPr>
        <w:spacing w:after="20" w:line="250" w:lineRule="auto"/>
        <w:ind w:left="760"/>
        <w:jc w:val="both"/>
      </w:pPr>
      <w:r>
        <w:rPr>
          <w:color w:val="595959"/>
          <w:sz w:val="18"/>
          <w:szCs w:val="18"/>
        </w:rPr>
        <w:t>3.1.1. L’affirmation constitutionnelle du principe</w:t>
      </w:r>
    </w:p>
    <w:p w14:paraId="5B0398B8" w14:textId="77777777" w:rsidR="00DF4DE6" w:rsidRDefault="001B2AC3" w:rsidP="00240AE0">
      <w:pPr>
        <w:spacing w:after="20" w:line="250" w:lineRule="auto"/>
        <w:ind w:left="760"/>
        <w:jc w:val="both"/>
      </w:pPr>
      <w:r>
        <w:rPr>
          <w:color w:val="595959"/>
          <w:sz w:val="18"/>
          <w:szCs w:val="18"/>
        </w:rPr>
        <w:t>3.1.2. Régimes dérogatoires : perquisitions de nuit, infractions graves, et lieux non résidentiels</w:t>
      </w:r>
    </w:p>
    <w:p w14:paraId="3406C295" w14:textId="77777777" w:rsidR="00DF4DE6" w:rsidRDefault="001B2AC3" w:rsidP="00240AE0">
      <w:pPr>
        <w:spacing w:after="20" w:line="250" w:lineRule="auto"/>
        <w:ind w:left="760"/>
        <w:jc w:val="both"/>
      </w:pPr>
      <w:r>
        <w:rPr>
          <w:color w:val="595959"/>
          <w:sz w:val="18"/>
          <w:szCs w:val="18"/>
        </w:rPr>
        <w:t>3.1.3. Dispositifs spécifiques : professions protégées et technologies intrusives</w:t>
      </w:r>
    </w:p>
    <w:p w14:paraId="02638BA6" w14:textId="77777777" w:rsidR="00DF4DE6" w:rsidRDefault="001B2AC3" w:rsidP="00240AE0">
      <w:pPr>
        <w:spacing w:after="20" w:line="250" w:lineRule="auto"/>
        <w:ind w:left="500"/>
        <w:jc w:val="both"/>
      </w:pPr>
      <w:r>
        <w:rPr>
          <w:color w:val="333333"/>
          <w:sz w:val="18"/>
          <w:szCs w:val="18"/>
        </w:rPr>
        <w:t>3.2. L’environnement : le droit de vivre dans un environnement sain</w:t>
      </w:r>
    </w:p>
    <w:p w14:paraId="3FF117A7" w14:textId="77777777" w:rsidR="00DF4DE6" w:rsidRDefault="001B2AC3" w:rsidP="00240AE0">
      <w:pPr>
        <w:spacing w:after="20" w:line="250" w:lineRule="auto"/>
        <w:ind w:left="500"/>
        <w:jc w:val="both"/>
      </w:pPr>
      <w:r>
        <w:rPr>
          <w:color w:val="333333"/>
          <w:sz w:val="18"/>
          <w:szCs w:val="18"/>
        </w:rPr>
        <w:t>3.3. L’espace numérique : de nouvelles atteintes pour la vie privée</w:t>
      </w:r>
    </w:p>
    <w:p w14:paraId="1F252BED" w14:textId="77777777" w:rsidR="00DF4DE6" w:rsidRDefault="001B2AC3" w:rsidP="00240AE0">
      <w:pPr>
        <w:spacing w:before="200" w:after="70"/>
        <w:jc w:val="both"/>
      </w:pPr>
      <w:r>
        <w:rPr>
          <w:b/>
          <w:bCs/>
          <w:color w:val="2E5A88"/>
          <w:spacing w:val="24"/>
          <w:sz w:val="17"/>
          <w:szCs w:val="17"/>
        </w:rPr>
        <w:t>RÉFÉRENCES CENTRALES</w:t>
      </w:r>
    </w:p>
    <w:p w14:paraId="7012EDCC" w14:textId="77777777" w:rsidR="00DF4DE6" w:rsidRDefault="001B2AC3" w:rsidP="00240AE0">
      <w:pPr>
        <w:pStyle w:val="Paragraphedeliste"/>
        <w:numPr>
          <w:ilvl w:val="0"/>
          <w:numId w:val="2"/>
        </w:numPr>
        <w:spacing w:after="40" w:line="264" w:lineRule="auto"/>
        <w:jc w:val="both"/>
      </w:pPr>
      <w:r>
        <w:rPr>
          <w:color w:val="333333"/>
          <w:sz w:val="18"/>
          <w:szCs w:val="18"/>
        </w:rPr>
        <w:t>Article 17 du Pacte international relatif aux droits civils et politiques.</w:t>
      </w:r>
    </w:p>
    <w:p w14:paraId="2139AEFC" w14:textId="77777777" w:rsidR="00DF4DE6" w:rsidRDefault="001B2AC3" w:rsidP="00240AE0">
      <w:pPr>
        <w:pStyle w:val="Paragraphedeliste"/>
        <w:numPr>
          <w:ilvl w:val="0"/>
          <w:numId w:val="2"/>
        </w:numPr>
        <w:spacing w:after="40" w:line="264" w:lineRule="auto"/>
        <w:jc w:val="both"/>
      </w:pPr>
      <w:r>
        <w:rPr>
          <w:color w:val="333333"/>
          <w:sz w:val="18"/>
          <w:szCs w:val="18"/>
        </w:rPr>
        <w:t>Article 8 de la Convention européenne des droits de l’homme.</w:t>
      </w:r>
    </w:p>
    <w:p w14:paraId="3CFAC766" w14:textId="77777777" w:rsidR="00DF4DE6" w:rsidRDefault="001B2AC3" w:rsidP="00240AE0">
      <w:pPr>
        <w:pStyle w:val="Paragraphedeliste"/>
        <w:numPr>
          <w:ilvl w:val="0"/>
          <w:numId w:val="2"/>
        </w:numPr>
        <w:spacing w:after="40" w:line="264" w:lineRule="auto"/>
        <w:jc w:val="both"/>
      </w:pPr>
      <w:r>
        <w:rPr>
          <w:color w:val="333333"/>
          <w:sz w:val="18"/>
          <w:szCs w:val="18"/>
        </w:rPr>
        <w:t>Article 7 de la Charte des droits fondamentaux.</w:t>
      </w:r>
    </w:p>
    <w:p w14:paraId="7BC06353" w14:textId="77777777" w:rsidR="00DF4DE6" w:rsidRDefault="001B2AC3" w:rsidP="00240AE0">
      <w:pPr>
        <w:pStyle w:val="Paragraphedeliste"/>
        <w:numPr>
          <w:ilvl w:val="0"/>
          <w:numId w:val="2"/>
        </w:numPr>
        <w:spacing w:after="40" w:line="264" w:lineRule="auto"/>
        <w:jc w:val="both"/>
      </w:pPr>
      <w:r>
        <w:rPr>
          <w:color w:val="333333"/>
          <w:sz w:val="18"/>
          <w:szCs w:val="18"/>
        </w:rPr>
        <w:t>CEDH, 22 octobre 1981, Dudgeon c. Royaume-Uni, no 7525/76.</w:t>
      </w:r>
    </w:p>
    <w:p w14:paraId="1EAF6E1A" w14:textId="77777777" w:rsidR="00DF4DE6" w:rsidRDefault="001B2AC3" w:rsidP="00240AE0">
      <w:pPr>
        <w:pStyle w:val="Paragraphedeliste"/>
        <w:numPr>
          <w:ilvl w:val="0"/>
          <w:numId w:val="2"/>
        </w:numPr>
        <w:spacing w:after="40" w:line="264" w:lineRule="auto"/>
        <w:jc w:val="both"/>
      </w:pPr>
      <w:r>
        <w:rPr>
          <w:color w:val="333333"/>
          <w:sz w:val="18"/>
          <w:szCs w:val="18"/>
        </w:rPr>
        <w:t>CEDH, 29 avril 2002, Pretty c. Royaume-Uni, no 2346/02.</w:t>
      </w:r>
    </w:p>
    <w:p w14:paraId="4B1F942A" w14:textId="77777777" w:rsidR="00DF4DE6" w:rsidRDefault="001B2AC3" w:rsidP="00240AE0">
      <w:pPr>
        <w:pStyle w:val="Paragraphedeliste"/>
        <w:numPr>
          <w:ilvl w:val="0"/>
          <w:numId w:val="2"/>
        </w:numPr>
        <w:spacing w:after="40" w:line="264" w:lineRule="auto"/>
        <w:jc w:val="both"/>
      </w:pPr>
      <w:r>
        <w:rPr>
          <w:color w:val="333333"/>
          <w:sz w:val="18"/>
          <w:szCs w:val="18"/>
        </w:rPr>
        <w:t xml:space="preserve">CEDH, 13 février 2003, </w:t>
      </w:r>
      <w:proofErr w:type="spellStart"/>
      <w:r>
        <w:rPr>
          <w:color w:val="333333"/>
          <w:sz w:val="18"/>
          <w:szCs w:val="18"/>
        </w:rPr>
        <w:t>Odievre</w:t>
      </w:r>
      <w:proofErr w:type="spellEnd"/>
      <w:r>
        <w:rPr>
          <w:color w:val="333333"/>
          <w:sz w:val="18"/>
          <w:szCs w:val="18"/>
        </w:rPr>
        <w:t xml:space="preserve"> c. France, no 42326/98.</w:t>
      </w:r>
    </w:p>
    <w:p w14:paraId="1583FC5B" w14:textId="77777777" w:rsidR="00DF4DE6" w:rsidRDefault="001B2AC3" w:rsidP="00240AE0">
      <w:pPr>
        <w:pStyle w:val="Paragraphedeliste"/>
        <w:numPr>
          <w:ilvl w:val="0"/>
          <w:numId w:val="2"/>
        </w:numPr>
        <w:spacing w:after="40" w:line="264" w:lineRule="auto"/>
        <w:jc w:val="both"/>
      </w:pPr>
      <w:r>
        <w:rPr>
          <w:color w:val="333333"/>
          <w:sz w:val="18"/>
          <w:szCs w:val="18"/>
        </w:rPr>
        <w:t>CEDH, 16 décembre 1992, Niemietz c. Allemagne, no 13710/88.</w:t>
      </w:r>
    </w:p>
    <w:p w14:paraId="0374F485" w14:textId="77777777" w:rsidR="00DF4DE6" w:rsidRDefault="001B2AC3" w:rsidP="00240AE0">
      <w:pPr>
        <w:pStyle w:val="Paragraphedeliste"/>
        <w:numPr>
          <w:ilvl w:val="0"/>
          <w:numId w:val="2"/>
        </w:numPr>
        <w:spacing w:after="40" w:line="264" w:lineRule="auto"/>
        <w:jc w:val="both"/>
      </w:pPr>
      <w:r>
        <w:rPr>
          <w:color w:val="333333"/>
          <w:sz w:val="18"/>
          <w:szCs w:val="18"/>
        </w:rPr>
        <w:t>CEDH, 19 janvier 2021, X te Y c. Roumanie, no 2145/16.</w:t>
      </w:r>
    </w:p>
    <w:p w14:paraId="38D55467" w14:textId="77777777" w:rsidR="00DF4DE6" w:rsidRDefault="001B2AC3" w:rsidP="00240AE0">
      <w:pPr>
        <w:pStyle w:val="Paragraphedeliste"/>
        <w:numPr>
          <w:ilvl w:val="0"/>
          <w:numId w:val="2"/>
        </w:numPr>
        <w:spacing w:after="40" w:line="264" w:lineRule="auto"/>
        <w:jc w:val="both"/>
      </w:pPr>
      <w:r>
        <w:rPr>
          <w:color w:val="333333"/>
          <w:sz w:val="18"/>
          <w:szCs w:val="18"/>
        </w:rPr>
        <w:t xml:space="preserve">CEDH, </w:t>
      </w:r>
      <w:proofErr w:type="spellStart"/>
      <w:r>
        <w:rPr>
          <w:color w:val="333333"/>
          <w:sz w:val="18"/>
          <w:szCs w:val="18"/>
        </w:rPr>
        <w:t>Kyrtatos</w:t>
      </w:r>
      <w:proofErr w:type="spellEnd"/>
      <w:r>
        <w:rPr>
          <w:color w:val="333333"/>
          <w:sz w:val="18"/>
          <w:szCs w:val="18"/>
        </w:rPr>
        <w:t xml:space="preserve"> c. Grèce, 22 mai 2003, no 41666/98.</w:t>
      </w:r>
    </w:p>
    <w:p w14:paraId="6B13D532"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décision no 2004-492 DC du 2 mars 2004.</w:t>
      </w:r>
    </w:p>
    <w:p w14:paraId="72E6E0F0" w14:textId="77777777" w:rsidR="00DF4DE6" w:rsidRDefault="00DF4DE6" w:rsidP="00240AE0">
      <w:pPr>
        <w:pBdr>
          <w:top w:val="single" w:sz="6" w:space="0" w:color="C7D2E0"/>
        </w:pBdr>
        <w:spacing w:before="260" w:after="180"/>
        <w:jc w:val="both"/>
      </w:pPr>
    </w:p>
    <w:p w14:paraId="1E50481B"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34  ·</w:t>
      </w:r>
      <w:proofErr w:type="gramEnd"/>
      <w:r>
        <w:rPr>
          <w:b/>
          <w:bCs/>
          <w:color w:val="2E5A88"/>
          <w:sz w:val="22"/>
          <w:szCs w:val="22"/>
        </w:rPr>
        <w:t xml:space="preserve">  </w:t>
      </w:r>
      <w:r>
        <w:rPr>
          <w:rFonts w:ascii="Cambria" w:eastAsia="Cambria" w:hAnsi="Cambria" w:cs="Cambria"/>
          <w:b/>
          <w:bCs/>
          <w:color w:val="1F3864"/>
        </w:rPr>
        <w:t>Le droit à la vie familiale</w:t>
      </w:r>
    </w:p>
    <w:p w14:paraId="08EB0376" w14:textId="77777777" w:rsidR="00DF4DE6" w:rsidRDefault="001B2AC3" w:rsidP="00240AE0">
      <w:pPr>
        <w:spacing w:after="120"/>
        <w:jc w:val="both"/>
      </w:pPr>
      <w:r>
        <w:rPr>
          <w:i/>
          <w:iCs/>
          <w:color w:val="595959"/>
          <w:sz w:val="17"/>
          <w:szCs w:val="17"/>
        </w:rPr>
        <w:t>Fascicule, p. 343</w:t>
      </w:r>
    </w:p>
    <w:p w14:paraId="3AF07C91" w14:textId="77777777" w:rsidR="00DF4DE6" w:rsidRDefault="001B2AC3" w:rsidP="00240AE0">
      <w:pPr>
        <w:spacing w:before="200" w:after="70"/>
        <w:jc w:val="both"/>
      </w:pPr>
      <w:r>
        <w:rPr>
          <w:b/>
          <w:bCs/>
          <w:color w:val="2E5A88"/>
          <w:spacing w:val="24"/>
          <w:sz w:val="17"/>
          <w:szCs w:val="17"/>
        </w:rPr>
        <w:t>IDÉE DIRECTRICE</w:t>
      </w:r>
    </w:p>
    <w:p w14:paraId="36E79115" w14:textId="77777777" w:rsidR="00DF4DE6" w:rsidRDefault="001B2AC3" w:rsidP="00240AE0">
      <w:pPr>
        <w:spacing w:after="60" w:line="276" w:lineRule="auto"/>
        <w:jc w:val="both"/>
      </w:pPr>
      <w:r>
        <w:t>Le prolongement familial de l'article 8. La notion de vie familiale fait l'objet d'une définition autonome par la Cour : elle peut naître de la parenté, de l'alliance ou de relations de fait. Point d'examen classique : la Convention protège la vie de famille préexistante, pas le droit d'en créer une. La fiche déroule ensuite mariage et dissolution, établissement du lien (filiation, adoption, GPA, PMA), maintien du lien, égalité entre enfants.</w:t>
      </w:r>
    </w:p>
    <w:p w14:paraId="6CB59444" w14:textId="77777777" w:rsidR="00DF4DE6" w:rsidRDefault="001B2AC3" w:rsidP="00240AE0">
      <w:pPr>
        <w:spacing w:before="200" w:after="70"/>
        <w:jc w:val="both"/>
      </w:pPr>
      <w:r>
        <w:rPr>
          <w:b/>
          <w:bCs/>
          <w:color w:val="2E5A88"/>
          <w:spacing w:val="24"/>
          <w:sz w:val="17"/>
          <w:szCs w:val="17"/>
        </w:rPr>
        <w:t>POINTS CLÉS (ENCADRÉ DU FASCICULE)</w:t>
      </w:r>
    </w:p>
    <w:p w14:paraId="0D05D30B" w14:textId="77777777" w:rsidR="00DF4DE6" w:rsidRDefault="001B2AC3" w:rsidP="00240AE0">
      <w:pPr>
        <w:pStyle w:val="Paragraphedeliste"/>
        <w:numPr>
          <w:ilvl w:val="0"/>
          <w:numId w:val="2"/>
        </w:numPr>
        <w:spacing w:after="40" w:line="264" w:lineRule="auto"/>
        <w:jc w:val="both"/>
      </w:pPr>
      <w:r>
        <w:rPr>
          <w:color w:val="1A1A1A"/>
          <w:sz w:val="19"/>
          <w:szCs w:val="19"/>
        </w:rPr>
        <w:t>La notion de vie familiale fait l’objet d’une définition autonome par la Cour européenne des droits de l’homme.</w:t>
      </w:r>
    </w:p>
    <w:p w14:paraId="337DF47C" w14:textId="77777777" w:rsidR="00DF4DE6" w:rsidRDefault="001B2AC3" w:rsidP="00240AE0">
      <w:pPr>
        <w:pStyle w:val="Paragraphedeliste"/>
        <w:numPr>
          <w:ilvl w:val="0"/>
          <w:numId w:val="2"/>
        </w:numPr>
        <w:spacing w:after="40" w:line="264" w:lineRule="auto"/>
        <w:jc w:val="both"/>
      </w:pPr>
      <w:r>
        <w:rPr>
          <w:color w:val="1A1A1A"/>
          <w:sz w:val="19"/>
          <w:szCs w:val="19"/>
        </w:rPr>
        <w:t>La vie de famille peut être établie par des liens de parenté ou d’alliance, mais aussi par des relations de facto.</w:t>
      </w:r>
    </w:p>
    <w:p w14:paraId="02190853" w14:textId="77777777" w:rsidR="00DF4DE6" w:rsidRDefault="001B2AC3" w:rsidP="00240AE0">
      <w:pPr>
        <w:pStyle w:val="Paragraphedeliste"/>
        <w:numPr>
          <w:ilvl w:val="0"/>
          <w:numId w:val="2"/>
        </w:numPr>
        <w:spacing w:after="40" w:line="264" w:lineRule="auto"/>
        <w:jc w:val="both"/>
      </w:pPr>
      <w:r>
        <w:rPr>
          <w:color w:val="1A1A1A"/>
          <w:sz w:val="19"/>
          <w:szCs w:val="19"/>
        </w:rPr>
        <w:t>La Convention EDH ne protège que la vie de famille préexistante et non le droit d’en créer une.</w:t>
      </w:r>
    </w:p>
    <w:p w14:paraId="15611260" w14:textId="77777777" w:rsidR="00DF4DE6" w:rsidRDefault="001B2AC3" w:rsidP="00240AE0">
      <w:pPr>
        <w:spacing w:before="200" w:after="70"/>
        <w:jc w:val="both"/>
      </w:pPr>
      <w:r>
        <w:rPr>
          <w:b/>
          <w:bCs/>
          <w:color w:val="2E5A88"/>
          <w:spacing w:val="24"/>
          <w:sz w:val="17"/>
          <w:szCs w:val="17"/>
        </w:rPr>
        <w:t>PLAN DE LA FICHE</w:t>
      </w:r>
    </w:p>
    <w:p w14:paraId="480AA586" w14:textId="77777777" w:rsidR="00DF4DE6" w:rsidRDefault="001B2AC3" w:rsidP="00240AE0">
      <w:pPr>
        <w:spacing w:after="20" w:line="250" w:lineRule="auto"/>
        <w:ind w:left="240"/>
        <w:jc w:val="both"/>
      </w:pPr>
      <w:r>
        <w:rPr>
          <w:b/>
          <w:bCs/>
          <w:color w:val="1F3864"/>
          <w:sz w:val="19"/>
          <w:szCs w:val="19"/>
        </w:rPr>
        <w:t>1. Les contours de la vie familiale</w:t>
      </w:r>
    </w:p>
    <w:p w14:paraId="5B7CDC72" w14:textId="77777777" w:rsidR="00DF4DE6" w:rsidRDefault="001B2AC3" w:rsidP="00240AE0">
      <w:pPr>
        <w:spacing w:after="20" w:line="250" w:lineRule="auto"/>
        <w:ind w:left="240"/>
        <w:jc w:val="both"/>
      </w:pPr>
      <w:r>
        <w:rPr>
          <w:b/>
          <w:bCs/>
          <w:color w:val="1F3864"/>
          <w:sz w:val="19"/>
          <w:szCs w:val="19"/>
        </w:rPr>
        <w:t>2. Le droit au mariage</w:t>
      </w:r>
    </w:p>
    <w:p w14:paraId="6021E84A" w14:textId="77777777" w:rsidR="00DF4DE6" w:rsidRDefault="001B2AC3" w:rsidP="00240AE0">
      <w:pPr>
        <w:spacing w:after="20" w:line="250" w:lineRule="auto"/>
        <w:ind w:left="500"/>
        <w:jc w:val="both"/>
      </w:pPr>
      <w:r>
        <w:rPr>
          <w:color w:val="333333"/>
          <w:sz w:val="18"/>
          <w:szCs w:val="18"/>
        </w:rPr>
        <w:t>2.1. La liberté de se marier</w:t>
      </w:r>
    </w:p>
    <w:p w14:paraId="0FD947C9" w14:textId="77777777" w:rsidR="00DF4DE6" w:rsidRDefault="001B2AC3" w:rsidP="00240AE0">
      <w:pPr>
        <w:spacing w:after="20" w:line="250" w:lineRule="auto"/>
        <w:ind w:left="500"/>
        <w:jc w:val="both"/>
      </w:pPr>
      <w:r>
        <w:rPr>
          <w:color w:val="333333"/>
          <w:sz w:val="18"/>
          <w:szCs w:val="18"/>
        </w:rPr>
        <w:t>2.2. La dissolution du mariage</w:t>
      </w:r>
    </w:p>
    <w:p w14:paraId="1DA3A8E3" w14:textId="77777777" w:rsidR="00DF4DE6" w:rsidRDefault="001B2AC3" w:rsidP="00240AE0">
      <w:pPr>
        <w:spacing w:after="20" w:line="250" w:lineRule="auto"/>
        <w:ind w:left="240"/>
        <w:jc w:val="both"/>
      </w:pPr>
      <w:r>
        <w:rPr>
          <w:b/>
          <w:bCs/>
          <w:color w:val="1F3864"/>
          <w:sz w:val="19"/>
          <w:szCs w:val="19"/>
        </w:rPr>
        <w:t>3. Le droit au respect de la vie familiale</w:t>
      </w:r>
    </w:p>
    <w:p w14:paraId="2A92CF27" w14:textId="77777777" w:rsidR="00DF4DE6" w:rsidRDefault="001B2AC3" w:rsidP="00240AE0">
      <w:pPr>
        <w:spacing w:after="20" w:line="250" w:lineRule="auto"/>
        <w:ind w:left="240"/>
        <w:jc w:val="both"/>
      </w:pPr>
      <w:r>
        <w:rPr>
          <w:b/>
          <w:bCs/>
          <w:color w:val="1F3864"/>
          <w:sz w:val="19"/>
          <w:szCs w:val="19"/>
        </w:rPr>
        <w:lastRenderedPageBreak/>
        <w:t>4. L’établissement du lien de parenté</w:t>
      </w:r>
    </w:p>
    <w:p w14:paraId="5D21D7F8" w14:textId="77777777" w:rsidR="00DF4DE6" w:rsidRDefault="001B2AC3" w:rsidP="00240AE0">
      <w:pPr>
        <w:spacing w:after="20" w:line="250" w:lineRule="auto"/>
        <w:ind w:left="500"/>
        <w:jc w:val="both"/>
      </w:pPr>
      <w:r>
        <w:rPr>
          <w:color w:val="333333"/>
          <w:sz w:val="18"/>
          <w:szCs w:val="18"/>
        </w:rPr>
        <w:t>4.1. L’établissement par la filiation</w:t>
      </w:r>
    </w:p>
    <w:p w14:paraId="766725E6" w14:textId="77777777" w:rsidR="00DF4DE6" w:rsidRDefault="001B2AC3" w:rsidP="00240AE0">
      <w:pPr>
        <w:spacing w:after="20" w:line="250" w:lineRule="auto"/>
        <w:ind w:left="500"/>
        <w:jc w:val="both"/>
      </w:pPr>
      <w:r>
        <w:rPr>
          <w:color w:val="333333"/>
          <w:sz w:val="18"/>
          <w:szCs w:val="18"/>
        </w:rPr>
        <w:t>4.2. L’établissement par l’adoption</w:t>
      </w:r>
    </w:p>
    <w:p w14:paraId="6E25DC77" w14:textId="77777777" w:rsidR="00DF4DE6" w:rsidRDefault="001B2AC3" w:rsidP="00240AE0">
      <w:pPr>
        <w:spacing w:after="20" w:line="250" w:lineRule="auto"/>
        <w:ind w:left="500"/>
        <w:jc w:val="both"/>
      </w:pPr>
      <w:r>
        <w:rPr>
          <w:color w:val="333333"/>
          <w:sz w:val="18"/>
          <w:szCs w:val="18"/>
        </w:rPr>
        <w:t>4.3. La gestation pour autrui</w:t>
      </w:r>
    </w:p>
    <w:p w14:paraId="3D87C16F" w14:textId="77777777" w:rsidR="00DF4DE6" w:rsidRDefault="001B2AC3" w:rsidP="00240AE0">
      <w:pPr>
        <w:spacing w:after="20" w:line="250" w:lineRule="auto"/>
        <w:ind w:left="500"/>
        <w:jc w:val="both"/>
      </w:pPr>
      <w:r>
        <w:rPr>
          <w:color w:val="333333"/>
          <w:sz w:val="18"/>
          <w:szCs w:val="18"/>
        </w:rPr>
        <w:t>4.4. La procréation médicalement assistée</w:t>
      </w:r>
    </w:p>
    <w:p w14:paraId="1C149113" w14:textId="77777777" w:rsidR="00DF4DE6" w:rsidRDefault="001B2AC3" w:rsidP="00240AE0">
      <w:pPr>
        <w:spacing w:after="20" w:line="250" w:lineRule="auto"/>
        <w:ind w:left="240"/>
        <w:jc w:val="both"/>
      </w:pPr>
      <w:r>
        <w:rPr>
          <w:b/>
          <w:bCs/>
          <w:color w:val="1F3864"/>
          <w:sz w:val="19"/>
          <w:szCs w:val="19"/>
        </w:rPr>
        <w:t>5. Le maintien du lien familial</w:t>
      </w:r>
    </w:p>
    <w:p w14:paraId="5C0E3FE5" w14:textId="77777777" w:rsidR="00DF4DE6" w:rsidRDefault="001B2AC3" w:rsidP="00240AE0">
      <w:pPr>
        <w:spacing w:after="20" w:line="250" w:lineRule="auto"/>
        <w:ind w:left="240"/>
        <w:jc w:val="both"/>
      </w:pPr>
      <w:r>
        <w:rPr>
          <w:b/>
          <w:bCs/>
          <w:color w:val="1F3864"/>
          <w:sz w:val="19"/>
          <w:szCs w:val="19"/>
        </w:rPr>
        <w:t>6. L’égalité entre enfants</w:t>
      </w:r>
    </w:p>
    <w:p w14:paraId="29B624A9" w14:textId="77777777" w:rsidR="00DF4DE6" w:rsidRDefault="001B2AC3" w:rsidP="00240AE0">
      <w:pPr>
        <w:spacing w:before="200" w:after="70"/>
        <w:jc w:val="both"/>
      </w:pPr>
      <w:r>
        <w:rPr>
          <w:b/>
          <w:bCs/>
          <w:color w:val="2E5A88"/>
          <w:spacing w:val="24"/>
          <w:sz w:val="17"/>
          <w:szCs w:val="17"/>
        </w:rPr>
        <w:t>RÉFÉRENCES CENTRALES</w:t>
      </w:r>
    </w:p>
    <w:p w14:paraId="4BA93385" w14:textId="77777777" w:rsidR="00DF4DE6" w:rsidRDefault="001B2AC3" w:rsidP="00240AE0">
      <w:pPr>
        <w:pStyle w:val="Paragraphedeliste"/>
        <w:numPr>
          <w:ilvl w:val="0"/>
          <w:numId w:val="2"/>
        </w:numPr>
        <w:spacing w:after="40" w:line="264" w:lineRule="auto"/>
        <w:jc w:val="both"/>
      </w:pPr>
      <w:r>
        <w:rPr>
          <w:color w:val="333333"/>
          <w:sz w:val="18"/>
          <w:szCs w:val="18"/>
        </w:rPr>
        <w:t>CEDH, 13 juin 1979, Marckx c. Belgique, no 6833/74.</w:t>
      </w:r>
    </w:p>
    <w:p w14:paraId="352A6423"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93-325 DC, 13 août 1993, Loi relative à la maîtrise de l'immigration et aux conditions d'entrée, d'accueil et de séjour des étrangers en France.</w:t>
      </w:r>
    </w:p>
    <w:p w14:paraId="36505EFE" w14:textId="77777777" w:rsidR="00DF4DE6" w:rsidRDefault="001B2AC3" w:rsidP="00240AE0">
      <w:pPr>
        <w:pStyle w:val="Paragraphedeliste"/>
        <w:numPr>
          <w:ilvl w:val="0"/>
          <w:numId w:val="2"/>
        </w:numPr>
        <w:spacing w:after="40" w:line="264" w:lineRule="auto"/>
        <w:jc w:val="both"/>
      </w:pPr>
      <w:r>
        <w:rPr>
          <w:color w:val="333333"/>
          <w:sz w:val="18"/>
          <w:szCs w:val="18"/>
        </w:rPr>
        <w:t>Cass. civ. 1re, 4 décembre 2013, no 12-26.066.</w:t>
      </w:r>
    </w:p>
    <w:p w14:paraId="44590CAA" w14:textId="77777777" w:rsidR="00DF4DE6" w:rsidRDefault="001B2AC3" w:rsidP="00240AE0">
      <w:pPr>
        <w:pStyle w:val="Paragraphedeliste"/>
        <w:numPr>
          <w:ilvl w:val="0"/>
          <w:numId w:val="2"/>
        </w:numPr>
        <w:spacing w:after="40" w:line="264" w:lineRule="auto"/>
        <w:jc w:val="both"/>
      </w:pPr>
      <w:r>
        <w:rPr>
          <w:color w:val="333333"/>
          <w:sz w:val="18"/>
          <w:szCs w:val="18"/>
        </w:rPr>
        <w:t xml:space="preserve">CEDH, 10 septembre 2019, Strand </w:t>
      </w:r>
      <w:proofErr w:type="spellStart"/>
      <w:r>
        <w:rPr>
          <w:color w:val="333333"/>
          <w:sz w:val="18"/>
          <w:szCs w:val="18"/>
        </w:rPr>
        <w:t>Lobben</w:t>
      </w:r>
      <w:proofErr w:type="spellEnd"/>
      <w:r>
        <w:rPr>
          <w:color w:val="333333"/>
          <w:sz w:val="18"/>
          <w:szCs w:val="18"/>
        </w:rPr>
        <w:t xml:space="preserve"> et a. c. Norvège, no 37283/13.</w:t>
      </w:r>
    </w:p>
    <w:p w14:paraId="2747C028" w14:textId="77777777" w:rsidR="00DF4DE6" w:rsidRDefault="00DF4DE6" w:rsidP="00240AE0">
      <w:pPr>
        <w:pBdr>
          <w:top w:val="single" w:sz="6" w:space="0" w:color="C7D2E0"/>
        </w:pBdr>
        <w:spacing w:before="260" w:after="180"/>
        <w:jc w:val="both"/>
      </w:pPr>
    </w:p>
    <w:p w14:paraId="06A395AD"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35  ·</w:t>
      </w:r>
      <w:proofErr w:type="gramEnd"/>
      <w:r>
        <w:rPr>
          <w:b/>
          <w:bCs/>
          <w:color w:val="2E5A88"/>
          <w:sz w:val="22"/>
          <w:szCs w:val="22"/>
        </w:rPr>
        <w:t xml:space="preserve">  </w:t>
      </w:r>
      <w:r>
        <w:rPr>
          <w:rFonts w:ascii="Cambria" w:eastAsia="Cambria" w:hAnsi="Cambria" w:cs="Cambria"/>
          <w:b/>
          <w:bCs/>
          <w:color w:val="1F3864"/>
        </w:rPr>
        <w:t>Le droit à la protection des données à caractère personnel</w:t>
      </w:r>
    </w:p>
    <w:p w14:paraId="4CB1CAD7" w14:textId="77777777" w:rsidR="00DF4DE6" w:rsidRDefault="001B2AC3" w:rsidP="00240AE0">
      <w:pPr>
        <w:spacing w:after="120"/>
        <w:jc w:val="both"/>
      </w:pPr>
      <w:r>
        <w:rPr>
          <w:i/>
          <w:iCs/>
          <w:color w:val="595959"/>
          <w:sz w:val="17"/>
          <w:szCs w:val="17"/>
        </w:rPr>
        <w:t>Fascicule, p. 355</w:t>
      </w:r>
    </w:p>
    <w:p w14:paraId="5BBF6E66" w14:textId="77777777" w:rsidR="00DF4DE6" w:rsidRDefault="001B2AC3" w:rsidP="00240AE0">
      <w:pPr>
        <w:spacing w:before="200" w:after="70"/>
        <w:jc w:val="both"/>
      </w:pPr>
      <w:r>
        <w:rPr>
          <w:b/>
          <w:bCs/>
          <w:color w:val="2E5A88"/>
          <w:spacing w:val="24"/>
          <w:sz w:val="17"/>
          <w:szCs w:val="17"/>
        </w:rPr>
        <w:t>IDÉE DIRECTRICE</w:t>
      </w:r>
    </w:p>
    <w:p w14:paraId="59FB2628" w14:textId="77777777" w:rsidR="00DF4DE6" w:rsidRDefault="001B2AC3" w:rsidP="00240AE0">
      <w:pPr>
        <w:spacing w:after="60" w:line="276" w:lineRule="auto"/>
        <w:jc w:val="both"/>
      </w:pPr>
      <w:r>
        <w:t>Le droit le plus technique et le plus actuel du catalogue. Un régime en évolution constante : origines, notions (données personnelles et données sensibles, traitement, fichier, responsable du traitement), principes (licéité, loyauté, transparence, consentement, minimisation). Puis les garanties : CNIL, Conseil constitutionnel, CJUE, Cour européenne. Enfin l'ère du Big Data et de l'IA : règlement sur l'IA, reconnaissance faciale et systèmes prédictifs.</w:t>
      </w:r>
    </w:p>
    <w:p w14:paraId="12F3A3FA" w14:textId="77777777" w:rsidR="00DF4DE6" w:rsidRDefault="001B2AC3" w:rsidP="00240AE0">
      <w:pPr>
        <w:spacing w:before="200" w:after="70"/>
        <w:jc w:val="both"/>
      </w:pPr>
      <w:r>
        <w:rPr>
          <w:b/>
          <w:bCs/>
          <w:color w:val="2E5A88"/>
          <w:spacing w:val="24"/>
          <w:sz w:val="17"/>
          <w:szCs w:val="17"/>
        </w:rPr>
        <w:t>POINTS CLÉS (ENCADRÉ DU FASCICULE)</w:t>
      </w:r>
    </w:p>
    <w:p w14:paraId="27E66053" w14:textId="77777777" w:rsidR="00DF4DE6" w:rsidRDefault="001B2AC3" w:rsidP="00240AE0">
      <w:pPr>
        <w:pStyle w:val="Paragraphedeliste"/>
        <w:numPr>
          <w:ilvl w:val="0"/>
          <w:numId w:val="2"/>
        </w:numPr>
        <w:spacing w:after="40" w:line="264" w:lineRule="auto"/>
        <w:jc w:val="both"/>
      </w:pPr>
      <w:r>
        <w:rPr>
          <w:color w:val="1A1A1A"/>
          <w:sz w:val="19"/>
          <w:szCs w:val="19"/>
        </w:rPr>
        <w:t>Personnes physiques identifiables.</w:t>
      </w:r>
    </w:p>
    <w:p w14:paraId="4C0A13F6" w14:textId="77777777" w:rsidR="00DF4DE6" w:rsidRDefault="001B2AC3" w:rsidP="00240AE0">
      <w:pPr>
        <w:pStyle w:val="Paragraphedeliste"/>
        <w:numPr>
          <w:ilvl w:val="0"/>
          <w:numId w:val="2"/>
        </w:numPr>
        <w:spacing w:after="40" w:line="264" w:lineRule="auto"/>
        <w:jc w:val="both"/>
      </w:pPr>
      <w:r>
        <w:rPr>
          <w:color w:val="1A1A1A"/>
          <w:sz w:val="19"/>
          <w:szCs w:val="19"/>
        </w:rPr>
        <w:t>Consentement libre et éclairé.</w:t>
      </w:r>
    </w:p>
    <w:p w14:paraId="39ACACF8" w14:textId="77777777" w:rsidR="00DF4DE6" w:rsidRDefault="001B2AC3" w:rsidP="00240AE0">
      <w:pPr>
        <w:pStyle w:val="Paragraphedeliste"/>
        <w:numPr>
          <w:ilvl w:val="0"/>
          <w:numId w:val="2"/>
        </w:numPr>
        <w:spacing w:after="40" w:line="264" w:lineRule="auto"/>
        <w:jc w:val="both"/>
      </w:pPr>
      <w:r>
        <w:rPr>
          <w:color w:val="1A1A1A"/>
          <w:sz w:val="19"/>
          <w:szCs w:val="19"/>
        </w:rPr>
        <w:t>Principe de minimisation des données.</w:t>
      </w:r>
    </w:p>
    <w:p w14:paraId="30746F73" w14:textId="77777777" w:rsidR="00DF4DE6" w:rsidRDefault="001B2AC3" w:rsidP="00240AE0">
      <w:pPr>
        <w:pStyle w:val="Paragraphedeliste"/>
        <w:numPr>
          <w:ilvl w:val="0"/>
          <w:numId w:val="2"/>
        </w:numPr>
        <w:spacing w:after="40" w:line="264" w:lineRule="auto"/>
        <w:jc w:val="both"/>
      </w:pPr>
      <w:r>
        <w:rPr>
          <w:color w:val="1A1A1A"/>
          <w:sz w:val="19"/>
          <w:szCs w:val="19"/>
        </w:rPr>
        <w:t>Données personnelles et données « sensibles » : restriction d’accès.</w:t>
      </w:r>
    </w:p>
    <w:p w14:paraId="7DE461F2" w14:textId="77777777" w:rsidR="00DF4DE6" w:rsidRDefault="001B2AC3" w:rsidP="00240AE0">
      <w:pPr>
        <w:pStyle w:val="Paragraphedeliste"/>
        <w:numPr>
          <w:ilvl w:val="0"/>
          <w:numId w:val="2"/>
        </w:numPr>
        <w:spacing w:after="40" w:line="264" w:lineRule="auto"/>
        <w:jc w:val="both"/>
      </w:pPr>
      <w:r>
        <w:rPr>
          <w:color w:val="1A1A1A"/>
          <w:sz w:val="19"/>
          <w:szCs w:val="19"/>
        </w:rPr>
        <w:t>Surveillance de masse et risque systémique pour les libertés.</w:t>
      </w:r>
    </w:p>
    <w:p w14:paraId="3D8E7295" w14:textId="77777777" w:rsidR="00DF4DE6" w:rsidRDefault="001B2AC3" w:rsidP="00240AE0">
      <w:pPr>
        <w:pStyle w:val="Paragraphedeliste"/>
        <w:numPr>
          <w:ilvl w:val="0"/>
          <w:numId w:val="2"/>
        </w:numPr>
        <w:spacing w:after="40" w:line="264" w:lineRule="auto"/>
        <w:jc w:val="both"/>
      </w:pPr>
      <w:r>
        <w:rPr>
          <w:color w:val="1A1A1A"/>
          <w:sz w:val="19"/>
          <w:szCs w:val="19"/>
        </w:rPr>
        <w:t>Équilibre entre vie privée et droit à l’information.</w:t>
      </w:r>
    </w:p>
    <w:p w14:paraId="1CCE86BD" w14:textId="77777777" w:rsidR="00DF4DE6" w:rsidRDefault="001B2AC3" w:rsidP="00240AE0">
      <w:pPr>
        <w:pStyle w:val="Paragraphedeliste"/>
        <w:numPr>
          <w:ilvl w:val="0"/>
          <w:numId w:val="2"/>
        </w:numPr>
        <w:spacing w:after="40" w:line="264" w:lineRule="auto"/>
        <w:jc w:val="both"/>
      </w:pPr>
      <w:r>
        <w:rPr>
          <w:color w:val="1A1A1A"/>
          <w:sz w:val="19"/>
          <w:szCs w:val="19"/>
        </w:rPr>
        <w:t>Données biométriques et systèmes d’IA à haut risque.</w:t>
      </w:r>
    </w:p>
    <w:p w14:paraId="3A13B483" w14:textId="77777777" w:rsidR="00DF4DE6" w:rsidRDefault="001B2AC3" w:rsidP="00240AE0">
      <w:pPr>
        <w:pStyle w:val="Paragraphedeliste"/>
        <w:numPr>
          <w:ilvl w:val="0"/>
          <w:numId w:val="2"/>
        </w:numPr>
        <w:spacing w:after="40" w:line="264" w:lineRule="auto"/>
        <w:jc w:val="both"/>
      </w:pPr>
      <w:r>
        <w:rPr>
          <w:color w:val="1A1A1A"/>
          <w:sz w:val="19"/>
          <w:szCs w:val="19"/>
        </w:rPr>
        <w:t>Importance du contrôle juridictionnel de proportionnalité.</w:t>
      </w:r>
    </w:p>
    <w:p w14:paraId="2100D3BE" w14:textId="77777777" w:rsidR="00DF4DE6" w:rsidRDefault="001B2AC3" w:rsidP="00240AE0">
      <w:pPr>
        <w:pStyle w:val="Paragraphedeliste"/>
        <w:numPr>
          <w:ilvl w:val="0"/>
          <w:numId w:val="2"/>
        </w:numPr>
        <w:spacing w:after="40" w:line="264" w:lineRule="auto"/>
        <w:jc w:val="both"/>
      </w:pPr>
      <w:r>
        <w:rPr>
          <w:color w:val="1A1A1A"/>
          <w:sz w:val="19"/>
          <w:szCs w:val="19"/>
        </w:rPr>
        <w:t>Droit à l’oubli.</w:t>
      </w:r>
    </w:p>
    <w:p w14:paraId="37C7E4CF" w14:textId="77777777" w:rsidR="00DF4DE6" w:rsidRDefault="001B2AC3" w:rsidP="00240AE0">
      <w:pPr>
        <w:spacing w:before="200" w:after="70"/>
        <w:jc w:val="both"/>
      </w:pPr>
      <w:r>
        <w:rPr>
          <w:b/>
          <w:bCs/>
          <w:color w:val="2E5A88"/>
          <w:spacing w:val="24"/>
          <w:sz w:val="17"/>
          <w:szCs w:val="17"/>
        </w:rPr>
        <w:t>PLAN DE LA FICHE</w:t>
      </w:r>
    </w:p>
    <w:p w14:paraId="0AA1A94D" w14:textId="77777777" w:rsidR="00DF4DE6" w:rsidRDefault="001B2AC3" w:rsidP="00240AE0">
      <w:pPr>
        <w:spacing w:after="20" w:line="250" w:lineRule="auto"/>
        <w:ind w:left="240"/>
        <w:jc w:val="both"/>
      </w:pPr>
      <w:r>
        <w:rPr>
          <w:b/>
          <w:bCs/>
          <w:color w:val="1F3864"/>
          <w:sz w:val="19"/>
          <w:szCs w:val="19"/>
        </w:rPr>
        <w:t>1. Un régime juridique complexe en constante évolution</w:t>
      </w:r>
    </w:p>
    <w:p w14:paraId="76E8A91D" w14:textId="77777777" w:rsidR="00DF4DE6" w:rsidRDefault="001B2AC3" w:rsidP="00240AE0">
      <w:pPr>
        <w:spacing w:after="20" w:line="250" w:lineRule="auto"/>
        <w:ind w:left="500"/>
        <w:jc w:val="both"/>
      </w:pPr>
      <w:r>
        <w:rPr>
          <w:color w:val="333333"/>
          <w:sz w:val="18"/>
          <w:szCs w:val="18"/>
        </w:rPr>
        <w:t>1.1. Origine du droit à la protection des données à caractère personnel</w:t>
      </w:r>
    </w:p>
    <w:p w14:paraId="56ACBBF0" w14:textId="77777777" w:rsidR="00DF4DE6" w:rsidRDefault="001B2AC3" w:rsidP="00240AE0">
      <w:pPr>
        <w:spacing w:after="20" w:line="250" w:lineRule="auto"/>
        <w:ind w:left="500"/>
        <w:jc w:val="both"/>
      </w:pPr>
      <w:r>
        <w:rPr>
          <w:color w:val="333333"/>
          <w:sz w:val="18"/>
          <w:szCs w:val="18"/>
        </w:rPr>
        <w:t>1.2. Principales notions et définitions</w:t>
      </w:r>
    </w:p>
    <w:p w14:paraId="3BB2D083" w14:textId="77777777" w:rsidR="00DF4DE6" w:rsidRDefault="001B2AC3" w:rsidP="00240AE0">
      <w:pPr>
        <w:spacing w:after="20" w:line="250" w:lineRule="auto"/>
        <w:ind w:left="760"/>
        <w:jc w:val="both"/>
      </w:pPr>
      <w:r>
        <w:rPr>
          <w:color w:val="595959"/>
          <w:sz w:val="18"/>
          <w:szCs w:val="18"/>
        </w:rPr>
        <w:t>1.2.1. « Données personnelles » et « données sensibles »</w:t>
      </w:r>
    </w:p>
    <w:p w14:paraId="55F601C3" w14:textId="77777777" w:rsidR="00DF4DE6" w:rsidRDefault="001B2AC3" w:rsidP="00240AE0">
      <w:pPr>
        <w:spacing w:after="20" w:line="250" w:lineRule="auto"/>
        <w:ind w:left="760"/>
        <w:jc w:val="both"/>
      </w:pPr>
      <w:r>
        <w:rPr>
          <w:color w:val="595959"/>
          <w:sz w:val="18"/>
          <w:szCs w:val="18"/>
        </w:rPr>
        <w:t>1.2.2. « Traitement de données » et « fichier »</w:t>
      </w:r>
    </w:p>
    <w:p w14:paraId="59AE7D51" w14:textId="77777777" w:rsidR="00DF4DE6" w:rsidRDefault="001B2AC3" w:rsidP="00240AE0">
      <w:pPr>
        <w:spacing w:after="20" w:line="250" w:lineRule="auto"/>
        <w:ind w:left="760"/>
        <w:jc w:val="both"/>
      </w:pPr>
      <w:r>
        <w:rPr>
          <w:color w:val="595959"/>
          <w:sz w:val="18"/>
          <w:szCs w:val="18"/>
        </w:rPr>
        <w:t>1.2.3. Responsables du traitement</w:t>
      </w:r>
    </w:p>
    <w:p w14:paraId="160A6059" w14:textId="77777777" w:rsidR="00DF4DE6" w:rsidRDefault="001B2AC3" w:rsidP="00240AE0">
      <w:pPr>
        <w:spacing w:after="20" w:line="250" w:lineRule="auto"/>
        <w:ind w:left="500"/>
        <w:jc w:val="both"/>
      </w:pPr>
      <w:r>
        <w:rPr>
          <w:color w:val="333333"/>
          <w:sz w:val="18"/>
          <w:szCs w:val="18"/>
        </w:rPr>
        <w:t>1.3. Les principes encadrant le traitement des données personnelles</w:t>
      </w:r>
    </w:p>
    <w:p w14:paraId="271EFA98" w14:textId="77777777" w:rsidR="00DF4DE6" w:rsidRDefault="001B2AC3" w:rsidP="00240AE0">
      <w:pPr>
        <w:spacing w:after="20" w:line="250" w:lineRule="auto"/>
        <w:ind w:left="760"/>
        <w:jc w:val="both"/>
      </w:pPr>
      <w:r>
        <w:rPr>
          <w:color w:val="595959"/>
          <w:sz w:val="18"/>
          <w:szCs w:val="18"/>
        </w:rPr>
        <w:t>1.3.1. Licéité, loyauté et transparence</w:t>
      </w:r>
    </w:p>
    <w:p w14:paraId="6A805EE6" w14:textId="77777777" w:rsidR="00DF4DE6" w:rsidRDefault="001B2AC3" w:rsidP="00240AE0">
      <w:pPr>
        <w:spacing w:after="20" w:line="250" w:lineRule="auto"/>
        <w:ind w:left="760"/>
        <w:jc w:val="both"/>
      </w:pPr>
      <w:r>
        <w:rPr>
          <w:color w:val="595959"/>
          <w:sz w:val="18"/>
          <w:szCs w:val="18"/>
        </w:rPr>
        <w:t>1.3.2. Le consentement : pilier relatif de la licéité des traitements</w:t>
      </w:r>
    </w:p>
    <w:p w14:paraId="59C59AE9" w14:textId="77777777" w:rsidR="00DF4DE6" w:rsidRDefault="001B2AC3" w:rsidP="00240AE0">
      <w:pPr>
        <w:spacing w:after="20" w:line="250" w:lineRule="auto"/>
        <w:ind w:left="760"/>
        <w:jc w:val="both"/>
      </w:pPr>
      <w:r>
        <w:rPr>
          <w:color w:val="595959"/>
          <w:sz w:val="18"/>
          <w:szCs w:val="18"/>
        </w:rPr>
        <w:t>1.3.3. Protection des données au-delà du consentement</w:t>
      </w:r>
    </w:p>
    <w:p w14:paraId="0CD4B211" w14:textId="77777777" w:rsidR="00DF4DE6" w:rsidRDefault="001B2AC3" w:rsidP="00240AE0">
      <w:pPr>
        <w:spacing w:after="20" w:line="250" w:lineRule="auto"/>
        <w:ind w:left="240"/>
        <w:jc w:val="both"/>
      </w:pPr>
      <w:r>
        <w:rPr>
          <w:b/>
          <w:bCs/>
          <w:color w:val="1F3864"/>
          <w:sz w:val="19"/>
          <w:szCs w:val="19"/>
        </w:rPr>
        <w:t>2. Les mécanismes de garantie administratifs et juridictionnels</w:t>
      </w:r>
    </w:p>
    <w:p w14:paraId="56BFEC59" w14:textId="77777777" w:rsidR="00DF4DE6" w:rsidRDefault="001B2AC3" w:rsidP="00240AE0">
      <w:pPr>
        <w:spacing w:after="20" w:line="250" w:lineRule="auto"/>
        <w:ind w:left="500"/>
        <w:jc w:val="both"/>
      </w:pPr>
      <w:r>
        <w:rPr>
          <w:color w:val="333333"/>
          <w:sz w:val="18"/>
          <w:szCs w:val="18"/>
        </w:rPr>
        <w:t>2.1. La Commission nationale de l’informatique et des libertés (CNIL)</w:t>
      </w:r>
    </w:p>
    <w:p w14:paraId="1BDAF8B0" w14:textId="77777777" w:rsidR="00DF4DE6" w:rsidRDefault="001B2AC3" w:rsidP="00240AE0">
      <w:pPr>
        <w:spacing w:after="20" w:line="250" w:lineRule="auto"/>
        <w:ind w:left="760"/>
        <w:jc w:val="both"/>
      </w:pPr>
      <w:r>
        <w:rPr>
          <w:color w:val="595959"/>
          <w:sz w:val="18"/>
          <w:szCs w:val="18"/>
        </w:rPr>
        <w:t>2.1.1. Un rôle central et unique dans la protection des personnes</w:t>
      </w:r>
    </w:p>
    <w:p w14:paraId="3A83300F" w14:textId="77777777" w:rsidR="00DF4DE6" w:rsidRDefault="001B2AC3" w:rsidP="00240AE0">
      <w:pPr>
        <w:spacing w:after="20" w:line="250" w:lineRule="auto"/>
        <w:ind w:left="760"/>
        <w:jc w:val="both"/>
      </w:pPr>
      <w:r>
        <w:rPr>
          <w:color w:val="595959"/>
          <w:sz w:val="18"/>
          <w:szCs w:val="18"/>
        </w:rPr>
        <w:t>2.1.2. Une diversité de missions et de pouvoirs</w:t>
      </w:r>
    </w:p>
    <w:p w14:paraId="55D78B29" w14:textId="77777777" w:rsidR="00DF4DE6" w:rsidRDefault="001B2AC3" w:rsidP="00240AE0">
      <w:pPr>
        <w:spacing w:after="20" w:line="250" w:lineRule="auto"/>
        <w:ind w:left="500"/>
        <w:jc w:val="both"/>
      </w:pPr>
      <w:r>
        <w:rPr>
          <w:color w:val="333333"/>
          <w:sz w:val="18"/>
          <w:szCs w:val="18"/>
        </w:rPr>
        <w:t>2.2. Les juridictions nationales et supranationales</w:t>
      </w:r>
    </w:p>
    <w:p w14:paraId="49028A52" w14:textId="77777777" w:rsidR="00DF4DE6" w:rsidRDefault="001B2AC3" w:rsidP="00240AE0">
      <w:pPr>
        <w:spacing w:after="20" w:line="250" w:lineRule="auto"/>
        <w:ind w:left="760"/>
        <w:jc w:val="both"/>
      </w:pPr>
      <w:r>
        <w:rPr>
          <w:color w:val="595959"/>
          <w:sz w:val="18"/>
          <w:szCs w:val="18"/>
        </w:rPr>
        <w:lastRenderedPageBreak/>
        <w:t>2.2.1. Le Conseil constitutionnel</w:t>
      </w:r>
    </w:p>
    <w:p w14:paraId="0181513F" w14:textId="77777777" w:rsidR="00DF4DE6" w:rsidRDefault="001B2AC3" w:rsidP="00240AE0">
      <w:pPr>
        <w:spacing w:after="20" w:line="250" w:lineRule="auto"/>
        <w:ind w:left="760"/>
        <w:jc w:val="both"/>
      </w:pPr>
      <w:r>
        <w:rPr>
          <w:color w:val="595959"/>
          <w:sz w:val="18"/>
          <w:szCs w:val="18"/>
        </w:rPr>
        <w:t>2.2.2. La Cour de justice de l’Union européenne</w:t>
      </w:r>
    </w:p>
    <w:p w14:paraId="59168F1D" w14:textId="77777777" w:rsidR="00DF4DE6" w:rsidRDefault="001B2AC3" w:rsidP="00240AE0">
      <w:pPr>
        <w:spacing w:after="20" w:line="250" w:lineRule="auto"/>
        <w:ind w:left="760"/>
        <w:jc w:val="both"/>
      </w:pPr>
      <w:r>
        <w:rPr>
          <w:color w:val="595959"/>
          <w:sz w:val="18"/>
          <w:szCs w:val="18"/>
        </w:rPr>
        <w:t>2.2.3. La Cour européenne des droits de l’homme</w:t>
      </w:r>
    </w:p>
    <w:p w14:paraId="517D3256" w14:textId="77777777" w:rsidR="00DF4DE6" w:rsidRDefault="001B2AC3" w:rsidP="00240AE0">
      <w:pPr>
        <w:spacing w:after="20" w:line="250" w:lineRule="auto"/>
        <w:ind w:left="240"/>
        <w:jc w:val="both"/>
      </w:pPr>
      <w:r>
        <w:rPr>
          <w:b/>
          <w:bCs/>
          <w:color w:val="1F3864"/>
          <w:sz w:val="19"/>
          <w:szCs w:val="19"/>
        </w:rPr>
        <w:t>3. Protection juridique des données personnelles à l’ère du Big Data et de l’IA</w:t>
      </w:r>
    </w:p>
    <w:p w14:paraId="4B00FAA3" w14:textId="77777777" w:rsidR="00DF4DE6" w:rsidRDefault="001B2AC3" w:rsidP="00240AE0">
      <w:pPr>
        <w:spacing w:after="20" w:line="250" w:lineRule="auto"/>
        <w:ind w:left="500"/>
        <w:jc w:val="both"/>
      </w:pPr>
      <w:r>
        <w:rPr>
          <w:color w:val="333333"/>
          <w:sz w:val="18"/>
          <w:szCs w:val="18"/>
        </w:rPr>
        <w:t xml:space="preserve">3.1. Le règlement européen sur l’IA (AI </w:t>
      </w:r>
      <w:proofErr w:type="spellStart"/>
      <w:r>
        <w:rPr>
          <w:color w:val="333333"/>
          <w:sz w:val="18"/>
          <w:szCs w:val="18"/>
        </w:rPr>
        <w:t>Act</w:t>
      </w:r>
      <w:proofErr w:type="spellEnd"/>
      <w:r>
        <w:rPr>
          <w:color w:val="333333"/>
          <w:sz w:val="18"/>
          <w:szCs w:val="18"/>
        </w:rPr>
        <w:t>)</w:t>
      </w:r>
    </w:p>
    <w:p w14:paraId="7F9C208B" w14:textId="77777777" w:rsidR="00DF4DE6" w:rsidRDefault="001B2AC3" w:rsidP="00240AE0">
      <w:pPr>
        <w:spacing w:after="20" w:line="250" w:lineRule="auto"/>
        <w:ind w:left="500"/>
        <w:jc w:val="both"/>
      </w:pPr>
      <w:r>
        <w:rPr>
          <w:color w:val="333333"/>
          <w:sz w:val="18"/>
          <w:szCs w:val="18"/>
        </w:rPr>
        <w:t>3.2. Reconnaissance faciale et systèmes prédictifs</w:t>
      </w:r>
    </w:p>
    <w:p w14:paraId="239972D4" w14:textId="77777777" w:rsidR="00DF4DE6" w:rsidRDefault="001B2AC3" w:rsidP="00240AE0">
      <w:pPr>
        <w:spacing w:before="200" w:after="70"/>
        <w:jc w:val="both"/>
      </w:pPr>
      <w:r>
        <w:rPr>
          <w:b/>
          <w:bCs/>
          <w:color w:val="2E5A88"/>
          <w:spacing w:val="24"/>
          <w:sz w:val="17"/>
          <w:szCs w:val="17"/>
        </w:rPr>
        <w:t>RÉFÉRENCES CENTRALES</w:t>
      </w:r>
    </w:p>
    <w:p w14:paraId="50D6EBEE" w14:textId="77777777" w:rsidR="00DF4DE6" w:rsidRDefault="001B2AC3" w:rsidP="00240AE0">
      <w:pPr>
        <w:pStyle w:val="Paragraphedeliste"/>
        <w:numPr>
          <w:ilvl w:val="0"/>
          <w:numId w:val="2"/>
        </w:numPr>
        <w:spacing w:after="40" w:line="264" w:lineRule="auto"/>
        <w:jc w:val="both"/>
      </w:pPr>
      <w:r>
        <w:rPr>
          <w:color w:val="333333"/>
          <w:sz w:val="18"/>
          <w:szCs w:val="18"/>
        </w:rPr>
        <w:t>Loi no 78-17 du 6 janvier 1978 relative à l'informatique, aux fichiers et aux libertés.</w:t>
      </w:r>
    </w:p>
    <w:p w14:paraId="6025FD26" w14:textId="77777777" w:rsidR="00DF4DE6" w:rsidRDefault="001B2AC3" w:rsidP="00240AE0">
      <w:pPr>
        <w:pStyle w:val="Paragraphedeliste"/>
        <w:numPr>
          <w:ilvl w:val="0"/>
          <w:numId w:val="2"/>
        </w:numPr>
        <w:spacing w:after="40" w:line="264" w:lineRule="auto"/>
        <w:jc w:val="both"/>
      </w:pPr>
      <w:r>
        <w:rPr>
          <w:color w:val="333333"/>
          <w:sz w:val="18"/>
          <w:szCs w:val="18"/>
        </w:rPr>
        <w:t>Article 8 de la Charte des droits fondamentaux de l’Union européenne.</w:t>
      </w:r>
    </w:p>
    <w:p w14:paraId="2C6D8607" w14:textId="77777777" w:rsidR="00DF4DE6" w:rsidRDefault="001B2AC3" w:rsidP="00240AE0">
      <w:pPr>
        <w:pStyle w:val="Paragraphedeliste"/>
        <w:numPr>
          <w:ilvl w:val="0"/>
          <w:numId w:val="2"/>
        </w:numPr>
        <w:spacing w:after="40" w:line="264" w:lineRule="auto"/>
        <w:jc w:val="both"/>
      </w:pPr>
      <w:r>
        <w:rPr>
          <w:color w:val="333333"/>
          <w:sz w:val="18"/>
          <w:szCs w:val="18"/>
        </w:rPr>
        <w:t>Article 8 de la Convention européenne des droits de l’homme.</w:t>
      </w:r>
    </w:p>
    <w:p w14:paraId="00BB919D" w14:textId="77777777" w:rsidR="00DF4DE6" w:rsidRDefault="001B2AC3" w:rsidP="00240AE0">
      <w:pPr>
        <w:pStyle w:val="Paragraphedeliste"/>
        <w:numPr>
          <w:ilvl w:val="0"/>
          <w:numId w:val="2"/>
        </w:numPr>
        <w:spacing w:after="40" w:line="264" w:lineRule="auto"/>
        <w:jc w:val="both"/>
      </w:pPr>
      <w:r>
        <w:rPr>
          <w:color w:val="333333"/>
          <w:sz w:val="18"/>
          <w:szCs w:val="18"/>
        </w:rPr>
        <w:t>Règlement no 2016/679 du 27 avril 2016 (RGPD).</w:t>
      </w:r>
    </w:p>
    <w:p w14:paraId="36CDEA0F" w14:textId="77777777" w:rsidR="00DF4DE6" w:rsidRDefault="001B2AC3" w:rsidP="00240AE0">
      <w:pPr>
        <w:pStyle w:val="Paragraphedeliste"/>
        <w:numPr>
          <w:ilvl w:val="0"/>
          <w:numId w:val="2"/>
        </w:numPr>
        <w:spacing w:after="40" w:line="264" w:lineRule="auto"/>
        <w:jc w:val="both"/>
      </w:pPr>
      <w:r>
        <w:rPr>
          <w:color w:val="333333"/>
          <w:sz w:val="18"/>
          <w:szCs w:val="18"/>
        </w:rPr>
        <w:t>Règlement no 2024/1689 du 13 juin 2024 (RIA).</w:t>
      </w:r>
    </w:p>
    <w:p w14:paraId="149919DE" w14:textId="77777777" w:rsidR="00DF4DE6" w:rsidRDefault="001B2AC3" w:rsidP="00240AE0">
      <w:pPr>
        <w:pStyle w:val="Paragraphedeliste"/>
        <w:numPr>
          <w:ilvl w:val="0"/>
          <w:numId w:val="2"/>
        </w:numPr>
        <w:spacing w:after="40" w:line="264" w:lineRule="auto"/>
        <w:jc w:val="both"/>
      </w:pPr>
      <w:r>
        <w:rPr>
          <w:color w:val="333333"/>
          <w:sz w:val="18"/>
          <w:szCs w:val="18"/>
        </w:rPr>
        <w:t>CJUE, 13 mai 2014, Google Spain, C-131/12.</w:t>
      </w:r>
    </w:p>
    <w:p w14:paraId="5082257A" w14:textId="77777777" w:rsidR="00DF4DE6" w:rsidRDefault="001B2AC3" w:rsidP="00240AE0">
      <w:pPr>
        <w:pStyle w:val="Paragraphedeliste"/>
        <w:numPr>
          <w:ilvl w:val="0"/>
          <w:numId w:val="2"/>
        </w:numPr>
        <w:spacing w:after="40" w:line="264" w:lineRule="auto"/>
        <w:jc w:val="both"/>
      </w:pPr>
      <w:r>
        <w:rPr>
          <w:color w:val="333333"/>
          <w:sz w:val="18"/>
          <w:szCs w:val="18"/>
        </w:rPr>
        <w:t>CJUE, 6 octobre 2020, La Quadrature du Net, C-511/18.</w:t>
      </w:r>
    </w:p>
    <w:p w14:paraId="2BE48C44" w14:textId="77777777" w:rsidR="00DF4DE6" w:rsidRDefault="001B2AC3" w:rsidP="00240AE0">
      <w:pPr>
        <w:pStyle w:val="Paragraphedeliste"/>
        <w:numPr>
          <w:ilvl w:val="0"/>
          <w:numId w:val="2"/>
        </w:numPr>
        <w:spacing w:after="40" w:line="264" w:lineRule="auto"/>
        <w:jc w:val="both"/>
      </w:pPr>
      <w:r>
        <w:rPr>
          <w:color w:val="333333"/>
          <w:sz w:val="18"/>
          <w:szCs w:val="18"/>
        </w:rPr>
        <w:t xml:space="preserve">CJUE, 8 avril 2014, Digital </w:t>
      </w:r>
      <w:proofErr w:type="spellStart"/>
      <w:r>
        <w:rPr>
          <w:color w:val="333333"/>
          <w:sz w:val="18"/>
          <w:szCs w:val="18"/>
        </w:rPr>
        <w:t>Rights</w:t>
      </w:r>
      <w:proofErr w:type="spellEnd"/>
      <w:r>
        <w:rPr>
          <w:color w:val="333333"/>
          <w:sz w:val="18"/>
          <w:szCs w:val="18"/>
        </w:rPr>
        <w:t>, C-293/12.</w:t>
      </w:r>
    </w:p>
    <w:p w14:paraId="79E5E976" w14:textId="77777777" w:rsidR="00DF4DE6" w:rsidRDefault="001B2AC3" w:rsidP="00240AE0">
      <w:pPr>
        <w:pStyle w:val="Paragraphedeliste"/>
        <w:numPr>
          <w:ilvl w:val="0"/>
          <w:numId w:val="2"/>
        </w:numPr>
        <w:spacing w:after="40" w:line="264" w:lineRule="auto"/>
        <w:jc w:val="both"/>
      </w:pPr>
      <w:r>
        <w:rPr>
          <w:color w:val="333333"/>
          <w:sz w:val="18"/>
          <w:szCs w:val="18"/>
        </w:rPr>
        <w:t xml:space="preserve">CJUE, 21 décembre 2016, Tele2 </w:t>
      </w:r>
      <w:proofErr w:type="spellStart"/>
      <w:r>
        <w:rPr>
          <w:color w:val="333333"/>
          <w:sz w:val="18"/>
          <w:szCs w:val="18"/>
        </w:rPr>
        <w:t>Sverige</w:t>
      </w:r>
      <w:proofErr w:type="spellEnd"/>
      <w:r>
        <w:rPr>
          <w:color w:val="333333"/>
          <w:sz w:val="18"/>
          <w:szCs w:val="18"/>
        </w:rPr>
        <w:t>, C-203/15.</w:t>
      </w:r>
    </w:p>
    <w:p w14:paraId="043A4F21" w14:textId="77777777" w:rsidR="00DF4DE6" w:rsidRDefault="001B2AC3" w:rsidP="00240AE0">
      <w:pPr>
        <w:pStyle w:val="Paragraphedeliste"/>
        <w:numPr>
          <w:ilvl w:val="0"/>
          <w:numId w:val="2"/>
        </w:numPr>
        <w:spacing w:after="40" w:line="264" w:lineRule="auto"/>
        <w:jc w:val="both"/>
      </w:pPr>
      <w:r>
        <w:rPr>
          <w:color w:val="333333"/>
          <w:sz w:val="18"/>
          <w:szCs w:val="18"/>
        </w:rPr>
        <w:t xml:space="preserve">CEDH, 4 décembre 2008, S. et </w:t>
      </w:r>
      <w:proofErr w:type="spellStart"/>
      <w:r>
        <w:rPr>
          <w:color w:val="333333"/>
          <w:sz w:val="18"/>
          <w:szCs w:val="18"/>
        </w:rPr>
        <w:t>Marper</w:t>
      </w:r>
      <w:proofErr w:type="spellEnd"/>
      <w:r>
        <w:rPr>
          <w:color w:val="333333"/>
          <w:sz w:val="18"/>
          <w:szCs w:val="18"/>
        </w:rPr>
        <w:t xml:space="preserve"> c. Royaume-Uni, no 30562/04.</w:t>
      </w:r>
    </w:p>
    <w:p w14:paraId="4BFA50D2" w14:textId="77777777" w:rsidR="00DF4DE6" w:rsidRDefault="00DF4DE6" w:rsidP="00240AE0">
      <w:pPr>
        <w:pBdr>
          <w:top w:val="single" w:sz="6" w:space="0" w:color="C7D2E0"/>
        </w:pBdr>
        <w:spacing w:before="260" w:after="180"/>
        <w:jc w:val="both"/>
      </w:pPr>
    </w:p>
    <w:p w14:paraId="5CFB6C18"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36  ·</w:t>
      </w:r>
      <w:proofErr w:type="gramEnd"/>
      <w:r>
        <w:rPr>
          <w:b/>
          <w:bCs/>
          <w:color w:val="2E5A88"/>
          <w:sz w:val="22"/>
          <w:szCs w:val="22"/>
        </w:rPr>
        <w:t xml:space="preserve">  </w:t>
      </w:r>
      <w:r>
        <w:rPr>
          <w:rFonts w:ascii="Cambria" w:eastAsia="Cambria" w:hAnsi="Cambria" w:cs="Cambria"/>
          <w:b/>
          <w:bCs/>
          <w:color w:val="1F3864"/>
        </w:rPr>
        <w:t>La liberté de penser, de conscience et de religion</w:t>
      </w:r>
    </w:p>
    <w:p w14:paraId="346EAC76" w14:textId="77777777" w:rsidR="00DF4DE6" w:rsidRDefault="001B2AC3" w:rsidP="00240AE0">
      <w:pPr>
        <w:spacing w:after="120"/>
        <w:jc w:val="both"/>
      </w:pPr>
      <w:r>
        <w:rPr>
          <w:i/>
          <w:iCs/>
          <w:color w:val="595959"/>
          <w:sz w:val="17"/>
          <w:szCs w:val="17"/>
        </w:rPr>
        <w:t>Fascicule, p. 369</w:t>
      </w:r>
    </w:p>
    <w:p w14:paraId="14DAF93F" w14:textId="77777777" w:rsidR="00DF4DE6" w:rsidRDefault="001B2AC3" w:rsidP="00240AE0">
      <w:pPr>
        <w:spacing w:before="200" w:after="70"/>
        <w:jc w:val="both"/>
      </w:pPr>
      <w:r>
        <w:rPr>
          <w:b/>
          <w:bCs/>
          <w:color w:val="2E5A88"/>
          <w:spacing w:val="24"/>
          <w:sz w:val="17"/>
          <w:szCs w:val="17"/>
        </w:rPr>
        <w:t>IDÉE DIRECTRICE</w:t>
      </w:r>
    </w:p>
    <w:p w14:paraId="2F989937" w14:textId="77777777" w:rsidR="00DF4DE6" w:rsidRDefault="001B2AC3" w:rsidP="00240AE0">
      <w:pPr>
        <w:spacing w:after="60" w:line="276" w:lineRule="auto"/>
        <w:jc w:val="both"/>
      </w:pPr>
      <w:r>
        <w:t>La fiche distingue systématiquement le for intérieur (protection de la pensée, droit de ne pas voir ses opinions prises en compte, ou au contraire de les voir prises en compte via l'objection et la clause de conscience) et le for extérieur (liberté de croire, de ne pas croire et d'en changer, liberté de manifester sa foi). Les restrictions sont classées par fondement : ordre public, fonctionnement du service public, entreprise. Le troisième temps est consacré à la laïcité, ses exceptions et son modèle « à la française ».</w:t>
      </w:r>
    </w:p>
    <w:p w14:paraId="0C3A96B8" w14:textId="77777777" w:rsidR="00DF4DE6" w:rsidRDefault="001B2AC3" w:rsidP="00240AE0">
      <w:pPr>
        <w:spacing w:before="200" w:after="70"/>
        <w:jc w:val="both"/>
      </w:pPr>
      <w:r>
        <w:rPr>
          <w:b/>
          <w:bCs/>
          <w:color w:val="2E5A88"/>
          <w:spacing w:val="24"/>
          <w:sz w:val="17"/>
          <w:szCs w:val="17"/>
        </w:rPr>
        <w:t>POINTS CLÉS (ENCADRÉ DU FASCICULE)</w:t>
      </w:r>
    </w:p>
    <w:p w14:paraId="3EB4CC1D" w14:textId="77777777" w:rsidR="00DF4DE6" w:rsidRDefault="001B2AC3" w:rsidP="00240AE0">
      <w:pPr>
        <w:pStyle w:val="Paragraphedeliste"/>
        <w:numPr>
          <w:ilvl w:val="0"/>
          <w:numId w:val="2"/>
        </w:numPr>
        <w:spacing w:after="40" w:line="264" w:lineRule="auto"/>
        <w:jc w:val="both"/>
      </w:pPr>
      <w:r>
        <w:rPr>
          <w:color w:val="1A1A1A"/>
          <w:sz w:val="19"/>
          <w:szCs w:val="19"/>
        </w:rPr>
        <w:t>Protection juridique du for intérieur et extérieur.</w:t>
      </w:r>
    </w:p>
    <w:p w14:paraId="39074203" w14:textId="77777777" w:rsidR="00DF4DE6" w:rsidRDefault="001B2AC3" w:rsidP="00240AE0">
      <w:pPr>
        <w:pStyle w:val="Paragraphedeliste"/>
        <w:numPr>
          <w:ilvl w:val="0"/>
          <w:numId w:val="2"/>
        </w:numPr>
        <w:spacing w:after="40" w:line="264" w:lineRule="auto"/>
        <w:jc w:val="both"/>
      </w:pPr>
      <w:r>
        <w:rPr>
          <w:color w:val="1A1A1A"/>
          <w:sz w:val="19"/>
          <w:szCs w:val="19"/>
        </w:rPr>
        <w:t>Liberté de croire ou de ne pas croire.</w:t>
      </w:r>
    </w:p>
    <w:p w14:paraId="667C3FE2" w14:textId="77777777" w:rsidR="00DF4DE6" w:rsidRDefault="001B2AC3" w:rsidP="00240AE0">
      <w:pPr>
        <w:pStyle w:val="Paragraphedeliste"/>
        <w:numPr>
          <w:ilvl w:val="0"/>
          <w:numId w:val="2"/>
        </w:numPr>
        <w:spacing w:after="40" w:line="264" w:lineRule="auto"/>
        <w:jc w:val="both"/>
      </w:pPr>
      <w:r>
        <w:rPr>
          <w:color w:val="1A1A1A"/>
          <w:sz w:val="19"/>
          <w:szCs w:val="19"/>
        </w:rPr>
        <w:t>Liberté de manifester sa foi et conciliation avec l’ordre public.</w:t>
      </w:r>
    </w:p>
    <w:p w14:paraId="47ABB64A" w14:textId="77777777" w:rsidR="00DF4DE6" w:rsidRDefault="001B2AC3" w:rsidP="00240AE0">
      <w:pPr>
        <w:pStyle w:val="Paragraphedeliste"/>
        <w:numPr>
          <w:ilvl w:val="0"/>
          <w:numId w:val="2"/>
        </w:numPr>
        <w:spacing w:after="40" w:line="264" w:lineRule="auto"/>
        <w:jc w:val="both"/>
      </w:pPr>
      <w:r>
        <w:rPr>
          <w:color w:val="1A1A1A"/>
          <w:sz w:val="19"/>
          <w:szCs w:val="19"/>
        </w:rPr>
        <w:t>Principe de laïcité.</w:t>
      </w:r>
    </w:p>
    <w:p w14:paraId="217D1205" w14:textId="77777777" w:rsidR="00DF4DE6" w:rsidRDefault="001B2AC3" w:rsidP="00240AE0">
      <w:pPr>
        <w:spacing w:before="200" w:after="70"/>
        <w:jc w:val="both"/>
      </w:pPr>
      <w:r>
        <w:rPr>
          <w:b/>
          <w:bCs/>
          <w:color w:val="2E5A88"/>
          <w:spacing w:val="24"/>
          <w:sz w:val="17"/>
          <w:szCs w:val="17"/>
        </w:rPr>
        <w:t>PLAN DE LA FICHE</w:t>
      </w:r>
    </w:p>
    <w:p w14:paraId="56291B30" w14:textId="77777777" w:rsidR="00DF4DE6" w:rsidRDefault="001B2AC3" w:rsidP="00240AE0">
      <w:pPr>
        <w:spacing w:after="20" w:line="250" w:lineRule="auto"/>
        <w:ind w:left="240"/>
        <w:jc w:val="both"/>
      </w:pPr>
      <w:r>
        <w:rPr>
          <w:b/>
          <w:bCs/>
          <w:color w:val="1F3864"/>
          <w:sz w:val="19"/>
          <w:szCs w:val="19"/>
        </w:rPr>
        <w:t>1. La liberté de penser, de conscience et d’opinion</w:t>
      </w:r>
    </w:p>
    <w:p w14:paraId="0204E452" w14:textId="77777777" w:rsidR="00DF4DE6" w:rsidRDefault="001B2AC3" w:rsidP="00240AE0">
      <w:pPr>
        <w:spacing w:after="20" w:line="250" w:lineRule="auto"/>
        <w:ind w:left="500"/>
        <w:jc w:val="both"/>
      </w:pPr>
      <w:r>
        <w:rPr>
          <w:color w:val="333333"/>
          <w:sz w:val="18"/>
          <w:szCs w:val="18"/>
        </w:rPr>
        <w:t>1.1. La protection juridique du for intérieur</w:t>
      </w:r>
    </w:p>
    <w:p w14:paraId="10B7D623" w14:textId="77777777" w:rsidR="00DF4DE6" w:rsidRDefault="001B2AC3" w:rsidP="00240AE0">
      <w:pPr>
        <w:spacing w:after="20" w:line="250" w:lineRule="auto"/>
        <w:ind w:left="500"/>
        <w:jc w:val="both"/>
      </w:pPr>
      <w:r>
        <w:rPr>
          <w:color w:val="333333"/>
          <w:sz w:val="18"/>
          <w:szCs w:val="18"/>
        </w:rPr>
        <w:t>1.2. Le droit de ne pas voir ses opinions prises en compte</w:t>
      </w:r>
    </w:p>
    <w:p w14:paraId="779EC6F8" w14:textId="77777777" w:rsidR="00DF4DE6" w:rsidRDefault="001B2AC3" w:rsidP="00240AE0">
      <w:pPr>
        <w:spacing w:after="20" w:line="250" w:lineRule="auto"/>
        <w:ind w:left="500"/>
        <w:jc w:val="both"/>
      </w:pPr>
      <w:r>
        <w:rPr>
          <w:color w:val="333333"/>
          <w:sz w:val="18"/>
          <w:szCs w:val="18"/>
        </w:rPr>
        <w:t>1.3. Le droit de voir ses opinions prises en compte</w:t>
      </w:r>
    </w:p>
    <w:p w14:paraId="2144092A" w14:textId="77777777" w:rsidR="00DF4DE6" w:rsidRDefault="001B2AC3" w:rsidP="00240AE0">
      <w:pPr>
        <w:spacing w:after="20" w:line="250" w:lineRule="auto"/>
        <w:ind w:left="760"/>
        <w:jc w:val="both"/>
      </w:pPr>
      <w:r>
        <w:rPr>
          <w:color w:val="595959"/>
          <w:sz w:val="18"/>
          <w:szCs w:val="18"/>
        </w:rPr>
        <w:t>1.3.1. L’objection de conscience</w:t>
      </w:r>
    </w:p>
    <w:p w14:paraId="4A20477B" w14:textId="77777777" w:rsidR="00DF4DE6" w:rsidRDefault="001B2AC3" w:rsidP="00240AE0">
      <w:pPr>
        <w:spacing w:after="20" w:line="250" w:lineRule="auto"/>
        <w:ind w:left="760"/>
        <w:jc w:val="both"/>
      </w:pPr>
      <w:r>
        <w:rPr>
          <w:color w:val="595959"/>
          <w:sz w:val="18"/>
          <w:szCs w:val="18"/>
        </w:rPr>
        <w:t>1.3.2. La clause de conscience</w:t>
      </w:r>
    </w:p>
    <w:p w14:paraId="53630E80" w14:textId="77777777" w:rsidR="00DF4DE6" w:rsidRDefault="001B2AC3" w:rsidP="00240AE0">
      <w:pPr>
        <w:spacing w:after="20" w:line="250" w:lineRule="auto"/>
        <w:ind w:left="500"/>
        <w:jc w:val="both"/>
      </w:pPr>
      <w:r>
        <w:rPr>
          <w:color w:val="333333"/>
          <w:sz w:val="18"/>
          <w:szCs w:val="18"/>
        </w:rPr>
        <w:t>1.4. La protection juridique du for extérieur</w:t>
      </w:r>
    </w:p>
    <w:p w14:paraId="1A303605" w14:textId="77777777" w:rsidR="00DF4DE6" w:rsidRDefault="001B2AC3" w:rsidP="00240AE0">
      <w:pPr>
        <w:spacing w:after="20" w:line="250" w:lineRule="auto"/>
        <w:ind w:left="240"/>
        <w:jc w:val="both"/>
      </w:pPr>
      <w:r>
        <w:rPr>
          <w:b/>
          <w:bCs/>
          <w:color w:val="1F3864"/>
          <w:sz w:val="19"/>
          <w:szCs w:val="19"/>
        </w:rPr>
        <w:t>2. La liberté de culte et de religion</w:t>
      </w:r>
    </w:p>
    <w:p w14:paraId="46951869" w14:textId="77777777" w:rsidR="00DF4DE6" w:rsidRDefault="001B2AC3" w:rsidP="00240AE0">
      <w:pPr>
        <w:spacing w:after="20" w:line="250" w:lineRule="auto"/>
        <w:ind w:left="500"/>
        <w:jc w:val="both"/>
      </w:pPr>
      <w:r>
        <w:rPr>
          <w:color w:val="333333"/>
          <w:sz w:val="18"/>
          <w:szCs w:val="18"/>
        </w:rPr>
        <w:t>2.1. La liberté de croire, de ne pas croire et d’en changer</w:t>
      </w:r>
    </w:p>
    <w:p w14:paraId="60D64FA1" w14:textId="77777777" w:rsidR="00DF4DE6" w:rsidRDefault="001B2AC3" w:rsidP="00240AE0">
      <w:pPr>
        <w:spacing w:after="20" w:line="250" w:lineRule="auto"/>
        <w:ind w:left="500"/>
        <w:jc w:val="both"/>
      </w:pPr>
      <w:r>
        <w:rPr>
          <w:color w:val="333333"/>
          <w:sz w:val="18"/>
          <w:szCs w:val="18"/>
        </w:rPr>
        <w:t>2.2. La liberté de manifester sa foi</w:t>
      </w:r>
    </w:p>
    <w:p w14:paraId="18B9CB60" w14:textId="77777777" w:rsidR="00DF4DE6" w:rsidRDefault="001B2AC3" w:rsidP="00240AE0">
      <w:pPr>
        <w:spacing w:after="20" w:line="250" w:lineRule="auto"/>
        <w:ind w:left="500"/>
        <w:jc w:val="both"/>
      </w:pPr>
      <w:r>
        <w:rPr>
          <w:color w:val="333333"/>
          <w:sz w:val="18"/>
          <w:szCs w:val="18"/>
        </w:rPr>
        <w:t>2.3. Les restrictions à la liberté de religion</w:t>
      </w:r>
    </w:p>
    <w:p w14:paraId="2ABBED54" w14:textId="77777777" w:rsidR="00DF4DE6" w:rsidRDefault="001B2AC3" w:rsidP="00240AE0">
      <w:pPr>
        <w:spacing w:after="20" w:line="250" w:lineRule="auto"/>
        <w:ind w:left="760"/>
        <w:jc w:val="both"/>
      </w:pPr>
      <w:r>
        <w:rPr>
          <w:color w:val="595959"/>
          <w:sz w:val="18"/>
          <w:szCs w:val="18"/>
        </w:rPr>
        <w:t>2.3.1. Les restrictions fondées sur l’ordre public</w:t>
      </w:r>
    </w:p>
    <w:p w14:paraId="068C85FD" w14:textId="77777777" w:rsidR="00DF4DE6" w:rsidRDefault="001B2AC3" w:rsidP="00240AE0">
      <w:pPr>
        <w:spacing w:after="20" w:line="250" w:lineRule="auto"/>
        <w:ind w:left="760"/>
        <w:jc w:val="both"/>
      </w:pPr>
      <w:r>
        <w:rPr>
          <w:color w:val="595959"/>
          <w:sz w:val="18"/>
          <w:szCs w:val="18"/>
        </w:rPr>
        <w:t>2.3.2. Les restrictions fondées sur le fonctionnement du service public</w:t>
      </w:r>
    </w:p>
    <w:p w14:paraId="57FCDF8D" w14:textId="77777777" w:rsidR="00DF4DE6" w:rsidRDefault="001B2AC3" w:rsidP="00240AE0">
      <w:pPr>
        <w:spacing w:after="20" w:line="250" w:lineRule="auto"/>
        <w:ind w:left="760"/>
        <w:jc w:val="both"/>
      </w:pPr>
      <w:r>
        <w:rPr>
          <w:color w:val="595959"/>
          <w:sz w:val="18"/>
          <w:szCs w:val="18"/>
        </w:rPr>
        <w:t>2.3.3. Les signes religieux en entreprise</w:t>
      </w:r>
    </w:p>
    <w:p w14:paraId="1B18F73F" w14:textId="77777777" w:rsidR="00DF4DE6" w:rsidRDefault="001B2AC3" w:rsidP="00240AE0">
      <w:pPr>
        <w:spacing w:after="20" w:line="250" w:lineRule="auto"/>
        <w:ind w:left="240"/>
        <w:jc w:val="both"/>
      </w:pPr>
      <w:r>
        <w:rPr>
          <w:b/>
          <w:bCs/>
          <w:color w:val="1F3864"/>
          <w:sz w:val="19"/>
          <w:szCs w:val="19"/>
        </w:rPr>
        <w:t>3. Le principe de laïcité</w:t>
      </w:r>
    </w:p>
    <w:p w14:paraId="27D1E941" w14:textId="77777777" w:rsidR="00DF4DE6" w:rsidRDefault="001B2AC3" w:rsidP="00240AE0">
      <w:pPr>
        <w:spacing w:after="20" w:line="250" w:lineRule="auto"/>
        <w:ind w:left="500"/>
        <w:jc w:val="both"/>
      </w:pPr>
      <w:r>
        <w:rPr>
          <w:color w:val="333333"/>
          <w:sz w:val="18"/>
          <w:szCs w:val="18"/>
        </w:rPr>
        <w:t>3.1. Le principe de séparation de l’Église et de l’État</w:t>
      </w:r>
    </w:p>
    <w:p w14:paraId="3AEE3363" w14:textId="77777777" w:rsidR="00DF4DE6" w:rsidRDefault="001B2AC3" w:rsidP="00240AE0">
      <w:pPr>
        <w:spacing w:after="20" w:line="250" w:lineRule="auto"/>
        <w:ind w:left="500"/>
        <w:jc w:val="both"/>
      </w:pPr>
      <w:r>
        <w:rPr>
          <w:color w:val="333333"/>
          <w:sz w:val="18"/>
          <w:szCs w:val="18"/>
        </w:rPr>
        <w:lastRenderedPageBreak/>
        <w:t>3.2. Les exceptions au principe de laïcité</w:t>
      </w:r>
    </w:p>
    <w:p w14:paraId="5F362F76" w14:textId="77777777" w:rsidR="00DF4DE6" w:rsidRDefault="001B2AC3" w:rsidP="00240AE0">
      <w:pPr>
        <w:spacing w:after="20" w:line="250" w:lineRule="auto"/>
        <w:ind w:left="500"/>
        <w:jc w:val="both"/>
      </w:pPr>
      <w:r>
        <w:rPr>
          <w:color w:val="333333"/>
          <w:sz w:val="18"/>
          <w:szCs w:val="18"/>
        </w:rPr>
        <w:t>3.3. La laïcité « à la française »</w:t>
      </w:r>
    </w:p>
    <w:p w14:paraId="3CC79B2F" w14:textId="77777777" w:rsidR="00DF4DE6" w:rsidRDefault="001B2AC3" w:rsidP="00240AE0">
      <w:pPr>
        <w:spacing w:before="200" w:after="70"/>
        <w:jc w:val="both"/>
      </w:pPr>
      <w:r>
        <w:rPr>
          <w:b/>
          <w:bCs/>
          <w:color w:val="2E5A88"/>
          <w:spacing w:val="24"/>
          <w:sz w:val="17"/>
          <w:szCs w:val="17"/>
        </w:rPr>
        <w:t>RÉFÉRENCES CENTRALES</w:t>
      </w:r>
    </w:p>
    <w:p w14:paraId="50992155" w14:textId="77777777" w:rsidR="00DF4DE6" w:rsidRDefault="001B2AC3" w:rsidP="00240AE0">
      <w:pPr>
        <w:pStyle w:val="Paragraphedeliste"/>
        <w:numPr>
          <w:ilvl w:val="0"/>
          <w:numId w:val="2"/>
        </w:numPr>
        <w:spacing w:after="40" w:line="264" w:lineRule="auto"/>
        <w:jc w:val="both"/>
      </w:pPr>
      <w:r>
        <w:rPr>
          <w:color w:val="333333"/>
          <w:sz w:val="18"/>
          <w:szCs w:val="18"/>
        </w:rPr>
        <w:t>Loi du 9 décembre 1905 concernant la séparation des Églises et de l’État.</w:t>
      </w:r>
    </w:p>
    <w:p w14:paraId="1DA089C1" w14:textId="77777777" w:rsidR="00DF4DE6" w:rsidRDefault="001B2AC3" w:rsidP="00240AE0">
      <w:pPr>
        <w:pStyle w:val="Paragraphedeliste"/>
        <w:numPr>
          <w:ilvl w:val="0"/>
          <w:numId w:val="2"/>
        </w:numPr>
        <w:spacing w:after="40" w:line="264" w:lineRule="auto"/>
        <w:jc w:val="both"/>
      </w:pPr>
      <w:r>
        <w:rPr>
          <w:color w:val="333333"/>
          <w:sz w:val="18"/>
          <w:szCs w:val="18"/>
        </w:rPr>
        <w:t>Jean Baubérot, Histoire de la laïcité en France, PUF, « Que sais-je ? », 8e éd., 2021.</w:t>
      </w:r>
    </w:p>
    <w:p w14:paraId="32D17CB8"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Collectif, État et religions, </w:t>
      </w:r>
      <w:proofErr w:type="spellStart"/>
      <w:r>
        <w:rPr>
          <w:color w:val="333333"/>
          <w:sz w:val="18"/>
          <w:szCs w:val="18"/>
        </w:rPr>
        <w:t>Anthemis</w:t>
      </w:r>
      <w:proofErr w:type="spellEnd"/>
      <w:r>
        <w:rPr>
          <w:color w:val="333333"/>
          <w:sz w:val="18"/>
          <w:szCs w:val="18"/>
        </w:rPr>
        <w:t>, 2018.</w:t>
      </w:r>
    </w:p>
    <w:p w14:paraId="29AA5CE3" w14:textId="77777777" w:rsidR="00DF4DE6" w:rsidRDefault="001B2AC3" w:rsidP="00240AE0">
      <w:pPr>
        <w:pStyle w:val="Paragraphedeliste"/>
        <w:numPr>
          <w:ilvl w:val="0"/>
          <w:numId w:val="2"/>
        </w:numPr>
        <w:spacing w:after="40" w:line="264" w:lineRule="auto"/>
        <w:jc w:val="both"/>
      </w:pPr>
      <w:r>
        <w:rPr>
          <w:color w:val="333333"/>
          <w:sz w:val="18"/>
          <w:szCs w:val="18"/>
        </w:rPr>
        <w:t>Francis Mesner (</w:t>
      </w:r>
      <w:proofErr w:type="spellStart"/>
      <w:r>
        <w:rPr>
          <w:color w:val="333333"/>
          <w:sz w:val="18"/>
          <w:szCs w:val="18"/>
        </w:rPr>
        <w:t>dir</w:t>
      </w:r>
      <w:proofErr w:type="spellEnd"/>
      <w:r>
        <w:rPr>
          <w:color w:val="333333"/>
          <w:sz w:val="18"/>
          <w:szCs w:val="18"/>
        </w:rPr>
        <w:t xml:space="preserve">.), Dictionnaire du droit des religions, CNRS, </w:t>
      </w:r>
      <w:proofErr w:type="spellStart"/>
      <w:r>
        <w:rPr>
          <w:color w:val="333333"/>
          <w:sz w:val="18"/>
          <w:szCs w:val="18"/>
        </w:rPr>
        <w:t>ed</w:t>
      </w:r>
      <w:proofErr w:type="spellEnd"/>
      <w:r>
        <w:rPr>
          <w:color w:val="333333"/>
          <w:sz w:val="18"/>
          <w:szCs w:val="18"/>
        </w:rPr>
        <w:t>., 2022.</w:t>
      </w:r>
    </w:p>
    <w:p w14:paraId="07BA333B" w14:textId="77777777" w:rsidR="00DF4DE6" w:rsidRDefault="001B2AC3" w:rsidP="00240AE0">
      <w:pPr>
        <w:pStyle w:val="Paragraphedeliste"/>
        <w:numPr>
          <w:ilvl w:val="0"/>
          <w:numId w:val="2"/>
        </w:numPr>
        <w:spacing w:after="40" w:line="264" w:lineRule="auto"/>
        <w:jc w:val="both"/>
      </w:pPr>
      <w:r>
        <w:rPr>
          <w:color w:val="333333"/>
          <w:sz w:val="18"/>
          <w:szCs w:val="18"/>
        </w:rPr>
        <w:t>Frédérique De La Morena, Les frontières de la laïcité, LGDJ, Systèmes, 2016.</w:t>
      </w:r>
    </w:p>
    <w:p w14:paraId="0D4C0BD8" w14:textId="77777777" w:rsidR="00DF4DE6" w:rsidRDefault="001B2AC3" w:rsidP="00240AE0">
      <w:pPr>
        <w:pStyle w:val="Paragraphedeliste"/>
        <w:numPr>
          <w:ilvl w:val="0"/>
          <w:numId w:val="2"/>
        </w:numPr>
        <w:spacing w:after="40" w:line="264" w:lineRule="auto"/>
        <w:jc w:val="both"/>
      </w:pPr>
      <w:r>
        <w:rPr>
          <w:color w:val="333333"/>
          <w:sz w:val="18"/>
          <w:szCs w:val="18"/>
        </w:rPr>
        <w:t>Gérard Gonzalez (</w:t>
      </w:r>
      <w:proofErr w:type="spellStart"/>
      <w:r>
        <w:rPr>
          <w:color w:val="333333"/>
          <w:sz w:val="18"/>
          <w:szCs w:val="18"/>
        </w:rPr>
        <w:t>dir</w:t>
      </w:r>
      <w:proofErr w:type="spellEnd"/>
      <w:r>
        <w:rPr>
          <w:color w:val="333333"/>
          <w:sz w:val="18"/>
          <w:szCs w:val="18"/>
        </w:rPr>
        <w:t>.), Laïcité, liberté de religion et Convention européenne des droits de l’homme, Bruylant, Nemesis, 2006.</w:t>
      </w:r>
    </w:p>
    <w:p w14:paraId="396F13CB" w14:textId="77777777" w:rsidR="00DF4DE6" w:rsidRDefault="001B2AC3" w:rsidP="00240AE0">
      <w:pPr>
        <w:pStyle w:val="Paragraphedeliste"/>
        <w:numPr>
          <w:ilvl w:val="0"/>
          <w:numId w:val="2"/>
        </w:numPr>
        <w:spacing w:after="40" w:line="264" w:lineRule="auto"/>
        <w:jc w:val="both"/>
      </w:pPr>
      <w:r>
        <w:rPr>
          <w:color w:val="333333"/>
          <w:sz w:val="18"/>
          <w:szCs w:val="18"/>
        </w:rPr>
        <w:t>Valentine Zuber, La laïcité en débat – Au-delà des idées reçues, Le Cavalier Bleu, Coll. Idées reçues, 2017.</w:t>
      </w:r>
    </w:p>
    <w:p w14:paraId="755720AB" w14:textId="77777777" w:rsidR="00DF4DE6" w:rsidRDefault="00DF4DE6" w:rsidP="00240AE0">
      <w:pPr>
        <w:pBdr>
          <w:top w:val="single" w:sz="6" w:space="0" w:color="C7D2E0"/>
        </w:pBdr>
        <w:spacing w:before="260" w:after="180"/>
        <w:jc w:val="both"/>
      </w:pPr>
    </w:p>
    <w:p w14:paraId="2A8D3CBA"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37  ·</w:t>
      </w:r>
      <w:proofErr w:type="gramEnd"/>
      <w:r>
        <w:rPr>
          <w:b/>
          <w:bCs/>
          <w:color w:val="2E5A88"/>
          <w:sz w:val="22"/>
          <w:szCs w:val="22"/>
        </w:rPr>
        <w:t xml:space="preserve">  </w:t>
      </w:r>
      <w:r>
        <w:rPr>
          <w:rFonts w:ascii="Cambria" w:eastAsia="Cambria" w:hAnsi="Cambria" w:cs="Cambria"/>
          <w:b/>
          <w:bCs/>
          <w:color w:val="1F3864"/>
        </w:rPr>
        <w:t>La liberté d’expression</w:t>
      </w:r>
    </w:p>
    <w:p w14:paraId="075F881C" w14:textId="77777777" w:rsidR="00DF4DE6" w:rsidRDefault="001B2AC3" w:rsidP="00240AE0">
      <w:pPr>
        <w:spacing w:after="120"/>
        <w:jc w:val="both"/>
      </w:pPr>
      <w:r>
        <w:rPr>
          <w:i/>
          <w:iCs/>
          <w:color w:val="595959"/>
          <w:sz w:val="17"/>
          <w:szCs w:val="17"/>
        </w:rPr>
        <w:t>Fascicule, p. 381</w:t>
      </w:r>
    </w:p>
    <w:p w14:paraId="76F55A28" w14:textId="77777777" w:rsidR="00DF4DE6" w:rsidRDefault="001B2AC3" w:rsidP="00240AE0">
      <w:pPr>
        <w:spacing w:before="200" w:after="70"/>
        <w:jc w:val="both"/>
      </w:pPr>
      <w:r>
        <w:rPr>
          <w:b/>
          <w:bCs/>
          <w:color w:val="2E5A88"/>
          <w:spacing w:val="24"/>
          <w:sz w:val="17"/>
          <w:szCs w:val="17"/>
        </w:rPr>
        <w:t>IDÉE DIRECTRICE</w:t>
      </w:r>
    </w:p>
    <w:p w14:paraId="3D90B561" w14:textId="77777777" w:rsidR="00DF4DE6" w:rsidRDefault="001B2AC3" w:rsidP="00240AE0">
      <w:pPr>
        <w:spacing w:after="60" w:line="276" w:lineRule="auto"/>
        <w:jc w:val="both"/>
      </w:pPr>
      <w:r>
        <w:t>Présentée comme la pierre angulaire d'une société démocratique. Trois temps : la substance du droit (liberté protéiforme, opinion et parole, communiquer et recevoir des informations, particularité du droit de la presse), les limitations (clauses de limitation, clauses d'autorisation, interdictions — abus de droit, discours de haine), et la digitalisation de la liberté d'expression.</w:t>
      </w:r>
    </w:p>
    <w:p w14:paraId="738B2606" w14:textId="77777777" w:rsidR="00DF4DE6" w:rsidRDefault="001B2AC3" w:rsidP="00240AE0">
      <w:pPr>
        <w:spacing w:before="200" w:after="70"/>
        <w:jc w:val="both"/>
      </w:pPr>
      <w:r>
        <w:rPr>
          <w:b/>
          <w:bCs/>
          <w:color w:val="2E5A88"/>
          <w:spacing w:val="24"/>
          <w:sz w:val="17"/>
          <w:szCs w:val="17"/>
        </w:rPr>
        <w:t>POINTS CLÉS (ENCADRÉ DU FASCICULE)</w:t>
      </w:r>
    </w:p>
    <w:p w14:paraId="3C3EA193" w14:textId="77777777" w:rsidR="00DF4DE6" w:rsidRDefault="001B2AC3" w:rsidP="00240AE0">
      <w:pPr>
        <w:pStyle w:val="Paragraphedeliste"/>
        <w:numPr>
          <w:ilvl w:val="0"/>
          <w:numId w:val="2"/>
        </w:numPr>
        <w:spacing w:after="40" w:line="264" w:lineRule="auto"/>
        <w:jc w:val="both"/>
      </w:pPr>
      <w:r>
        <w:rPr>
          <w:color w:val="1A1A1A"/>
          <w:sz w:val="19"/>
          <w:szCs w:val="19"/>
        </w:rPr>
        <w:t>Pierre angulaire d’une société démocratique.</w:t>
      </w:r>
    </w:p>
    <w:p w14:paraId="49C965BC" w14:textId="77777777" w:rsidR="00DF4DE6" w:rsidRDefault="001B2AC3" w:rsidP="00240AE0">
      <w:pPr>
        <w:pStyle w:val="Paragraphedeliste"/>
        <w:numPr>
          <w:ilvl w:val="0"/>
          <w:numId w:val="2"/>
        </w:numPr>
        <w:spacing w:after="40" w:line="264" w:lineRule="auto"/>
        <w:jc w:val="both"/>
      </w:pPr>
      <w:r>
        <w:rPr>
          <w:color w:val="1A1A1A"/>
          <w:sz w:val="19"/>
          <w:szCs w:val="19"/>
        </w:rPr>
        <w:t>Pluralisme.</w:t>
      </w:r>
    </w:p>
    <w:p w14:paraId="4E50B543" w14:textId="77777777" w:rsidR="00DF4DE6" w:rsidRDefault="001B2AC3" w:rsidP="00240AE0">
      <w:pPr>
        <w:pStyle w:val="Paragraphedeliste"/>
        <w:numPr>
          <w:ilvl w:val="0"/>
          <w:numId w:val="2"/>
        </w:numPr>
        <w:spacing w:after="40" w:line="264" w:lineRule="auto"/>
        <w:jc w:val="both"/>
      </w:pPr>
      <w:r>
        <w:rPr>
          <w:color w:val="1A1A1A"/>
          <w:sz w:val="19"/>
          <w:szCs w:val="19"/>
        </w:rPr>
        <w:t>Liberté d’opinion et liberté de parole.</w:t>
      </w:r>
    </w:p>
    <w:p w14:paraId="0946AEA0" w14:textId="77777777" w:rsidR="00DF4DE6" w:rsidRDefault="001B2AC3" w:rsidP="00240AE0">
      <w:pPr>
        <w:pStyle w:val="Paragraphedeliste"/>
        <w:numPr>
          <w:ilvl w:val="0"/>
          <w:numId w:val="2"/>
        </w:numPr>
        <w:spacing w:after="40" w:line="264" w:lineRule="auto"/>
        <w:jc w:val="both"/>
      </w:pPr>
      <w:r>
        <w:rPr>
          <w:color w:val="1A1A1A"/>
          <w:sz w:val="19"/>
          <w:szCs w:val="19"/>
        </w:rPr>
        <w:t>Liberté de communiquer et de recevoir des informations.</w:t>
      </w:r>
    </w:p>
    <w:p w14:paraId="77A5D716" w14:textId="77777777" w:rsidR="00DF4DE6" w:rsidRDefault="001B2AC3" w:rsidP="00240AE0">
      <w:pPr>
        <w:pStyle w:val="Paragraphedeliste"/>
        <w:numPr>
          <w:ilvl w:val="0"/>
          <w:numId w:val="2"/>
        </w:numPr>
        <w:spacing w:after="40" w:line="264" w:lineRule="auto"/>
        <w:jc w:val="both"/>
      </w:pPr>
      <w:r>
        <w:rPr>
          <w:color w:val="1A1A1A"/>
          <w:sz w:val="19"/>
          <w:szCs w:val="19"/>
        </w:rPr>
        <w:t>Droit de la presse.</w:t>
      </w:r>
    </w:p>
    <w:p w14:paraId="30395237" w14:textId="77777777" w:rsidR="00DF4DE6" w:rsidRDefault="001B2AC3" w:rsidP="00240AE0">
      <w:pPr>
        <w:pStyle w:val="Paragraphedeliste"/>
        <w:numPr>
          <w:ilvl w:val="0"/>
          <w:numId w:val="2"/>
        </w:numPr>
        <w:spacing w:after="40" w:line="264" w:lineRule="auto"/>
        <w:jc w:val="both"/>
      </w:pPr>
      <w:r>
        <w:rPr>
          <w:color w:val="1A1A1A"/>
          <w:sz w:val="19"/>
          <w:szCs w:val="19"/>
        </w:rPr>
        <w:t>Absence de considération de frontières.</w:t>
      </w:r>
    </w:p>
    <w:p w14:paraId="2213DF20" w14:textId="77777777" w:rsidR="00DF4DE6" w:rsidRDefault="001B2AC3" w:rsidP="00240AE0">
      <w:pPr>
        <w:pStyle w:val="Paragraphedeliste"/>
        <w:numPr>
          <w:ilvl w:val="0"/>
          <w:numId w:val="2"/>
        </w:numPr>
        <w:spacing w:after="40" w:line="264" w:lineRule="auto"/>
        <w:jc w:val="both"/>
      </w:pPr>
      <w:r>
        <w:rPr>
          <w:color w:val="1A1A1A"/>
          <w:sz w:val="19"/>
          <w:szCs w:val="19"/>
        </w:rPr>
        <w:t>Devoirs et responsabilités.</w:t>
      </w:r>
    </w:p>
    <w:p w14:paraId="6F638B9D" w14:textId="77777777" w:rsidR="00DF4DE6" w:rsidRDefault="001B2AC3" w:rsidP="00240AE0">
      <w:pPr>
        <w:pStyle w:val="Paragraphedeliste"/>
        <w:numPr>
          <w:ilvl w:val="0"/>
          <w:numId w:val="2"/>
        </w:numPr>
        <w:spacing w:after="40" w:line="264" w:lineRule="auto"/>
        <w:jc w:val="both"/>
      </w:pPr>
      <w:r>
        <w:rPr>
          <w:color w:val="1A1A1A"/>
          <w:sz w:val="19"/>
          <w:szCs w:val="19"/>
        </w:rPr>
        <w:t>Limitations et mise en balance.</w:t>
      </w:r>
    </w:p>
    <w:p w14:paraId="58F000B1" w14:textId="77777777" w:rsidR="00DF4DE6" w:rsidRDefault="001B2AC3" w:rsidP="00240AE0">
      <w:pPr>
        <w:pStyle w:val="Paragraphedeliste"/>
        <w:numPr>
          <w:ilvl w:val="0"/>
          <w:numId w:val="2"/>
        </w:numPr>
        <w:spacing w:after="40" w:line="264" w:lineRule="auto"/>
        <w:jc w:val="both"/>
      </w:pPr>
      <w:r>
        <w:rPr>
          <w:color w:val="1A1A1A"/>
          <w:sz w:val="19"/>
          <w:szCs w:val="19"/>
        </w:rPr>
        <w:t>Abus de droit : discours de haine, antisémitisme, racisme, etc.</w:t>
      </w:r>
    </w:p>
    <w:p w14:paraId="0A576D7B" w14:textId="77777777" w:rsidR="00DF4DE6" w:rsidRDefault="001B2AC3" w:rsidP="00240AE0">
      <w:pPr>
        <w:spacing w:before="200" w:after="70"/>
        <w:jc w:val="both"/>
      </w:pPr>
      <w:r>
        <w:rPr>
          <w:b/>
          <w:bCs/>
          <w:color w:val="2E5A88"/>
          <w:spacing w:val="24"/>
          <w:sz w:val="17"/>
          <w:szCs w:val="17"/>
        </w:rPr>
        <w:t>PLAN DE LA FICHE</w:t>
      </w:r>
    </w:p>
    <w:p w14:paraId="570FBFBB" w14:textId="77777777" w:rsidR="00DF4DE6" w:rsidRDefault="001B2AC3" w:rsidP="00240AE0">
      <w:pPr>
        <w:spacing w:after="20" w:line="250" w:lineRule="auto"/>
        <w:ind w:left="240"/>
        <w:jc w:val="both"/>
      </w:pPr>
      <w:r>
        <w:rPr>
          <w:b/>
          <w:bCs/>
          <w:color w:val="1F3864"/>
          <w:sz w:val="19"/>
          <w:szCs w:val="19"/>
        </w:rPr>
        <w:t>1. Une liberté essentielle à la vie démocratique</w:t>
      </w:r>
    </w:p>
    <w:p w14:paraId="123B3DAE" w14:textId="77777777" w:rsidR="00DF4DE6" w:rsidRDefault="001B2AC3" w:rsidP="00240AE0">
      <w:pPr>
        <w:spacing w:after="20" w:line="250" w:lineRule="auto"/>
        <w:ind w:left="500"/>
        <w:jc w:val="both"/>
      </w:pPr>
      <w:r>
        <w:rPr>
          <w:color w:val="333333"/>
          <w:sz w:val="18"/>
          <w:szCs w:val="18"/>
        </w:rPr>
        <w:t>1.1. Les fondements d’un droit essentiel</w:t>
      </w:r>
    </w:p>
    <w:p w14:paraId="05BA0066" w14:textId="77777777" w:rsidR="00DF4DE6" w:rsidRDefault="001B2AC3" w:rsidP="00240AE0">
      <w:pPr>
        <w:spacing w:after="20" w:line="250" w:lineRule="auto"/>
        <w:ind w:left="500"/>
        <w:jc w:val="both"/>
      </w:pPr>
      <w:r>
        <w:rPr>
          <w:color w:val="333333"/>
          <w:sz w:val="18"/>
          <w:szCs w:val="18"/>
        </w:rPr>
        <w:t>1.2. La substance du droit à la liberté d’expression</w:t>
      </w:r>
    </w:p>
    <w:p w14:paraId="4BAE07C5" w14:textId="77777777" w:rsidR="00DF4DE6" w:rsidRDefault="001B2AC3" w:rsidP="00240AE0">
      <w:pPr>
        <w:spacing w:after="20" w:line="250" w:lineRule="auto"/>
        <w:ind w:left="760"/>
        <w:jc w:val="both"/>
      </w:pPr>
      <w:r>
        <w:rPr>
          <w:color w:val="595959"/>
          <w:sz w:val="18"/>
          <w:szCs w:val="18"/>
        </w:rPr>
        <w:t>1.2.1. Une liberté protéiforme</w:t>
      </w:r>
    </w:p>
    <w:p w14:paraId="6E6CEBAD" w14:textId="77777777" w:rsidR="00DF4DE6" w:rsidRDefault="001B2AC3" w:rsidP="00240AE0">
      <w:pPr>
        <w:spacing w:after="20" w:line="250" w:lineRule="auto"/>
        <w:ind w:left="760"/>
        <w:jc w:val="both"/>
      </w:pPr>
      <w:r>
        <w:rPr>
          <w:color w:val="595959"/>
          <w:sz w:val="18"/>
          <w:szCs w:val="18"/>
        </w:rPr>
        <w:t>1.2.2. La particularité du droit de la presse</w:t>
      </w:r>
    </w:p>
    <w:p w14:paraId="639A4741" w14:textId="77777777" w:rsidR="00DF4DE6" w:rsidRDefault="001B2AC3" w:rsidP="00240AE0">
      <w:pPr>
        <w:spacing w:after="20" w:line="250" w:lineRule="auto"/>
        <w:ind w:left="240"/>
        <w:jc w:val="both"/>
      </w:pPr>
      <w:r>
        <w:rPr>
          <w:b/>
          <w:bCs/>
          <w:color w:val="1F3864"/>
          <w:sz w:val="19"/>
          <w:szCs w:val="19"/>
        </w:rPr>
        <w:t>2. Une liberté susceptible d’être limitée</w:t>
      </w:r>
    </w:p>
    <w:p w14:paraId="30AC68BF" w14:textId="77777777" w:rsidR="00DF4DE6" w:rsidRDefault="001B2AC3" w:rsidP="00240AE0">
      <w:pPr>
        <w:spacing w:after="20" w:line="250" w:lineRule="auto"/>
        <w:ind w:left="500"/>
        <w:jc w:val="both"/>
      </w:pPr>
      <w:r>
        <w:rPr>
          <w:color w:val="333333"/>
          <w:sz w:val="18"/>
          <w:szCs w:val="18"/>
        </w:rPr>
        <w:t>2.1. Les clauses de limitation</w:t>
      </w:r>
    </w:p>
    <w:p w14:paraId="613B42F3" w14:textId="77777777" w:rsidR="00DF4DE6" w:rsidRDefault="001B2AC3" w:rsidP="00240AE0">
      <w:pPr>
        <w:spacing w:after="20" w:line="250" w:lineRule="auto"/>
        <w:ind w:left="500"/>
        <w:jc w:val="both"/>
      </w:pPr>
      <w:r>
        <w:rPr>
          <w:color w:val="333333"/>
          <w:sz w:val="18"/>
          <w:szCs w:val="18"/>
        </w:rPr>
        <w:t>2.2. Les clauses d’autorisation</w:t>
      </w:r>
    </w:p>
    <w:p w14:paraId="39843CC5" w14:textId="77777777" w:rsidR="00DF4DE6" w:rsidRDefault="001B2AC3" w:rsidP="00240AE0">
      <w:pPr>
        <w:spacing w:after="20" w:line="250" w:lineRule="auto"/>
        <w:ind w:left="500"/>
        <w:jc w:val="both"/>
      </w:pPr>
      <w:r>
        <w:rPr>
          <w:color w:val="333333"/>
          <w:sz w:val="18"/>
          <w:szCs w:val="18"/>
        </w:rPr>
        <w:t>2.3. Les interdictions</w:t>
      </w:r>
    </w:p>
    <w:p w14:paraId="211C18E6" w14:textId="77777777" w:rsidR="00DF4DE6" w:rsidRDefault="001B2AC3" w:rsidP="00240AE0">
      <w:pPr>
        <w:spacing w:after="20" w:line="250" w:lineRule="auto"/>
        <w:ind w:left="240"/>
        <w:jc w:val="both"/>
      </w:pPr>
      <w:r>
        <w:rPr>
          <w:b/>
          <w:bCs/>
          <w:color w:val="1F3864"/>
          <w:sz w:val="19"/>
          <w:szCs w:val="19"/>
        </w:rPr>
        <w:t>3. La digitalisation de la liberté d’expression</w:t>
      </w:r>
    </w:p>
    <w:p w14:paraId="4DF40665" w14:textId="77777777" w:rsidR="00DF4DE6" w:rsidRDefault="001B2AC3" w:rsidP="00240AE0">
      <w:pPr>
        <w:spacing w:before="200" w:after="70"/>
        <w:jc w:val="both"/>
      </w:pPr>
      <w:r>
        <w:rPr>
          <w:b/>
          <w:bCs/>
          <w:color w:val="2E5A88"/>
          <w:spacing w:val="24"/>
          <w:sz w:val="17"/>
          <w:szCs w:val="17"/>
        </w:rPr>
        <w:t>RÉFÉRENCES CENTRALES</w:t>
      </w:r>
    </w:p>
    <w:p w14:paraId="25A63E8A" w14:textId="77777777" w:rsidR="00DF4DE6" w:rsidRDefault="001B2AC3" w:rsidP="00240AE0">
      <w:pPr>
        <w:pStyle w:val="Paragraphedeliste"/>
        <w:numPr>
          <w:ilvl w:val="0"/>
          <w:numId w:val="2"/>
        </w:numPr>
        <w:spacing w:after="40" w:line="264" w:lineRule="auto"/>
        <w:jc w:val="both"/>
      </w:pPr>
      <w:r>
        <w:rPr>
          <w:color w:val="333333"/>
          <w:sz w:val="18"/>
          <w:szCs w:val="18"/>
        </w:rPr>
        <w:t>Art. 11 de la Déclaration des droits de l’homme et du citoyen.</w:t>
      </w:r>
    </w:p>
    <w:p w14:paraId="75B9F28C" w14:textId="77777777" w:rsidR="00DF4DE6" w:rsidRDefault="001B2AC3" w:rsidP="00240AE0">
      <w:pPr>
        <w:pStyle w:val="Paragraphedeliste"/>
        <w:numPr>
          <w:ilvl w:val="0"/>
          <w:numId w:val="2"/>
        </w:numPr>
        <w:spacing w:after="40" w:line="264" w:lineRule="auto"/>
        <w:jc w:val="both"/>
      </w:pPr>
      <w:r>
        <w:rPr>
          <w:color w:val="333333"/>
          <w:sz w:val="18"/>
          <w:szCs w:val="18"/>
        </w:rPr>
        <w:t>Art. 10 de la Convention européenne des droits de l’homme.</w:t>
      </w:r>
    </w:p>
    <w:p w14:paraId="799ACA75" w14:textId="77777777" w:rsidR="00DF4DE6" w:rsidRDefault="001B2AC3" w:rsidP="00240AE0">
      <w:pPr>
        <w:pStyle w:val="Paragraphedeliste"/>
        <w:numPr>
          <w:ilvl w:val="0"/>
          <w:numId w:val="2"/>
        </w:numPr>
        <w:spacing w:after="40" w:line="264" w:lineRule="auto"/>
        <w:jc w:val="both"/>
      </w:pPr>
      <w:r>
        <w:rPr>
          <w:color w:val="333333"/>
          <w:sz w:val="18"/>
          <w:szCs w:val="18"/>
        </w:rPr>
        <w:t>Art. 19 du Pacte international relatif aux droits civils et politiques.</w:t>
      </w:r>
    </w:p>
    <w:p w14:paraId="4255F665" w14:textId="77777777" w:rsidR="00DF4DE6" w:rsidRDefault="001B2AC3" w:rsidP="00240AE0">
      <w:pPr>
        <w:pStyle w:val="Paragraphedeliste"/>
        <w:numPr>
          <w:ilvl w:val="0"/>
          <w:numId w:val="2"/>
        </w:numPr>
        <w:spacing w:after="40" w:line="264" w:lineRule="auto"/>
        <w:jc w:val="both"/>
      </w:pPr>
      <w:r>
        <w:rPr>
          <w:color w:val="333333"/>
          <w:sz w:val="18"/>
          <w:szCs w:val="18"/>
        </w:rPr>
        <w:t>Art. 11 de la Charte des droits fondamentaux de l’Union européenne.</w:t>
      </w:r>
    </w:p>
    <w:p w14:paraId="76DA5F53" w14:textId="77777777" w:rsidR="00DF4DE6" w:rsidRDefault="001B2AC3" w:rsidP="00240AE0">
      <w:pPr>
        <w:pStyle w:val="Paragraphedeliste"/>
        <w:numPr>
          <w:ilvl w:val="0"/>
          <w:numId w:val="2"/>
        </w:numPr>
        <w:spacing w:after="40" w:line="264" w:lineRule="auto"/>
        <w:jc w:val="both"/>
      </w:pPr>
      <w:r>
        <w:rPr>
          <w:color w:val="333333"/>
          <w:sz w:val="18"/>
          <w:szCs w:val="18"/>
        </w:rPr>
        <w:t>Loi du 29 juillet 1881 sur la liberté de la presse.</w:t>
      </w:r>
    </w:p>
    <w:p w14:paraId="3287DCCD" w14:textId="77777777" w:rsidR="00DF4DE6" w:rsidRDefault="001B2AC3" w:rsidP="00240AE0">
      <w:pPr>
        <w:pStyle w:val="Paragraphedeliste"/>
        <w:numPr>
          <w:ilvl w:val="0"/>
          <w:numId w:val="2"/>
        </w:numPr>
        <w:spacing w:after="40" w:line="264" w:lineRule="auto"/>
        <w:jc w:val="both"/>
      </w:pPr>
      <w:r>
        <w:rPr>
          <w:color w:val="333333"/>
          <w:sz w:val="18"/>
          <w:szCs w:val="18"/>
        </w:rPr>
        <w:lastRenderedPageBreak/>
        <w:t xml:space="preserve">Cons. </w:t>
      </w:r>
      <w:proofErr w:type="spellStart"/>
      <w:proofErr w:type="gramStart"/>
      <w:r>
        <w:rPr>
          <w:color w:val="333333"/>
          <w:sz w:val="18"/>
          <w:szCs w:val="18"/>
        </w:rPr>
        <w:t>const</w:t>
      </w:r>
      <w:proofErr w:type="spellEnd"/>
      <w:proofErr w:type="gramEnd"/>
      <w:r>
        <w:rPr>
          <w:color w:val="333333"/>
          <w:sz w:val="18"/>
          <w:szCs w:val="18"/>
        </w:rPr>
        <w:t>., déc. no 86-217 DC, 18 septembre 1986, Loi relative à la liberté de communication.</w:t>
      </w:r>
    </w:p>
    <w:p w14:paraId="212E82A9" w14:textId="77777777" w:rsidR="00DF4DE6" w:rsidRDefault="001B2AC3" w:rsidP="00240AE0">
      <w:pPr>
        <w:pStyle w:val="Paragraphedeliste"/>
        <w:numPr>
          <w:ilvl w:val="0"/>
          <w:numId w:val="2"/>
        </w:numPr>
        <w:spacing w:after="40" w:line="264" w:lineRule="auto"/>
        <w:jc w:val="both"/>
      </w:pPr>
      <w:r>
        <w:rPr>
          <w:color w:val="333333"/>
          <w:sz w:val="18"/>
          <w:szCs w:val="18"/>
        </w:rPr>
        <w:t>Loi no 2022-401 du 21 mars 2022 visant à améliorer la protection des lanceurs d’alerte.</w:t>
      </w:r>
    </w:p>
    <w:p w14:paraId="10574D3D" w14:textId="77777777" w:rsidR="00DF4DE6" w:rsidRDefault="001B2AC3" w:rsidP="00240AE0">
      <w:pPr>
        <w:pStyle w:val="Paragraphedeliste"/>
        <w:numPr>
          <w:ilvl w:val="0"/>
          <w:numId w:val="2"/>
        </w:numPr>
        <w:spacing w:after="40" w:line="264" w:lineRule="auto"/>
        <w:jc w:val="both"/>
      </w:pPr>
      <w:r>
        <w:rPr>
          <w:color w:val="333333"/>
          <w:sz w:val="18"/>
          <w:szCs w:val="18"/>
        </w:rPr>
        <w:t xml:space="preserve">Règlement (UE) no 2022/2065 « Digital Service </w:t>
      </w:r>
      <w:proofErr w:type="spellStart"/>
      <w:r>
        <w:rPr>
          <w:color w:val="333333"/>
          <w:sz w:val="18"/>
          <w:szCs w:val="18"/>
        </w:rPr>
        <w:t>Act</w:t>
      </w:r>
      <w:proofErr w:type="spellEnd"/>
      <w:r>
        <w:rPr>
          <w:color w:val="333333"/>
          <w:sz w:val="18"/>
          <w:szCs w:val="18"/>
        </w:rPr>
        <w:t xml:space="preserve"> » du 19 octobre 2022.</w:t>
      </w:r>
    </w:p>
    <w:p w14:paraId="003AC759" w14:textId="77777777" w:rsidR="00DF4DE6" w:rsidRDefault="00DF4DE6" w:rsidP="00240AE0">
      <w:pPr>
        <w:pBdr>
          <w:top w:val="single" w:sz="6" w:space="0" w:color="C7D2E0"/>
        </w:pBdr>
        <w:spacing w:before="260" w:after="180"/>
        <w:jc w:val="both"/>
      </w:pPr>
    </w:p>
    <w:p w14:paraId="69FE5EEC"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38  ·</w:t>
      </w:r>
      <w:proofErr w:type="gramEnd"/>
      <w:r>
        <w:rPr>
          <w:b/>
          <w:bCs/>
          <w:color w:val="2E5A88"/>
          <w:sz w:val="22"/>
          <w:szCs w:val="22"/>
        </w:rPr>
        <w:t xml:space="preserve">  </w:t>
      </w:r>
      <w:r>
        <w:rPr>
          <w:rFonts w:ascii="Cambria" w:eastAsia="Cambria" w:hAnsi="Cambria" w:cs="Cambria"/>
          <w:b/>
          <w:bCs/>
          <w:color w:val="1F3864"/>
        </w:rPr>
        <w:t>La liberté de réunion et de manifestation pacifique</w:t>
      </w:r>
    </w:p>
    <w:p w14:paraId="5E8C6969" w14:textId="77777777" w:rsidR="00DF4DE6" w:rsidRDefault="001B2AC3" w:rsidP="00240AE0">
      <w:pPr>
        <w:spacing w:after="120"/>
        <w:jc w:val="both"/>
      </w:pPr>
      <w:r>
        <w:rPr>
          <w:i/>
          <w:iCs/>
          <w:color w:val="595959"/>
          <w:sz w:val="17"/>
          <w:szCs w:val="17"/>
        </w:rPr>
        <w:t>Fascicule, p. 395</w:t>
      </w:r>
    </w:p>
    <w:p w14:paraId="4BB4DC07" w14:textId="77777777" w:rsidR="00DF4DE6" w:rsidRDefault="001B2AC3" w:rsidP="00240AE0">
      <w:pPr>
        <w:spacing w:before="200" w:after="70"/>
        <w:jc w:val="both"/>
      </w:pPr>
      <w:r>
        <w:rPr>
          <w:b/>
          <w:bCs/>
          <w:color w:val="2E5A88"/>
          <w:spacing w:val="24"/>
          <w:sz w:val="17"/>
          <w:szCs w:val="17"/>
        </w:rPr>
        <w:t>IDÉE DIRECTRICE</w:t>
      </w:r>
    </w:p>
    <w:p w14:paraId="7469CE2F" w14:textId="77777777" w:rsidR="00DF4DE6" w:rsidRDefault="001B2AC3" w:rsidP="00240AE0">
      <w:pPr>
        <w:spacing w:after="60" w:line="276" w:lineRule="auto"/>
        <w:jc w:val="both"/>
      </w:pPr>
      <w:r>
        <w:t>Deux libertés intimement liées — expression publique d'idées et d'opinions, caractère collectif, caractère temporaire — mais à traiter séparément en droit interne, où elles n'ont ni les mêmes conditions ni le même régime, alors que la Convention les traite ensemble à l'article 11. La protection est conditionnée par le caractère pacifique. La fiche détaille les obligations négatives et positives de l'État.</w:t>
      </w:r>
    </w:p>
    <w:p w14:paraId="1A17D285" w14:textId="77777777" w:rsidR="00DF4DE6" w:rsidRDefault="001B2AC3" w:rsidP="00240AE0">
      <w:pPr>
        <w:spacing w:before="200" w:after="70"/>
        <w:jc w:val="both"/>
      </w:pPr>
      <w:r>
        <w:rPr>
          <w:b/>
          <w:bCs/>
          <w:color w:val="2E5A88"/>
          <w:spacing w:val="24"/>
          <w:sz w:val="17"/>
          <w:szCs w:val="17"/>
        </w:rPr>
        <w:t>POINTS CLÉS (ENCADRÉ DU FASCICULE)</w:t>
      </w:r>
    </w:p>
    <w:p w14:paraId="1EF3EBF2" w14:textId="77777777" w:rsidR="00DF4DE6" w:rsidRDefault="001B2AC3" w:rsidP="00240AE0">
      <w:pPr>
        <w:pStyle w:val="Paragraphedeliste"/>
        <w:numPr>
          <w:ilvl w:val="0"/>
          <w:numId w:val="2"/>
        </w:numPr>
        <w:spacing w:after="40" w:line="264" w:lineRule="auto"/>
        <w:jc w:val="both"/>
      </w:pPr>
      <w:r>
        <w:rPr>
          <w:color w:val="1A1A1A"/>
          <w:sz w:val="19"/>
          <w:szCs w:val="19"/>
        </w:rPr>
        <w:t>Des libertés qui permettent l’expression publique d’idées et d’opinions.</w:t>
      </w:r>
    </w:p>
    <w:p w14:paraId="0EAF5C2A" w14:textId="77777777" w:rsidR="00DF4DE6" w:rsidRDefault="001B2AC3" w:rsidP="00240AE0">
      <w:pPr>
        <w:pStyle w:val="Paragraphedeliste"/>
        <w:numPr>
          <w:ilvl w:val="0"/>
          <w:numId w:val="2"/>
        </w:numPr>
        <w:spacing w:after="40" w:line="264" w:lineRule="auto"/>
        <w:jc w:val="both"/>
      </w:pPr>
      <w:r>
        <w:rPr>
          <w:color w:val="1A1A1A"/>
          <w:sz w:val="19"/>
          <w:szCs w:val="19"/>
        </w:rPr>
        <w:t>Des libertés disposant de conditions et de régimes différents en France.</w:t>
      </w:r>
    </w:p>
    <w:p w14:paraId="786F620A" w14:textId="77777777" w:rsidR="00DF4DE6" w:rsidRDefault="001B2AC3" w:rsidP="00240AE0">
      <w:pPr>
        <w:pStyle w:val="Paragraphedeliste"/>
        <w:numPr>
          <w:ilvl w:val="0"/>
          <w:numId w:val="2"/>
        </w:numPr>
        <w:spacing w:after="40" w:line="264" w:lineRule="auto"/>
        <w:jc w:val="both"/>
      </w:pPr>
      <w:r>
        <w:rPr>
          <w:color w:val="1A1A1A"/>
          <w:sz w:val="19"/>
          <w:szCs w:val="19"/>
        </w:rPr>
        <w:t>Une protection conditionnée par le caractère pacifique.</w:t>
      </w:r>
    </w:p>
    <w:p w14:paraId="64110EF8" w14:textId="77777777" w:rsidR="00DF4DE6" w:rsidRDefault="001B2AC3" w:rsidP="00240AE0">
      <w:pPr>
        <w:pStyle w:val="Paragraphedeliste"/>
        <w:numPr>
          <w:ilvl w:val="0"/>
          <w:numId w:val="2"/>
        </w:numPr>
        <w:spacing w:after="40" w:line="264" w:lineRule="auto"/>
        <w:jc w:val="both"/>
      </w:pPr>
      <w:r>
        <w:rPr>
          <w:color w:val="1A1A1A"/>
          <w:sz w:val="19"/>
          <w:szCs w:val="19"/>
        </w:rPr>
        <w:t xml:space="preserve">Des libertés pouvant faire l’objet de restrictions. La liberté de réunion et la liberté de manifestation sont intimement liées. Toutes deux s’expriment en effet de manière collective, disposent d’un caractère temporaire et permettent « l’expression publique d’idées et d’opinions ». → Cons. </w:t>
      </w:r>
      <w:proofErr w:type="spellStart"/>
      <w:proofErr w:type="gramStart"/>
      <w:r>
        <w:rPr>
          <w:color w:val="1A1A1A"/>
          <w:sz w:val="19"/>
          <w:szCs w:val="19"/>
        </w:rPr>
        <w:t>const</w:t>
      </w:r>
      <w:proofErr w:type="spellEnd"/>
      <w:proofErr w:type="gramEnd"/>
      <w:r>
        <w:rPr>
          <w:color w:val="1A1A1A"/>
          <w:sz w:val="19"/>
          <w:szCs w:val="19"/>
        </w:rPr>
        <w:t>., déc.</w:t>
      </w:r>
    </w:p>
    <w:p w14:paraId="7D782B2A" w14:textId="77777777" w:rsidR="00DF4DE6" w:rsidRDefault="001B2AC3" w:rsidP="00240AE0">
      <w:pPr>
        <w:spacing w:before="200" w:after="70"/>
        <w:jc w:val="both"/>
      </w:pPr>
      <w:r>
        <w:rPr>
          <w:b/>
          <w:bCs/>
          <w:color w:val="2E5A88"/>
          <w:spacing w:val="24"/>
          <w:sz w:val="17"/>
          <w:szCs w:val="17"/>
        </w:rPr>
        <w:t>PLAN DE LA FICHE</w:t>
      </w:r>
    </w:p>
    <w:p w14:paraId="061CD9C1" w14:textId="77777777" w:rsidR="00DF4DE6" w:rsidRDefault="001B2AC3" w:rsidP="00240AE0">
      <w:pPr>
        <w:spacing w:after="20" w:line="250" w:lineRule="auto"/>
        <w:ind w:left="240"/>
        <w:jc w:val="both"/>
      </w:pPr>
      <w:r>
        <w:rPr>
          <w:b/>
          <w:bCs/>
          <w:color w:val="1F3864"/>
          <w:sz w:val="19"/>
          <w:szCs w:val="19"/>
        </w:rPr>
        <w:t>1. La protection européenne de la liberté de réunion</w:t>
      </w:r>
    </w:p>
    <w:p w14:paraId="1BDA7F62" w14:textId="77777777" w:rsidR="00DF4DE6" w:rsidRDefault="001B2AC3" w:rsidP="00240AE0">
      <w:pPr>
        <w:spacing w:after="20" w:line="250" w:lineRule="auto"/>
        <w:ind w:left="500"/>
        <w:jc w:val="both"/>
      </w:pPr>
      <w:r>
        <w:rPr>
          <w:color w:val="333333"/>
          <w:sz w:val="18"/>
          <w:szCs w:val="18"/>
        </w:rPr>
        <w:t>1.1. La protection des réunions pacifiques</w:t>
      </w:r>
    </w:p>
    <w:p w14:paraId="285583E8" w14:textId="77777777" w:rsidR="00DF4DE6" w:rsidRDefault="001B2AC3" w:rsidP="00240AE0">
      <w:pPr>
        <w:spacing w:after="20" w:line="250" w:lineRule="auto"/>
        <w:ind w:left="500"/>
        <w:jc w:val="both"/>
      </w:pPr>
      <w:r>
        <w:rPr>
          <w:color w:val="333333"/>
          <w:sz w:val="18"/>
          <w:szCs w:val="18"/>
        </w:rPr>
        <w:t>1.2. Les obligations négatives de l’État dans le cadre de la liberté de réunion</w:t>
      </w:r>
    </w:p>
    <w:p w14:paraId="73B222AF" w14:textId="77777777" w:rsidR="00DF4DE6" w:rsidRDefault="001B2AC3" w:rsidP="00240AE0">
      <w:pPr>
        <w:spacing w:after="20" w:line="250" w:lineRule="auto"/>
        <w:ind w:left="500"/>
        <w:jc w:val="both"/>
      </w:pPr>
      <w:r>
        <w:rPr>
          <w:color w:val="333333"/>
          <w:sz w:val="18"/>
          <w:szCs w:val="18"/>
        </w:rPr>
        <w:t>1.3. Les obligations positives de l’État dans le cadre de la liberté de réunion</w:t>
      </w:r>
    </w:p>
    <w:p w14:paraId="13E997C0" w14:textId="77777777" w:rsidR="00DF4DE6" w:rsidRDefault="001B2AC3" w:rsidP="00240AE0">
      <w:pPr>
        <w:spacing w:after="20" w:line="250" w:lineRule="auto"/>
        <w:ind w:left="240"/>
        <w:jc w:val="both"/>
      </w:pPr>
      <w:r>
        <w:rPr>
          <w:b/>
          <w:bCs/>
          <w:color w:val="1F3864"/>
          <w:sz w:val="19"/>
          <w:szCs w:val="19"/>
        </w:rPr>
        <w:t>2. La protection interne de la liberté de réunion et de manifestation</w:t>
      </w:r>
    </w:p>
    <w:p w14:paraId="036F641D" w14:textId="77777777" w:rsidR="00DF4DE6" w:rsidRDefault="001B2AC3" w:rsidP="00240AE0">
      <w:pPr>
        <w:spacing w:after="20" w:line="250" w:lineRule="auto"/>
        <w:ind w:left="500"/>
        <w:jc w:val="both"/>
      </w:pPr>
      <w:r>
        <w:rPr>
          <w:color w:val="333333"/>
          <w:sz w:val="18"/>
          <w:szCs w:val="18"/>
        </w:rPr>
        <w:t>2.1. La liberté de réunion</w:t>
      </w:r>
    </w:p>
    <w:p w14:paraId="63606B53" w14:textId="77777777" w:rsidR="00DF4DE6" w:rsidRDefault="001B2AC3" w:rsidP="00240AE0">
      <w:pPr>
        <w:spacing w:after="20" w:line="250" w:lineRule="auto"/>
        <w:ind w:left="500"/>
        <w:jc w:val="both"/>
      </w:pPr>
      <w:r>
        <w:rPr>
          <w:color w:val="333333"/>
          <w:sz w:val="18"/>
          <w:szCs w:val="18"/>
        </w:rPr>
        <w:t>2.2. La liberté de manifestation</w:t>
      </w:r>
    </w:p>
    <w:p w14:paraId="0502313D" w14:textId="77777777" w:rsidR="00DF4DE6" w:rsidRDefault="001B2AC3" w:rsidP="00240AE0">
      <w:pPr>
        <w:spacing w:before="200" w:after="70"/>
        <w:jc w:val="both"/>
      </w:pPr>
      <w:r>
        <w:rPr>
          <w:b/>
          <w:bCs/>
          <w:color w:val="2E5A88"/>
          <w:spacing w:val="24"/>
          <w:sz w:val="17"/>
          <w:szCs w:val="17"/>
        </w:rPr>
        <w:t>RÉFÉRENCES CENTRALES</w:t>
      </w:r>
    </w:p>
    <w:p w14:paraId="40279BB8"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18 janvier 1995, no 94-352 DC.</w:t>
      </w:r>
    </w:p>
    <w:p w14:paraId="4A8DC247" w14:textId="77777777" w:rsidR="00DF4DE6" w:rsidRDefault="001B2AC3" w:rsidP="00240AE0">
      <w:pPr>
        <w:pStyle w:val="Paragraphedeliste"/>
        <w:numPr>
          <w:ilvl w:val="0"/>
          <w:numId w:val="2"/>
        </w:numPr>
        <w:spacing w:after="40" w:line="264" w:lineRule="auto"/>
        <w:jc w:val="both"/>
      </w:pPr>
      <w:r>
        <w:rPr>
          <w:color w:val="333333"/>
          <w:sz w:val="18"/>
          <w:szCs w:val="18"/>
        </w:rPr>
        <w:t>CEDH, GC., 15 octobre 2015, Kudrevičius et a. c. Lituanie, no 37553/05.</w:t>
      </w:r>
    </w:p>
    <w:p w14:paraId="3B62EEDE" w14:textId="77777777" w:rsidR="00DF4DE6" w:rsidRDefault="001B2AC3" w:rsidP="00240AE0">
      <w:pPr>
        <w:pStyle w:val="Paragraphedeliste"/>
        <w:numPr>
          <w:ilvl w:val="0"/>
          <w:numId w:val="2"/>
        </w:numPr>
        <w:spacing w:after="40" w:line="264" w:lineRule="auto"/>
        <w:jc w:val="both"/>
      </w:pPr>
      <w:r>
        <w:rPr>
          <w:color w:val="333333"/>
          <w:sz w:val="18"/>
          <w:szCs w:val="18"/>
        </w:rPr>
        <w:t>CE, 19 mai 1933, Benjamin, nos 17413, 17520.</w:t>
      </w:r>
    </w:p>
    <w:p w14:paraId="5D7282A7" w14:textId="77777777" w:rsidR="00DF4DE6" w:rsidRDefault="00DF4DE6" w:rsidP="00240AE0">
      <w:pPr>
        <w:pBdr>
          <w:top w:val="single" w:sz="6" w:space="0" w:color="C7D2E0"/>
        </w:pBdr>
        <w:spacing w:before="260" w:after="180"/>
        <w:jc w:val="both"/>
      </w:pPr>
    </w:p>
    <w:p w14:paraId="0D0B2FDD"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39  ·</w:t>
      </w:r>
      <w:proofErr w:type="gramEnd"/>
      <w:r>
        <w:rPr>
          <w:b/>
          <w:bCs/>
          <w:color w:val="2E5A88"/>
          <w:sz w:val="22"/>
          <w:szCs w:val="22"/>
        </w:rPr>
        <w:t xml:space="preserve">  </w:t>
      </w:r>
      <w:r>
        <w:rPr>
          <w:rFonts w:ascii="Cambria" w:eastAsia="Cambria" w:hAnsi="Cambria" w:cs="Cambria"/>
          <w:b/>
          <w:bCs/>
          <w:color w:val="1F3864"/>
        </w:rPr>
        <w:t>La liberté d’association</w:t>
      </w:r>
    </w:p>
    <w:p w14:paraId="0137FA0B" w14:textId="77777777" w:rsidR="00DF4DE6" w:rsidRDefault="001B2AC3" w:rsidP="00240AE0">
      <w:pPr>
        <w:spacing w:after="120"/>
        <w:jc w:val="both"/>
      </w:pPr>
      <w:r>
        <w:rPr>
          <w:i/>
          <w:iCs/>
          <w:color w:val="595959"/>
          <w:sz w:val="17"/>
          <w:szCs w:val="17"/>
        </w:rPr>
        <w:t>Fascicule, p. 404</w:t>
      </w:r>
    </w:p>
    <w:p w14:paraId="5B8039C8" w14:textId="77777777" w:rsidR="00DF4DE6" w:rsidRDefault="001B2AC3" w:rsidP="00240AE0">
      <w:pPr>
        <w:spacing w:before="200" w:after="70"/>
        <w:jc w:val="both"/>
      </w:pPr>
      <w:r>
        <w:rPr>
          <w:b/>
          <w:bCs/>
          <w:color w:val="2E5A88"/>
          <w:spacing w:val="24"/>
          <w:sz w:val="17"/>
          <w:szCs w:val="17"/>
        </w:rPr>
        <w:t>IDÉE DIRECTRICE</w:t>
      </w:r>
    </w:p>
    <w:p w14:paraId="613599ED" w14:textId="77777777" w:rsidR="00DF4DE6" w:rsidRDefault="001B2AC3" w:rsidP="00240AE0">
      <w:pPr>
        <w:spacing w:after="60" w:line="276" w:lineRule="auto"/>
        <w:jc w:val="both"/>
      </w:pPr>
      <w:r>
        <w:t>Une liberté datée et consacrée : loi du 1er juillet 1901, puis valeur constitutionnelle par la décision de 1971. La fiche déroule les sources, les catégories d'associations, le régime juridique (liberté individuelle d'adhérer ou non, libre constitution, objet, libre fonctionnement), et les limites : restrictions, dissolution judiciaire et dissolution administrative.</w:t>
      </w:r>
    </w:p>
    <w:p w14:paraId="605F1075" w14:textId="77777777" w:rsidR="00DF4DE6" w:rsidRDefault="001B2AC3" w:rsidP="00240AE0">
      <w:pPr>
        <w:spacing w:before="200" w:after="70"/>
        <w:jc w:val="both"/>
      </w:pPr>
      <w:r>
        <w:rPr>
          <w:b/>
          <w:bCs/>
          <w:color w:val="2E5A88"/>
          <w:spacing w:val="24"/>
          <w:sz w:val="17"/>
          <w:szCs w:val="17"/>
        </w:rPr>
        <w:t>POINTS CLÉS (ENCADRÉ DU FASCICULE)</w:t>
      </w:r>
    </w:p>
    <w:p w14:paraId="3A073FE8" w14:textId="77777777" w:rsidR="00DF4DE6" w:rsidRDefault="001B2AC3" w:rsidP="00240AE0">
      <w:pPr>
        <w:pStyle w:val="Paragraphedeliste"/>
        <w:numPr>
          <w:ilvl w:val="0"/>
          <w:numId w:val="2"/>
        </w:numPr>
        <w:spacing w:after="40" w:line="264" w:lineRule="auto"/>
        <w:jc w:val="both"/>
      </w:pPr>
      <w:r>
        <w:rPr>
          <w:color w:val="1A1A1A"/>
          <w:sz w:val="19"/>
          <w:szCs w:val="19"/>
        </w:rPr>
        <w:t>Principe constitutionnellement garanti.</w:t>
      </w:r>
    </w:p>
    <w:p w14:paraId="432B743C" w14:textId="77777777" w:rsidR="00DF4DE6" w:rsidRDefault="001B2AC3" w:rsidP="00240AE0">
      <w:pPr>
        <w:pStyle w:val="Paragraphedeliste"/>
        <w:numPr>
          <w:ilvl w:val="0"/>
          <w:numId w:val="2"/>
        </w:numPr>
        <w:spacing w:after="40" w:line="264" w:lineRule="auto"/>
        <w:jc w:val="both"/>
      </w:pPr>
      <w:r>
        <w:rPr>
          <w:color w:val="1A1A1A"/>
          <w:sz w:val="19"/>
          <w:szCs w:val="19"/>
        </w:rPr>
        <w:t>Liberté de création d’une association.</w:t>
      </w:r>
    </w:p>
    <w:p w14:paraId="7516EA2D" w14:textId="77777777" w:rsidR="00DF4DE6" w:rsidRDefault="001B2AC3" w:rsidP="00240AE0">
      <w:pPr>
        <w:pStyle w:val="Paragraphedeliste"/>
        <w:numPr>
          <w:ilvl w:val="0"/>
          <w:numId w:val="2"/>
        </w:numPr>
        <w:spacing w:after="40" w:line="264" w:lineRule="auto"/>
        <w:jc w:val="both"/>
      </w:pPr>
      <w:r>
        <w:rPr>
          <w:color w:val="1A1A1A"/>
          <w:sz w:val="19"/>
          <w:szCs w:val="19"/>
        </w:rPr>
        <w:t>Régime juridique de l’association.</w:t>
      </w:r>
    </w:p>
    <w:p w14:paraId="0B22AC06" w14:textId="77777777" w:rsidR="00DF4DE6" w:rsidRDefault="001B2AC3" w:rsidP="00240AE0">
      <w:pPr>
        <w:pStyle w:val="Paragraphedeliste"/>
        <w:numPr>
          <w:ilvl w:val="0"/>
          <w:numId w:val="2"/>
        </w:numPr>
        <w:spacing w:after="40" w:line="264" w:lineRule="auto"/>
        <w:jc w:val="both"/>
      </w:pPr>
      <w:r>
        <w:rPr>
          <w:color w:val="1A1A1A"/>
          <w:sz w:val="19"/>
          <w:szCs w:val="19"/>
        </w:rPr>
        <w:t>Le libre fonctionnement de l’association.</w:t>
      </w:r>
    </w:p>
    <w:p w14:paraId="4C2E1667" w14:textId="77777777" w:rsidR="00DF4DE6" w:rsidRDefault="001B2AC3" w:rsidP="00240AE0">
      <w:pPr>
        <w:pStyle w:val="Paragraphedeliste"/>
        <w:numPr>
          <w:ilvl w:val="0"/>
          <w:numId w:val="2"/>
        </w:numPr>
        <w:spacing w:after="40" w:line="264" w:lineRule="auto"/>
        <w:jc w:val="both"/>
      </w:pPr>
      <w:r>
        <w:rPr>
          <w:color w:val="1A1A1A"/>
          <w:sz w:val="19"/>
          <w:szCs w:val="19"/>
        </w:rPr>
        <w:t>Les limites à la liberté d’association.</w:t>
      </w:r>
    </w:p>
    <w:p w14:paraId="1F1E5E6A" w14:textId="77777777" w:rsidR="00DF4DE6" w:rsidRDefault="001B2AC3" w:rsidP="00240AE0">
      <w:pPr>
        <w:spacing w:before="200" w:after="70"/>
        <w:jc w:val="both"/>
      </w:pPr>
      <w:r>
        <w:rPr>
          <w:b/>
          <w:bCs/>
          <w:color w:val="2E5A88"/>
          <w:spacing w:val="24"/>
          <w:sz w:val="17"/>
          <w:szCs w:val="17"/>
        </w:rPr>
        <w:lastRenderedPageBreak/>
        <w:t>PLAN DE LA FICHE</w:t>
      </w:r>
    </w:p>
    <w:p w14:paraId="6B18B8AF" w14:textId="77777777" w:rsidR="00DF4DE6" w:rsidRDefault="001B2AC3" w:rsidP="00240AE0">
      <w:pPr>
        <w:spacing w:after="20" w:line="250" w:lineRule="auto"/>
        <w:ind w:left="240"/>
        <w:jc w:val="both"/>
      </w:pPr>
      <w:r>
        <w:rPr>
          <w:b/>
          <w:bCs/>
          <w:color w:val="1F3864"/>
          <w:sz w:val="19"/>
          <w:szCs w:val="19"/>
        </w:rPr>
        <w:t>1. Les sources de la liberté d’association</w:t>
      </w:r>
    </w:p>
    <w:p w14:paraId="2E7209E9" w14:textId="77777777" w:rsidR="00DF4DE6" w:rsidRDefault="001B2AC3" w:rsidP="00240AE0">
      <w:pPr>
        <w:spacing w:after="20" w:line="250" w:lineRule="auto"/>
        <w:ind w:left="500"/>
        <w:jc w:val="both"/>
      </w:pPr>
      <w:r>
        <w:rPr>
          <w:color w:val="333333"/>
          <w:sz w:val="18"/>
          <w:szCs w:val="18"/>
        </w:rPr>
        <w:t>1.1. Les sources nationales</w:t>
      </w:r>
    </w:p>
    <w:p w14:paraId="67F2FE8B" w14:textId="77777777" w:rsidR="00DF4DE6" w:rsidRDefault="001B2AC3" w:rsidP="00240AE0">
      <w:pPr>
        <w:spacing w:after="20" w:line="250" w:lineRule="auto"/>
        <w:ind w:left="760"/>
        <w:jc w:val="both"/>
      </w:pPr>
      <w:r>
        <w:rPr>
          <w:color w:val="595959"/>
          <w:sz w:val="18"/>
          <w:szCs w:val="18"/>
        </w:rPr>
        <w:t>1.1.1. Une valeur législative ancienne</w:t>
      </w:r>
    </w:p>
    <w:p w14:paraId="701BFE99" w14:textId="77777777" w:rsidR="00DF4DE6" w:rsidRDefault="001B2AC3" w:rsidP="00240AE0">
      <w:pPr>
        <w:spacing w:after="20" w:line="250" w:lineRule="auto"/>
        <w:ind w:left="760"/>
        <w:jc w:val="both"/>
      </w:pPr>
      <w:r>
        <w:rPr>
          <w:color w:val="595959"/>
          <w:sz w:val="18"/>
          <w:szCs w:val="18"/>
        </w:rPr>
        <w:t>1.1.2. La consécration constitutionnelle de 1971</w:t>
      </w:r>
    </w:p>
    <w:p w14:paraId="7D032731" w14:textId="77777777" w:rsidR="00DF4DE6" w:rsidRDefault="001B2AC3" w:rsidP="00240AE0">
      <w:pPr>
        <w:spacing w:after="20" w:line="250" w:lineRule="auto"/>
        <w:ind w:left="500"/>
        <w:jc w:val="both"/>
      </w:pPr>
      <w:r>
        <w:rPr>
          <w:color w:val="333333"/>
          <w:sz w:val="18"/>
          <w:szCs w:val="18"/>
        </w:rPr>
        <w:t>1.2. Les sources supranationales</w:t>
      </w:r>
    </w:p>
    <w:p w14:paraId="7D038D7D" w14:textId="77777777" w:rsidR="00DF4DE6" w:rsidRDefault="001B2AC3" w:rsidP="00240AE0">
      <w:pPr>
        <w:spacing w:after="20" w:line="250" w:lineRule="auto"/>
        <w:ind w:left="760"/>
        <w:jc w:val="both"/>
      </w:pPr>
      <w:r>
        <w:rPr>
          <w:color w:val="595959"/>
          <w:sz w:val="18"/>
          <w:szCs w:val="18"/>
        </w:rPr>
        <w:t>1.2.1. Les sources internationales</w:t>
      </w:r>
    </w:p>
    <w:p w14:paraId="0C57FD02" w14:textId="77777777" w:rsidR="00DF4DE6" w:rsidRDefault="001B2AC3" w:rsidP="00240AE0">
      <w:pPr>
        <w:spacing w:after="20" w:line="250" w:lineRule="auto"/>
        <w:ind w:left="760"/>
        <w:jc w:val="both"/>
      </w:pPr>
      <w:r>
        <w:rPr>
          <w:color w:val="595959"/>
          <w:sz w:val="18"/>
          <w:szCs w:val="18"/>
        </w:rPr>
        <w:t>1.2.2. Les sources européennes</w:t>
      </w:r>
    </w:p>
    <w:p w14:paraId="2691EE4D" w14:textId="77777777" w:rsidR="00DF4DE6" w:rsidRDefault="001B2AC3" w:rsidP="00240AE0">
      <w:pPr>
        <w:spacing w:after="20" w:line="250" w:lineRule="auto"/>
        <w:ind w:left="240"/>
        <w:jc w:val="both"/>
      </w:pPr>
      <w:r>
        <w:rPr>
          <w:b/>
          <w:bCs/>
          <w:color w:val="1F3864"/>
          <w:sz w:val="19"/>
          <w:szCs w:val="19"/>
        </w:rPr>
        <w:t>2. Les différentes catégories d’association</w:t>
      </w:r>
    </w:p>
    <w:p w14:paraId="476FB8C5" w14:textId="77777777" w:rsidR="00DF4DE6" w:rsidRDefault="001B2AC3" w:rsidP="00240AE0">
      <w:pPr>
        <w:spacing w:after="20" w:line="250" w:lineRule="auto"/>
        <w:ind w:left="240"/>
        <w:jc w:val="both"/>
      </w:pPr>
      <w:r>
        <w:rPr>
          <w:b/>
          <w:bCs/>
          <w:color w:val="1F3864"/>
          <w:sz w:val="19"/>
          <w:szCs w:val="19"/>
        </w:rPr>
        <w:t>3. Le régime juridique des associations</w:t>
      </w:r>
    </w:p>
    <w:p w14:paraId="24102B45" w14:textId="77777777" w:rsidR="00DF4DE6" w:rsidRDefault="001B2AC3" w:rsidP="00240AE0">
      <w:pPr>
        <w:spacing w:after="20" w:line="250" w:lineRule="auto"/>
        <w:ind w:left="500"/>
        <w:jc w:val="both"/>
      </w:pPr>
      <w:r>
        <w:rPr>
          <w:color w:val="333333"/>
          <w:sz w:val="18"/>
          <w:szCs w:val="18"/>
        </w:rPr>
        <w:t>3.1. La liberté individuelle d’adhérer ou de ne pas adhérer</w:t>
      </w:r>
    </w:p>
    <w:p w14:paraId="1B58B768" w14:textId="77777777" w:rsidR="00DF4DE6" w:rsidRDefault="001B2AC3" w:rsidP="00240AE0">
      <w:pPr>
        <w:spacing w:after="20" w:line="250" w:lineRule="auto"/>
        <w:ind w:left="760"/>
        <w:jc w:val="both"/>
      </w:pPr>
      <w:r>
        <w:rPr>
          <w:color w:val="595959"/>
          <w:sz w:val="18"/>
          <w:szCs w:val="18"/>
        </w:rPr>
        <w:t>3.1.1. L’adhésion à l’association</w:t>
      </w:r>
    </w:p>
    <w:p w14:paraId="3580D33E" w14:textId="77777777" w:rsidR="00DF4DE6" w:rsidRDefault="001B2AC3" w:rsidP="00240AE0">
      <w:pPr>
        <w:spacing w:after="20" w:line="250" w:lineRule="auto"/>
        <w:ind w:left="760"/>
        <w:jc w:val="both"/>
      </w:pPr>
      <w:r>
        <w:rPr>
          <w:color w:val="595959"/>
          <w:sz w:val="18"/>
          <w:szCs w:val="18"/>
        </w:rPr>
        <w:t>3.1.2. La non-adhésion et le retrait de l’association</w:t>
      </w:r>
    </w:p>
    <w:p w14:paraId="2A34CFC9" w14:textId="77777777" w:rsidR="00DF4DE6" w:rsidRDefault="001B2AC3" w:rsidP="00240AE0">
      <w:pPr>
        <w:spacing w:after="20" w:line="250" w:lineRule="auto"/>
        <w:ind w:left="500"/>
        <w:jc w:val="both"/>
      </w:pPr>
      <w:r>
        <w:rPr>
          <w:color w:val="333333"/>
          <w:sz w:val="18"/>
          <w:szCs w:val="18"/>
        </w:rPr>
        <w:t>3.2. Le principe de libre constitution de l’association</w:t>
      </w:r>
    </w:p>
    <w:p w14:paraId="471418D4" w14:textId="77777777" w:rsidR="00DF4DE6" w:rsidRDefault="001B2AC3" w:rsidP="00240AE0">
      <w:pPr>
        <w:spacing w:after="20" w:line="250" w:lineRule="auto"/>
        <w:ind w:left="500"/>
        <w:jc w:val="both"/>
      </w:pPr>
      <w:r>
        <w:rPr>
          <w:color w:val="333333"/>
          <w:sz w:val="18"/>
          <w:szCs w:val="18"/>
        </w:rPr>
        <w:t>3.3. L’objet de l’association</w:t>
      </w:r>
    </w:p>
    <w:p w14:paraId="69094971" w14:textId="77777777" w:rsidR="00DF4DE6" w:rsidRDefault="001B2AC3" w:rsidP="00240AE0">
      <w:pPr>
        <w:spacing w:after="20" w:line="250" w:lineRule="auto"/>
        <w:ind w:left="500"/>
        <w:jc w:val="both"/>
      </w:pPr>
      <w:r>
        <w:rPr>
          <w:color w:val="333333"/>
          <w:sz w:val="18"/>
          <w:szCs w:val="18"/>
        </w:rPr>
        <w:t>3.4. Le libre fonctionnement de l’association</w:t>
      </w:r>
    </w:p>
    <w:p w14:paraId="24535862" w14:textId="77777777" w:rsidR="00DF4DE6" w:rsidRDefault="001B2AC3" w:rsidP="00240AE0">
      <w:pPr>
        <w:spacing w:after="20" w:line="250" w:lineRule="auto"/>
        <w:ind w:left="240"/>
        <w:jc w:val="both"/>
      </w:pPr>
      <w:r>
        <w:rPr>
          <w:b/>
          <w:bCs/>
          <w:color w:val="1F3864"/>
          <w:sz w:val="19"/>
          <w:szCs w:val="19"/>
        </w:rPr>
        <w:t>4. Les limites de la liberté d’association</w:t>
      </w:r>
    </w:p>
    <w:p w14:paraId="2C726365" w14:textId="77777777" w:rsidR="00DF4DE6" w:rsidRDefault="001B2AC3" w:rsidP="00240AE0">
      <w:pPr>
        <w:spacing w:after="20" w:line="250" w:lineRule="auto"/>
        <w:ind w:left="500"/>
        <w:jc w:val="both"/>
      </w:pPr>
      <w:r>
        <w:rPr>
          <w:color w:val="333333"/>
          <w:sz w:val="18"/>
          <w:szCs w:val="18"/>
        </w:rPr>
        <w:t>4.1. Les restrictions de la liberté d’association</w:t>
      </w:r>
    </w:p>
    <w:p w14:paraId="3B5BF195" w14:textId="77777777" w:rsidR="00DF4DE6" w:rsidRDefault="001B2AC3" w:rsidP="00240AE0">
      <w:pPr>
        <w:spacing w:after="20" w:line="250" w:lineRule="auto"/>
        <w:ind w:left="500"/>
        <w:jc w:val="both"/>
      </w:pPr>
      <w:r>
        <w:rPr>
          <w:color w:val="333333"/>
          <w:sz w:val="18"/>
          <w:szCs w:val="18"/>
        </w:rPr>
        <w:t>4.2. La dissolution judiciaire</w:t>
      </w:r>
    </w:p>
    <w:p w14:paraId="514FBD71" w14:textId="77777777" w:rsidR="00DF4DE6" w:rsidRDefault="001B2AC3" w:rsidP="00240AE0">
      <w:pPr>
        <w:spacing w:after="20" w:line="250" w:lineRule="auto"/>
        <w:ind w:left="500"/>
        <w:jc w:val="both"/>
      </w:pPr>
      <w:r>
        <w:rPr>
          <w:color w:val="333333"/>
          <w:sz w:val="18"/>
          <w:szCs w:val="18"/>
        </w:rPr>
        <w:t>4.3. La dissolution administrative</w:t>
      </w:r>
    </w:p>
    <w:p w14:paraId="7B23697F" w14:textId="77777777" w:rsidR="00DF4DE6" w:rsidRDefault="001B2AC3" w:rsidP="00240AE0">
      <w:pPr>
        <w:spacing w:before="200" w:after="70"/>
        <w:jc w:val="both"/>
      </w:pPr>
      <w:r>
        <w:rPr>
          <w:b/>
          <w:bCs/>
          <w:color w:val="2E5A88"/>
          <w:spacing w:val="24"/>
          <w:sz w:val="17"/>
          <w:szCs w:val="17"/>
        </w:rPr>
        <w:t>RÉFÉRENCES CENTRALES</w:t>
      </w:r>
    </w:p>
    <w:p w14:paraId="189317FD" w14:textId="77777777" w:rsidR="00DF4DE6" w:rsidRDefault="001B2AC3" w:rsidP="00240AE0">
      <w:pPr>
        <w:pStyle w:val="Paragraphedeliste"/>
        <w:numPr>
          <w:ilvl w:val="0"/>
          <w:numId w:val="2"/>
        </w:numPr>
        <w:spacing w:after="40" w:line="264" w:lineRule="auto"/>
        <w:jc w:val="both"/>
      </w:pPr>
      <w:r>
        <w:rPr>
          <w:color w:val="333333"/>
          <w:sz w:val="18"/>
          <w:szCs w:val="18"/>
        </w:rPr>
        <w:t>Loi du 1er juillet 1901 relative au contrat d’association.</w:t>
      </w:r>
    </w:p>
    <w:p w14:paraId="5E0BF922"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no 71-44 DC, 16 juillet 1971, Loi complétant les dispositions des articles 5 et 7 de la loi du 1er juillet 1901 relative au contrat d'association.</w:t>
      </w:r>
    </w:p>
    <w:p w14:paraId="0C617E59"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Code des associations et des fondations, 14e </w:t>
      </w:r>
      <w:proofErr w:type="spellStart"/>
      <w:r>
        <w:rPr>
          <w:color w:val="333333"/>
          <w:sz w:val="18"/>
          <w:szCs w:val="18"/>
        </w:rPr>
        <w:t>ed</w:t>
      </w:r>
      <w:proofErr w:type="spellEnd"/>
      <w:r>
        <w:rPr>
          <w:color w:val="333333"/>
          <w:sz w:val="18"/>
          <w:szCs w:val="18"/>
        </w:rPr>
        <w:t>., Dalloz, 2022.</w:t>
      </w:r>
    </w:p>
    <w:p w14:paraId="1338CC84" w14:textId="77777777" w:rsidR="00DF4DE6" w:rsidRDefault="001B2AC3" w:rsidP="00240AE0">
      <w:pPr>
        <w:pStyle w:val="Paragraphedeliste"/>
        <w:numPr>
          <w:ilvl w:val="0"/>
          <w:numId w:val="2"/>
        </w:numPr>
        <w:spacing w:after="40" w:line="264" w:lineRule="auto"/>
        <w:jc w:val="both"/>
      </w:pPr>
      <w:r>
        <w:rPr>
          <w:color w:val="333333"/>
          <w:sz w:val="18"/>
          <w:szCs w:val="18"/>
        </w:rPr>
        <w:t>Colloque, La liberté d’association et le droit, centenaire de la loi de 1901, Paris, Conseil constitutionnel, 29 et 30 juin 2001.</w:t>
      </w:r>
    </w:p>
    <w:p w14:paraId="050A8F91" w14:textId="77777777" w:rsidR="00DF4DE6" w:rsidRDefault="001B2AC3" w:rsidP="00240AE0">
      <w:pPr>
        <w:pStyle w:val="Paragraphedeliste"/>
        <w:numPr>
          <w:ilvl w:val="0"/>
          <w:numId w:val="2"/>
        </w:numPr>
        <w:spacing w:after="40" w:line="264" w:lineRule="auto"/>
        <w:jc w:val="both"/>
      </w:pPr>
      <w:r>
        <w:rPr>
          <w:color w:val="333333"/>
          <w:sz w:val="18"/>
          <w:szCs w:val="18"/>
        </w:rPr>
        <w:t>Jean Duffar, « La liberté d’association dans la Convention européenne des droits de l’homme », LPA, 24 août 1996, p. 41.</w:t>
      </w:r>
    </w:p>
    <w:p w14:paraId="01325637" w14:textId="77777777" w:rsidR="00DF4DE6" w:rsidRDefault="001B2AC3" w:rsidP="00240AE0">
      <w:pPr>
        <w:pStyle w:val="Paragraphedeliste"/>
        <w:numPr>
          <w:ilvl w:val="0"/>
          <w:numId w:val="2"/>
        </w:numPr>
        <w:spacing w:after="40" w:line="264" w:lineRule="auto"/>
        <w:jc w:val="both"/>
      </w:pPr>
      <w:r>
        <w:rPr>
          <w:color w:val="333333"/>
          <w:sz w:val="18"/>
          <w:szCs w:val="18"/>
        </w:rPr>
        <w:t>« Les associations et la loi de 1901, cent ans après », Conseil d’État, Rapport, La Documentation française, 2000.</w:t>
      </w:r>
    </w:p>
    <w:p w14:paraId="032239BA" w14:textId="77777777" w:rsidR="00DF4DE6" w:rsidRDefault="001B2AC3" w:rsidP="00240AE0">
      <w:pPr>
        <w:pStyle w:val="Paragraphedeliste"/>
        <w:numPr>
          <w:ilvl w:val="0"/>
          <w:numId w:val="2"/>
        </w:numPr>
        <w:spacing w:after="40" w:line="264" w:lineRule="auto"/>
        <w:jc w:val="both"/>
      </w:pPr>
      <w:r>
        <w:rPr>
          <w:color w:val="333333"/>
          <w:sz w:val="18"/>
          <w:szCs w:val="18"/>
        </w:rPr>
        <w:t xml:space="preserve">Michel Doucin, </w:t>
      </w:r>
      <w:proofErr w:type="spellStart"/>
      <w:r>
        <w:rPr>
          <w:color w:val="333333"/>
          <w:sz w:val="18"/>
          <w:szCs w:val="18"/>
        </w:rPr>
        <w:t>dir</w:t>
      </w:r>
      <w:proofErr w:type="spellEnd"/>
      <w:r>
        <w:rPr>
          <w:color w:val="333333"/>
          <w:sz w:val="18"/>
          <w:szCs w:val="18"/>
        </w:rPr>
        <w:t>., Guide de la liberté d’association dans le monde, 2e éd., La Documentation française, 2007.</w:t>
      </w:r>
    </w:p>
    <w:p w14:paraId="530D3B75" w14:textId="77777777" w:rsidR="00DF4DE6" w:rsidRDefault="00DF4DE6" w:rsidP="00240AE0">
      <w:pPr>
        <w:pBdr>
          <w:top w:val="single" w:sz="6" w:space="0" w:color="C7D2E0"/>
        </w:pBdr>
        <w:spacing w:before="260" w:after="180"/>
        <w:jc w:val="both"/>
      </w:pPr>
    </w:p>
    <w:p w14:paraId="3DAEE742"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40  ·</w:t>
      </w:r>
      <w:proofErr w:type="gramEnd"/>
      <w:r>
        <w:rPr>
          <w:b/>
          <w:bCs/>
          <w:color w:val="2E5A88"/>
          <w:sz w:val="22"/>
          <w:szCs w:val="22"/>
        </w:rPr>
        <w:t xml:space="preserve">  </w:t>
      </w:r>
      <w:r>
        <w:rPr>
          <w:rFonts w:ascii="Cambria" w:eastAsia="Cambria" w:hAnsi="Cambria" w:cs="Cambria"/>
          <w:b/>
          <w:bCs/>
          <w:color w:val="1F3864"/>
        </w:rPr>
        <w:t>La liberté d’aller et venir</w:t>
      </w:r>
    </w:p>
    <w:p w14:paraId="79EAA1D8" w14:textId="77777777" w:rsidR="00DF4DE6" w:rsidRDefault="001B2AC3" w:rsidP="00240AE0">
      <w:pPr>
        <w:spacing w:after="120"/>
        <w:jc w:val="both"/>
      </w:pPr>
      <w:r>
        <w:rPr>
          <w:i/>
          <w:iCs/>
          <w:color w:val="595959"/>
          <w:sz w:val="17"/>
          <w:szCs w:val="17"/>
        </w:rPr>
        <w:t>Fascicule, p. 416</w:t>
      </w:r>
    </w:p>
    <w:p w14:paraId="394FD7A0" w14:textId="77777777" w:rsidR="00DF4DE6" w:rsidRDefault="001B2AC3" w:rsidP="00240AE0">
      <w:pPr>
        <w:spacing w:before="200" w:after="70"/>
        <w:jc w:val="both"/>
      </w:pPr>
      <w:r>
        <w:rPr>
          <w:b/>
          <w:bCs/>
          <w:color w:val="2E5A88"/>
          <w:spacing w:val="24"/>
          <w:sz w:val="17"/>
          <w:szCs w:val="17"/>
        </w:rPr>
        <w:t>IDÉE DIRECTRICE</w:t>
      </w:r>
    </w:p>
    <w:p w14:paraId="470FEE37" w14:textId="77777777" w:rsidR="00DF4DE6" w:rsidRDefault="001B2AC3" w:rsidP="00240AE0">
      <w:pPr>
        <w:spacing w:after="60" w:line="276" w:lineRule="auto"/>
        <w:jc w:val="both"/>
      </w:pPr>
      <w:r>
        <w:t>La fiche repose sur une distinction opératoire : privation de liberté (fiche 30) contre simple restriction à la liberté d'aller et venir. Elle traite l'entrée et la sortie du territoire, les entraves (contrôles de police judiciaire et de police administrative), l'articulation avec la lutte contre le terrorisme (périmètres de protection, mesures individuelles de contrôle administratif et de surveillance), et la libre circulation dans l'Union — y compris la « cinquième liberté », celle des données.</w:t>
      </w:r>
    </w:p>
    <w:p w14:paraId="49328CB2" w14:textId="77777777" w:rsidR="00DF4DE6" w:rsidRDefault="001B2AC3" w:rsidP="00240AE0">
      <w:pPr>
        <w:spacing w:before="200" w:after="70"/>
        <w:jc w:val="both"/>
      </w:pPr>
      <w:r>
        <w:rPr>
          <w:b/>
          <w:bCs/>
          <w:color w:val="2E5A88"/>
          <w:spacing w:val="24"/>
          <w:sz w:val="17"/>
          <w:szCs w:val="17"/>
        </w:rPr>
        <w:t>POINTS CLÉS (ENCADRÉ DU FASCICULE)</w:t>
      </w:r>
    </w:p>
    <w:p w14:paraId="334C64E7" w14:textId="77777777" w:rsidR="00DF4DE6" w:rsidRDefault="001B2AC3" w:rsidP="00240AE0">
      <w:pPr>
        <w:pStyle w:val="Paragraphedeliste"/>
        <w:numPr>
          <w:ilvl w:val="0"/>
          <w:numId w:val="2"/>
        </w:numPr>
        <w:spacing w:after="40" w:line="264" w:lineRule="auto"/>
        <w:jc w:val="both"/>
      </w:pPr>
      <w:r>
        <w:rPr>
          <w:color w:val="1A1A1A"/>
          <w:sz w:val="19"/>
          <w:szCs w:val="19"/>
        </w:rPr>
        <w:t>Liberté d’aller et venir.</w:t>
      </w:r>
    </w:p>
    <w:p w14:paraId="14C7BC66" w14:textId="77777777" w:rsidR="00DF4DE6" w:rsidRDefault="001B2AC3" w:rsidP="00240AE0">
      <w:pPr>
        <w:pStyle w:val="Paragraphedeliste"/>
        <w:numPr>
          <w:ilvl w:val="0"/>
          <w:numId w:val="2"/>
        </w:numPr>
        <w:spacing w:after="40" w:line="264" w:lineRule="auto"/>
        <w:jc w:val="both"/>
      </w:pPr>
      <w:r>
        <w:rPr>
          <w:color w:val="1A1A1A"/>
          <w:sz w:val="19"/>
          <w:szCs w:val="19"/>
        </w:rPr>
        <w:t>Espace public.</w:t>
      </w:r>
    </w:p>
    <w:p w14:paraId="4D935DA9" w14:textId="77777777" w:rsidR="00DF4DE6" w:rsidRDefault="001B2AC3" w:rsidP="00240AE0">
      <w:pPr>
        <w:pStyle w:val="Paragraphedeliste"/>
        <w:numPr>
          <w:ilvl w:val="0"/>
          <w:numId w:val="2"/>
        </w:numPr>
        <w:spacing w:after="40" w:line="264" w:lineRule="auto"/>
        <w:jc w:val="both"/>
      </w:pPr>
      <w:r>
        <w:rPr>
          <w:color w:val="1A1A1A"/>
          <w:sz w:val="19"/>
          <w:szCs w:val="19"/>
        </w:rPr>
        <w:t>Droit fondamental des citoyens.</w:t>
      </w:r>
    </w:p>
    <w:p w14:paraId="297CF69C" w14:textId="77777777" w:rsidR="00DF4DE6" w:rsidRDefault="001B2AC3" w:rsidP="00240AE0">
      <w:pPr>
        <w:pStyle w:val="Paragraphedeliste"/>
        <w:numPr>
          <w:ilvl w:val="0"/>
          <w:numId w:val="2"/>
        </w:numPr>
        <w:spacing w:after="40" w:line="264" w:lineRule="auto"/>
        <w:jc w:val="both"/>
      </w:pPr>
      <w:r>
        <w:rPr>
          <w:color w:val="1A1A1A"/>
          <w:sz w:val="19"/>
          <w:szCs w:val="19"/>
        </w:rPr>
        <w:t>Privation de liberté versus restriction.</w:t>
      </w:r>
    </w:p>
    <w:p w14:paraId="3A0D8CD3" w14:textId="77777777" w:rsidR="00DF4DE6" w:rsidRDefault="001B2AC3" w:rsidP="00240AE0">
      <w:pPr>
        <w:pStyle w:val="Paragraphedeliste"/>
        <w:numPr>
          <w:ilvl w:val="0"/>
          <w:numId w:val="2"/>
        </w:numPr>
        <w:spacing w:after="40" w:line="264" w:lineRule="auto"/>
        <w:jc w:val="both"/>
      </w:pPr>
      <w:r>
        <w:rPr>
          <w:color w:val="1A1A1A"/>
          <w:sz w:val="19"/>
          <w:szCs w:val="19"/>
        </w:rPr>
        <w:t>Régimes différenciés.</w:t>
      </w:r>
    </w:p>
    <w:p w14:paraId="34E03F70" w14:textId="77777777" w:rsidR="00DF4DE6" w:rsidRDefault="001B2AC3" w:rsidP="00240AE0">
      <w:pPr>
        <w:pStyle w:val="Paragraphedeliste"/>
        <w:numPr>
          <w:ilvl w:val="0"/>
          <w:numId w:val="2"/>
        </w:numPr>
        <w:spacing w:after="40" w:line="264" w:lineRule="auto"/>
        <w:jc w:val="both"/>
      </w:pPr>
      <w:r>
        <w:rPr>
          <w:color w:val="1A1A1A"/>
          <w:sz w:val="19"/>
          <w:szCs w:val="19"/>
        </w:rPr>
        <w:t>Mesures d’exception.</w:t>
      </w:r>
    </w:p>
    <w:p w14:paraId="19EE7BCA" w14:textId="77777777" w:rsidR="00DF4DE6" w:rsidRDefault="001B2AC3" w:rsidP="00240AE0">
      <w:pPr>
        <w:pStyle w:val="Paragraphedeliste"/>
        <w:numPr>
          <w:ilvl w:val="0"/>
          <w:numId w:val="2"/>
        </w:numPr>
        <w:spacing w:after="40" w:line="264" w:lineRule="auto"/>
        <w:jc w:val="both"/>
      </w:pPr>
      <w:r>
        <w:rPr>
          <w:color w:val="1A1A1A"/>
          <w:sz w:val="19"/>
          <w:szCs w:val="19"/>
        </w:rPr>
        <w:t>Espace Schengen : citoyens européens et ressortissant de pays tiers.</w:t>
      </w:r>
    </w:p>
    <w:p w14:paraId="6D0FAE86" w14:textId="77777777" w:rsidR="00DF4DE6" w:rsidRDefault="001B2AC3" w:rsidP="00240AE0">
      <w:pPr>
        <w:pStyle w:val="Paragraphedeliste"/>
        <w:numPr>
          <w:ilvl w:val="0"/>
          <w:numId w:val="2"/>
        </w:numPr>
        <w:spacing w:after="40" w:line="264" w:lineRule="auto"/>
        <w:jc w:val="both"/>
      </w:pPr>
      <w:r>
        <w:rPr>
          <w:color w:val="1A1A1A"/>
          <w:sz w:val="19"/>
          <w:szCs w:val="19"/>
        </w:rPr>
        <w:t>Crise exceptionnelle et temporaire : état d’urgence (sanitaire).</w:t>
      </w:r>
    </w:p>
    <w:p w14:paraId="0DA74916" w14:textId="77777777" w:rsidR="00DF4DE6" w:rsidRDefault="001B2AC3" w:rsidP="00240AE0">
      <w:pPr>
        <w:pStyle w:val="Paragraphedeliste"/>
        <w:numPr>
          <w:ilvl w:val="0"/>
          <w:numId w:val="2"/>
        </w:numPr>
        <w:spacing w:after="40" w:line="264" w:lineRule="auto"/>
        <w:jc w:val="both"/>
      </w:pPr>
      <w:r>
        <w:rPr>
          <w:color w:val="1A1A1A"/>
          <w:sz w:val="19"/>
          <w:szCs w:val="19"/>
        </w:rPr>
        <w:lastRenderedPageBreak/>
        <w:t>Enjeux contemporains : contrôle au faciès et dérives sécuritaires.</w:t>
      </w:r>
    </w:p>
    <w:p w14:paraId="65AB94F3" w14:textId="77777777" w:rsidR="00DF4DE6" w:rsidRDefault="001B2AC3" w:rsidP="00240AE0">
      <w:pPr>
        <w:spacing w:before="200" w:after="70"/>
        <w:jc w:val="both"/>
      </w:pPr>
      <w:r>
        <w:rPr>
          <w:b/>
          <w:bCs/>
          <w:color w:val="2E5A88"/>
          <w:spacing w:val="24"/>
          <w:sz w:val="17"/>
          <w:szCs w:val="17"/>
        </w:rPr>
        <w:t>PLAN DE LA FICHE</w:t>
      </w:r>
    </w:p>
    <w:p w14:paraId="027E24D1" w14:textId="77777777" w:rsidR="00DF4DE6" w:rsidRDefault="001B2AC3" w:rsidP="00240AE0">
      <w:pPr>
        <w:spacing w:after="20" w:line="250" w:lineRule="auto"/>
        <w:ind w:left="240"/>
        <w:jc w:val="both"/>
      </w:pPr>
      <w:r>
        <w:rPr>
          <w:b/>
          <w:bCs/>
          <w:color w:val="1F3864"/>
          <w:sz w:val="19"/>
          <w:szCs w:val="19"/>
        </w:rPr>
        <w:t>1. Le cadre général de la liberté d’aller et venir en France</w:t>
      </w:r>
    </w:p>
    <w:p w14:paraId="3C57270A" w14:textId="77777777" w:rsidR="00DF4DE6" w:rsidRDefault="001B2AC3" w:rsidP="00240AE0">
      <w:pPr>
        <w:spacing w:after="20" w:line="250" w:lineRule="auto"/>
        <w:ind w:left="500"/>
        <w:jc w:val="both"/>
      </w:pPr>
      <w:r>
        <w:rPr>
          <w:color w:val="333333"/>
          <w:sz w:val="18"/>
          <w:szCs w:val="18"/>
        </w:rPr>
        <w:t>1.1. Fondement de la liberté de circulation</w:t>
      </w:r>
    </w:p>
    <w:p w14:paraId="76817E8D" w14:textId="77777777" w:rsidR="00DF4DE6" w:rsidRDefault="001B2AC3" w:rsidP="00240AE0">
      <w:pPr>
        <w:spacing w:after="20" w:line="250" w:lineRule="auto"/>
        <w:ind w:left="760"/>
        <w:jc w:val="both"/>
      </w:pPr>
      <w:r>
        <w:rPr>
          <w:color w:val="595959"/>
          <w:sz w:val="18"/>
          <w:szCs w:val="18"/>
        </w:rPr>
        <w:t>1.1.1. Privation de liberté et restriction à la liberté d’aller et venir</w:t>
      </w:r>
    </w:p>
    <w:p w14:paraId="60E0E8D9" w14:textId="77777777" w:rsidR="00DF4DE6" w:rsidRDefault="001B2AC3" w:rsidP="00240AE0">
      <w:pPr>
        <w:spacing w:after="20" w:line="250" w:lineRule="auto"/>
        <w:ind w:left="760"/>
        <w:jc w:val="both"/>
      </w:pPr>
      <w:r>
        <w:rPr>
          <w:color w:val="595959"/>
          <w:sz w:val="18"/>
          <w:szCs w:val="18"/>
        </w:rPr>
        <w:t>1.1.2. Zones grises : l’état d’urgence</w:t>
      </w:r>
    </w:p>
    <w:p w14:paraId="2F51AFD0" w14:textId="77777777" w:rsidR="00DF4DE6" w:rsidRDefault="001B2AC3" w:rsidP="00240AE0">
      <w:pPr>
        <w:spacing w:after="20" w:line="250" w:lineRule="auto"/>
        <w:ind w:left="500"/>
        <w:jc w:val="both"/>
      </w:pPr>
      <w:r>
        <w:rPr>
          <w:color w:val="333333"/>
          <w:sz w:val="18"/>
          <w:szCs w:val="18"/>
        </w:rPr>
        <w:t>1.2. Entrée et sortie en territoire français</w:t>
      </w:r>
    </w:p>
    <w:p w14:paraId="6BD29660" w14:textId="77777777" w:rsidR="00DF4DE6" w:rsidRDefault="001B2AC3" w:rsidP="00240AE0">
      <w:pPr>
        <w:spacing w:after="20" w:line="250" w:lineRule="auto"/>
        <w:ind w:left="760"/>
        <w:jc w:val="both"/>
      </w:pPr>
      <w:r>
        <w:rPr>
          <w:color w:val="595959"/>
          <w:sz w:val="18"/>
          <w:szCs w:val="18"/>
        </w:rPr>
        <w:t>1.2.1. L’entrée sur le territoire</w:t>
      </w:r>
    </w:p>
    <w:p w14:paraId="08DFDC96" w14:textId="77777777" w:rsidR="00DF4DE6" w:rsidRDefault="001B2AC3" w:rsidP="00240AE0">
      <w:pPr>
        <w:spacing w:after="20" w:line="250" w:lineRule="auto"/>
        <w:ind w:left="760"/>
        <w:jc w:val="both"/>
      </w:pPr>
      <w:r>
        <w:rPr>
          <w:color w:val="595959"/>
          <w:sz w:val="18"/>
          <w:szCs w:val="18"/>
        </w:rPr>
        <w:t>1.2.2. La sortie du territoire</w:t>
      </w:r>
    </w:p>
    <w:p w14:paraId="0F1E15C6" w14:textId="77777777" w:rsidR="00DF4DE6" w:rsidRDefault="001B2AC3" w:rsidP="00240AE0">
      <w:pPr>
        <w:spacing w:after="20" w:line="250" w:lineRule="auto"/>
        <w:ind w:left="500"/>
        <w:jc w:val="both"/>
      </w:pPr>
      <w:r>
        <w:rPr>
          <w:color w:val="333333"/>
          <w:sz w:val="18"/>
          <w:szCs w:val="18"/>
        </w:rPr>
        <w:t>1.3. Les entraves à la liberté de circulation</w:t>
      </w:r>
    </w:p>
    <w:p w14:paraId="10361803" w14:textId="77777777" w:rsidR="00DF4DE6" w:rsidRDefault="001B2AC3" w:rsidP="00240AE0">
      <w:pPr>
        <w:spacing w:after="20" w:line="250" w:lineRule="auto"/>
        <w:ind w:left="760"/>
        <w:jc w:val="both"/>
      </w:pPr>
      <w:r>
        <w:rPr>
          <w:color w:val="595959"/>
          <w:sz w:val="18"/>
          <w:szCs w:val="18"/>
        </w:rPr>
        <w:t>1.3.1. Les contrôles de police judiciaire</w:t>
      </w:r>
    </w:p>
    <w:p w14:paraId="0643DEB8" w14:textId="77777777" w:rsidR="00DF4DE6" w:rsidRDefault="001B2AC3" w:rsidP="00240AE0">
      <w:pPr>
        <w:spacing w:after="20" w:line="250" w:lineRule="auto"/>
        <w:ind w:left="760"/>
        <w:jc w:val="both"/>
      </w:pPr>
      <w:r>
        <w:rPr>
          <w:color w:val="595959"/>
          <w:sz w:val="18"/>
          <w:szCs w:val="18"/>
        </w:rPr>
        <w:t>1.3.2. Les contrôles de police administrative</w:t>
      </w:r>
    </w:p>
    <w:p w14:paraId="74C3F216" w14:textId="77777777" w:rsidR="00DF4DE6" w:rsidRDefault="001B2AC3" w:rsidP="00240AE0">
      <w:pPr>
        <w:spacing w:after="20" w:line="250" w:lineRule="auto"/>
        <w:ind w:left="240"/>
        <w:jc w:val="both"/>
      </w:pPr>
      <w:r>
        <w:rPr>
          <w:b/>
          <w:bCs/>
          <w:color w:val="1F3864"/>
          <w:sz w:val="19"/>
          <w:szCs w:val="19"/>
        </w:rPr>
        <w:t>2. L’articulation de la liberté de circulation avec la lutte contre le terrorisme</w:t>
      </w:r>
    </w:p>
    <w:p w14:paraId="1C2B2D81" w14:textId="77777777" w:rsidR="00DF4DE6" w:rsidRDefault="001B2AC3" w:rsidP="00240AE0">
      <w:pPr>
        <w:spacing w:after="20" w:line="250" w:lineRule="auto"/>
        <w:ind w:left="500"/>
        <w:jc w:val="both"/>
      </w:pPr>
      <w:r>
        <w:rPr>
          <w:color w:val="333333"/>
          <w:sz w:val="18"/>
          <w:szCs w:val="18"/>
        </w:rPr>
        <w:t>2.1. Les restrictions spécifiques sur l’entrée et la sortie du territoire</w:t>
      </w:r>
    </w:p>
    <w:p w14:paraId="3F7D7CEA" w14:textId="77777777" w:rsidR="00DF4DE6" w:rsidRDefault="001B2AC3" w:rsidP="00240AE0">
      <w:pPr>
        <w:spacing w:after="20" w:line="250" w:lineRule="auto"/>
        <w:ind w:left="500"/>
        <w:jc w:val="both"/>
      </w:pPr>
      <w:r>
        <w:rPr>
          <w:color w:val="333333"/>
          <w:sz w:val="18"/>
          <w:szCs w:val="18"/>
        </w:rPr>
        <w:t>2.2. Les périmètres de protection (pour tous)</w:t>
      </w:r>
    </w:p>
    <w:p w14:paraId="4C2DE8AF" w14:textId="77777777" w:rsidR="00DF4DE6" w:rsidRDefault="001B2AC3" w:rsidP="00240AE0">
      <w:pPr>
        <w:spacing w:after="20" w:line="250" w:lineRule="auto"/>
        <w:ind w:left="500"/>
        <w:jc w:val="both"/>
      </w:pPr>
      <w:r>
        <w:rPr>
          <w:color w:val="333333"/>
          <w:sz w:val="18"/>
          <w:szCs w:val="18"/>
        </w:rPr>
        <w:t>2.3. Les mesures individuelles de contrôle administratif et de surveillance (anciennement assignations à résidence - pour certaines personnes)</w:t>
      </w:r>
    </w:p>
    <w:p w14:paraId="18446CF3" w14:textId="77777777" w:rsidR="00DF4DE6" w:rsidRDefault="001B2AC3" w:rsidP="00240AE0">
      <w:pPr>
        <w:spacing w:after="20" w:line="250" w:lineRule="auto"/>
        <w:ind w:left="240"/>
        <w:jc w:val="both"/>
      </w:pPr>
      <w:r>
        <w:rPr>
          <w:b/>
          <w:bCs/>
          <w:color w:val="1F3864"/>
          <w:sz w:val="19"/>
          <w:szCs w:val="19"/>
        </w:rPr>
        <w:t>3. La libre circulation des personnes dans l’Union européenne</w:t>
      </w:r>
    </w:p>
    <w:p w14:paraId="141464EC" w14:textId="77777777" w:rsidR="00DF4DE6" w:rsidRDefault="001B2AC3" w:rsidP="00240AE0">
      <w:pPr>
        <w:spacing w:after="20" w:line="250" w:lineRule="auto"/>
        <w:ind w:left="500"/>
        <w:jc w:val="both"/>
      </w:pPr>
      <w:r>
        <w:rPr>
          <w:color w:val="333333"/>
          <w:sz w:val="18"/>
          <w:szCs w:val="18"/>
        </w:rPr>
        <w:t>3.1. Marchandises et personnes : une liberté fondamentale(ment) économique</w:t>
      </w:r>
    </w:p>
    <w:p w14:paraId="6D705F83" w14:textId="77777777" w:rsidR="00DF4DE6" w:rsidRDefault="001B2AC3" w:rsidP="00240AE0">
      <w:pPr>
        <w:spacing w:after="20" w:line="250" w:lineRule="auto"/>
        <w:ind w:left="760"/>
        <w:jc w:val="both"/>
      </w:pPr>
      <w:r>
        <w:rPr>
          <w:color w:val="595959"/>
          <w:sz w:val="18"/>
          <w:szCs w:val="18"/>
        </w:rPr>
        <w:t>3.1.1. Le travailleur avant la personne</w:t>
      </w:r>
    </w:p>
    <w:p w14:paraId="0B0D241F" w14:textId="77777777" w:rsidR="00DF4DE6" w:rsidRDefault="001B2AC3" w:rsidP="00240AE0">
      <w:pPr>
        <w:spacing w:after="20" w:line="250" w:lineRule="auto"/>
        <w:ind w:left="760"/>
        <w:jc w:val="both"/>
      </w:pPr>
      <w:r>
        <w:rPr>
          <w:color w:val="595959"/>
          <w:sz w:val="18"/>
          <w:szCs w:val="18"/>
        </w:rPr>
        <w:t>3.1.2. Un citoyen de marché</w:t>
      </w:r>
    </w:p>
    <w:p w14:paraId="122F7296" w14:textId="77777777" w:rsidR="00DF4DE6" w:rsidRDefault="001B2AC3" w:rsidP="00240AE0">
      <w:pPr>
        <w:spacing w:after="20" w:line="250" w:lineRule="auto"/>
        <w:ind w:left="500"/>
        <w:jc w:val="both"/>
      </w:pPr>
      <w:r>
        <w:rPr>
          <w:color w:val="333333"/>
          <w:sz w:val="18"/>
          <w:szCs w:val="18"/>
        </w:rPr>
        <w:t>3.2. La cinquième liberté (numérique) : la libre circulation des données personnelles</w:t>
      </w:r>
    </w:p>
    <w:p w14:paraId="414B963F" w14:textId="77777777" w:rsidR="00DF4DE6" w:rsidRDefault="001B2AC3" w:rsidP="00240AE0">
      <w:pPr>
        <w:spacing w:before="200" w:after="70"/>
        <w:jc w:val="both"/>
      </w:pPr>
      <w:r>
        <w:rPr>
          <w:b/>
          <w:bCs/>
          <w:color w:val="2E5A88"/>
          <w:spacing w:val="24"/>
          <w:sz w:val="17"/>
          <w:szCs w:val="17"/>
        </w:rPr>
        <w:t>RÉFÉRENCES CENTRALES</w:t>
      </w:r>
    </w:p>
    <w:p w14:paraId="0BCFB9BE" w14:textId="77777777" w:rsidR="00DF4DE6" w:rsidRDefault="001B2AC3" w:rsidP="00240AE0">
      <w:pPr>
        <w:pStyle w:val="Paragraphedeliste"/>
        <w:numPr>
          <w:ilvl w:val="0"/>
          <w:numId w:val="2"/>
        </w:numPr>
        <w:spacing w:after="40" w:line="264" w:lineRule="auto"/>
        <w:jc w:val="both"/>
      </w:pPr>
      <w:r>
        <w:rPr>
          <w:color w:val="333333"/>
          <w:sz w:val="18"/>
          <w:szCs w:val="18"/>
        </w:rPr>
        <w:t>Articles 2 et 4 de la Déclaration des droits de l’homme et du citoyen.</w:t>
      </w:r>
    </w:p>
    <w:p w14:paraId="3B15731C" w14:textId="77777777" w:rsidR="00DF4DE6" w:rsidRDefault="001B2AC3" w:rsidP="00240AE0">
      <w:pPr>
        <w:pStyle w:val="Paragraphedeliste"/>
        <w:numPr>
          <w:ilvl w:val="0"/>
          <w:numId w:val="2"/>
        </w:numPr>
        <w:spacing w:after="40" w:line="264" w:lineRule="auto"/>
        <w:jc w:val="both"/>
      </w:pPr>
      <w:r>
        <w:rPr>
          <w:color w:val="333333"/>
          <w:sz w:val="18"/>
          <w:szCs w:val="18"/>
        </w:rPr>
        <w:t>Article 45 de la Charte des droits fondamentaux de l’Union européenne.</w:t>
      </w:r>
    </w:p>
    <w:p w14:paraId="40EDBEC8" w14:textId="77777777" w:rsidR="00DF4DE6" w:rsidRDefault="001B2AC3" w:rsidP="00240AE0">
      <w:pPr>
        <w:pStyle w:val="Paragraphedeliste"/>
        <w:numPr>
          <w:ilvl w:val="0"/>
          <w:numId w:val="2"/>
        </w:numPr>
        <w:spacing w:after="40" w:line="264" w:lineRule="auto"/>
        <w:jc w:val="both"/>
      </w:pPr>
      <w:r>
        <w:rPr>
          <w:color w:val="333333"/>
          <w:sz w:val="18"/>
          <w:szCs w:val="18"/>
        </w:rPr>
        <w:t>Protocole no 4 de la Convention européenne des droits de l’homme.</w:t>
      </w:r>
    </w:p>
    <w:p w14:paraId="7BBCCEAD" w14:textId="77777777" w:rsidR="00DF4DE6" w:rsidRDefault="001B2AC3" w:rsidP="00240AE0">
      <w:pPr>
        <w:pStyle w:val="Paragraphedeliste"/>
        <w:numPr>
          <w:ilvl w:val="0"/>
          <w:numId w:val="2"/>
        </w:numPr>
        <w:spacing w:after="40" w:line="264" w:lineRule="auto"/>
        <w:jc w:val="both"/>
      </w:pPr>
      <w:r>
        <w:rPr>
          <w:color w:val="333333"/>
          <w:sz w:val="18"/>
          <w:szCs w:val="18"/>
        </w:rPr>
        <w:t>Article 12 du Pacte international relatif aux droits civils et politiques.</w:t>
      </w:r>
    </w:p>
    <w:p w14:paraId="1551C2C1" w14:textId="77777777" w:rsidR="00DF4DE6" w:rsidRDefault="001B2AC3" w:rsidP="00240AE0">
      <w:pPr>
        <w:pStyle w:val="Paragraphedeliste"/>
        <w:numPr>
          <w:ilvl w:val="0"/>
          <w:numId w:val="2"/>
        </w:numPr>
        <w:spacing w:after="40" w:line="264" w:lineRule="auto"/>
        <w:jc w:val="both"/>
      </w:pPr>
      <w:r>
        <w:rPr>
          <w:color w:val="333333"/>
          <w:sz w:val="18"/>
          <w:szCs w:val="18"/>
        </w:rPr>
        <w:t>Article L. 521-2 du Code de justice administrative.</w:t>
      </w:r>
    </w:p>
    <w:p w14:paraId="7CA91BFC" w14:textId="77777777" w:rsidR="00DF4DE6" w:rsidRDefault="001B2AC3" w:rsidP="00240AE0">
      <w:pPr>
        <w:pStyle w:val="Paragraphedeliste"/>
        <w:numPr>
          <w:ilvl w:val="0"/>
          <w:numId w:val="2"/>
        </w:numPr>
        <w:spacing w:after="40" w:line="264" w:lineRule="auto"/>
        <w:jc w:val="both"/>
      </w:pPr>
      <w:r>
        <w:rPr>
          <w:color w:val="333333"/>
          <w:sz w:val="18"/>
          <w:szCs w:val="18"/>
        </w:rPr>
        <w:t>Article 78-2 du Code de procédure pénale.</w:t>
      </w:r>
    </w:p>
    <w:p w14:paraId="7EA38363"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xml:space="preserve">., déc. no 2010-13 QPC, 9 juillet 2010, Monsieur Orient et autre </w:t>
      </w:r>
      <w:r>
        <w:rPr>
          <w:color w:val="333333"/>
          <w:sz w:val="18"/>
          <w:szCs w:val="18"/>
        </w:rPr>
        <w:t>Gens du voyage</w:t>
      </w:r>
      <w:r>
        <w:rPr>
          <w:color w:val="333333"/>
          <w:sz w:val="18"/>
          <w:szCs w:val="18"/>
        </w:rPr>
        <w:t>.</w:t>
      </w:r>
    </w:p>
    <w:p w14:paraId="61F45BEF"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xml:space="preserve">., déc. no 2015-527 QPC, 22 décembre 2015, Monsieur Cédric D. </w:t>
      </w:r>
      <w:r>
        <w:rPr>
          <w:color w:val="333333"/>
          <w:sz w:val="18"/>
          <w:szCs w:val="18"/>
        </w:rPr>
        <w:t>Assignation à résidence dans le cadre de l’état d’urgence</w:t>
      </w:r>
      <w:r>
        <w:rPr>
          <w:color w:val="333333"/>
          <w:sz w:val="18"/>
          <w:szCs w:val="18"/>
        </w:rPr>
        <w:t>.</w:t>
      </w:r>
    </w:p>
    <w:p w14:paraId="7677BA1C" w14:textId="77777777" w:rsidR="00DF4DE6" w:rsidRDefault="001B2AC3" w:rsidP="00240AE0">
      <w:pPr>
        <w:pStyle w:val="Paragraphedeliste"/>
        <w:numPr>
          <w:ilvl w:val="0"/>
          <w:numId w:val="2"/>
        </w:numPr>
        <w:spacing w:after="40" w:line="264" w:lineRule="auto"/>
        <w:jc w:val="both"/>
      </w:pPr>
      <w:r>
        <w:rPr>
          <w:color w:val="333333"/>
          <w:sz w:val="18"/>
          <w:szCs w:val="18"/>
        </w:rPr>
        <w:t>CEDH, 6 novembre 1980, Guzzardi c. Italie, no 7367/76.</w:t>
      </w:r>
    </w:p>
    <w:p w14:paraId="6A2BBFA7" w14:textId="77777777" w:rsidR="00DF4DE6" w:rsidRDefault="001B2AC3" w:rsidP="00240AE0">
      <w:pPr>
        <w:pStyle w:val="Paragraphedeliste"/>
        <w:numPr>
          <w:ilvl w:val="0"/>
          <w:numId w:val="2"/>
        </w:numPr>
        <w:spacing w:after="40" w:line="264" w:lineRule="auto"/>
        <w:jc w:val="both"/>
      </w:pPr>
      <w:r>
        <w:rPr>
          <w:color w:val="333333"/>
          <w:sz w:val="18"/>
          <w:szCs w:val="18"/>
        </w:rPr>
        <w:t>Article 20 du Traité sur le fonctionnement de l’Union européenne.</w:t>
      </w:r>
    </w:p>
    <w:p w14:paraId="2B6450B2" w14:textId="77777777" w:rsidR="00DF4DE6" w:rsidRDefault="00DF4DE6" w:rsidP="00240AE0">
      <w:pPr>
        <w:pBdr>
          <w:top w:val="single" w:sz="6" w:space="0" w:color="C7D2E0"/>
        </w:pBdr>
        <w:spacing w:before="260" w:after="180"/>
        <w:jc w:val="both"/>
      </w:pPr>
    </w:p>
    <w:p w14:paraId="42788D23"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41  ·</w:t>
      </w:r>
      <w:proofErr w:type="gramEnd"/>
      <w:r>
        <w:rPr>
          <w:b/>
          <w:bCs/>
          <w:color w:val="2E5A88"/>
          <w:sz w:val="22"/>
          <w:szCs w:val="22"/>
        </w:rPr>
        <w:t xml:space="preserve">  </w:t>
      </w:r>
      <w:r>
        <w:rPr>
          <w:rFonts w:ascii="Cambria" w:eastAsia="Cambria" w:hAnsi="Cambria" w:cs="Cambria"/>
          <w:b/>
          <w:bCs/>
          <w:color w:val="1F3864"/>
        </w:rPr>
        <w:t>La liberté d’enseignement</w:t>
      </w:r>
    </w:p>
    <w:p w14:paraId="25CB54B4" w14:textId="77777777" w:rsidR="00DF4DE6" w:rsidRDefault="001B2AC3" w:rsidP="00240AE0">
      <w:pPr>
        <w:spacing w:after="120"/>
        <w:jc w:val="both"/>
      </w:pPr>
      <w:r>
        <w:rPr>
          <w:i/>
          <w:iCs/>
          <w:color w:val="595959"/>
          <w:sz w:val="17"/>
          <w:szCs w:val="17"/>
        </w:rPr>
        <w:t>Fascicule, p. 428</w:t>
      </w:r>
    </w:p>
    <w:p w14:paraId="047D40D4" w14:textId="77777777" w:rsidR="00DF4DE6" w:rsidRDefault="001B2AC3" w:rsidP="00240AE0">
      <w:pPr>
        <w:spacing w:before="200" w:after="70"/>
        <w:jc w:val="both"/>
      </w:pPr>
      <w:r>
        <w:rPr>
          <w:b/>
          <w:bCs/>
          <w:color w:val="2E5A88"/>
          <w:spacing w:val="24"/>
          <w:sz w:val="17"/>
          <w:szCs w:val="17"/>
        </w:rPr>
        <w:t>IDÉE DIRECTRICE</w:t>
      </w:r>
    </w:p>
    <w:p w14:paraId="542CCAC6" w14:textId="77777777" w:rsidR="00DF4DE6" w:rsidRDefault="001B2AC3" w:rsidP="00240AE0">
      <w:pPr>
        <w:spacing w:after="60" w:line="276" w:lineRule="auto"/>
        <w:jc w:val="both"/>
      </w:pPr>
      <w:r>
        <w:t>Distinction à tenir : liberté DE l'enseignement (liberté de créer et de faire fonctionner des établissements) et droit À l'enseignement (fiche 47). Sources législatives (Guizot, Falloux, Dupanloup) puis consécration comme principe fondamental reconnu par les lois de la République. Contenu : création d'établissements privés, encadrement du hors contrat, financement public, et libertés des enseignants — celle du supérieur étant la plus protégée.</w:t>
      </w:r>
    </w:p>
    <w:p w14:paraId="556BEBE4" w14:textId="77777777" w:rsidR="00DF4DE6" w:rsidRDefault="001B2AC3" w:rsidP="00240AE0">
      <w:pPr>
        <w:spacing w:before="200" w:after="70"/>
        <w:jc w:val="both"/>
      </w:pPr>
      <w:r>
        <w:rPr>
          <w:b/>
          <w:bCs/>
          <w:color w:val="2E5A88"/>
          <w:spacing w:val="24"/>
          <w:sz w:val="17"/>
          <w:szCs w:val="17"/>
        </w:rPr>
        <w:t>POINTS CLÉS (ENCADRÉ DU FASCICULE)</w:t>
      </w:r>
    </w:p>
    <w:p w14:paraId="28455B21" w14:textId="77777777" w:rsidR="00DF4DE6" w:rsidRDefault="001B2AC3" w:rsidP="00240AE0">
      <w:pPr>
        <w:pStyle w:val="Paragraphedeliste"/>
        <w:numPr>
          <w:ilvl w:val="0"/>
          <w:numId w:val="2"/>
        </w:numPr>
        <w:spacing w:after="40" w:line="264" w:lineRule="auto"/>
        <w:jc w:val="both"/>
      </w:pPr>
      <w:r>
        <w:rPr>
          <w:color w:val="1A1A1A"/>
          <w:sz w:val="19"/>
          <w:szCs w:val="19"/>
        </w:rPr>
        <w:t>Distinction entre liberté de l’enseignement et droit à l’enseignement.</w:t>
      </w:r>
    </w:p>
    <w:p w14:paraId="07C5B78A" w14:textId="77777777" w:rsidR="00DF4DE6" w:rsidRDefault="001B2AC3" w:rsidP="00240AE0">
      <w:pPr>
        <w:pStyle w:val="Paragraphedeliste"/>
        <w:numPr>
          <w:ilvl w:val="0"/>
          <w:numId w:val="2"/>
        </w:numPr>
        <w:spacing w:after="40" w:line="264" w:lineRule="auto"/>
        <w:jc w:val="both"/>
      </w:pPr>
      <w:r>
        <w:rPr>
          <w:color w:val="1A1A1A"/>
          <w:sz w:val="19"/>
          <w:szCs w:val="19"/>
        </w:rPr>
        <w:t>Principe fondamental reconnu par les lois de la République.</w:t>
      </w:r>
    </w:p>
    <w:p w14:paraId="471EE59A" w14:textId="77777777" w:rsidR="00DF4DE6" w:rsidRDefault="001B2AC3" w:rsidP="00240AE0">
      <w:pPr>
        <w:pStyle w:val="Paragraphedeliste"/>
        <w:numPr>
          <w:ilvl w:val="0"/>
          <w:numId w:val="2"/>
        </w:numPr>
        <w:spacing w:after="40" w:line="264" w:lineRule="auto"/>
        <w:jc w:val="both"/>
      </w:pPr>
      <w:r>
        <w:rPr>
          <w:color w:val="1A1A1A"/>
          <w:sz w:val="19"/>
          <w:szCs w:val="19"/>
        </w:rPr>
        <w:t>Neutralité de l’enseignement.</w:t>
      </w:r>
    </w:p>
    <w:p w14:paraId="075B0ED4" w14:textId="77777777" w:rsidR="00DF4DE6" w:rsidRDefault="001B2AC3" w:rsidP="00240AE0">
      <w:pPr>
        <w:pStyle w:val="Paragraphedeliste"/>
        <w:numPr>
          <w:ilvl w:val="0"/>
          <w:numId w:val="2"/>
        </w:numPr>
        <w:spacing w:after="40" w:line="264" w:lineRule="auto"/>
        <w:jc w:val="both"/>
      </w:pPr>
      <w:r>
        <w:rPr>
          <w:color w:val="1A1A1A"/>
          <w:sz w:val="19"/>
          <w:szCs w:val="19"/>
        </w:rPr>
        <w:t>Libertés académiques.</w:t>
      </w:r>
    </w:p>
    <w:p w14:paraId="4B54923D" w14:textId="77777777" w:rsidR="00DF4DE6" w:rsidRDefault="001B2AC3" w:rsidP="00240AE0">
      <w:pPr>
        <w:pStyle w:val="Paragraphedeliste"/>
        <w:numPr>
          <w:ilvl w:val="0"/>
          <w:numId w:val="2"/>
        </w:numPr>
        <w:spacing w:after="40" w:line="264" w:lineRule="auto"/>
        <w:jc w:val="both"/>
      </w:pPr>
      <w:r>
        <w:rPr>
          <w:color w:val="1A1A1A"/>
          <w:sz w:val="19"/>
          <w:szCs w:val="19"/>
        </w:rPr>
        <w:lastRenderedPageBreak/>
        <w:t>Liberté de créer des établissements d’enseignement privé.</w:t>
      </w:r>
    </w:p>
    <w:p w14:paraId="067B02FC" w14:textId="77777777" w:rsidR="00DF4DE6" w:rsidRDefault="001B2AC3" w:rsidP="00240AE0">
      <w:pPr>
        <w:spacing w:before="200" w:after="70"/>
        <w:jc w:val="both"/>
      </w:pPr>
      <w:r>
        <w:rPr>
          <w:b/>
          <w:bCs/>
          <w:color w:val="2E5A88"/>
          <w:spacing w:val="24"/>
          <w:sz w:val="17"/>
          <w:szCs w:val="17"/>
        </w:rPr>
        <w:t>PLAN DE LA FICHE</w:t>
      </w:r>
    </w:p>
    <w:p w14:paraId="382E2256" w14:textId="77777777" w:rsidR="00DF4DE6" w:rsidRDefault="001B2AC3" w:rsidP="00240AE0">
      <w:pPr>
        <w:spacing w:after="20" w:line="250" w:lineRule="auto"/>
        <w:ind w:left="240"/>
        <w:jc w:val="both"/>
      </w:pPr>
      <w:r>
        <w:rPr>
          <w:b/>
          <w:bCs/>
          <w:color w:val="1F3864"/>
          <w:sz w:val="19"/>
          <w:szCs w:val="19"/>
        </w:rPr>
        <w:t>1. Les fondements de la liberté de l’enseignement</w:t>
      </w:r>
    </w:p>
    <w:p w14:paraId="5CE81E33" w14:textId="77777777" w:rsidR="00DF4DE6" w:rsidRDefault="001B2AC3" w:rsidP="00240AE0">
      <w:pPr>
        <w:spacing w:after="20" w:line="250" w:lineRule="auto"/>
        <w:ind w:left="500"/>
        <w:jc w:val="both"/>
      </w:pPr>
      <w:r>
        <w:rPr>
          <w:color w:val="333333"/>
          <w:sz w:val="18"/>
          <w:szCs w:val="18"/>
        </w:rPr>
        <w:t>1.1. Les sources législatives de la liberté de l’enseignement</w:t>
      </w:r>
    </w:p>
    <w:p w14:paraId="4FDB6604" w14:textId="77777777" w:rsidR="00DF4DE6" w:rsidRDefault="001B2AC3" w:rsidP="00240AE0">
      <w:pPr>
        <w:spacing w:after="20" w:line="250" w:lineRule="auto"/>
        <w:ind w:left="500"/>
        <w:jc w:val="both"/>
      </w:pPr>
      <w:r>
        <w:rPr>
          <w:color w:val="333333"/>
          <w:sz w:val="18"/>
          <w:szCs w:val="18"/>
        </w:rPr>
        <w:t>1.2. La liberté de l’enseignement : un principe fondamental reconnu par les lois de la République</w:t>
      </w:r>
    </w:p>
    <w:p w14:paraId="2EE578FA" w14:textId="77777777" w:rsidR="00DF4DE6" w:rsidRDefault="001B2AC3" w:rsidP="00240AE0">
      <w:pPr>
        <w:spacing w:after="20" w:line="250" w:lineRule="auto"/>
        <w:ind w:left="240"/>
        <w:jc w:val="both"/>
      </w:pPr>
      <w:r>
        <w:rPr>
          <w:b/>
          <w:bCs/>
          <w:color w:val="1F3864"/>
          <w:sz w:val="19"/>
          <w:szCs w:val="19"/>
        </w:rPr>
        <w:t>2. Contenu de la liberté de l’enseignement</w:t>
      </w:r>
    </w:p>
    <w:p w14:paraId="345EDA46" w14:textId="77777777" w:rsidR="00DF4DE6" w:rsidRDefault="001B2AC3" w:rsidP="00240AE0">
      <w:pPr>
        <w:spacing w:after="20" w:line="250" w:lineRule="auto"/>
        <w:ind w:left="500"/>
        <w:jc w:val="both"/>
      </w:pPr>
      <w:r>
        <w:rPr>
          <w:color w:val="333333"/>
          <w:sz w:val="18"/>
          <w:szCs w:val="18"/>
        </w:rPr>
        <w:t>2.1. La liberté de créer des établissements d’enseignement privé</w:t>
      </w:r>
    </w:p>
    <w:p w14:paraId="35E885E6" w14:textId="77777777" w:rsidR="00DF4DE6" w:rsidRDefault="001B2AC3" w:rsidP="00240AE0">
      <w:pPr>
        <w:spacing w:after="20" w:line="250" w:lineRule="auto"/>
        <w:ind w:left="500"/>
        <w:jc w:val="both"/>
      </w:pPr>
      <w:r>
        <w:rPr>
          <w:color w:val="333333"/>
          <w:sz w:val="18"/>
          <w:szCs w:val="18"/>
        </w:rPr>
        <w:t>2.1. L’encadrement des établissements privés hors contrat</w:t>
      </w:r>
    </w:p>
    <w:p w14:paraId="3465938F" w14:textId="77777777" w:rsidR="00DF4DE6" w:rsidRDefault="001B2AC3" w:rsidP="00240AE0">
      <w:pPr>
        <w:spacing w:after="20" w:line="250" w:lineRule="auto"/>
        <w:ind w:left="500"/>
        <w:jc w:val="both"/>
      </w:pPr>
      <w:r>
        <w:rPr>
          <w:color w:val="333333"/>
          <w:sz w:val="18"/>
          <w:szCs w:val="18"/>
        </w:rPr>
        <w:t>2.3. Le financement public des établissements privés</w:t>
      </w:r>
    </w:p>
    <w:p w14:paraId="37DAA7F8" w14:textId="77777777" w:rsidR="00DF4DE6" w:rsidRDefault="001B2AC3" w:rsidP="00240AE0">
      <w:pPr>
        <w:spacing w:after="20" w:line="250" w:lineRule="auto"/>
        <w:ind w:left="500"/>
        <w:jc w:val="both"/>
      </w:pPr>
      <w:r>
        <w:rPr>
          <w:color w:val="333333"/>
          <w:sz w:val="18"/>
          <w:szCs w:val="18"/>
        </w:rPr>
        <w:t>3.1. La liberté de l’enseignement privé</w:t>
      </w:r>
    </w:p>
    <w:p w14:paraId="5A6AB8D2" w14:textId="77777777" w:rsidR="00DF4DE6" w:rsidRDefault="001B2AC3" w:rsidP="00240AE0">
      <w:pPr>
        <w:spacing w:after="20" w:line="250" w:lineRule="auto"/>
        <w:ind w:left="500"/>
        <w:jc w:val="both"/>
      </w:pPr>
      <w:r>
        <w:rPr>
          <w:color w:val="333333"/>
          <w:sz w:val="18"/>
          <w:szCs w:val="18"/>
        </w:rPr>
        <w:t>3.2. La liberté des enseignants du primaire et du secondaire</w:t>
      </w:r>
    </w:p>
    <w:p w14:paraId="4B41476D" w14:textId="77777777" w:rsidR="00DF4DE6" w:rsidRDefault="001B2AC3" w:rsidP="00240AE0">
      <w:pPr>
        <w:spacing w:after="20" w:line="250" w:lineRule="auto"/>
        <w:ind w:left="500"/>
        <w:jc w:val="both"/>
      </w:pPr>
      <w:r>
        <w:rPr>
          <w:color w:val="333333"/>
          <w:sz w:val="18"/>
          <w:szCs w:val="18"/>
        </w:rPr>
        <w:t>3.3. La liberté des enseignants du supérieur</w:t>
      </w:r>
    </w:p>
    <w:p w14:paraId="225DF319" w14:textId="77777777" w:rsidR="00DF4DE6" w:rsidRDefault="001B2AC3" w:rsidP="00240AE0">
      <w:pPr>
        <w:spacing w:before="200" w:after="70"/>
        <w:jc w:val="both"/>
      </w:pPr>
      <w:r>
        <w:rPr>
          <w:b/>
          <w:bCs/>
          <w:color w:val="2E5A88"/>
          <w:spacing w:val="24"/>
          <w:sz w:val="17"/>
          <w:szCs w:val="17"/>
        </w:rPr>
        <w:t>RÉFÉRENCES CENTRALES</w:t>
      </w:r>
    </w:p>
    <w:p w14:paraId="0943B909" w14:textId="77777777" w:rsidR="00DF4DE6" w:rsidRDefault="001B2AC3" w:rsidP="00240AE0">
      <w:pPr>
        <w:pStyle w:val="Paragraphedeliste"/>
        <w:numPr>
          <w:ilvl w:val="0"/>
          <w:numId w:val="2"/>
        </w:numPr>
        <w:spacing w:after="40" w:line="264" w:lineRule="auto"/>
        <w:jc w:val="both"/>
      </w:pPr>
      <w:r>
        <w:rPr>
          <w:color w:val="333333"/>
          <w:sz w:val="18"/>
          <w:szCs w:val="18"/>
        </w:rPr>
        <w:t>Loi Guizot, 28 juin 1833 pour l’enseignement primaire.</w:t>
      </w:r>
    </w:p>
    <w:p w14:paraId="061E5588" w14:textId="77777777" w:rsidR="00DF4DE6" w:rsidRDefault="001B2AC3" w:rsidP="00240AE0">
      <w:pPr>
        <w:pStyle w:val="Paragraphedeliste"/>
        <w:numPr>
          <w:ilvl w:val="0"/>
          <w:numId w:val="2"/>
        </w:numPr>
        <w:spacing w:after="40" w:line="264" w:lineRule="auto"/>
        <w:jc w:val="both"/>
      </w:pPr>
      <w:r>
        <w:rPr>
          <w:color w:val="333333"/>
          <w:sz w:val="18"/>
          <w:szCs w:val="18"/>
        </w:rPr>
        <w:t>Loi Falloux, 15 mars 1850 pour l’enseignement secondaire.</w:t>
      </w:r>
    </w:p>
    <w:p w14:paraId="54C3EBEA" w14:textId="77777777" w:rsidR="00DF4DE6" w:rsidRDefault="001B2AC3" w:rsidP="00240AE0">
      <w:pPr>
        <w:pStyle w:val="Paragraphedeliste"/>
        <w:numPr>
          <w:ilvl w:val="0"/>
          <w:numId w:val="2"/>
        </w:numPr>
        <w:spacing w:after="40" w:line="264" w:lineRule="auto"/>
        <w:jc w:val="both"/>
      </w:pPr>
      <w:r>
        <w:rPr>
          <w:color w:val="333333"/>
          <w:sz w:val="18"/>
          <w:szCs w:val="18"/>
        </w:rPr>
        <w:t>Loi Dupanloup, 12 juillet 1875, pour l’enseignement supérieur.</w:t>
      </w:r>
    </w:p>
    <w:p w14:paraId="7B3E61F8"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84-184 DC, 29 décembre 1984, Loi de finances pour 1985.</w:t>
      </w:r>
    </w:p>
    <w:p w14:paraId="234171DD" w14:textId="77777777" w:rsidR="00DF4DE6" w:rsidRDefault="001B2AC3" w:rsidP="00240AE0">
      <w:pPr>
        <w:pStyle w:val="Paragraphedeliste"/>
        <w:numPr>
          <w:ilvl w:val="0"/>
          <w:numId w:val="2"/>
        </w:numPr>
        <w:spacing w:after="40" w:line="264" w:lineRule="auto"/>
        <w:jc w:val="both"/>
      </w:pPr>
      <w:proofErr w:type="spellStart"/>
      <w:r>
        <w:rPr>
          <w:color w:val="333333"/>
          <w:sz w:val="18"/>
          <w:szCs w:val="18"/>
        </w:rPr>
        <w:t>Tanneguy</w:t>
      </w:r>
      <w:proofErr w:type="spellEnd"/>
      <w:r>
        <w:rPr>
          <w:color w:val="333333"/>
          <w:sz w:val="18"/>
          <w:szCs w:val="18"/>
        </w:rPr>
        <w:t xml:space="preserve"> Larzul, « L’enseignement libre : liberté de l’enseignement – liberté d’enseigner », Titre VII </w:t>
      </w:r>
      <w:r>
        <w:rPr>
          <w:color w:val="333333"/>
          <w:sz w:val="18"/>
          <w:szCs w:val="18"/>
        </w:rPr>
        <w:t>en ligne</w:t>
      </w:r>
      <w:r>
        <w:rPr>
          <w:color w:val="333333"/>
          <w:sz w:val="18"/>
          <w:szCs w:val="18"/>
        </w:rPr>
        <w:t>, no 12, L’enseignement, avril 2024.</w:t>
      </w:r>
    </w:p>
    <w:p w14:paraId="20B9EE0C" w14:textId="77777777" w:rsidR="00DF4DE6" w:rsidRDefault="001B2AC3" w:rsidP="00240AE0">
      <w:pPr>
        <w:pStyle w:val="Paragraphedeliste"/>
        <w:numPr>
          <w:ilvl w:val="0"/>
          <w:numId w:val="2"/>
        </w:numPr>
        <w:spacing w:after="40" w:line="264" w:lineRule="auto"/>
        <w:jc w:val="both"/>
      </w:pPr>
      <w:r>
        <w:rPr>
          <w:color w:val="333333"/>
          <w:sz w:val="18"/>
          <w:szCs w:val="18"/>
        </w:rPr>
        <w:t xml:space="preserve">Stéphanie Hennette Vauchez, « Un éléphant dans la pièce ? La liberté de l’enseignement comme régime d’accommodement de la religion », Titre VII </w:t>
      </w:r>
      <w:r>
        <w:rPr>
          <w:color w:val="333333"/>
          <w:sz w:val="18"/>
          <w:szCs w:val="18"/>
        </w:rPr>
        <w:t>en ligne</w:t>
      </w:r>
      <w:r>
        <w:rPr>
          <w:color w:val="333333"/>
          <w:sz w:val="18"/>
          <w:szCs w:val="18"/>
        </w:rPr>
        <w:t>, no 12, L’enseignement, avril 2024.</w:t>
      </w:r>
    </w:p>
    <w:p w14:paraId="17EE1622" w14:textId="77777777" w:rsidR="00DF4DE6" w:rsidRDefault="00DF4DE6" w:rsidP="00240AE0">
      <w:pPr>
        <w:pBdr>
          <w:top w:val="single" w:sz="6" w:space="0" w:color="C7D2E0"/>
        </w:pBdr>
        <w:spacing w:before="260" w:after="180"/>
        <w:jc w:val="both"/>
      </w:pPr>
    </w:p>
    <w:p w14:paraId="23D3CCAD"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42  ·</w:t>
      </w:r>
      <w:proofErr w:type="gramEnd"/>
      <w:r>
        <w:rPr>
          <w:b/>
          <w:bCs/>
          <w:color w:val="2E5A88"/>
          <w:sz w:val="22"/>
          <w:szCs w:val="22"/>
        </w:rPr>
        <w:t xml:space="preserve">  </w:t>
      </w:r>
      <w:r>
        <w:rPr>
          <w:rFonts w:ascii="Cambria" w:eastAsia="Cambria" w:hAnsi="Cambria" w:cs="Cambria"/>
          <w:b/>
          <w:bCs/>
          <w:color w:val="1F3864"/>
        </w:rPr>
        <w:t>Le droit à des élections libres</w:t>
      </w:r>
    </w:p>
    <w:p w14:paraId="0F5FD6C7" w14:textId="77777777" w:rsidR="00DF4DE6" w:rsidRDefault="001B2AC3" w:rsidP="00240AE0">
      <w:pPr>
        <w:spacing w:after="120"/>
        <w:jc w:val="both"/>
      </w:pPr>
      <w:r>
        <w:rPr>
          <w:i/>
          <w:iCs/>
          <w:color w:val="595959"/>
          <w:sz w:val="17"/>
          <w:szCs w:val="17"/>
        </w:rPr>
        <w:t>Fascicule, p. 436</w:t>
      </w:r>
    </w:p>
    <w:p w14:paraId="6ABF402B" w14:textId="77777777" w:rsidR="00DF4DE6" w:rsidRDefault="001B2AC3" w:rsidP="00240AE0">
      <w:pPr>
        <w:spacing w:before="200" w:after="70"/>
        <w:jc w:val="both"/>
      </w:pPr>
      <w:r>
        <w:rPr>
          <w:b/>
          <w:bCs/>
          <w:color w:val="2E5A88"/>
          <w:spacing w:val="24"/>
          <w:sz w:val="17"/>
          <w:szCs w:val="17"/>
        </w:rPr>
        <w:t>IDÉE DIRECTRICE</w:t>
      </w:r>
    </w:p>
    <w:p w14:paraId="460DB472" w14:textId="77777777" w:rsidR="00DF4DE6" w:rsidRDefault="001B2AC3" w:rsidP="00240AE0">
      <w:pPr>
        <w:spacing w:after="60" w:line="276" w:lineRule="auto"/>
        <w:jc w:val="both"/>
      </w:pPr>
      <w:r>
        <w:t>Le droit à des élections libres, présenté comme le garde-fou des démocraties et comme un standard européen. Sources, puis les éléments du droit (droit de vote, droit d'éligibilité, liberté des partis), puis les conditions de jouissance et d'exercice (nationalité, majorité électorale, résidence, absence de déchéance, inscription sur les listes, conditions renforcées d'éligibilité), puis les caractères du suffrage : universel, égal, libre et secret, honnête et sincère, périodique, direct ou indirect.</w:t>
      </w:r>
    </w:p>
    <w:p w14:paraId="16D058CD" w14:textId="77777777" w:rsidR="00DF4DE6" w:rsidRDefault="001B2AC3" w:rsidP="00240AE0">
      <w:pPr>
        <w:spacing w:before="200" w:after="70"/>
        <w:jc w:val="both"/>
      </w:pPr>
      <w:r>
        <w:rPr>
          <w:b/>
          <w:bCs/>
          <w:color w:val="2E5A88"/>
          <w:spacing w:val="24"/>
          <w:sz w:val="17"/>
          <w:szCs w:val="17"/>
        </w:rPr>
        <w:t>POINTS CLÉS (ENCADRÉ DU FASCICULE)</w:t>
      </w:r>
    </w:p>
    <w:p w14:paraId="51EB6CB7" w14:textId="77777777" w:rsidR="00DF4DE6" w:rsidRDefault="001B2AC3" w:rsidP="00240AE0">
      <w:pPr>
        <w:pStyle w:val="Paragraphedeliste"/>
        <w:numPr>
          <w:ilvl w:val="0"/>
          <w:numId w:val="2"/>
        </w:numPr>
        <w:spacing w:after="40" w:line="264" w:lineRule="auto"/>
        <w:jc w:val="both"/>
      </w:pPr>
      <w:r>
        <w:rPr>
          <w:color w:val="1A1A1A"/>
          <w:sz w:val="19"/>
          <w:szCs w:val="19"/>
        </w:rPr>
        <w:t>Garde-fou des démocraties.</w:t>
      </w:r>
    </w:p>
    <w:p w14:paraId="4FB683D1" w14:textId="77777777" w:rsidR="00DF4DE6" w:rsidRDefault="001B2AC3" w:rsidP="00240AE0">
      <w:pPr>
        <w:pStyle w:val="Paragraphedeliste"/>
        <w:numPr>
          <w:ilvl w:val="0"/>
          <w:numId w:val="2"/>
        </w:numPr>
        <w:spacing w:after="40" w:line="264" w:lineRule="auto"/>
        <w:jc w:val="both"/>
      </w:pPr>
      <w:r>
        <w:rPr>
          <w:color w:val="1A1A1A"/>
          <w:sz w:val="19"/>
          <w:szCs w:val="19"/>
        </w:rPr>
        <w:t>Standard européen.</w:t>
      </w:r>
    </w:p>
    <w:p w14:paraId="27EBD2E0" w14:textId="77777777" w:rsidR="00DF4DE6" w:rsidRDefault="001B2AC3" w:rsidP="00240AE0">
      <w:pPr>
        <w:pStyle w:val="Paragraphedeliste"/>
        <w:numPr>
          <w:ilvl w:val="0"/>
          <w:numId w:val="2"/>
        </w:numPr>
        <w:spacing w:after="40" w:line="264" w:lineRule="auto"/>
        <w:jc w:val="both"/>
      </w:pPr>
      <w:r>
        <w:rPr>
          <w:color w:val="1A1A1A"/>
          <w:sz w:val="19"/>
          <w:szCs w:val="19"/>
        </w:rPr>
        <w:t>Droit de vote et d’éligibilité.</w:t>
      </w:r>
    </w:p>
    <w:p w14:paraId="1D05AF13" w14:textId="77777777" w:rsidR="00DF4DE6" w:rsidRDefault="001B2AC3" w:rsidP="00240AE0">
      <w:pPr>
        <w:pStyle w:val="Paragraphedeliste"/>
        <w:numPr>
          <w:ilvl w:val="0"/>
          <w:numId w:val="2"/>
        </w:numPr>
        <w:spacing w:after="40" w:line="264" w:lineRule="auto"/>
        <w:jc w:val="both"/>
      </w:pPr>
      <w:r>
        <w:rPr>
          <w:color w:val="1A1A1A"/>
          <w:sz w:val="19"/>
          <w:szCs w:val="19"/>
        </w:rPr>
        <w:t>Conditions d’exercice du droit de vote.</w:t>
      </w:r>
    </w:p>
    <w:p w14:paraId="7E1A1B41" w14:textId="77777777" w:rsidR="00DF4DE6" w:rsidRDefault="001B2AC3" w:rsidP="00240AE0">
      <w:pPr>
        <w:pStyle w:val="Paragraphedeliste"/>
        <w:numPr>
          <w:ilvl w:val="0"/>
          <w:numId w:val="2"/>
        </w:numPr>
        <w:spacing w:after="40" w:line="264" w:lineRule="auto"/>
        <w:jc w:val="both"/>
      </w:pPr>
      <w:r>
        <w:rPr>
          <w:color w:val="1A1A1A"/>
          <w:sz w:val="19"/>
          <w:szCs w:val="19"/>
        </w:rPr>
        <w:t>Suffrage universel, égal, libre et secret.</w:t>
      </w:r>
    </w:p>
    <w:p w14:paraId="4A948506" w14:textId="77777777" w:rsidR="00DF4DE6" w:rsidRDefault="001B2AC3" w:rsidP="00240AE0">
      <w:pPr>
        <w:spacing w:before="200" w:after="70"/>
        <w:jc w:val="both"/>
      </w:pPr>
      <w:r>
        <w:rPr>
          <w:b/>
          <w:bCs/>
          <w:color w:val="2E5A88"/>
          <w:spacing w:val="24"/>
          <w:sz w:val="17"/>
          <w:szCs w:val="17"/>
        </w:rPr>
        <w:t>PLAN DE LA FICHE</w:t>
      </w:r>
    </w:p>
    <w:p w14:paraId="3EC00D1F" w14:textId="77777777" w:rsidR="00DF4DE6" w:rsidRDefault="001B2AC3" w:rsidP="00240AE0">
      <w:pPr>
        <w:spacing w:after="20" w:line="250" w:lineRule="auto"/>
        <w:ind w:left="240"/>
        <w:jc w:val="both"/>
      </w:pPr>
      <w:r>
        <w:rPr>
          <w:b/>
          <w:bCs/>
          <w:color w:val="1F3864"/>
          <w:sz w:val="19"/>
          <w:szCs w:val="19"/>
        </w:rPr>
        <w:t>1. Les sources du droit à des élections libres</w:t>
      </w:r>
    </w:p>
    <w:p w14:paraId="68C44536" w14:textId="77777777" w:rsidR="00DF4DE6" w:rsidRDefault="001B2AC3" w:rsidP="00240AE0">
      <w:pPr>
        <w:spacing w:after="20" w:line="250" w:lineRule="auto"/>
        <w:ind w:left="500"/>
        <w:jc w:val="both"/>
      </w:pPr>
      <w:r>
        <w:rPr>
          <w:color w:val="333333"/>
          <w:sz w:val="18"/>
          <w:szCs w:val="18"/>
        </w:rPr>
        <w:t>1.1. Les sources supranationales</w:t>
      </w:r>
    </w:p>
    <w:p w14:paraId="4CA0187C" w14:textId="77777777" w:rsidR="00DF4DE6" w:rsidRDefault="001B2AC3" w:rsidP="00240AE0">
      <w:pPr>
        <w:spacing w:after="20" w:line="250" w:lineRule="auto"/>
        <w:ind w:left="500"/>
        <w:jc w:val="both"/>
      </w:pPr>
      <w:r>
        <w:rPr>
          <w:color w:val="333333"/>
          <w:sz w:val="18"/>
          <w:szCs w:val="18"/>
        </w:rPr>
        <w:t>1.2. Les sources nationales</w:t>
      </w:r>
    </w:p>
    <w:p w14:paraId="34D82E28" w14:textId="77777777" w:rsidR="00DF4DE6" w:rsidRDefault="001B2AC3" w:rsidP="00240AE0">
      <w:pPr>
        <w:spacing w:after="20" w:line="250" w:lineRule="auto"/>
        <w:ind w:left="240"/>
        <w:jc w:val="both"/>
      </w:pPr>
      <w:r>
        <w:rPr>
          <w:b/>
          <w:bCs/>
          <w:color w:val="1F3864"/>
          <w:sz w:val="19"/>
          <w:szCs w:val="19"/>
        </w:rPr>
        <w:t>2. Les éléments du droit à des élections libres</w:t>
      </w:r>
    </w:p>
    <w:p w14:paraId="646F7797" w14:textId="77777777" w:rsidR="00DF4DE6" w:rsidRDefault="001B2AC3" w:rsidP="00240AE0">
      <w:pPr>
        <w:spacing w:after="20" w:line="250" w:lineRule="auto"/>
        <w:ind w:left="500"/>
        <w:jc w:val="both"/>
      </w:pPr>
      <w:r>
        <w:rPr>
          <w:color w:val="333333"/>
          <w:sz w:val="18"/>
          <w:szCs w:val="18"/>
        </w:rPr>
        <w:t>2.1. Le volet passif du droit à des élections libres : le droit de vote</w:t>
      </w:r>
    </w:p>
    <w:p w14:paraId="234BCB80" w14:textId="77777777" w:rsidR="00DF4DE6" w:rsidRDefault="001B2AC3" w:rsidP="00240AE0">
      <w:pPr>
        <w:spacing w:after="20" w:line="250" w:lineRule="auto"/>
        <w:ind w:left="500"/>
        <w:jc w:val="both"/>
      </w:pPr>
      <w:r>
        <w:rPr>
          <w:color w:val="333333"/>
          <w:sz w:val="18"/>
          <w:szCs w:val="18"/>
        </w:rPr>
        <w:t>2.2. Le volet actif du droit à des élections libres : le droit d’éligibilité</w:t>
      </w:r>
    </w:p>
    <w:p w14:paraId="2DCAB9B4" w14:textId="77777777" w:rsidR="00DF4DE6" w:rsidRDefault="001B2AC3" w:rsidP="00240AE0">
      <w:pPr>
        <w:spacing w:after="20" w:line="250" w:lineRule="auto"/>
        <w:ind w:left="500"/>
        <w:jc w:val="both"/>
      </w:pPr>
      <w:r>
        <w:rPr>
          <w:color w:val="333333"/>
          <w:sz w:val="18"/>
          <w:szCs w:val="18"/>
        </w:rPr>
        <w:t>2.3. La liberté des partis politiques</w:t>
      </w:r>
    </w:p>
    <w:p w14:paraId="5542FDD0" w14:textId="77777777" w:rsidR="00DF4DE6" w:rsidRDefault="001B2AC3" w:rsidP="00240AE0">
      <w:pPr>
        <w:spacing w:after="20" w:line="250" w:lineRule="auto"/>
        <w:ind w:left="240"/>
        <w:jc w:val="both"/>
      </w:pPr>
      <w:r>
        <w:rPr>
          <w:b/>
          <w:bCs/>
          <w:color w:val="1F3864"/>
          <w:sz w:val="19"/>
          <w:szCs w:val="19"/>
        </w:rPr>
        <w:t>3. Les conditions de jouissance et d’exercice du droit à des élections libres</w:t>
      </w:r>
    </w:p>
    <w:p w14:paraId="06100316" w14:textId="77777777" w:rsidR="00DF4DE6" w:rsidRDefault="001B2AC3" w:rsidP="00240AE0">
      <w:pPr>
        <w:spacing w:after="20" w:line="250" w:lineRule="auto"/>
        <w:ind w:left="500"/>
        <w:jc w:val="both"/>
      </w:pPr>
      <w:r>
        <w:rPr>
          <w:color w:val="333333"/>
          <w:sz w:val="18"/>
          <w:szCs w:val="18"/>
        </w:rPr>
        <w:t>3.1. La nationalité</w:t>
      </w:r>
    </w:p>
    <w:p w14:paraId="2F531366" w14:textId="77777777" w:rsidR="00DF4DE6" w:rsidRDefault="001B2AC3" w:rsidP="00240AE0">
      <w:pPr>
        <w:spacing w:after="20" w:line="250" w:lineRule="auto"/>
        <w:ind w:left="500"/>
        <w:jc w:val="both"/>
      </w:pPr>
      <w:r>
        <w:rPr>
          <w:color w:val="333333"/>
          <w:sz w:val="18"/>
          <w:szCs w:val="18"/>
        </w:rPr>
        <w:t>3.2. La majorité électorale</w:t>
      </w:r>
    </w:p>
    <w:p w14:paraId="211BF092" w14:textId="77777777" w:rsidR="00DF4DE6" w:rsidRDefault="001B2AC3" w:rsidP="00240AE0">
      <w:pPr>
        <w:spacing w:after="20" w:line="250" w:lineRule="auto"/>
        <w:ind w:left="500"/>
        <w:jc w:val="both"/>
      </w:pPr>
      <w:r>
        <w:rPr>
          <w:color w:val="333333"/>
          <w:sz w:val="18"/>
          <w:szCs w:val="18"/>
        </w:rPr>
        <w:t>3.3. La résidence</w:t>
      </w:r>
    </w:p>
    <w:p w14:paraId="47E8D393" w14:textId="77777777" w:rsidR="00DF4DE6" w:rsidRDefault="001B2AC3" w:rsidP="00240AE0">
      <w:pPr>
        <w:spacing w:after="20" w:line="250" w:lineRule="auto"/>
        <w:ind w:left="500"/>
        <w:jc w:val="both"/>
      </w:pPr>
      <w:r>
        <w:rPr>
          <w:color w:val="333333"/>
          <w:sz w:val="18"/>
          <w:szCs w:val="18"/>
        </w:rPr>
        <w:lastRenderedPageBreak/>
        <w:t>3.4. L’absence de déchéance des droits politiques</w:t>
      </w:r>
    </w:p>
    <w:p w14:paraId="4A0993A1" w14:textId="77777777" w:rsidR="00DF4DE6" w:rsidRDefault="001B2AC3" w:rsidP="00240AE0">
      <w:pPr>
        <w:spacing w:after="20" w:line="250" w:lineRule="auto"/>
        <w:ind w:left="500"/>
        <w:jc w:val="both"/>
      </w:pPr>
      <w:r>
        <w:rPr>
          <w:color w:val="333333"/>
          <w:sz w:val="18"/>
          <w:szCs w:val="18"/>
        </w:rPr>
        <w:t>3.5. L’inscription sur les listes électorales</w:t>
      </w:r>
    </w:p>
    <w:p w14:paraId="6C717089" w14:textId="77777777" w:rsidR="00DF4DE6" w:rsidRDefault="001B2AC3" w:rsidP="00240AE0">
      <w:pPr>
        <w:spacing w:after="20" w:line="250" w:lineRule="auto"/>
        <w:ind w:left="500"/>
        <w:jc w:val="both"/>
      </w:pPr>
      <w:r>
        <w:rPr>
          <w:color w:val="333333"/>
          <w:sz w:val="18"/>
          <w:szCs w:val="18"/>
        </w:rPr>
        <w:t>3.6. Les conditions renforcées d’éligibilité</w:t>
      </w:r>
    </w:p>
    <w:p w14:paraId="56F72AEF" w14:textId="77777777" w:rsidR="00DF4DE6" w:rsidRDefault="001B2AC3" w:rsidP="00240AE0">
      <w:pPr>
        <w:spacing w:after="20" w:line="250" w:lineRule="auto"/>
        <w:ind w:left="240"/>
        <w:jc w:val="both"/>
      </w:pPr>
      <w:r>
        <w:rPr>
          <w:b/>
          <w:bCs/>
          <w:color w:val="1F3864"/>
          <w:sz w:val="19"/>
          <w:szCs w:val="19"/>
        </w:rPr>
        <w:t>4. Les caractères du suffrage</w:t>
      </w:r>
    </w:p>
    <w:p w14:paraId="6336F3B4" w14:textId="77777777" w:rsidR="00DF4DE6" w:rsidRDefault="001B2AC3" w:rsidP="00240AE0">
      <w:pPr>
        <w:spacing w:after="20" w:line="250" w:lineRule="auto"/>
        <w:ind w:left="500"/>
        <w:jc w:val="both"/>
      </w:pPr>
      <w:r>
        <w:rPr>
          <w:color w:val="333333"/>
          <w:sz w:val="18"/>
          <w:szCs w:val="18"/>
        </w:rPr>
        <w:t>4.1. L’universalité du suffrage</w:t>
      </w:r>
    </w:p>
    <w:p w14:paraId="4E303B46" w14:textId="77777777" w:rsidR="00DF4DE6" w:rsidRDefault="001B2AC3" w:rsidP="00240AE0">
      <w:pPr>
        <w:spacing w:after="20" w:line="250" w:lineRule="auto"/>
        <w:ind w:left="500"/>
        <w:jc w:val="both"/>
      </w:pPr>
      <w:r>
        <w:rPr>
          <w:color w:val="333333"/>
          <w:sz w:val="18"/>
          <w:szCs w:val="18"/>
        </w:rPr>
        <w:t>4.2. L’égalité du suffrage</w:t>
      </w:r>
    </w:p>
    <w:p w14:paraId="2B5EC213" w14:textId="77777777" w:rsidR="00DF4DE6" w:rsidRDefault="001B2AC3" w:rsidP="00240AE0">
      <w:pPr>
        <w:spacing w:after="20" w:line="250" w:lineRule="auto"/>
        <w:ind w:left="500"/>
        <w:jc w:val="both"/>
      </w:pPr>
      <w:r>
        <w:rPr>
          <w:color w:val="333333"/>
          <w:sz w:val="18"/>
          <w:szCs w:val="18"/>
        </w:rPr>
        <w:t>4.3. La liberté et le secret du suffrage</w:t>
      </w:r>
    </w:p>
    <w:p w14:paraId="6D481DFA" w14:textId="77777777" w:rsidR="00DF4DE6" w:rsidRDefault="001B2AC3" w:rsidP="00240AE0">
      <w:pPr>
        <w:spacing w:after="20" w:line="250" w:lineRule="auto"/>
        <w:ind w:left="500"/>
        <w:jc w:val="both"/>
      </w:pPr>
      <w:r>
        <w:rPr>
          <w:color w:val="333333"/>
          <w:sz w:val="18"/>
          <w:szCs w:val="18"/>
        </w:rPr>
        <w:t>4.4. L’honnêteté et la sincérité du suffrage</w:t>
      </w:r>
    </w:p>
    <w:p w14:paraId="02B3002D" w14:textId="77777777" w:rsidR="00DF4DE6" w:rsidRDefault="001B2AC3" w:rsidP="00240AE0">
      <w:pPr>
        <w:spacing w:after="20" w:line="250" w:lineRule="auto"/>
        <w:ind w:left="500"/>
        <w:jc w:val="both"/>
      </w:pPr>
      <w:r>
        <w:rPr>
          <w:color w:val="333333"/>
          <w:sz w:val="18"/>
          <w:szCs w:val="18"/>
        </w:rPr>
        <w:t>4.5. La périodicité du suffrage</w:t>
      </w:r>
    </w:p>
    <w:p w14:paraId="281A77AB" w14:textId="77777777" w:rsidR="00DF4DE6" w:rsidRDefault="001B2AC3" w:rsidP="00240AE0">
      <w:pPr>
        <w:spacing w:after="20" w:line="250" w:lineRule="auto"/>
        <w:ind w:left="500"/>
        <w:jc w:val="both"/>
      </w:pPr>
      <w:r>
        <w:rPr>
          <w:color w:val="333333"/>
          <w:sz w:val="18"/>
          <w:szCs w:val="18"/>
        </w:rPr>
        <w:t>4.6. Le caractère direct ou indirect du suffrage</w:t>
      </w:r>
    </w:p>
    <w:p w14:paraId="1A6DB33E" w14:textId="77777777" w:rsidR="00DF4DE6" w:rsidRDefault="001B2AC3" w:rsidP="00240AE0">
      <w:pPr>
        <w:spacing w:before="200" w:after="70"/>
        <w:jc w:val="both"/>
      </w:pPr>
      <w:r>
        <w:rPr>
          <w:b/>
          <w:bCs/>
          <w:color w:val="2E5A88"/>
          <w:spacing w:val="24"/>
          <w:sz w:val="17"/>
          <w:szCs w:val="17"/>
        </w:rPr>
        <w:t>RÉFÉRENCES CENTRALES</w:t>
      </w:r>
    </w:p>
    <w:p w14:paraId="7D820D03" w14:textId="77777777" w:rsidR="00DF4DE6" w:rsidRDefault="001B2AC3" w:rsidP="00240AE0">
      <w:pPr>
        <w:pStyle w:val="Paragraphedeliste"/>
        <w:numPr>
          <w:ilvl w:val="0"/>
          <w:numId w:val="2"/>
        </w:numPr>
        <w:spacing w:after="40" w:line="264" w:lineRule="auto"/>
        <w:jc w:val="both"/>
      </w:pPr>
      <w:r>
        <w:rPr>
          <w:color w:val="333333"/>
          <w:sz w:val="18"/>
          <w:szCs w:val="18"/>
        </w:rPr>
        <w:t>Code électoral.</w:t>
      </w:r>
    </w:p>
    <w:p w14:paraId="013A34D7" w14:textId="77777777" w:rsidR="00DF4DE6" w:rsidRDefault="001B2AC3" w:rsidP="00240AE0">
      <w:pPr>
        <w:pStyle w:val="Paragraphedeliste"/>
        <w:numPr>
          <w:ilvl w:val="0"/>
          <w:numId w:val="2"/>
        </w:numPr>
        <w:spacing w:after="40" w:line="264" w:lineRule="auto"/>
        <w:jc w:val="both"/>
      </w:pPr>
      <w:r>
        <w:rPr>
          <w:color w:val="333333"/>
          <w:sz w:val="18"/>
          <w:szCs w:val="18"/>
        </w:rPr>
        <w:t>Art. 2 et 3 de la Constitution.</w:t>
      </w:r>
    </w:p>
    <w:p w14:paraId="3109BC40" w14:textId="77777777" w:rsidR="00DF4DE6" w:rsidRDefault="001B2AC3" w:rsidP="00240AE0">
      <w:pPr>
        <w:pStyle w:val="Paragraphedeliste"/>
        <w:numPr>
          <w:ilvl w:val="0"/>
          <w:numId w:val="2"/>
        </w:numPr>
        <w:spacing w:after="40" w:line="264" w:lineRule="auto"/>
        <w:jc w:val="both"/>
      </w:pPr>
      <w:r>
        <w:rPr>
          <w:color w:val="333333"/>
          <w:sz w:val="18"/>
          <w:szCs w:val="18"/>
        </w:rPr>
        <w:t>Art. 3 du protocole no 1 CESDH.</w:t>
      </w:r>
    </w:p>
    <w:p w14:paraId="5D87BA2B" w14:textId="77777777" w:rsidR="00DF4DE6" w:rsidRDefault="001B2AC3" w:rsidP="00240AE0">
      <w:pPr>
        <w:pStyle w:val="Paragraphedeliste"/>
        <w:numPr>
          <w:ilvl w:val="0"/>
          <w:numId w:val="2"/>
        </w:numPr>
        <w:spacing w:after="40" w:line="264" w:lineRule="auto"/>
        <w:jc w:val="both"/>
      </w:pPr>
      <w:r>
        <w:rPr>
          <w:color w:val="333333"/>
          <w:sz w:val="18"/>
          <w:szCs w:val="18"/>
        </w:rPr>
        <w:t>Art. 21 DUDH.</w:t>
      </w:r>
    </w:p>
    <w:p w14:paraId="3AFDDD93" w14:textId="77777777" w:rsidR="00DF4DE6" w:rsidRDefault="001B2AC3" w:rsidP="00240AE0">
      <w:pPr>
        <w:pStyle w:val="Paragraphedeliste"/>
        <w:numPr>
          <w:ilvl w:val="0"/>
          <w:numId w:val="2"/>
        </w:numPr>
        <w:spacing w:after="40" w:line="264" w:lineRule="auto"/>
        <w:jc w:val="both"/>
      </w:pPr>
      <w:r>
        <w:rPr>
          <w:color w:val="333333"/>
          <w:sz w:val="18"/>
          <w:szCs w:val="18"/>
        </w:rPr>
        <w:t>Art. 25 PIDCP.</w:t>
      </w:r>
    </w:p>
    <w:p w14:paraId="382A1962" w14:textId="77777777" w:rsidR="00DF4DE6" w:rsidRDefault="00DF4DE6" w:rsidP="00240AE0">
      <w:pPr>
        <w:pBdr>
          <w:top w:val="single" w:sz="6" w:space="0" w:color="C7D2E0"/>
        </w:pBdr>
        <w:spacing w:before="260" w:after="180"/>
        <w:jc w:val="both"/>
      </w:pPr>
    </w:p>
    <w:p w14:paraId="421C9B4B"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43  ·</w:t>
      </w:r>
      <w:proofErr w:type="gramEnd"/>
      <w:r>
        <w:rPr>
          <w:b/>
          <w:bCs/>
          <w:color w:val="2E5A88"/>
          <w:sz w:val="22"/>
          <w:szCs w:val="22"/>
        </w:rPr>
        <w:t xml:space="preserve">  </w:t>
      </w:r>
      <w:r>
        <w:rPr>
          <w:rFonts w:ascii="Cambria" w:eastAsia="Cambria" w:hAnsi="Cambria" w:cs="Cambria"/>
          <w:b/>
          <w:bCs/>
          <w:color w:val="1F3864"/>
        </w:rPr>
        <w:t>Les protections fondamentales en cas d’éloignement, d’expulsion et d’extradition</w:t>
      </w:r>
    </w:p>
    <w:p w14:paraId="5E7E6C27" w14:textId="77777777" w:rsidR="00DF4DE6" w:rsidRDefault="001B2AC3" w:rsidP="00240AE0">
      <w:pPr>
        <w:spacing w:after="120"/>
        <w:jc w:val="both"/>
      </w:pPr>
      <w:r>
        <w:rPr>
          <w:i/>
          <w:iCs/>
          <w:color w:val="595959"/>
          <w:sz w:val="17"/>
          <w:szCs w:val="17"/>
        </w:rPr>
        <w:t>Fascicule, p. 445</w:t>
      </w:r>
    </w:p>
    <w:p w14:paraId="33080131" w14:textId="77777777" w:rsidR="00DF4DE6" w:rsidRDefault="001B2AC3" w:rsidP="00240AE0">
      <w:pPr>
        <w:spacing w:before="200" w:after="70"/>
        <w:jc w:val="both"/>
      </w:pPr>
      <w:r>
        <w:rPr>
          <w:b/>
          <w:bCs/>
          <w:color w:val="2E5A88"/>
          <w:spacing w:val="24"/>
          <w:sz w:val="17"/>
          <w:szCs w:val="17"/>
        </w:rPr>
        <w:t>IDÉE DIRECTRICE</w:t>
      </w:r>
    </w:p>
    <w:p w14:paraId="5522734A" w14:textId="77777777" w:rsidR="00DF4DE6" w:rsidRDefault="001B2AC3" w:rsidP="00240AE0">
      <w:pPr>
        <w:spacing w:after="60" w:line="276" w:lineRule="auto"/>
        <w:jc w:val="both"/>
      </w:pPr>
      <w:r>
        <w:t>Fiche de droit des étrangers centrée sur les garanties. Elle distingue d'abord les mesures (obligation de quitter le territoire et interdiction de retour, expulsion, extradition), qui obéissent à des règles et des objectifs différents, puis les protections : protection de l'intégrité physique (risque de traitement contraire à l'article 3), protection de l'intégrité morale (vie privée et familiale), et garanties procédurales de l'article 1er du protocole n° 7.</w:t>
      </w:r>
    </w:p>
    <w:p w14:paraId="25ADCA75" w14:textId="77777777" w:rsidR="00DF4DE6" w:rsidRDefault="001B2AC3" w:rsidP="00240AE0">
      <w:pPr>
        <w:spacing w:before="200" w:after="70"/>
        <w:jc w:val="both"/>
      </w:pPr>
      <w:r>
        <w:rPr>
          <w:b/>
          <w:bCs/>
          <w:color w:val="2E5A88"/>
          <w:spacing w:val="24"/>
          <w:sz w:val="17"/>
          <w:szCs w:val="17"/>
        </w:rPr>
        <w:t>POINTS CLÉS (ENCADRÉ DU FASCICULE)</w:t>
      </w:r>
    </w:p>
    <w:p w14:paraId="173CA58D" w14:textId="77777777" w:rsidR="00DF4DE6" w:rsidRDefault="001B2AC3" w:rsidP="00240AE0">
      <w:pPr>
        <w:pStyle w:val="Paragraphedeliste"/>
        <w:numPr>
          <w:ilvl w:val="0"/>
          <w:numId w:val="2"/>
        </w:numPr>
        <w:spacing w:after="40" w:line="264" w:lineRule="auto"/>
        <w:jc w:val="both"/>
      </w:pPr>
      <w:r>
        <w:rPr>
          <w:color w:val="1A1A1A"/>
          <w:sz w:val="19"/>
          <w:szCs w:val="19"/>
        </w:rPr>
        <w:t>Il existe en France plusieurs mesures d’éloignement, d’expulsion et d’extradition qui obéissent à des règles et à des objectifs bien différents en fonction de la situation des personnes.</w:t>
      </w:r>
    </w:p>
    <w:p w14:paraId="0CA7CACC" w14:textId="77777777" w:rsidR="00DF4DE6" w:rsidRDefault="001B2AC3" w:rsidP="00240AE0">
      <w:pPr>
        <w:pStyle w:val="Paragraphedeliste"/>
        <w:numPr>
          <w:ilvl w:val="0"/>
          <w:numId w:val="2"/>
        </w:numPr>
        <w:spacing w:after="40" w:line="264" w:lineRule="auto"/>
        <w:jc w:val="both"/>
      </w:pPr>
      <w:r>
        <w:rPr>
          <w:color w:val="1A1A1A"/>
          <w:sz w:val="19"/>
          <w:szCs w:val="19"/>
        </w:rPr>
        <w:t>Pour autant, dans la mise en œuvre de ces mesures, les individus disposent de droits devant être garantis.</w:t>
      </w:r>
    </w:p>
    <w:p w14:paraId="1C1BACE8" w14:textId="77777777" w:rsidR="00DF4DE6" w:rsidRDefault="001B2AC3" w:rsidP="00240AE0">
      <w:pPr>
        <w:pStyle w:val="Paragraphedeliste"/>
        <w:numPr>
          <w:ilvl w:val="0"/>
          <w:numId w:val="2"/>
        </w:numPr>
        <w:spacing w:after="40" w:line="264" w:lineRule="auto"/>
        <w:jc w:val="both"/>
      </w:pPr>
      <w:r>
        <w:rPr>
          <w:color w:val="1A1A1A"/>
          <w:sz w:val="19"/>
          <w:szCs w:val="19"/>
        </w:rPr>
        <w:t>Il existe une multitude de textes nationaux et internationaux préservant les droits de la personne.</w:t>
      </w:r>
    </w:p>
    <w:p w14:paraId="6CC50DFB" w14:textId="77777777" w:rsidR="00DF4DE6" w:rsidRDefault="001B2AC3" w:rsidP="00240AE0">
      <w:pPr>
        <w:pStyle w:val="Paragraphedeliste"/>
        <w:numPr>
          <w:ilvl w:val="0"/>
          <w:numId w:val="2"/>
        </w:numPr>
        <w:spacing w:after="40" w:line="264" w:lineRule="auto"/>
        <w:jc w:val="both"/>
      </w:pPr>
      <w:r>
        <w:rPr>
          <w:color w:val="1A1A1A"/>
          <w:sz w:val="19"/>
          <w:szCs w:val="19"/>
        </w:rPr>
        <w:t>Parfois, la protection fondamentale en cas d’éloignement est mise en balance avec d’autres droits comme celui au mariage.</w:t>
      </w:r>
    </w:p>
    <w:p w14:paraId="5EB63DE2" w14:textId="77777777" w:rsidR="00DF4DE6" w:rsidRDefault="001B2AC3" w:rsidP="00240AE0">
      <w:pPr>
        <w:spacing w:before="200" w:after="70"/>
        <w:jc w:val="both"/>
      </w:pPr>
      <w:r>
        <w:rPr>
          <w:b/>
          <w:bCs/>
          <w:color w:val="2E5A88"/>
          <w:spacing w:val="24"/>
          <w:sz w:val="17"/>
          <w:szCs w:val="17"/>
        </w:rPr>
        <w:t>PLAN DE LA FICHE</w:t>
      </w:r>
    </w:p>
    <w:p w14:paraId="1070EFEE" w14:textId="77777777" w:rsidR="00DF4DE6" w:rsidRDefault="001B2AC3" w:rsidP="00240AE0">
      <w:pPr>
        <w:spacing w:after="20" w:line="250" w:lineRule="auto"/>
        <w:ind w:left="240"/>
        <w:jc w:val="both"/>
      </w:pPr>
      <w:r>
        <w:rPr>
          <w:b/>
          <w:bCs/>
          <w:color w:val="1F3864"/>
          <w:sz w:val="19"/>
          <w:szCs w:val="19"/>
        </w:rPr>
        <w:t>1. Le droit des étrangers et des citoyens de l’Union européenne</w:t>
      </w:r>
    </w:p>
    <w:p w14:paraId="57B1355B" w14:textId="77777777" w:rsidR="00DF4DE6" w:rsidRDefault="001B2AC3" w:rsidP="00240AE0">
      <w:pPr>
        <w:spacing w:after="20" w:line="250" w:lineRule="auto"/>
        <w:ind w:left="240"/>
        <w:jc w:val="both"/>
      </w:pPr>
      <w:r>
        <w:rPr>
          <w:b/>
          <w:bCs/>
          <w:color w:val="1F3864"/>
          <w:sz w:val="19"/>
          <w:szCs w:val="19"/>
        </w:rPr>
        <w:t>2. Les mesures d’éloignement du territoire</w:t>
      </w:r>
    </w:p>
    <w:p w14:paraId="4458D13B" w14:textId="77777777" w:rsidR="00DF4DE6" w:rsidRDefault="001B2AC3" w:rsidP="00240AE0">
      <w:pPr>
        <w:spacing w:after="20" w:line="250" w:lineRule="auto"/>
        <w:ind w:left="500"/>
        <w:jc w:val="both"/>
      </w:pPr>
      <w:r>
        <w:rPr>
          <w:color w:val="333333"/>
          <w:sz w:val="18"/>
          <w:szCs w:val="18"/>
        </w:rPr>
        <w:t>2.1. L’obligation de quitter le territoire français (OQTF) et l’interdiction de retour sur le territoire français</w:t>
      </w:r>
    </w:p>
    <w:p w14:paraId="1E5F90DD" w14:textId="77777777" w:rsidR="00DF4DE6" w:rsidRDefault="001B2AC3" w:rsidP="00240AE0">
      <w:pPr>
        <w:spacing w:after="20" w:line="250" w:lineRule="auto"/>
        <w:ind w:left="500"/>
        <w:jc w:val="both"/>
      </w:pPr>
      <w:r>
        <w:rPr>
          <w:color w:val="333333"/>
          <w:sz w:val="18"/>
          <w:szCs w:val="18"/>
        </w:rPr>
        <w:t>2.2. L’expulsion</w:t>
      </w:r>
    </w:p>
    <w:p w14:paraId="53452C40" w14:textId="77777777" w:rsidR="00DF4DE6" w:rsidRDefault="001B2AC3" w:rsidP="00240AE0">
      <w:pPr>
        <w:spacing w:after="20" w:line="250" w:lineRule="auto"/>
        <w:ind w:left="500"/>
        <w:jc w:val="both"/>
      </w:pPr>
      <w:r>
        <w:rPr>
          <w:color w:val="333333"/>
          <w:sz w:val="18"/>
          <w:szCs w:val="18"/>
        </w:rPr>
        <w:t>2.3. L’extradition</w:t>
      </w:r>
    </w:p>
    <w:p w14:paraId="1FBF7569" w14:textId="77777777" w:rsidR="00DF4DE6" w:rsidRDefault="001B2AC3" w:rsidP="00240AE0">
      <w:pPr>
        <w:spacing w:after="20" w:line="250" w:lineRule="auto"/>
        <w:ind w:left="240"/>
        <w:jc w:val="both"/>
      </w:pPr>
      <w:r>
        <w:rPr>
          <w:b/>
          <w:bCs/>
          <w:color w:val="1F3864"/>
          <w:sz w:val="19"/>
          <w:szCs w:val="19"/>
        </w:rPr>
        <w:t>3. Les protections face aux mesures d’éloignement</w:t>
      </w:r>
    </w:p>
    <w:p w14:paraId="0F07EEAD" w14:textId="77777777" w:rsidR="00DF4DE6" w:rsidRDefault="001B2AC3" w:rsidP="00240AE0">
      <w:pPr>
        <w:spacing w:after="20" w:line="250" w:lineRule="auto"/>
        <w:ind w:left="500"/>
        <w:jc w:val="both"/>
      </w:pPr>
      <w:r>
        <w:rPr>
          <w:color w:val="333333"/>
          <w:sz w:val="18"/>
          <w:szCs w:val="18"/>
        </w:rPr>
        <w:t>3.1. Éloignement et protection de l’intégrité physique</w:t>
      </w:r>
    </w:p>
    <w:p w14:paraId="3E5C18CC" w14:textId="77777777" w:rsidR="00DF4DE6" w:rsidRDefault="001B2AC3" w:rsidP="00240AE0">
      <w:pPr>
        <w:spacing w:after="20" w:line="250" w:lineRule="auto"/>
        <w:ind w:left="500"/>
        <w:jc w:val="both"/>
      </w:pPr>
      <w:r>
        <w:rPr>
          <w:color w:val="333333"/>
          <w:sz w:val="18"/>
          <w:szCs w:val="18"/>
        </w:rPr>
        <w:t>3.2. Éloignement et protection de l’intégrité morale</w:t>
      </w:r>
    </w:p>
    <w:p w14:paraId="6E301B8E" w14:textId="77777777" w:rsidR="00DF4DE6" w:rsidRDefault="001B2AC3" w:rsidP="00240AE0">
      <w:pPr>
        <w:spacing w:after="20" w:line="250" w:lineRule="auto"/>
        <w:ind w:left="500"/>
        <w:jc w:val="both"/>
      </w:pPr>
      <w:r>
        <w:rPr>
          <w:color w:val="333333"/>
          <w:sz w:val="18"/>
          <w:szCs w:val="18"/>
        </w:rPr>
        <w:t>3.3. Les garanties procédurales prévues par l’article 1er du protocole no 7 à la Convention européenne des droits de l’homme</w:t>
      </w:r>
    </w:p>
    <w:p w14:paraId="469E016F" w14:textId="77777777" w:rsidR="00DF4DE6" w:rsidRDefault="001B2AC3" w:rsidP="00240AE0">
      <w:pPr>
        <w:spacing w:before="200" w:after="70"/>
        <w:jc w:val="both"/>
      </w:pPr>
      <w:r>
        <w:rPr>
          <w:b/>
          <w:bCs/>
          <w:color w:val="2E5A88"/>
          <w:spacing w:val="24"/>
          <w:sz w:val="17"/>
          <w:szCs w:val="17"/>
        </w:rPr>
        <w:t>RÉFÉRENCES CENTRALES</w:t>
      </w:r>
    </w:p>
    <w:p w14:paraId="36A9D9EA"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2011-631 DC, 9 juin 2011, Loi relative à l’immigration, à l’intégration et à la nationalité.</w:t>
      </w:r>
    </w:p>
    <w:p w14:paraId="2D19B0A3"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2003-484 DC, 20 novembre 2003, Loi relative à la maîtrise de l’immigration, au séjour des étrangers en France et à la nationalité.</w:t>
      </w:r>
    </w:p>
    <w:p w14:paraId="4D9A33C2" w14:textId="77777777" w:rsidR="00DF4DE6" w:rsidRDefault="001B2AC3" w:rsidP="00240AE0">
      <w:pPr>
        <w:pStyle w:val="Paragraphedeliste"/>
        <w:numPr>
          <w:ilvl w:val="0"/>
          <w:numId w:val="2"/>
        </w:numPr>
        <w:spacing w:after="40" w:line="264" w:lineRule="auto"/>
        <w:jc w:val="both"/>
      </w:pPr>
      <w:r>
        <w:rPr>
          <w:color w:val="333333"/>
          <w:sz w:val="18"/>
          <w:szCs w:val="18"/>
        </w:rPr>
        <w:lastRenderedPageBreak/>
        <w:t xml:space="preserve">CE, </w:t>
      </w:r>
      <w:proofErr w:type="spellStart"/>
      <w:r>
        <w:rPr>
          <w:color w:val="333333"/>
          <w:sz w:val="18"/>
          <w:szCs w:val="18"/>
        </w:rPr>
        <w:t>Ass</w:t>
      </w:r>
      <w:proofErr w:type="spellEnd"/>
      <w:r>
        <w:rPr>
          <w:color w:val="333333"/>
          <w:sz w:val="18"/>
          <w:szCs w:val="18"/>
        </w:rPr>
        <w:t>., 21 janvier 1977, ministre de l’Intérieur c/ Dridi, no 01333.</w:t>
      </w:r>
    </w:p>
    <w:p w14:paraId="2FC06B73" w14:textId="77777777" w:rsidR="00DF4DE6" w:rsidRDefault="00DF4DE6" w:rsidP="00240AE0">
      <w:pPr>
        <w:pBdr>
          <w:top w:val="single" w:sz="6" w:space="0" w:color="C7D2E0"/>
        </w:pBdr>
        <w:spacing w:before="260" w:after="180"/>
        <w:jc w:val="both"/>
      </w:pPr>
    </w:p>
    <w:p w14:paraId="03E6E9AE"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44  ·</w:t>
      </w:r>
      <w:proofErr w:type="gramEnd"/>
      <w:r>
        <w:rPr>
          <w:b/>
          <w:bCs/>
          <w:color w:val="2E5A88"/>
          <w:sz w:val="22"/>
          <w:szCs w:val="22"/>
        </w:rPr>
        <w:t xml:space="preserve">  </w:t>
      </w:r>
      <w:r>
        <w:rPr>
          <w:rFonts w:ascii="Cambria" w:eastAsia="Cambria" w:hAnsi="Cambria" w:cs="Cambria"/>
          <w:b/>
          <w:bCs/>
          <w:color w:val="1F3864"/>
        </w:rPr>
        <w:t>Le droit des peuples à disposer d’eux-mêmes</w:t>
      </w:r>
    </w:p>
    <w:p w14:paraId="4C9F75F4" w14:textId="77777777" w:rsidR="00DF4DE6" w:rsidRDefault="001B2AC3" w:rsidP="00240AE0">
      <w:pPr>
        <w:spacing w:after="120"/>
        <w:jc w:val="both"/>
      </w:pPr>
      <w:r>
        <w:rPr>
          <w:i/>
          <w:iCs/>
          <w:color w:val="595959"/>
          <w:sz w:val="17"/>
          <w:szCs w:val="17"/>
        </w:rPr>
        <w:t>Fascicule, p. 456</w:t>
      </w:r>
    </w:p>
    <w:p w14:paraId="1C7CDEE5" w14:textId="77777777" w:rsidR="00DF4DE6" w:rsidRDefault="001B2AC3" w:rsidP="00240AE0">
      <w:pPr>
        <w:spacing w:before="200" w:after="70"/>
        <w:jc w:val="both"/>
      </w:pPr>
      <w:r>
        <w:rPr>
          <w:b/>
          <w:bCs/>
          <w:color w:val="2E5A88"/>
          <w:spacing w:val="24"/>
          <w:sz w:val="17"/>
          <w:szCs w:val="17"/>
        </w:rPr>
        <w:t>IDÉE DIRECTRICE</w:t>
      </w:r>
    </w:p>
    <w:p w14:paraId="7D7FB514" w14:textId="77777777" w:rsidR="00DF4DE6" w:rsidRDefault="001B2AC3" w:rsidP="00240AE0">
      <w:pPr>
        <w:spacing w:after="60" w:line="276" w:lineRule="auto"/>
        <w:jc w:val="both"/>
      </w:pPr>
      <w:r>
        <w:t>Fiche de droit international public au sein du programme. Elle commence par l'incertitude de la définition juridique de « peuple », déroule le droit international (Charte, Pactes, résolutions de l'Assemblée générale, jurisprudence et avis de la Cour internationale de justice, principe de l'</w:t>
      </w:r>
      <w:proofErr w:type="spellStart"/>
      <w:r>
        <w:t>uti</w:t>
      </w:r>
      <w:proofErr w:type="spellEnd"/>
      <w:r>
        <w:t xml:space="preserve"> possidetis), puis les conventions régionales (place centrale dans la Charte africaine), et enfin le droit français : valeur constitutionnelle du « peuple français », refus de la Charte des langues régionales, statut dérogatoire de la Nouvelle-Calédonie, statut particulier de la Corse.</w:t>
      </w:r>
    </w:p>
    <w:p w14:paraId="2752C1D2" w14:textId="77777777" w:rsidR="00DF4DE6" w:rsidRDefault="001B2AC3" w:rsidP="00240AE0">
      <w:pPr>
        <w:spacing w:before="200" w:after="70"/>
        <w:jc w:val="both"/>
      </w:pPr>
      <w:r>
        <w:rPr>
          <w:b/>
          <w:bCs/>
          <w:color w:val="2E5A88"/>
          <w:spacing w:val="24"/>
          <w:sz w:val="17"/>
          <w:szCs w:val="17"/>
        </w:rPr>
        <w:t>POINTS CLÉS (ENCADRÉ DU FASCICULE)</w:t>
      </w:r>
    </w:p>
    <w:p w14:paraId="2CE24B04" w14:textId="77777777" w:rsidR="00DF4DE6" w:rsidRDefault="001B2AC3" w:rsidP="00240AE0">
      <w:pPr>
        <w:pStyle w:val="Paragraphedeliste"/>
        <w:numPr>
          <w:ilvl w:val="0"/>
          <w:numId w:val="2"/>
        </w:numPr>
        <w:spacing w:after="40" w:line="264" w:lineRule="auto"/>
        <w:jc w:val="both"/>
      </w:pPr>
      <w:r>
        <w:rPr>
          <w:color w:val="1A1A1A"/>
          <w:sz w:val="19"/>
          <w:szCs w:val="19"/>
        </w:rPr>
        <w:t>Décolonisation.</w:t>
      </w:r>
    </w:p>
    <w:p w14:paraId="00649500" w14:textId="77777777" w:rsidR="00DF4DE6" w:rsidRDefault="001B2AC3" w:rsidP="00240AE0">
      <w:pPr>
        <w:pStyle w:val="Paragraphedeliste"/>
        <w:numPr>
          <w:ilvl w:val="0"/>
          <w:numId w:val="2"/>
        </w:numPr>
        <w:spacing w:after="40" w:line="264" w:lineRule="auto"/>
        <w:jc w:val="both"/>
      </w:pPr>
      <w:r>
        <w:rPr>
          <w:color w:val="1A1A1A"/>
          <w:sz w:val="19"/>
          <w:szCs w:val="19"/>
        </w:rPr>
        <w:t>Droit international coutumier.</w:t>
      </w:r>
    </w:p>
    <w:p w14:paraId="2DB4CB7C" w14:textId="77777777" w:rsidR="00DF4DE6" w:rsidRDefault="001B2AC3" w:rsidP="00240AE0">
      <w:pPr>
        <w:pStyle w:val="Paragraphedeliste"/>
        <w:numPr>
          <w:ilvl w:val="0"/>
          <w:numId w:val="2"/>
        </w:numPr>
        <w:spacing w:after="40" w:line="264" w:lineRule="auto"/>
        <w:jc w:val="both"/>
      </w:pPr>
      <w:r>
        <w:rPr>
          <w:color w:val="1A1A1A"/>
          <w:sz w:val="19"/>
          <w:szCs w:val="19"/>
        </w:rPr>
        <w:t>Principe de l’</w:t>
      </w:r>
      <w:proofErr w:type="spellStart"/>
      <w:r>
        <w:rPr>
          <w:color w:val="1A1A1A"/>
          <w:sz w:val="19"/>
          <w:szCs w:val="19"/>
        </w:rPr>
        <w:t>uti</w:t>
      </w:r>
      <w:proofErr w:type="spellEnd"/>
      <w:r>
        <w:rPr>
          <w:color w:val="1A1A1A"/>
          <w:sz w:val="19"/>
          <w:szCs w:val="19"/>
        </w:rPr>
        <w:t xml:space="preserve"> </w:t>
      </w:r>
      <w:proofErr w:type="spellStart"/>
      <w:r>
        <w:rPr>
          <w:color w:val="1A1A1A"/>
          <w:sz w:val="19"/>
          <w:szCs w:val="19"/>
        </w:rPr>
        <w:t>posssidetis</w:t>
      </w:r>
      <w:proofErr w:type="spellEnd"/>
      <w:r>
        <w:rPr>
          <w:color w:val="1A1A1A"/>
          <w:sz w:val="19"/>
          <w:szCs w:val="19"/>
        </w:rPr>
        <w:t>.</w:t>
      </w:r>
    </w:p>
    <w:p w14:paraId="0BEF2D84" w14:textId="77777777" w:rsidR="00DF4DE6" w:rsidRDefault="001B2AC3" w:rsidP="00240AE0">
      <w:pPr>
        <w:pStyle w:val="Paragraphedeliste"/>
        <w:numPr>
          <w:ilvl w:val="0"/>
          <w:numId w:val="2"/>
        </w:numPr>
        <w:spacing w:after="40" w:line="264" w:lineRule="auto"/>
        <w:jc w:val="both"/>
      </w:pPr>
      <w:r>
        <w:rPr>
          <w:color w:val="1A1A1A"/>
          <w:sz w:val="19"/>
          <w:szCs w:val="19"/>
        </w:rPr>
        <w:t>Charte africaine des droits de l’homme et des peuples.</w:t>
      </w:r>
    </w:p>
    <w:p w14:paraId="71B1DE2B" w14:textId="77777777" w:rsidR="00DF4DE6" w:rsidRDefault="001B2AC3" w:rsidP="00240AE0">
      <w:pPr>
        <w:pStyle w:val="Paragraphedeliste"/>
        <w:numPr>
          <w:ilvl w:val="0"/>
          <w:numId w:val="2"/>
        </w:numPr>
        <w:spacing w:after="40" w:line="264" w:lineRule="auto"/>
        <w:jc w:val="both"/>
      </w:pPr>
      <w:r>
        <w:rPr>
          <w:color w:val="1A1A1A"/>
          <w:sz w:val="19"/>
          <w:szCs w:val="19"/>
        </w:rPr>
        <w:t>Valeur constitutionnelle de « peuple français ».</w:t>
      </w:r>
    </w:p>
    <w:p w14:paraId="4FA500D2" w14:textId="77777777" w:rsidR="00DF4DE6" w:rsidRDefault="001B2AC3" w:rsidP="00240AE0">
      <w:pPr>
        <w:pStyle w:val="Paragraphedeliste"/>
        <w:numPr>
          <w:ilvl w:val="0"/>
          <w:numId w:val="2"/>
        </w:numPr>
        <w:spacing w:after="40" w:line="264" w:lineRule="auto"/>
        <w:jc w:val="both"/>
      </w:pPr>
      <w:r>
        <w:rPr>
          <w:color w:val="1A1A1A"/>
          <w:sz w:val="19"/>
          <w:szCs w:val="19"/>
        </w:rPr>
        <w:t>Statut dérogatoire de la Nouvelle-Calédonie.</w:t>
      </w:r>
    </w:p>
    <w:p w14:paraId="081D5308" w14:textId="77777777" w:rsidR="00DF4DE6" w:rsidRDefault="001B2AC3" w:rsidP="00240AE0">
      <w:pPr>
        <w:pStyle w:val="Paragraphedeliste"/>
        <w:numPr>
          <w:ilvl w:val="0"/>
          <w:numId w:val="2"/>
        </w:numPr>
        <w:spacing w:after="40" w:line="264" w:lineRule="auto"/>
        <w:jc w:val="both"/>
      </w:pPr>
      <w:r>
        <w:rPr>
          <w:color w:val="1A1A1A"/>
          <w:sz w:val="19"/>
          <w:szCs w:val="19"/>
        </w:rPr>
        <w:t>Statut particulier de la Corse.</w:t>
      </w:r>
    </w:p>
    <w:p w14:paraId="68070C1B" w14:textId="77777777" w:rsidR="00DF4DE6" w:rsidRDefault="001B2AC3" w:rsidP="00240AE0">
      <w:pPr>
        <w:spacing w:before="200" w:after="70"/>
        <w:jc w:val="both"/>
      </w:pPr>
      <w:r>
        <w:rPr>
          <w:b/>
          <w:bCs/>
          <w:color w:val="2E5A88"/>
          <w:spacing w:val="24"/>
          <w:sz w:val="17"/>
          <w:szCs w:val="17"/>
        </w:rPr>
        <w:t>PLAN DE LA FICHE</w:t>
      </w:r>
    </w:p>
    <w:p w14:paraId="71685C78" w14:textId="77777777" w:rsidR="00DF4DE6" w:rsidRDefault="001B2AC3" w:rsidP="00240AE0">
      <w:pPr>
        <w:spacing w:after="20" w:line="250" w:lineRule="auto"/>
        <w:ind w:left="240"/>
        <w:jc w:val="both"/>
      </w:pPr>
      <w:r>
        <w:rPr>
          <w:b/>
          <w:bCs/>
          <w:color w:val="1F3864"/>
          <w:sz w:val="19"/>
          <w:szCs w:val="19"/>
        </w:rPr>
        <w:t>1. Les incertitudes autour de la définition juridique de « peuple »</w:t>
      </w:r>
    </w:p>
    <w:p w14:paraId="4BB060AD" w14:textId="77777777" w:rsidR="00DF4DE6" w:rsidRDefault="001B2AC3" w:rsidP="00240AE0">
      <w:pPr>
        <w:spacing w:after="20" w:line="250" w:lineRule="auto"/>
        <w:ind w:left="240"/>
        <w:jc w:val="both"/>
      </w:pPr>
      <w:r>
        <w:rPr>
          <w:b/>
          <w:bCs/>
          <w:color w:val="1F3864"/>
          <w:sz w:val="19"/>
          <w:szCs w:val="19"/>
        </w:rPr>
        <w:t>2. Le droit des peuples à disposer d’eux-mêmes en droit international</w:t>
      </w:r>
    </w:p>
    <w:p w14:paraId="4879BB11" w14:textId="77777777" w:rsidR="00DF4DE6" w:rsidRDefault="001B2AC3" w:rsidP="00240AE0">
      <w:pPr>
        <w:spacing w:after="20" w:line="250" w:lineRule="auto"/>
        <w:ind w:left="500"/>
        <w:jc w:val="both"/>
      </w:pPr>
      <w:r>
        <w:rPr>
          <w:color w:val="333333"/>
          <w:sz w:val="18"/>
          <w:szCs w:val="18"/>
        </w:rPr>
        <w:t>2.1. La reconnaissance conventionnelle du droit des peuples à disposer d’eux-mêmes</w:t>
      </w:r>
    </w:p>
    <w:p w14:paraId="010A5C70" w14:textId="77777777" w:rsidR="00DF4DE6" w:rsidRDefault="001B2AC3" w:rsidP="00240AE0">
      <w:pPr>
        <w:spacing w:after="20" w:line="250" w:lineRule="auto"/>
        <w:ind w:left="500"/>
        <w:jc w:val="both"/>
      </w:pPr>
      <w:r>
        <w:rPr>
          <w:color w:val="333333"/>
          <w:sz w:val="18"/>
          <w:szCs w:val="18"/>
        </w:rPr>
        <w:t>2.2. Les résolutions de l’Assemblée générale des Nations unies relatives au droit des peuples à disposer d’eux-mêmes</w:t>
      </w:r>
    </w:p>
    <w:p w14:paraId="0588DF53" w14:textId="77777777" w:rsidR="00DF4DE6" w:rsidRDefault="001B2AC3" w:rsidP="00240AE0">
      <w:pPr>
        <w:spacing w:after="20" w:line="250" w:lineRule="auto"/>
        <w:ind w:left="500"/>
        <w:jc w:val="both"/>
      </w:pPr>
      <w:r>
        <w:rPr>
          <w:color w:val="333333"/>
          <w:sz w:val="18"/>
          <w:szCs w:val="18"/>
        </w:rPr>
        <w:t>2.3. Le droit des peuples à disposer d’eux-mêmes dans la jurisprudence de la Cour internationale de justice</w:t>
      </w:r>
    </w:p>
    <w:p w14:paraId="6EEC3430" w14:textId="77777777" w:rsidR="00DF4DE6" w:rsidRDefault="001B2AC3" w:rsidP="00240AE0">
      <w:pPr>
        <w:spacing w:after="20" w:line="250" w:lineRule="auto"/>
        <w:ind w:left="500"/>
        <w:jc w:val="both"/>
      </w:pPr>
      <w:r>
        <w:rPr>
          <w:color w:val="333333"/>
          <w:sz w:val="18"/>
          <w:szCs w:val="18"/>
        </w:rPr>
        <w:t>2.4. Le droit des peuples à disposer d’eux-mêmes dans les avis consultatifs de la Cour internationale de justice</w:t>
      </w:r>
    </w:p>
    <w:p w14:paraId="769B1440" w14:textId="77777777" w:rsidR="00DF4DE6" w:rsidRDefault="001B2AC3" w:rsidP="00240AE0">
      <w:pPr>
        <w:spacing w:after="20" w:line="250" w:lineRule="auto"/>
        <w:ind w:left="240"/>
        <w:jc w:val="both"/>
      </w:pPr>
      <w:r>
        <w:rPr>
          <w:b/>
          <w:bCs/>
          <w:color w:val="1F3864"/>
          <w:sz w:val="19"/>
          <w:szCs w:val="19"/>
        </w:rPr>
        <w:t>3. Le droit des peuples dans les conventions régionales de protection des droits humains</w:t>
      </w:r>
    </w:p>
    <w:p w14:paraId="3664D89B" w14:textId="77777777" w:rsidR="00DF4DE6" w:rsidRDefault="001B2AC3" w:rsidP="00240AE0">
      <w:pPr>
        <w:spacing w:after="20" w:line="250" w:lineRule="auto"/>
        <w:ind w:left="500"/>
        <w:jc w:val="both"/>
      </w:pPr>
      <w:r>
        <w:rPr>
          <w:color w:val="333333"/>
          <w:sz w:val="18"/>
          <w:szCs w:val="18"/>
        </w:rPr>
        <w:t>3.1. Une place centrale dans la Charte africaine des droits de l’homme et des peuples</w:t>
      </w:r>
    </w:p>
    <w:p w14:paraId="55D687CD" w14:textId="77777777" w:rsidR="00DF4DE6" w:rsidRDefault="001B2AC3" w:rsidP="00240AE0">
      <w:pPr>
        <w:spacing w:after="20" w:line="250" w:lineRule="auto"/>
        <w:ind w:left="500"/>
        <w:jc w:val="both"/>
      </w:pPr>
      <w:r>
        <w:rPr>
          <w:color w:val="333333"/>
          <w:sz w:val="18"/>
          <w:szCs w:val="18"/>
        </w:rPr>
        <w:t>3.2. Les références aux peuples dans la Charte arabe des droits de l’homme</w:t>
      </w:r>
    </w:p>
    <w:p w14:paraId="2224A6FB" w14:textId="77777777" w:rsidR="00DF4DE6" w:rsidRDefault="001B2AC3" w:rsidP="00240AE0">
      <w:pPr>
        <w:spacing w:after="20" w:line="250" w:lineRule="auto"/>
        <w:ind w:left="240"/>
        <w:jc w:val="both"/>
      </w:pPr>
      <w:r>
        <w:rPr>
          <w:b/>
          <w:bCs/>
          <w:color w:val="1F3864"/>
          <w:sz w:val="19"/>
          <w:szCs w:val="19"/>
        </w:rPr>
        <w:t>4. La notion de « peuple » en droit français</w:t>
      </w:r>
    </w:p>
    <w:p w14:paraId="7326A70C" w14:textId="77777777" w:rsidR="00DF4DE6" w:rsidRDefault="001B2AC3" w:rsidP="00240AE0">
      <w:pPr>
        <w:spacing w:after="20" w:line="250" w:lineRule="auto"/>
        <w:ind w:left="500"/>
        <w:jc w:val="both"/>
      </w:pPr>
      <w:r>
        <w:rPr>
          <w:color w:val="333333"/>
          <w:sz w:val="18"/>
          <w:szCs w:val="18"/>
        </w:rPr>
        <w:t>4.1. La valeur constitutionnelle du « peuple français »</w:t>
      </w:r>
    </w:p>
    <w:p w14:paraId="2CE37C95" w14:textId="77777777" w:rsidR="00DF4DE6" w:rsidRDefault="001B2AC3" w:rsidP="00240AE0">
      <w:pPr>
        <w:spacing w:after="20" w:line="250" w:lineRule="auto"/>
        <w:ind w:left="500"/>
        <w:jc w:val="both"/>
      </w:pPr>
      <w:r>
        <w:rPr>
          <w:color w:val="333333"/>
          <w:sz w:val="18"/>
          <w:szCs w:val="18"/>
        </w:rPr>
        <w:t>4.2. L’absence de ratification de la Charte européenne des langues régionales ou minoritaires</w:t>
      </w:r>
    </w:p>
    <w:p w14:paraId="2E2F3852" w14:textId="77777777" w:rsidR="00DF4DE6" w:rsidRDefault="001B2AC3" w:rsidP="00240AE0">
      <w:pPr>
        <w:spacing w:after="20" w:line="250" w:lineRule="auto"/>
        <w:ind w:left="500"/>
        <w:jc w:val="both"/>
      </w:pPr>
      <w:r>
        <w:rPr>
          <w:color w:val="333333"/>
          <w:sz w:val="18"/>
          <w:szCs w:val="18"/>
        </w:rPr>
        <w:t>4.3. Le statut dérogatoire de la Nouvelle-Calédonie</w:t>
      </w:r>
    </w:p>
    <w:p w14:paraId="6490739C" w14:textId="77777777" w:rsidR="00DF4DE6" w:rsidRDefault="001B2AC3" w:rsidP="00240AE0">
      <w:pPr>
        <w:spacing w:after="20" w:line="250" w:lineRule="auto"/>
        <w:ind w:left="500"/>
        <w:jc w:val="both"/>
      </w:pPr>
      <w:r>
        <w:rPr>
          <w:color w:val="333333"/>
          <w:sz w:val="18"/>
          <w:szCs w:val="18"/>
        </w:rPr>
        <w:t>4.4. Le statut particulier de la Corse</w:t>
      </w:r>
    </w:p>
    <w:p w14:paraId="14B00F00" w14:textId="77777777" w:rsidR="00DF4DE6" w:rsidRDefault="001B2AC3" w:rsidP="00240AE0">
      <w:pPr>
        <w:spacing w:before="200" w:after="70"/>
        <w:jc w:val="both"/>
      </w:pPr>
      <w:r>
        <w:rPr>
          <w:b/>
          <w:bCs/>
          <w:color w:val="2E5A88"/>
          <w:spacing w:val="24"/>
          <w:sz w:val="17"/>
          <w:szCs w:val="17"/>
        </w:rPr>
        <w:t>RÉFÉRENCES CENTRALES</w:t>
      </w:r>
    </w:p>
    <w:p w14:paraId="413C38FC" w14:textId="77777777" w:rsidR="00DF4DE6" w:rsidRDefault="001B2AC3" w:rsidP="00240AE0">
      <w:pPr>
        <w:pStyle w:val="Paragraphedeliste"/>
        <w:numPr>
          <w:ilvl w:val="0"/>
          <w:numId w:val="2"/>
        </w:numPr>
        <w:spacing w:after="40" w:line="264" w:lineRule="auto"/>
        <w:jc w:val="both"/>
      </w:pPr>
      <w:r>
        <w:rPr>
          <w:color w:val="333333"/>
          <w:sz w:val="18"/>
          <w:szCs w:val="18"/>
        </w:rPr>
        <w:t>Charte des Nations unies.</w:t>
      </w:r>
    </w:p>
    <w:p w14:paraId="3E62E80D" w14:textId="77777777" w:rsidR="00DF4DE6" w:rsidRDefault="001B2AC3" w:rsidP="00240AE0">
      <w:pPr>
        <w:pStyle w:val="Paragraphedeliste"/>
        <w:numPr>
          <w:ilvl w:val="0"/>
          <w:numId w:val="2"/>
        </w:numPr>
        <w:spacing w:after="40" w:line="264" w:lineRule="auto"/>
        <w:jc w:val="both"/>
      </w:pPr>
      <w:r>
        <w:rPr>
          <w:color w:val="333333"/>
          <w:sz w:val="18"/>
          <w:szCs w:val="18"/>
        </w:rPr>
        <w:t>Pacte international sur les droits civils et politiques.</w:t>
      </w:r>
    </w:p>
    <w:p w14:paraId="736CFFA7" w14:textId="77777777" w:rsidR="00DF4DE6" w:rsidRDefault="001B2AC3" w:rsidP="00240AE0">
      <w:pPr>
        <w:pStyle w:val="Paragraphedeliste"/>
        <w:numPr>
          <w:ilvl w:val="0"/>
          <w:numId w:val="2"/>
        </w:numPr>
        <w:spacing w:after="40" w:line="264" w:lineRule="auto"/>
        <w:jc w:val="both"/>
      </w:pPr>
      <w:r>
        <w:rPr>
          <w:color w:val="333333"/>
          <w:sz w:val="18"/>
          <w:szCs w:val="18"/>
        </w:rPr>
        <w:t>Pacte international sur les droits économiques, sociaux et culturels.</w:t>
      </w:r>
    </w:p>
    <w:p w14:paraId="3798AE11" w14:textId="77777777" w:rsidR="00DF4DE6" w:rsidRDefault="001B2AC3" w:rsidP="00240AE0">
      <w:pPr>
        <w:pStyle w:val="Paragraphedeliste"/>
        <w:numPr>
          <w:ilvl w:val="0"/>
          <w:numId w:val="2"/>
        </w:numPr>
        <w:spacing w:after="40" w:line="264" w:lineRule="auto"/>
        <w:jc w:val="both"/>
      </w:pPr>
      <w:r>
        <w:rPr>
          <w:color w:val="333333"/>
          <w:sz w:val="18"/>
          <w:szCs w:val="18"/>
        </w:rPr>
        <w:t>CIJ, Burkina Faso c. République du Mali, 22 décembre 1986.</w:t>
      </w:r>
    </w:p>
    <w:p w14:paraId="775A9A83"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91-290, 9 mai 1991, Loi portant statut de la collectivité territoriale de Corse.</w:t>
      </w:r>
    </w:p>
    <w:p w14:paraId="69E699B6" w14:textId="77777777" w:rsidR="00DF4DE6" w:rsidRDefault="001B2AC3" w:rsidP="00240AE0">
      <w:pPr>
        <w:pStyle w:val="Paragraphedeliste"/>
        <w:numPr>
          <w:ilvl w:val="0"/>
          <w:numId w:val="2"/>
        </w:numPr>
        <w:spacing w:after="40" w:line="264" w:lineRule="auto"/>
        <w:jc w:val="both"/>
      </w:pPr>
      <w:r>
        <w:rPr>
          <w:color w:val="333333"/>
          <w:sz w:val="18"/>
          <w:szCs w:val="18"/>
        </w:rPr>
        <w:t>CIJ, Affaire relative au Timor oriental (Portugal contre Australie), 30 juin 1995.</w:t>
      </w:r>
    </w:p>
    <w:p w14:paraId="4EA3BA33"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75-59 DC, 30 décembre 1975, Loi relative aux conséquences de l’autodétermination des îles des Comores.</w:t>
      </w:r>
    </w:p>
    <w:p w14:paraId="7A2B239F"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99-412 DC, 15 juin 1999, Charte européenne des langues régionales ou minoritaires.</w:t>
      </w:r>
    </w:p>
    <w:p w14:paraId="64027695" w14:textId="77777777" w:rsidR="00DF4DE6" w:rsidRDefault="001B2AC3" w:rsidP="00240AE0">
      <w:pPr>
        <w:pStyle w:val="Paragraphedeliste"/>
        <w:numPr>
          <w:ilvl w:val="0"/>
          <w:numId w:val="2"/>
        </w:numPr>
        <w:spacing w:after="40" w:line="264" w:lineRule="auto"/>
        <w:jc w:val="both"/>
      </w:pPr>
      <w:r>
        <w:rPr>
          <w:color w:val="333333"/>
          <w:sz w:val="18"/>
          <w:szCs w:val="18"/>
        </w:rPr>
        <w:t>Loi no 99-209 organique du 19 mars 1999 relative à la Nouvelle-Calédonie.</w:t>
      </w:r>
    </w:p>
    <w:p w14:paraId="4D8C1AA7" w14:textId="77777777" w:rsidR="00DF4DE6" w:rsidRDefault="001B2AC3" w:rsidP="00240AE0">
      <w:pPr>
        <w:jc w:val="both"/>
      </w:pPr>
      <w:r>
        <w:br w:type="page"/>
      </w:r>
    </w:p>
    <w:p w14:paraId="12E7616C" w14:textId="77777777" w:rsidR="00DF4DE6" w:rsidRDefault="001B2AC3" w:rsidP="00240AE0">
      <w:pPr>
        <w:spacing w:after="40"/>
        <w:jc w:val="both"/>
      </w:pPr>
      <w:proofErr w:type="gramStart"/>
      <w:r>
        <w:rPr>
          <w:b/>
          <w:bCs/>
          <w:color w:val="2E5A88"/>
          <w:spacing w:val="50"/>
        </w:rPr>
        <w:lastRenderedPageBreak/>
        <w:t>PARTIE VII</w:t>
      </w:r>
      <w:proofErr w:type="gramEnd"/>
    </w:p>
    <w:p w14:paraId="51911D29" w14:textId="77777777" w:rsidR="00DF4DE6" w:rsidRDefault="001B2AC3" w:rsidP="00240AE0">
      <w:pPr>
        <w:pStyle w:val="Titre1"/>
        <w:pBdr>
          <w:bottom w:val="single" w:sz="10" w:space="0" w:color="C7D2E0"/>
        </w:pBdr>
        <w:spacing w:after="100"/>
        <w:jc w:val="both"/>
      </w:pPr>
      <w:r>
        <w:rPr>
          <w:rFonts w:ascii="Cambria" w:eastAsia="Cambria" w:hAnsi="Cambria" w:cs="Cambria"/>
          <w:b/>
          <w:bCs/>
          <w:color w:val="1F3864"/>
          <w:sz w:val="34"/>
          <w:szCs w:val="34"/>
        </w:rPr>
        <w:t>Les droits économiques, sociaux et culturels</w:t>
      </w:r>
    </w:p>
    <w:p w14:paraId="47189F30" w14:textId="77777777" w:rsidR="00DF4DE6" w:rsidRDefault="001B2AC3" w:rsidP="00240AE0">
      <w:pPr>
        <w:spacing w:before="60" w:after="160"/>
        <w:jc w:val="both"/>
      </w:pPr>
      <w:r>
        <w:rPr>
          <w:i/>
          <w:iCs/>
          <w:color w:val="595959"/>
          <w:sz w:val="18"/>
          <w:szCs w:val="18"/>
        </w:rPr>
        <w:t xml:space="preserve">Fiches 45 à </w:t>
      </w:r>
      <w:proofErr w:type="gramStart"/>
      <w:r>
        <w:rPr>
          <w:i/>
          <w:iCs/>
          <w:color w:val="595959"/>
          <w:sz w:val="18"/>
          <w:szCs w:val="18"/>
        </w:rPr>
        <w:t>53  ·</w:t>
      </w:r>
      <w:proofErr w:type="gramEnd"/>
      <w:r>
        <w:rPr>
          <w:i/>
          <w:iCs/>
          <w:color w:val="595959"/>
          <w:sz w:val="18"/>
          <w:szCs w:val="18"/>
        </w:rPr>
        <w:t xml:space="preserve">  pages 467 à 545 du fascicule</w:t>
      </w:r>
    </w:p>
    <w:p w14:paraId="169FC07E" w14:textId="77777777" w:rsidR="00DF4DE6" w:rsidRDefault="001B2AC3" w:rsidP="00240AE0">
      <w:pPr>
        <w:spacing w:after="200" w:line="276" w:lineRule="auto"/>
        <w:jc w:val="both"/>
      </w:pPr>
      <w:r>
        <w:t>Les droits de deuxième génération, ceux qui supposent une action de l'État. Deux libertés économiques classiques (commerce et industrie, propriété), puis les droits-créances (éducation et formation, santé et protection sociale, environnement sain, travail, logement, culture), et enfin l'asile. Le fil rouge de la partie : la normativité variable de ces droits, souvent objectifs à valeur constitutionnelle plutôt que droits subjectifs pleinement invocables.</w:t>
      </w:r>
    </w:p>
    <w:p w14:paraId="09A86344" w14:textId="77777777" w:rsidR="00DF4DE6" w:rsidRDefault="001B2AC3" w:rsidP="00240AE0">
      <w:pPr>
        <w:pStyle w:val="Titre2"/>
        <w:spacing w:before="120" w:after="30"/>
        <w:jc w:val="both"/>
      </w:pPr>
      <w:r>
        <w:rPr>
          <w:b/>
          <w:bCs/>
          <w:color w:val="2E5A88"/>
          <w:sz w:val="22"/>
          <w:szCs w:val="22"/>
        </w:rPr>
        <w:t xml:space="preserve">Fiche </w:t>
      </w:r>
      <w:proofErr w:type="gramStart"/>
      <w:r>
        <w:rPr>
          <w:b/>
          <w:bCs/>
          <w:color w:val="2E5A88"/>
          <w:sz w:val="22"/>
          <w:szCs w:val="22"/>
        </w:rPr>
        <w:t>45  ·</w:t>
      </w:r>
      <w:proofErr w:type="gramEnd"/>
      <w:r>
        <w:rPr>
          <w:b/>
          <w:bCs/>
          <w:color w:val="2E5A88"/>
          <w:sz w:val="22"/>
          <w:szCs w:val="22"/>
        </w:rPr>
        <w:t xml:space="preserve">  </w:t>
      </w:r>
      <w:r>
        <w:rPr>
          <w:rFonts w:ascii="Cambria" w:eastAsia="Cambria" w:hAnsi="Cambria" w:cs="Cambria"/>
          <w:b/>
          <w:bCs/>
          <w:color w:val="1F3864"/>
        </w:rPr>
        <w:t>La liberté du commerce et de l’industrie</w:t>
      </w:r>
    </w:p>
    <w:p w14:paraId="1BF4D1BE" w14:textId="77777777" w:rsidR="00DF4DE6" w:rsidRDefault="001B2AC3" w:rsidP="00240AE0">
      <w:pPr>
        <w:spacing w:after="120"/>
        <w:jc w:val="both"/>
      </w:pPr>
      <w:r>
        <w:rPr>
          <w:i/>
          <w:iCs/>
          <w:color w:val="595959"/>
          <w:sz w:val="17"/>
          <w:szCs w:val="17"/>
        </w:rPr>
        <w:t>Fascicule, p. 468</w:t>
      </w:r>
    </w:p>
    <w:p w14:paraId="1A1F15AE" w14:textId="77777777" w:rsidR="00DF4DE6" w:rsidRDefault="001B2AC3" w:rsidP="00240AE0">
      <w:pPr>
        <w:spacing w:before="200" w:after="70"/>
        <w:jc w:val="both"/>
      </w:pPr>
      <w:r>
        <w:rPr>
          <w:b/>
          <w:bCs/>
          <w:color w:val="2E5A88"/>
          <w:spacing w:val="24"/>
          <w:sz w:val="17"/>
          <w:szCs w:val="17"/>
        </w:rPr>
        <w:t>IDÉE DIRECTRICE</w:t>
      </w:r>
    </w:p>
    <w:p w14:paraId="358F7BC5" w14:textId="77777777" w:rsidR="00DF4DE6" w:rsidRDefault="001B2AC3" w:rsidP="00240AE0">
      <w:pPr>
        <w:spacing w:after="60" w:line="276" w:lineRule="auto"/>
        <w:jc w:val="both"/>
      </w:pPr>
      <w:r>
        <w:t>Première fiche des droits économiques. La liberté d'entreprendre est protégée par le droit de l'Union (liberté d'établissement et libre prestation de services) et, en droit interne, par une reconnaissance constitutionnelle que la fiche qualifie d'asymétrique — protégée, mais largement conciliable avec l'intérêt général —, complétée par la jurisprudence administrative et judiciaire.</w:t>
      </w:r>
    </w:p>
    <w:p w14:paraId="5C8BF9F3" w14:textId="77777777" w:rsidR="00DF4DE6" w:rsidRDefault="001B2AC3" w:rsidP="00240AE0">
      <w:pPr>
        <w:spacing w:before="200" w:after="70"/>
        <w:jc w:val="both"/>
      </w:pPr>
      <w:r>
        <w:rPr>
          <w:b/>
          <w:bCs/>
          <w:color w:val="2E5A88"/>
          <w:spacing w:val="24"/>
          <w:sz w:val="17"/>
          <w:szCs w:val="17"/>
        </w:rPr>
        <w:t>POINTS CLÉS (ENCADRÉ DU FASCICULE)</w:t>
      </w:r>
    </w:p>
    <w:p w14:paraId="0100C0C3" w14:textId="77777777" w:rsidR="00DF4DE6" w:rsidRDefault="001B2AC3" w:rsidP="00240AE0">
      <w:pPr>
        <w:pStyle w:val="Paragraphedeliste"/>
        <w:numPr>
          <w:ilvl w:val="0"/>
          <w:numId w:val="2"/>
        </w:numPr>
        <w:spacing w:after="40" w:line="264" w:lineRule="auto"/>
        <w:jc w:val="both"/>
      </w:pPr>
      <w:r>
        <w:rPr>
          <w:color w:val="1A1A1A"/>
          <w:sz w:val="19"/>
          <w:szCs w:val="19"/>
        </w:rPr>
        <w:t>Une liberté protégée par le droit de l’Union européenne.</w:t>
      </w:r>
    </w:p>
    <w:p w14:paraId="14EFB862" w14:textId="77777777" w:rsidR="00DF4DE6" w:rsidRDefault="001B2AC3" w:rsidP="00240AE0">
      <w:pPr>
        <w:pStyle w:val="Paragraphedeliste"/>
        <w:numPr>
          <w:ilvl w:val="0"/>
          <w:numId w:val="2"/>
        </w:numPr>
        <w:spacing w:after="40" w:line="264" w:lineRule="auto"/>
        <w:jc w:val="both"/>
      </w:pPr>
      <w:r>
        <w:rPr>
          <w:color w:val="1A1A1A"/>
          <w:sz w:val="19"/>
          <w:szCs w:val="19"/>
        </w:rPr>
        <w:t>Une liberté protéiforme.</w:t>
      </w:r>
    </w:p>
    <w:p w14:paraId="4B813C47" w14:textId="77777777" w:rsidR="00DF4DE6" w:rsidRDefault="001B2AC3" w:rsidP="00240AE0">
      <w:pPr>
        <w:pStyle w:val="Paragraphedeliste"/>
        <w:numPr>
          <w:ilvl w:val="0"/>
          <w:numId w:val="2"/>
        </w:numPr>
        <w:spacing w:after="40" w:line="264" w:lineRule="auto"/>
        <w:jc w:val="both"/>
      </w:pPr>
      <w:r>
        <w:rPr>
          <w:color w:val="1A1A1A"/>
          <w:sz w:val="19"/>
          <w:szCs w:val="19"/>
        </w:rPr>
        <w:t>La valeur constitutionnelle asymétrique.</w:t>
      </w:r>
    </w:p>
    <w:p w14:paraId="37F2495F" w14:textId="77777777" w:rsidR="00DF4DE6" w:rsidRDefault="001B2AC3" w:rsidP="00240AE0">
      <w:pPr>
        <w:spacing w:before="200" w:after="70"/>
        <w:jc w:val="both"/>
      </w:pPr>
      <w:r>
        <w:rPr>
          <w:b/>
          <w:bCs/>
          <w:color w:val="2E5A88"/>
          <w:spacing w:val="24"/>
          <w:sz w:val="17"/>
          <w:szCs w:val="17"/>
        </w:rPr>
        <w:t>PLAN DE LA FICHE</w:t>
      </w:r>
    </w:p>
    <w:p w14:paraId="64F58E03" w14:textId="77777777" w:rsidR="00DF4DE6" w:rsidRDefault="001B2AC3" w:rsidP="00240AE0">
      <w:pPr>
        <w:spacing w:after="20" w:line="250" w:lineRule="auto"/>
        <w:ind w:left="240"/>
        <w:jc w:val="both"/>
      </w:pPr>
      <w:r>
        <w:rPr>
          <w:b/>
          <w:bCs/>
          <w:color w:val="1F3864"/>
          <w:sz w:val="19"/>
          <w:szCs w:val="19"/>
        </w:rPr>
        <w:t>1. La protection de la liberté d’entreprendre</w:t>
      </w:r>
    </w:p>
    <w:p w14:paraId="3B55F463" w14:textId="77777777" w:rsidR="00DF4DE6" w:rsidRDefault="001B2AC3" w:rsidP="00240AE0">
      <w:pPr>
        <w:spacing w:after="20" w:line="250" w:lineRule="auto"/>
        <w:ind w:left="500"/>
        <w:jc w:val="both"/>
      </w:pPr>
      <w:r>
        <w:rPr>
          <w:color w:val="333333"/>
          <w:sz w:val="18"/>
          <w:szCs w:val="18"/>
        </w:rPr>
        <w:t>1.1. La protection internationale de la liberté d’entreprendre</w:t>
      </w:r>
    </w:p>
    <w:p w14:paraId="6B8D57FF" w14:textId="77777777" w:rsidR="00DF4DE6" w:rsidRDefault="001B2AC3" w:rsidP="00240AE0">
      <w:pPr>
        <w:spacing w:after="20" w:line="250" w:lineRule="auto"/>
        <w:ind w:left="500"/>
        <w:jc w:val="both"/>
      </w:pPr>
      <w:r>
        <w:rPr>
          <w:color w:val="333333"/>
          <w:sz w:val="18"/>
          <w:szCs w:val="18"/>
        </w:rPr>
        <w:t>1.2. La protection nationale de la liberté d’entreprendre</w:t>
      </w:r>
    </w:p>
    <w:p w14:paraId="2875D044" w14:textId="77777777" w:rsidR="00DF4DE6" w:rsidRDefault="001B2AC3" w:rsidP="00240AE0">
      <w:pPr>
        <w:spacing w:after="20" w:line="250" w:lineRule="auto"/>
        <w:ind w:left="760"/>
        <w:jc w:val="both"/>
      </w:pPr>
      <w:r>
        <w:rPr>
          <w:color w:val="595959"/>
          <w:sz w:val="18"/>
          <w:szCs w:val="18"/>
        </w:rPr>
        <w:t>1.2.1. La reconnaissance constitutionnelle</w:t>
      </w:r>
    </w:p>
    <w:p w14:paraId="4AC3997E" w14:textId="77777777" w:rsidR="00DF4DE6" w:rsidRDefault="001B2AC3" w:rsidP="00240AE0">
      <w:pPr>
        <w:spacing w:after="20" w:line="250" w:lineRule="auto"/>
        <w:ind w:left="760"/>
        <w:jc w:val="both"/>
      </w:pPr>
      <w:r>
        <w:rPr>
          <w:color w:val="595959"/>
          <w:sz w:val="18"/>
          <w:szCs w:val="18"/>
        </w:rPr>
        <w:t>1.2.2. La jurisprudence administrative et judiciaire</w:t>
      </w:r>
    </w:p>
    <w:p w14:paraId="4CE459FA" w14:textId="77777777" w:rsidR="00DF4DE6" w:rsidRDefault="001B2AC3" w:rsidP="00240AE0">
      <w:pPr>
        <w:spacing w:after="20" w:line="250" w:lineRule="auto"/>
        <w:ind w:left="760"/>
        <w:jc w:val="both"/>
      </w:pPr>
      <w:r>
        <w:rPr>
          <w:color w:val="595959"/>
          <w:sz w:val="18"/>
          <w:szCs w:val="18"/>
        </w:rPr>
        <w:t>1.2.1. Les éléments de la liberté du commerce et de l’industrie</w:t>
      </w:r>
    </w:p>
    <w:p w14:paraId="6F5CB88A" w14:textId="77777777" w:rsidR="00DF4DE6" w:rsidRDefault="001B2AC3" w:rsidP="00240AE0">
      <w:pPr>
        <w:spacing w:before="200" w:after="70"/>
        <w:jc w:val="both"/>
      </w:pPr>
      <w:r>
        <w:rPr>
          <w:b/>
          <w:bCs/>
          <w:color w:val="2E5A88"/>
          <w:spacing w:val="24"/>
          <w:sz w:val="17"/>
          <w:szCs w:val="17"/>
        </w:rPr>
        <w:t>RÉFÉRENCES CENTRALES</w:t>
      </w:r>
    </w:p>
    <w:p w14:paraId="5320757A" w14:textId="77777777" w:rsidR="00DF4DE6" w:rsidRDefault="001B2AC3" w:rsidP="00240AE0">
      <w:pPr>
        <w:pStyle w:val="Paragraphedeliste"/>
        <w:numPr>
          <w:ilvl w:val="0"/>
          <w:numId w:val="2"/>
        </w:numPr>
        <w:spacing w:after="40" w:line="264" w:lineRule="auto"/>
        <w:jc w:val="both"/>
      </w:pPr>
      <w:r>
        <w:rPr>
          <w:color w:val="333333"/>
          <w:sz w:val="18"/>
          <w:szCs w:val="18"/>
        </w:rPr>
        <w:t>Articles 49 et 56 du TFUE.</w:t>
      </w:r>
    </w:p>
    <w:p w14:paraId="1F47A004"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81-132 DC, 16 janvier 1982, Loi de nationalisation.</w:t>
      </w:r>
    </w:p>
    <w:p w14:paraId="19D27300" w14:textId="77777777" w:rsidR="00DF4DE6" w:rsidRDefault="001B2AC3" w:rsidP="00240AE0">
      <w:pPr>
        <w:pStyle w:val="Paragraphedeliste"/>
        <w:numPr>
          <w:ilvl w:val="0"/>
          <w:numId w:val="2"/>
        </w:numPr>
        <w:spacing w:after="40" w:line="264" w:lineRule="auto"/>
        <w:jc w:val="both"/>
      </w:pPr>
      <w:r>
        <w:rPr>
          <w:color w:val="333333"/>
          <w:sz w:val="18"/>
          <w:szCs w:val="18"/>
        </w:rPr>
        <w:t>CE 1er avril 2025, La Quadrature du net et a., nos 494511, 494583 et 495174.</w:t>
      </w:r>
    </w:p>
    <w:p w14:paraId="39928DA8" w14:textId="77777777" w:rsidR="00DF4DE6" w:rsidRDefault="001B2AC3" w:rsidP="00240AE0">
      <w:pPr>
        <w:pStyle w:val="Paragraphedeliste"/>
        <w:numPr>
          <w:ilvl w:val="0"/>
          <w:numId w:val="2"/>
        </w:numPr>
        <w:spacing w:after="40" w:line="264" w:lineRule="auto"/>
        <w:jc w:val="both"/>
      </w:pPr>
      <w:r>
        <w:rPr>
          <w:color w:val="333333"/>
          <w:sz w:val="18"/>
          <w:szCs w:val="18"/>
        </w:rPr>
        <w:t xml:space="preserve">CEDH, 13 juillet 2004, Pla et </w:t>
      </w:r>
      <w:proofErr w:type="spellStart"/>
      <w:r>
        <w:rPr>
          <w:color w:val="333333"/>
          <w:sz w:val="18"/>
          <w:szCs w:val="18"/>
        </w:rPr>
        <w:t>Puncernau</w:t>
      </w:r>
      <w:proofErr w:type="spellEnd"/>
      <w:r>
        <w:rPr>
          <w:color w:val="333333"/>
          <w:sz w:val="18"/>
          <w:szCs w:val="18"/>
        </w:rPr>
        <w:t xml:space="preserve"> c. Andorre, no 69498/01.</w:t>
      </w:r>
    </w:p>
    <w:p w14:paraId="46514AE2" w14:textId="77777777" w:rsidR="00DF4DE6" w:rsidRDefault="00DF4DE6" w:rsidP="00240AE0">
      <w:pPr>
        <w:pBdr>
          <w:top w:val="single" w:sz="6" w:space="0" w:color="C7D2E0"/>
        </w:pBdr>
        <w:spacing w:before="260" w:after="180"/>
        <w:jc w:val="both"/>
      </w:pPr>
    </w:p>
    <w:p w14:paraId="37B2ACAC"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46  ·</w:t>
      </w:r>
      <w:proofErr w:type="gramEnd"/>
      <w:r>
        <w:rPr>
          <w:b/>
          <w:bCs/>
          <w:color w:val="2E5A88"/>
          <w:sz w:val="22"/>
          <w:szCs w:val="22"/>
        </w:rPr>
        <w:t xml:space="preserve">  </w:t>
      </w:r>
      <w:r>
        <w:rPr>
          <w:rFonts w:ascii="Cambria" w:eastAsia="Cambria" w:hAnsi="Cambria" w:cs="Cambria"/>
          <w:b/>
          <w:bCs/>
          <w:color w:val="1F3864"/>
        </w:rPr>
        <w:t>Le droit de propriété</w:t>
      </w:r>
    </w:p>
    <w:p w14:paraId="5C9723E4" w14:textId="77777777" w:rsidR="00DF4DE6" w:rsidRDefault="001B2AC3" w:rsidP="00240AE0">
      <w:pPr>
        <w:spacing w:after="120"/>
        <w:jc w:val="both"/>
      </w:pPr>
      <w:r>
        <w:rPr>
          <w:i/>
          <w:iCs/>
          <w:color w:val="595959"/>
          <w:sz w:val="17"/>
          <w:szCs w:val="17"/>
        </w:rPr>
        <w:t>Fascicule, p. 475</w:t>
      </w:r>
    </w:p>
    <w:p w14:paraId="2D48C0C4" w14:textId="77777777" w:rsidR="00DF4DE6" w:rsidRDefault="001B2AC3" w:rsidP="00240AE0">
      <w:pPr>
        <w:spacing w:before="200" w:after="70"/>
        <w:jc w:val="both"/>
      </w:pPr>
      <w:r>
        <w:rPr>
          <w:b/>
          <w:bCs/>
          <w:color w:val="2E5A88"/>
          <w:spacing w:val="24"/>
          <w:sz w:val="17"/>
          <w:szCs w:val="17"/>
        </w:rPr>
        <w:t>IDÉE DIRECTRICE</w:t>
      </w:r>
    </w:p>
    <w:p w14:paraId="5B17D7FF" w14:textId="77777777" w:rsidR="00DF4DE6" w:rsidRDefault="001B2AC3" w:rsidP="00240AE0">
      <w:pPr>
        <w:spacing w:after="60" w:line="276" w:lineRule="auto"/>
        <w:jc w:val="both"/>
      </w:pPr>
      <w:r>
        <w:t>Un droit « inviolable et sacré » en 1789, devenu un droit relatif. La fiche est construite en miroir : protection par la Convention (article 1er du protocole n° 1, avec une définition autonome et large de la notion de « biens ») et protection nationale (articles 2 et 17 de la Déclaration, Code civil, contrôle de l'expropriation).</w:t>
      </w:r>
    </w:p>
    <w:p w14:paraId="3CC645B3" w14:textId="77777777" w:rsidR="00DF4DE6" w:rsidRDefault="001B2AC3" w:rsidP="00240AE0">
      <w:pPr>
        <w:spacing w:before="200" w:after="70"/>
        <w:jc w:val="both"/>
      </w:pPr>
      <w:r>
        <w:rPr>
          <w:b/>
          <w:bCs/>
          <w:color w:val="2E5A88"/>
          <w:spacing w:val="24"/>
          <w:sz w:val="17"/>
          <w:szCs w:val="17"/>
        </w:rPr>
        <w:t>POINTS CLÉS (ENCADRÉ DU FASCICULE)</w:t>
      </w:r>
    </w:p>
    <w:p w14:paraId="1D6CCBBB" w14:textId="77777777" w:rsidR="00DF4DE6" w:rsidRDefault="001B2AC3" w:rsidP="00240AE0">
      <w:pPr>
        <w:pStyle w:val="Paragraphedeliste"/>
        <w:numPr>
          <w:ilvl w:val="0"/>
          <w:numId w:val="2"/>
        </w:numPr>
        <w:spacing w:after="40" w:line="264" w:lineRule="auto"/>
        <w:jc w:val="both"/>
      </w:pPr>
      <w:r>
        <w:rPr>
          <w:color w:val="1A1A1A"/>
          <w:sz w:val="19"/>
          <w:szCs w:val="19"/>
        </w:rPr>
        <w:t>Un droit inviolable et sacré.</w:t>
      </w:r>
    </w:p>
    <w:p w14:paraId="71D08764" w14:textId="77777777" w:rsidR="00DF4DE6" w:rsidRDefault="001B2AC3" w:rsidP="00240AE0">
      <w:pPr>
        <w:pStyle w:val="Paragraphedeliste"/>
        <w:numPr>
          <w:ilvl w:val="0"/>
          <w:numId w:val="2"/>
        </w:numPr>
        <w:spacing w:after="40" w:line="264" w:lineRule="auto"/>
        <w:jc w:val="both"/>
      </w:pPr>
      <w:r>
        <w:rPr>
          <w:color w:val="1A1A1A"/>
          <w:sz w:val="19"/>
          <w:szCs w:val="19"/>
        </w:rPr>
        <w:t>Un droit relatif.</w:t>
      </w:r>
    </w:p>
    <w:p w14:paraId="67E70BF3" w14:textId="77777777" w:rsidR="00DF4DE6" w:rsidRDefault="001B2AC3" w:rsidP="00240AE0">
      <w:pPr>
        <w:pStyle w:val="Paragraphedeliste"/>
        <w:numPr>
          <w:ilvl w:val="0"/>
          <w:numId w:val="2"/>
        </w:numPr>
        <w:spacing w:after="40" w:line="264" w:lineRule="auto"/>
        <w:jc w:val="both"/>
      </w:pPr>
      <w:r>
        <w:rPr>
          <w:color w:val="1A1A1A"/>
          <w:sz w:val="19"/>
          <w:szCs w:val="19"/>
        </w:rPr>
        <w:t>Une définition autonome de la notion de « biens » par la Cour EDH.</w:t>
      </w:r>
    </w:p>
    <w:p w14:paraId="25C25673" w14:textId="77777777" w:rsidR="00DF4DE6" w:rsidRDefault="001B2AC3" w:rsidP="00240AE0">
      <w:pPr>
        <w:pStyle w:val="Paragraphedeliste"/>
        <w:numPr>
          <w:ilvl w:val="0"/>
          <w:numId w:val="2"/>
        </w:numPr>
        <w:spacing w:after="40" w:line="264" w:lineRule="auto"/>
        <w:jc w:val="both"/>
      </w:pPr>
      <w:r>
        <w:rPr>
          <w:color w:val="1A1A1A"/>
          <w:sz w:val="19"/>
          <w:szCs w:val="19"/>
        </w:rPr>
        <w:t>La protection contre l’expropriation illégale.</w:t>
      </w:r>
    </w:p>
    <w:p w14:paraId="2B7B4635" w14:textId="77777777" w:rsidR="00DF4DE6" w:rsidRDefault="001B2AC3" w:rsidP="00240AE0">
      <w:pPr>
        <w:spacing w:before="200" w:after="70"/>
        <w:jc w:val="both"/>
      </w:pPr>
      <w:r>
        <w:rPr>
          <w:b/>
          <w:bCs/>
          <w:color w:val="2E5A88"/>
          <w:spacing w:val="24"/>
          <w:sz w:val="17"/>
          <w:szCs w:val="17"/>
        </w:rPr>
        <w:lastRenderedPageBreak/>
        <w:t>PLAN DE LA FICHE</w:t>
      </w:r>
    </w:p>
    <w:p w14:paraId="33411D39" w14:textId="77777777" w:rsidR="00DF4DE6" w:rsidRDefault="001B2AC3" w:rsidP="00240AE0">
      <w:pPr>
        <w:spacing w:after="20" w:line="250" w:lineRule="auto"/>
        <w:ind w:left="240"/>
        <w:jc w:val="both"/>
      </w:pPr>
      <w:r>
        <w:rPr>
          <w:b/>
          <w:bCs/>
          <w:color w:val="1F3864"/>
          <w:sz w:val="19"/>
          <w:szCs w:val="19"/>
        </w:rPr>
        <w:t>1. La protection du droit de propriété par la Convention européenne des droits de l’homme</w:t>
      </w:r>
    </w:p>
    <w:p w14:paraId="640ACF7F" w14:textId="77777777" w:rsidR="00DF4DE6" w:rsidRDefault="001B2AC3" w:rsidP="00240AE0">
      <w:pPr>
        <w:spacing w:after="20" w:line="250" w:lineRule="auto"/>
        <w:ind w:left="240"/>
        <w:jc w:val="both"/>
      </w:pPr>
      <w:r>
        <w:rPr>
          <w:b/>
          <w:bCs/>
          <w:color w:val="1F3864"/>
          <w:sz w:val="19"/>
          <w:szCs w:val="19"/>
        </w:rPr>
        <w:t>2. La protection nationale du droit de propriété</w:t>
      </w:r>
    </w:p>
    <w:p w14:paraId="0DC73965" w14:textId="77777777" w:rsidR="00DF4DE6" w:rsidRDefault="001B2AC3" w:rsidP="00240AE0">
      <w:pPr>
        <w:spacing w:before="200" w:after="70"/>
        <w:jc w:val="both"/>
      </w:pPr>
      <w:r>
        <w:rPr>
          <w:b/>
          <w:bCs/>
          <w:color w:val="2E5A88"/>
          <w:spacing w:val="24"/>
          <w:sz w:val="17"/>
          <w:szCs w:val="17"/>
        </w:rPr>
        <w:t>RÉFÉRENCES CENTRALES</w:t>
      </w:r>
    </w:p>
    <w:p w14:paraId="2EF18DA4" w14:textId="77777777" w:rsidR="00DF4DE6" w:rsidRDefault="001B2AC3" w:rsidP="00240AE0">
      <w:pPr>
        <w:pStyle w:val="Paragraphedeliste"/>
        <w:numPr>
          <w:ilvl w:val="0"/>
          <w:numId w:val="2"/>
        </w:numPr>
        <w:spacing w:after="40" w:line="264" w:lineRule="auto"/>
        <w:jc w:val="both"/>
      </w:pPr>
      <w:r>
        <w:rPr>
          <w:color w:val="333333"/>
          <w:sz w:val="18"/>
          <w:szCs w:val="18"/>
        </w:rPr>
        <w:t>Art. 2 et 17 DDHC.</w:t>
      </w:r>
    </w:p>
    <w:p w14:paraId="03D39E07" w14:textId="77777777" w:rsidR="00DF4DE6" w:rsidRDefault="001B2AC3" w:rsidP="00240AE0">
      <w:pPr>
        <w:pStyle w:val="Paragraphedeliste"/>
        <w:numPr>
          <w:ilvl w:val="0"/>
          <w:numId w:val="2"/>
        </w:numPr>
        <w:spacing w:after="40" w:line="264" w:lineRule="auto"/>
        <w:jc w:val="both"/>
      </w:pPr>
      <w:r>
        <w:rPr>
          <w:color w:val="333333"/>
          <w:sz w:val="18"/>
          <w:szCs w:val="18"/>
        </w:rPr>
        <w:t xml:space="preserve">Art. 1er du protocole no 1 </w:t>
      </w:r>
      <w:proofErr w:type="spellStart"/>
      <w:r>
        <w:rPr>
          <w:color w:val="333333"/>
          <w:sz w:val="18"/>
          <w:szCs w:val="18"/>
        </w:rPr>
        <w:t>Conv</w:t>
      </w:r>
      <w:proofErr w:type="spellEnd"/>
      <w:r>
        <w:rPr>
          <w:color w:val="333333"/>
          <w:sz w:val="18"/>
          <w:szCs w:val="18"/>
        </w:rPr>
        <w:t>. EDH.</w:t>
      </w:r>
    </w:p>
    <w:p w14:paraId="68623706" w14:textId="77777777" w:rsidR="00DF4DE6" w:rsidRDefault="001B2AC3" w:rsidP="00240AE0">
      <w:pPr>
        <w:pStyle w:val="Paragraphedeliste"/>
        <w:numPr>
          <w:ilvl w:val="0"/>
          <w:numId w:val="2"/>
        </w:numPr>
        <w:spacing w:after="40" w:line="264" w:lineRule="auto"/>
        <w:jc w:val="both"/>
      </w:pPr>
      <w:r>
        <w:rPr>
          <w:color w:val="333333"/>
          <w:sz w:val="18"/>
          <w:szCs w:val="18"/>
        </w:rPr>
        <w:t xml:space="preserve">Art. 44 et </w:t>
      </w:r>
      <w:proofErr w:type="spellStart"/>
      <w:r>
        <w:rPr>
          <w:color w:val="333333"/>
          <w:sz w:val="18"/>
          <w:szCs w:val="18"/>
        </w:rPr>
        <w:t>suiv</w:t>
      </w:r>
      <w:proofErr w:type="spellEnd"/>
      <w:r>
        <w:rPr>
          <w:color w:val="333333"/>
          <w:sz w:val="18"/>
          <w:szCs w:val="18"/>
        </w:rPr>
        <w:t>. du Code civil.</w:t>
      </w:r>
    </w:p>
    <w:p w14:paraId="1AE5E222"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89-256 DC, 25 juillet 1989.</w:t>
      </w:r>
    </w:p>
    <w:p w14:paraId="0020FCFC" w14:textId="77777777" w:rsidR="00DF4DE6" w:rsidRDefault="001B2AC3" w:rsidP="00240AE0">
      <w:pPr>
        <w:pStyle w:val="Paragraphedeliste"/>
        <w:numPr>
          <w:ilvl w:val="0"/>
          <w:numId w:val="2"/>
        </w:numPr>
        <w:spacing w:after="40" w:line="264" w:lineRule="auto"/>
        <w:jc w:val="both"/>
      </w:pPr>
      <w:r>
        <w:rPr>
          <w:color w:val="333333"/>
          <w:sz w:val="18"/>
          <w:szCs w:val="18"/>
        </w:rPr>
        <w:t>CE, 1er avril 2025, La Quadrature du net et a., nos 494511, 494583 et 495174.</w:t>
      </w:r>
    </w:p>
    <w:p w14:paraId="0C95FFBB" w14:textId="77777777" w:rsidR="00DF4DE6" w:rsidRDefault="001B2AC3" w:rsidP="00240AE0">
      <w:pPr>
        <w:pStyle w:val="Paragraphedeliste"/>
        <w:numPr>
          <w:ilvl w:val="0"/>
          <w:numId w:val="2"/>
        </w:numPr>
        <w:spacing w:after="40" w:line="264" w:lineRule="auto"/>
        <w:jc w:val="both"/>
      </w:pPr>
      <w:r>
        <w:rPr>
          <w:color w:val="333333"/>
          <w:sz w:val="18"/>
          <w:szCs w:val="18"/>
        </w:rPr>
        <w:t>CEDH, GC., 28 septembre 2004, Kopecký c. Slovaquie, no 44912/98.</w:t>
      </w:r>
    </w:p>
    <w:p w14:paraId="7180548A" w14:textId="77777777" w:rsidR="00DF4DE6" w:rsidRDefault="001B2AC3" w:rsidP="00240AE0">
      <w:pPr>
        <w:pStyle w:val="Paragraphedeliste"/>
        <w:numPr>
          <w:ilvl w:val="0"/>
          <w:numId w:val="2"/>
        </w:numPr>
        <w:spacing w:after="40" w:line="264" w:lineRule="auto"/>
        <w:jc w:val="both"/>
      </w:pPr>
      <w:r>
        <w:rPr>
          <w:color w:val="333333"/>
          <w:sz w:val="18"/>
          <w:szCs w:val="18"/>
        </w:rPr>
        <w:t>CEDH, GC., 11 janvier 2006, Sørensen et Rasmussen c. Danemark, nos 52562/99 et 52620/99.</w:t>
      </w:r>
    </w:p>
    <w:p w14:paraId="633835C5" w14:textId="77777777" w:rsidR="00DF4DE6" w:rsidRDefault="00DF4DE6" w:rsidP="00240AE0">
      <w:pPr>
        <w:pBdr>
          <w:top w:val="single" w:sz="6" w:space="0" w:color="C7D2E0"/>
        </w:pBdr>
        <w:spacing w:before="260" w:after="180"/>
        <w:jc w:val="both"/>
      </w:pPr>
    </w:p>
    <w:p w14:paraId="7E73BD06"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47  ·</w:t>
      </w:r>
      <w:proofErr w:type="gramEnd"/>
      <w:r>
        <w:rPr>
          <w:b/>
          <w:bCs/>
          <w:color w:val="2E5A88"/>
          <w:sz w:val="22"/>
          <w:szCs w:val="22"/>
        </w:rPr>
        <w:t xml:space="preserve">  </w:t>
      </w:r>
      <w:r>
        <w:rPr>
          <w:rFonts w:ascii="Cambria" w:eastAsia="Cambria" w:hAnsi="Cambria" w:cs="Cambria"/>
          <w:b/>
          <w:bCs/>
          <w:color w:val="1F3864"/>
        </w:rPr>
        <w:t>Le droit à l’éducation et à la formation</w:t>
      </w:r>
    </w:p>
    <w:p w14:paraId="3927960D" w14:textId="77777777" w:rsidR="00DF4DE6" w:rsidRDefault="001B2AC3" w:rsidP="00240AE0">
      <w:pPr>
        <w:spacing w:after="120"/>
        <w:jc w:val="both"/>
      </w:pPr>
      <w:r>
        <w:rPr>
          <w:i/>
          <w:iCs/>
          <w:color w:val="595959"/>
          <w:sz w:val="17"/>
          <w:szCs w:val="17"/>
        </w:rPr>
        <w:t>Fascicule, p. 481</w:t>
      </w:r>
    </w:p>
    <w:p w14:paraId="3EB448C4" w14:textId="77777777" w:rsidR="00DF4DE6" w:rsidRDefault="001B2AC3" w:rsidP="00240AE0">
      <w:pPr>
        <w:spacing w:before="200" w:after="70"/>
        <w:jc w:val="both"/>
      </w:pPr>
      <w:r>
        <w:rPr>
          <w:b/>
          <w:bCs/>
          <w:color w:val="2E5A88"/>
          <w:spacing w:val="24"/>
          <w:sz w:val="17"/>
          <w:szCs w:val="17"/>
        </w:rPr>
        <w:t>IDÉE DIRECTRICE</w:t>
      </w:r>
    </w:p>
    <w:p w14:paraId="25584B17" w14:textId="77777777" w:rsidR="00DF4DE6" w:rsidRDefault="001B2AC3" w:rsidP="00240AE0">
      <w:pPr>
        <w:spacing w:after="60" w:line="276" w:lineRule="auto"/>
        <w:jc w:val="both"/>
      </w:pPr>
      <w:r>
        <w:t>Le versant « créance » de l'enseignement. L'instruction a une double nature : droit fondamental et obligation. La fiche déroule le cadre juridique, puis les principes structurants (gratuité, caractère obligatoire, non-discrimination, protection de l'élève dans le milieu éducatif) et enfin le droit à la formation, qui prolonge le droit à l'éducation tout au long de la vie.</w:t>
      </w:r>
    </w:p>
    <w:p w14:paraId="47457A8F" w14:textId="77777777" w:rsidR="00DF4DE6" w:rsidRDefault="001B2AC3" w:rsidP="00240AE0">
      <w:pPr>
        <w:spacing w:before="200" w:after="70"/>
        <w:jc w:val="both"/>
      </w:pPr>
      <w:r>
        <w:rPr>
          <w:b/>
          <w:bCs/>
          <w:color w:val="2E5A88"/>
          <w:spacing w:val="24"/>
          <w:sz w:val="17"/>
          <w:szCs w:val="17"/>
        </w:rPr>
        <w:t>POINTS CLÉS (ENCADRÉ DU FASCICULE)</w:t>
      </w:r>
    </w:p>
    <w:p w14:paraId="4F7BAB8C" w14:textId="77777777" w:rsidR="00DF4DE6" w:rsidRDefault="001B2AC3" w:rsidP="00240AE0">
      <w:pPr>
        <w:pStyle w:val="Paragraphedeliste"/>
        <w:numPr>
          <w:ilvl w:val="0"/>
          <w:numId w:val="2"/>
        </w:numPr>
        <w:spacing w:after="40" w:line="264" w:lineRule="auto"/>
        <w:jc w:val="both"/>
      </w:pPr>
      <w:r>
        <w:rPr>
          <w:color w:val="1A1A1A"/>
          <w:sz w:val="19"/>
          <w:szCs w:val="19"/>
        </w:rPr>
        <w:t>Principe de gratuité.</w:t>
      </w:r>
    </w:p>
    <w:p w14:paraId="5670ED67" w14:textId="77777777" w:rsidR="00DF4DE6" w:rsidRDefault="001B2AC3" w:rsidP="00240AE0">
      <w:pPr>
        <w:pStyle w:val="Paragraphedeliste"/>
        <w:numPr>
          <w:ilvl w:val="0"/>
          <w:numId w:val="2"/>
        </w:numPr>
        <w:spacing w:after="40" w:line="264" w:lineRule="auto"/>
        <w:jc w:val="both"/>
      </w:pPr>
      <w:r>
        <w:rPr>
          <w:color w:val="1A1A1A"/>
          <w:sz w:val="19"/>
          <w:szCs w:val="19"/>
        </w:rPr>
        <w:t>Non-discrimination.</w:t>
      </w:r>
    </w:p>
    <w:p w14:paraId="45507690" w14:textId="77777777" w:rsidR="00DF4DE6" w:rsidRDefault="001B2AC3" w:rsidP="00240AE0">
      <w:pPr>
        <w:pStyle w:val="Paragraphedeliste"/>
        <w:numPr>
          <w:ilvl w:val="0"/>
          <w:numId w:val="2"/>
        </w:numPr>
        <w:spacing w:after="40" w:line="264" w:lineRule="auto"/>
        <w:jc w:val="both"/>
      </w:pPr>
      <w:r>
        <w:rPr>
          <w:color w:val="1A1A1A"/>
          <w:sz w:val="19"/>
          <w:szCs w:val="19"/>
        </w:rPr>
        <w:t>Laïcité de l’enseignement.</w:t>
      </w:r>
    </w:p>
    <w:p w14:paraId="3AE14C9A" w14:textId="77777777" w:rsidR="00DF4DE6" w:rsidRDefault="001B2AC3" w:rsidP="00240AE0">
      <w:pPr>
        <w:pStyle w:val="Paragraphedeliste"/>
        <w:numPr>
          <w:ilvl w:val="0"/>
          <w:numId w:val="2"/>
        </w:numPr>
        <w:spacing w:after="40" w:line="264" w:lineRule="auto"/>
        <w:jc w:val="both"/>
      </w:pPr>
      <w:r>
        <w:rPr>
          <w:color w:val="1A1A1A"/>
          <w:sz w:val="19"/>
          <w:szCs w:val="19"/>
        </w:rPr>
        <w:t>Liberté d’enseignement.</w:t>
      </w:r>
    </w:p>
    <w:p w14:paraId="70448510" w14:textId="77777777" w:rsidR="00DF4DE6" w:rsidRDefault="001B2AC3" w:rsidP="00240AE0">
      <w:pPr>
        <w:pStyle w:val="Paragraphedeliste"/>
        <w:numPr>
          <w:ilvl w:val="0"/>
          <w:numId w:val="2"/>
        </w:numPr>
        <w:spacing w:after="40" w:line="264" w:lineRule="auto"/>
        <w:jc w:val="both"/>
      </w:pPr>
      <w:r>
        <w:rPr>
          <w:color w:val="1A1A1A"/>
          <w:sz w:val="19"/>
          <w:szCs w:val="19"/>
        </w:rPr>
        <w:t>Enseignement privé.</w:t>
      </w:r>
    </w:p>
    <w:p w14:paraId="0FB19DD8" w14:textId="77777777" w:rsidR="00DF4DE6" w:rsidRDefault="001B2AC3" w:rsidP="00240AE0">
      <w:pPr>
        <w:pStyle w:val="Paragraphedeliste"/>
        <w:numPr>
          <w:ilvl w:val="0"/>
          <w:numId w:val="2"/>
        </w:numPr>
        <w:spacing w:after="40" w:line="264" w:lineRule="auto"/>
        <w:jc w:val="both"/>
      </w:pPr>
      <w:r>
        <w:rPr>
          <w:color w:val="1A1A1A"/>
          <w:sz w:val="19"/>
          <w:szCs w:val="19"/>
        </w:rPr>
        <w:t>Accès à la formation et à l’éducation.</w:t>
      </w:r>
    </w:p>
    <w:p w14:paraId="2C0111A8" w14:textId="77777777" w:rsidR="00DF4DE6" w:rsidRDefault="001B2AC3" w:rsidP="00240AE0">
      <w:pPr>
        <w:spacing w:before="200" w:after="70"/>
        <w:jc w:val="both"/>
      </w:pPr>
      <w:r>
        <w:rPr>
          <w:b/>
          <w:bCs/>
          <w:color w:val="2E5A88"/>
          <w:spacing w:val="24"/>
          <w:sz w:val="17"/>
          <w:szCs w:val="17"/>
        </w:rPr>
        <w:t>PLAN DE LA FICHE</w:t>
      </w:r>
    </w:p>
    <w:p w14:paraId="400F179F" w14:textId="77777777" w:rsidR="00DF4DE6" w:rsidRDefault="001B2AC3" w:rsidP="00240AE0">
      <w:pPr>
        <w:spacing w:after="20" w:line="250" w:lineRule="auto"/>
        <w:ind w:left="240"/>
        <w:jc w:val="both"/>
      </w:pPr>
      <w:r>
        <w:rPr>
          <w:b/>
          <w:bCs/>
          <w:color w:val="1F3864"/>
          <w:sz w:val="19"/>
          <w:szCs w:val="19"/>
        </w:rPr>
        <w:t>1. Le cadre juridique du droit à l’éducation et à la formation</w:t>
      </w:r>
    </w:p>
    <w:p w14:paraId="1E0A1471" w14:textId="77777777" w:rsidR="00DF4DE6" w:rsidRDefault="001B2AC3" w:rsidP="00240AE0">
      <w:pPr>
        <w:spacing w:after="20" w:line="250" w:lineRule="auto"/>
        <w:ind w:left="240"/>
        <w:jc w:val="both"/>
      </w:pPr>
      <w:r>
        <w:rPr>
          <w:b/>
          <w:bCs/>
          <w:color w:val="1F3864"/>
          <w:sz w:val="19"/>
          <w:szCs w:val="19"/>
        </w:rPr>
        <w:t>2. Les principes structurant du droit à l’éducation</w:t>
      </w:r>
    </w:p>
    <w:p w14:paraId="03BEF930" w14:textId="77777777" w:rsidR="00DF4DE6" w:rsidRDefault="001B2AC3" w:rsidP="00240AE0">
      <w:pPr>
        <w:spacing w:after="20" w:line="250" w:lineRule="auto"/>
        <w:ind w:left="500"/>
        <w:jc w:val="both"/>
      </w:pPr>
      <w:r>
        <w:rPr>
          <w:color w:val="333333"/>
          <w:sz w:val="18"/>
          <w:szCs w:val="18"/>
        </w:rPr>
        <w:t>2.1. La gratuité de l’enseignement</w:t>
      </w:r>
    </w:p>
    <w:p w14:paraId="506A5A83" w14:textId="77777777" w:rsidR="00DF4DE6" w:rsidRDefault="001B2AC3" w:rsidP="00240AE0">
      <w:pPr>
        <w:spacing w:after="20" w:line="250" w:lineRule="auto"/>
        <w:ind w:left="500"/>
        <w:jc w:val="both"/>
      </w:pPr>
      <w:r>
        <w:rPr>
          <w:color w:val="333333"/>
          <w:sz w:val="18"/>
          <w:szCs w:val="18"/>
        </w:rPr>
        <w:t>2.2. Le caractère obligatoire de l’éducation</w:t>
      </w:r>
    </w:p>
    <w:p w14:paraId="1B1F36A6" w14:textId="77777777" w:rsidR="00DF4DE6" w:rsidRDefault="001B2AC3" w:rsidP="00240AE0">
      <w:pPr>
        <w:spacing w:after="20" w:line="250" w:lineRule="auto"/>
        <w:ind w:left="240"/>
        <w:jc w:val="both"/>
      </w:pPr>
      <w:r>
        <w:rPr>
          <w:b/>
          <w:bCs/>
          <w:color w:val="1F3864"/>
          <w:sz w:val="19"/>
          <w:szCs w:val="19"/>
        </w:rPr>
        <w:t>2. 3. La non-discrimination</w:t>
      </w:r>
    </w:p>
    <w:p w14:paraId="178036BA" w14:textId="77777777" w:rsidR="00DF4DE6" w:rsidRDefault="001B2AC3" w:rsidP="00240AE0">
      <w:pPr>
        <w:spacing w:after="20" w:line="250" w:lineRule="auto"/>
        <w:ind w:left="500"/>
        <w:jc w:val="both"/>
      </w:pPr>
      <w:r>
        <w:rPr>
          <w:color w:val="333333"/>
          <w:sz w:val="18"/>
          <w:szCs w:val="18"/>
        </w:rPr>
        <w:t>2.4. La protection de l’élève dans le milieu éducatif</w:t>
      </w:r>
    </w:p>
    <w:p w14:paraId="2CC04ECB" w14:textId="77777777" w:rsidR="00DF4DE6" w:rsidRDefault="001B2AC3" w:rsidP="00240AE0">
      <w:pPr>
        <w:spacing w:after="20" w:line="250" w:lineRule="auto"/>
        <w:ind w:left="240"/>
        <w:jc w:val="both"/>
      </w:pPr>
      <w:r>
        <w:rPr>
          <w:b/>
          <w:bCs/>
          <w:color w:val="1F3864"/>
          <w:sz w:val="19"/>
          <w:szCs w:val="19"/>
        </w:rPr>
        <w:t>3. Le droit à la formation</w:t>
      </w:r>
    </w:p>
    <w:p w14:paraId="689B97B0" w14:textId="77777777" w:rsidR="00DF4DE6" w:rsidRDefault="001B2AC3" w:rsidP="00240AE0">
      <w:pPr>
        <w:spacing w:before="200" w:after="70"/>
        <w:jc w:val="both"/>
      </w:pPr>
      <w:r>
        <w:rPr>
          <w:b/>
          <w:bCs/>
          <w:color w:val="2E5A88"/>
          <w:spacing w:val="24"/>
          <w:sz w:val="17"/>
          <w:szCs w:val="17"/>
        </w:rPr>
        <w:t>RÉFÉRENCES CENTRALES</w:t>
      </w:r>
    </w:p>
    <w:p w14:paraId="341721E4" w14:textId="77777777" w:rsidR="00DF4DE6" w:rsidRDefault="001B2AC3" w:rsidP="00240AE0">
      <w:pPr>
        <w:pStyle w:val="Paragraphedeliste"/>
        <w:numPr>
          <w:ilvl w:val="0"/>
          <w:numId w:val="2"/>
        </w:numPr>
        <w:spacing w:after="40" w:line="264" w:lineRule="auto"/>
        <w:jc w:val="both"/>
      </w:pPr>
      <w:r>
        <w:rPr>
          <w:color w:val="333333"/>
          <w:sz w:val="18"/>
          <w:szCs w:val="18"/>
        </w:rPr>
        <w:t>Préambule de la Constitution de 1946.</w:t>
      </w:r>
    </w:p>
    <w:p w14:paraId="767BF154" w14:textId="77777777" w:rsidR="00DF4DE6" w:rsidRDefault="001B2AC3" w:rsidP="00240AE0">
      <w:pPr>
        <w:pStyle w:val="Paragraphedeliste"/>
        <w:numPr>
          <w:ilvl w:val="0"/>
          <w:numId w:val="2"/>
        </w:numPr>
        <w:spacing w:after="40" w:line="264" w:lineRule="auto"/>
        <w:jc w:val="both"/>
      </w:pPr>
      <w:r>
        <w:rPr>
          <w:color w:val="333333"/>
          <w:sz w:val="18"/>
          <w:szCs w:val="18"/>
        </w:rPr>
        <w:t>Art. 26 de la Déclaration universelle des droits de l’homme.</w:t>
      </w:r>
    </w:p>
    <w:p w14:paraId="0BE62AFD" w14:textId="77777777" w:rsidR="00DF4DE6" w:rsidRDefault="001B2AC3" w:rsidP="00240AE0">
      <w:pPr>
        <w:pStyle w:val="Paragraphedeliste"/>
        <w:numPr>
          <w:ilvl w:val="0"/>
          <w:numId w:val="2"/>
        </w:numPr>
        <w:spacing w:after="40" w:line="264" w:lineRule="auto"/>
        <w:jc w:val="both"/>
      </w:pPr>
      <w:r>
        <w:rPr>
          <w:color w:val="333333"/>
          <w:sz w:val="18"/>
          <w:szCs w:val="18"/>
        </w:rPr>
        <w:t>Art. 2 du Protocole additionnel no 1 à la Convention européenne des droits de l’homme.</w:t>
      </w:r>
    </w:p>
    <w:p w14:paraId="180BEEF9" w14:textId="77777777" w:rsidR="00DF4DE6" w:rsidRDefault="001B2AC3" w:rsidP="00240AE0">
      <w:pPr>
        <w:pStyle w:val="Paragraphedeliste"/>
        <w:numPr>
          <w:ilvl w:val="0"/>
          <w:numId w:val="2"/>
        </w:numPr>
        <w:spacing w:after="40" w:line="264" w:lineRule="auto"/>
        <w:jc w:val="both"/>
      </w:pPr>
      <w:r>
        <w:rPr>
          <w:color w:val="333333"/>
          <w:sz w:val="18"/>
          <w:szCs w:val="18"/>
        </w:rPr>
        <w:t>Art. 24 de la Convention concernant la lutte contre la discrimination dans le domaine de l'enseignement.</w:t>
      </w:r>
    </w:p>
    <w:p w14:paraId="1CDB8FBD" w14:textId="77777777" w:rsidR="00DF4DE6" w:rsidRDefault="001B2AC3" w:rsidP="00240AE0">
      <w:pPr>
        <w:pStyle w:val="Paragraphedeliste"/>
        <w:numPr>
          <w:ilvl w:val="0"/>
          <w:numId w:val="2"/>
        </w:numPr>
        <w:spacing w:after="40" w:line="264" w:lineRule="auto"/>
        <w:jc w:val="both"/>
      </w:pPr>
      <w:r>
        <w:rPr>
          <w:color w:val="333333"/>
          <w:sz w:val="18"/>
          <w:szCs w:val="18"/>
        </w:rPr>
        <w:t>Art. 13 du Pacte international sur les droits économiques, sociaux et culturels.</w:t>
      </w:r>
    </w:p>
    <w:p w14:paraId="2E2611DD" w14:textId="77777777" w:rsidR="00DF4DE6" w:rsidRDefault="001B2AC3" w:rsidP="00240AE0">
      <w:pPr>
        <w:pStyle w:val="Paragraphedeliste"/>
        <w:numPr>
          <w:ilvl w:val="0"/>
          <w:numId w:val="2"/>
        </w:numPr>
        <w:spacing w:after="40" w:line="264" w:lineRule="auto"/>
        <w:jc w:val="both"/>
      </w:pPr>
      <w:r>
        <w:rPr>
          <w:color w:val="333333"/>
          <w:sz w:val="18"/>
          <w:szCs w:val="18"/>
        </w:rPr>
        <w:t>Art. 28 et 29 de la Convention internationale des droits de l’enfant.</w:t>
      </w:r>
    </w:p>
    <w:p w14:paraId="05881AB7" w14:textId="77777777" w:rsidR="00DF4DE6" w:rsidRDefault="001B2AC3" w:rsidP="00240AE0">
      <w:pPr>
        <w:pStyle w:val="Paragraphedeliste"/>
        <w:numPr>
          <w:ilvl w:val="0"/>
          <w:numId w:val="2"/>
        </w:numPr>
        <w:spacing w:after="40" w:line="264" w:lineRule="auto"/>
        <w:jc w:val="both"/>
      </w:pPr>
      <w:r>
        <w:rPr>
          <w:color w:val="333333"/>
          <w:sz w:val="18"/>
          <w:szCs w:val="18"/>
        </w:rPr>
        <w:t>Art. 1er et Point 10 de la Charte sociale européenne révisée.</w:t>
      </w:r>
    </w:p>
    <w:p w14:paraId="51758046" w14:textId="77777777" w:rsidR="00DF4DE6" w:rsidRDefault="001B2AC3" w:rsidP="00240AE0">
      <w:pPr>
        <w:pStyle w:val="Paragraphedeliste"/>
        <w:numPr>
          <w:ilvl w:val="0"/>
          <w:numId w:val="2"/>
        </w:numPr>
        <w:spacing w:after="40" w:line="264" w:lineRule="auto"/>
        <w:jc w:val="both"/>
      </w:pPr>
      <w:r>
        <w:rPr>
          <w:color w:val="333333"/>
          <w:sz w:val="18"/>
          <w:szCs w:val="18"/>
        </w:rPr>
        <w:t>Art. 14 de la Charte des droits fondamentaux de l’Union européenne.</w:t>
      </w:r>
    </w:p>
    <w:p w14:paraId="23C6D433" w14:textId="77777777" w:rsidR="00DF4DE6" w:rsidRDefault="001B2AC3" w:rsidP="00240AE0">
      <w:pPr>
        <w:pStyle w:val="Paragraphedeliste"/>
        <w:numPr>
          <w:ilvl w:val="0"/>
          <w:numId w:val="2"/>
        </w:numPr>
        <w:spacing w:after="40" w:line="264" w:lineRule="auto"/>
        <w:jc w:val="both"/>
      </w:pPr>
      <w:r>
        <w:rPr>
          <w:color w:val="333333"/>
          <w:sz w:val="18"/>
          <w:szCs w:val="18"/>
        </w:rPr>
        <w:t>Art. L. 6111-1 du Code du travail.</w:t>
      </w:r>
    </w:p>
    <w:p w14:paraId="1DC7690B" w14:textId="77777777" w:rsidR="00DF4DE6" w:rsidRDefault="001B2AC3" w:rsidP="00240AE0">
      <w:pPr>
        <w:pStyle w:val="Paragraphedeliste"/>
        <w:numPr>
          <w:ilvl w:val="0"/>
          <w:numId w:val="2"/>
        </w:numPr>
        <w:spacing w:after="40" w:line="264" w:lineRule="auto"/>
        <w:jc w:val="both"/>
      </w:pPr>
      <w:r>
        <w:rPr>
          <w:color w:val="333333"/>
          <w:sz w:val="18"/>
          <w:szCs w:val="18"/>
        </w:rPr>
        <w:t>Art. L. 111-1, L. 131-1 du Code de l’éducation.</w:t>
      </w:r>
    </w:p>
    <w:p w14:paraId="06158D89" w14:textId="77777777" w:rsidR="00DF4DE6" w:rsidRDefault="00DF4DE6" w:rsidP="00240AE0">
      <w:pPr>
        <w:pBdr>
          <w:top w:val="single" w:sz="6" w:space="0" w:color="C7D2E0"/>
        </w:pBdr>
        <w:spacing w:before="260" w:after="180"/>
        <w:jc w:val="both"/>
      </w:pPr>
    </w:p>
    <w:p w14:paraId="03E37FA3"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48  ·</w:t>
      </w:r>
      <w:proofErr w:type="gramEnd"/>
      <w:r>
        <w:rPr>
          <w:b/>
          <w:bCs/>
          <w:color w:val="2E5A88"/>
          <w:sz w:val="22"/>
          <w:szCs w:val="22"/>
        </w:rPr>
        <w:t xml:space="preserve">  </w:t>
      </w:r>
      <w:r>
        <w:rPr>
          <w:rFonts w:ascii="Cambria" w:eastAsia="Cambria" w:hAnsi="Cambria" w:cs="Cambria"/>
          <w:b/>
          <w:bCs/>
          <w:color w:val="1F3864"/>
        </w:rPr>
        <w:t>Le droit à la santé et à la protection sociale</w:t>
      </w:r>
    </w:p>
    <w:p w14:paraId="49A452E7" w14:textId="77777777" w:rsidR="00DF4DE6" w:rsidRDefault="001B2AC3" w:rsidP="00240AE0">
      <w:pPr>
        <w:spacing w:after="120"/>
        <w:jc w:val="both"/>
      </w:pPr>
      <w:r>
        <w:rPr>
          <w:i/>
          <w:iCs/>
          <w:color w:val="595959"/>
          <w:sz w:val="17"/>
          <w:szCs w:val="17"/>
        </w:rPr>
        <w:t>Fascicule, p. 490</w:t>
      </w:r>
    </w:p>
    <w:p w14:paraId="400D34B8" w14:textId="77777777" w:rsidR="00DF4DE6" w:rsidRDefault="001B2AC3" w:rsidP="00240AE0">
      <w:pPr>
        <w:spacing w:before="200" w:after="70"/>
        <w:jc w:val="both"/>
      </w:pPr>
      <w:r>
        <w:rPr>
          <w:b/>
          <w:bCs/>
          <w:color w:val="2E5A88"/>
          <w:spacing w:val="24"/>
          <w:sz w:val="17"/>
          <w:szCs w:val="17"/>
        </w:rPr>
        <w:t>IDÉE DIRECTRICE</w:t>
      </w:r>
    </w:p>
    <w:p w14:paraId="55AC57A6" w14:textId="77777777" w:rsidR="00DF4DE6" w:rsidRDefault="001B2AC3" w:rsidP="00240AE0">
      <w:pPr>
        <w:spacing w:after="60" w:line="276" w:lineRule="auto"/>
        <w:jc w:val="both"/>
      </w:pPr>
      <w:r>
        <w:t>Deux droits distincts traités ensemble : le droit à la protection de la santé, rattaché au préambule de 1946, et le droit à la protection sociale, qui suppose une action de l'État et des organismes dédiés. Point important pour la méthode : les textes internationaux proclamant ces droits ne sont pas directement invocables dans l'ordre interne. La fiche se termine sur le principe d'égalité dans la mise en œuvre.</w:t>
      </w:r>
    </w:p>
    <w:p w14:paraId="4FAB6F38" w14:textId="77777777" w:rsidR="00DF4DE6" w:rsidRDefault="001B2AC3" w:rsidP="00240AE0">
      <w:pPr>
        <w:spacing w:before="200" w:after="70"/>
        <w:jc w:val="both"/>
      </w:pPr>
      <w:r>
        <w:rPr>
          <w:b/>
          <w:bCs/>
          <w:color w:val="2E5A88"/>
          <w:spacing w:val="24"/>
          <w:sz w:val="17"/>
          <w:szCs w:val="17"/>
        </w:rPr>
        <w:t>POINTS CLÉS (ENCADRÉ DU FASCICULE)</w:t>
      </w:r>
    </w:p>
    <w:p w14:paraId="7ED6911B" w14:textId="77777777" w:rsidR="00DF4DE6" w:rsidRDefault="001B2AC3" w:rsidP="00240AE0">
      <w:pPr>
        <w:pStyle w:val="Paragraphedeliste"/>
        <w:numPr>
          <w:ilvl w:val="0"/>
          <w:numId w:val="2"/>
        </w:numPr>
        <w:spacing w:after="40" w:line="264" w:lineRule="auto"/>
        <w:jc w:val="both"/>
      </w:pPr>
      <w:r>
        <w:rPr>
          <w:color w:val="1A1A1A"/>
          <w:sz w:val="19"/>
          <w:szCs w:val="19"/>
        </w:rPr>
        <w:t>Le droit à la santé se rattache aux dispositions du Préambule de 1946.</w:t>
      </w:r>
    </w:p>
    <w:p w14:paraId="0889A9E1" w14:textId="77777777" w:rsidR="00DF4DE6" w:rsidRDefault="001B2AC3" w:rsidP="00240AE0">
      <w:pPr>
        <w:pStyle w:val="Paragraphedeliste"/>
        <w:numPr>
          <w:ilvl w:val="0"/>
          <w:numId w:val="2"/>
        </w:numPr>
        <w:spacing w:after="40" w:line="264" w:lineRule="auto"/>
        <w:jc w:val="both"/>
      </w:pPr>
      <w:r>
        <w:rPr>
          <w:color w:val="1A1A1A"/>
          <w:sz w:val="19"/>
          <w:szCs w:val="19"/>
        </w:rPr>
        <w:t>Certains textes internationaux proclament un tel droit, mais leurs dispositions ne sont pas invocables directement dans l’ordre interne.</w:t>
      </w:r>
    </w:p>
    <w:p w14:paraId="2446D3F6" w14:textId="77777777" w:rsidR="00DF4DE6" w:rsidRDefault="001B2AC3" w:rsidP="00240AE0">
      <w:pPr>
        <w:pStyle w:val="Paragraphedeliste"/>
        <w:numPr>
          <w:ilvl w:val="0"/>
          <w:numId w:val="2"/>
        </w:numPr>
        <w:spacing w:after="40" w:line="264" w:lineRule="auto"/>
        <w:jc w:val="both"/>
      </w:pPr>
      <w:r>
        <w:rPr>
          <w:color w:val="1A1A1A"/>
          <w:sz w:val="19"/>
          <w:szCs w:val="19"/>
        </w:rPr>
        <w:t>Aux côtés du droit à la santé existe le droit à la protection sociale.</w:t>
      </w:r>
    </w:p>
    <w:p w14:paraId="4C3E5930" w14:textId="77777777" w:rsidR="00DF4DE6" w:rsidRDefault="001B2AC3" w:rsidP="00240AE0">
      <w:pPr>
        <w:pStyle w:val="Paragraphedeliste"/>
        <w:numPr>
          <w:ilvl w:val="0"/>
          <w:numId w:val="2"/>
        </w:numPr>
        <w:spacing w:after="40" w:line="264" w:lineRule="auto"/>
        <w:jc w:val="both"/>
      </w:pPr>
      <w:r>
        <w:rPr>
          <w:color w:val="1A1A1A"/>
          <w:sz w:val="19"/>
          <w:szCs w:val="19"/>
        </w:rPr>
        <w:t>Ce droit implique une action de l’État afin de mettre en œuvre des mécanismes et des organismes destinés à assurer la protection sociale des individus.</w:t>
      </w:r>
    </w:p>
    <w:p w14:paraId="0EF05198" w14:textId="77777777" w:rsidR="00DF4DE6" w:rsidRDefault="001B2AC3" w:rsidP="00240AE0">
      <w:pPr>
        <w:pStyle w:val="Paragraphedeliste"/>
        <w:numPr>
          <w:ilvl w:val="0"/>
          <w:numId w:val="2"/>
        </w:numPr>
        <w:spacing w:after="40" w:line="264" w:lineRule="auto"/>
        <w:jc w:val="both"/>
      </w:pPr>
      <w:r>
        <w:rPr>
          <w:color w:val="1A1A1A"/>
          <w:sz w:val="19"/>
          <w:szCs w:val="19"/>
        </w:rPr>
        <w:t>Ce droit repose sur un principe d’égalité empêchant toute discrimination dans sa mise en œuvre.</w:t>
      </w:r>
    </w:p>
    <w:p w14:paraId="3476EED0" w14:textId="77777777" w:rsidR="00DF4DE6" w:rsidRDefault="001B2AC3" w:rsidP="00240AE0">
      <w:pPr>
        <w:spacing w:before="200" w:after="70"/>
        <w:jc w:val="both"/>
      </w:pPr>
      <w:r>
        <w:rPr>
          <w:b/>
          <w:bCs/>
          <w:color w:val="2E5A88"/>
          <w:spacing w:val="24"/>
          <w:sz w:val="17"/>
          <w:szCs w:val="17"/>
        </w:rPr>
        <w:t>PLAN DE LA FICHE</w:t>
      </w:r>
    </w:p>
    <w:p w14:paraId="51B47D0D" w14:textId="77777777" w:rsidR="00DF4DE6" w:rsidRDefault="001B2AC3" w:rsidP="00240AE0">
      <w:pPr>
        <w:spacing w:after="20" w:line="250" w:lineRule="auto"/>
        <w:ind w:left="240"/>
        <w:jc w:val="both"/>
      </w:pPr>
      <w:r>
        <w:rPr>
          <w:b/>
          <w:bCs/>
          <w:color w:val="1F3864"/>
          <w:sz w:val="19"/>
          <w:szCs w:val="19"/>
        </w:rPr>
        <w:t>1. Le droit à la protection de la santé</w:t>
      </w:r>
    </w:p>
    <w:p w14:paraId="142E2D3F" w14:textId="77777777" w:rsidR="00DF4DE6" w:rsidRDefault="001B2AC3" w:rsidP="00240AE0">
      <w:pPr>
        <w:spacing w:after="20" w:line="250" w:lineRule="auto"/>
        <w:ind w:left="240"/>
        <w:jc w:val="both"/>
      </w:pPr>
      <w:r>
        <w:rPr>
          <w:b/>
          <w:bCs/>
          <w:color w:val="1F3864"/>
          <w:sz w:val="19"/>
          <w:szCs w:val="19"/>
        </w:rPr>
        <w:t>2. Les contours du droit à la protection sociale</w:t>
      </w:r>
    </w:p>
    <w:p w14:paraId="4A8A9557" w14:textId="77777777" w:rsidR="00DF4DE6" w:rsidRDefault="001B2AC3" w:rsidP="00240AE0">
      <w:pPr>
        <w:spacing w:after="20" w:line="250" w:lineRule="auto"/>
        <w:ind w:left="500"/>
        <w:jc w:val="both"/>
      </w:pPr>
      <w:r>
        <w:rPr>
          <w:color w:val="333333"/>
          <w:sz w:val="18"/>
          <w:szCs w:val="18"/>
        </w:rPr>
        <w:t>2.1. Les contours historiques du droit à la protection sociale</w:t>
      </w:r>
    </w:p>
    <w:p w14:paraId="41900113" w14:textId="77777777" w:rsidR="00DF4DE6" w:rsidRDefault="001B2AC3" w:rsidP="00240AE0">
      <w:pPr>
        <w:spacing w:after="20" w:line="250" w:lineRule="auto"/>
        <w:ind w:left="500"/>
        <w:jc w:val="both"/>
      </w:pPr>
      <w:r>
        <w:rPr>
          <w:color w:val="333333"/>
          <w:sz w:val="18"/>
          <w:szCs w:val="18"/>
        </w:rPr>
        <w:t>2.2. Les contours terminologiques du droit à la protection sociale</w:t>
      </w:r>
    </w:p>
    <w:p w14:paraId="4C8600E8" w14:textId="77777777" w:rsidR="00DF4DE6" w:rsidRDefault="001B2AC3" w:rsidP="00240AE0">
      <w:pPr>
        <w:spacing w:after="20" w:line="250" w:lineRule="auto"/>
        <w:ind w:left="500"/>
        <w:jc w:val="both"/>
      </w:pPr>
      <w:r>
        <w:rPr>
          <w:color w:val="333333"/>
          <w:sz w:val="18"/>
          <w:szCs w:val="18"/>
        </w:rPr>
        <w:t>2.3. Les contours juridiques du droit à la protection sociale</w:t>
      </w:r>
    </w:p>
    <w:p w14:paraId="4BDD974D" w14:textId="77777777" w:rsidR="00DF4DE6" w:rsidRDefault="001B2AC3" w:rsidP="00240AE0">
      <w:pPr>
        <w:spacing w:after="20" w:line="250" w:lineRule="auto"/>
        <w:ind w:left="500"/>
        <w:jc w:val="both"/>
      </w:pPr>
      <w:r>
        <w:rPr>
          <w:color w:val="333333"/>
          <w:sz w:val="18"/>
          <w:szCs w:val="18"/>
        </w:rPr>
        <w:t>2.4. Les contours pratiques du droit de la protection sociale</w:t>
      </w:r>
    </w:p>
    <w:p w14:paraId="0F0248B5" w14:textId="77777777" w:rsidR="00DF4DE6" w:rsidRDefault="001B2AC3" w:rsidP="00240AE0">
      <w:pPr>
        <w:spacing w:after="20" w:line="250" w:lineRule="auto"/>
        <w:ind w:left="240"/>
        <w:jc w:val="both"/>
      </w:pPr>
      <w:r>
        <w:rPr>
          <w:b/>
          <w:bCs/>
          <w:color w:val="1F3864"/>
          <w:sz w:val="19"/>
          <w:szCs w:val="19"/>
        </w:rPr>
        <w:t>3. La consécration dans les instruments internationaux de protection</w:t>
      </w:r>
    </w:p>
    <w:p w14:paraId="65ABF229" w14:textId="77777777" w:rsidR="00DF4DE6" w:rsidRDefault="001B2AC3" w:rsidP="00240AE0">
      <w:pPr>
        <w:spacing w:after="20" w:line="250" w:lineRule="auto"/>
        <w:ind w:left="240"/>
        <w:jc w:val="both"/>
      </w:pPr>
      <w:r>
        <w:rPr>
          <w:b/>
          <w:bCs/>
          <w:color w:val="1F3864"/>
          <w:sz w:val="19"/>
          <w:szCs w:val="19"/>
        </w:rPr>
        <w:t>4. La consécration du droit à la protection sociale en France</w:t>
      </w:r>
    </w:p>
    <w:p w14:paraId="107607C2" w14:textId="77777777" w:rsidR="00DF4DE6" w:rsidRDefault="001B2AC3" w:rsidP="00240AE0">
      <w:pPr>
        <w:spacing w:after="20" w:line="250" w:lineRule="auto"/>
        <w:ind w:left="240"/>
        <w:jc w:val="both"/>
      </w:pPr>
      <w:r>
        <w:rPr>
          <w:b/>
          <w:bCs/>
          <w:color w:val="1F3864"/>
          <w:sz w:val="19"/>
          <w:szCs w:val="19"/>
        </w:rPr>
        <w:t>5. Le principe d’égalité dans le droit à la protection sociale</w:t>
      </w:r>
    </w:p>
    <w:p w14:paraId="1B14506E" w14:textId="77777777" w:rsidR="00DF4DE6" w:rsidRDefault="001B2AC3" w:rsidP="00240AE0">
      <w:pPr>
        <w:spacing w:before="200" w:after="70"/>
        <w:jc w:val="both"/>
      </w:pPr>
      <w:r>
        <w:rPr>
          <w:b/>
          <w:bCs/>
          <w:color w:val="2E5A88"/>
          <w:spacing w:val="24"/>
          <w:sz w:val="17"/>
          <w:szCs w:val="17"/>
        </w:rPr>
        <w:t>RÉFÉRENCES CENTRALES</w:t>
      </w:r>
    </w:p>
    <w:p w14:paraId="755E5337" w14:textId="77777777" w:rsidR="00DF4DE6" w:rsidRDefault="001B2AC3" w:rsidP="00240AE0">
      <w:pPr>
        <w:pStyle w:val="Paragraphedeliste"/>
        <w:numPr>
          <w:ilvl w:val="0"/>
          <w:numId w:val="2"/>
        </w:numPr>
        <w:spacing w:after="40" w:line="264" w:lineRule="auto"/>
        <w:jc w:val="both"/>
      </w:pPr>
      <w:r>
        <w:rPr>
          <w:color w:val="333333"/>
          <w:sz w:val="18"/>
          <w:szCs w:val="18"/>
        </w:rPr>
        <w:t>Article 11 du Préambule de la Constitution de 1946.</w:t>
      </w:r>
    </w:p>
    <w:p w14:paraId="3EAB5B38" w14:textId="77777777" w:rsidR="00DF4DE6" w:rsidRDefault="001B2AC3" w:rsidP="00240AE0">
      <w:pPr>
        <w:pStyle w:val="Paragraphedeliste"/>
        <w:numPr>
          <w:ilvl w:val="0"/>
          <w:numId w:val="2"/>
        </w:numPr>
        <w:spacing w:after="40" w:line="264" w:lineRule="auto"/>
        <w:jc w:val="both"/>
      </w:pPr>
      <w:r>
        <w:rPr>
          <w:color w:val="333333"/>
          <w:sz w:val="18"/>
          <w:szCs w:val="18"/>
        </w:rPr>
        <w:t>Article 22 de la Déclaration universelle des droits de l’homme.</w:t>
      </w:r>
    </w:p>
    <w:p w14:paraId="4ED73EF2"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décision no 2003-483 DC, 14 août 2003, Loi portant réforme des retraites.</w:t>
      </w:r>
    </w:p>
    <w:p w14:paraId="3296AE52"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décision no 89-269, 22 janvier 1990, Loi portant diverses dispositions relatives à la Sécurité sociale et à la santé.</w:t>
      </w:r>
    </w:p>
    <w:p w14:paraId="59AA428D" w14:textId="77777777" w:rsidR="00DF4DE6" w:rsidRDefault="00DF4DE6" w:rsidP="00240AE0">
      <w:pPr>
        <w:pBdr>
          <w:top w:val="single" w:sz="6" w:space="0" w:color="C7D2E0"/>
        </w:pBdr>
        <w:spacing w:before="260" w:after="180"/>
        <w:jc w:val="both"/>
      </w:pPr>
    </w:p>
    <w:p w14:paraId="73C7EEFD"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49  ·</w:t>
      </w:r>
      <w:proofErr w:type="gramEnd"/>
      <w:r>
        <w:rPr>
          <w:b/>
          <w:bCs/>
          <w:color w:val="2E5A88"/>
          <w:sz w:val="22"/>
          <w:szCs w:val="22"/>
        </w:rPr>
        <w:t xml:space="preserve">  </w:t>
      </w:r>
      <w:r>
        <w:rPr>
          <w:rFonts w:ascii="Cambria" w:eastAsia="Cambria" w:hAnsi="Cambria" w:cs="Cambria"/>
          <w:b/>
          <w:bCs/>
          <w:color w:val="1F3864"/>
        </w:rPr>
        <w:t>Le droit à un environnement sain</w:t>
      </w:r>
    </w:p>
    <w:p w14:paraId="582862F5" w14:textId="77777777" w:rsidR="00DF4DE6" w:rsidRDefault="001B2AC3" w:rsidP="00240AE0">
      <w:pPr>
        <w:spacing w:after="120"/>
        <w:jc w:val="both"/>
      </w:pPr>
      <w:r>
        <w:rPr>
          <w:i/>
          <w:iCs/>
          <w:color w:val="595959"/>
          <w:sz w:val="17"/>
          <w:szCs w:val="17"/>
        </w:rPr>
        <w:t>Fascicule, p. 500</w:t>
      </w:r>
    </w:p>
    <w:p w14:paraId="2069455F" w14:textId="77777777" w:rsidR="00DF4DE6" w:rsidRDefault="001B2AC3" w:rsidP="00240AE0">
      <w:pPr>
        <w:spacing w:before="200" w:after="70"/>
        <w:jc w:val="both"/>
      </w:pPr>
      <w:r>
        <w:rPr>
          <w:b/>
          <w:bCs/>
          <w:color w:val="2E5A88"/>
          <w:spacing w:val="24"/>
          <w:sz w:val="17"/>
          <w:szCs w:val="17"/>
        </w:rPr>
        <w:t>IDÉE DIRECTRICE</w:t>
      </w:r>
    </w:p>
    <w:p w14:paraId="0197045D" w14:textId="77777777" w:rsidR="00DF4DE6" w:rsidRDefault="001B2AC3" w:rsidP="00240AE0">
      <w:pPr>
        <w:spacing w:after="60" w:line="276" w:lineRule="auto"/>
        <w:jc w:val="both"/>
      </w:pPr>
      <w:r>
        <w:t>La fiche commence par une distinction à ne pas manquer : le droit DE l'environnement (l'ensemble des règles de protection) n'est pas le droit À un environnement sain (droit subjectif de vivre dans un environnement sain). Elle expose ensuite la protection par ricochet opérée par la Cour européenne (articles 2 et 8, puis article 6 § 1 pour le contentieux climatique), la constitutionnalisation par la Charte de l'environnement, et la montée en puissance du contentieux.</w:t>
      </w:r>
    </w:p>
    <w:p w14:paraId="198F15C4" w14:textId="77777777" w:rsidR="00DF4DE6" w:rsidRDefault="001B2AC3" w:rsidP="00240AE0">
      <w:pPr>
        <w:spacing w:before="200" w:after="70"/>
        <w:jc w:val="both"/>
      </w:pPr>
      <w:r>
        <w:rPr>
          <w:b/>
          <w:bCs/>
          <w:color w:val="2E5A88"/>
          <w:spacing w:val="24"/>
          <w:sz w:val="17"/>
          <w:szCs w:val="17"/>
        </w:rPr>
        <w:t>POINTS CLÉS (ENCADRÉ DU FASCICULE)</w:t>
      </w:r>
    </w:p>
    <w:p w14:paraId="2142B99A" w14:textId="77777777" w:rsidR="00DF4DE6" w:rsidRDefault="001B2AC3" w:rsidP="00240AE0">
      <w:pPr>
        <w:pStyle w:val="Paragraphedeliste"/>
        <w:numPr>
          <w:ilvl w:val="0"/>
          <w:numId w:val="2"/>
        </w:numPr>
        <w:spacing w:after="40" w:line="264" w:lineRule="auto"/>
        <w:jc w:val="both"/>
      </w:pPr>
      <w:r>
        <w:rPr>
          <w:color w:val="1A1A1A"/>
          <w:sz w:val="19"/>
          <w:szCs w:val="19"/>
        </w:rPr>
        <w:t>Création jurisprudentielle du droit à un environnement sain par la CEDH.</w:t>
      </w:r>
    </w:p>
    <w:p w14:paraId="17D70D2C" w14:textId="77777777" w:rsidR="00DF4DE6" w:rsidRDefault="001B2AC3" w:rsidP="00240AE0">
      <w:pPr>
        <w:pStyle w:val="Paragraphedeliste"/>
        <w:numPr>
          <w:ilvl w:val="0"/>
          <w:numId w:val="2"/>
        </w:numPr>
        <w:spacing w:after="40" w:line="264" w:lineRule="auto"/>
        <w:jc w:val="both"/>
      </w:pPr>
      <w:r>
        <w:rPr>
          <w:color w:val="1A1A1A"/>
          <w:sz w:val="19"/>
          <w:szCs w:val="19"/>
        </w:rPr>
        <w:t>Création d’obligations positives.</w:t>
      </w:r>
    </w:p>
    <w:p w14:paraId="30210001" w14:textId="77777777" w:rsidR="00DF4DE6" w:rsidRDefault="001B2AC3" w:rsidP="00240AE0">
      <w:pPr>
        <w:pStyle w:val="Paragraphedeliste"/>
        <w:numPr>
          <w:ilvl w:val="0"/>
          <w:numId w:val="2"/>
        </w:numPr>
        <w:spacing w:after="40" w:line="264" w:lineRule="auto"/>
        <w:jc w:val="both"/>
      </w:pPr>
      <w:r>
        <w:rPr>
          <w:color w:val="1A1A1A"/>
          <w:sz w:val="19"/>
          <w:szCs w:val="19"/>
        </w:rPr>
        <w:t>Distinction entre les contentieux environnementaux et les contentieux climatiques.</w:t>
      </w:r>
    </w:p>
    <w:p w14:paraId="7D09EC3B" w14:textId="77777777" w:rsidR="00DF4DE6" w:rsidRDefault="001B2AC3" w:rsidP="00240AE0">
      <w:pPr>
        <w:pStyle w:val="Paragraphedeliste"/>
        <w:numPr>
          <w:ilvl w:val="0"/>
          <w:numId w:val="2"/>
        </w:numPr>
        <w:spacing w:after="40" w:line="264" w:lineRule="auto"/>
        <w:jc w:val="both"/>
      </w:pPr>
      <w:r>
        <w:rPr>
          <w:color w:val="1A1A1A"/>
          <w:sz w:val="19"/>
          <w:szCs w:val="19"/>
        </w:rPr>
        <w:lastRenderedPageBreak/>
        <w:t>Distinction entre le droit de l’environnement et le droit à un environnement. Droit de l’environnement et droit à l’environnement sont souvent amalgamés.</w:t>
      </w:r>
    </w:p>
    <w:p w14:paraId="00B88F08" w14:textId="77777777" w:rsidR="00DF4DE6" w:rsidRDefault="001B2AC3" w:rsidP="00240AE0">
      <w:pPr>
        <w:spacing w:before="200" w:after="70"/>
        <w:jc w:val="both"/>
      </w:pPr>
      <w:r>
        <w:rPr>
          <w:b/>
          <w:bCs/>
          <w:color w:val="2E5A88"/>
          <w:spacing w:val="24"/>
          <w:sz w:val="17"/>
          <w:szCs w:val="17"/>
        </w:rPr>
        <w:t>PLAN DE LA FICHE</w:t>
      </w:r>
    </w:p>
    <w:p w14:paraId="4353DDE1" w14:textId="77777777" w:rsidR="00DF4DE6" w:rsidRDefault="001B2AC3" w:rsidP="00240AE0">
      <w:pPr>
        <w:spacing w:after="20" w:line="250" w:lineRule="auto"/>
        <w:ind w:left="240"/>
        <w:jc w:val="both"/>
      </w:pPr>
      <w:r>
        <w:rPr>
          <w:b/>
          <w:bCs/>
          <w:color w:val="1F3864"/>
          <w:sz w:val="19"/>
          <w:szCs w:val="19"/>
        </w:rPr>
        <w:t>1. La prise de conscience planétaire des enjeux environnementaux</w:t>
      </w:r>
    </w:p>
    <w:p w14:paraId="0373CE85" w14:textId="77777777" w:rsidR="00DF4DE6" w:rsidRDefault="001B2AC3" w:rsidP="00240AE0">
      <w:pPr>
        <w:spacing w:after="20" w:line="250" w:lineRule="auto"/>
        <w:ind w:left="240"/>
        <w:jc w:val="both"/>
      </w:pPr>
      <w:r>
        <w:rPr>
          <w:b/>
          <w:bCs/>
          <w:color w:val="1F3864"/>
          <w:sz w:val="19"/>
          <w:szCs w:val="19"/>
        </w:rPr>
        <w:t>2. La protection par ricochet opérée par la Cour européenne des droits de l’homme</w:t>
      </w:r>
    </w:p>
    <w:p w14:paraId="0CC671BA" w14:textId="77777777" w:rsidR="00DF4DE6" w:rsidRDefault="001B2AC3" w:rsidP="00240AE0">
      <w:pPr>
        <w:spacing w:after="20" w:line="250" w:lineRule="auto"/>
        <w:ind w:left="500"/>
        <w:jc w:val="both"/>
      </w:pPr>
      <w:r>
        <w:rPr>
          <w:color w:val="333333"/>
          <w:sz w:val="18"/>
          <w:szCs w:val="18"/>
        </w:rPr>
        <w:t>2.1. La protection de l’environnement sain par l’application de l’article 2</w:t>
      </w:r>
    </w:p>
    <w:p w14:paraId="3405A2E5" w14:textId="77777777" w:rsidR="00DF4DE6" w:rsidRDefault="001B2AC3" w:rsidP="00240AE0">
      <w:pPr>
        <w:spacing w:after="20" w:line="250" w:lineRule="auto"/>
        <w:ind w:left="500"/>
        <w:jc w:val="both"/>
      </w:pPr>
      <w:r>
        <w:rPr>
          <w:color w:val="333333"/>
          <w:sz w:val="18"/>
          <w:szCs w:val="18"/>
        </w:rPr>
        <w:t>2.2. La protection de l’environnement sain par l’application de l’article 8</w:t>
      </w:r>
    </w:p>
    <w:p w14:paraId="5746F91E" w14:textId="77777777" w:rsidR="00DF4DE6" w:rsidRDefault="001B2AC3" w:rsidP="00240AE0">
      <w:pPr>
        <w:spacing w:after="20" w:line="250" w:lineRule="auto"/>
        <w:ind w:left="500"/>
        <w:jc w:val="both"/>
      </w:pPr>
      <w:r>
        <w:rPr>
          <w:color w:val="333333"/>
          <w:sz w:val="18"/>
          <w:szCs w:val="18"/>
        </w:rPr>
        <w:t>2.3. Les obligations découlant de la protection du droit à un environnement sain</w:t>
      </w:r>
    </w:p>
    <w:p w14:paraId="58CFCA24" w14:textId="77777777" w:rsidR="00DF4DE6" w:rsidRDefault="001B2AC3" w:rsidP="00240AE0">
      <w:pPr>
        <w:spacing w:after="20" w:line="250" w:lineRule="auto"/>
        <w:ind w:left="500"/>
        <w:jc w:val="both"/>
      </w:pPr>
      <w:r>
        <w:rPr>
          <w:color w:val="333333"/>
          <w:sz w:val="18"/>
          <w:szCs w:val="18"/>
        </w:rPr>
        <w:t>2.4. Le contentieux climatique et protection de l’environnement sain par l’application de l’article 6 § 1</w:t>
      </w:r>
    </w:p>
    <w:p w14:paraId="368AA38A" w14:textId="77777777" w:rsidR="00DF4DE6" w:rsidRDefault="001B2AC3" w:rsidP="00240AE0">
      <w:pPr>
        <w:spacing w:after="20" w:line="250" w:lineRule="auto"/>
        <w:ind w:left="240"/>
        <w:jc w:val="both"/>
      </w:pPr>
      <w:r>
        <w:rPr>
          <w:b/>
          <w:bCs/>
          <w:color w:val="1F3864"/>
          <w:sz w:val="19"/>
          <w:szCs w:val="19"/>
        </w:rPr>
        <w:t>3. La constitutionnalisation du droit à un environnement sain</w:t>
      </w:r>
    </w:p>
    <w:p w14:paraId="7FB0C483" w14:textId="77777777" w:rsidR="00DF4DE6" w:rsidRDefault="001B2AC3" w:rsidP="00240AE0">
      <w:pPr>
        <w:spacing w:after="20" w:line="250" w:lineRule="auto"/>
        <w:ind w:left="240"/>
        <w:jc w:val="both"/>
      </w:pPr>
      <w:r>
        <w:rPr>
          <w:b/>
          <w:bCs/>
          <w:color w:val="1F3864"/>
          <w:sz w:val="19"/>
          <w:szCs w:val="19"/>
        </w:rPr>
        <w:t>4. La montée en puissance du contentieux relatif au droit à un environnement sain</w:t>
      </w:r>
    </w:p>
    <w:p w14:paraId="3B6FDE8F" w14:textId="77777777" w:rsidR="00DF4DE6" w:rsidRDefault="001B2AC3" w:rsidP="00240AE0">
      <w:pPr>
        <w:spacing w:before="200" w:after="70"/>
        <w:jc w:val="both"/>
      </w:pPr>
      <w:r>
        <w:rPr>
          <w:b/>
          <w:bCs/>
          <w:color w:val="2E5A88"/>
          <w:spacing w:val="24"/>
          <w:sz w:val="17"/>
          <w:szCs w:val="17"/>
        </w:rPr>
        <w:t>RÉFÉRENCES CENTRALES</w:t>
      </w:r>
    </w:p>
    <w:p w14:paraId="4DB9EF49" w14:textId="77777777" w:rsidR="00DF4DE6" w:rsidRDefault="001B2AC3" w:rsidP="00240AE0">
      <w:pPr>
        <w:pStyle w:val="Paragraphedeliste"/>
        <w:numPr>
          <w:ilvl w:val="0"/>
          <w:numId w:val="2"/>
        </w:numPr>
        <w:spacing w:after="40" w:line="264" w:lineRule="auto"/>
        <w:jc w:val="both"/>
      </w:pPr>
      <w:r>
        <w:rPr>
          <w:color w:val="333333"/>
          <w:sz w:val="18"/>
          <w:szCs w:val="18"/>
        </w:rPr>
        <w:t xml:space="preserve">Art. 8 </w:t>
      </w:r>
      <w:proofErr w:type="spellStart"/>
      <w:r>
        <w:rPr>
          <w:color w:val="333333"/>
          <w:sz w:val="18"/>
          <w:szCs w:val="18"/>
        </w:rPr>
        <w:t>Conv</w:t>
      </w:r>
      <w:proofErr w:type="spellEnd"/>
      <w:r>
        <w:rPr>
          <w:color w:val="333333"/>
          <w:sz w:val="18"/>
          <w:szCs w:val="18"/>
        </w:rPr>
        <w:t>. EDH.</w:t>
      </w:r>
    </w:p>
    <w:p w14:paraId="711DAD77" w14:textId="77777777" w:rsidR="00DF4DE6" w:rsidRDefault="001B2AC3" w:rsidP="00240AE0">
      <w:pPr>
        <w:pStyle w:val="Paragraphedeliste"/>
        <w:numPr>
          <w:ilvl w:val="0"/>
          <w:numId w:val="2"/>
        </w:numPr>
        <w:spacing w:after="40" w:line="264" w:lineRule="auto"/>
        <w:jc w:val="both"/>
      </w:pPr>
      <w:r>
        <w:rPr>
          <w:color w:val="333333"/>
          <w:sz w:val="18"/>
          <w:szCs w:val="18"/>
        </w:rPr>
        <w:t>Art. 1 Charte de l’environnement (2004).</w:t>
      </w:r>
    </w:p>
    <w:p w14:paraId="1A94A84B" w14:textId="77777777" w:rsidR="00DF4DE6" w:rsidRDefault="001B2AC3" w:rsidP="00240AE0">
      <w:pPr>
        <w:pStyle w:val="Paragraphedeliste"/>
        <w:numPr>
          <w:ilvl w:val="0"/>
          <w:numId w:val="2"/>
        </w:numPr>
        <w:spacing w:after="40" w:line="264" w:lineRule="auto"/>
        <w:jc w:val="both"/>
      </w:pPr>
      <w:r>
        <w:rPr>
          <w:color w:val="333333"/>
          <w:sz w:val="18"/>
          <w:szCs w:val="18"/>
        </w:rPr>
        <w:t>CEDH, 9 décembre 1994, López Ostra c. Espagne, no 16798/90.</w:t>
      </w:r>
    </w:p>
    <w:p w14:paraId="5408F4AD" w14:textId="77777777" w:rsidR="00DF4DE6" w:rsidRDefault="001B2AC3" w:rsidP="00240AE0">
      <w:pPr>
        <w:pStyle w:val="Paragraphedeliste"/>
        <w:numPr>
          <w:ilvl w:val="0"/>
          <w:numId w:val="2"/>
        </w:numPr>
        <w:spacing w:after="40" w:line="264" w:lineRule="auto"/>
        <w:jc w:val="both"/>
      </w:pPr>
      <w:r>
        <w:rPr>
          <w:color w:val="333333"/>
          <w:sz w:val="18"/>
          <w:szCs w:val="18"/>
        </w:rPr>
        <w:t xml:space="preserve">CEDH, GC., 30 novembre 2004, </w:t>
      </w:r>
      <w:proofErr w:type="spellStart"/>
      <w:r>
        <w:rPr>
          <w:color w:val="333333"/>
          <w:sz w:val="18"/>
          <w:szCs w:val="18"/>
        </w:rPr>
        <w:t>Öneryildiz</w:t>
      </w:r>
      <w:proofErr w:type="spellEnd"/>
      <w:r>
        <w:rPr>
          <w:color w:val="333333"/>
          <w:sz w:val="18"/>
          <w:szCs w:val="18"/>
        </w:rPr>
        <w:t xml:space="preserve"> c. Turquie, no 48939/99.</w:t>
      </w:r>
    </w:p>
    <w:p w14:paraId="769F69DC" w14:textId="77777777" w:rsidR="00DF4DE6" w:rsidRDefault="001B2AC3" w:rsidP="00240AE0">
      <w:pPr>
        <w:pStyle w:val="Paragraphedeliste"/>
        <w:numPr>
          <w:ilvl w:val="0"/>
          <w:numId w:val="2"/>
        </w:numPr>
        <w:spacing w:after="40" w:line="264" w:lineRule="auto"/>
        <w:jc w:val="both"/>
      </w:pPr>
      <w:r>
        <w:rPr>
          <w:color w:val="333333"/>
          <w:sz w:val="18"/>
          <w:szCs w:val="18"/>
        </w:rPr>
        <w:t xml:space="preserve">CEDH, GC., 9 avril 2024, </w:t>
      </w:r>
      <w:proofErr w:type="spellStart"/>
      <w:r>
        <w:rPr>
          <w:color w:val="333333"/>
          <w:sz w:val="18"/>
          <w:szCs w:val="18"/>
        </w:rPr>
        <w:t>Verein</w:t>
      </w:r>
      <w:proofErr w:type="spellEnd"/>
      <w:r>
        <w:rPr>
          <w:color w:val="333333"/>
          <w:sz w:val="18"/>
          <w:szCs w:val="18"/>
        </w:rPr>
        <w:t xml:space="preserve"> Klimaseniorinnen Schweiz et a. c. Suisse, no 53600/20.</w:t>
      </w:r>
    </w:p>
    <w:p w14:paraId="5CAD1508"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2011-116 QPC, 8 avril 2011, Michel Z. et a.</w:t>
      </w:r>
    </w:p>
    <w:p w14:paraId="770CB456" w14:textId="77777777" w:rsidR="00DF4DE6" w:rsidRDefault="001B2AC3" w:rsidP="00240AE0">
      <w:pPr>
        <w:pStyle w:val="Paragraphedeliste"/>
        <w:numPr>
          <w:ilvl w:val="0"/>
          <w:numId w:val="2"/>
        </w:numPr>
        <w:spacing w:after="40" w:line="264" w:lineRule="auto"/>
        <w:jc w:val="both"/>
      </w:pPr>
      <w:r>
        <w:rPr>
          <w:color w:val="333333"/>
          <w:sz w:val="18"/>
          <w:szCs w:val="18"/>
        </w:rPr>
        <w:t>CE, 1er juillet 2021, Commune de Grande-Synthe, no 427301.</w:t>
      </w:r>
    </w:p>
    <w:p w14:paraId="3D6F3EAE" w14:textId="77777777" w:rsidR="00DF4DE6" w:rsidRDefault="00DF4DE6" w:rsidP="00240AE0">
      <w:pPr>
        <w:pBdr>
          <w:top w:val="single" w:sz="6" w:space="0" w:color="C7D2E0"/>
        </w:pBdr>
        <w:spacing w:before="260" w:after="180"/>
        <w:jc w:val="both"/>
      </w:pPr>
    </w:p>
    <w:p w14:paraId="6FC46137"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50  ·</w:t>
      </w:r>
      <w:proofErr w:type="gramEnd"/>
      <w:r>
        <w:rPr>
          <w:b/>
          <w:bCs/>
          <w:color w:val="2E5A88"/>
          <w:sz w:val="22"/>
          <w:szCs w:val="22"/>
        </w:rPr>
        <w:t xml:space="preserve">  </w:t>
      </w:r>
      <w:r>
        <w:rPr>
          <w:rFonts w:ascii="Cambria" w:eastAsia="Cambria" w:hAnsi="Cambria" w:cs="Cambria"/>
          <w:b/>
          <w:bCs/>
          <w:color w:val="1F3864"/>
        </w:rPr>
        <w:t>Le droit au travail</w:t>
      </w:r>
    </w:p>
    <w:p w14:paraId="5BD26A2C" w14:textId="77777777" w:rsidR="00DF4DE6" w:rsidRDefault="001B2AC3" w:rsidP="00240AE0">
      <w:pPr>
        <w:spacing w:after="120"/>
        <w:jc w:val="both"/>
      </w:pPr>
      <w:r>
        <w:rPr>
          <w:i/>
          <w:iCs/>
          <w:color w:val="595959"/>
          <w:sz w:val="17"/>
          <w:szCs w:val="17"/>
        </w:rPr>
        <w:t>Fascicule, p. 509</w:t>
      </w:r>
    </w:p>
    <w:p w14:paraId="3240091B" w14:textId="77777777" w:rsidR="00DF4DE6" w:rsidRDefault="001B2AC3" w:rsidP="00240AE0">
      <w:pPr>
        <w:spacing w:before="200" w:after="70"/>
        <w:jc w:val="both"/>
      </w:pPr>
      <w:r>
        <w:rPr>
          <w:b/>
          <w:bCs/>
          <w:color w:val="2E5A88"/>
          <w:spacing w:val="24"/>
          <w:sz w:val="17"/>
          <w:szCs w:val="17"/>
        </w:rPr>
        <w:t>IDÉE DIRECTRICE</w:t>
      </w:r>
    </w:p>
    <w:p w14:paraId="5DAA1298" w14:textId="77777777" w:rsidR="00DF4DE6" w:rsidRDefault="001B2AC3" w:rsidP="00240AE0">
      <w:pPr>
        <w:spacing w:after="60" w:line="276" w:lineRule="auto"/>
        <w:jc w:val="both"/>
      </w:pPr>
      <w:r>
        <w:t>Ne pas confondre droit au travail et liberté du travail : le premier fait de l'État un débiteur d'obligations, le second met au centre le choix de l'individu — y compris celui de ne pas travailler. La fiche traite le droit d'obtenir un emploi (sources constitutionnelles et internationales, implications), puis les garanties : protection par l'Organisation internationale du travail, libertés individuelles du salarié dans l'exécution du contrat, libertés collectives (liberté syndicale, droit de grève, participation à la gestion).</w:t>
      </w:r>
    </w:p>
    <w:p w14:paraId="60983D7D" w14:textId="77777777" w:rsidR="00DF4DE6" w:rsidRDefault="001B2AC3" w:rsidP="00240AE0">
      <w:pPr>
        <w:spacing w:before="200" w:after="70"/>
        <w:jc w:val="both"/>
      </w:pPr>
      <w:r>
        <w:rPr>
          <w:b/>
          <w:bCs/>
          <w:color w:val="2E5A88"/>
          <w:spacing w:val="24"/>
          <w:sz w:val="17"/>
          <w:szCs w:val="17"/>
        </w:rPr>
        <w:t>POINTS CLÉS (ENCADRÉ DU FASCICULE)</w:t>
      </w:r>
    </w:p>
    <w:p w14:paraId="4B7BD04E" w14:textId="77777777" w:rsidR="00DF4DE6" w:rsidRDefault="001B2AC3" w:rsidP="00240AE0">
      <w:pPr>
        <w:pStyle w:val="Paragraphedeliste"/>
        <w:numPr>
          <w:ilvl w:val="0"/>
          <w:numId w:val="2"/>
        </w:numPr>
        <w:spacing w:after="40" w:line="264" w:lineRule="auto"/>
        <w:jc w:val="both"/>
      </w:pPr>
      <w:r>
        <w:rPr>
          <w:color w:val="1A1A1A"/>
          <w:sz w:val="19"/>
          <w:szCs w:val="19"/>
        </w:rPr>
        <w:t>Il ne faut pas confondre le droit au travail et la liberté du travail.</w:t>
      </w:r>
    </w:p>
    <w:p w14:paraId="67F32FC1" w14:textId="77777777" w:rsidR="00DF4DE6" w:rsidRDefault="001B2AC3" w:rsidP="00240AE0">
      <w:pPr>
        <w:pStyle w:val="Paragraphedeliste"/>
        <w:numPr>
          <w:ilvl w:val="0"/>
          <w:numId w:val="2"/>
        </w:numPr>
        <w:spacing w:after="40" w:line="264" w:lineRule="auto"/>
        <w:jc w:val="both"/>
      </w:pPr>
      <w:r>
        <w:rPr>
          <w:color w:val="1A1A1A"/>
          <w:sz w:val="19"/>
          <w:szCs w:val="19"/>
        </w:rPr>
        <w:t>Le premier implique une dimension sociale. L’État devient débiteur d’un certain nombre d’obligations.</w:t>
      </w:r>
    </w:p>
    <w:p w14:paraId="777BDCC5" w14:textId="77777777" w:rsidR="00DF4DE6" w:rsidRDefault="001B2AC3" w:rsidP="00240AE0">
      <w:pPr>
        <w:pStyle w:val="Paragraphedeliste"/>
        <w:numPr>
          <w:ilvl w:val="0"/>
          <w:numId w:val="2"/>
        </w:numPr>
        <w:spacing w:after="40" w:line="264" w:lineRule="auto"/>
        <w:jc w:val="both"/>
      </w:pPr>
      <w:r>
        <w:rPr>
          <w:color w:val="1A1A1A"/>
          <w:sz w:val="19"/>
          <w:szCs w:val="19"/>
        </w:rPr>
        <w:t>Dans le cadre de la liberté de travailler, c’est le choix de l’individu qui devient un élément central.</w:t>
      </w:r>
    </w:p>
    <w:p w14:paraId="65D173B7" w14:textId="77777777" w:rsidR="00DF4DE6" w:rsidRDefault="001B2AC3" w:rsidP="00240AE0">
      <w:pPr>
        <w:pStyle w:val="Paragraphedeliste"/>
        <w:numPr>
          <w:ilvl w:val="0"/>
          <w:numId w:val="2"/>
        </w:numPr>
        <w:spacing w:after="40" w:line="264" w:lineRule="auto"/>
        <w:jc w:val="both"/>
      </w:pPr>
      <w:r>
        <w:rPr>
          <w:color w:val="1A1A1A"/>
          <w:sz w:val="19"/>
          <w:szCs w:val="19"/>
        </w:rPr>
        <w:t>La liberté de travailler s’entend aussi de celle de ne pas travailler.</w:t>
      </w:r>
    </w:p>
    <w:p w14:paraId="2F5120F4" w14:textId="77777777" w:rsidR="00DF4DE6" w:rsidRDefault="001B2AC3" w:rsidP="00240AE0">
      <w:pPr>
        <w:pStyle w:val="Paragraphedeliste"/>
        <w:numPr>
          <w:ilvl w:val="0"/>
          <w:numId w:val="2"/>
        </w:numPr>
        <w:spacing w:after="40" w:line="264" w:lineRule="auto"/>
        <w:jc w:val="both"/>
      </w:pPr>
      <w:r>
        <w:rPr>
          <w:color w:val="1A1A1A"/>
          <w:sz w:val="19"/>
          <w:szCs w:val="19"/>
        </w:rPr>
        <w:t>Le droit au travail implique également des droits annexes comme le droit de grève ou la liberté syndicale.</w:t>
      </w:r>
    </w:p>
    <w:p w14:paraId="5669F294" w14:textId="77777777" w:rsidR="00DF4DE6" w:rsidRDefault="001B2AC3" w:rsidP="00240AE0">
      <w:pPr>
        <w:spacing w:before="200" w:after="70"/>
        <w:jc w:val="both"/>
      </w:pPr>
      <w:r>
        <w:rPr>
          <w:b/>
          <w:bCs/>
          <w:color w:val="2E5A88"/>
          <w:spacing w:val="24"/>
          <w:sz w:val="17"/>
          <w:szCs w:val="17"/>
        </w:rPr>
        <w:t>PLAN DE LA FICHE</w:t>
      </w:r>
    </w:p>
    <w:p w14:paraId="398BEB9C" w14:textId="77777777" w:rsidR="00DF4DE6" w:rsidRDefault="001B2AC3" w:rsidP="00240AE0">
      <w:pPr>
        <w:spacing w:after="20" w:line="250" w:lineRule="auto"/>
        <w:ind w:left="240"/>
        <w:jc w:val="both"/>
      </w:pPr>
      <w:r>
        <w:rPr>
          <w:b/>
          <w:bCs/>
          <w:color w:val="1F3864"/>
          <w:sz w:val="19"/>
          <w:szCs w:val="19"/>
        </w:rPr>
        <w:t>1. Le droit d’obtenir un emploi</w:t>
      </w:r>
    </w:p>
    <w:p w14:paraId="47DAA354" w14:textId="77777777" w:rsidR="00DF4DE6" w:rsidRDefault="001B2AC3" w:rsidP="00240AE0">
      <w:pPr>
        <w:spacing w:after="20" w:line="250" w:lineRule="auto"/>
        <w:ind w:left="500"/>
        <w:jc w:val="both"/>
      </w:pPr>
      <w:r>
        <w:rPr>
          <w:color w:val="333333"/>
          <w:sz w:val="18"/>
          <w:szCs w:val="18"/>
        </w:rPr>
        <w:t>1.1. Un droit constitutionnel</w:t>
      </w:r>
    </w:p>
    <w:p w14:paraId="29B89752" w14:textId="77777777" w:rsidR="00DF4DE6" w:rsidRDefault="001B2AC3" w:rsidP="00240AE0">
      <w:pPr>
        <w:spacing w:after="20" w:line="250" w:lineRule="auto"/>
        <w:ind w:left="500"/>
        <w:jc w:val="both"/>
      </w:pPr>
      <w:r>
        <w:rPr>
          <w:color w:val="333333"/>
          <w:sz w:val="18"/>
          <w:szCs w:val="18"/>
        </w:rPr>
        <w:t>1.2. Les sources internationales du droit au travail</w:t>
      </w:r>
    </w:p>
    <w:p w14:paraId="2991FB68" w14:textId="77777777" w:rsidR="00DF4DE6" w:rsidRDefault="001B2AC3" w:rsidP="00240AE0">
      <w:pPr>
        <w:spacing w:after="20" w:line="250" w:lineRule="auto"/>
        <w:ind w:left="500"/>
        <w:jc w:val="both"/>
      </w:pPr>
      <w:r>
        <w:rPr>
          <w:color w:val="333333"/>
          <w:sz w:val="18"/>
          <w:szCs w:val="18"/>
        </w:rPr>
        <w:t>1.3. Les implications du droit à l’emploi</w:t>
      </w:r>
    </w:p>
    <w:p w14:paraId="60669DB8" w14:textId="77777777" w:rsidR="00DF4DE6" w:rsidRDefault="001B2AC3" w:rsidP="00240AE0">
      <w:pPr>
        <w:spacing w:after="20" w:line="250" w:lineRule="auto"/>
        <w:ind w:left="240"/>
        <w:jc w:val="both"/>
      </w:pPr>
      <w:r>
        <w:rPr>
          <w:b/>
          <w:bCs/>
          <w:color w:val="1F3864"/>
          <w:sz w:val="19"/>
          <w:szCs w:val="19"/>
        </w:rPr>
        <w:t>2. Les garanties fondamentales en matière d’emploi et de conditions de travail</w:t>
      </w:r>
    </w:p>
    <w:p w14:paraId="5BBD8CFC" w14:textId="77777777" w:rsidR="00DF4DE6" w:rsidRDefault="001B2AC3" w:rsidP="00240AE0">
      <w:pPr>
        <w:spacing w:after="20" w:line="250" w:lineRule="auto"/>
        <w:ind w:left="500"/>
        <w:jc w:val="both"/>
      </w:pPr>
      <w:r>
        <w:rPr>
          <w:color w:val="333333"/>
          <w:sz w:val="18"/>
          <w:szCs w:val="18"/>
        </w:rPr>
        <w:t>2.1. La protection par l’Organisation internationale du travail</w:t>
      </w:r>
    </w:p>
    <w:p w14:paraId="11D68407" w14:textId="77777777" w:rsidR="00DF4DE6" w:rsidRDefault="001B2AC3" w:rsidP="00240AE0">
      <w:pPr>
        <w:spacing w:after="20" w:line="250" w:lineRule="auto"/>
        <w:ind w:left="500"/>
        <w:jc w:val="both"/>
      </w:pPr>
      <w:r>
        <w:rPr>
          <w:color w:val="333333"/>
          <w:sz w:val="18"/>
          <w:szCs w:val="18"/>
        </w:rPr>
        <w:t>2.2. La protection des libertés individuelles du salarié dans l’exécution du contrat de travail</w:t>
      </w:r>
    </w:p>
    <w:p w14:paraId="6D93CA45" w14:textId="77777777" w:rsidR="00DF4DE6" w:rsidRDefault="001B2AC3" w:rsidP="00240AE0">
      <w:pPr>
        <w:spacing w:after="20" w:line="250" w:lineRule="auto"/>
        <w:ind w:left="500"/>
        <w:jc w:val="both"/>
      </w:pPr>
      <w:r>
        <w:rPr>
          <w:color w:val="333333"/>
          <w:sz w:val="18"/>
          <w:szCs w:val="18"/>
        </w:rPr>
        <w:t>2.3. La protection des libertés collectives des salariés</w:t>
      </w:r>
    </w:p>
    <w:p w14:paraId="59C3AF14" w14:textId="77777777" w:rsidR="00DF4DE6" w:rsidRDefault="001B2AC3" w:rsidP="00240AE0">
      <w:pPr>
        <w:spacing w:after="20" w:line="250" w:lineRule="auto"/>
        <w:ind w:left="760"/>
        <w:jc w:val="both"/>
      </w:pPr>
      <w:r>
        <w:rPr>
          <w:color w:val="595959"/>
          <w:sz w:val="18"/>
          <w:szCs w:val="18"/>
        </w:rPr>
        <w:t>2.3.1. La liberté syndicale</w:t>
      </w:r>
    </w:p>
    <w:p w14:paraId="43206F67" w14:textId="77777777" w:rsidR="00DF4DE6" w:rsidRDefault="001B2AC3" w:rsidP="00240AE0">
      <w:pPr>
        <w:spacing w:after="20" w:line="250" w:lineRule="auto"/>
        <w:ind w:left="760"/>
        <w:jc w:val="both"/>
      </w:pPr>
      <w:r>
        <w:rPr>
          <w:color w:val="595959"/>
          <w:sz w:val="18"/>
          <w:szCs w:val="18"/>
        </w:rPr>
        <w:t>2.3.2. Le droit de grève</w:t>
      </w:r>
    </w:p>
    <w:p w14:paraId="4E5E93CA" w14:textId="77777777" w:rsidR="00DF4DE6" w:rsidRDefault="001B2AC3" w:rsidP="00240AE0">
      <w:pPr>
        <w:spacing w:after="20" w:line="250" w:lineRule="auto"/>
        <w:ind w:left="760"/>
        <w:jc w:val="both"/>
      </w:pPr>
      <w:r>
        <w:rPr>
          <w:color w:val="595959"/>
          <w:sz w:val="18"/>
          <w:szCs w:val="18"/>
        </w:rPr>
        <w:t>2.3.3. Le droit à la participation à la gestion de l’entreprise</w:t>
      </w:r>
    </w:p>
    <w:p w14:paraId="1D589044" w14:textId="77777777" w:rsidR="00DF4DE6" w:rsidRDefault="001B2AC3" w:rsidP="00240AE0">
      <w:pPr>
        <w:spacing w:before="200" w:after="70"/>
        <w:jc w:val="both"/>
      </w:pPr>
      <w:r>
        <w:rPr>
          <w:b/>
          <w:bCs/>
          <w:color w:val="2E5A88"/>
          <w:spacing w:val="24"/>
          <w:sz w:val="17"/>
          <w:szCs w:val="17"/>
        </w:rPr>
        <w:t>RÉFÉRENCES CENTRALES</w:t>
      </w:r>
    </w:p>
    <w:p w14:paraId="69A3390C" w14:textId="77777777" w:rsidR="00DF4DE6" w:rsidRDefault="001B2AC3" w:rsidP="00240AE0">
      <w:pPr>
        <w:pStyle w:val="Paragraphedeliste"/>
        <w:numPr>
          <w:ilvl w:val="0"/>
          <w:numId w:val="2"/>
        </w:numPr>
        <w:spacing w:after="40" w:line="264" w:lineRule="auto"/>
        <w:jc w:val="both"/>
      </w:pPr>
      <w:r>
        <w:rPr>
          <w:color w:val="333333"/>
          <w:sz w:val="18"/>
          <w:szCs w:val="18"/>
        </w:rPr>
        <w:lastRenderedPageBreak/>
        <w:t>Alinéa 5 du Préambule du 27 octobre 1946.</w:t>
      </w:r>
    </w:p>
    <w:p w14:paraId="35D071FA" w14:textId="77777777" w:rsidR="00DF4DE6" w:rsidRDefault="001B2AC3" w:rsidP="00240AE0">
      <w:pPr>
        <w:pStyle w:val="Paragraphedeliste"/>
        <w:numPr>
          <w:ilvl w:val="0"/>
          <w:numId w:val="2"/>
        </w:numPr>
        <w:spacing w:after="40" w:line="264" w:lineRule="auto"/>
        <w:jc w:val="both"/>
      </w:pPr>
      <w:r>
        <w:rPr>
          <w:color w:val="333333"/>
          <w:sz w:val="18"/>
          <w:szCs w:val="18"/>
        </w:rPr>
        <w:t>Article 1er de la Convention no 29 de l’Organisation Internationale du travail (OIT) du 28 juin 1930.</w:t>
      </w:r>
    </w:p>
    <w:p w14:paraId="18B15DE3" w14:textId="77777777" w:rsidR="00DF4DE6" w:rsidRDefault="001B2AC3" w:rsidP="00240AE0">
      <w:pPr>
        <w:pStyle w:val="Paragraphedeliste"/>
        <w:numPr>
          <w:ilvl w:val="0"/>
          <w:numId w:val="2"/>
        </w:numPr>
        <w:spacing w:after="40" w:line="264" w:lineRule="auto"/>
        <w:jc w:val="both"/>
      </w:pPr>
      <w:r>
        <w:rPr>
          <w:color w:val="333333"/>
          <w:sz w:val="18"/>
          <w:szCs w:val="18"/>
        </w:rPr>
        <w:t>CEDH, GC., 11 janvier 2006, Sørensen et Rasmussen c. Danemark, nos 52562/99 et 52620/99.</w:t>
      </w:r>
    </w:p>
    <w:p w14:paraId="676B8DAD"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2007-556 DC, 16 août 2007, Loi sur le dialogue social et la continuité du service public dans les transports terrestres réguliers de voyageurs.</w:t>
      </w:r>
    </w:p>
    <w:p w14:paraId="2427193D" w14:textId="77777777" w:rsidR="00DF4DE6" w:rsidRDefault="001B2AC3" w:rsidP="00240AE0">
      <w:pPr>
        <w:pStyle w:val="Paragraphedeliste"/>
        <w:numPr>
          <w:ilvl w:val="0"/>
          <w:numId w:val="2"/>
        </w:numPr>
        <w:spacing w:after="40" w:line="264" w:lineRule="auto"/>
        <w:jc w:val="both"/>
      </w:pPr>
      <w:r>
        <w:rPr>
          <w:color w:val="333333"/>
          <w:sz w:val="18"/>
          <w:szCs w:val="18"/>
        </w:rPr>
        <w:t>Article L. 1121-1 du Code du travail.</w:t>
      </w:r>
    </w:p>
    <w:p w14:paraId="0B000883" w14:textId="77777777" w:rsidR="00DF4DE6" w:rsidRDefault="001B2AC3" w:rsidP="00240AE0">
      <w:pPr>
        <w:pStyle w:val="Paragraphedeliste"/>
        <w:numPr>
          <w:ilvl w:val="0"/>
          <w:numId w:val="2"/>
        </w:numPr>
        <w:spacing w:after="40" w:line="264" w:lineRule="auto"/>
        <w:jc w:val="both"/>
      </w:pPr>
      <w:r>
        <w:rPr>
          <w:color w:val="333333"/>
          <w:sz w:val="18"/>
          <w:szCs w:val="18"/>
        </w:rPr>
        <w:t>Art. L. 4121-1 du Code du travail.</w:t>
      </w:r>
    </w:p>
    <w:p w14:paraId="1B534AC8" w14:textId="77777777" w:rsidR="00DF4DE6" w:rsidRDefault="001B2AC3" w:rsidP="00240AE0">
      <w:pPr>
        <w:pStyle w:val="Paragraphedeliste"/>
        <w:numPr>
          <w:ilvl w:val="0"/>
          <w:numId w:val="2"/>
        </w:numPr>
        <w:spacing w:after="40" w:line="264" w:lineRule="auto"/>
        <w:jc w:val="both"/>
      </w:pPr>
      <w:r>
        <w:rPr>
          <w:color w:val="333333"/>
          <w:sz w:val="18"/>
          <w:szCs w:val="18"/>
        </w:rPr>
        <w:t xml:space="preserve">Cass. </w:t>
      </w:r>
      <w:proofErr w:type="gramStart"/>
      <w:r>
        <w:rPr>
          <w:color w:val="333333"/>
          <w:sz w:val="18"/>
          <w:szCs w:val="18"/>
        </w:rPr>
        <w:t>soc</w:t>
      </w:r>
      <w:proofErr w:type="gramEnd"/>
      <w:r>
        <w:rPr>
          <w:color w:val="333333"/>
          <w:sz w:val="18"/>
          <w:szCs w:val="18"/>
        </w:rPr>
        <w:t>., 2 octobre 2001, Nikon, no 99-42.942.</w:t>
      </w:r>
    </w:p>
    <w:p w14:paraId="65688F2E" w14:textId="77777777" w:rsidR="00DF4DE6" w:rsidRDefault="00DF4DE6" w:rsidP="00240AE0">
      <w:pPr>
        <w:pBdr>
          <w:top w:val="single" w:sz="6" w:space="0" w:color="C7D2E0"/>
        </w:pBdr>
        <w:spacing w:before="260" w:after="180"/>
        <w:jc w:val="both"/>
      </w:pPr>
    </w:p>
    <w:p w14:paraId="7749BE36"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51  ·</w:t>
      </w:r>
      <w:proofErr w:type="gramEnd"/>
      <w:r>
        <w:rPr>
          <w:b/>
          <w:bCs/>
          <w:color w:val="2E5A88"/>
          <w:sz w:val="22"/>
          <w:szCs w:val="22"/>
        </w:rPr>
        <w:t xml:space="preserve">  </w:t>
      </w:r>
      <w:r>
        <w:rPr>
          <w:rFonts w:ascii="Cambria" w:eastAsia="Cambria" w:hAnsi="Cambria" w:cs="Cambria"/>
          <w:b/>
          <w:bCs/>
          <w:color w:val="1F3864"/>
        </w:rPr>
        <w:t>Le droit au logement</w:t>
      </w:r>
    </w:p>
    <w:p w14:paraId="63130A09" w14:textId="77777777" w:rsidR="00DF4DE6" w:rsidRDefault="001B2AC3" w:rsidP="00240AE0">
      <w:pPr>
        <w:spacing w:after="120"/>
        <w:jc w:val="both"/>
      </w:pPr>
      <w:r>
        <w:rPr>
          <w:i/>
          <w:iCs/>
          <w:color w:val="595959"/>
          <w:sz w:val="17"/>
          <w:szCs w:val="17"/>
        </w:rPr>
        <w:t>Fascicule, p. 518</w:t>
      </w:r>
    </w:p>
    <w:p w14:paraId="6C74F52D" w14:textId="77777777" w:rsidR="00DF4DE6" w:rsidRDefault="001B2AC3" w:rsidP="00240AE0">
      <w:pPr>
        <w:spacing w:before="200" w:after="70"/>
        <w:jc w:val="both"/>
      </w:pPr>
      <w:r>
        <w:rPr>
          <w:b/>
          <w:bCs/>
          <w:color w:val="2E5A88"/>
          <w:spacing w:val="24"/>
          <w:sz w:val="17"/>
          <w:szCs w:val="17"/>
        </w:rPr>
        <w:t>IDÉE DIRECTRICE</w:t>
      </w:r>
    </w:p>
    <w:p w14:paraId="5DEEAD7E" w14:textId="77777777" w:rsidR="00DF4DE6" w:rsidRDefault="001B2AC3" w:rsidP="00240AE0">
      <w:pPr>
        <w:spacing w:after="60" w:line="276" w:lineRule="auto"/>
        <w:jc w:val="both"/>
      </w:pPr>
      <w:r>
        <w:t>Un droit dont la fiche souligne la normativité limitée : fondement d'abord législatif (lois de 1989, 1990, 2007), puis reconnaissance comme objectif à valeur constitutionnelle — et non comme droit subjectif plein. La subjectivisation reste atténuée, dans sa dimension horizontale comme verticale. La fiche se termine sur l'effectivité : accession au logement social et droit au logement opposable.</w:t>
      </w:r>
    </w:p>
    <w:p w14:paraId="28829510" w14:textId="77777777" w:rsidR="00DF4DE6" w:rsidRDefault="001B2AC3" w:rsidP="00240AE0">
      <w:pPr>
        <w:spacing w:before="200" w:after="70"/>
        <w:jc w:val="both"/>
      </w:pPr>
      <w:r>
        <w:rPr>
          <w:b/>
          <w:bCs/>
          <w:color w:val="2E5A88"/>
          <w:spacing w:val="24"/>
          <w:sz w:val="17"/>
          <w:szCs w:val="17"/>
        </w:rPr>
        <w:t>POINTS CLÉS (ENCADRÉ DU FASCICULE)</w:t>
      </w:r>
    </w:p>
    <w:p w14:paraId="349D5BEF" w14:textId="77777777" w:rsidR="00DF4DE6" w:rsidRDefault="001B2AC3" w:rsidP="00240AE0">
      <w:pPr>
        <w:pStyle w:val="Paragraphedeliste"/>
        <w:numPr>
          <w:ilvl w:val="0"/>
          <w:numId w:val="2"/>
        </w:numPr>
        <w:spacing w:after="40" w:line="264" w:lineRule="auto"/>
        <w:jc w:val="both"/>
      </w:pPr>
      <w:r>
        <w:rPr>
          <w:color w:val="1A1A1A"/>
          <w:sz w:val="19"/>
          <w:szCs w:val="19"/>
        </w:rPr>
        <w:t>Fondement législatif du droit au logement.</w:t>
      </w:r>
    </w:p>
    <w:p w14:paraId="13DCA07E" w14:textId="77777777" w:rsidR="00DF4DE6" w:rsidRDefault="001B2AC3" w:rsidP="00240AE0">
      <w:pPr>
        <w:pStyle w:val="Paragraphedeliste"/>
        <w:numPr>
          <w:ilvl w:val="0"/>
          <w:numId w:val="2"/>
        </w:numPr>
        <w:spacing w:after="40" w:line="264" w:lineRule="auto"/>
        <w:jc w:val="both"/>
      </w:pPr>
      <w:r>
        <w:rPr>
          <w:color w:val="1A1A1A"/>
          <w:sz w:val="19"/>
          <w:szCs w:val="19"/>
        </w:rPr>
        <w:t>Droit au logement reconnu comme un objectif à valeur constitutionnelle.</w:t>
      </w:r>
    </w:p>
    <w:p w14:paraId="1205ABE3" w14:textId="77777777" w:rsidR="00DF4DE6" w:rsidRDefault="001B2AC3" w:rsidP="00240AE0">
      <w:pPr>
        <w:pStyle w:val="Paragraphedeliste"/>
        <w:numPr>
          <w:ilvl w:val="0"/>
          <w:numId w:val="2"/>
        </w:numPr>
        <w:spacing w:after="40" w:line="264" w:lineRule="auto"/>
        <w:jc w:val="both"/>
      </w:pPr>
      <w:r>
        <w:rPr>
          <w:color w:val="1A1A1A"/>
          <w:sz w:val="19"/>
          <w:szCs w:val="19"/>
        </w:rPr>
        <w:t>Absence d’uniformité des conceptions du droit au logement.</w:t>
      </w:r>
    </w:p>
    <w:p w14:paraId="7E9FDA16" w14:textId="77777777" w:rsidR="00DF4DE6" w:rsidRDefault="001B2AC3" w:rsidP="00240AE0">
      <w:pPr>
        <w:pStyle w:val="Paragraphedeliste"/>
        <w:numPr>
          <w:ilvl w:val="0"/>
          <w:numId w:val="2"/>
        </w:numPr>
        <w:spacing w:after="40" w:line="264" w:lineRule="auto"/>
        <w:jc w:val="both"/>
      </w:pPr>
      <w:r>
        <w:rPr>
          <w:color w:val="1A1A1A"/>
          <w:sz w:val="19"/>
          <w:szCs w:val="19"/>
        </w:rPr>
        <w:t>Droit au logement dépendant des politiques sociales.</w:t>
      </w:r>
    </w:p>
    <w:p w14:paraId="557E67CA" w14:textId="77777777" w:rsidR="00DF4DE6" w:rsidRDefault="001B2AC3" w:rsidP="00240AE0">
      <w:pPr>
        <w:spacing w:before="200" w:after="70"/>
        <w:jc w:val="both"/>
      </w:pPr>
      <w:r>
        <w:rPr>
          <w:b/>
          <w:bCs/>
          <w:color w:val="2E5A88"/>
          <w:spacing w:val="24"/>
          <w:sz w:val="17"/>
          <w:szCs w:val="17"/>
        </w:rPr>
        <w:t>PLAN DE LA FICHE</w:t>
      </w:r>
    </w:p>
    <w:p w14:paraId="6D609C80" w14:textId="77777777" w:rsidR="00DF4DE6" w:rsidRDefault="001B2AC3" w:rsidP="00240AE0">
      <w:pPr>
        <w:spacing w:after="20" w:line="250" w:lineRule="auto"/>
        <w:ind w:left="240"/>
        <w:jc w:val="both"/>
      </w:pPr>
      <w:r>
        <w:rPr>
          <w:b/>
          <w:bCs/>
          <w:color w:val="1F3864"/>
          <w:sz w:val="19"/>
          <w:szCs w:val="19"/>
        </w:rPr>
        <w:t>1. Les sources du droit au logement</w:t>
      </w:r>
    </w:p>
    <w:p w14:paraId="2E60DED3" w14:textId="77777777" w:rsidR="00DF4DE6" w:rsidRDefault="001B2AC3" w:rsidP="00240AE0">
      <w:pPr>
        <w:spacing w:after="20" w:line="250" w:lineRule="auto"/>
        <w:ind w:left="500"/>
        <w:jc w:val="both"/>
      </w:pPr>
      <w:r>
        <w:rPr>
          <w:color w:val="333333"/>
          <w:sz w:val="18"/>
          <w:szCs w:val="18"/>
        </w:rPr>
        <w:t>1.1. Les sources externes du droit au logement</w:t>
      </w:r>
    </w:p>
    <w:p w14:paraId="555115F3" w14:textId="77777777" w:rsidR="00DF4DE6" w:rsidRDefault="001B2AC3" w:rsidP="00240AE0">
      <w:pPr>
        <w:spacing w:after="20" w:line="250" w:lineRule="auto"/>
        <w:ind w:left="500"/>
        <w:jc w:val="both"/>
      </w:pPr>
      <w:r>
        <w:rPr>
          <w:color w:val="333333"/>
          <w:sz w:val="18"/>
          <w:szCs w:val="18"/>
        </w:rPr>
        <w:t>1.2. Les sources internes du droit du logement</w:t>
      </w:r>
    </w:p>
    <w:p w14:paraId="22C3E831" w14:textId="77777777" w:rsidR="00DF4DE6" w:rsidRDefault="001B2AC3" w:rsidP="00240AE0">
      <w:pPr>
        <w:spacing w:after="20" w:line="250" w:lineRule="auto"/>
        <w:ind w:left="760"/>
        <w:jc w:val="both"/>
      </w:pPr>
      <w:r>
        <w:rPr>
          <w:color w:val="595959"/>
          <w:sz w:val="18"/>
          <w:szCs w:val="18"/>
        </w:rPr>
        <w:t>1.2.1. Le fondement législatif du droit au logement</w:t>
      </w:r>
    </w:p>
    <w:p w14:paraId="50AF5C44" w14:textId="77777777" w:rsidR="00DF4DE6" w:rsidRDefault="001B2AC3" w:rsidP="00240AE0">
      <w:pPr>
        <w:spacing w:after="20" w:line="250" w:lineRule="auto"/>
        <w:ind w:left="760"/>
        <w:jc w:val="both"/>
      </w:pPr>
      <w:r>
        <w:rPr>
          <w:color w:val="595959"/>
          <w:sz w:val="18"/>
          <w:szCs w:val="18"/>
        </w:rPr>
        <w:t>1.2.2. L’affirmation du droit au logement comme objectif à valeur constitutionnelle</w:t>
      </w:r>
    </w:p>
    <w:p w14:paraId="72738CF1" w14:textId="77777777" w:rsidR="00DF4DE6" w:rsidRDefault="001B2AC3" w:rsidP="00240AE0">
      <w:pPr>
        <w:spacing w:after="20" w:line="250" w:lineRule="auto"/>
        <w:ind w:left="240"/>
        <w:jc w:val="both"/>
      </w:pPr>
      <w:r>
        <w:rPr>
          <w:b/>
          <w:bCs/>
          <w:color w:val="1F3864"/>
          <w:sz w:val="19"/>
          <w:szCs w:val="19"/>
        </w:rPr>
        <w:t>2. La subjectivisation atténuée du droit au logement</w:t>
      </w:r>
    </w:p>
    <w:p w14:paraId="55F2FD80" w14:textId="77777777" w:rsidR="00DF4DE6" w:rsidRDefault="001B2AC3" w:rsidP="00240AE0">
      <w:pPr>
        <w:spacing w:after="20" w:line="250" w:lineRule="auto"/>
        <w:ind w:left="500"/>
        <w:jc w:val="both"/>
      </w:pPr>
      <w:r>
        <w:rPr>
          <w:color w:val="333333"/>
          <w:sz w:val="18"/>
          <w:szCs w:val="18"/>
        </w:rPr>
        <w:t>2.1. La dimension horizontale du droit au logement</w:t>
      </w:r>
    </w:p>
    <w:p w14:paraId="65F3EC64" w14:textId="77777777" w:rsidR="00DF4DE6" w:rsidRDefault="001B2AC3" w:rsidP="00240AE0">
      <w:pPr>
        <w:spacing w:after="20" w:line="250" w:lineRule="auto"/>
        <w:ind w:left="500"/>
        <w:jc w:val="both"/>
      </w:pPr>
      <w:r>
        <w:rPr>
          <w:color w:val="333333"/>
          <w:sz w:val="18"/>
          <w:szCs w:val="18"/>
        </w:rPr>
        <w:t>2.2. La dimension verticale du droit au logement</w:t>
      </w:r>
    </w:p>
    <w:p w14:paraId="59C0B0D0" w14:textId="77777777" w:rsidR="00DF4DE6" w:rsidRDefault="001B2AC3" w:rsidP="00240AE0">
      <w:pPr>
        <w:spacing w:after="20" w:line="250" w:lineRule="auto"/>
        <w:ind w:left="240"/>
        <w:jc w:val="both"/>
      </w:pPr>
      <w:r>
        <w:rPr>
          <w:b/>
          <w:bCs/>
          <w:color w:val="1F3864"/>
          <w:sz w:val="19"/>
          <w:szCs w:val="19"/>
        </w:rPr>
        <w:t>3. L’influence des politiques sociales sur l’effectivité du droit au logement</w:t>
      </w:r>
    </w:p>
    <w:p w14:paraId="504BF866" w14:textId="77777777" w:rsidR="00DF4DE6" w:rsidRDefault="001B2AC3" w:rsidP="00240AE0">
      <w:pPr>
        <w:spacing w:after="20" w:line="250" w:lineRule="auto"/>
        <w:ind w:left="500"/>
        <w:jc w:val="both"/>
      </w:pPr>
      <w:r>
        <w:rPr>
          <w:color w:val="333333"/>
          <w:sz w:val="18"/>
          <w:szCs w:val="18"/>
        </w:rPr>
        <w:t>3.1. L’accession au logement social</w:t>
      </w:r>
    </w:p>
    <w:p w14:paraId="0D853CEC" w14:textId="77777777" w:rsidR="00DF4DE6" w:rsidRDefault="001B2AC3" w:rsidP="00240AE0">
      <w:pPr>
        <w:spacing w:after="20" w:line="250" w:lineRule="auto"/>
        <w:ind w:left="500"/>
        <w:jc w:val="both"/>
      </w:pPr>
      <w:r>
        <w:rPr>
          <w:color w:val="333333"/>
          <w:sz w:val="18"/>
          <w:szCs w:val="18"/>
        </w:rPr>
        <w:t>3.2. Le droit au logement opposable</w:t>
      </w:r>
    </w:p>
    <w:p w14:paraId="4B7ED15F" w14:textId="77777777" w:rsidR="00DF4DE6" w:rsidRDefault="001B2AC3" w:rsidP="00240AE0">
      <w:pPr>
        <w:spacing w:before="200" w:after="70"/>
        <w:jc w:val="both"/>
      </w:pPr>
      <w:r>
        <w:rPr>
          <w:b/>
          <w:bCs/>
          <w:color w:val="2E5A88"/>
          <w:spacing w:val="24"/>
          <w:sz w:val="17"/>
          <w:szCs w:val="17"/>
        </w:rPr>
        <w:t>RÉFÉRENCES CENTRALES</w:t>
      </w:r>
    </w:p>
    <w:p w14:paraId="5B3306B9" w14:textId="77777777" w:rsidR="00DF4DE6" w:rsidRDefault="001B2AC3" w:rsidP="00240AE0">
      <w:pPr>
        <w:pStyle w:val="Paragraphedeliste"/>
        <w:numPr>
          <w:ilvl w:val="0"/>
          <w:numId w:val="2"/>
        </w:numPr>
        <w:spacing w:after="40" w:line="264" w:lineRule="auto"/>
        <w:jc w:val="both"/>
      </w:pPr>
      <w:r>
        <w:rPr>
          <w:color w:val="333333"/>
          <w:sz w:val="18"/>
          <w:szCs w:val="18"/>
        </w:rPr>
        <w:t>Loi no 89-462 du 6 juillet 1989 tendant à améliorer les rapports locatifs et portant modification de la loi no 86-1290 du 23 décembre 1986.</w:t>
      </w:r>
    </w:p>
    <w:p w14:paraId="4F95BF8C" w14:textId="77777777" w:rsidR="00DF4DE6" w:rsidRDefault="001B2AC3" w:rsidP="00240AE0">
      <w:pPr>
        <w:pStyle w:val="Paragraphedeliste"/>
        <w:numPr>
          <w:ilvl w:val="0"/>
          <w:numId w:val="2"/>
        </w:numPr>
        <w:spacing w:after="40" w:line="264" w:lineRule="auto"/>
        <w:jc w:val="both"/>
      </w:pPr>
      <w:r>
        <w:rPr>
          <w:color w:val="333333"/>
          <w:sz w:val="18"/>
          <w:szCs w:val="18"/>
        </w:rPr>
        <w:t>Loi no 90-449 du 31 mars 1990 visant la mise en œuvre du droit au logement.</w:t>
      </w:r>
    </w:p>
    <w:p w14:paraId="3EE23D9E" w14:textId="77777777" w:rsidR="00DF4DE6" w:rsidRDefault="001B2AC3" w:rsidP="00240AE0">
      <w:pPr>
        <w:pStyle w:val="Paragraphedeliste"/>
        <w:numPr>
          <w:ilvl w:val="0"/>
          <w:numId w:val="2"/>
        </w:numPr>
        <w:spacing w:after="40" w:line="264" w:lineRule="auto"/>
        <w:jc w:val="both"/>
      </w:pPr>
      <w:r>
        <w:rPr>
          <w:color w:val="333333"/>
          <w:sz w:val="18"/>
          <w:szCs w:val="18"/>
        </w:rPr>
        <w:t>Loi no 2007-290 du 5 mars 2007 instituant le droit au logement opposable et portant diverses mesures en faveur de la cohésion sociale.</w:t>
      </w:r>
    </w:p>
    <w:p w14:paraId="0862B57C"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90-274 DC, 29 mai 1990, Loi visant à la mise en œuvre du droit au logement.</w:t>
      </w:r>
    </w:p>
    <w:p w14:paraId="4DD91CC7"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19 janvier 1995, déc. no 359 DC</w:t>
      </w:r>
    </w:p>
    <w:p w14:paraId="1D31EA1E" w14:textId="77777777" w:rsidR="00DF4DE6" w:rsidRDefault="001B2AC3" w:rsidP="00240AE0">
      <w:pPr>
        <w:pStyle w:val="Paragraphedeliste"/>
        <w:numPr>
          <w:ilvl w:val="0"/>
          <w:numId w:val="2"/>
        </w:numPr>
        <w:spacing w:after="40" w:line="264" w:lineRule="auto"/>
        <w:jc w:val="both"/>
      </w:pPr>
      <w:r>
        <w:rPr>
          <w:color w:val="333333"/>
          <w:sz w:val="18"/>
          <w:szCs w:val="18"/>
        </w:rPr>
        <w:t>CE, Droit au logement, Droit du logement, Rapport public 2009, La Documentation française, coll. « Rapports officiels », 2009.</w:t>
      </w:r>
    </w:p>
    <w:p w14:paraId="1EEF42FD" w14:textId="77777777" w:rsidR="00DF4DE6" w:rsidRDefault="00DF4DE6" w:rsidP="00240AE0">
      <w:pPr>
        <w:pBdr>
          <w:top w:val="single" w:sz="6" w:space="0" w:color="C7D2E0"/>
        </w:pBdr>
        <w:spacing w:before="260" w:after="180"/>
        <w:jc w:val="both"/>
      </w:pPr>
    </w:p>
    <w:p w14:paraId="5BE99F54"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52  ·</w:t>
      </w:r>
      <w:proofErr w:type="gramEnd"/>
      <w:r>
        <w:rPr>
          <w:b/>
          <w:bCs/>
          <w:color w:val="2E5A88"/>
          <w:sz w:val="22"/>
          <w:szCs w:val="22"/>
        </w:rPr>
        <w:t xml:space="preserve">  </w:t>
      </w:r>
      <w:r>
        <w:rPr>
          <w:rFonts w:ascii="Cambria" w:eastAsia="Cambria" w:hAnsi="Cambria" w:cs="Cambria"/>
          <w:b/>
          <w:bCs/>
          <w:color w:val="1F3864"/>
        </w:rPr>
        <w:t>Le droit à la culture</w:t>
      </w:r>
    </w:p>
    <w:p w14:paraId="2C9234EE" w14:textId="77777777" w:rsidR="00DF4DE6" w:rsidRDefault="001B2AC3" w:rsidP="00240AE0">
      <w:pPr>
        <w:spacing w:after="120"/>
        <w:jc w:val="both"/>
      </w:pPr>
      <w:r>
        <w:rPr>
          <w:i/>
          <w:iCs/>
          <w:color w:val="595959"/>
          <w:sz w:val="17"/>
          <w:szCs w:val="17"/>
        </w:rPr>
        <w:t>Fascicule, p. 526</w:t>
      </w:r>
    </w:p>
    <w:p w14:paraId="00055905" w14:textId="77777777" w:rsidR="00DF4DE6" w:rsidRDefault="001B2AC3" w:rsidP="00240AE0">
      <w:pPr>
        <w:spacing w:before="200" w:after="70"/>
        <w:jc w:val="both"/>
      </w:pPr>
      <w:r>
        <w:rPr>
          <w:b/>
          <w:bCs/>
          <w:color w:val="2E5A88"/>
          <w:spacing w:val="24"/>
          <w:sz w:val="17"/>
          <w:szCs w:val="17"/>
        </w:rPr>
        <w:lastRenderedPageBreak/>
        <w:t>IDÉE DIRECTRICE</w:t>
      </w:r>
    </w:p>
    <w:p w14:paraId="6834BE06" w14:textId="77777777" w:rsidR="00DF4DE6" w:rsidRDefault="001B2AC3" w:rsidP="00240AE0">
      <w:pPr>
        <w:spacing w:after="60" w:line="276" w:lineRule="auto"/>
        <w:jc w:val="both"/>
      </w:pPr>
      <w:r>
        <w:t>Distinction centrale : droit À la culture (droit subjectif d'accès) et droit DE la culture (action publique et politiques culturelles), les deux pouvant s'opposer frontalement en contentieux. La fiche insiste sur la faible normativité du droit à la culture et ses tensions avec la propriété intellectuelle et le droit de l'Union, puis sur la fondamentalisation des droits culturels sur la scène internationale : culture comme identité et mode de vie, patrimoine immatériel, numérique.</w:t>
      </w:r>
    </w:p>
    <w:p w14:paraId="4A6AE8A3" w14:textId="77777777" w:rsidR="00DF4DE6" w:rsidRDefault="001B2AC3" w:rsidP="00240AE0">
      <w:pPr>
        <w:spacing w:before="200" w:after="70"/>
        <w:jc w:val="both"/>
      </w:pPr>
      <w:r>
        <w:rPr>
          <w:b/>
          <w:bCs/>
          <w:color w:val="2E5A88"/>
          <w:spacing w:val="24"/>
          <w:sz w:val="17"/>
          <w:szCs w:val="17"/>
        </w:rPr>
        <w:t>POINTS CLÉS (ENCADRÉ DU FASCICULE)</w:t>
      </w:r>
    </w:p>
    <w:p w14:paraId="026B919B" w14:textId="77777777" w:rsidR="00DF4DE6" w:rsidRDefault="001B2AC3" w:rsidP="00240AE0">
      <w:pPr>
        <w:pStyle w:val="Paragraphedeliste"/>
        <w:numPr>
          <w:ilvl w:val="0"/>
          <w:numId w:val="2"/>
        </w:numPr>
        <w:spacing w:after="40" w:line="264" w:lineRule="auto"/>
        <w:jc w:val="both"/>
      </w:pPr>
      <w:r>
        <w:rPr>
          <w:color w:val="1A1A1A"/>
          <w:sz w:val="19"/>
          <w:szCs w:val="19"/>
        </w:rPr>
        <w:t>Droit de la culture / droit à la culture.</w:t>
      </w:r>
    </w:p>
    <w:p w14:paraId="73BD995C" w14:textId="77777777" w:rsidR="00DF4DE6" w:rsidRDefault="001B2AC3" w:rsidP="00240AE0">
      <w:pPr>
        <w:pStyle w:val="Paragraphedeliste"/>
        <w:numPr>
          <w:ilvl w:val="0"/>
          <w:numId w:val="2"/>
        </w:numPr>
        <w:spacing w:after="40" w:line="264" w:lineRule="auto"/>
        <w:jc w:val="both"/>
      </w:pPr>
      <w:r>
        <w:rPr>
          <w:color w:val="1A1A1A"/>
          <w:sz w:val="19"/>
          <w:szCs w:val="19"/>
        </w:rPr>
        <w:t>Reconnaissance symbolique.</w:t>
      </w:r>
    </w:p>
    <w:p w14:paraId="4BB14527" w14:textId="77777777" w:rsidR="00DF4DE6" w:rsidRDefault="001B2AC3" w:rsidP="00240AE0">
      <w:pPr>
        <w:pStyle w:val="Paragraphedeliste"/>
        <w:numPr>
          <w:ilvl w:val="0"/>
          <w:numId w:val="2"/>
        </w:numPr>
        <w:spacing w:after="40" w:line="264" w:lineRule="auto"/>
        <w:jc w:val="both"/>
      </w:pPr>
      <w:r>
        <w:rPr>
          <w:color w:val="1A1A1A"/>
          <w:sz w:val="19"/>
          <w:szCs w:val="19"/>
        </w:rPr>
        <w:t>Faible portée juridique.</w:t>
      </w:r>
    </w:p>
    <w:p w14:paraId="6AB6B4C5" w14:textId="77777777" w:rsidR="00DF4DE6" w:rsidRDefault="001B2AC3" w:rsidP="00240AE0">
      <w:pPr>
        <w:pStyle w:val="Paragraphedeliste"/>
        <w:numPr>
          <w:ilvl w:val="0"/>
          <w:numId w:val="2"/>
        </w:numPr>
        <w:spacing w:after="40" w:line="264" w:lineRule="auto"/>
        <w:jc w:val="both"/>
      </w:pPr>
      <w:r>
        <w:rPr>
          <w:color w:val="1A1A1A"/>
          <w:sz w:val="19"/>
          <w:szCs w:val="19"/>
        </w:rPr>
        <w:t>Conflits entre droit à la culture et autres droits.</w:t>
      </w:r>
    </w:p>
    <w:p w14:paraId="7E41CDF8" w14:textId="77777777" w:rsidR="00DF4DE6" w:rsidRDefault="001B2AC3" w:rsidP="00240AE0">
      <w:pPr>
        <w:pStyle w:val="Paragraphedeliste"/>
        <w:numPr>
          <w:ilvl w:val="0"/>
          <w:numId w:val="2"/>
        </w:numPr>
        <w:spacing w:after="40" w:line="264" w:lineRule="auto"/>
        <w:jc w:val="both"/>
      </w:pPr>
      <w:r>
        <w:rPr>
          <w:color w:val="1A1A1A"/>
          <w:sz w:val="19"/>
          <w:szCs w:val="19"/>
        </w:rPr>
        <w:t>Tensions : propriété intellectuelle, droit de l’Union européenne.</w:t>
      </w:r>
    </w:p>
    <w:p w14:paraId="3D878C38" w14:textId="77777777" w:rsidR="00DF4DE6" w:rsidRDefault="001B2AC3" w:rsidP="00240AE0">
      <w:pPr>
        <w:pStyle w:val="Paragraphedeliste"/>
        <w:numPr>
          <w:ilvl w:val="0"/>
          <w:numId w:val="2"/>
        </w:numPr>
        <w:spacing w:after="40" w:line="264" w:lineRule="auto"/>
        <w:jc w:val="both"/>
      </w:pPr>
      <w:r>
        <w:rPr>
          <w:color w:val="1A1A1A"/>
          <w:sz w:val="19"/>
          <w:szCs w:val="19"/>
        </w:rPr>
        <w:t>Vers une fondamentalisation des droits culturels.</w:t>
      </w:r>
    </w:p>
    <w:p w14:paraId="141B1431" w14:textId="77777777" w:rsidR="00DF4DE6" w:rsidRDefault="001B2AC3" w:rsidP="00240AE0">
      <w:pPr>
        <w:pStyle w:val="Paragraphedeliste"/>
        <w:numPr>
          <w:ilvl w:val="0"/>
          <w:numId w:val="2"/>
        </w:numPr>
        <w:spacing w:after="40" w:line="264" w:lineRule="auto"/>
        <w:jc w:val="both"/>
      </w:pPr>
      <w:r>
        <w:rPr>
          <w:color w:val="1A1A1A"/>
          <w:sz w:val="19"/>
          <w:szCs w:val="19"/>
        </w:rPr>
        <w:t>Reconnaissance internationale des droits culturels.</w:t>
      </w:r>
    </w:p>
    <w:p w14:paraId="6DE25917" w14:textId="77777777" w:rsidR="00DF4DE6" w:rsidRDefault="001B2AC3" w:rsidP="00240AE0">
      <w:pPr>
        <w:pStyle w:val="Paragraphedeliste"/>
        <w:numPr>
          <w:ilvl w:val="0"/>
          <w:numId w:val="2"/>
        </w:numPr>
        <w:spacing w:after="40" w:line="264" w:lineRule="auto"/>
        <w:jc w:val="both"/>
      </w:pPr>
      <w:r>
        <w:rPr>
          <w:color w:val="1A1A1A"/>
          <w:sz w:val="19"/>
          <w:szCs w:val="19"/>
        </w:rPr>
        <w:t>Approche anthropologique et dynamique.</w:t>
      </w:r>
    </w:p>
    <w:p w14:paraId="1F80B787" w14:textId="77777777" w:rsidR="00DF4DE6" w:rsidRDefault="001B2AC3" w:rsidP="00240AE0">
      <w:pPr>
        <w:pStyle w:val="Paragraphedeliste"/>
        <w:numPr>
          <w:ilvl w:val="0"/>
          <w:numId w:val="2"/>
        </w:numPr>
        <w:spacing w:after="40" w:line="264" w:lineRule="auto"/>
        <w:jc w:val="both"/>
      </w:pPr>
      <w:r>
        <w:rPr>
          <w:color w:val="1A1A1A"/>
          <w:sz w:val="19"/>
          <w:szCs w:val="19"/>
        </w:rPr>
        <w:t>Patrimoine immatériel et essor du numérique. Le droit à la culture ne doit pas être confondu avec le droit de la culture, lequel s’inscrit dans le cadre de l’action publique et la poursuite de politiques culturelles.</w:t>
      </w:r>
    </w:p>
    <w:p w14:paraId="280D6660" w14:textId="77777777" w:rsidR="00DF4DE6" w:rsidRDefault="001B2AC3" w:rsidP="00240AE0">
      <w:pPr>
        <w:spacing w:before="200" w:after="70"/>
        <w:jc w:val="both"/>
      </w:pPr>
      <w:r>
        <w:rPr>
          <w:b/>
          <w:bCs/>
          <w:color w:val="2E5A88"/>
          <w:spacing w:val="24"/>
          <w:sz w:val="17"/>
          <w:szCs w:val="17"/>
        </w:rPr>
        <w:t>PLAN DE LA FICHE</w:t>
      </w:r>
    </w:p>
    <w:p w14:paraId="251D2A6C" w14:textId="77777777" w:rsidR="00DF4DE6" w:rsidRDefault="001B2AC3" w:rsidP="00240AE0">
      <w:pPr>
        <w:spacing w:after="20" w:line="250" w:lineRule="auto"/>
        <w:ind w:left="240"/>
        <w:jc w:val="both"/>
      </w:pPr>
      <w:r>
        <w:rPr>
          <w:b/>
          <w:bCs/>
          <w:color w:val="1F3864"/>
          <w:sz w:val="19"/>
          <w:szCs w:val="19"/>
        </w:rPr>
        <w:t>1. Un droit en tension avec d’autres droits constitutionnels</w:t>
      </w:r>
    </w:p>
    <w:p w14:paraId="6AF137E4" w14:textId="77777777" w:rsidR="00DF4DE6" w:rsidRDefault="001B2AC3" w:rsidP="00240AE0">
      <w:pPr>
        <w:spacing w:after="20" w:line="250" w:lineRule="auto"/>
        <w:ind w:left="240"/>
        <w:jc w:val="both"/>
      </w:pPr>
      <w:r>
        <w:rPr>
          <w:b/>
          <w:bCs/>
          <w:color w:val="1F3864"/>
          <w:sz w:val="19"/>
          <w:szCs w:val="19"/>
        </w:rPr>
        <w:t>2. La faible normativité du droit à la culture</w:t>
      </w:r>
    </w:p>
    <w:p w14:paraId="42FA0AAF" w14:textId="77777777" w:rsidR="00DF4DE6" w:rsidRDefault="001B2AC3" w:rsidP="00240AE0">
      <w:pPr>
        <w:spacing w:after="20" w:line="250" w:lineRule="auto"/>
        <w:ind w:left="240"/>
        <w:jc w:val="both"/>
      </w:pPr>
      <w:r>
        <w:rPr>
          <w:b/>
          <w:bCs/>
          <w:color w:val="1F3864"/>
          <w:sz w:val="19"/>
          <w:szCs w:val="19"/>
        </w:rPr>
        <w:t>3. Vers un droit subjectif à la culture</w:t>
      </w:r>
    </w:p>
    <w:p w14:paraId="0D78A1C9" w14:textId="77777777" w:rsidR="00DF4DE6" w:rsidRDefault="001B2AC3" w:rsidP="00240AE0">
      <w:pPr>
        <w:spacing w:after="20" w:line="250" w:lineRule="auto"/>
        <w:ind w:left="240"/>
        <w:jc w:val="both"/>
      </w:pPr>
      <w:r>
        <w:rPr>
          <w:b/>
          <w:bCs/>
          <w:color w:val="1F3864"/>
          <w:sz w:val="19"/>
          <w:szCs w:val="19"/>
        </w:rPr>
        <w:t>4. Les enjeux de l’accès à la culture : démocratisation de la culture</w:t>
      </w:r>
    </w:p>
    <w:p w14:paraId="67E35710" w14:textId="77777777" w:rsidR="00DF4DE6" w:rsidRDefault="001B2AC3" w:rsidP="00240AE0">
      <w:pPr>
        <w:spacing w:after="20" w:line="250" w:lineRule="auto"/>
        <w:ind w:left="240"/>
        <w:jc w:val="both"/>
      </w:pPr>
      <w:r>
        <w:rPr>
          <w:b/>
          <w:bCs/>
          <w:color w:val="1F3864"/>
          <w:sz w:val="19"/>
          <w:szCs w:val="19"/>
        </w:rPr>
        <w:t>3. La fondamentalisation des droits culturels sur la scène internationale</w:t>
      </w:r>
    </w:p>
    <w:p w14:paraId="178FDFC0" w14:textId="77777777" w:rsidR="00DF4DE6" w:rsidRDefault="001B2AC3" w:rsidP="00240AE0">
      <w:pPr>
        <w:spacing w:after="20" w:line="250" w:lineRule="auto"/>
        <w:ind w:left="500"/>
        <w:jc w:val="both"/>
      </w:pPr>
      <w:r>
        <w:rPr>
          <w:color w:val="333333"/>
          <w:sz w:val="18"/>
          <w:szCs w:val="18"/>
        </w:rPr>
        <w:t>3.1. L’émergence des droits fondamentaux culturels ?</w:t>
      </w:r>
    </w:p>
    <w:p w14:paraId="0587818D" w14:textId="77777777" w:rsidR="00DF4DE6" w:rsidRDefault="001B2AC3" w:rsidP="00240AE0">
      <w:pPr>
        <w:spacing w:after="20" w:line="250" w:lineRule="auto"/>
        <w:ind w:left="500"/>
        <w:jc w:val="both"/>
      </w:pPr>
      <w:r>
        <w:rPr>
          <w:color w:val="333333"/>
          <w:sz w:val="18"/>
          <w:szCs w:val="18"/>
        </w:rPr>
        <w:t>3.2. La culture comme identité et mode de vie</w:t>
      </w:r>
    </w:p>
    <w:p w14:paraId="3A81A590" w14:textId="77777777" w:rsidR="00DF4DE6" w:rsidRDefault="001B2AC3" w:rsidP="00240AE0">
      <w:pPr>
        <w:spacing w:after="20" w:line="250" w:lineRule="auto"/>
        <w:ind w:left="500"/>
        <w:jc w:val="both"/>
      </w:pPr>
      <w:r>
        <w:rPr>
          <w:color w:val="333333"/>
          <w:sz w:val="18"/>
          <w:szCs w:val="18"/>
        </w:rPr>
        <w:t>3.3. Patrimoine immatériel et essor du numérique</w:t>
      </w:r>
    </w:p>
    <w:p w14:paraId="1AB946A7" w14:textId="77777777" w:rsidR="00DF4DE6" w:rsidRDefault="001B2AC3" w:rsidP="00240AE0">
      <w:pPr>
        <w:spacing w:before="200" w:after="70"/>
        <w:jc w:val="both"/>
      </w:pPr>
      <w:r>
        <w:rPr>
          <w:b/>
          <w:bCs/>
          <w:color w:val="2E5A88"/>
          <w:spacing w:val="24"/>
          <w:sz w:val="17"/>
          <w:szCs w:val="17"/>
        </w:rPr>
        <w:t>RÉFÉRENCES CENTRALES</w:t>
      </w:r>
    </w:p>
    <w:p w14:paraId="50D83721" w14:textId="77777777" w:rsidR="00DF4DE6" w:rsidRDefault="001B2AC3" w:rsidP="00240AE0">
      <w:pPr>
        <w:pStyle w:val="Paragraphedeliste"/>
        <w:numPr>
          <w:ilvl w:val="0"/>
          <w:numId w:val="2"/>
        </w:numPr>
        <w:spacing w:after="40" w:line="264" w:lineRule="auto"/>
        <w:jc w:val="both"/>
      </w:pPr>
      <w:r>
        <w:rPr>
          <w:color w:val="333333"/>
          <w:sz w:val="18"/>
          <w:szCs w:val="18"/>
        </w:rPr>
        <w:t>Préambule de la Constitution du 27 octobre 1946.</w:t>
      </w:r>
    </w:p>
    <w:p w14:paraId="11C7CB40"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xml:space="preserve">., déc. no 2011-207 QPC, 16 déc. 2011, Société GRANDE BRASSERIE PATRIE SCHUTZENBERGEN </w:t>
      </w:r>
      <w:r>
        <w:rPr>
          <w:color w:val="333333"/>
          <w:sz w:val="18"/>
          <w:szCs w:val="18"/>
        </w:rPr>
        <w:t>Inscription au titre des monuments historiques</w:t>
      </w:r>
      <w:r>
        <w:rPr>
          <w:color w:val="333333"/>
          <w:sz w:val="18"/>
          <w:szCs w:val="18"/>
        </w:rPr>
        <w:t>.</w:t>
      </w:r>
    </w:p>
    <w:p w14:paraId="38CD1D0F"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xml:space="preserve">., déc. no 2013-370 QPC du 28 février 2014, Marc S. et autre </w:t>
      </w:r>
      <w:r>
        <w:rPr>
          <w:color w:val="333333"/>
          <w:sz w:val="18"/>
          <w:szCs w:val="18"/>
        </w:rPr>
        <w:t> Exploitation numérique des livres indisponibles</w:t>
      </w:r>
      <w:r>
        <w:rPr>
          <w:color w:val="333333"/>
          <w:sz w:val="18"/>
          <w:szCs w:val="18"/>
        </w:rPr>
        <w:t>.</w:t>
      </w:r>
    </w:p>
    <w:p w14:paraId="2FE094E1"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xml:space="preserve">., déc. no 2017-655 QPC du 15 septembre 2017, M. François G. </w:t>
      </w:r>
      <w:r>
        <w:rPr>
          <w:color w:val="333333"/>
          <w:sz w:val="18"/>
          <w:szCs w:val="18"/>
        </w:rPr>
        <w:t>Accès aux archives publiques émanant du président de la République, du Premier ministre et des autres membres du Gouvernement</w:t>
      </w:r>
      <w:r>
        <w:rPr>
          <w:color w:val="333333"/>
          <w:sz w:val="18"/>
          <w:szCs w:val="18"/>
        </w:rPr>
        <w:t>.</w:t>
      </w:r>
    </w:p>
    <w:p w14:paraId="55BC39B4" w14:textId="77777777" w:rsidR="00DF4DE6" w:rsidRDefault="001B2AC3" w:rsidP="00240AE0">
      <w:pPr>
        <w:pStyle w:val="Paragraphedeliste"/>
        <w:numPr>
          <w:ilvl w:val="0"/>
          <w:numId w:val="2"/>
        </w:numPr>
        <w:spacing w:after="40" w:line="264" w:lineRule="auto"/>
        <w:jc w:val="both"/>
      </w:pPr>
      <w:r>
        <w:rPr>
          <w:color w:val="333333"/>
          <w:sz w:val="18"/>
          <w:szCs w:val="18"/>
        </w:rPr>
        <w:t>Convention de l’Organisation des Nations unies pour l'éducation, la science et la culture 2003 sur la sauvegarde du patrimoine culturel immatériel.</w:t>
      </w:r>
    </w:p>
    <w:p w14:paraId="30FE908C" w14:textId="77777777" w:rsidR="00DF4DE6" w:rsidRDefault="001B2AC3" w:rsidP="00240AE0">
      <w:pPr>
        <w:pStyle w:val="Paragraphedeliste"/>
        <w:numPr>
          <w:ilvl w:val="0"/>
          <w:numId w:val="2"/>
        </w:numPr>
        <w:spacing w:after="40" w:line="264" w:lineRule="auto"/>
        <w:jc w:val="both"/>
      </w:pPr>
      <w:r>
        <w:rPr>
          <w:color w:val="333333"/>
          <w:sz w:val="18"/>
          <w:szCs w:val="18"/>
        </w:rPr>
        <w:t>Convention de l’Organisation des Nations unies pour l'éducation, la science et la culture de 2005 sur la protection et la promotion de la diversité des expressions culturelles.</w:t>
      </w:r>
    </w:p>
    <w:p w14:paraId="30FC22C0"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Cour européenne des droits de l’homme, 17 février 2015, Guseva c. Bulgarie, </w:t>
      </w:r>
      <w:proofErr w:type="spellStart"/>
      <w:r>
        <w:rPr>
          <w:color w:val="333333"/>
          <w:sz w:val="18"/>
          <w:szCs w:val="18"/>
        </w:rPr>
        <w:t>req</w:t>
      </w:r>
      <w:proofErr w:type="spellEnd"/>
      <w:r>
        <w:rPr>
          <w:color w:val="333333"/>
          <w:sz w:val="18"/>
          <w:szCs w:val="18"/>
        </w:rPr>
        <w:t xml:space="preserve">. </w:t>
      </w:r>
      <w:proofErr w:type="gramStart"/>
      <w:r>
        <w:rPr>
          <w:color w:val="333333"/>
          <w:sz w:val="18"/>
          <w:szCs w:val="18"/>
        </w:rPr>
        <w:t>no</w:t>
      </w:r>
      <w:proofErr w:type="gramEnd"/>
      <w:r>
        <w:rPr>
          <w:color w:val="333333"/>
          <w:sz w:val="18"/>
          <w:szCs w:val="18"/>
        </w:rPr>
        <w:t xml:space="preserve"> 6987/07.</w:t>
      </w:r>
    </w:p>
    <w:p w14:paraId="53CDFC10" w14:textId="77777777" w:rsidR="00DF4DE6" w:rsidRDefault="001B2AC3" w:rsidP="00240AE0">
      <w:pPr>
        <w:pStyle w:val="Paragraphedeliste"/>
        <w:numPr>
          <w:ilvl w:val="0"/>
          <w:numId w:val="2"/>
        </w:numPr>
        <w:spacing w:after="40" w:line="264" w:lineRule="auto"/>
        <w:jc w:val="both"/>
      </w:pPr>
      <w:r>
        <w:rPr>
          <w:color w:val="333333"/>
          <w:sz w:val="18"/>
          <w:szCs w:val="18"/>
        </w:rPr>
        <w:t>CEDH, 11 octobre 2011, Helly et a. c. France, no 28216/09.</w:t>
      </w:r>
    </w:p>
    <w:p w14:paraId="204BC343" w14:textId="77777777" w:rsidR="00DF4DE6" w:rsidRDefault="001B2AC3" w:rsidP="00240AE0">
      <w:pPr>
        <w:pStyle w:val="Paragraphedeliste"/>
        <w:numPr>
          <w:ilvl w:val="0"/>
          <w:numId w:val="2"/>
        </w:numPr>
        <w:spacing w:after="40" w:line="264" w:lineRule="auto"/>
        <w:jc w:val="both"/>
      </w:pPr>
      <w:r>
        <w:rPr>
          <w:color w:val="333333"/>
          <w:sz w:val="18"/>
          <w:szCs w:val="18"/>
        </w:rPr>
        <w:t xml:space="preserve">CJUE, 16 novembre 2016, </w:t>
      </w:r>
      <w:proofErr w:type="spellStart"/>
      <w:r>
        <w:rPr>
          <w:color w:val="333333"/>
          <w:sz w:val="18"/>
          <w:szCs w:val="18"/>
        </w:rPr>
        <w:t>aff.</w:t>
      </w:r>
      <w:proofErr w:type="spellEnd"/>
      <w:r>
        <w:rPr>
          <w:color w:val="333333"/>
          <w:sz w:val="18"/>
          <w:szCs w:val="18"/>
        </w:rPr>
        <w:t xml:space="preserve"> C-301/15.</w:t>
      </w:r>
    </w:p>
    <w:p w14:paraId="158EA5D4" w14:textId="77777777" w:rsidR="00DF4DE6" w:rsidRDefault="001B2AC3" w:rsidP="00240AE0">
      <w:pPr>
        <w:pStyle w:val="Paragraphedeliste"/>
        <w:numPr>
          <w:ilvl w:val="0"/>
          <w:numId w:val="2"/>
        </w:numPr>
        <w:spacing w:after="40" w:line="264" w:lineRule="auto"/>
        <w:jc w:val="both"/>
      </w:pPr>
      <w:r>
        <w:rPr>
          <w:color w:val="333333"/>
          <w:sz w:val="18"/>
          <w:szCs w:val="18"/>
        </w:rPr>
        <w:t>Directive 2001/29 du 22 mai 2001 sur l’harmonisation du droit d’auteur.</w:t>
      </w:r>
    </w:p>
    <w:p w14:paraId="1C7C6A3E" w14:textId="77777777" w:rsidR="00DF4DE6" w:rsidRDefault="00DF4DE6" w:rsidP="00240AE0">
      <w:pPr>
        <w:pBdr>
          <w:top w:val="single" w:sz="6" w:space="0" w:color="C7D2E0"/>
        </w:pBdr>
        <w:spacing w:before="260" w:after="180"/>
        <w:jc w:val="both"/>
      </w:pPr>
    </w:p>
    <w:p w14:paraId="6C049726"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53  ·</w:t>
      </w:r>
      <w:proofErr w:type="gramEnd"/>
      <w:r>
        <w:rPr>
          <w:b/>
          <w:bCs/>
          <w:color w:val="2E5A88"/>
          <w:sz w:val="22"/>
          <w:szCs w:val="22"/>
        </w:rPr>
        <w:t xml:space="preserve">  </w:t>
      </w:r>
      <w:r>
        <w:rPr>
          <w:rFonts w:ascii="Cambria" w:eastAsia="Cambria" w:hAnsi="Cambria" w:cs="Cambria"/>
          <w:b/>
          <w:bCs/>
          <w:color w:val="1F3864"/>
        </w:rPr>
        <w:t>Le droit d’asile</w:t>
      </w:r>
    </w:p>
    <w:p w14:paraId="072789B7" w14:textId="77777777" w:rsidR="00DF4DE6" w:rsidRDefault="001B2AC3" w:rsidP="00240AE0">
      <w:pPr>
        <w:spacing w:after="120"/>
        <w:jc w:val="both"/>
      </w:pPr>
      <w:r>
        <w:rPr>
          <w:i/>
          <w:iCs/>
          <w:color w:val="595959"/>
          <w:sz w:val="17"/>
          <w:szCs w:val="17"/>
        </w:rPr>
        <w:t>Fascicule, p. 536</w:t>
      </w:r>
    </w:p>
    <w:p w14:paraId="12DADD2B" w14:textId="77777777" w:rsidR="00DF4DE6" w:rsidRDefault="001B2AC3" w:rsidP="00240AE0">
      <w:pPr>
        <w:spacing w:before="200" w:after="70"/>
        <w:jc w:val="both"/>
      </w:pPr>
      <w:r>
        <w:rPr>
          <w:b/>
          <w:bCs/>
          <w:color w:val="2E5A88"/>
          <w:spacing w:val="24"/>
          <w:sz w:val="17"/>
          <w:szCs w:val="17"/>
        </w:rPr>
        <w:t>IDÉE DIRECTRICE</w:t>
      </w:r>
    </w:p>
    <w:p w14:paraId="71636A1F" w14:textId="77777777" w:rsidR="00DF4DE6" w:rsidRDefault="001B2AC3" w:rsidP="00240AE0">
      <w:pPr>
        <w:spacing w:after="60" w:line="276" w:lineRule="auto"/>
        <w:jc w:val="both"/>
      </w:pPr>
      <w:r>
        <w:lastRenderedPageBreak/>
        <w:t>Trois fondements à distinguer : asile conventionnel (Genève), protection subsidiaire, asile constitutionnel. Puis les procédures : procédure classique devant l'Office français de protection des réfugiés et apatrides et recours devant la Cour nationale du droit d'asile, procédure accélérée, procédure « Dublin », réexamen. Enfin les garanties, différenciées selon que l'on est demandeur d'asile ou réfugié.</w:t>
      </w:r>
    </w:p>
    <w:p w14:paraId="0DEB2D9D" w14:textId="77777777" w:rsidR="00DF4DE6" w:rsidRDefault="001B2AC3" w:rsidP="00240AE0">
      <w:pPr>
        <w:spacing w:before="200" w:after="70"/>
        <w:jc w:val="both"/>
      </w:pPr>
      <w:r>
        <w:rPr>
          <w:b/>
          <w:bCs/>
          <w:color w:val="2E5A88"/>
          <w:spacing w:val="24"/>
          <w:sz w:val="17"/>
          <w:szCs w:val="17"/>
        </w:rPr>
        <w:t>POINTS CLÉS (ENCADRÉ DU FASCICULE)</w:t>
      </w:r>
    </w:p>
    <w:p w14:paraId="12418760" w14:textId="77777777" w:rsidR="00DF4DE6" w:rsidRDefault="001B2AC3" w:rsidP="00240AE0">
      <w:pPr>
        <w:pStyle w:val="Paragraphedeliste"/>
        <w:numPr>
          <w:ilvl w:val="0"/>
          <w:numId w:val="2"/>
        </w:numPr>
        <w:spacing w:after="40" w:line="264" w:lineRule="auto"/>
        <w:jc w:val="both"/>
      </w:pPr>
      <w:r>
        <w:rPr>
          <w:color w:val="1A1A1A"/>
          <w:sz w:val="19"/>
          <w:szCs w:val="19"/>
        </w:rPr>
        <w:t>Asile conventionnel.</w:t>
      </w:r>
    </w:p>
    <w:p w14:paraId="76F32F36" w14:textId="77777777" w:rsidR="00DF4DE6" w:rsidRDefault="001B2AC3" w:rsidP="00240AE0">
      <w:pPr>
        <w:pStyle w:val="Paragraphedeliste"/>
        <w:numPr>
          <w:ilvl w:val="0"/>
          <w:numId w:val="2"/>
        </w:numPr>
        <w:spacing w:after="40" w:line="264" w:lineRule="auto"/>
        <w:jc w:val="both"/>
      </w:pPr>
      <w:r>
        <w:rPr>
          <w:color w:val="1A1A1A"/>
          <w:sz w:val="19"/>
          <w:szCs w:val="19"/>
        </w:rPr>
        <w:t>Asile constitutionnel.</w:t>
      </w:r>
    </w:p>
    <w:p w14:paraId="6A671371" w14:textId="77777777" w:rsidR="00DF4DE6" w:rsidRDefault="001B2AC3" w:rsidP="00240AE0">
      <w:pPr>
        <w:pStyle w:val="Paragraphedeliste"/>
        <w:numPr>
          <w:ilvl w:val="0"/>
          <w:numId w:val="2"/>
        </w:numPr>
        <w:spacing w:after="40" w:line="264" w:lineRule="auto"/>
        <w:jc w:val="both"/>
      </w:pPr>
      <w:r>
        <w:rPr>
          <w:color w:val="1A1A1A"/>
          <w:sz w:val="19"/>
          <w:szCs w:val="19"/>
        </w:rPr>
        <w:t>Protection subsidiaire.</w:t>
      </w:r>
    </w:p>
    <w:p w14:paraId="0F61B464" w14:textId="77777777" w:rsidR="00DF4DE6" w:rsidRDefault="001B2AC3" w:rsidP="00240AE0">
      <w:pPr>
        <w:pStyle w:val="Paragraphedeliste"/>
        <w:numPr>
          <w:ilvl w:val="0"/>
          <w:numId w:val="2"/>
        </w:numPr>
        <w:spacing w:after="40" w:line="264" w:lineRule="auto"/>
        <w:jc w:val="both"/>
      </w:pPr>
      <w:r>
        <w:rPr>
          <w:color w:val="1A1A1A"/>
          <w:sz w:val="19"/>
          <w:szCs w:val="19"/>
        </w:rPr>
        <w:t>Distinction demandeur d’asile / réfugié.</w:t>
      </w:r>
    </w:p>
    <w:p w14:paraId="325207BE" w14:textId="77777777" w:rsidR="00DF4DE6" w:rsidRDefault="001B2AC3" w:rsidP="00240AE0">
      <w:pPr>
        <w:pStyle w:val="Paragraphedeliste"/>
        <w:numPr>
          <w:ilvl w:val="0"/>
          <w:numId w:val="2"/>
        </w:numPr>
        <w:spacing w:after="40" w:line="264" w:lineRule="auto"/>
        <w:jc w:val="both"/>
      </w:pPr>
      <w:r>
        <w:rPr>
          <w:color w:val="1A1A1A"/>
          <w:sz w:val="19"/>
          <w:szCs w:val="19"/>
        </w:rPr>
        <w:t>Les différentes procédures de demande d’asile.</w:t>
      </w:r>
    </w:p>
    <w:p w14:paraId="0FFFCC55" w14:textId="77777777" w:rsidR="00DF4DE6" w:rsidRDefault="001B2AC3" w:rsidP="00240AE0">
      <w:pPr>
        <w:pStyle w:val="Paragraphedeliste"/>
        <w:numPr>
          <w:ilvl w:val="0"/>
          <w:numId w:val="2"/>
        </w:numPr>
        <w:spacing w:after="40" w:line="264" w:lineRule="auto"/>
        <w:jc w:val="both"/>
      </w:pPr>
      <w:r>
        <w:rPr>
          <w:color w:val="1A1A1A"/>
          <w:sz w:val="19"/>
          <w:szCs w:val="19"/>
        </w:rPr>
        <w:t>Les différentes garanties liées au statut de demandeur d’asile ou de réfugié.</w:t>
      </w:r>
    </w:p>
    <w:p w14:paraId="634E9738" w14:textId="77777777" w:rsidR="00DF4DE6" w:rsidRDefault="001B2AC3" w:rsidP="00240AE0">
      <w:pPr>
        <w:spacing w:before="200" w:after="70"/>
        <w:jc w:val="both"/>
      </w:pPr>
      <w:r>
        <w:rPr>
          <w:b/>
          <w:bCs/>
          <w:color w:val="2E5A88"/>
          <w:spacing w:val="24"/>
          <w:sz w:val="17"/>
          <w:szCs w:val="17"/>
        </w:rPr>
        <w:t>PLAN DE LA FICHE</w:t>
      </w:r>
    </w:p>
    <w:p w14:paraId="590C1DFA" w14:textId="77777777" w:rsidR="00DF4DE6" w:rsidRDefault="001B2AC3" w:rsidP="00240AE0">
      <w:pPr>
        <w:spacing w:after="20" w:line="250" w:lineRule="auto"/>
        <w:ind w:left="240"/>
        <w:jc w:val="both"/>
      </w:pPr>
      <w:r>
        <w:rPr>
          <w:b/>
          <w:bCs/>
          <w:color w:val="1F3864"/>
          <w:sz w:val="19"/>
          <w:szCs w:val="19"/>
        </w:rPr>
        <w:t>1. Définition du droit d’asile</w:t>
      </w:r>
    </w:p>
    <w:p w14:paraId="40E6E978" w14:textId="77777777" w:rsidR="00DF4DE6" w:rsidRDefault="001B2AC3" w:rsidP="00240AE0">
      <w:pPr>
        <w:spacing w:after="20" w:line="250" w:lineRule="auto"/>
        <w:ind w:left="500"/>
        <w:jc w:val="both"/>
      </w:pPr>
      <w:r>
        <w:rPr>
          <w:color w:val="333333"/>
          <w:sz w:val="18"/>
          <w:szCs w:val="18"/>
        </w:rPr>
        <w:t>1.1. L’asile conventionnel</w:t>
      </w:r>
    </w:p>
    <w:p w14:paraId="75977EC7" w14:textId="77777777" w:rsidR="00DF4DE6" w:rsidRDefault="001B2AC3" w:rsidP="00240AE0">
      <w:pPr>
        <w:spacing w:after="20" w:line="250" w:lineRule="auto"/>
        <w:ind w:left="500"/>
        <w:jc w:val="both"/>
      </w:pPr>
      <w:r>
        <w:rPr>
          <w:color w:val="333333"/>
          <w:sz w:val="18"/>
          <w:szCs w:val="18"/>
        </w:rPr>
        <w:t>1.2. La protection subsidiaire</w:t>
      </w:r>
    </w:p>
    <w:p w14:paraId="4FE77E7F" w14:textId="77777777" w:rsidR="00DF4DE6" w:rsidRDefault="001B2AC3" w:rsidP="00240AE0">
      <w:pPr>
        <w:spacing w:after="20" w:line="250" w:lineRule="auto"/>
        <w:ind w:left="500"/>
        <w:jc w:val="both"/>
      </w:pPr>
      <w:r>
        <w:rPr>
          <w:color w:val="333333"/>
          <w:sz w:val="18"/>
          <w:szCs w:val="18"/>
        </w:rPr>
        <w:t>1.3. L’asile constitutionnel</w:t>
      </w:r>
    </w:p>
    <w:p w14:paraId="7EEC9EAE" w14:textId="77777777" w:rsidR="00DF4DE6" w:rsidRDefault="001B2AC3" w:rsidP="00240AE0">
      <w:pPr>
        <w:spacing w:after="20" w:line="250" w:lineRule="auto"/>
        <w:ind w:left="240"/>
        <w:jc w:val="both"/>
      </w:pPr>
      <w:r>
        <w:rPr>
          <w:b/>
          <w:bCs/>
          <w:color w:val="1F3864"/>
          <w:sz w:val="19"/>
          <w:szCs w:val="19"/>
        </w:rPr>
        <w:t>2. Les différentes procédures de demande d’asile</w:t>
      </w:r>
    </w:p>
    <w:p w14:paraId="56908387" w14:textId="77777777" w:rsidR="00DF4DE6" w:rsidRDefault="001B2AC3" w:rsidP="00240AE0">
      <w:pPr>
        <w:spacing w:after="20" w:line="250" w:lineRule="auto"/>
        <w:ind w:left="500"/>
        <w:jc w:val="both"/>
      </w:pPr>
      <w:r>
        <w:rPr>
          <w:color w:val="333333"/>
          <w:sz w:val="18"/>
          <w:szCs w:val="18"/>
        </w:rPr>
        <w:t>2.1. La procédure classique</w:t>
      </w:r>
    </w:p>
    <w:p w14:paraId="0112B7BA" w14:textId="77777777" w:rsidR="00DF4DE6" w:rsidRDefault="001B2AC3" w:rsidP="00240AE0">
      <w:pPr>
        <w:spacing w:after="20" w:line="250" w:lineRule="auto"/>
        <w:ind w:left="760"/>
        <w:jc w:val="both"/>
      </w:pPr>
      <w:r>
        <w:rPr>
          <w:color w:val="595959"/>
          <w:sz w:val="18"/>
          <w:szCs w:val="18"/>
        </w:rPr>
        <w:t>2.1.1. La demande devant l’Office français de protection des réfugiés et apatrides</w:t>
      </w:r>
    </w:p>
    <w:p w14:paraId="461EFA57" w14:textId="77777777" w:rsidR="00DF4DE6" w:rsidRDefault="001B2AC3" w:rsidP="00240AE0">
      <w:pPr>
        <w:spacing w:after="20" w:line="250" w:lineRule="auto"/>
        <w:ind w:left="760"/>
        <w:jc w:val="both"/>
      </w:pPr>
      <w:r>
        <w:rPr>
          <w:color w:val="595959"/>
          <w:sz w:val="18"/>
          <w:szCs w:val="18"/>
        </w:rPr>
        <w:t>2.1.2. Le recours devant la Cour nationale du droit d’asile</w:t>
      </w:r>
    </w:p>
    <w:p w14:paraId="2D76B60C" w14:textId="77777777" w:rsidR="00DF4DE6" w:rsidRDefault="001B2AC3" w:rsidP="00240AE0">
      <w:pPr>
        <w:spacing w:after="20" w:line="250" w:lineRule="auto"/>
        <w:ind w:left="500"/>
        <w:jc w:val="both"/>
      </w:pPr>
      <w:r>
        <w:rPr>
          <w:color w:val="333333"/>
          <w:sz w:val="18"/>
          <w:szCs w:val="18"/>
        </w:rPr>
        <w:t>2.2. La procédure « accélérée »</w:t>
      </w:r>
    </w:p>
    <w:p w14:paraId="3E32B284" w14:textId="77777777" w:rsidR="00DF4DE6" w:rsidRDefault="001B2AC3" w:rsidP="00240AE0">
      <w:pPr>
        <w:spacing w:after="20" w:line="250" w:lineRule="auto"/>
        <w:ind w:left="500"/>
        <w:jc w:val="both"/>
      </w:pPr>
      <w:r>
        <w:rPr>
          <w:color w:val="333333"/>
          <w:sz w:val="18"/>
          <w:szCs w:val="18"/>
        </w:rPr>
        <w:t>2.3. La procédure « Dublin »</w:t>
      </w:r>
    </w:p>
    <w:p w14:paraId="39F748B9" w14:textId="77777777" w:rsidR="00DF4DE6" w:rsidRDefault="001B2AC3" w:rsidP="00240AE0">
      <w:pPr>
        <w:spacing w:after="20" w:line="250" w:lineRule="auto"/>
        <w:ind w:left="500"/>
        <w:jc w:val="both"/>
      </w:pPr>
      <w:r>
        <w:rPr>
          <w:color w:val="333333"/>
          <w:sz w:val="18"/>
          <w:szCs w:val="18"/>
        </w:rPr>
        <w:t>2.4. Le réexamen de la demande</w:t>
      </w:r>
    </w:p>
    <w:p w14:paraId="5EADA1B8" w14:textId="77777777" w:rsidR="00DF4DE6" w:rsidRDefault="001B2AC3" w:rsidP="00240AE0">
      <w:pPr>
        <w:spacing w:after="20" w:line="250" w:lineRule="auto"/>
        <w:ind w:left="240"/>
        <w:jc w:val="both"/>
      </w:pPr>
      <w:r>
        <w:rPr>
          <w:b/>
          <w:bCs/>
          <w:color w:val="1F3864"/>
          <w:sz w:val="19"/>
          <w:szCs w:val="19"/>
        </w:rPr>
        <w:t>3. Les garanties offertes aux demandeurs d’asile et aux réfugiés</w:t>
      </w:r>
    </w:p>
    <w:p w14:paraId="4621F8BE" w14:textId="77777777" w:rsidR="00DF4DE6" w:rsidRDefault="001B2AC3" w:rsidP="00240AE0">
      <w:pPr>
        <w:spacing w:after="20" w:line="250" w:lineRule="auto"/>
        <w:ind w:left="500"/>
        <w:jc w:val="both"/>
      </w:pPr>
      <w:r>
        <w:rPr>
          <w:color w:val="333333"/>
          <w:sz w:val="18"/>
          <w:szCs w:val="18"/>
        </w:rPr>
        <w:t>3.1. Les garanties liées au statut de demandeur d’asile</w:t>
      </w:r>
    </w:p>
    <w:p w14:paraId="20507641" w14:textId="77777777" w:rsidR="00DF4DE6" w:rsidRDefault="001B2AC3" w:rsidP="00240AE0">
      <w:pPr>
        <w:spacing w:after="20" w:line="250" w:lineRule="auto"/>
        <w:ind w:left="500"/>
        <w:jc w:val="both"/>
      </w:pPr>
      <w:r>
        <w:rPr>
          <w:color w:val="333333"/>
          <w:sz w:val="18"/>
          <w:szCs w:val="18"/>
        </w:rPr>
        <w:t>3.2. Les garanties liées au statut de réfugié</w:t>
      </w:r>
    </w:p>
    <w:p w14:paraId="49D55E4D" w14:textId="77777777" w:rsidR="00DF4DE6" w:rsidRDefault="001B2AC3" w:rsidP="00240AE0">
      <w:pPr>
        <w:spacing w:before="200" w:after="70"/>
        <w:jc w:val="both"/>
      </w:pPr>
      <w:r>
        <w:rPr>
          <w:b/>
          <w:bCs/>
          <w:color w:val="2E5A88"/>
          <w:spacing w:val="24"/>
          <w:sz w:val="17"/>
          <w:szCs w:val="17"/>
        </w:rPr>
        <w:t>RÉFÉRENCES CENTRALES</w:t>
      </w:r>
    </w:p>
    <w:p w14:paraId="198F7CC7" w14:textId="77777777" w:rsidR="00DF4DE6" w:rsidRDefault="001B2AC3" w:rsidP="00240AE0">
      <w:pPr>
        <w:pStyle w:val="Paragraphedeliste"/>
        <w:numPr>
          <w:ilvl w:val="0"/>
          <w:numId w:val="2"/>
        </w:numPr>
        <w:spacing w:after="40" w:line="264" w:lineRule="auto"/>
        <w:jc w:val="both"/>
      </w:pPr>
      <w:r>
        <w:rPr>
          <w:color w:val="333333"/>
          <w:sz w:val="18"/>
          <w:szCs w:val="18"/>
        </w:rPr>
        <w:t>Code de l’entrée et du séjour des étrangers et du droit d’asile.</w:t>
      </w:r>
    </w:p>
    <w:p w14:paraId="30B298BD"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93-325, 13 août 1993, Loi relative à la maîtrise de l'immigration et aux conditions d'entrée, d'accueil et de séjour des étrangers en France.</w:t>
      </w:r>
    </w:p>
    <w:p w14:paraId="4E9A5836" w14:textId="77777777" w:rsidR="00DF4DE6" w:rsidRDefault="001B2AC3" w:rsidP="00240AE0">
      <w:pPr>
        <w:pStyle w:val="Paragraphedeliste"/>
        <w:numPr>
          <w:ilvl w:val="0"/>
          <w:numId w:val="2"/>
        </w:numPr>
        <w:spacing w:after="40" w:line="264" w:lineRule="auto"/>
        <w:jc w:val="both"/>
      </w:pPr>
      <w:r>
        <w:rPr>
          <w:color w:val="333333"/>
          <w:sz w:val="18"/>
          <w:szCs w:val="18"/>
        </w:rPr>
        <w:t>Loi no 2015-925 du 29 juillet 2015 relative à la réforme du droit d’asile.</w:t>
      </w:r>
    </w:p>
    <w:p w14:paraId="1236E962" w14:textId="77777777" w:rsidR="00DF4DE6" w:rsidRDefault="001B2AC3" w:rsidP="00240AE0">
      <w:pPr>
        <w:pStyle w:val="Paragraphedeliste"/>
        <w:numPr>
          <w:ilvl w:val="0"/>
          <w:numId w:val="2"/>
        </w:numPr>
        <w:spacing w:after="40" w:line="264" w:lineRule="auto"/>
        <w:jc w:val="both"/>
      </w:pPr>
      <w:r>
        <w:rPr>
          <w:color w:val="333333"/>
          <w:sz w:val="18"/>
          <w:szCs w:val="18"/>
        </w:rPr>
        <w:t>Loi no 2018-778 du 18 septembre 2018, Loi pour une immigration maitrisée, un droit d’asile effectif et une intégration réussie et portant diverses dispositions relatives au séjour et à l’intégration des étrangers.</w:t>
      </w:r>
    </w:p>
    <w:p w14:paraId="5FA41F4E" w14:textId="77777777" w:rsidR="00DF4DE6" w:rsidRDefault="001B2AC3" w:rsidP="00240AE0">
      <w:pPr>
        <w:pStyle w:val="Paragraphedeliste"/>
        <w:numPr>
          <w:ilvl w:val="0"/>
          <w:numId w:val="2"/>
        </w:numPr>
        <w:spacing w:after="40" w:line="264" w:lineRule="auto"/>
        <w:jc w:val="both"/>
      </w:pPr>
      <w:r>
        <w:rPr>
          <w:color w:val="333333"/>
          <w:sz w:val="18"/>
          <w:szCs w:val="18"/>
        </w:rPr>
        <w:t>Loi no 2024-42 du 26 janvier 2024 pour contrôler l’immigration, améliorer l’intégration.</w:t>
      </w:r>
    </w:p>
    <w:p w14:paraId="3651D0D9" w14:textId="77777777" w:rsidR="00DF4DE6" w:rsidRDefault="001B2AC3" w:rsidP="00240AE0">
      <w:pPr>
        <w:pStyle w:val="Paragraphedeliste"/>
        <w:numPr>
          <w:ilvl w:val="0"/>
          <w:numId w:val="2"/>
        </w:numPr>
        <w:spacing w:after="40" w:line="264" w:lineRule="auto"/>
        <w:jc w:val="both"/>
      </w:pPr>
      <w:r>
        <w:rPr>
          <w:color w:val="333333"/>
          <w:sz w:val="18"/>
          <w:szCs w:val="18"/>
        </w:rPr>
        <w:t xml:space="preserve">Jean-Michel. </w:t>
      </w:r>
      <w:proofErr w:type="spellStart"/>
      <w:r>
        <w:rPr>
          <w:color w:val="333333"/>
          <w:sz w:val="18"/>
          <w:szCs w:val="18"/>
        </w:rPr>
        <w:t>Belorgey</w:t>
      </w:r>
      <w:proofErr w:type="spellEnd"/>
      <w:r>
        <w:rPr>
          <w:color w:val="333333"/>
          <w:sz w:val="18"/>
          <w:szCs w:val="18"/>
        </w:rPr>
        <w:t xml:space="preserve">, Le droit d’asile, 2e </w:t>
      </w:r>
      <w:proofErr w:type="spellStart"/>
      <w:r>
        <w:rPr>
          <w:color w:val="333333"/>
          <w:sz w:val="18"/>
          <w:szCs w:val="18"/>
        </w:rPr>
        <w:t>ed</w:t>
      </w:r>
      <w:proofErr w:type="spellEnd"/>
      <w:r>
        <w:rPr>
          <w:color w:val="333333"/>
          <w:sz w:val="18"/>
          <w:szCs w:val="18"/>
        </w:rPr>
        <w:t>., LGDJ, Systèmes, 2016.</w:t>
      </w:r>
    </w:p>
    <w:p w14:paraId="7BC5E2AE" w14:textId="77777777" w:rsidR="00DF4DE6" w:rsidRDefault="001B2AC3" w:rsidP="00240AE0">
      <w:pPr>
        <w:pStyle w:val="Paragraphedeliste"/>
        <w:numPr>
          <w:ilvl w:val="0"/>
          <w:numId w:val="2"/>
        </w:numPr>
        <w:spacing w:after="40" w:line="264" w:lineRule="auto"/>
        <w:jc w:val="both"/>
      </w:pPr>
      <w:r>
        <w:rPr>
          <w:color w:val="333333"/>
          <w:sz w:val="18"/>
          <w:szCs w:val="18"/>
        </w:rPr>
        <w:t xml:space="preserve">Vincent Tchen, Code de l’entrée et du séjour des étrangers et du droit d’asile, 17ème </w:t>
      </w:r>
      <w:proofErr w:type="spellStart"/>
      <w:r>
        <w:rPr>
          <w:color w:val="333333"/>
          <w:sz w:val="18"/>
          <w:szCs w:val="18"/>
        </w:rPr>
        <w:t>ed</w:t>
      </w:r>
      <w:proofErr w:type="spellEnd"/>
      <w:r>
        <w:rPr>
          <w:color w:val="333333"/>
          <w:sz w:val="18"/>
          <w:szCs w:val="18"/>
        </w:rPr>
        <w:t>., LexisNexis/Litec, 2022</w:t>
      </w:r>
    </w:p>
    <w:p w14:paraId="719622D8" w14:textId="77777777" w:rsidR="00DF4DE6" w:rsidRDefault="001B2AC3" w:rsidP="00240AE0">
      <w:pPr>
        <w:jc w:val="both"/>
      </w:pPr>
      <w:r>
        <w:br w:type="page"/>
      </w:r>
    </w:p>
    <w:p w14:paraId="27C3BF6B" w14:textId="77777777" w:rsidR="00DF4DE6" w:rsidRDefault="001B2AC3" w:rsidP="00240AE0">
      <w:pPr>
        <w:spacing w:after="40"/>
        <w:jc w:val="both"/>
      </w:pPr>
      <w:proofErr w:type="gramStart"/>
      <w:r>
        <w:rPr>
          <w:b/>
          <w:bCs/>
          <w:color w:val="2E5A88"/>
          <w:spacing w:val="50"/>
        </w:rPr>
        <w:lastRenderedPageBreak/>
        <w:t>PARTIE VIII</w:t>
      </w:r>
      <w:proofErr w:type="gramEnd"/>
    </w:p>
    <w:p w14:paraId="1B932498" w14:textId="77777777" w:rsidR="00DF4DE6" w:rsidRDefault="001B2AC3" w:rsidP="00240AE0">
      <w:pPr>
        <w:pStyle w:val="Titre1"/>
        <w:pBdr>
          <w:bottom w:val="single" w:sz="10" w:space="0" w:color="C7D2E0"/>
        </w:pBdr>
        <w:spacing w:after="100"/>
        <w:jc w:val="both"/>
      </w:pPr>
      <w:r>
        <w:rPr>
          <w:rFonts w:ascii="Cambria" w:eastAsia="Cambria" w:hAnsi="Cambria" w:cs="Cambria"/>
          <w:b/>
          <w:bCs/>
          <w:color w:val="1F3864"/>
          <w:sz w:val="34"/>
          <w:szCs w:val="34"/>
        </w:rPr>
        <w:t>L'égalité et la non-discrimination</w:t>
      </w:r>
    </w:p>
    <w:p w14:paraId="76EFA1F3" w14:textId="77777777" w:rsidR="00DF4DE6" w:rsidRDefault="001B2AC3" w:rsidP="00240AE0">
      <w:pPr>
        <w:spacing w:before="60" w:after="160"/>
        <w:jc w:val="both"/>
      </w:pPr>
      <w:r>
        <w:rPr>
          <w:i/>
          <w:iCs/>
          <w:color w:val="595959"/>
          <w:sz w:val="18"/>
          <w:szCs w:val="18"/>
        </w:rPr>
        <w:t xml:space="preserve">Fiches 54 à </w:t>
      </w:r>
      <w:proofErr w:type="gramStart"/>
      <w:r>
        <w:rPr>
          <w:i/>
          <w:iCs/>
          <w:color w:val="595959"/>
          <w:sz w:val="18"/>
          <w:szCs w:val="18"/>
        </w:rPr>
        <w:t>56  ·</w:t>
      </w:r>
      <w:proofErr w:type="gramEnd"/>
      <w:r>
        <w:rPr>
          <w:i/>
          <w:iCs/>
          <w:color w:val="595959"/>
          <w:sz w:val="18"/>
          <w:szCs w:val="18"/>
        </w:rPr>
        <w:t xml:space="preserve">  pages 546 à 580 du fascicule</w:t>
      </w:r>
    </w:p>
    <w:p w14:paraId="6224D319" w14:textId="77777777" w:rsidR="00DF4DE6" w:rsidRDefault="001B2AC3" w:rsidP="00240AE0">
      <w:pPr>
        <w:spacing w:after="200" w:line="276" w:lineRule="auto"/>
        <w:jc w:val="both"/>
      </w:pPr>
      <w:r>
        <w:t>Trois fiches qui se lisent en séquence : l'interdiction de la discrimination (54) pose le principe et les critères prohibés ; la prise en compte des vulnérabilités (55) montre pourquoi l'égalité formelle ne suffit pas ; les mesures d'inégalité compensatoire (56) exposent la correction, c'est-à-dire la rupture assumée de l'égalité formelle au service de l'égalité réelle.</w:t>
      </w:r>
    </w:p>
    <w:p w14:paraId="39C34E9C" w14:textId="77777777" w:rsidR="00DF4DE6" w:rsidRDefault="001B2AC3" w:rsidP="00240AE0">
      <w:pPr>
        <w:pStyle w:val="Titre2"/>
        <w:spacing w:before="120" w:after="30"/>
        <w:jc w:val="both"/>
      </w:pPr>
      <w:r>
        <w:rPr>
          <w:b/>
          <w:bCs/>
          <w:color w:val="2E5A88"/>
          <w:sz w:val="22"/>
          <w:szCs w:val="22"/>
        </w:rPr>
        <w:t xml:space="preserve">Fiche </w:t>
      </w:r>
      <w:proofErr w:type="gramStart"/>
      <w:r>
        <w:rPr>
          <w:b/>
          <w:bCs/>
          <w:color w:val="2E5A88"/>
          <w:sz w:val="22"/>
          <w:szCs w:val="22"/>
        </w:rPr>
        <w:t>54  ·</w:t>
      </w:r>
      <w:proofErr w:type="gramEnd"/>
      <w:r>
        <w:rPr>
          <w:b/>
          <w:bCs/>
          <w:color w:val="2E5A88"/>
          <w:sz w:val="22"/>
          <w:szCs w:val="22"/>
        </w:rPr>
        <w:t xml:space="preserve">  </w:t>
      </w:r>
      <w:r>
        <w:rPr>
          <w:rFonts w:ascii="Cambria" w:eastAsia="Cambria" w:hAnsi="Cambria" w:cs="Cambria"/>
          <w:b/>
          <w:bCs/>
          <w:color w:val="1F3864"/>
        </w:rPr>
        <w:t>L’interdiction de la discrimination</w:t>
      </w:r>
    </w:p>
    <w:p w14:paraId="14AB7910" w14:textId="77777777" w:rsidR="00DF4DE6" w:rsidRDefault="001B2AC3" w:rsidP="00240AE0">
      <w:pPr>
        <w:spacing w:after="120"/>
        <w:jc w:val="both"/>
      </w:pPr>
      <w:r>
        <w:rPr>
          <w:i/>
          <w:iCs/>
          <w:color w:val="595959"/>
          <w:sz w:val="17"/>
          <w:szCs w:val="17"/>
        </w:rPr>
        <w:t>Fascicule, p. 547</w:t>
      </w:r>
    </w:p>
    <w:p w14:paraId="11500BBE" w14:textId="77777777" w:rsidR="00DF4DE6" w:rsidRDefault="001B2AC3" w:rsidP="00240AE0">
      <w:pPr>
        <w:spacing w:before="200" w:after="70"/>
        <w:jc w:val="both"/>
      </w:pPr>
      <w:r>
        <w:rPr>
          <w:b/>
          <w:bCs/>
          <w:color w:val="2E5A88"/>
          <w:spacing w:val="24"/>
          <w:sz w:val="17"/>
          <w:szCs w:val="17"/>
        </w:rPr>
        <w:t>IDÉE DIRECTRICE</w:t>
      </w:r>
    </w:p>
    <w:p w14:paraId="46DF42F4" w14:textId="77777777" w:rsidR="00DF4DE6" w:rsidRDefault="001B2AC3" w:rsidP="00240AE0">
      <w:pPr>
        <w:spacing w:after="60" w:line="276" w:lineRule="auto"/>
        <w:jc w:val="both"/>
      </w:pPr>
      <w:r>
        <w:t xml:space="preserve">Le principe de non-discrimination est présenté comme le prolongement moderne de l'égalité de 1789, reconfiguré par une influence internationale et « anglo-saxonne ». La fiche oppose égalité formelle et égalité réelle, puis détaille la mise en œuvre en France : sources constitutionnelles, conventionnelles et législatives, importance du droit dérivé de l'Union, recours à la soft </w:t>
      </w:r>
      <w:proofErr w:type="spellStart"/>
      <w:r>
        <w:t>law</w:t>
      </w:r>
      <w:proofErr w:type="spellEnd"/>
      <w:r>
        <w:t>, garanties (Défenseur des droits, actions de groupe, aménagement de la preuve, jurisprudence du Conseil constitutionnel). Elle se ferme sur les biais algorithmiques comme nouvelle forme de discrimination.</w:t>
      </w:r>
    </w:p>
    <w:p w14:paraId="7E1856B0" w14:textId="77777777" w:rsidR="00DF4DE6" w:rsidRDefault="001B2AC3" w:rsidP="00240AE0">
      <w:pPr>
        <w:spacing w:before="200" w:after="70"/>
        <w:jc w:val="both"/>
      </w:pPr>
      <w:r>
        <w:rPr>
          <w:b/>
          <w:bCs/>
          <w:color w:val="2E5A88"/>
          <w:spacing w:val="24"/>
          <w:sz w:val="17"/>
          <w:szCs w:val="17"/>
        </w:rPr>
        <w:t>POINTS CLÉS (ENCADRÉ DU FASCICULE)</w:t>
      </w:r>
    </w:p>
    <w:p w14:paraId="06C2AC28" w14:textId="77777777" w:rsidR="00DF4DE6" w:rsidRDefault="001B2AC3" w:rsidP="00240AE0">
      <w:pPr>
        <w:pStyle w:val="Paragraphedeliste"/>
        <w:numPr>
          <w:ilvl w:val="0"/>
          <w:numId w:val="2"/>
        </w:numPr>
        <w:spacing w:after="40" w:line="264" w:lineRule="auto"/>
        <w:jc w:val="both"/>
      </w:pPr>
      <w:r>
        <w:rPr>
          <w:color w:val="1A1A1A"/>
          <w:sz w:val="19"/>
          <w:szCs w:val="19"/>
        </w:rPr>
        <w:t>Principe d’égalité : même loi pour tous.</w:t>
      </w:r>
    </w:p>
    <w:p w14:paraId="75532490" w14:textId="77777777" w:rsidR="00DF4DE6" w:rsidRDefault="001B2AC3" w:rsidP="00240AE0">
      <w:pPr>
        <w:pStyle w:val="Paragraphedeliste"/>
        <w:numPr>
          <w:ilvl w:val="0"/>
          <w:numId w:val="2"/>
        </w:numPr>
        <w:spacing w:after="40" w:line="264" w:lineRule="auto"/>
        <w:jc w:val="both"/>
      </w:pPr>
      <w:r>
        <w:rPr>
          <w:color w:val="1A1A1A"/>
          <w:sz w:val="19"/>
          <w:szCs w:val="19"/>
        </w:rPr>
        <w:t>Interdiction des traitements différenciés fondés sur des critères prohibés.</w:t>
      </w:r>
    </w:p>
    <w:p w14:paraId="11AEA4B2" w14:textId="77777777" w:rsidR="00DF4DE6" w:rsidRDefault="001B2AC3" w:rsidP="00240AE0">
      <w:pPr>
        <w:pStyle w:val="Paragraphedeliste"/>
        <w:numPr>
          <w:ilvl w:val="0"/>
          <w:numId w:val="2"/>
        </w:numPr>
        <w:spacing w:after="40" w:line="264" w:lineRule="auto"/>
        <w:jc w:val="both"/>
      </w:pPr>
      <w:r>
        <w:rPr>
          <w:color w:val="1A1A1A"/>
          <w:sz w:val="19"/>
          <w:szCs w:val="19"/>
        </w:rPr>
        <w:t>Critères prohibés : sexe, origine, orientation sexuelle, handicap…</w:t>
      </w:r>
    </w:p>
    <w:p w14:paraId="73F10838" w14:textId="77777777" w:rsidR="00DF4DE6" w:rsidRDefault="001B2AC3" w:rsidP="00240AE0">
      <w:pPr>
        <w:pStyle w:val="Paragraphedeliste"/>
        <w:numPr>
          <w:ilvl w:val="0"/>
          <w:numId w:val="2"/>
        </w:numPr>
        <w:spacing w:after="40" w:line="264" w:lineRule="auto"/>
        <w:jc w:val="both"/>
      </w:pPr>
      <w:r>
        <w:rPr>
          <w:color w:val="1A1A1A"/>
          <w:sz w:val="19"/>
          <w:szCs w:val="19"/>
        </w:rPr>
        <w:t>Liste non limitative des critères prohibés.</w:t>
      </w:r>
    </w:p>
    <w:p w14:paraId="00D53818" w14:textId="77777777" w:rsidR="00DF4DE6" w:rsidRDefault="001B2AC3" w:rsidP="00240AE0">
      <w:pPr>
        <w:pStyle w:val="Paragraphedeliste"/>
        <w:numPr>
          <w:ilvl w:val="0"/>
          <w:numId w:val="2"/>
        </w:numPr>
        <w:spacing w:after="40" w:line="264" w:lineRule="auto"/>
        <w:jc w:val="both"/>
      </w:pPr>
      <w:r>
        <w:rPr>
          <w:color w:val="1A1A1A"/>
          <w:sz w:val="19"/>
          <w:szCs w:val="19"/>
        </w:rPr>
        <w:t>Égalité formelle versus égalité réelle : évolution du droit français.</w:t>
      </w:r>
    </w:p>
    <w:p w14:paraId="0ED5ABD7" w14:textId="77777777" w:rsidR="00DF4DE6" w:rsidRDefault="001B2AC3" w:rsidP="00240AE0">
      <w:pPr>
        <w:pStyle w:val="Paragraphedeliste"/>
        <w:numPr>
          <w:ilvl w:val="0"/>
          <w:numId w:val="2"/>
        </w:numPr>
        <w:spacing w:after="40" w:line="264" w:lineRule="auto"/>
        <w:jc w:val="both"/>
      </w:pPr>
      <w:r>
        <w:rPr>
          <w:color w:val="1A1A1A"/>
          <w:sz w:val="19"/>
          <w:szCs w:val="19"/>
        </w:rPr>
        <w:t>Influence anglo-américaine et du droit européen.</w:t>
      </w:r>
    </w:p>
    <w:p w14:paraId="362E16A6" w14:textId="77777777" w:rsidR="00DF4DE6" w:rsidRDefault="001B2AC3" w:rsidP="00240AE0">
      <w:pPr>
        <w:pStyle w:val="Paragraphedeliste"/>
        <w:numPr>
          <w:ilvl w:val="0"/>
          <w:numId w:val="2"/>
        </w:numPr>
        <w:spacing w:after="40" w:line="264" w:lineRule="auto"/>
        <w:jc w:val="both"/>
      </w:pPr>
      <w:r>
        <w:rPr>
          <w:color w:val="1A1A1A"/>
          <w:sz w:val="19"/>
          <w:szCs w:val="19"/>
        </w:rPr>
        <w:t>Discriminations ou actions positives.</w:t>
      </w:r>
    </w:p>
    <w:p w14:paraId="21279E7C" w14:textId="77777777" w:rsidR="00DF4DE6" w:rsidRDefault="001B2AC3" w:rsidP="00240AE0">
      <w:pPr>
        <w:pStyle w:val="Paragraphedeliste"/>
        <w:numPr>
          <w:ilvl w:val="0"/>
          <w:numId w:val="2"/>
        </w:numPr>
        <w:spacing w:after="40" w:line="264" w:lineRule="auto"/>
        <w:jc w:val="both"/>
      </w:pPr>
      <w:r>
        <w:rPr>
          <w:color w:val="1A1A1A"/>
          <w:sz w:val="19"/>
          <w:szCs w:val="19"/>
        </w:rPr>
        <w:t>Discriminations positives</w:t>
      </w:r>
      <w:proofErr w:type="gramStart"/>
      <w:r>
        <w:rPr>
          <w:color w:val="1A1A1A"/>
          <w:sz w:val="19"/>
          <w:szCs w:val="19"/>
        </w:rPr>
        <w:t>. .</w:t>
      </w:r>
      <w:proofErr w:type="gramEnd"/>
    </w:p>
    <w:p w14:paraId="07F7B173" w14:textId="77777777" w:rsidR="00DF4DE6" w:rsidRDefault="001B2AC3" w:rsidP="00240AE0">
      <w:pPr>
        <w:spacing w:before="200" w:after="70"/>
        <w:jc w:val="both"/>
      </w:pPr>
      <w:r>
        <w:rPr>
          <w:b/>
          <w:bCs/>
          <w:color w:val="2E5A88"/>
          <w:spacing w:val="24"/>
          <w:sz w:val="17"/>
          <w:szCs w:val="17"/>
        </w:rPr>
        <w:t>PLAN DE LA FICHE</w:t>
      </w:r>
    </w:p>
    <w:p w14:paraId="445F374F" w14:textId="77777777" w:rsidR="00DF4DE6" w:rsidRDefault="001B2AC3" w:rsidP="00240AE0">
      <w:pPr>
        <w:spacing w:after="20" w:line="250" w:lineRule="auto"/>
        <w:ind w:left="240"/>
        <w:jc w:val="both"/>
      </w:pPr>
      <w:r>
        <w:rPr>
          <w:b/>
          <w:bCs/>
          <w:color w:val="1F3864"/>
          <w:sz w:val="19"/>
          <w:szCs w:val="19"/>
        </w:rPr>
        <w:t>1. Le principe de non-discrimination, prolongement du principe d’égalité</w:t>
      </w:r>
    </w:p>
    <w:p w14:paraId="13D9A3D3" w14:textId="77777777" w:rsidR="00DF4DE6" w:rsidRDefault="001B2AC3" w:rsidP="00240AE0">
      <w:pPr>
        <w:spacing w:after="20" w:line="250" w:lineRule="auto"/>
        <w:ind w:left="500"/>
        <w:jc w:val="both"/>
      </w:pPr>
      <w:r>
        <w:rPr>
          <w:color w:val="333333"/>
          <w:sz w:val="18"/>
          <w:szCs w:val="18"/>
        </w:rPr>
        <w:t>1.1. Une modernisation du principe d’égalité de 1789</w:t>
      </w:r>
    </w:p>
    <w:p w14:paraId="1F6E8C21" w14:textId="77777777" w:rsidR="00DF4DE6" w:rsidRDefault="001B2AC3" w:rsidP="00240AE0">
      <w:pPr>
        <w:spacing w:after="20" w:line="250" w:lineRule="auto"/>
        <w:ind w:left="500"/>
        <w:jc w:val="both"/>
      </w:pPr>
      <w:r>
        <w:rPr>
          <w:color w:val="333333"/>
          <w:sz w:val="18"/>
          <w:szCs w:val="18"/>
        </w:rPr>
        <w:t>1.2. L’influence internationale sur le droit positif français : une conception plus « anglo-saxonne » de l’égalité</w:t>
      </w:r>
    </w:p>
    <w:p w14:paraId="6F02837C" w14:textId="77777777" w:rsidR="00DF4DE6" w:rsidRDefault="001B2AC3" w:rsidP="00240AE0">
      <w:pPr>
        <w:spacing w:after="20" w:line="250" w:lineRule="auto"/>
        <w:ind w:left="500"/>
        <w:jc w:val="both"/>
      </w:pPr>
      <w:r>
        <w:rPr>
          <w:color w:val="333333"/>
          <w:sz w:val="18"/>
          <w:szCs w:val="18"/>
        </w:rPr>
        <w:t>1.3. Droit à l’égalité et droit à la non-discrimination : deux faces d’une même exigence diversement déclinée</w:t>
      </w:r>
    </w:p>
    <w:p w14:paraId="4E7B2069" w14:textId="77777777" w:rsidR="00DF4DE6" w:rsidRDefault="001B2AC3" w:rsidP="00240AE0">
      <w:pPr>
        <w:spacing w:after="20" w:line="250" w:lineRule="auto"/>
        <w:ind w:left="760"/>
        <w:jc w:val="both"/>
      </w:pPr>
      <w:r>
        <w:rPr>
          <w:color w:val="595959"/>
          <w:sz w:val="18"/>
          <w:szCs w:val="18"/>
        </w:rPr>
        <w:t>1.3.1. L’égalité formelle</w:t>
      </w:r>
    </w:p>
    <w:p w14:paraId="6497396E" w14:textId="77777777" w:rsidR="00DF4DE6" w:rsidRDefault="001B2AC3" w:rsidP="00240AE0">
      <w:pPr>
        <w:spacing w:after="20" w:line="250" w:lineRule="auto"/>
        <w:ind w:left="760"/>
        <w:jc w:val="both"/>
      </w:pPr>
      <w:r>
        <w:rPr>
          <w:color w:val="595959"/>
          <w:sz w:val="18"/>
          <w:szCs w:val="18"/>
        </w:rPr>
        <w:t>1.3.2. L’égalité réelle</w:t>
      </w:r>
    </w:p>
    <w:p w14:paraId="18831046" w14:textId="77777777" w:rsidR="00DF4DE6" w:rsidRDefault="001B2AC3" w:rsidP="00240AE0">
      <w:pPr>
        <w:spacing w:after="20" w:line="250" w:lineRule="auto"/>
        <w:ind w:left="760"/>
        <w:jc w:val="both"/>
      </w:pPr>
      <w:r>
        <w:rPr>
          <w:color w:val="595959"/>
          <w:sz w:val="18"/>
          <w:szCs w:val="18"/>
        </w:rPr>
        <w:t>1.3.3. L’opposition entre les modèles français et anglo-américain</w:t>
      </w:r>
    </w:p>
    <w:p w14:paraId="771402B3" w14:textId="77777777" w:rsidR="00DF4DE6" w:rsidRDefault="001B2AC3" w:rsidP="00240AE0">
      <w:pPr>
        <w:spacing w:after="20" w:line="250" w:lineRule="auto"/>
        <w:ind w:left="240"/>
        <w:jc w:val="both"/>
      </w:pPr>
      <w:r>
        <w:rPr>
          <w:b/>
          <w:bCs/>
          <w:color w:val="1F3864"/>
          <w:sz w:val="19"/>
          <w:szCs w:val="19"/>
        </w:rPr>
        <w:t>2. La mise en œuvre de l’interdiction des discriminations en France</w:t>
      </w:r>
    </w:p>
    <w:p w14:paraId="55B892D9" w14:textId="77777777" w:rsidR="00DF4DE6" w:rsidRDefault="001B2AC3" w:rsidP="00240AE0">
      <w:pPr>
        <w:spacing w:after="20" w:line="250" w:lineRule="auto"/>
        <w:ind w:left="500"/>
        <w:jc w:val="both"/>
      </w:pPr>
      <w:r>
        <w:rPr>
          <w:color w:val="333333"/>
          <w:sz w:val="18"/>
          <w:szCs w:val="18"/>
        </w:rPr>
        <w:t>2.1. Législations et dispositions constitutionnelles et conventionnelles</w:t>
      </w:r>
    </w:p>
    <w:p w14:paraId="24E67868" w14:textId="77777777" w:rsidR="00DF4DE6" w:rsidRDefault="001B2AC3" w:rsidP="00240AE0">
      <w:pPr>
        <w:spacing w:after="20" w:line="250" w:lineRule="auto"/>
        <w:ind w:left="760"/>
        <w:jc w:val="both"/>
      </w:pPr>
      <w:r>
        <w:rPr>
          <w:color w:val="595959"/>
          <w:sz w:val="18"/>
          <w:szCs w:val="18"/>
        </w:rPr>
        <w:t>2.1.1. Les sources en droit interne et international dans le contexte de l’après-guerre</w:t>
      </w:r>
    </w:p>
    <w:p w14:paraId="38A60500" w14:textId="77777777" w:rsidR="00DF4DE6" w:rsidRDefault="001B2AC3" w:rsidP="00240AE0">
      <w:pPr>
        <w:spacing w:after="20" w:line="250" w:lineRule="auto"/>
        <w:ind w:left="760"/>
        <w:jc w:val="both"/>
      </w:pPr>
      <w:r>
        <w:rPr>
          <w:color w:val="595959"/>
          <w:sz w:val="18"/>
          <w:szCs w:val="18"/>
        </w:rPr>
        <w:t>2.1.2. Un cadre législatif d’une grande densité</w:t>
      </w:r>
    </w:p>
    <w:p w14:paraId="541A94F6" w14:textId="77777777" w:rsidR="00DF4DE6" w:rsidRDefault="001B2AC3" w:rsidP="00240AE0">
      <w:pPr>
        <w:spacing w:after="20" w:line="250" w:lineRule="auto"/>
        <w:ind w:left="760"/>
        <w:jc w:val="both"/>
      </w:pPr>
      <w:r>
        <w:rPr>
          <w:color w:val="595959"/>
          <w:sz w:val="18"/>
          <w:szCs w:val="18"/>
        </w:rPr>
        <w:t>2.1.3. L’importance du droit dérivé de l’Union européenne</w:t>
      </w:r>
    </w:p>
    <w:p w14:paraId="1AD1718B" w14:textId="77777777" w:rsidR="00DF4DE6" w:rsidRDefault="001B2AC3" w:rsidP="00240AE0">
      <w:pPr>
        <w:spacing w:after="20" w:line="250" w:lineRule="auto"/>
        <w:ind w:left="500"/>
        <w:jc w:val="both"/>
      </w:pPr>
      <w:r>
        <w:rPr>
          <w:color w:val="333333"/>
          <w:sz w:val="18"/>
          <w:szCs w:val="18"/>
        </w:rPr>
        <w:t xml:space="preserve">2.2. Le recours à la soft </w:t>
      </w:r>
      <w:proofErr w:type="spellStart"/>
      <w:r>
        <w:rPr>
          <w:color w:val="333333"/>
          <w:sz w:val="18"/>
          <w:szCs w:val="18"/>
        </w:rPr>
        <w:t>law</w:t>
      </w:r>
      <w:proofErr w:type="spellEnd"/>
      <w:r>
        <w:rPr>
          <w:color w:val="333333"/>
          <w:sz w:val="18"/>
          <w:szCs w:val="18"/>
        </w:rPr>
        <w:t xml:space="preserve"> pour sensibiliser sur les discriminations</w:t>
      </w:r>
    </w:p>
    <w:p w14:paraId="6FFDA29B" w14:textId="77777777" w:rsidR="00DF4DE6" w:rsidRDefault="001B2AC3" w:rsidP="00240AE0">
      <w:pPr>
        <w:spacing w:after="20" w:line="250" w:lineRule="auto"/>
        <w:ind w:left="500"/>
        <w:jc w:val="both"/>
      </w:pPr>
      <w:r>
        <w:rPr>
          <w:color w:val="333333"/>
          <w:sz w:val="18"/>
          <w:szCs w:val="18"/>
        </w:rPr>
        <w:t>2.3. Garanties administratives et juridictionnelles</w:t>
      </w:r>
    </w:p>
    <w:p w14:paraId="70540E97" w14:textId="77777777" w:rsidR="00DF4DE6" w:rsidRDefault="001B2AC3" w:rsidP="00240AE0">
      <w:pPr>
        <w:spacing w:after="20" w:line="250" w:lineRule="auto"/>
        <w:ind w:left="760"/>
        <w:jc w:val="both"/>
      </w:pPr>
      <w:r>
        <w:rPr>
          <w:color w:val="595959"/>
          <w:sz w:val="18"/>
          <w:szCs w:val="18"/>
        </w:rPr>
        <w:t>2.3.1. Le défenseur des droits</w:t>
      </w:r>
    </w:p>
    <w:p w14:paraId="63C0A17A" w14:textId="77777777" w:rsidR="00DF4DE6" w:rsidRDefault="001B2AC3" w:rsidP="00240AE0">
      <w:pPr>
        <w:spacing w:after="20" w:line="250" w:lineRule="auto"/>
        <w:ind w:left="760"/>
        <w:jc w:val="both"/>
      </w:pPr>
      <w:r>
        <w:rPr>
          <w:color w:val="595959"/>
          <w:sz w:val="18"/>
          <w:szCs w:val="18"/>
        </w:rPr>
        <w:t>2.3.2. Actions de groupe et preuves du traitement discriminatoire</w:t>
      </w:r>
    </w:p>
    <w:p w14:paraId="6FFFB170" w14:textId="77777777" w:rsidR="00DF4DE6" w:rsidRDefault="001B2AC3" w:rsidP="00240AE0">
      <w:pPr>
        <w:spacing w:after="20" w:line="250" w:lineRule="auto"/>
        <w:ind w:left="760"/>
        <w:jc w:val="both"/>
      </w:pPr>
      <w:r>
        <w:rPr>
          <w:color w:val="595959"/>
          <w:sz w:val="18"/>
          <w:szCs w:val="18"/>
        </w:rPr>
        <w:t>2.3.3. La jurisprudence du Conseil constitutionnel</w:t>
      </w:r>
    </w:p>
    <w:p w14:paraId="3F471A03" w14:textId="77777777" w:rsidR="00DF4DE6" w:rsidRDefault="001B2AC3" w:rsidP="00240AE0">
      <w:pPr>
        <w:spacing w:after="20" w:line="250" w:lineRule="auto"/>
        <w:ind w:left="240"/>
        <w:jc w:val="both"/>
      </w:pPr>
      <w:r>
        <w:rPr>
          <w:b/>
          <w:bCs/>
          <w:color w:val="1F3864"/>
          <w:sz w:val="19"/>
          <w:szCs w:val="19"/>
        </w:rPr>
        <w:t>3. Les biais algorithmiques : de nouvelles formes de discriminations</w:t>
      </w:r>
    </w:p>
    <w:p w14:paraId="25BDB664" w14:textId="77777777" w:rsidR="00DF4DE6" w:rsidRDefault="001B2AC3" w:rsidP="00240AE0">
      <w:pPr>
        <w:spacing w:before="200" w:after="70"/>
        <w:jc w:val="both"/>
      </w:pPr>
      <w:r>
        <w:rPr>
          <w:b/>
          <w:bCs/>
          <w:color w:val="2E5A88"/>
          <w:spacing w:val="24"/>
          <w:sz w:val="17"/>
          <w:szCs w:val="17"/>
        </w:rPr>
        <w:t>RÉFÉRENCES CENTRALES</w:t>
      </w:r>
    </w:p>
    <w:p w14:paraId="7A0AD0DF" w14:textId="77777777" w:rsidR="00DF4DE6" w:rsidRDefault="001B2AC3" w:rsidP="00240AE0">
      <w:pPr>
        <w:pStyle w:val="Paragraphedeliste"/>
        <w:numPr>
          <w:ilvl w:val="0"/>
          <w:numId w:val="2"/>
        </w:numPr>
        <w:spacing w:after="40" w:line="264" w:lineRule="auto"/>
        <w:jc w:val="both"/>
      </w:pPr>
      <w:r>
        <w:rPr>
          <w:color w:val="333333"/>
          <w:sz w:val="18"/>
          <w:szCs w:val="18"/>
        </w:rPr>
        <w:t>Art 1er et 6 DDHC.</w:t>
      </w:r>
    </w:p>
    <w:p w14:paraId="0BFC0435" w14:textId="77777777" w:rsidR="00DF4DE6" w:rsidRDefault="001B2AC3" w:rsidP="00240AE0">
      <w:pPr>
        <w:pStyle w:val="Paragraphedeliste"/>
        <w:numPr>
          <w:ilvl w:val="0"/>
          <w:numId w:val="2"/>
        </w:numPr>
        <w:spacing w:after="40" w:line="264" w:lineRule="auto"/>
        <w:jc w:val="both"/>
      </w:pPr>
      <w:r>
        <w:rPr>
          <w:color w:val="333333"/>
          <w:sz w:val="18"/>
          <w:szCs w:val="18"/>
        </w:rPr>
        <w:t>Art. 1er de la Constitution (1958).</w:t>
      </w:r>
    </w:p>
    <w:p w14:paraId="5E3A2F35" w14:textId="77777777" w:rsidR="00DF4DE6" w:rsidRDefault="001B2AC3" w:rsidP="00240AE0">
      <w:pPr>
        <w:pStyle w:val="Paragraphedeliste"/>
        <w:numPr>
          <w:ilvl w:val="0"/>
          <w:numId w:val="2"/>
        </w:numPr>
        <w:spacing w:after="40" w:line="264" w:lineRule="auto"/>
        <w:jc w:val="both"/>
      </w:pPr>
      <w:r>
        <w:rPr>
          <w:color w:val="333333"/>
          <w:sz w:val="18"/>
          <w:szCs w:val="18"/>
        </w:rPr>
        <w:lastRenderedPageBreak/>
        <w:t>Art. 14 CESDH et 1P12.</w:t>
      </w:r>
    </w:p>
    <w:p w14:paraId="7931E8CE" w14:textId="77777777" w:rsidR="00DF4DE6" w:rsidRDefault="001B2AC3" w:rsidP="00240AE0">
      <w:pPr>
        <w:pStyle w:val="Paragraphedeliste"/>
        <w:numPr>
          <w:ilvl w:val="0"/>
          <w:numId w:val="2"/>
        </w:numPr>
        <w:spacing w:after="40" w:line="264" w:lineRule="auto"/>
        <w:jc w:val="both"/>
      </w:pPr>
      <w:r>
        <w:rPr>
          <w:color w:val="333333"/>
          <w:sz w:val="18"/>
          <w:szCs w:val="18"/>
        </w:rPr>
        <w:t>Art. 21 CDFUE.</w:t>
      </w:r>
    </w:p>
    <w:p w14:paraId="0ABD1DE7" w14:textId="77777777" w:rsidR="00DF4DE6" w:rsidRDefault="001B2AC3" w:rsidP="00240AE0">
      <w:pPr>
        <w:pStyle w:val="Paragraphedeliste"/>
        <w:numPr>
          <w:ilvl w:val="0"/>
          <w:numId w:val="2"/>
        </w:numPr>
        <w:spacing w:after="40" w:line="264" w:lineRule="auto"/>
        <w:jc w:val="both"/>
      </w:pPr>
      <w:r>
        <w:rPr>
          <w:color w:val="333333"/>
          <w:sz w:val="18"/>
          <w:szCs w:val="18"/>
        </w:rPr>
        <w:t xml:space="preserve">CJCE, 12 février 1974, </w:t>
      </w:r>
      <w:proofErr w:type="spellStart"/>
      <w:r>
        <w:rPr>
          <w:color w:val="333333"/>
          <w:sz w:val="18"/>
          <w:szCs w:val="18"/>
        </w:rPr>
        <w:t>Sotgiu</w:t>
      </w:r>
      <w:proofErr w:type="spellEnd"/>
      <w:r>
        <w:rPr>
          <w:color w:val="333333"/>
          <w:sz w:val="18"/>
          <w:szCs w:val="18"/>
        </w:rPr>
        <w:t>, aff.152/73.</w:t>
      </w:r>
    </w:p>
    <w:p w14:paraId="1430CC29" w14:textId="77777777" w:rsidR="00DF4DE6" w:rsidRDefault="001B2AC3" w:rsidP="00240AE0">
      <w:pPr>
        <w:pStyle w:val="Paragraphedeliste"/>
        <w:numPr>
          <w:ilvl w:val="0"/>
          <w:numId w:val="2"/>
        </w:numPr>
        <w:spacing w:after="40" w:line="264" w:lineRule="auto"/>
        <w:jc w:val="both"/>
      </w:pPr>
      <w:r>
        <w:rPr>
          <w:color w:val="333333"/>
          <w:sz w:val="18"/>
          <w:szCs w:val="18"/>
        </w:rPr>
        <w:t>CEDH, 16 mars 2010, Carson c. Royaume-Uni, 42184/05.</w:t>
      </w:r>
    </w:p>
    <w:p w14:paraId="2F14FEF0"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91-290 DC du 9 mai 1991, Loi portant statut de la collectivité territoriale de Corse.</w:t>
      </w:r>
    </w:p>
    <w:p w14:paraId="5384FFF3" w14:textId="77777777" w:rsidR="00DF4DE6" w:rsidRDefault="00DF4DE6" w:rsidP="00240AE0">
      <w:pPr>
        <w:pBdr>
          <w:top w:val="single" w:sz="6" w:space="0" w:color="C7D2E0"/>
        </w:pBdr>
        <w:spacing w:before="260" w:after="180"/>
        <w:jc w:val="both"/>
      </w:pPr>
    </w:p>
    <w:p w14:paraId="305BE10C"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55  ·</w:t>
      </w:r>
      <w:proofErr w:type="gramEnd"/>
      <w:r>
        <w:rPr>
          <w:b/>
          <w:bCs/>
          <w:color w:val="2E5A88"/>
          <w:sz w:val="22"/>
          <w:szCs w:val="22"/>
        </w:rPr>
        <w:t xml:space="preserve">  </w:t>
      </w:r>
      <w:r>
        <w:rPr>
          <w:rFonts w:ascii="Cambria" w:eastAsia="Cambria" w:hAnsi="Cambria" w:cs="Cambria"/>
          <w:b/>
          <w:bCs/>
          <w:color w:val="1F3864"/>
        </w:rPr>
        <w:t>La prise en compte des vulnérabilités</w:t>
      </w:r>
    </w:p>
    <w:p w14:paraId="4FD5660C" w14:textId="77777777" w:rsidR="00DF4DE6" w:rsidRDefault="001B2AC3" w:rsidP="00240AE0">
      <w:pPr>
        <w:spacing w:after="120"/>
        <w:jc w:val="both"/>
      </w:pPr>
      <w:r>
        <w:rPr>
          <w:i/>
          <w:iCs/>
          <w:color w:val="595959"/>
          <w:sz w:val="17"/>
          <w:szCs w:val="17"/>
        </w:rPr>
        <w:t>Fascicule, p. 559</w:t>
      </w:r>
    </w:p>
    <w:p w14:paraId="48B8A849" w14:textId="77777777" w:rsidR="00DF4DE6" w:rsidRDefault="001B2AC3" w:rsidP="00240AE0">
      <w:pPr>
        <w:spacing w:before="200" w:after="70"/>
        <w:jc w:val="both"/>
      </w:pPr>
      <w:r>
        <w:rPr>
          <w:b/>
          <w:bCs/>
          <w:color w:val="2E5A88"/>
          <w:spacing w:val="24"/>
          <w:sz w:val="17"/>
          <w:szCs w:val="17"/>
        </w:rPr>
        <w:t>IDÉE DIRECTRICE</w:t>
      </w:r>
    </w:p>
    <w:p w14:paraId="6F1CCEC2" w14:textId="77777777" w:rsidR="00DF4DE6" w:rsidRDefault="001B2AC3" w:rsidP="00240AE0">
      <w:pPr>
        <w:spacing w:after="60" w:line="276" w:lineRule="auto"/>
        <w:jc w:val="both"/>
      </w:pPr>
      <w:r>
        <w:t>Notion diffuse, sans texte de référence, mais infusée partout. La fiche relie d'abord vulnérabilité et égalité, puis passe en revue les vulnérabilités saisies par le droit : enfants, majeurs protégés, handicap, groupes minoritaires, étrangers et apatrides, minorités sexuelles, femmes, vulnérabilité socio-économique. Elle se termine sur les conceptions étendues de la vulnérabilité.</w:t>
      </w:r>
    </w:p>
    <w:p w14:paraId="3F34EB4D" w14:textId="77777777" w:rsidR="00DF4DE6" w:rsidRDefault="001B2AC3" w:rsidP="00240AE0">
      <w:pPr>
        <w:spacing w:before="200" w:after="70"/>
        <w:jc w:val="both"/>
      </w:pPr>
      <w:r>
        <w:rPr>
          <w:b/>
          <w:bCs/>
          <w:color w:val="2E5A88"/>
          <w:spacing w:val="24"/>
          <w:sz w:val="17"/>
          <w:szCs w:val="17"/>
        </w:rPr>
        <w:t>POINTS CLÉS (ENCADRÉ DU FASCICULE)</w:t>
      </w:r>
    </w:p>
    <w:p w14:paraId="6C33C85B" w14:textId="77777777" w:rsidR="00DF4DE6" w:rsidRDefault="001B2AC3" w:rsidP="00240AE0">
      <w:pPr>
        <w:pStyle w:val="Paragraphedeliste"/>
        <w:numPr>
          <w:ilvl w:val="0"/>
          <w:numId w:val="2"/>
        </w:numPr>
        <w:spacing w:after="40" w:line="264" w:lineRule="auto"/>
        <w:jc w:val="both"/>
      </w:pPr>
      <w:r>
        <w:rPr>
          <w:color w:val="1A1A1A"/>
          <w:sz w:val="19"/>
          <w:szCs w:val="19"/>
        </w:rPr>
        <w:t>Égalité et non-discrimination.</w:t>
      </w:r>
    </w:p>
    <w:p w14:paraId="199A2DAB" w14:textId="77777777" w:rsidR="00DF4DE6" w:rsidRDefault="001B2AC3" w:rsidP="00240AE0">
      <w:pPr>
        <w:pStyle w:val="Paragraphedeliste"/>
        <w:numPr>
          <w:ilvl w:val="0"/>
          <w:numId w:val="2"/>
        </w:numPr>
        <w:spacing w:after="40" w:line="264" w:lineRule="auto"/>
        <w:jc w:val="both"/>
      </w:pPr>
      <w:r>
        <w:rPr>
          <w:color w:val="1A1A1A"/>
          <w:sz w:val="19"/>
          <w:szCs w:val="19"/>
        </w:rPr>
        <w:t>Mesures de protection positives et justice sociale.</w:t>
      </w:r>
    </w:p>
    <w:p w14:paraId="4AD6AE18" w14:textId="77777777" w:rsidR="00DF4DE6" w:rsidRDefault="001B2AC3" w:rsidP="00240AE0">
      <w:pPr>
        <w:pStyle w:val="Paragraphedeliste"/>
        <w:numPr>
          <w:ilvl w:val="0"/>
          <w:numId w:val="2"/>
        </w:numPr>
        <w:spacing w:after="40" w:line="264" w:lineRule="auto"/>
        <w:jc w:val="both"/>
      </w:pPr>
      <w:r>
        <w:rPr>
          <w:color w:val="1A1A1A"/>
          <w:sz w:val="19"/>
          <w:szCs w:val="19"/>
        </w:rPr>
        <w:t>Dignité humaine.</w:t>
      </w:r>
    </w:p>
    <w:p w14:paraId="28E1B8AB" w14:textId="77777777" w:rsidR="00DF4DE6" w:rsidRDefault="001B2AC3" w:rsidP="00240AE0">
      <w:pPr>
        <w:pStyle w:val="Paragraphedeliste"/>
        <w:numPr>
          <w:ilvl w:val="0"/>
          <w:numId w:val="2"/>
        </w:numPr>
        <w:spacing w:after="40" w:line="264" w:lineRule="auto"/>
        <w:jc w:val="both"/>
      </w:pPr>
      <w:r>
        <w:rPr>
          <w:color w:val="1A1A1A"/>
          <w:sz w:val="19"/>
          <w:szCs w:val="19"/>
        </w:rPr>
        <w:t>Inclusion sociale.</w:t>
      </w:r>
    </w:p>
    <w:p w14:paraId="76764BD0" w14:textId="77777777" w:rsidR="00DF4DE6" w:rsidRDefault="001B2AC3" w:rsidP="00240AE0">
      <w:pPr>
        <w:pStyle w:val="Paragraphedeliste"/>
        <w:numPr>
          <w:ilvl w:val="0"/>
          <w:numId w:val="2"/>
        </w:numPr>
        <w:spacing w:after="40" w:line="264" w:lineRule="auto"/>
        <w:jc w:val="both"/>
      </w:pPr>
      <w:r>
        <w:rPr>
          <w:color w:val="1A1A1A"/>
          <w:sz w:val="19"/>
          <w:szCs w:val="19"/>
        </w:rPr>
        <w:t>Minorités.</w:t>
      </w:r>
    </w:p>
    <w:p w14:paraId="334766A5" w14:textId="77777777" w:rsidR="00DF4DE6" w:rsidRDefault="001B2AC3" w:rsidP="00240AE0">
      <w:pPr>
        <w:pStyle w:val="Paragraphedeliste"/>
        <w:numPr>
          <w:ilvl w:val="0"/>
          <w:numId w:val="2"/>
        </w:numPr>
        <w:spacing w:after="40" w:line="264" w:lineRule="auto"/>
        <w:jc w:val="both"/>
      </w:pPr>
      <w:r>
        <w:rPr>
          <w:color w:val="1A1A1A"/>
          <w:sz w:val="19"/>
          <w:szCs w:val="19"/>
        </w:rPr>
        <w:t>Protection contre les violences.</w:t>
      </w:r>
    </w:p>
    <w:p w14:paraId="553999FD" w14:textId="77777777" w:rsidR="00DF4DE6" w:rsidRDefault="001B2AC3" w:rsidP="00240AE0">
      <w:pPr>
        <w:pStyle w:val="Paragraphedeliste"/>
        <w:numPr>
          <w:ilvl w:val="0"/>
          <w:numId w:val="2"/>
        </w:numPr>
        <w:spacing w:after="40" w:line="264" w:lineRule="auto"/>
        <w:jc w:val="both"/>
      </w:pPr>
      <w:r>
        <w:rPr>
          <w:color w:val="1A1A1A"/>
          <w:sz w:val="19"/>
          <w:szCs w:val="19"/>
        </w:rPr>
        <w:t>Vulnérabilités socio-économiques.</w:t>
      </w:r>
    </w:p>
    <w:p w14:paraId="1DD554C8" w14:textId="77777777" w:rsidR="00DF4DE6" w:rsidRDefault="001B2AC3" w:rsidP="00240AE0">
      <w:pPr>
        <w:pStyle w:val="Paragraphedeliste"/>
        <w:numPr>
          <w:ilvl w:val="0"/>
          <w:numId w:val="2"/>
        </w:numPr>
        <w:spacing w:after="40" w:line="264" w:lineRule="auto"/>
        <w:jc w:val="both"/>
      </w:pPr>
      <w:r>
        <w:rPr>
          <w:color w:val="1A1A1A"/>
          <w:sz w:val="19"/>
          <w:szCs w:val="19"/>
        </w:rPr>
        <w:t xml:space="preserve">Droit à la santé. La vulnérabilité est une notion juridique difficilement saisissable et pourtant de plus en plus présente dans le droit. Le terme provient du latin </w:t>
      </w:r>
      <w:proofErr w:type="spellStart"/>
      <w:r>
        <w:rPr>
          <w:color w:val="1A1A1A"/>
          <w:sz w:val="19"/>
          <w:szCs w:val="19"/>
        </w:rPr>
        <w:t>vulnero</w:t>
      </w:r>
      <w:proofErr w:type="spellEnd"/>
      <w:r>
        <w:rPr>
          <w:color w:val="1A1A1A"/>
          <w:sz w:val="19"/>
          <w:szCs w:val="19"/>
        </w:rPr>
        <w:t xml:space="preserve"> (blesser) et </w:t>
      </w:r>
      <w:proofErr w:type="spellStart"/>
      <w:r>
        <w:rPr>
          <w:color w:val="1A1A1A"/>
          <w:sz w:val="19"/>
          <w:szCs w:val="19"/>
        </w:rPr>
        <w:t>vulneratio</w:t>
      </w:r>
      <w:proofErr w:type="spellEnd"/>
      <w:r>
        <w:rPr>
          <w:color w:val="1A1A1A"/>
          <w:sz w:val="19"/>
          <w:szCs w:val="19"/>
        </w:rPr>
        <w:t xml:space="preserve"> (l’atteinte).</w:t>
      </w:r>
    </w:p>
    <w:p w14:paraId="1C223647" w14:textId="77777777" w:rsidR="00DF4DE6" w:rsidRDefault="001B2AC3" w:rsidP="00240AE0">
      <w:pPr>
        <w:spacing w:before="200" w:after="70"/>
        <w:jc w:val="both"/>
      </w:pPr>
      <w:r>
        <w:rPr>
          <w:b/>
          <w:bCs/>
          <w:color w:val="2E5A88"/>
          <w:spacing w:val="24"/>
          <w:sz w:val="17"/>
          <w:szCs w:val="17"/>
        </w:rPr>
        <w:t>PLAN DE LA FICHE</w:t>
      </w:r>
    </w:p>
    <w:p w14:paraId="67890F6B" w14:textId="77777777" w:rsidR="00DF4DE6" w:rsidRDefault="001B2AC3" w:rsidP="00240AE0">
      <w:pPr>
        <w:spacing w:after="20" w:line="250" w:lineRule="auto"/>
        <w:ind w:left="240"/>
        <w:jc w:val="both"/>
      </w:pPr>
      <w:r>
        <w:rPr>
          <w:b/>
          <w:bCs/>
          <w:color w:val="1F3864"/>
          <w:sz w:val="19"/>
          <w:szCs w:val="19"/>
        </w:rPr>
        <w:t>1. Vulnérabilité et notion d’égalité</w:t>
      </w:r>
    </w:p>
    <w:p w14:paraId="10215C9B" w14:textId="77777777" w:rsidR="00DF4DE6" w:rsidRDefault="001B2AC3" w:rsidP="00240AE0">
      <w:pPr>
        <w:spacing w:after="20" w:line="250" w:lineRule="auto"/>
        <w:ind w:left="240"/>
        <w:jc w:val="both"/>
      </w:pPr>
      <w:r>
        <w:rPr>
          <w:b/>
          <w:bCs/>
          <w:color w:val="1F3864"/>
          <w:sz w:val="19"/>
          <w:szCs w:val="19"/>
        </w:rPr>
        <w:t>2. Les cas spécifiques de vulnérabilité saisie par le droit</w:t>
      </w:r>
    </w:p>
    <w:p w14:paraId="6AEA6CE4" w14:textId="77777777" w:rsidR="00DF4DE6" w:rsidRDefault="001B2AC3" w:rsidP="00240AE0">
      <w:pPr>
        <w:spacing w:after="20" w:line="250" w:lineRule="auto"/>
        <w:ind w:left="500"/>
        <w:jc w:val="both"/>
      </w:pPr>
      <w:r>
        <w:rPr>
          <w:color w:val="333333"/>
          <w:sz w:val="18"/>
          <w:szCs w:val="18"/>
        </w:rPr>
        <w:t>2.1. Vulnérabilité et capacité</w:t>
      </w:r>
    </w:p>
    <w:p w14:paraId="3E6044B7" w14:textId="77777777" w:rsidR="00DF4DE6" w:rsidRDefault="001B2AC3" w:rsidP="00240AE0">
      <w:pPr>
        <w:spacing w:after="20" w:line="250" w:lineRule="auto"/>
        <w:ind w:left="760"/>
        <w:jc w:val="both"/>
      </w:pPr>
      <w:r>
        <w:rPr>
          <w:color w:val="595959"/>
          <w:sz w:val="18"/>
          <w:szCs w:val="18"/>
        </w:rPr>
        <w:t>2.1.1. Les enfants</w:t>
      </w:r>
    </w:p>
    <w:p w14:paraId="0E38EAE3" w14:textId="77777777" w:rsidR="00DF4DE6" w:rsidRDefault="001B2AC3" w:rsidP="00240AE0">
      <w:pPr>
        <w:spacing w:after="20" w:line="250" w:lineRule="auto"/>
        <w:ind w:left="760"/>
        <w:jc w:val="both"/>
      </w:pPr>
      <w:r>
        <w:rPr>
          <w:color w:val="595959"/>
          <w:sz w:val="18"/>
          <w:szCs w:val="18"/>
        </w:rPr>
        <w:t>2.1.2. Les majeurs protégés</w:t>
      </w:r>
    </w:p>
    <w:p w14:paraId="3897C81A" w14:textId="77777777" w:rsidR="00DF4DE6" w:rsidRDefault="001B2AC3" w:rsidP="00240AE0">
      <w:pPr>
        <w:spacing w:after="20" w:line="250" w:lineRule="auto"/>
        <w:ind w:left="500"/>
        <w:jc w:val="both"/>
      </w:pPr>
      <w:r>
        <w:rPr>
          <w:color w:val="333333"/>
          <w:sz w:val="18"/>
          <w:szCs w:val="18"/>
        </w:rPr>
        <w:t>2.2. Vulnérabilité et handicap</w:t>
      </w:r>
    </w:p>
    <w:p w14:paraId="31E46BC8" w14:textId="77777777" w:rsidR="00DF4DE6" w:rsidRDefault="001B2AC3" w:rsidP="00240AE0">
      <w:pPr>
        <w:spacing w:after="20" w:line="250" w:lineRule="auto"/>
        <w:ind w:left="500"/>
        <w:jc w:val="both"/>
      </w:pPr>
      <w:r>
        <w:rPr>
          <w:color w:val="333333"/>
          <w:sz w:val="18"/>
          <w:szCs w:val="18"/>
        </w:rPr>
        <w:t>2.3. Vulnérabilité des groupes minoritaires</w:t>
      </w:r>
    </w:p>
    <w:p w14:paraId="2307A56F" w14:textId="77777777" w:rsidR="00DF4DE6" w:rsidRDefault="001B2AC3" w:rsidP="00240AE0">
      <w:pPr>
        <w:spacing w:after="20" w:line="250" w:lineRule="auto"/>
        <w:ind w:left="500"/>
        <w:jc w:val="both"/>
      </w:pPr>
      <w:r>
        <w:rPr>
          <w:color w:val="333333"/>
          <w:sz w:val="18"/>
          <w:szCs w:val="18"/>
        </w:rPr>
        <w:t>2.4. Les étrangers et apatrides</w:t>
      </w:r>
    </w:p>
    <w:p w14:paraId="77625BA1" w14:textId="77777777" w:rsidR="00DF4DE6" w:rsidRDefault="001B2AC3" w:rsidP="00240AE0">
      <w:pPr>
        <w:spacing w:after="20" w:line="250" w:lineRule="auto"/>
        <w:ind w:left="500"/>
        <w:jc w:val="both"/>
      </w:pPr>
      <w:r>
        <w:rPr>
          <w:color w:val="333333"/>
          <w:sz w:val="18"/>
          <w:szCs w:val="18"/>
        </w:rPr>
        <w:t>2.5. Les minorités sexuelles</w:t>
      </w:r>
    </w:p>
    <w:p w14:paraId="13621432" w14:textId="77777777" w:rsidR="00DF4DE6" w:rsidRDefault="001B2AC3" w:rsidP="00240AE0">
      <w:pPr>
        <w:spacing w:after="20" w:line="250" w:lineRule="auto"/>
        <w:ind w:left="500"/>
        <w:jc w:val="both"/>
      </w:pPr>
      <w:r>
        <w:rPr>
          <w:color w:val="333333"/>
          <w:sz w:val="18"/>
          <w:szCs w:val="18"/>
        </w:rPr>
        <w:t>2.6. Les femmes</w:t>
      </w:r>
    </w:p>
    <w:p w14:paraId="34AD7A70" w14:textId="77777777" w:rsidR="00DF4DE6" w:rsidRDefault="001B2AC3" w:rsidP="00240AE0">
      <w:pPr>
        <w:spacing w:after="20" w:line="250" w:lineRule="auto"/>
        <w:ind w:left="500"/>
        <w:jc w:val="both"/>
      </w:pPr>
      <w:r>
        <w:rPr>
          <w:color w:val="333333"/>
          <w:sz w:val="18"/>
          <w:szCs w:val="18"/>
        </w:rPr>
        <w:t>2.7. La vulnérabilité socio-économique</w:t>
      </w:r>
    </w:p>
    <w:p w14:paraId="7E3EDDF8" w14:textId="77777777" w:rsidR="00DF4DE6" w:rsidRDefault="001B2AC3" w:rsidP="00240AE0">
      <w:pPr>
        <w:spacing w:after="20" w:line="250" w:lineRule="auto"/>
        <w:ind w:left="240"/>
        <w:jc w:val="both"/>
      </w:pPr>
      <w:r>
        <w:rPr>
          <w:b/>
          <w:bCs/>
          <w:color w:val="1F3864"/>
          <w:sz w:val="19"/>
          <w:szCs w:val="19"/>
        </w:rPr>
        <w:t>3. Des conceptions étendues de la vulnérabilité</w:t>
      </w:r>
    </w:p>
    <w:p w14:paraId="4CD677A4" w14:textId="77777777" w:rsidR="00DF4DE6" w:rsidRDefault="001B2AC3" w:rsidP="00240AE0">
      <w:pPr>
        <w:spacing w:before="200" w:after="70"/>
        <w:jc w:val="both"/>
      </w:pPr>
      <w:r>
        <w:rPr>
          <w:b/>
          <w:bCs/>
          <w:color w:val="2E5A88"/>
          <w:spacing w:val="24"/>
          <w:sz w:val="17"/>
          <w:szCs w:val="17"/>
        </w:rPr>
        <w:t>RÉFÉRENCES CENTRALES</w:t>
      </w:r>
    </w:p>
    <w:p w14:paraId="5AB8B4DB" w14:textId="77777777" w:rsidR="00DF4DE6" w:rsidRDefault="001B2AC3" w:rsidP="00240AE0">
      <w:pPr>
        <w:pStyle w:val="Paragraphedeliste"/>
        <w:numPr>
          <w:ilvl w:val="0"/>
          <w:numId w:val="2"/>
        </w:numPr>
        <w:spacing w:after="40" w:line="264" w:lineRule="auto"/>
        <w:jc w:val="both"/>
      </w:pPr>
      <w:r>
        <w:rPr>
          <w:color w:val="333333"/>
          <w:sz w:val="18"/>
          <w:szCs w:val="18"/>
        </w:rPr>
        <w:t>Préambule de la Constitution de 1946.</w:t>
      </w:r>
    </w:p>
    <w:p w14:paraId="7AFF0D12" w14:textId="77777777" w:rsidR="00DF4DE6" w:rsidRDefault="001B2AC3" w:rsidP="00240AE0">
      <w:pPr>
        <w:pStyle w:val="Paragraphedeliste"/>
        <w:numPr>
          <w:ilvl w:val="0"/>
          <w:numId w:val="2"/>
        </w:numPr>
        <w:spacing w:after="40" w:line="264" w:lineRule="auto"/>
        <w:jc w:val="both"/>
      </w:pPr>
      <w:r>
        <w:rPr>
          <w:color w:val="333333"/>
          <w:sz w:val="18"/>
          <w:szCs w:val="18"/>
        </w:rPr>
        <w:t>Art. 3 et 8 de la Convention européenne des droits de l’homme.</w:t>
      </w:r>
    </w:p>
    <w:p w14:paraId="25A571BD" w14:textId="77777777" w:rsidR="00DF4DE6" w:rsidRDefault="001B2AC3" w:rsidP="00240AE0">
      <w:pPr>
        <w:pStyle w:val="Paragraphedeliste"/>
        <w:numPr>
          <w:ilvl w:val="0"/>
          <w:numId w:val="2"/>
        </w:numPr>
        <w:spacing w:after="40" w:line="264" w:lineRule="auto"/>
        <w:jc w:val="both"/>
      </w:pPr>
      <w:r>
        <w:rPr>
          <w:color w:val="333333"/>
          <w:sz w:val="18"/>
          <w:szCs w:val="18"/>
        </w:rPr>
        <w:t>Art. 11 du Pacte international relatif aux droits économiques, sociaux et culturels.</w:t>
      </w:r>
    </w:p>
    <w:p w14:paraId="57091F6C" w14:textId="77777777" w:rsidR="00DF4DE6" w:rsidRDefault="001B2AC3" w:rsidP="00240AE0">
      <w:pPr>
        <w:pStyle w:val="Paragraphedeliste"/>
        <w:numPr>
          <w:ilvl w:val="0"/>
          <w:numId w:val="2"/>
        </w:numPr>
        <w:spacing w:after="40" w:line="264" w:lineRule="auto"/>
        <w:jc w:val="both"/>
      </w:pPr>
      <w:r>
        <w:rPr>
          <w:color w:val="333333"/>
          <w:sz w:val="18"/>
          <w:szCs w:val="18"/>
        </w:rPr>
        <w:t>Art. 30 et 31 de la Charte sociale européenne révisée.</w:t>
      </w:r>
    </w:p>
    <w:p w14:paraId="1407622E" w14:textId="77777777" w:rsidR="00DF4DE6" w:rsidRDefault="001B2AC3" w:rsidP="00240AE0">
      <w:pPr>
        <w:pStyle w:val="Paragraphedeliste"/>
        <w:numPr>
          <w:ilvl w:val="0"/>
          <w:numId w:val="2"/>
        </w:numPr>
        <w:spacing w:after="40" w:line="264" w:lineRule="auto"/>
        <w:jc w:val="both"/>
      </w:pPr>
      <w:r>
        <w:rPr>
          <w:color w:val="333333"/>
          <w:sz w:val="18"/>
          <w:szCs w:val="18"/>
        </w:rPr>
        <w:t>Art. 21 de la Charte des droits fondamentaux de l’Union européenne.</w:t>
      </w:r>
    </w:p>
    <w:p w14:paraId="7A4E406B" w14:textId="77777777" w:rsidR="00DF4DE6" w:rsidRDefault="001B2AC3" w:rsidP="00240AE0">
      <w:pPr>
        <w:pStyle w:val="Paragraphedeliste"/>
        <w:numPr>
          <w:ilvl w:val="0"/>
          <w:numId w:val="2"/>
        </w:numPr>
        <w:spacing w:after="40" w:line="264" w:lineRule="auto"/>
        <w:jc w:val="both"/>
      </w:pPr>
      <w:r>
        <w:rPr>
          <w:color w:val="333333"/>
          <w:sz w:val="18"/>
          <w:szCs w:val="18"/>
        </w:rPr>
        <w:t>Art. 222-4 du Code pénal.</w:t>
      </w:r>
    </w:p>
    <w:p w14:paraId="270A548A" w14:textId="77777777" w:rsidR="00DF4DE6" w:rsidRDefault="001B2AC3" w:rsidP="00240AE0">
      <w:pPr>
        <w:pStyle w:val="Paragraphedeliste"/>
        <w:numPr>
          <w:ilvl w:val="0"/>
          <w:numId w:val="2"/>
        </w:numPr>
        <w:spacing w:after="40" w:line="264" w:lineRule="auto"/>
        <w:jc w:val="both"/>
      </w:pPr>
      <w:r>
        <w:rPr>
          <w:color w:val="333333"/>
          <w:sz w:val="18"/>
          <w:szCs w:val="18"/>
        </w:rPr>
        <w:t>Art. 1146 du Code civil.</w:t>
      </w:r>
    </w:p>
    <w:p w14:paraId="5259FBC9" w14:textId="77777777" w:rsidR="00DF4DE6" w:rsidRDefault="001B2AC3" w:rsidP="00240AE0">
      <w:pPr>
        <w:pStyle w:val="Paragraphedeliste"/>
        <w:numPr>
          <w:ilvl w:val="0"/>
          <w:numId w:val="2"/>
        </w:numPr>
        <w:spacing w:after="40" w:line="264" w:lineRule="auto"/>
        <w:jc w:val="both"/>
      </w:pPr>
      <w:r>
        <w:rPr>
          <w:color w:val="333333"/>
          <w:sz w:val="18"/>
          <w:szCs w:val="18"/>
        </w:rPr>
        <w:t>Art. L. 114-1 du Code de l’action sociale et des familles.</w:t>
      </w:r>
    </w:p>
    <w:p w14:paraId="611D3D10" w14:textId="77777777" w:rsidR="00DF4DE6" w:rsidRDefault="001B2AC3" w:rsidP="00240AE0">
      <w:pPr>
        <w:pStyle w:val="Paragraphedeliste"/>
        <w:numPr>
          <w:ilvl w:val="0"/>
          <w:numId w:val="2"/>
        </w:numPr>
        <w:spacing w:after="40" w:line="264" w:lineRule="auto"/>
        <w:jc w:val="both"/>
      </w:pPr>
      <w:r>
        <w:rPr>
          <w:color w:val="333333"/>
          <w:sz w:val="18"/>
          <w:szCs w:val="18"/>
        </w:rPr>
        <w:t>Art. L. 522-1 du Code de l’entrée et du séjour des étrangers et du droit d’asile.</w:t>
      </w:r>
    </w:p>
    <w:p w14:paraId="39BC6FFF" w14:textId="77777777" w:rsidR="00DF4DE6" w:rsidRDefault="00DF4DE6" w:rsidP="00240AE0">
      <w:pPr>
        <w:pBdr>
          <w:top w:val="single" w:sz="6" w:space="0" w:color="C7D2E0"/>
        </w:pBdr>
        <w:spacing w:before="260" w:after="180"/>
        <w:jc w:val="both"/>
      </w:pPr>
    </w:p>
    <w:p w14:paraId="0D2153AB" w14:textId="77777777" w:rsidR="00DF4DE6" w:rsidRDefault="001B2AC3" w:rsidP="00240AE0">
      <w:pPr>
        <w:pStyle w:val="Titre2"/>
        <w:spacing w:after="30"/>
        <w:jc w:val="both"/>
      </w:pPr>
      <w:r>
        <w:rPr>
          <w:b/>
          <w:bCs/>
          <w:color w:val="2E5A88"/>
          <w:sz w:val="22"/>
          <w:szCs w:val="22"/>
        </w:rPr>
        <w:t xml:space="preserve">Fiche </w:t>
      </w:r>
      <w:proofErr w:type="gramStart"/>
      <w:r>
        <w:rPr>
          <w:b/>
          <w:bCs/>
          <w:color w:val="2E5A88"/>
          <w:sz w:val="22"/>
          <w:szCs w:val="22"/>
        </w:rPr>
        <w:t>56  ·</w:t>
      </w:r>
      <w:proofErr w:type="gramEnd"/>
      <w:r>
        <w:rPr>
          <w:b/>
          <w:bCs/>
          <w:color w:val="2E5A88"/>
          <w:sz w:val="22"/>
          <w:szCs w:val="22"/>
        </w:rPr>
        <w:t xml:space="preserve">  </w:t>
      </w:r>
      <w:r>
        <w:rPr>
          <w:rFonts w:ascii="Cambria" w:eastAsia="Cambria" w:hAnsi="Cambria" w:cs="Cambria"/>
          <w:b/>
          <w:bCs/>
          <w:color w:val="1F3864"/>
        </w:rPr>
        <w:t>Les mesures d’inégalité compensatoire</w:t>
      </w:r>
    </w:p>
    <w:p w14:paraId="52938C47" w14:textId="77777777" w:rsidR="00DF4DE6" w:rsidRDefault="001B2AC3" w:rsidP="00240AE0">
      <w:pPr>
        <w:spacing w:after="120"/>
        <w:jc w:val="both"/>
      </w:pPr>
      <w:r>
        <w:rPr>
          <w:i/>
          <w:iCs/>
          <w:color w:val="595959"/>
          <w:sz w:val="17"/>
          <w:szCs w:val="17"/>
        </w:rPr>
        <w:t>Fascicule, p. 571</w:t>
      </w:r>
    </w:p>
    <w:p w14:paraId="017972BD" w14:textId="77777777" w:rsidR="00DF4DE6" w:rsidRDefault="001B2AC3" w:rsidP="00240AE0">
      <w:pPr>
        <w:spacing w:before="200" w:after="70"/>
        <w:jc w:val="both"/>
      </w:pPr>
      <w:r>
        <w:rPr>
          <w:b/>
          <w:bCs/>
          <w:color w:val="2E5A88"/>
          <w:spacing w:val="24"/>
          <w:sz w:val="17"/>
          <w:szCs w:val="17"/>
        </w:rPr>
        <w:t>IDÉE DIRECTRICE</w:t>
      </w:r>
    </w:p>
    <w:p w14:paraId="2B336233" w14:textId="77777777" w:rsidR="00DF4DE6" w:rsidRDefault="001B2AC3" w:rsidP="00240AE0">
      <w:pPr>
        <w:spacing w:after="60" w:line="276" w:lineRule="auto"/>
        <w:jc w:val="both"/>
      </w:pPr>
      <w:r>
        <w:t xml:space="preserve">Le troisième temps de la partie : comment corriger l'inégalité de fait. La fiche pose le vocabulaire (droit de la non-discrimination / « droit de l'égalisation », discrimination négative / positive, mesures préférentielles / actions positives), expose la discrimination positive « à la française » et son équilibre fragile, puis la correction juridictionnelle par les quatre cours (Conseil constitutionnel, Conseil d'État, Cour européenne, Cour de justice). Elle se termine sur les critiques et sur le </w:t>
      </w:r>
      <w:proofErr w:type="spellStart"/>
      <w:r>
        <w:t>débiaisement</w:t>
      </w:r>
      <w:proofErr w:type="spellEnd"/>
      <w:r>
        <w:t xml:space="preserve"> des systèmes d'IA.</w:t>
      </w:r>
    </w:p>
    <w:p w14:paraId="6D4B1871" w14:textId="77777777" w:rsidR="00DF4DE6" w:rsidRDefault="001B2AC3" w:rsidP="00240AE0">
      <w:pPr>
        <w:spacing w:before="200" w:after="70"/>
        <w:jc w:val="both"/>
      </w:pPr>
      <w:r>
        <w:rPr>
          <w:b/>
          <w:bCs/>
          <w:color w:val="2E5A88"/>
          <w:spacing w:val="24"/>
          <w:sz w:val="17"/>
          <w:szCs w:val="17"/>
        </w:rPr>
        <w:t>POINTS CLÉS (ENCADRÉ DU FASCICULE)</w:t>
      </w:r>
    </w:p>
    <w:p w14:paraId="74F58B31" w14:textId="77777777" w:rsidR="00DF4DE6" w:rsidRDefault="001B2AC3" w:rsidP="00240AE0">
      <w:pPr>
        <w:pStyle w:val="Paragraphedeliste"/>
        <w:numPr>
          <w:ilvl w:val="0"/>
          <w:numId w:val="2"/>
        </w:numPr>
        <w:spacing w:after="40" w:line="264" w:lineRule="auto"/>
        <w:jc w:val="both"/>
      </w:pPr>
      <w:r>
        <w:rPr>
          <w:color w:val="1A1A1A"/>
          <w:sz w:val="19"/>
          <w:szCs w:val="19"/>
        </w:rPr>
        <w:t>Discrimination positive / discrimination négative.</w:t>
      </w:r>
    </w:p>
    <w:p w14:paraId="0AE9BAAF" w14:textId="77777777" w:rsidR="00DF4DE6" w:rsidRDefault="001B2AC3" w:rsidP="00240AE0">
      <w:pPr>
        <w:pStyle w:val="Paragraphedeliste"/>
        <w:numPr>
          <w:ilvl w:val="0"/>
          <w:numId w:val="2"/>
        </w:numPr>
        <w:spacing w:after="40" w:line="264" w:lineRule="auto"/>
        <w:jc w:val="both"/>
      </w:pPr>
      <w:r>
        <w:rPr>
          <w:color w:val="1A1A1A"/>
          <w:sz w:val="19"/>
          <w:szCs w:val="19"/>
        </w:rPr>
        <w:t>Droit de la non-discrimination / droit de l’égalisation.</w:t>
      </w:r>
    </w:p>
    <w:p w14:paraId="43AB83FF" w14:textId="77777777" w:rsidR="00DF4DE6" w:rsidRDefault="001B2AC3" w:rsidP="00240AE0">
      <w:pPr>
        <w:pStyle w:val="Paragraphedeliste"/>
        <w:numPr>
          <w:ilvl w:val="0"/>
          <w:numId w:val="2"/>
        </w:numPr>
        <w:spacing w:after="40" w:line="264" w:lineRule="auto"/>
        <w:jc w:val="both"/>
      </w:pPr>
      <w:r>
        <w:rPr>
          <w:color w:val="1A1A1A"/>
          <w:sz w:val="19"/>
          <w:szCs w:val="19"/>
        </w:rPr>
        <w:t>Différentialisme compensatoire / correcteur.</w:t>
      </w:r>
    </w:p>
    <w:p w14:paraId="25F39EDC" w14:textId="77777777" w:rsidR="00DF4DE6" w:rsidRDefault="001B2AC3" w:rsidP="00240AE0">
      <w:pPr>
        <w:pStyle w:val="Paragraphedeliste"/>
        <w:numPr>
          <w:ilvl w:val="0"/>
          <w:numId w:val="2"/>
        </w:numPr>
        <w:spacing w:after="40" w:line="264" w:lineRule="auto"/>
        <w:jc w:val="both"/>
      </w:pPr>
      <w:r>
        <w:rPr>
          <w:color w:val="1A1A1A"/>
          <w:sz w:val="19"/>
          <w:szCs w:val="19"/>
        </w:rPr>
        <w:t>Mesures préférentielles / actions positives.</w:t>
      </w:r>
    </w:p>
    <w:p w14:paraId="0E2233DE" w14:textId="77777777" w:rsidR="00DF4DE6" w:rsidRDefault="001B2AC3" w:rsidP="00240AE0">
      <w:pPr>
        <w:pStyle w:val="Paragraphedeliste"/>
        <w:numPr>
          <w:ilvl w:val="0"/>
          <w:numId w:val="2"/>
        </w:numPr>
        <w:spacing w:after="40" w:line="264" w:lineRule="auto"/>
        <w:jc w:val="both"/>
      </w:pPr>
      <w:r>
        <w:rPr>
          <w:color w:val="1A1A1A"/>
          <w:sz w:val="19"/>
          <w:szCs w:val="19"/>
        </w:rPr>
        <w:t>Traitement différencié justifié par l’intérêt général.</w:t>
      </w:r>
    </w:p>
    <w:p w14:paraId="512C8C3C" w14:textId="77777777" w:rsidR="00DF4DE6" w:rsidRDefault="001B2AC3" w:rsidP="00240AE0">
      <w:pPr>
        <w:pStyle w:val="Paragraphedeliste"/>
        <w:numPr>
          <w:ilvl w:val="0"/>
          <w:numId w:val="2"/>
        </w:numPr>
        <w:spacing w:after="40" w:line="264" w:lineRule="auto"/>
        <w:jc w:val="both"/>
      </w:pPr>
      <w:r>
        <w:rPr>
          <w:color w:val="1A1A1A"/>
          <w:sz w:val="19"/>
          <w:szCs w:val="19"/>
        </w:rPr>
        <w:t>Critères objectifs et différences de situation.</w:t>
      </w:r>
    </w:p>
    <w:p w14:paraId="350CC9AA" w14:textId="77777777" w:rsidR="00DF4DE6" w:rsidRDefault="001B2AC3" w:rsidP="00240AE0">
      <w:pPr>
        <w:pStyle w:val="Paragraphedeliste"/>
        <w:numPr>
          <w:ilvl w:val="0"/>
          <w:numId w:val="2"/>
        </w:numPr>
        <w:spacing w:after="40" w:line="264" w:lineRule="auto"/>
        <w:jc w:val="both"/>
      </w:pPr>
      <w:r>
        <w:rPr>
          <w:color w:val="1A1A1A"/>
          <w:sz w:val="19"/>
          <w:szCs w:val="19"/>
        </w:rPr>
        <w:t>Quotas et objectifs chiffrés.</w:t>
      </w:r>
    </w:p>
    <w:p w14:paraId="46A15FDD" w14:textId="77777777" w:rsidR="00DF4DE6" w:rsidRDefault="001B2AC3" w:rsidP="00240AE0">
      <w:pPr>
        <w:pStyle w:val="Paragraphedeliste"/>
        <w:numPr>
          <w:ilvl w:val="0"/>
          <w:numId w:val="2"/>
        </w:numPr>
        <w:spacing w:after="40" w:line="264" w:lineRule="auto"/>
        <w:jc w:val="both"/>
      </w:pPr>
      <w:r>
        <w:rPr>
          <w:color w:val="1A1A1A"/>
          <w:sz w:val="19"/>
          <w:szCs w:val="19"/>
        </w:rPr>
        <w:t>Principe d’égalité à géométrie variable.</w:t>
      </w:r>
    </w:p>
    <w:p w14:paraId="37E78AB6" w14:textId="77777777" w:rsidR="00DF4DE6" w:rsidRDefault="001B2AC3" w:rsidP="00240AE0">
      <w:pPr>
        <w:pStyle w:val="Paragraphedeliste"/>
        <w:numPr>
          <w:ilvl w:val="0"/>
          <w:numId w:val="2"/>
        </w:numPr>
        <w:spacing w:after="40" w:line="264" w:lineRule="auto"/>
        <w:jc w:val="both"/>
      </w:pPr>
      <w:r>
        <w:rPr>
          <w:color w:val="1A1A1A"/>
          <w:sz w:val="19"/>
          <w:szCs w:val="19"/>
        </w:rPr>
        <w:t>Inégalité juridique temporaire pour égalité de fait.</w:t>
      </w:r>
    </w:p>
    <w:p w14:paraId="48C13166" w14:textId="77777777" w:rsidR="00DF4DE6" w:rsidRDefault="001B2AC3" w:rsidP="00240AE0">
      <w:pPr>
        <w:spacing w:before="200" w:after="70"/>
        <w:jc w:val="both"/>
      </w:pPr>
      <w:r>
        <w:rPr>
          <w:b/>
          <w:bCs/>
          <w:color w:val="2E5A88"/>
          <w:spacing w:val="24"/>
          <w:sz w:val="17"/>
          <w:szCs w:val="17"/>
        </w:rPr>
        <w:t>PLAN DE LA FICHE</w:t>
      </w:r>
    </w:p>
    <w:p w14:paraId="3690E242" w14:textId="77777777" w:rsidR="00DF4DE6" w:rsidRDefault="001B2AC3" w:rsidP="00240AE0">
      <w:pPr>
        <w:spacing w:after="20" w:line="250" w:lineRule="auto"/>
        <w:ind w:left="240"/>
        <w:jc w:val="both"/>
      </w:pPr>
      <w:r>
        <w:rPr>
          <w:b/>
          <w:bCs/>
          <w:color w:val="1F3864"/>
          <w:sz w:val="19"/>
          <w:szCs w:val="19"/>
        </w:rPr>
        <w:t>1. L</w:t>
      </w:r>
      <w:proofErr w:type="gramStart"/>
      <w:r>
        <w:rPr>
          <w:b/>
          <w:bCs/>
          <w:color w:val="1F3864"/>
          <w:sz w:val="19"/>
          <w:szCs w:val="19"/>
        </w:rPr>
        <w:t>’«</w:t>
      </w:r>
      <w:proofErr w:type="gramEnd"/>
      <w:r>
        <w:rPr>
          <w:b/>
          <w:bCs/>
          <w:color w:val="1F3864"/>
          <w:sz w:val="19"/>
          <w:szCs w:val="19"/>
        </w:rPr>
        <w:t xml:space="preserve"> égalité réelle » par la rupture de l</w:t>
      </w:r>
      <w:proofErr w:type="gramStart"/>
      <w:r>
        <w:rPr>
          <w:b/>
          <w:bCs/>
          <w:color w:val="1F3864"/>
          <w:sz w:val="19"/>
          <w:szCs w:val="19"/>
        </w:rPr>
        <w:t>’«</w:t>
      </w:r>
      <w:proofErr w:type="gramEnd"/>
      <w:r>
        <w:rPr>
          <w:b/>
          <w:bCs/>
          <w:color w:val="1F3864"/>
          <w:sz w:val="19"/>
          <w:szCs w:val="19"/>
        </w:rPr>
        <w:t xml:space="preserve"> égalité formelle »</w:t>
      </w:r>
    </w:p>
    <w:p w14:paraId="6F44CD66" w14:textId="77777777" w:rsidR="00DF4DE6" w:rsidRDefault="001B2AC3" w:rsidP="00240AE0">
      <w:pPr>
        <w:spacing w:after="20" w:line="250" w:lineRule="auto"/>
        <w:ind w:left="500"/>
        <w:jc w:val="both"/>
      </w:pPr>
      <w:r>
        <w:rPr>
          <w:color w:val="333333"/>
          <w:sz w:val="18"/>
          <w:szCs w:val="18"/>
        </w:rPr>
        <w:t>1.1. Droit de la non-discrimination et « droit de l’égalisation »</w:t>
      </w:r>
    </w:p>
    <w:p w14:paraId="3D88B093" w14:textId="77777777" w:rsidR="00DF4DE6" w:rsidRDefault="001B2AC3" w:rsidP="00240AE0">
      <w:pPr>
        <w:spacing w:after="20" w:line="250" w:lineRule="auto"/>
        <w:ind w:left="500"/>
        <w:jc w:val="both"/>
      </w:pPr>
      <w:r>
        <w:rPr>
          <w:color w:val="333333"/>
          <w:sz w:val="18"/>
          <w:szCs w:val="18"/>
        </w:rPr>
        <w:t>1.2. Discrimination négative et discrimination positive</w:t>
      </w:r>
    </w:p>
    <w:p w14:paraId="3FEACE3F" w14:textId="77777777" w:rsidR="00DF4DE6" w:rsidRDefault="001B2AC3" w:rsidP="00240AE0">
      <w:pPr>
        <w:spacing w:after="20" w:line="250" w:lineRule="auto"/>
        <w:ind w:left="760"/>
        <w:jc w:val="both"/>
      </w:pPr>
      <w:r>
        <w:rPr>
          <w:color w:val="595959"/>
          <w:sz w:val="18"/>
          <w:szCs w:val="18"/>
        </w:rPr>
        <w:t>1.2.1. Mesures préférentielles et actions positives</w:t>
      </w:r>
    </w:p>
    <w:p w14:paraId="2DF70E5F" w14:textId="77777777" w:rsidR="00DF4DE6" w:rsidRDefault="001B2AC3" w:rsidP="00240AE0">
      <w:pPr>
        <w:spacing w:after="20" w:line="250" w:lineRule="auto"/>
        <w:ind w:left="760"/>
        <w:jc w:val="both"/>
      </w:pPr>
      <w:r>
        <w:rPr>
          <w:color w:val="595959"/>
          <w:sz w:val="18"/>
          <w:szCs w:val="18"/>
        </w:rPr>
        <w:t>1.2.2. Un équilibre fragile entre égalité et différenciation</w:t>
      </w:r>
    </w:p>
    <w:p w14:paraId="79EF10EC" w14:textId="77777777" w:rsidR="00DF4DE6" w:rsidRDefault="001B2AC3" w:rsidP="00240AE0">
      <w:pPr>
        <w:spacing w:after="20" w:line="250" w:lineRule="auto"/>
        <w:ind w:left="760"/>
        <w:jc w:val="both"/>
      </w:pPr>
      <w:r>
        <w:rPr>
          <w:color w:val="595959"/>
          <w:sz w:val="18"/>
          <w:szCs w:val="18"/>
        </w:rPr>
        <w:t>1.2.3. La discrimination positive à la française</w:t>
      </w:r>
    </w:p>
    <w:p w14:paraId="636939B3" w14:textId="77777777" w:rsidR="00DF4DE6" w:rsidRDefault="001B2AC3" w:rsidP="00240AE0">
      <w:pPr>
        <w:spacing w:after="20" w:line="250" w:lineRule="auto"/>
        <w:ind w:left="500"/>
        <w:jc w:val="both"/>
      </w:pPr>
      <w:r>
        <w:rPr>
          <w:color w:val="333333"/>
          <w:sz w:val="18"/>
          <w:szCs w:val="18"/>
        </w:rPr>
        <w:t>1.3. L’exemple de la Charte des droits fondamentaux de l’Union européenne</w:t>
      </w:r>
    </w:p>
    <w:p w14:paraId="56D76D8E" w14:textId="77777777" w:rsidR="00DF4DE6" w:rsidRDefault="001B2AC3" w:rsidP="00240AE0">
      <w:pPr>
        <w:spacing w:after="20" w:line="250" w:lineRule="auto"/>
        <w:ind w:left="240"/>
        <w:jc w:val="both"/>
      </w:pPr>
      <w:r>
        <w:rPr>
          <w:b/>
          <w:bCs/>
          <w:color w:val="1F3864"/>
          <w:sz w:val="19"/>
          <w:szCs w:val="19"/>
        </w:rPr>
        <w:t>2. La correction juridictionnelle des inégalités structurelles</w:t>
      </w:r>
    </w:p>
    <w:p w14:paraId="2192BF26" w14:textId="77777777" w:rsidR="00DF4DE6" w:rsidRDefault="001B2AC3" w:rsidP="00240AE0">
      <w:pPr>
        <w:spacing w:after="20" w:line="250" w:lineRule="auto"/>
        <w:ind w:left="500"/>
        <w:jc w:val="both"/>
      </w:pPr>
      <w:r>
        <w:rPr>
          <w:color w:val="333333"/>
          <w:sz w:val="18"/>
          <w:szCs w:val="18"/>
        </w:rPr>
        <w:t>2.1. Le Conseil constitutionnel</w:t>
      </w:r>
    </w:p>
    <w:p w14:paraId="15BBD120" w14:textId="77777777" w:rsidR="00DF4DE6" w:rsidRDefault="001B2AC3" w:rsidP="00240AE0">
      <w:pPr>
        <w:spacing w:after="20" w:line="250" w:lineRule="auto"/>
        <w:ind w:left="500"/>
        <w:jc w:val="both"/>
      </w:pPr>
      <w:r>
        <w:rPr>
          <w:color w:val="333333"/>
          <w:sz w:val="18"/>
          <w:szCs w:val="18"/>
        </w:rPr>
        <w:t>2.2. Le Conseil d’État</w:t>
      </w:r>
    </w:p>
    <w:p w14:paraId="61527491" w14:textId="77777777" w:rsidR="00DF4DE6" w:rsidRDefault="001B2AC3" w:rsidP="00240AE0">
      <w:pPr>
        <w:spacing w:after="20" w:line="250" w:lineRule="auto"/>
        <w:ind w:left="500"/>
        <w:jc w:val="both"/>
      </w:pPr>
      <w:r>
        <w:rPr>
          <w:color w:val="333333"/>
          <w:sz w:val="18"/>
          <w:szCs w:val="18"/>
        </w:rPr>
        <w:t>2.3. La Cour européenne des droits de l’homme</w:t>
      </w:r>
    </w:p>
    <w:p w14:paraId="334EC481" w14:textId="77777777" w:rsidR="00DF4DE6" w:rsidRDefault="001B2AC3" w:rsidP="00240AE0">
      <w:pPr>
        <w:spacing w:after="20" w:line="250" w:lineRule="auto"/>
        <w:ind w:left="500"/>
        <w:jc w:val="both"/>
      </w:pPr>
      <w:r>
        <w:rPr>
          <w:color w:val="333333"/>
          <w:sz w:val="18"/>
          <w:szCs w:val="18"/>
        </w:rPr>
        <w:t>2.4. Cour de justice de l’Union européenne</w:t>
      </w:r>
    </w:p>
    <w:p w14:paraId="6FD55CEE" w14:textId="77777777" w:rsidR="00DF4DE6" w:rsidRDefault="001B2AC3" w:rsidP="00240AE0">
      <w:pPr>
        <w:spacing w:after="20" w:line="250" w:lineRule="auto"/>
        <w:ind w:left="240"/>
        <w:jc w:val="both"/>
      </w:pPr>
      <w:r>
        <w:rPr>
          <w:b/>
          <w:bCs/>
          <w:color w:val="1F3864"/>
          <w:sz w:val="19"/>
          <w:szCs w:val="19"/>
        </w:rPr>
        <w:t>3. Critiques et perspectives</w:t>
      </w:r>
    </w:p>
    <w:p w14:paraId="675B0F05" w14:textId="77777777" w:rsidR="00DF4DE6" w:rsidRDefault="001B2AC3" w:rsidP="00240AE0">
      <w:pPr>
        <w:spacing w:after="20" w:line="250" w:lineRule="auto"/>
        <w:ind w:left="500"/>
        <w:jc w:val="both"/>
      </w:pPr>
      <w:r>
        <w:rPr>
          <w:color w:val="333333"/>
          <w:sz w:val="18"/>
          <w:szCs w:val="18"/>
        </w:rPr>
        <w:t>3.1. Pour ou contre la discrimination positive : des juristes partagés</w:t>
      </w:r>
    </w:p>
    <w:p w14:paraId="2B5C16B3" w14:textId="77777777" w:rsidR="00DF4DE6" w:rsidRDefault="001B2AC3" w:rsidP="00240AE0">
      <w:pPr>
        <w:spacing w:after="20" w:line="250" w:lineRule="auto"/>
        <w:ind w:left="500"/>
        <w:jc w:val="both"/>
      </w:pPr>
      <w:r>
        <w:rPr>
          <w:color w:val="333333"/>
          <w:sz w:val="18"/>
          <w:szCs w:val="18"/>
        </w:rPr>
        <w:t xml:space="preserve">3.2. Le renouvellement discrimination positive consécutive au développement de l’IA : les métriques de </w:t>
      </w:r>
      <w:proofErr w:type="spellStart"/>
      <w:r>
        <w:rPr>
          <w:color w:val="333333"/>
          <w:sz w:val="18"/>
          <w:szCs w:val="18"/>
        </w:rPr>
        <w:t>débiaisement</w:t>
      </w:r>
      <w:proofErr w:type="spellEnd"/>
    </w:p>
    <w:p w14:paraId="06DF8961" w14:textId="77777777" w:rsidR="00DF4DE6" w:rsidRDefault="001B2AC3" w:rsidP="00240AE0">
      <w:pPr>
        <w:spacing w:before="200" w:after="70"/>
        <w:jc w:val="both"/>
      </w:pPr>
      <w:r>
        <w:rPr>
          <w:b/>
          <w:bCs/>
          <w:color w:val="2E5A88"/>
          <w:spacing w:val="24"/>
          <w:sz w:val="17"/>
          <w:szCs w:val="17"/>
        </w:rPr>
        <w:t>RÉFÉRENCES CENTRALES</w:t>
      </w:r>
    </w:p>
    <w:p w14:paraId="48A5F221" w14:textId="77777777" w:rsidR="00DF4DE6" w:rsidRDefault="001B2AC3" w:rsidP="00240AE0">
      <w:pPr>
        <w:pStyle w:val="Paragraphedeliste"/>
        <w:numPr>
          <w:ilvl w:val="0"/>
          <w:numId w:val="2"/>
        </w:numPr>
        <w:spacing w:after="40" w:line="264" w:lineRule="auto"/>
        <w:jc w:val="both"/>
      </w:pPr>
      <w:r>
        <w:rPr>
          <w:color w:val="333333"/>
          <w:sz w:val="18"/>
          <w:szCs w:val="18"/>
        </w:rPr>
        <w:t>Art. 23 CDFUE.</w:t>
      </w:r>
    </w:p>
    <w:p w14:paraId="2146B60E" w14:textId="77777777" w:rsidR="00DF4DE6" w:rsidRDefault="001B2AC3" w:rsidP="00240AE0">
      <w:pPr>
        <w:pStyle w:val="Paragraphedeliste"/>
        <w:numPr>
          <w:ilvl w:val="0"/>
          <w:numId w:val="2"/>
        </w:numPr>
        <w:spacing w:after="40" w:line="264" w:lineRule="auto"/>
        <w:jc w:val="both"/>
      </w:pPr>
      <w:r>
        <w:rPr>
          <w:color w:val="333333"/>
          <w:sz w:val="18"/>
          <w:szCs w:val="18"/>
        </w:rPr>
        <w:t>Révision constitutionnelle du 8 juillet 1999.</w:t>
      </w:r>
    </w:p>
    <w:p w14:paraId="30C2F74D" w14:textId="77777777" w:rsidR="00DF4DE6" w:rsidRDefault="001B2AC3" w:rsidP="00240AE0">
      <w:pPr>
        <w:pStyle w:val="Paragraphedeliste"/>
        <w:numPr>
          <w:ilvl w:val="0"/>
          <w:numId w:val="2"/>
        </w:numPr>
        <w:spacing w:after="40" w:line="264" w:lineRule="auto"/>
        <w:jc w:val="both"/>
      </w:pPr>
      <w:r>
        <w:rPr>
          <w:color w:val="333333"/>
          <w:sz w:val="18"/>
          <w:szCs w:val="18"/>
        </w:rPr>
        <w:t>Révision constitutionnelle du 3 juillet 2008.</w:t>
      </w:r>
    </w:p>
    <w:p w14:paraId="42961200" w14:textId="77777777" w:rsidR="00DF4DE6" w:rsidRDefault="001B2AC3" w:rsidP="00240AE0">
      <w:pPr>
        <w:pStyle w:val="Paragraphedeliste"/>
        <w:numPr>
          <w:ilvl w:val="0"/>
          <w:numId w:val="2"/>
        </w:numPr>
        <w:spacing w:after="40" w:line="264" w:lineRule="auto"/>
        <w:jc w:val="both"/>
      </w:pPr>
      <w:r>
        <w:rPr>
          <w:color w:val="333333"/>
          <w:sz w:val="18"/>
          <w:szCs w:val="18"/>
        </w:rPr>
        <w:t>Convention relative aux droits des personnes handicapées (2000).</w:t>
      </w:r>
    </w:p>
    <w:p w14:paraId="123D595A" w14:textId="77777777" w:rsidR="00DF4DE6" w:rsidRDefault="001B2AC3" w:rsidP="00240AE0">
      <w:pPr>
        <w:pStyle w:val="Paragraphedeliste"/>
        <w:numPr>
          <w:ilvl w:val="0"/>
          <w:numId w:val="2"/>
        </w:numPr>
        <w:spacing w:after="40" w:line="264" w:lineRule="auto"/>
        <w:jc w:val="both"/>
      </w:pPr>
      <w:r>
        <w:rPr>
          <w:color w:val="333333"/>
          <w:sz w:val="18"/>
          <w:szCs w:val="18"/>
        </w:rPr>
        <w:t>CEDH, 23 février 2016, Cam c. Turquie, no 51500/08.</w:t>
      </w:r>
    </w:p>
    <w:p w14:paraId="569992E2" w14:textId="77777777" w:rsidR="00DF4DE6" w:rsidRDefault="001B2AC3" w:rsidP="00240AE0">
      <w:pPr>
        <w:pStyle w:val="Paragraphedeliste"/>
        <w:numPr>
          <w:ilvl w:val="0"/>
          <w:numId w:val="2"/>
        </w:numPr>
        <w:spacing w:after="40" w:line="264" w:lineRule="auto"/>
        <w:jc w:val="both"/>
      </w:pPr>
      <w:r>
        <w:rPr>
          <w:color w:val="333333"/>
          <w:sz w:val="18"/>
          <w:szCs w:val="18"/>
        </w:rPr>
        <w:t>Art. L. 1225-9 du Code du travail.</w:t>
      </w:r>
    </w:p>
    <w:p w14:paraId="5CA4C2FD" w14:textId="77777777" w:rsidR="00DF4DE6" w:rsidRDefault="001B2AC3" w:rsidP="00240AE0">
      <w:pPr>
        <w:pStyle w:val="Paragraphedeliste"/>
        <w:numPr>
          <w:ilvl w:val="0"/>
          <w:numId w:val="2"/>
        </w:numPr>
        <w:spacing w:after="40" w:line="264" w:lineRule="auto"/>
        <w:jc w:val="both"/>
      </w:pPr>
      <w:r>
        <w:rPr>
          <w:color w:val="333333"/>
          <w:sz w:val="18"/>
          <w:szCs w:val="18"/>
        </w:rPr>
        <w:t xml:space="preserve">Cons. </w:t>
      </w:r>
      <w:proofErr w:type="spellStart"/>
      <w:proofErr w:type="gramStart"/>
      <w:r>
        <w:rPr>
          <w:color w:val="333333"/>
          <w:sz w:val="18"/>
          <w:szCs w:val="18"/>
        </w:rPr>
        <w:t>const</w:t>
      </w:r>
      <w:proofErr w:type="spellEnd"/>
      <w:proofErr w:type="gramEnd"/>
      <w:r>
        <w:rPr>
          <w:color w:val="333333"/>
          <w:sz w:val="18"/>
          <w:szCs w:val="18"/>
        </w:rPr>
        <w:t>., déc. no 2003-489 DC, 29 décembre 2003, Loi de finances pour 2004.</w:t>
      </w:r>
    </w:p>
    <w:p w14:paraId="37D94A6A" w14:textId="77777777" w:rsidR="00DF4DE6" w:rsidRDefault="001B2AC3" w:rsidP="00240AE0">
      <w:pPr>
        <w:pStyle w:val="Paragraphedeliste"/>
        <w:numPr>
          <w:ilvl w:val="0"/>
          <w:numId w:val="2"/>
        </w:numPr>
        <w:spacing w:after="40" w:line="264" w:lineRule="auto"/>
        <w:jc w:val="both"/>
      </w:pPr>
      <w:r>
        <w:rPr>
          <w:color w:val="333333"/>
          <w:sz w:val="18"/>
          <w:szCs w:val="18"/>
        </w:rPr>
        <w:t>Directive 2023/970 du 10 mai 2023.</w:t>
      </w:r>
    </w:p>
    <w:p w14:paraId="26088A91" w14:textId="77777777" w:rsidR="00DF4DE6" w:rsidRDefault="001B2AC3" w:rsidP="00240AE0">
      <w:pPr>
        <w:pStyle w:val="Paragraphedeliste"/>
        <w:numPr>
          <w:ilvl w:val="0"/>
          <w:numId w:val="2"/>
        </w:numPr>
        <w:spacing w:after="40" w:line="264" w:lineRule="auto"/>
        <w:jc w:val="both"/>
      </w:pPr>
      <w:r>
        <w:rPr>
          <w:color w:val="333333"/>
          <w:sz w:val="18"/>
          <w:szCs w:val="18"/>
        </w:rPr>
        <w:t>Loi no 2011-103 du 27 janvier 2011.</w:t>
      </w:r>
    </w:p>
    <w:p w14:paraId="30B8B026" w14:textId="77777777" w:rsidR="00DF4DE6" w:rsidRDefault="001B2AC3" w:rsidP="00240AE0">
      <w:pPr>
        <w:jc w:val="both"/>
      </w:pPr>
      <w:r>
        <w:br w:type="page"/>
      </w:r>
    </w:p>
    <w:p w14:paraId="384A629E" w14:textId="77777777" w:rsidR="00DF4DE6" w:rsidRDefault="001B2AC3" w:rsidP="00240AE0">
      <w:pPr>
        <w:spacing w:after="40"/>
        <w:jc w:val="both"/>
      </w:pPr>
      <w:r>
        <w:rPr>
          <w:b/>
          <w:bCs/>
          <w:color w:val="2E5A88"/>
          <w:spacing w:val="50"/>
        </w:rPr>
        <w:lastRenderedPageBreak/>
        <w:t>LECTURE TRANSVERSALE</w:t>
      </w:r>
    </w:p>
    <w:p w14:paraId="18B625D0" w14:textId="77777777" w:rsidR="00DF4DE6" w:rsidRDefault="001B2AC3" w:rsidP="00240AE0">
      <w:pPr>
        <w:pStyle w:val="Titre1"/>
        <w:pBdr>
          <w:bottom w:val="single" w:sz="10" w:space="0" w:color="C7D2E0"/>
        </w:pBdr>
        <w:spacing w:after="100"/>
        <w:jc w:val="both"/>
      </w:pPr>
      <w:r>
        <w:rPr>
          <w:rFonts w:ascii="Cambria" w:eastAsia="Cambria" w:hAnsi="Cambria" w:cs="Cambria"/>
          <w:b/>
          <w:bCs/>
          <w:color w:val="1F3864"/>
          <w:sz w:val="34"/>
          <w:szCs w:val="34"/>
        </w:rPr>
        <w:t>Les fils rouges du fascicule</w:t>
      </w:r>
    </w:p>
    <w:p w14:paraId="1ED54AF2" w14:textId="77777777" w:rsidR="00DF4DE6" w:rsidRDefault="001B2AC3" w:rsidP="00240AE0">
      <w:pPr>
        <w:spacing w:after="180" w:line="276" w:lineRule="auto"/>
        <w:jc w:val="both"/>
      </w:pPr>
      <w:r>
        <w:t>Douze notions reviennent d’une fiche à l’autre et font la cohérence de l’ensemble. Les repérer avant d’apprendre évite de traiter les 56 fiches comme 56 objets séparés : ce sont, pour l’essentiel, les mêmes raisonnements appliqués à des droits différents.</w:t>
      </w:r>
    </w:p>
    <w:p w14:paraId="77A8EA19" w14:textId="77777777" w:rsidR="00DF4DE6" w:rsidRDefault="001B2AC3" w:rsidP="00240AE0">
      <w:pPr>
        <w:spacing w:before="180" w:after="50"/>
        <w:jc w:val="both"/>
      </w:pPr>
      <w:r>
        <w:rPr>
          <w:rFonts w:ascii="Cambria" w:eastAsia="Cambria" w:hAnsi="Cambria" w:cs="Cambria"/>
          <w:b/>
          <w:bCs/>
          <w:color w:val="1F3864"/>
          <w:sz w:val="21"/>
          <w:szCs w:val="21"/>
        </w:rPr>
        <w:t>La dignité comme principe matriciel</w:t>
      </w:r>
    </w:p>
    <w:p w14:paraId="2629A62A" w14:textId="77777777" w:rsidR="00DF4DE6" w:rsidRDefault="001B2AC3" w:rsidP="00240AE0">
      <w:pPr>
        <w:spacing w:after="40" w:line="276" w:lineRule="auto"/>
        <w:jc w:val="both"/>
      </w:pPr>
      <w:r>
        <w:t>Posée en fiche 5 comme le socle des autres principes, elle réapparaît comme fondement de l'intégrité de la personne (27), de l'interdiction des traitements inhumains et dégradants et des conditions indignes de détention (28), et de la prise en compte des vulnérabilités (55).</w:t>
      </w:r>
    </w:p>
    <w:p w14:paraId="26D84E16" w14:textId="77777777" w:rsidR="00DF4DE6" w:rsidRDefault="001B2AC3" w:rsidP="00240AE0">
      <w:pPr>
        <w:spacing w:before="180" w:after="50"/>
        <w:jc w:val="both"/>
      </w:pPr>
      <w:r>
        <w:rPr>
          <w:rFonts w:ascii="Cambria" w:eastAsia="Cambria" w:hAnsi="Cambria" w:cs="Cambria"/>
          <w:b/>
          <w:bCs/>
          <w:color w:val="1F3864"/>
          <w:sz w:val="21"/>
          <w:szCs w:val="21"/>
        </w:rPr>
        <w:t>Conciliation avec l'ordre public et régimes d'exercice</w:t>
      </w:r>
    </w:p>
    <w:p w14:paraId="533857A4" w14:textId="77777777" w:rsidR="00DF4DE6" w:rsidRDefault="001B2AC3" w:rsidP="00240AE0">
      <w:pPr>
        <w:spacing w:after="40" w:line="276" w:lineRule="auto"/>
        <w:jc w:val="both"/>
      </w:pPr>
      <w:r>
        <w:t>La grille des fiches 6 et 11 (répressif / préventif / déclaratif, police administrative) est réutilisée dans toutes les libertés d'action : religion (36), expression (37), réunion et manifestation (38), association (39), aller et venir (40).</w:t>
      </w:r>
    </w:p>
    <w:p w14:paraId="33870A84" w14:textId="77777777" w:rsidR="00DF4DE6" w:rsidRDefault="001B2AC3" w:rsidP="00240AE0">
      <w:pPr>
        <w:spacing w:before="180" w:after="50"/>
        <w:jc w:val="both"/>
      </w:pPr>
      <w:r>
        <w:rPr>
          <w:rFonts w:ascii="Cambria" w:eastAsia="Cambria" w:hAnsi="Cambria" w:cs="Cambria"/>
          <w:b/>
          <w:bCs/>
          <w:color w:val="1F3864"/>
          <w:sz w:val="21"/>
          <w:szCs w:val="21"/>
        </w:rPr>
        <w:t>Proportionnalité et mise en balance</w:t>
      </w:r>
    </w:p>
    <w:p w14:paraId="5EAB3EEC" w14:textId="77777777" w:rsidR="00DF4DE6" w:rsidRDefault="001B2AC3" w:rsidP="00240AE0">
      <w:pPr>
        <w:spacing w:after="40" w:line="276" w:lineRule="auto"/>
        <w:jc w:val="both"/>
      </w:pPr>
      <w:r>
        <w:t>Test de proportionnalité annoncé en fiche 6, transposé par le juge judiciaire aux litiges entre particuliers (17), central dans le contrôle des traitements de données (35) et dans les limitations à la liberté d'expression (37).</w:t>
      </w:r>
    </w:p>
    <w:p w14:paraId="6A99BCD2" w14:textId="77777777" w:rsidR="00DF4DE6" w:rsidRDefault="001B2AC3" w:rsidP="00240AE0">
      <w:pPr>
        <w:spacing w:before="180" w:after="50"/>
        <w:jc w:val="both"/>
      </w:pPr>
      <w:r>
        <w:rPr>
          <w:rFonts w:ascii="Cambria" w:eastAsia="Cambria" w:hAnsi="Cambria" w:cs="Cambria"/>
          <w:b/>
          <w:bCs/>
          <w:color w:val="1F3864"/>
          <w:sz w:val="21"/>
          <w:szCs w:val="21"/>
        </w:rPr>
        <w:t>Obligations négatives, positives et procédurales</w:t>
      </w:r>
    </w:p>
    <w:p w14:paraId="26EDC35F" w14:textId="77777777" w:rsidR="00DF4DE6" w:rsidRDefault="001B2AC3" w:rsidP="00240AE0">
      <w:pPr>
        <w:spacing w:after="40" w:line="276" w:lineRule="auto"/>
        <w:jc w:val="both"/>
      </w:pPr>
      <w:r>
        <w:t>Triptyque introduit avec le droit onusien (13), déployé au droit à la vie (26), à l'article 3 (28), et surtout à l'interdiction de l'esclavage et de la traite, présentée comme le terrain privilégié des obligations positives (29) ; on le retrouve pour la liberté de réunion (38) et le droit à un environnement sain (49).</w:t>
      </w:r>
    </w:p>
    <w:p w14:paraId="0A6CC964" w14:textId="77777777" w:rsidR="00DF4DE6" w:rsidRDefault="001B2AC3" w:rsidP="00240AE0">
      <w:pPr>
        <w:spacing w:before="180" w:after="50"/>
        <w:jc w:val="both"/>
      </w:pPr>
      <w:r>
        <w:rPr>
          <w:rFonts w:ascii="Cambria" w:eastAsia="Cambria" w:hAnsi="Cambria" w:cs="Cambria"/>
          <w:b/>
          <w:bCs/>
          <w:color w:val="1F3864"/>
          <w:sz w:val="21"/>
          <w:szCs w:val="21"/>
        </w:rPr>
        <w:t>Dérogation et noyau indérogeable</w:t>
      </w:r>
    </w:p>
    <w:p w14:paraId="0A76A572" w14:textId="77777777" w:rsidR="00DF4DE6" w:rsidRDefault="001B2AC3" w:rsidP="00240AE0">
      <w:pPr>
        <w:spacing w:after="40" w:line="276" w:lineRule="auto"/>
        <w:jc w:val="both"/>
      </w:pPr>
      <w:r>
        <w:t>L'article 4 du Pacte et l'article 15 de la Convention structurent la fiche 7 ; le caractère indérogeable est ensuite rappelé pour le droit à la vie (26) et pour l'interdiction de la torture (28).</w:t>
      </w:r>
    </w:p>
    <w:p w14:paraId="04B5CF06" w14:textId="77777777" w:rsidR="00DF4DE6" w:rsidRDefault="001B2AC3" w:rsidP="00240AE0">
      <w:pPr>
        <w:spacing w:before="180" w:after="50"/>
        <w:jc w:val="both"/>
      </w:pPr>
      <w:r>
        <w:rPr>
          <w:rFonts w:ascii="Cambria" w:eastAsia="Cambria" w:hAnsi="Cambria" w:cs="Cambria"/>
          <w:b/>
          <w:bCs/>
          <w:color w:val="1F3864"/>
          <w:sz w:val="21"/>
          <w:szCs w:val="21"/>
        </w:rPr>
        <w:t>Subsidiarité et marge d'appréciation</w:t>
      </w:r>
    </w:p>
    <w:p w14:paraId="4DD3CD08" w14:textId="77777777" w:rsidR="00DF4DE6" w:rsidRDefault="001B2AC3" w:rsidP="00240AE0">
      <w:pPr>
        <w:spacing w:after="40" w:line="276" w:lineRule="auto"/>
        <w:jc w:val="both"/>
      </w:pPr>
      <w:r>
        <w:t>Principe de subsidiarité posé pour la Convention (14), développé dans les concepts modérateurs dégagés par la Cour (22), et décliné en subsidiarité juridictionnelle du côté de l'Union, où le juge national est le premier juge des droits (23).</w:t>
      </w:r>
    </w:p>
    <w:p w14:paraId="516D7A0E" w14:textId="77777777" w:rsidR="00DF4DE6" w:rsidRDefault="001B2AC3" w:rsidP="00240AE0">
      <w:pPr>
        <w:spacing w:before="180" w:after="50"/>
        <w:jc w:val="both"/>
      </w:pPr>
      <w:r>
        <w:rPr>
          <w:rFonts w:ascii="Cambria" w:eastAsia="Cambria" w:hAnsi="Cambria" w:cs="Cambria"/>
          <w:b/>
          <w:bCs/>
          <w:color w:val="1F3864"/>
          <w:sz w:val="21"/>
          <w:szCs w:val="21"/>
        </w:rPr>
        <w:t>Interprétation dynamique et protection par ricochet</w:t>
      </w:r>
    </w:p>
    <w:p w14:paraId="6FF0563B" w14:textId="77777777" w:rsidR="00DF4DE6" w:rsidRDefault="001B2AC3" w:rsidP="00240AE0">
      <w:pPr>
        <w:spacing w:after="40" w:line="276" w:lineRule="auto"/>
        <w:jc w:val="both"/>
      </w:pPr>
      <w:r>
        <w:t>La Convention comme « instrument vivant » garantissant des droits concrets et effectifs (14, 22) explique la définition autonome de la vie familiale (34) et des « biens » (46), ainsi que la construction du droit à un environnement sain sur les articles 2 et 8 (49).</w:t>
      </w:r>
    </w:p>
    <w:p w14:paraId="72290BE4" w14:textId="77777777" w:rsidR="00DF4DE6" w:rsidRDefault="001B2AC3" w:rsidP="00240AE0">
      <w:pPr>
        <w:spacing w:before="180" w:after="50"/>
        <w:jc w:val="both"/>
      </w:pPr>
      <w:r>
        <w:rPr>
          <w:rFonts w:ascii="Cambria" w:eastAsia="Cambria" w:hAnsi="Cambria" w:cs="Cambria"/>
          <w:b/>
          <w:bCs/>
          <w:color w:val="1F3864"/>
          <w:sz w:val="21"/>
          <w:szCs w:val="21"/>
        </w:rPr>
        <w:t>Dualité juridictionnelle</w:t>
      </w:r>
    </w:p>
    <w:p w14:paraId="2BBA30C7" w14:textId="77777777" w:rsidR="00DF4DE6" w:rsidRDefault="001B2AC3" w:rsidP="00240AE0">
      <w:pPr>
        <w:spacing w:after="40" w:line="276" w:lineRule="auto"/>
        <w:jc w:val="both"/>
      </w:pPr>
      <w:r>
        <w:t>Question ouverte en fiche 17, justifiée en fiche 18, arbitrée en fiche 19 (Tribunal des conflits, voie de fait, emprise irrégulière, expropriation, reconduite à la frontière).</w:t>
      </w:r>
    </w:p>
    <w:p w14:paraId="20EDFB04" w14:textId="77777777" w:rsidR="00DF4DE6" w:rsidRDefault="001B2AC3" w:rsidP="00240AE0">
      <w:pPr>
        <w:spacing w:before="180" w:after="50"/>
        <w:jc w:val="both"/>
      </w:pPr>
      <w:r>
        <w:rPr>
          <w:rFonts w:ascii="Cambria" w:eastAsia="Cambria" w:hAnsi="Cambria" w:cs="Cambria"/>
          <w:b/>
          <w:bCs/>
          <w:color w:val="1F3864"/>
          <w:sz w:val="21"/>
          <w:szCs w:val="21"/>
        </w:rPr>
        <w:t>Fondamentalisation, constitutionnalisation, conventionnalisation</w:t>
      </w:r>
    </w:p>
    <w:p w14:paraId="64C38F2F" w14:textId="77777777" w:rsidR="00DF4DE6" w:rsidRDefault="001B2AC3" w:rsidP="00240AE0">
      <w:pPr>
        <w:spacing w:after="40" w:line="276" w:lineRule="auto"/>
        <w:jc w:val="both"/>
      </w:pPr>
      <w:r>
        <w:t>Mouvement annoncé en fiche 1, documenté par le bloc de constitutionnalité (9), l'internationalisation (12) et la trajectoire du droit de l'Union (15).</w:t>
      </w:r>
    </w:p>
    <w:p w14:paraId="3D58E9E6" w14:textId="77777777" w:rsidR="00DF4DE6" w:rsidRDefault="001B2AC3" w:rsidP="00240AE0">
      <w:pPr>
        <w:spacing w:before="180" w:after="50"/>
        <w:jc w:val="both"/>
      </w:pPr>
      <w:r>
        <w:rPr>
          <w:rFonts w:ascii="Cambria" w:eastAsia="Cambria" w:hAnsi="Cambria" w:cs="Cambria"/>
          <w:b/>
          <w:bCs/>
          <w:color w:val="1F3864"/>
          <w:sz w:val="21"/>
          <w:szCs w:val="21"/>
        </w:rPr>
        <w:t>Numérique et intelligence artificielle</w:t>
      </w:r>
    </w:p>
    <w:p w14:paraId="1711DEA5" w14:textId="77777777" w:rsidR="00DF4DE6" w:rsidRDefault="001B2AC3" w:rsidP="00240AE0">
      <w:pPr>
        <w:spacing w:after="40" w:line="276" w:lineRule="auto"/>
        <w:jc w:val="both"/>
      </w:pPr>
      <w:r>
        <w:t xml:space="preserve">Annoncé dès les débats contemporains sur les notions (1), il traverse la vie privée (33), la protection des données et le règlement sur l'IA (35), la digitalisation de la liberté d'expression (37), les biais algorithmiques comme discrimination (54) et le </w:t>
      </w:r>
      <w:proofErr w:type="spellStart"/>
      <w:r>
        <w:t>débiaisement</w:t>
      </w:r>
      <w:proofErr w:type="spellEnd"/>
      <w:r>
        <w:t xml:space="preserve"> (56).</w:t>
      </w:r>
    </w:p>
    <w:p w14:paraId="23971B5D" w14:textId="77777777" w:rsidR="00DF4DE6" w:rsidRDefault="001B2AC3" w:rsidP="00240AE0">
      <w:pPr>
        <w:spacing w:before="180" w:after="50"/>
        <w:jc w:val="both"/>
      </w:pPr>
      <w:r>
        <w:rPr>
          <w:rFonts w:ascii="Cambria" w:eastAsia="Cambria" w:hAnsi="Cambria" w:cs="Cambria"/>
          <w:b/>
          <w:bCs/>
          <w:color w:val="1F3864"/>
          <w:sz w:val="21"/>
          <w:szCs w:val="21"/>
        </w:rPr>
        <w:t>Égalité formelle contre égalité réelle</w:t>
      </w:r>
    </w:p>
    <w:p w14:paraId="770173D5" w14:textId="77777777" w:rsidR="00DF4DE6" w:rsidRDefault="001B2AC3" w:rsidP="00240AE0">
      <w:pPr>
        <w:spacing w:after="40" w:line="276" w:lineRule="auto"/>
        <w:jc w:val="both"/>
      </w:pPr>
      <w:r>
        <w:lastRenderedPageBreak/>
        <w:t>Opposition posée en fiche 4 (Jellinek, Marx) et en fiche 54, justifiée par la fiche 55, et assumée jusqu'à la rupture en fiche 56.</w:t>
      </w:r>
    </w:p>
    <w:p w14:paraId="0DC5A34D" w14:textId="77777777" w:rsidR="00DF4DE6" w:rsidRDefault="001B2AC3" w:rsidP="00240AE0">
      <w:pPr>
        <w:spacing w:before="180" w:after="50"/>
        <w:jc w:val="both"/>
      </w:pPr>
      <w:r>
        <w:rPr>
          <w:rFonts w:ascii="Cambria" w:eastAsia="Cambria" w:hAnsi="Cambria" w:cs="Cambria"/>
          <w:b/>
          <w:bCs/>
          <w:color w:val="1F3864"/>
          <w:sz w:val="21"/>
          <w:szCs w:val="21"/>
        </w:rPr>
        <w:t>Crise de l'État de droit</w:t>
      </w:r>
    </w:p>
    <w:p w14:paraId="72166A41" w14:textId="77777777" w:rsidR="00DF4DE6" w:rsidRDefault="001B2AC3" w:rsidP="00240AE0">
      <w:pPr>
        <w:spacing w:after="40" w:line="276" w:lineRule="auto"/>
        <w:jc w:val="both"/>
      </w:pPr>
      <w:r>
        <w:t>Thème de la fiche 8, réalimenté par les recours en manquement devant la Cour de justice (23), les retraits d'États du Conseil des droits de l'homme (25) et les tensions autour du droit des peuples (44).</w:t>
      </w:r>
    </w:p>
    <w:sectPr w:rsidR="00DF4DE6">
      <w:footerReference w:type="default" r:id="rId7"/>
      <w:pgSz w:w="11906" w:h="16838"/>
      <w:pgMar w:top="1296"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AA5C0" w14:textId="77777777" w:rsidR="00BF787A" w:rsidRDefault="00BF787A">
      <w:r>
        <w:separator/>
      </w:r>
    </w:p>
  </w:endnote>
  <w:endnote w:type="continuationSeparator" w:id="0">
    <w:p w14:paraId="64EBC7C1" w14:textId="77777777" w:rsidR="00BF787A" w:rsidRDefault="00BF7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EE2A" w14:textId="77777777" w:rsidR="00DF4DE6" w:rsidRDefault="001B2AC3">
    <w:pPr>
      <w:spacing w:before="100"/>
      <w:jc w:val="center"/>
    </w:pPr>
    <w:r>
      <w:rPr>
        <w:color w:val="8C8C8C"/>
        <w:sz w:val="15"/>
        <w:szCs w:val="15"/>
      </w:rPr>
      <w:t xml:space="preserve">Libertés publiques et droits fondamentaux — carte du </w:t>
    </w:r>
    <w:proofErr w:type="gramStart"/>
    <w:r>
      <w:rPr>
        <w:color w:val="8C8C8C"/>
        <w:sz w:val="15"/>
        <w:szCs w:val="15"/>
      </w:rPr>
      <w:t>cours  ·</w:t>
    </w:r>
    <w:proofErr w:type="gramEnd"/>
    <w:r>
      <w:rPr>
        <w:color w:val="8C8C8C"/>
        <w:sz w:val="15"/>
        <w:szCs w:val="15"/>
      </w:rPr>
      <w:t xml:space="preserve">  </w:t>
    </w:r>
    <w:r>
      <w:rPr>
        <w:color w:val="8C8C8C"/>
        <w:sz w:val="15"/>
        <w:szCs w:val="15"/>
      </w:rPr>
      <w:fldChar w:fldCharType="begin"/>
    </w:r>
    <w:r>
      <w:rPr>
        <w:color w:val="8C8C8C"/>
        <w:sz w:val="15"/>
        <w:szCs w:val="15"/>
      </w:rPr>
      <w:instrText>PAGE</w:instrText>
    </w:r>
    <w:r>
      <w:rPr>
        <w:color w:val="8C8C8C"/>
        <w:sz w:val="15"/>
        <w:szCs w:val="15"/>
      </w:rPr>
      <w:fldChar w:fldCharType="separate"/>
    </w:r>
    <w:r w:rsidR="00324260">
      <w:rPr>
        <w:noProof/>
        <w:color w:val="8C8C8C"/>
        <w:sz w:val="15"/>
        <w:szCs w:val="15"/>
      </w:rPr>
      <w:t>1</w:t>
    </w:r>
    <w:r>
      <w:rPr>
        <w:color w:val="8C8C8C"/>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12FC4" w14:textId="77777777" w:rsidR="00BF787A" w:rsidRDefault="00BF787A">
      <w:r>
        <w:separator/>
      </w:r>
    </w:p>
  </w:footnote>
  <w:footnote w:type="continuationSeparator" w:id="0">
    <w:p w14:paraId="7A6C5A22" w14:textId="77777777" w:rsidR="00BF787A" w:rsidRDefault="00BF78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D3752"/>
    <w:multiLevelType w:val="hybridMultilevel"/>
    <w:tmpl w:val="F40CF178"/>
    <w:lvl w:ilvl="0" w:tplc="24A4FD64">
      <w:start w:val="1"/>
      <w:numFmt w:val="bullet"/>
      <w:lvlText w:val="•"/>
      <w:lvlJc w:val="left"/>
      <w:pPr>
        <w:ind w:left="400" w:hanging="200"/>
      </w:pPr>
    </w:lvl>
    <w:lvl w:ilvl="1" w:tplc="AC2CC05C">
      <w:start w:val="1"/>
      <w:numFmt w:val="bullet"/>
      <w:lvlText w:val="–"/>
      <w:lvlJc w:val="left"/>
      <w:pPr>
        <w:ind w:left="700" w:hanging="200"/>
      </w:pPr>
    </w:lvl>
    <w:lvl w:ilvl="2" w:tplc="10FE4B14">
      <w:numFmt w:val="decimal"/>
      <w:lvlText w:val=""/>
      <w:lvlJc w:val="left"/>
    </w:lvl>
    <w:lvl w:ilvl="3" w:tplc="CA84DB98">
      <w:numFmt w:val="decimal"/>
      <w:lvlText w:val=""/>
      <w:lvlJc w:val="left"/>
    </w:lvl>
    <w:lvl w:ilvl="4" w:tplc="F85C78D6">
      <w:numFmt w:val="decimal"/>
      <w:lvlText w:val=""/>
      <w:lvlJc w:val="left"/>
    </w:lvl>
    <w:lvl w:ilvl="5" w:tplc="06EE470A">
      <w:numFmt w:val="decimal"/>
      <w:lvlText w:val=""/>
      <w:lvlJc w:val="left"/>
    </w:lvl>
    <w:lvl w:ilvl="6" w:tplc="B57E3EF8">
      <w:numFmt w:val="decimal"/>
      <w:lvlText w:val=""/>
      <w:lvlJc w:val="left"/>
    </w:lvl>
    <w:lvl w:ilvl="7" w:tplc="2CC2721E">
      <w:numFmt w:val="decimal"/>
      <w:lvlText w:val=""/>
      <w:lvlJc w:val="left"/>
    </w:lvl>
    <w:lvl w:ilvl="8" w:tplc="8A4C083A">
      <w:numFmt w:val="decimal"/>
      <w:lvlText w:val=""/>
      <w:lvlJc w:val="left"/>
    </w:lvl>
  </w:abstractNum>
  <w:abstractNum w:abstractNumId="1" w15:restartNumberingAfterBreak="0">
    <w:nsid w:val="65971D9F"/>
    <w:multiLevelType w:val="hybridMultilevel"/>
    <w:tmpl w:val="44D066E6"/>
    <w:lvl w:ilvl="0" w:tplc="DAEAC69E">
      <w:start w:val="1"/>
      <w:numFmt w:val="bullet"/>
      <w:lvlText w:val="●"/>
      <w:lvlJc w:val="left"/>
      <w:pPr>
        <w:ind w:left="720" w:hanging="360"/>
      </w:pPr>
    </w:lvl>
    <w:lvl w:ilvl="1" w:tplc="0DE09F94">
      <w:start w:val="1"/>
      <w:numFmt w:val="bullet"/>
      <w:lvlText w:val="○"/>
      <w:lvlJc w:val="left"/>
      <w:pPr>
        <w:ind w:left="1440" w:hanging="360"/>
      </w:pPr>
    </w:lvl>
    <w:lvl w:ilvl="2" w:tplc="5A5E55DA">
      <w:start w:val="1"/>
      <w:numFmt w:val="bullet"/>
      <w:lvlText w:val="■"/>
      <w:lvlJc w:val="left"/>
      <w:pPr>
        <w:ind w:left="2160" w:hanging="360"/>
      </w:pPr>
    </w:lvl>
    <w:lvl w:ilvl="3" w:tplc="05E43C0A">
      <w:start w:val="1"/>
      <w:numFmt w:val="bullet"/>
      <w:lvlText w:val="●"/>
      <w:lvlJc w:val="left"/>
      <w:pPr>
        <w:ind w:left="2880" w:hanging="360"/>
      </w:pPr>
    </w:lvl>
    <w:lvl w:ilvl="4" w:tplc="C0F043D4">
      <w:start w:val="1"/>
      <w:numFmt w:val="bullet"/>
      <w:lvlText w:val="○"/>
      <w:lvlJc w:val="left"/>
      <w:pPr>
        <w:ind w:left="3600" w:hanging="360"/>
      </w:pPr>
    </w:lvl>
    <w:lvl w:ilvl="5" w:tplc="9B4ADE76">
      <w:start w:val="1"/>
      <w:numFmt w:val="bullet"/>
      <w:lvlText w:val="■"/>
      <w:lvlJc w:val="left"/>
      <w:pPr>
        <w:ind w:left="4320" w:hanging="360"/>
      </w:pPr>
    </w:lvl>
    <w:lvl w:ilvl="6" w:tplc="169CB964">
      <w:start w:val="1"/>
      <w:numFmt w:val="bullet"/>
      <w:lvlText w:val="●"/>
      <w:lvlJc w:val="left"/>
      <w:pPr>
        <w:ind w:left="5040" w:hanging="360"/>
      </w:pPr>
    </w:lvl>
    <w:lvl w:ilvl="7" w:tplc="D87CBC52">
      <w:start w:val="1"/>
      <w:numFmt w:val="bullet"/>
      <w:lvlText w:val="●"/>
      <w:lvlJc w:val="left"/>
      <w:pPr>
        <w:ind w:left="5760" w:hanging="360"/>
      </w:pPr>
    </w:lvl>
    <w:lvl w:ilvl="8" w:tplc="0FB04E22">
      <w:start w:val="1"/>
      <w:numFmt w:val="bullet"/>
      <w:lvlText w:val="●"/>
      <w:lvlJc w:val="left"/>
      <w:pPr>
        <w:ind w:left="6480" w:hanging="360"/>
      </w:pPr>
    </w:lvl>
  </w:abstractNum>
  <w:num w:numId="1" w16cid:durableId="1987003601">
    <w:abstractNumId w:val="1"/>
    <w:lvlOverride w:ilvl="0">
      <w:startOverride w:val="1"/>
    </w:lvlOverride>
  </w:num>
  <w:num w:numId="2" w16cid:durableId="46801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DE6"/>
    <w:rsid w:val="001B2AC3"/>
    <w:rsid w:val="00240AE0"/>
    <w:rsid w:val="00324260"/>
    <w:rsid w:val="00862F38"/>
    <w:rsid w:val="00AA7368"/>
    <w:rsid w:val="00BF787A"/>
    <w:rsid w:val="00DF4D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779E45D"/>
  <w15:docId w15:val="{D5FF7E29-E350-6E40-8427-AFA0908C7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59</Pages>
  <Words>21751</Words>
  <Characters>119635</Characters>
  <Application>Microsoft Office Word</Application>
  <DocSecurity>0</DocSecurity>
  <Lines>996</Lines>
  <Paragraphs>282</Paragraphs>
  <ScaleCrop>false</ScaleCrop>
  <HeadingPairs>
    <vt:vector size="2" baseType="variant">
      <vt:variant>
        <vt:lpstr>Titre</vt:lpstr>
      </vt:variant>
      <vt:variant>
        <vt:i4>1</vt:i4>
      </vt:variant>
    </vt:vector>
  </HeadingPairs>
  <TitlesOfParts>
    <vt:vector size="1" baseType="lpstr">
      <vt:lpstr>Libertés publiques et droits fondamentaux — Carte du cours</vt:lpstr>
    </vt:vector>
  </TitlesOfParts>
  <Company/>
  <LinksUpToDate>false</LinksUpToDate>
  <CharactersWithSpaces>141104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Libertés publiques et droits fondamentaux — Carte du cours</dc:title>
  <dc:subject/>
  <dc:creator>Roi Thomas — préparation CRFPA</dc:creator>
  <cp:keywords/>
  <dc:description/>
  <cp:lastModifiedBy>Thomas TOUCHARD</cp:lastModifiedBy>
  <cp:revision>1</cp:revision>
  <dcterms:created xsi:type="dcterms:W3CDTF">2026-09-21T09:38:00Z</dcterms:created>
  <dcterms:modified xsi:type="dcterms:W3CDTF">2026-09-23T08:57:00Z</dcterms:modified>
</cp:coreProperties>
</file>