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3B1D" w14:textId="77777777" w:rsidR="0035153B" w:rsidRDefault="00000000" w:rsidP="00EE5C3F">
      <w:pPr>
        <w:spacing w:after="60"/>
        <w:jc w:val="both"/>
      </w:pPr>
      <w:r>
        <w:rPr>
          <w:b/>
          <w:bCs/>
          <w:color w:val="1F3864"/>
          <w:sz w:val="34"/>
          <w:szCs w:val="34"/>
        </w:rPr>
        <w:t>GRAND ORAL DU CRFPA</w:t>
      </w:r>
    </w:p>
    <w:p w14:paraId="172EA978" w14:textId="77777777" w:rsidR="0035153B" w:rsidRDefault="00000000" w:rsidP="00EE5C3F">
      <w:pPr>
        <w:spacing w:after="40"/>
        <w:jc w:val="both"/>
      </w:pPr>
      <w:r>
        <w:rPr>
          <w:color w:val="1F3864"/>
          <w:sz w:val="26"/>
          <w:szCs w:val="26"/>
        </w:rPr>
        <w:t>Traiter un sujet donné sous forme d’extrait de texte</w:t>
      </w:r>
    </w:p>
    <w:p w14:paraId="74282394" w14:textId="77777777" w:rsidR="0035153B" w:rsidRDefault="00000000" w:rsidP="00EE5C3F">
      <w:pPr>
        <w:spacing w:after="240"/>
        <w:jc w:val="both"/>
      </w:pPr>
      <w:proofErr w:type="gramStart"/>
      <w:r>
        <w:rPr>
          <w:i/>
          <w:iCs/>
          <w:sz w:val="20"/>
          <w:szCs w:val="20"/>
        </w:rPr>
        <w:t>arrêt</w:t>
      </w:r>
      <w:proofErr w:type="gramEnd"/>
      <w:r>
        <w:rPr>
          <w:i/>
          <w:iCs/>
          <w:sz w:val="20"/>
          <w:szCs w:val="20"/>
        </w:rPr>
        <w:t xml:space="preserve"> · décision · loi · décret · projet ou proposition de loi · discours · article de presse</w:t>
      </w:r>
    </w:p>
    <w:p w14:paraId="42E9CD71" w14:textId="77777777" w:rsidR="0035153B" w:rsidRDefault="00000000" w:rsidP="00EE5C3F">
      <w:pPr>
        <w:spacing w:after="120" w:line="276" w:lineRule="auto"/>
        <w:jc w:val="both"/>
      </w:pPr>
      <w:r>
        <w:rPr>
          <w:i/>
          <w:iCs/>
        </w:rPr>
        <w:t>Fiche méthode — établie le 9 septembre 2026 à partir de l’arrêté du 17 octobre 2016 (Légifrance), du support de l’IEJ de l’École de droit de Toulouse « L’épreuve du Grand oral 2025 », des sujets d’entraînement et des éléments de correction de l’IEJ, et des annales officieuses 2024-2025.</w:t>
      </w:r>
    </w:p>
    <w:p w14:paraId="1E7B3874" w14:textId="77777777" w:rsidR="0035153B" w:rsidRDefault="00000000" w:rsidP="00EE5C3F">
      <w:pPr>
        <w:pStyle w:val="Titre1"/>
        <w:spacing w:before="320" w:after="160"/>
        <w:jc w:val="both"/>
      </w:pPr>
      <w:r>
        <w:rPr>
          <w:b/>
          <w:bCs/>
          <w:color w:val="1F3864"/>
          <w:sz w:val="28"/>
          <w:szCs w:val="28"/>
        </w:rPr>
        <w:t>1. Le cadre, d’abord — ce qui est imposé et ce qui ne l’est pas</w:t>
      </w:r>
    </w:p>
    <w:p w14:paraId="783169CB" w14:textId="77777777" w:rsidR="0035153B" w:rsidRDefault="00000000" w:rsidP="00EE5C3F">
      <w:pPr>
        <w:spacing w:after="120" w:line="276" w:lineRule="auto"/>
        <w:jc w:val="both"/>
      </w:pPr>
      <w:r>
        <w:rPr>
          <w:b/>
          <w:bCs/>
        </w:rPr>
        <w:t>Imposé par l’arrêté</w:t>
      </w:r>
      <w:r>
        <w:t xml:space="preserve"> (art. 7 de l’arrêté du 17 octobre 2016, modifié par l’arrêté du 2 octobre 2018) : </w:t>
      </w:r>
      <w:r>
        <w:rPr>
          <w:i/>
          <w:iCs/>
        </w:rPr>
        <w:t>« Un exposé de quinze minutes, après une préparation d’une heure, suivi d’un entretien de trente minutes avec le jury, sur un sujet relatif à la protection des libertés et des droits fondamentaux permettant d’apprécier les connaissances du candidat, la culture juridique, son aptitude à l’argumentation et à l’expression orale. »</w:t>
      </w:r>
      <w:r>
        <w:t xml:space="preserve"> Épreuve en séance publique, coefficient 4, note sur 20.</w:t>
      </w:r>
    </w:p>
    <w:p w14:paraId="1AB47EAB" w14:textId="77777777" w:rsidR="0035153B" w:rsidRDefault="00000000" w:rsidP="00EE5C3F">
      <w:pPr>
        <w:pStyle w:val="Paragraphedeliste"/>
        <w:numPr>
          <w:ilvl w:val="0"/>
          <w:numId w:val="2"/>
        </w:numPr>
        <w:spacing w:after="60" w:line="276" w:lineRule="auto"/>
        <w:jc w:val="both"/>
      </w:pPr>
      <w:r>
        <w:rPr>
          <w:b/>
          <w:bCs/>
        </w:rPr>
        <w:t>Le texte ne dit rien de la forme du sujet.</w:t>
      </w:r>
      <w:r>
        <w:t xml:space="preserve"> Ni « dissertation », ni « commentaire ». Chaque IEJ compose ses sujets : c’est la liberté locale qui explique la diversité des formats d’un centre à l’autre.</w:t>
      </w:r>
    </w:p>
    <w:p w14:paraId="196C2B95" w14:textId="77777777" w:rsidR="0035153B" w:rsidRDefault="00000000" w:rsidP="00EE5C3F">
      <w:pPr>
        <w:pStyle w:val="Paragraphedeliste"/>
        <w:numPr>
          <w:ilvl w:val="0"/>
          <w:numId w:val="2"/>
        </w:numPr>
        <w:spacing w:after="60" w:line="276" w:lineRule="auto"/>
        <w:jc w:val="both"/>
      </w:pPr>
      <w:r>
        <w:rPr>
          <w:b/>
          <w:bCs/>
        </w:rPr>
        <w:t>Les quatre critères d’évaluation sont, eux, écrits</w:t>
      </w:r>
      <w:r>
        <w:t xml:space="preserve"> : connaissances, culture juridique, aptitude à l’argumentation, expression orale. Tout ce qui suit n’est qu’un moyen de les servir.</w:t>
      </w:r>
    </w:p>
    <w:p w14:paraId="65D0B537" w14:textId="77777777" w:rsidR="0035153B" w:rsidRDefault="00000000" w:rsidP="00EE5C3F">
      <w:pPr>
        <w:pStyle w:val="Paragraphedeliste"/>
        <w:numPr>
          <w:ilvl w:val="0"/>
          <w:numId w:val="2"/>
        </w:numPr>
        <w:spacing w:after="60" w:line="276" w:lineRule="auto"/>
        <w:jc w:val="both"/>
      </w:pPr>
      <w:r>
        <w:rPr>
          <w:b/>
          <w:bCs/>
        </w:rPr>
        <w:t>Programme (annexe de l’arrêté)</w:t>
      </w:r>
      <w:r>
        <w:t xml:space="preserve"> : culture juridique générale ; origine et sources des libertés et droits fondamentaux ; régime juridique des libertés et droits fondamentaux ; principales libertés et principaux droits fondamentaux.</w:t>
      </w:r>
    </w:p>
    <w:p w14:paraId="12C4E0C4" w14:textId="77777777" w:rsidR="0035153B" w:rsidRDefault="00000000" w:rsidP="00EE5C3F">
      <w:pPr>
        <w:pStyle w:val="Paragraphedeliste"/>
        <w:numPr>
          <w:ilvl w:val="0"/>
          <w:numId w:val="2"/>
        </w:numPr>
        <w:spacing w:after="60" w:line="276" w:lineRule="auto"/>
        <w:jc w:val="both"/>
      </w:pPr>
      <w:r>
        <w:rPr>
          <w:b/>
          <w:bCs/>
        </w:rPr>
        <w:t>Documents autorisés pendant l’heure de préparation</w:t>
      </w:r>
      <w:r>
        <w:t xml:space="preserve"> (support IEJ Toulouse) : les mêmes qu’à l’écrit — codes annotés mais non commentés, recueils ou impressions de textes officiels (nationaux, européens, internationaux) ; soulignage, surlignage, signes et onglets vierges admis ; aucune annotation de texte, aucune fiche personnelle. Rien pendant l’exposé, sauf le brouillon.</w:t>
      </w:r>
    </w:p>
    <w:p w14:paraId="25EF7441" w14:textId="77777777" w:rsidR="0035153B" w:rsidRDefault="00000000" w:rsidP="00EE5C3F">
      <w:pPr>
        <w:pStyle w:val="Titre1"/>
        <w:spacing w:before="320" w:after="160"/>
        <w:jc w:val="both"/>
      </w:pPr>
      <w:r>
        <w:rPr>
          <w:b/>
          <w:bCs/>
          <w:color w:val="1F3864"/>
          <w:sz w:val="28"/>
          <w:szCs w:val="28"/>
        </w:rPr>
        <w:t>2. Ce que « extrait de texte » veut dire concrètement</w:t>
      </w:r>
    </w:p>
    <w:p w14:paraId="6E4BAC2A" w14:textId="77777777" w:rsidR="0035153B" w:rsidRDefault="00000000" w:rsidP="00EE5C3F">
      <w:pPr>
        <w:spacing w:after="120" w:line="276" w:lineRule="auto"/>
        <w:jc w:val="both"/>
      </w:pPr>
      <w:r>
        <w:t xml:space="preserve">Le support de l’IEJ de Toulouse énonce, sous l’intitulé « les types de sujets » : </w:t>
      </w:r>
      <w:r>
        <w:rPr>
          <w:i/>
          <w:iCs/>
        </w:rPr>
        <w:t>« Des extraits de texte (arrêt, décision, loi, décret, proposition ou projet de loi, etc.) »</w:t>
      </w:r>
      <w:r>
        <w:t>.</w:t>
      </w:r>
    </w:p>
    <w:p w14:paraId="6818BD31" w14:textId="77777777" w:rsidR="0035153B" w:rsidRDefault="00000000" w:rsidP="00EE5C3F">
      <w:pPr>
        <w:spacing w:after="80" w:line="276" w:lineRule="auto"/>
        <w:jc w:val="both"/>
      </w:pPr>
      <w:r>
        <w:rPr>
          <w:b/>
          <w:bCs/>
        </w:rPr>
        <w:t>Ce que l’IEJ a effectivement donné, en entraînement comme à l’examen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5153B" w14:paraId="64E86520"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81EFD42" w14:textId="77777777" w:rsidR="0035153B" w:rsidRDefault="00000000" w:rsidP="00EE5C3F">
            <w:pPr>
              <w:spacing w:after="40" w:line="264" w:lineRule="auto"/>
              <w:jc w:val="both"/>
            </w:pPr>
            <w:r>
              <w:rPr>
                <w:b/>
                <w:bCs/>
                <w:sz w:val="20"/>
                <w:szCs w:val="20"/>
              </w:rPr>
              <w:t>Source</w:t>
            </w:r>
          </w:p>
        </w:tc>
        <w:tc>
          <w:tcPr>
            <w:tcW w:w="6600" w:type="dxa"/>
            <w:shd w:val="clear" w:color="auto" w:fill="F2F2F2"/>
            <w:tcMar>
              <w:top w:w="60" w:type="dxa"/>
              <w:left w:w="100" w:type="dxa"/>
              <w:bottom w:w="60" w:type="dxa"/>
              <w:right w:w="100" w:type="dxa"/>
            </w:tcMar>
          </w:tcPr>
          <w:p w14:paraId="77E69B80" w14:textId="77777777" w:rsidR="0035153B" w:rsidRDefault="00000000" w:rsidP="00EE5C3F">
            <w:pPr>
              <w:spacing w:after="40" w:line="264" w:lineRule="auto"/>
              <w:jc w:val="both"/>
            </w:pPr>
            <w:r>
              <w:rPr>
                <w:sz w:val="20"/>
                <w:szCs w:val="20"/>
              </w:rPr>
              <w:t>Sujet</w:t>
            </w:r>
          </w:p>
        </w:tc>
      </w:tr>
      <w:tr w:rsidR="0035153B" w14:paraId="30C7F780" w14:textId="77777777">
        <w:tblPrEx>
          <w:tblCellMar>
            <w:top w:w="0" w:type="dxa"/>
            <w:bottom w:w="0" w:type="dxa"/>
          </w:tblCellMar>
        </w:tblPrEx>
        <w:tc>
          <w:tcPr>
            <w:tcW w:w="2400" w:type="dxa"/>
            <w:tcMar>
              <w:top w:w="60" w:type="dxa"/>
              <w:left w:w="100" w:type="dxa"/>
              <w:bottom w:w="60" w:type="dxa"/>
              <w:right w:w="100" w:type="dxa"/>
            </w:tcMar>
          </w:tcPr>
          <w:p w14:paraId="427C5E8E" w14:textId="77777777" w:rsidR="0035153B" w:rsidRDefault="00000000" w:rsidP="00EE5C3F">
            <w:pPr>
              <w:spacing w:after="40" w:line="264" w:lineRule="auto"/>
              <w:jc w:val="both"/>
            </w:pPr>
            <w:r>
              <w:rPr>
                <w:b/>
                <w:bCs/>
                <w:sz w:val="20"/>
                <w:szCs w:val="20"/>
              </w:rPr>
              <w:t>Entraînement, semaine 1</w:t>
            </w:r>
          </w:p>
        </w:tc>
        <w:tc>
          <w:tcPr>
            <w:tcW w:w="6600" w:type="dxa"/>
            <w:tcMar>
              <w:top w:w="60" w:type="dxa"/>
              <w:left w:w="100" w:type="dxa"/>
              <w:bottom w:w="60" w:type="dxa"/>
              <w:right w:w="100" w:type="dxa"/>
            </w:tcMar>
          </w:tcPr>
          <w:p w14:paraId="384456F0" w14:textId="77777777" w:rsidR="0035153B" w:rsidRDefault="00000000" w:rsidP="00EE5C3F">
            <w:pPr>
              <w:spacing w:after="40" w:line="264" w:lineRule="auto"/>
              <w:jc w:val="both"/>
            </w:pPr>
            <w:r>
              <w:rPr>
                <w:sz w:val="20"/>
                <w:szCs w:val="20"/>
              </w:rPr>
              <w:t>Extrait d’une intervention de Christophe Soulard, premier président de la Cour de cassation (25 mars 2024), sur l’État de droit — et, en second sujet, l’article 16 de la DDHC.</w:t>
            </w:r>
          </w:p>
        </w:tc>
      </w:tr>
      <w:tr w:rsidR="0035153B" w14:paraId="40FD9F12" w14:textId="77777777">
        <w:tblPrEx>
          <w:tblCellMar>
            <w:top w:w="0" w:type="dxa"/>
            <w:bottom w:w="0" w:type="dxa"/>
          </w:tblCellMar>
        </w:tblPrEx>
        <w:tc>
          <w:tcPr>
            <w:tcW w:w="2400" w:type="dxa"/>
            <w:tcMar>
              <w:top w:w="60" w:type="dxa"/>
              <w:left w:w="100" w:type="dxa"/>
              <w:bottom w:w="60" w:type="dxa"/>
              <w:right w:w="100" w:type="dxa"/>
            </w:tcMar>
          </w:tcPr>
          <w:p w14:paraId="026EB9D4" w14:textId="77777777" w:rsidR="0035153B" w:rsidRDefault="00000000" w:rsidP="00EE5C3F">
            <w:pPr>
              <w:spacing w:after="40" w:line="264" w:lineRule="auto"/>
              <w:jc w:val="both"/>
            </w:pPr>
            <w:r>
              <w:rPr>
                <w:b/>
                <w:bCs/>
                <w:sz w:val="20"/>
                <w:szCs w:val="20"/>
              </w:rPr>
              <w:t>Entraînement, semaine 4</w:t>
            </w:r>
          </w:p>
        </w:tc>
        <w:tc>
          <w:tcPr>
            <w:tcW w:w="6600" w:type="dxa"/>
            <w:tcMar>
              <w:top w:w="60" w:type="dxa"/>
              <w:left w:w="100" w:type="dxa"/>
              <w:bottom w:w="60" w:type="dxa"/>
              <w:right w:w="100" w:type="dxa"/>
            </w:tcMar>
          </w:tcPr>
          <w:p w14:paraId="6CDBA2B3" w14:textId="77777777" w:rsidR="0035153B" w:rsidRDefault="00000000" w:rsidP="00EE5C3F">
            <w:pPr>
              <w:spacing w:after="40" w:line="264" w:lineRule="auto"/>
              <w:jc w:val="both"/>
            </w:pPr>
            <w:r>
              <w:rPr>
                <w:sz w:val="20"/>
                <w:szCs w:val="20"/>
              </w:rPr>
              <w:t xml:space="preserve">Extrait d’un communiqué de presse de la CEDH, </w:t>
            </w:r>
            <w:proofErr w:type="spellStart"/>
            <w:r>
              <w:rPr>
                <w:sz w:val="20"/>
                <w:szCs w:val="20"/>
              </w:rPr>
              <w:t>Medmoune</w:t>
            </w:r>
            <w:proofErr w:type="spellEnd"/>
            <w:r>
              <w:rPr>
                <w:sz w:val="20"/>
                <w:szCs w:val="20"/>
              </w:rPr>
              <w:t xml:space="preserve"> c. France, 5 février 2026 (art. 2, arrêt des traitements et directives anticipées).</w:t>
            </w:r>
          </w:p>
        </w:tc>
      </w:tr>
      <w:tr w:rsidR="0035153B" w14:paraId="36EC11F9" w14:textId="77777777">
        <w:tblPrEx>
          <w:tblCellMar>
            <w:top w:w="0" w:type="dxa"/>
            <w:bottom w:w="0" w:type="dxa"/>
          </w:tblCellMar>
        </w:tblPrEx>
        <w:tc>
          <w:tcPr>
            <w:tcW w:w="2400" w:type="dxa"/>
            <w:tcMar>
              <w:top w:w="60" w:type="dxa"/>
              <w:left w:w="100" w:type="dxa"/>
              <w:bottom w:w="60" w:type="dxa"/>
              <w:right w:w="100" w:type="dxa"/>
            </w:tcMar>
          </w:tcPr>
          <w:p w14:paraId="5CCC517A" w14:textId="77777777" w:rsidR="0035153B" w:rsidRDefault="00000000" w:rsidP="00EE5C3F">
            <w:pPr>
              <w:spacing w:after="40" w:line="264" w:lineRule="auto"/>
              <w:jc w:val="both"/>
            </w:pPr>
            <w:r>
              <w:rPr>
                <w:b/>
                <w:bCs/>
                <w:sz w:val="20"/>
                <w:szCs w:val="20"/>
              </w:rPr>
              <w:t>Entraînement, 1er juin 2026</w:t>
            </w:r>
          </w:p>
        </w:tc>
        <w:tc>
          <w:tcPr>
            <w:tcW w:w="6600" w:type="dxa"/>
            <w:tcMar>
              <w:top w:w="60" w:type="dxa"/>
              <w:left w:w="100" w:type="dxa"/>
              <w:bottom w:w="60" w:type="dxa"/>
              <w:right w:w="100" w:type="dxa"/>
            </w:tcMar>
          </w:tcPr>
          <w:p w14:paraId="255E8A4A" w14:textId="77777777" w:rsidR="0035153B" w:rsidRDefault="00000000" w:rsidP="00EE5C3F">
            <w:pPr>
              <w:spacing w:after="40" w:line="264" w:lineRule="auto"/>
              <w:jc w:val="both"/>
            </w:pPr>
            <w:r>
              <w:rPr>
                <w:sz w:val="20"/>
                <w:szCs w:val="20"/>
              </w:rPr>
              <w:t>CE, ord. réf., 21 novembre 2025, n° 509481 (fermeture d’un établissement privé hors contrat) — thème : la liberté de l’éducation.</w:t>
            </w:r>
          </w:p>
        </w:tc>
      </w:tr>
      <w:tr w:rsidR="0035153B" w14:paraId="50E9FF2F" w14:textId="77777777">
        <w:tblPrEx>
          <w:tblCellMar>
            <w:top w:w="0" w:type="dxa"/>
            <w:bottom w:w="0" w:type="dxa"/>
          </w:tblCellMar>
        </w:tblPrEx>
        <w:tc>
          <w:tcPr>
            <w:tcW w:w="2400" w:type="dxa"/>
            <w:tcMar>
              <w:top w:w="60" w:type="dxa"/>
              <w:left w:w="100" w:type="dxa"/>
              <w:bottom w:w="60" w:type="dxa"/>
              <w:right w:w="100" w:type="dxa"/>
            </w:tcMar>
          </w:tcPr>
          <w:p w14:paraId="197A562D" w14:textId="77777777" w:rsidR="0035153B" w:rsidRDefault="00000000" w:rsidP="00EE5C3F">
            <w:pPr>
              <w:spacing w:after="40" w:line="264" w:lineRule="auto"/>
              <w:jc w:val="both"/>
            </w:pPr>
            <w:r>
              <w:rPr>
                <w:b/>
                <w:bCs/>
                <w:sz w:val="20"/>
                <w:szCs w:val="20"/>
              </w:rPr>
              <w:t>Examen 2024 (annales)</w:t>
            </w:r>
          </w:p>
        </w:tc>
        <w:tc>
          <w:tcPr>
            <w:tcW w:w="6600" w:type="dxa"/>
            <w:tcMar>
              <w:top w:w="60" w:type="dxa"/>
              <w:left w:w="100" w:type="dxa"/>
              <w:bottom w:w="60" w:type="dxa"/>
              <w:right w:w="100" w:type="dxa"/>
            </w:tcMar>
          </w:tcPr>
          <w:p w14:paraId="0548B23A" w14:textId="77777777" w:rsidR="0035153B" w:rsidRDefault="00000000" w:rsidP="00EE5C3F">
            <w:pPr>
              <w:spacing w:after="40" w:line="264" w:lineRule="auto"/>
              <w:jc w:val="both"/>
            </w:pPr>
            <w:r>
              <w:rPr>
                <w:sz w:val="20"/>
                <w:szCs w:val="20"/>
              </w:rPr>
              <w:t xml:space="preserve">Commentaire de Cons. </w:t>
            </w:r>
            <w:proofErr w:type="spellStart"/>
            <w:proofErr w:type="gramStart"/>
            <w:r>
              <w:rPr>
                <w:sz w:val="20"/>
                <w:szCs w:val="20"/>
              </w:rPr>
              <w:t>const</w:t>
            </w:r>
            <w:proofErr w:type="spellEnd"/>
            <w:proofErr w:type="gramEnd"/>
            <w:r>
              <w:rPr>
                <w:sz w:val="20"/>
                <w:szCs w:val="20"/>
              </w:rPr>
              <w:t>., 16 novembre 2023, n° 2023-855.</w:t>
            </w:r>
          </w:p>
        </w:tc>
      </w:tr>
      <w:tr w:rsidR="0035153B" w14:paraId="2F64AAC5" w14:textId="77777777">
        <w:tblPrEx>
          <w:tblCellMar>
            <w:top w:w="0" w:type="dxa"/>
            <w:bottom w:w="0" w:type="dxa"/>
          </w:tblCellMar>
        </w:tblPrEx>
        <w:tc>
          <w:tcPr>
            <w:tcW w:w="2400" w:type="dxa"/>
            <w:tcMar>
              <w:top w:w="60" w:type="dxa"/>
              <w:left w:w="100" w:type="dxa"/>
              <w:bottom w:w="60" w:type="dxa"/>
              <w:right w:w="100" w:type="dxa"/>
            </w:tcMar>
          </w:tcPr>
          <w:p w14:paraId="3BEF9D0B" w14:textId="77777777" w:rsidR="0035153B" w:rsidRDefault="00000000" w:rsidP="00EE5C3F">
            <w:pPr>
              <w:spacing w:after="40" w:line="264" w:lineRule="auto"/>
              <w:jc w:val="both"/>
            </w:pPr>
            <w:r>
              <w:rPr>
                <w:b/>
                <w:bCs/>
                <w:sz w:val="20"/>
                <w:szCs w:val="20"/>
              </w:rPr>
              <w:t>Examen 2025 (annales)</w:t>
            </w:r>
          </w:p>
        </w:tc>
        <w:tc>
          <w:tcPr>
            <w:tcW w:w="6600" w:type="dxa"/>
            <w:tcMar>
              <w:top w:w="60" w:type="dxa"/>
              <w:left w:w="100" w:type="dxa"/>
              <w:bottom w:w="60" w:type="dxa"/>
              <w:right w:w="100" w:type="dxa"/>
            </w:tcMar>
          </w:tcPr>
          <w:p w14:paraId="72688935" w14:textId="77777777" w:rsidR="0035153B" w:rsidRDefault="00000000" w:rsidP="00EE5C3F">
            <w:pPr>
              <w:spacing w:after="40" w:line="264" w:lineRule="auto"/>
              <w:jc w:val="both"/>
            </w:pPr>
            <w:r>
              <w:rPr>
                <w:sz w:val="20"/>
                <w:szCs w:val="20"/>
              </w:rPr>
              <w:t>Extrait de CEDH, Muller c. France — thème : le procès équitable.</w:t>
            </w:r>
          </w:p>
        </w:tc>
      </w:tr>
    </w:tbl>
    <w:p w14:paraId="43F80C6D" w14:textId="77777777" w:rsidR="0035153B" w:rsidRDefault="00000000" w:rsidP="00EE5C3F">
      <w:pPr>
        <w:spacing w:after="120" w:line="276" w:lineRule="auto"/>
        <w:jc w:val="both"/>
      </w:pPr>
      <w:r>
        <w:t xml:space="preserve">Autrement dit : un texte juridictionnel, un texte normatif, un texte en devenir ou un texte d’opinion. La méthode ne change pas ; </w:t>
      </w:r>
      <w:r>
        <w:rPr>
          <w:b/>
          <w:bCs/>
        </w:rPr>
        <w:t>la grille de lecture du document, si</w:t>
      </w:r>
      <w:r>
        <w:t xml:space="preserve"> (§ 5).</w:t>
      </w:r>
    </w:p>
    <w:p w14:paraId="1E0188AB" w14:textId="77777777" w:rsidR="0035153B" w:rsidRDefault="00000000" w:rsidP="00EE5C3F">
      <w:pPr>
        <w:pStyle w:val="Titre1"/>
        <w:spacing w:before="320" w:after="160"/>
        <w:jc w:val="both"/>
      </w:pPr>
      <w:r>
        <w:rPr>
          <w:b/>
          <w:bCs/>
          <w:color w:val="1F3864"/>
          <w:sz w:val="28"/>
          <w:szCs w:val="28"/>
        </w:rPr>
        <w:lastRenderedPageBreak/>
        <w:t>3. Le malentendu à lever : ce n’est ni un commentaire d’arrêt, ni une dissertation</w:t>
      </w:r>
    </w:p>
    <w:p w14:paraId="3BE4BE25" w14:textId="77777777" w:rsidR="0035153B" w:rsidRDefault="00000000" w:rsidP="00EE5C3F">
      <w:pPr>
        <w:pStyle w:val="Paragraphedeliste"/>
        <w:numPr>
          <w:ilvl w:val="0"/>
          <w:numId w:val="2"/>
        </w:numPr>
        <w:spacing w:after="60" w:line="276" w:lineRule="auto"/>
        <w:jc w:val="both"/>
      </w:pPr>
      <w:r>
        <w:rPr>
          <w:b/>
          <w:bCs/>
        </w:rPr>
        <w:t>Ce n’est pas un commentaire d’arrêt universitaire.</w:t>
      </w:r>
      <w:r>
        <w:t xml:space="preserve"> Le jury n’attend pas une exégèse ligne à ligne, ni une discussion de technique procédurale pour elle-même. Vous n’avez ni les revues, ni la doctrine, ni le temps. La paraphrase du texte est la faute la plus lourde et la plus fréquente.</w:t>
      </w:r>
    </w:p>
    <w:p w14:paraId="515F69DB" w14:textId="77777777" w:rsidR="0035153B" w:rsidRDefault="00000000" w:rsidP="00EE5C3F">
      <w:pPr>
        <w:pStyle w:val="Paragraphedeliste"/>
        <w:numPr>
          <w:ilvl w:val="0"/>
          <w:numId w:val="2"/>
        </w:numPr>
        <w:spacing w:after="60" w:line="276" w:lineRule="auto"/>
        <w:jc w:val="both"/>
      </w:pPr>
      <w:r>
        <w:rPr>
          <w:b/>
          <w:bCs/>
        </w:rPr>
        <w:t>Ce n’est pas non plus une dissertation avec un texte en décoration.</w:t>
      </w:r>
      <w:r>
        <w:t xml:space="preserve"> Si l’on peut retirer le document sans que l’exposé change, le sujet n’a pas été traité : c’est le second travers, symétrique du premier.</w:t>
      </w:r>
    </w:p>
    <w:p w14:paraId="546CDD49" w14:textId="77777777" w:rsidR="0035153B" w:rsidRDefault="00000000" w:rsidP="00EE5C3F">
      <w:pPr>
        <w:pStyle w:val="Paragraphedeliste"/>
        <w:numPr>
          <w:ilvl w:val="0"/>
          <w:numId w:val="2"/>
        </w:numPr>
        <w:spacing w:after="60" w:line="276" w:lineRule="auto"/>
        <w:jc w:val="both"/>
      </w:pPr>
      <w:r>
        <w:rPr>
          <w:b/>
          <w:bCs/>
        </w:rPr>
        <w:t>C’est un exposé sur une question de libertés fondamentales, dont le texte est à la fois le point d’entrée, le fil et la matière première.</w:t>
      </w:r>
      <w:r>
        <w:t xml:space="preserve"> Le texte donne l’angle ; le programme donne le fond ; l’actualité donne la portée.</w:t>
      </w:r>
    </w:p>
    <w:p w14:paraId="6F72147B" w14:textId="77777777" w:rsidR="0035153B" w:rsidRDefault="00000000" w:rsidP="00EE5C3F">
      <w:pPr>
        <w:spacing w:after="120" w:line="276" w:lineRule="auto"/>
        <w:jc w:val="both"/>
      </w:pPr>
      <w:r>
        <w:rPr>
          <w:i/>
          <w:iCs/>
        </w:rPr>
        <w:t>La formule de contrôle, à s’appliquer sur le plan avant de développer : chacune de mes deux parties dit-elle quelque chose du document — et dit-elle quelque chose que le document seul ne dirait pas ?</w:t>
      </w:r>
    </w:p>
    <w:p w14:paraId="0688A028" w14:textId="77777777" w:rsidR="0035153B" w:rsidRDefault="00000000" w:rsidP="00EE5C3F">
      <w:pPr>
        <w:spacing w:after="120" w:line="276" w:lineRule="auto"/>
        <w:jc w:val="both"/>
      </w:pPr>
      <w:r>
        <w:rPr>
          <w:b/>
          <w:bCs/>
        </w:rPr>
        <w:t>Ce qu’attend le jury, tel qu’il ressort des éléments de correction distribués par l’IEJ</w:t>
      </w:r>
      <w:r>
        <w:t xml:space="preserve"> : une introduction complète (accroche ; présentation du document ; faits, procédure, question de droit, solution lorsque le texte est juridictionnel ; mise en contexte historique et politique ; annonce du plan), un plan en deux parties et deux sous-parties, et une ouverture d’actualité précisément datée — dans le corrigé de la séance du 1er juin 2026, une proposition de loi déposée le 28 avril 2026.</w:t>
      </w:r>
    </w:p>
    <w:p w14:paraId="4274E08B" w14:textId="77777777" w:rsidR="0035153B" w:rsidRDefault="00000000" w:rsidP="00EE5C3F">
      <w:pPr>
        <w:jc w:val="both"/>
      </w:pPr>
      <w:r>
        <w:br w:type="page"/>
      </w:r>
    </w:p>
    <w:p w14:paraId="18D70F50" w14:textId="77777777" w:rsidR="0035153B" w:rsidRDefault="00000000" w:rsidP="00EE5C3F">
      <w:pPr>
        <w:pStyle w:val="Titre1"/>
        <w:spacing w:before="320" w:after="160"/>
        <w:jc w:val="both"/>
      </w:pPr>
      <w:r>
        <w:rPr>
          <w:b/>
          <w:bCs/>
          <w:color w:val="1F3864"/>
          <w:sz w:val="28"/>
          <w:szCs w:val="28"/>
        </w:rPr>
        <w:lastRenderedPageBreak/>
        <w:t>4. L’heure de préparation, minutée</w:t>
      </w:r>
    </w:p>
    <w:p w14:paraId="0D73293C" w14:textId="77777777" w:rsidR="0035153B" w:rsidRDefault="00000000" w:rsidP="00EE5C3F">
      <w:pPr>
        <w:spacing w:after="100" w:line="276" w:lineRule="auto"/>
        <w:jc w:val="both"/>
      </w:pPr>
      <w:r>
        <w:t>Le risque n’est pas de manquer d’idées : c’est de sortir de l’heure sans introduction rédigée et sans minutage. Découpage à tenir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5153B" w14:paraId="4A968CB5"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1601ACFB" w14:textId="77777777" w:rsidR="0035153B" w:rsidRDefault="00000000" w:rsidP="00EE5C3F">
            <w:pPr>
              <w:spacing w:after="40" w:line="264" w:lineRule="auto"/>
              <w:jc w:val="both"/>
            </w:pPr>
            <w:r>
              <w:rPr>
                <w:b/>
                <w:bCs/>
                <w:sz w:val="20"/>
                <w:szCs w:val="20"/>
              </w:rPr>
              <w:t>Minutes</w:t>
            </w:r>
          </w:p>
        </w:tc>
        <w:tc>
          <w:tcPr>
            <w:tcW w:w="6600" w:type="dxa"/>
            <w:shd w:val="clear" w:color="auto" w:fill="F2F2F2"/>
            <w:tcMar>
              <w:top w:w="60" w:type="dxa"/>
              <w:left w:w="100" w:type="dxa"/>
              <w:bottom w:w="60" w:type="dxa"/>
              <w:right w:w="100" w:type="dxa"/>
            </w:tcMar>
          </w:tcPr>
          <w:p w14:paraId="5955C5EA" w14:textId="77777777" w:rsidR="0035153B" w:rsidRDefault="00000000" w:rsidP="00EE5C3F">
            <w:pPr>
              <w:spacing w:after="40" w:line="264" w:lineRule="auto"/>
              <w:jc w:val="both"/>
            </w:pPr>
            <w:r>
              <w:rPr>
                <w:sz w:val="20"/>
                <w:szCs w:val="20"/>
              </w:rPr>
              <w:t>Ce qui se fait — et ce qui ne se fait pas</w:t>
            </w:r>
          </w:p>
        </w:tc>
      </w:tr>
      <w:tr w:rsidR="0035153B" w14:paraId="01CCAC77" w14:textId="77777777">
        <w:tblPrEx>
          <w:tblCellMar>
            <w:top w:w="0" w:type="dxa"/>
            <w:bottom w:w="0" w:type="dxa"/>
          </w:tblCellMar>
        </w:tblPrEx>
        <w:tc>
          <w:tcPr>
            <w:tcW w:w="2400" w:type="dxa"/>
            <w:tcMar>
              <w:top w:w="60" w:type="dxa"/>
              <w:left w:w="100" w:type="dxa"/>
              <w:bottom w:w="60" w:type="dxa"/>
              <w:right w:w="100" w:type="dxa"/>
            </w:tcMar>
          </w:tcPr>
          <w:p w14:paraId="0CA0C869" w14:textId="77777777" w:rsidR="0035153B" w:rsidRDefault="00000000" w:rsidP="00EE5C3F">
            <w:pPr>
              <w:spacing w:after="40" w:line="264" w:lineRule="auto"/>
              <w:jc w:val="both"/>
            </w:pPr>
            <w:r>
              <w:rPr>
                <w:b/>
                <w:bCs/>
                <w:sz w:val="20"/>
                <w:szCs w:val="20"/>
              </w:rPr>
              <w:t>0 – 8</w:t>
            </w:r>
          </w:p>
        </w:tc>
        <w:tc>
          <w:tcPr>
            <w:tcW w:w="6600" w:type="dxa"/>
            <w:tcMar>
              <w:top w:w="60" w:type="dxa"/>
              <w:left w:w="100" w:type="dxa"/>
              <w:bottom w:w="60" w:type="dxa"/>
              <w:right w:w="100" w:type="dxa"/>
            </w:tcMar>
          </w:tcPr>
          <w:p w14:paraId="0F3510A8" w14:textId="77777777" w:rsidR="0035153B" w:rsidRDefault="00000000" w:rsidP="00EE5C3F">
            <w:pPr>
              <w:spacing w:after="40" w:line="264" w:lineRule="auto"/>
              <w:jc w:val="both"/>
            </w:pPr>
            <w:r>
              <w:rPr>
                <w:sz w:val="20"/>
                <w:szCs w:val="20"/>
              </w:rPr>
              <w:t>Deux lectures du document, stylo posé. Relever l’identité du texte : auteur/juridiction, formation, date, numéro, publication, visas, dispositif ou objet. Rien n’est écrit encore.</w:t>
            </w:r>
          </w:p>
        </w:tc>
      </w:tr>
      <w:tr w:rsidR="0035153B" w14:paraId="2A1F6A32" w14:textId="77777777">
        <w:tblPrEx>
          <w:tblCellMar>
            <w:top w:w="0" w:type="dxa"/>
            <w:bottom w:w="0" w:type="dxa"/>
          </w:tblCellMar>
        </w:tblPrEx>
        <w:tc>
          <w:tcPr>
            <w:tcW w:w="2400" w:type="dxa"/>
            <w:tcMar>
              <w:top w:w="60" w:type="dxa"/>
              <w:left w:w="100" w:type="dxa"/>
              <w:bottom w:w="60" w:type="dxa"/>
              <w:right w:w="100" w:type="dxa"/>
            </w:tcMar>
          </w:tcPr>
          <w:p w14:paraId="240103E2" w14:textId="77777777" w:rsidR="0035153B" w:rsidRDefault="00000000" w:rsidP="00EE5C3F">
            <w:pPr>
              <w:spacing w:after="40" w:line="264" w:lineRule="auto"/>
              <w:jc w:val="both"/>
            </w:pPr>
            <w:r>
              <w:rPr>
                <w:b/>
                <w:bCs/>
                <w:sz w:val="20"/>
                <w:szCs w:val="20"/>
              </w:rPr>
              <w:t>8 – 20</w:t>
            </w:r>
          </w:p>
        </w:tc>
        <w:tc>
          <w:tcPr>
            <w:tcW w:w="6600" w:type="dxa"/>
            <w:tcMar>
              <w:top w:w="60" w:type="dxa"/>
              <w:left w:w="100" w:type="dxa"/>
              <w:bottom w:w="60" w:type="dxa"/>
              <w:right w:w="100" w:type="dxa"/>
            </w:tcMar>
          </w:tcPr>
          <w:p w14:paraId="55FEC6DA" w14:textId="77777777" w:rsidR="0035153B" w:rsidRDefault="00000000" w:rsidP="00EE5C3F">
            <w:pPr>
              <w:spacing w:after="40" w:line="264" w:lineRule="auto"/>
              <w:jc w:val="both"/>
            </w:pPr>
            <w:r>
              <w:rPr>
                <w:sz w:val="20"/>
                <w:szCs w:val="20"/>
              </w:rPr>
              <w:t>La fiche du document, rédigée mot à mot : de quoi il s’agit (faits utiles en 3 lignes), quelle question, quelle réponse, sur quel fondement. C’est ce bloc qui deviendra le cœur de l’introduction.</w:t>
            </w:r>
          </w:p>
        </w:tc>
      </w:tr>
      <w:tr w:rsidR="0035153B" w14:paraId="71E78AD9" w14:textId="77777777">
        <w:tblPrEx>
          <w:tblCellMar>
            <w:top w:w="0" w:type="dxa"/>
            <w:bottom w:w="0" w:type="dxa"/>
          </w:tblCellMar>
        </w:tblPrEx>
        <w:tc>
          <w:tcPr>
            <w:tcW w:w="2400" w:type="dxa"/>
            <w:tcMar>
              <w:top w:w="60" w:type="dxa"/>
              <w:left w:w="100" w:type="dxa"/>
              <w:bottom w:w="60" w:type="dxa"/>
              <w:right w:w="100" w:type="dxa"/>
            </w:tcMar>
          </w:tcPr>
          <w:p w14:paraId="1239C134" w14:textId="77777777" w:rsidR="0035153B" w:rsidRDefault="00000000" w:rsidP="00EE5C3F">
            <w:pPr>
              <w:spacing w:after="40" w:line="264" w:lineRule="auto"/>
              <w:jc w:val="both"/>
            </w:pPr>
            <w:r>
              <w:rPr>
                <w:b/>
                <w:bCs/>
                <w:sz w:val="20"/>
                <w:szCs w:val="20"/>
              </w:rPr>
              <w:t>20 – 30</w:t>
            </w:r>
          </w:p>
        </w:tc>
        <w:tc>
          <w:tcPr>
            <w:tcW w:w="6600" w:type="dxa"/>
            <w:tcMar>
              <w:top w:w="60" w:type="dxa"/>
              <w:left w:w="100" w:type="dxa"/>
              <w:bottom w:w="60" w:type="dxa"/>
              <w:right w:w="100" w:type="dxa"/>
            </w:tcMar>
          </w:tcPr>
          <w:p w14:paraId="4CB5B4D7" w14:textId="77777777" w:rsidR="0035153B" w:rsidRDefault="00000000" w:rsidP="00EE5C3F">
            <w:pPr>
              <w:spacing w:after="40" w:line="264" w:lineRule="auto"/>
              <w:jc w:val="both"/>
            </w:pPr>
            <w:r>
              <w:rPr>
                <w:sz w:val="20"/>
                <w:szCs w:val="20"/>
              </w:rPr>
              <w:t>Le code, sur les visas et les textes cités seulement. On vérifie, on ne part pas en exploration. Noter les numéros exacts que l’on citera.</w:t>
            </w:r>
          </w:p>
        </w:tc>
      </w:tr>
      <w:tr w:rsidR="0035153B" w14:paraId="0A7BE1C6" w14:textId="77777777">
        <w:tblPrEx>
          <w:tblCellMar>
            <w:top w:w="0" w:type="dxa"/>
            <w:bottom w:w="0" w:type="dxa"/>
          </w:tblCellMar>
        </w:tblPrEx>
        <w:tc>
          <w:tcPr>
            <w:tcW w:w="2400" w:type="dxa"/>
            <w:tcMar>
              <w:top w:w="60" w:type="dxa"/>
              <w:left w:w="100" w:type="dxa"/>
              <w:bottom w:w="60" w:type="dxa"/>
              <w:right w:w="100" w:type="dxa"/>
            </w:tcMar>
          </w:tcPr>
          <w:p w14:paraId="5AC69281" w14:textId="77777777" w:rsidR="0035153B" w:rsidRDefault="00000000" w:rsidP="00EE5C3F">
            <w:pPr>
              <w:spacing w:after="40" w:line="264" w:lineRule="auto"/>
              <w:jc w:val="both"/>
            </w:pPr>
            <w:r>
              <w:rPr>
                <w:b/>
                <w:bCs/>
                <w:sz w:val="20"/>
                <w:szCs w:val="20"/>
              </w:rPr>
              <w:t>30 – 42</w:t>
            </w:r>
          </w:p>
        </w:tc>
        <w:tc>
          <w:tcPr>
            <w:tcW w:w="6600" w:type="dxa"/>
            <w:tcMar>
              <w:top w:w="60" w:type="dxa"/>
              <w:left w:w="100" w:type="dxa"/>
              <w:bottom w:w="60" w:type="dxa"/>
              <w:right w:w="100" w:type="dxa"/>
            </w:tcMar>
          </w:tcPr>
          <w:p w14:paraId="0EEF3974" w14:textId="77777777" w:rsidR="0035153B" w:rsidRDefault="00000000" w:rsidP="00EE5C3F">
            <w:pPr>
              <w:spacing w:after="40" w:line="264" w:lineRule="auto"/>
              <w:jc w:val="both"/>
            </w:pPr>
            <w:r>
              <w:rPr>
                <w:sz w:val="20"/>
                <w:szCs w:val="20"/>
              </w:rPr>
              <w:t>Situer : d’où vient cette solution, que change-t-elle, quelle liberté est en cause, quel régime lui est applicable, où se loge le contrôle de proportionnalité. C’est ici que naissent les deux parties.</w:t>
            </w:r>
          </w:p>
        </w:tc>
      </w:tr>
      <w:tr w:rsidR="0035153B" w14:paraId="243A6F58" w14:textId="77777777">
        <w:tblPrEx>
          <w:tblCellMar>
            <w:top w:w="0" w:type="dxa"/>
            <w:bottom w:w="0" w:type="dxa"/>
          </w:tblCellMar>
        </w:tblPrEx>
        <w:tc>
          <w:tcPr>
            <w:tcW w:w="2400" w:type="dxa"/>
            <w:tcMar>
              <w:top w:w="60" w:type="dxa"/>
              <w:left w:w="100" w:type="dxa"/>
              <w:bottom w:w="60" w:type="dxa"/>
              <w:right w:w="100" w:type="dxa"/>
            </w:tcMar>
          </w:tcPr>
          <w:p w14:paraId="4D91191C" w14:textId="77777777" w:rsidR="0035153B" w:rsidRDefault="00000000" w:rsidP="00EE5C3F">
            <w:pPr>
              <w:spacing w:after="40" w:line="264" w:lineRule="auto"/>
              <w:jc w:val="both"/>
            </w:pPr>
            <w:r>
              <w:rPr>
                <w:b/>
                <w:bCs/>
                <w:sz w:val="20"/>
                <w:szCs w:val="20"/>
              </w:rPr>
              <w:t>42 – 52</w:t>
            </w:r>
          </w:p>
        </w:tc>
        <w:tc>
          <w:tcPr>
            <w:tcW w:w="6600" w:type="dxa"/>
            <w:tcMar>
              <w:top w:w="60" w:type="dxa"/>
              <w:left w:w="100" w:type="dxa"/>
              <w:bottom w:w="60" w:type="dxa"/>
              <w:right w:w="100" w:type="dxa"/>
            </w:tcMar>
          </w:tcPr>
          <w:p w14:paraId="527D1925" w14:textId="77777777" w:rsidR="0035153B" w:rsidRDefault="00000000" w:rsidP="00EE5C3F">
            <w:pPr>
              <w:spacing w:after="40" w:line="264" w:lineRule="auto"/>
              <w:jc w:val="both"/>
            </w:pPr>
            <w:r>
              <w:rPr>
                <w:sz w:val="20"/>
                <w:szCs w:val="20"/>
              </w:rPr>
              <w:t>Plan arrêté, titres écrits, contrôle du plan (§ 6). Une actualité datée logée dans l’une des parties.</w:t>
            </w:r>
          </w:p>
        </w:tc>
      </w:tr>
      <w:tr w:rsidR="0035153B" w14:paraId="02AC217B" w14:textId="77777777">
        <w:tblPrEx>
          <w:tblCellMar>
            <w:top w:w="0" w:type="dxa"/>
            <w:bottom w:w="0" w:type="dxa"/>
          </w:tblCellMar>
        </w:tblPrEx>
        <w:tc>
          <w:tcPr>
            <w:tcW w:w="2400" w:type="dxa"/>
            <w:tcMar>
              <w:top w:w="60" w:type="dxa"/>
              <w:left w:w="100" w:type="dxa"/>
              <w:bottom w:w="60" w:type="dxa"/>
              <w:right w:w="100" w:type="dxa"/>
            </w:tcMar>
          </w:tcPr>
          <w:p w14:paraId="70CE40B5" w14:textId="77777777" w:rsidR="0035153B" w:rsidRDefault="00000000" w:rsidP="00EE5C3F">
            <w:pPr>
              <w:spacing w:after="40" w:line="264" w:lineRule="auto"/>
              <w:jc w:val="both"/>
            </w:pPr>
            <w:r>
              <w:rPr>
                <w:b/>
                <w:bCs/>
                <w:sz w:val="20"/>
                <w:szCs w:val="20"/>
              </w:rPr>
              <w:t>52 – 60</w:t>
            </w:r>
          </w:p>
        </w:tc>
        <w:tc>
          <w:tcPr>
            <w:tcW w:w="6600" w:type="dxa"/>
            <w:tcMar>
              <w:top w:w="60" w:type="dxa"/>
              <w:left w:w="100" w:type="dxa"/>
              <w:bottom w:w="60" w:type="dxa"/>
              <w:right w:w="100" w:type="dxa"/>
            </w:tcMar>
          </w:tcPr>
          <w:p w14:paraId="3395535F" w14:textId="77777777" w:rsidR="0035153B" w:rsidRDefault="00000000" w:rsidP="00EE5C3F">
            <w:pPr>
              <w:spacing w:after="40" w:line="264" w:lineRule="auto"/>
              <w:jc w:val="both"/>
            </w:pPr>
            <w:r>
              <w:rPr>
                <w:sz w:val="20"/>
                <w:szCs w:val="20"/>
              </w:rPr>
              <w:t>Introduction rédigée au mot près, conclusion et ouverture écrites, minutage porté en marge de chaque bloc.</w:t>
            </w:r>
          </w:p>
        </w:tc>
      </w:tr>
    </w:tbl>
    <w:p w14:paraId="208D277B" w14:textId="77777777" w:rsidR="0035153B" w:rsidRDefault="00000000" w:rsidP="00EE5C3F">
      <w:pPr>
        <w:spacing w:after="120" w:line="276" w:lineRule="auto"/>
        <w:jc w:val="both"/>
      </w:pPr>
      <w:r>
        <w:rPr>
          <w:b/>
          <w:bCs/>
        </w:rPr>
        <w:t>Le brouillon est un support de lecture, pas un texte</w:t>
      </w:r>
      <w:r>
        <w:t xml:space="preserve"> : écrit gros, aéré, titres surlignés, repères de pause notés — il doit se consulter d’un coup d’œil, sans être lu.</w:t>
      </w:r>
    </w:p>
    <w:p w14:paraId="62304B36" w14:textId="77777777" w:rsidR="0035153B" w:rsidRDefault="00000000" w:rsidP="00EE5C3F">
      <w:pPr>
        <w:pStyle w:val="Titre1"/>
        <w:spacing w:before="320" w:after="160"/>
        <w:jc w:val="both"/>
      </w:pPr>
      <w:r>
        <w:rPr>
          <w:b/>
          <w:bCs/>
          <w:color w:val="1F3864"/>
          <w:sz w:val="28"/>
          <w:szCs w:val="28"/>
        </w:rPr>
        <w:t>5. Grille de lecture selon la nature du texte</w:t>
      </w:r>
    </w:p>
    <w:p w14:paraId="71C249EE" w14:textId="77777777" w:rsidR="0035153B" w:rsidRDefault="00000000" w:rsidP="00EE5C3F">
      <w:pPr>
        <w:spacing w:after="100" w:line="276" w:lineRule="auto"/>
        <w:jc w:val="both"/>
      </w:pPr>
      <w:r>
        <w:t>Huit à dix minutes de la préparation se jouent ici. Chaque type de document appelle des réflexes propres ; ce sont eux qui font la différence entre un exposé de candidat informé et un exposé de juriste.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5153B" w14:paraId="129D1AD4"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459B1E34" w14:textId="77777777" w:rsidR="0035153B" w:rsidRDefault="00000000" w:rsidP="00EE5C3F">
            <w:pPr>
              <w:spacing w:after="40" w:line="264" w:lineRule="auto"/>
              <w:jc w:val="both"/>
            </w:pPr>
            <w:r>
              <w:rPr>
                <w:b/>
                <w:bCs/>
                <w:sz w:val="20"/>
                <w:szCs w:val="20"/>
              </w:rPr>
              <w:t>Type de texte</w:t>
            </w:r>
          </w:p>
        </w:tc>
        <w:tc>
          <w:tcPr>
            <w:tcW w:w="6600" w:type="dxa"/>
            <w:shd w:val="clear" w:color="auto" w:fill="F2F2F2"/>
            <w:tcMar>
              <w:top w:w="60" w:type="dxa"/>
              <w:left w:w="100" w:type="dxa"/>
              <w:bottom w:w="60" w:type="dxa"/>
              <w:right w:w="100" w:type="dxa"/>
            </w:tcMar>
          </w:tcPr>
          <w:p w14:paraId="6AE29C8F" w14:textId="77777777" w:rsidR="0035153B" w:rsidRDefault="00000000" w:rsidP="00EE5C3F">
            <w:pPr>
              <w:spacing w:after="40" w:line="264" w:lineRule="auto"/>
              <w:jc w:val="both"/>
            </w:pPr>
            <w:r>
              <w:rPr>
                <w:sz w:val="20"/>
                <w:szCs w:val="20"/>
              </w:rPr>
              <w:t>Ce qu’il faut voir tout de suite</w:t>
            </w:r>
          </w:p>
        </w:tc>
      </w:tr>
      <w:tr w:rsidR="0035153B" w14:paraId="6F81082F" w14:textId="77777777">
        <w:tblPrEx>
          <w:tblCellMar>
            <w:top w:w="0" w:type="dxa"/>
            <w:bottom w:w="0" w:type="dxa"/>
          </w:tblCellMar>
        </w:tblPrEx>
        <w:tc>
          <w:tcPr>
            <w:tcW w:w="2400" w:type="dxa"/>
            <w:tcMar>
              <w:top w:w="60" w:type="dxa"/>
              <w:left w:w="100" w:type="dxa"/>
              <w:bottom w:w="60" w:type="dxa"/>
              <w:right w:w="100" w:type="dxa"/>
            </w:tcMar>
          </w:tcPr>
          <w:p w14:paraId="301AFAAD" w14:textId="77777777" w:rsidR="0035153B" w:rsidRDefault="00000000" w:rsidP="00EE5C3F">
            <w:pPr>
              <w:spacing w:after="40" w:line="264" w:lineRule="auto"/>
              <w:jc w:val="both"/>
            </w:pPr>
            <w:r>
              <w:rPr>
                <w:b/>
                <w:bCs/>
                <w:sz w:val="20"/>
                <w:szCs w:val="20"/>
              </w:rPr>
              <w:t>Arrêt de la Cour de cassation</w:t>
            </w:r>
          </w:p>
        </w:tc>
        <w:tc>
          <w:tcPr>
            <w:tcW w:w="6600" w:type="dxa"/>
            <w:tcMar>
              <w:top w:w="60" w:type="dxa"/>
              <w:left w:w="100" w:type="dxa"/>
              <w:bottom w:w="60" w:type="dxa"/>
              <w:right w:w="100" w:type="dxa"/>
            </w:tcMar>
          </w:tcPr>
          <w:p w14:paraId="160F9984" w14:textId="77777777" w:rsidR="0035153B" w:rsidRDefault="00000000" w:rsidP="00EE5C3F">
            <w:pPr>
              <w:spacing w:after="40" w:line="264" w:lineRule="auto"/>
              <w:jc w:val="both"/>
            </w:pPr>
            <w:r>
              <w:rPr>
                <w:sz w:val="20"/>
                <w:szCs w:val="20"/>
              </w:rPr>
              <w:t xml:space="preserve">Formation et publication (elles disent la portée) ; visa et chapeau ; cassation ou rejet ; violation de la loi ou manque de base légale ; présence ou non d’un contrôle de proportionnalité in </w:t>
            </w:r>
            <w:proofErr w:type="spellStart"/>
            <w:r>
              <w:rPr>
                <w:sz w:val="20"/>
                <w:szCs w:val="20"/>
              </w:rPr>
              <w:t>concreto</w:t>
            </w:r>
            <w:proofErr w:type="spellEnd"/>
            <w:r>
              <w:rPr>
                <w:sz w:val="20"/>
                <w:szCs w:val="20"/>
              </w:rPr>
              <w:t>, lisible dans la motivation enrichie ; place dans la lignée jurisprudentielle.</w:t>
            </w:r>
          </w:p>
        </w:tc>
      </w:tr>
      <w:tr w:rsidR="0035153B" w14:paraId="20680772" w14:textId="77777777">
        <w:tblPrEx>
          <w:tblCellMar>
            <w:top w:w="0" w:type="dxa"/>
            <w:bottom w:w="0" w:type="dxa"/>
          </w:tblCellMar>
        </w:tblPrEx>
        <w:tc>
          <w:tcPr>
            <w:tcW w:w="2400" w:type="dxa"/>
            <w:tcMar>
              <w:top w:w="60" w:type="dxa"/>
              <w:left w:w="100" w:type="dxa"/>
              <w:bottom w:w="60" w:type="dxa"/>
              <w:right w:w="100" w:type="dxa"/>
            </w:tcMar>
          </w:tcPr>
          <w:p w14:paraId="4423EBDC" w14:textId="77777777" w:rsidR="0035153B" w:rsidRDefault="00000000" w:rsidP="00EE5C3F">
            <w:pPr>
              <w:spacing w:after="40" w:line="264" w:lineRule="auto"/>
              <w:jc w:val="both"/>
            </w:pPr>
            <w:r>
              <w:rPr>
                <w:b/>
                <w:bCs/>
                <w:sz w:val="20"/>
                <w:szCs w:val="20"/>
              </w:rPr>
              <w:t>Décision du Conseil d’État</w:t>
            </w:r>
          </w:p>
        </w:tc>
        <w:tc>
          <w:tcPr>
            <w:tcW w:w="6600" w:type="dxa"/>
            <w:tcMar>
              <w:top w:w="60" w:type="dxa"/>
              <w:left w:w="100" w:type="dxa"/>
              <w:bottom w:w="60" w:type="dxa"/>
              <w:right w:w="100" w:type="dxa"/>
            </w:tcMar>
          </w:tcPr>
          <w:p w14:paraId="311C2945" w14:textId="77777777" w:rsidR="0035153B" w:rsidRDefault="00000000" w:rsidP="00EE5C3F">
            <w:pPr>
              <w:spacing w:after="40" w:line="264" w:lineRule="auto"/>
              <w:jc w:val="both"/>
            </w:pPr>
            <w:r>
              <w:rPr>
                <w:sz w:val="20"/>
                <w:szCs w:val="20"/>
              </w:rPr>
              <w:t>Formation (une ordonnance de référé rendue par un juge unique ne pèse pas comme une décision d’Assemblée) ; en référé-liberté, dérouler séparément les trois conditions de l’article L. 521-2 CJA — urgence, liberté fondamentale au sens de ce texte, atteinte grave et manifestement illégale — et rappeler l’office limité du juge des référés ; en excès de pouvoir, intensité du contrôle.</w:t>
            </w:r>
          </w:p>
        </w:tc>
      </w:tr>
      <w:tr w:rsidR="0035153B" w14:paraId="3B027200" w14:textId="77777777">
        <w:tblPrEx>
          <w:tblCellMar>
            <w:top w:w="0" w:type="dxa"/>
            <w:bottom w:w="0" w:type="dxa"/>
          </w:tblCellMar>
        </w:tblPrEx>
        <w:tc>
          <w:tcPr>
            <w:tcW w:w="2400" w:type="dxa"/>
            <w:tcMar>
              <w:top w:w="60" w:type="dxa"/>
              <w:left w:w="100" w:type="dxa"/>
              <w:bottom w:w="60" w:type="dxa"/>
              <w:right w:w="100" w:type="dxa"/>
            </w:tcMar>
          </w:tcPr>
          <w:p w14:paraId="51F26FEA" w14:textId="77777777" w:rsidR="0035153B" w:rsidRDefault="00000000" w:rsidP="00EE5C3F">
            <w:pPr>
              <w:spacing w:after="40" w:line="264" w:lineRule="auto"/>
              <w:jc w:val="both"/>
            </w:pPr>
            <w:r>
              <w:rPr>
                <w:b/>
                <w:bCs/>
                <w:sz w:val="20"/>
                <w:szCs w:val="20"/>
              </w:rPr>
              <w:t>Décision du Conseil constitutionnel</w:t>
            </w:r>
          </w:p>
        </w:tc>
        <w:tc>
          <w:tcPr>
            <w:tcW w:w="6600" w:type="dxa"/>
            <w:tcMar>
              <w:top w:w="60" w:type="dxa"/>
              <w:left w:w="100" w:type="dxa"/>
              <w:bottom w:w="60" w:type="dxa"/>
              <w:right w:w="100" w:type="dxa"/>
            </w:tcMar>
          </w:tcPr>
          <w:p w14:paraId="5CBC3321" w14:textId="77777777" w:rsidR="0035153B" w:rsidRDefault="00000000" w:rsidP="00EE5C3F">
            <w:pPr>
              <w:spacing w:after="40" w:line="264" w:lineRule="auto"/>
              <w:jc w:val="both"/>
            </w:pPr>
            <w:r>
              <w:rPr>
                <w:sz w:val="20"/>
                <w:szCs w:val="20"/>
              </w:rPr>
              <w:t xml:space="preserve">DC (art. 61) ou QPC (art. 61-1) ; normes de référence mobilisées ; technique employée (conciliation entre exigences constitutionnelles, réserve d’interprétation, incompétence négative, objectif de valeur constitutionnelle) ; et surtout les effets dans le temps de la censure (art. 62, al. 2, </w:t>
            </w:r>
            <w:proofErr w:type="spellStart"/>
            <w:r>
              <w:rPr>
                <w:sz w:val="20"/>
                <w:szCs w:val="20"/>
              </w:rPr>
              <w:t>Const</w:t>
            </w:r>
            <w:proofErr w:type="spellEnd"/>
            <w:r>
              <w:rPr>
                <w:sz w:val="20"/>
                <w:szCs w:val="20"/>
              </w:rPr>
              <w:t>.) — question que les candidats sautent et que le jury pose.</w:t>
            </w:r>
          </w:p>
        </w:tc>
      </w:tr>
      <w:tr w:rsidR="0035153B" w14:paraId="5EACCE17" w14:textId="77777777">
        <w:tblPrEx>
          <w:tblCellMar>
            <w:top w:w="0" w:type="dxa"/>
            <w:bottom w:w="0" w:type="dxa"/>
          </w:tblCellMar>
        </w:tblPrEx>
        <w:tc>
          <w:tcPr>
            <w:tcW w:w="2400" w:type="dxa"/>
            <w:tcMar>
              <w:top w:w="60" w:type="dxa"/>
              <w:left w:w="100" w:type="dxa"/>
              <w:bottom w:w="60" w:type="dxa"/>
              <w:right w:w="100" w:type="dxa"/>
            </w:tcMar>
          </w:tcPr>
          <w:p w14:paraId="67DC2AE3" w14:textId="77777777" w:rsidR="0035153B" w:rsidRDefault="00000000" w:rsidP="00EE5C3F">
            <w:pPr>
              <w:spacing w:after="40" w:line="264" w:lineRule="auto"/>
              <w:jc w:val="both"/>
            </w:pPr>
            <w:r>
              <w:rPr>
                <w:b/>
                <w:bCs/>
                <w:sz w:val="20"/>
                <w:szCs w:val="20"/>
              </w:rPr>
              <w:t>Arrêt de la CEDH</w:t>
            </w:r>
          </w:p>
        </w:tc>
        <w:tc>
          <w:tcPr>
            <w:tcW w:w="6600" w:type="dxa"/>
            <w:tcMar>
              <w:top w:w="60" w:type="dxa"/>
              <w:left w:w="100" w:type="dxa"/>
              <w:bottom w:w="60" w:type="dxa"/>
              <w:right w:w="100" w:type="dxa"/>
            </w:tcMar>
          </w:tcPr>
          <w:p w14:paraId="04662BD9" w14:textId="77777777" w:rsidR="0035153B" w:rsidRDefault="00000000" w:rsidP="00EE5C3F">
            <w:pPr>
              <w:spacing w:after="40" w:line="264" w:lineRule="auto"/>
              <w:jc w:val="both"/>
            </w:pPr>
            <w:r>
              <w:rPr>
                <w:sz w:val="20"/>
                <w:szCs w:val="20"/>
              </w:rPr>
              <w:t xml:space="preserve">Article invoqué ; obligation négative ou positive ; pour les droits conditionnels, le triple test — ingérence prévue par la loi, but légitime, nécessaire dans une société démocratique ; marge nationale d’appréciation et consensus européen ; arrêt de chambre ou de Grande Chambre (renvoi de l’art. 43) ; mesures </w:t>
            </w:r>
            <w:r>
              <w:rPr>
                <w:sz w:val="20"/>
                <w:szCs w:val="20"/>
              </w:rPr>
              <w:lastRenderedPageBreak/>
              <w:t>provisoires (art. 39). Attention : un communiqué de presse n’est pas l’arrêt — le dire, et raisonner sur ce qui est reproduit.</w:t>
            </w:r>
          </w:p>
        </w:tc>
      </w:tr>
      <w:tr w:rsidR="0035153B" w14:paraId="4C359F34" w14:textId="77777777">
        <w:tblPrEx>
          <w:tblCellMar>
            <w:top w:w="0" w:type="dxa"/>
            <w:bottom w:w="0" w:type="dxa"/>
          </w:tblCellMar>
        </w:tblPrEx>
        <w:tc>
          <w:tcPr>
            <w:tcW w:w="2400" w:type="dxa"/>
            <w:tcMar>
              <w:top w:w="60" w:type="dxa"/>
              <w:left w:w="100" w:type="dxa"/>
              <w:bottom w:w="60" w:type="dxa"/>
              <w:right w:w="100" w:type="dxa"/>
            </w:tcMar>
          </w:tcPr>
          <w:p w14:paraId="266B3348" w14:textId="77777777" w:rsidR="0035153B" w:rsidRDefault="00000000" w:rsidP="00EE5C3F">
            <w:pPr>
              <w:spacing w:after="40" w:line="264" w:lineRule="auto"/>
              <w:jc w:val="both"/>
            </w:pPr>
            <w:r>
              <w:rPr>
                <w:b/>
                <w:bCs/>
                <w:sz w:val="20"/>
                <w:szCs w:val="20"/>
              </w:rPr>
              <w:lastRenderedPageBreak/>
              <w:t>Loi, décret, article de code</w:t>
            </w:r>
          </w:p>
        </w:tc>
        <w:tc>
          <w:tcPr>
            <w:tcW w:w="6600" w:type="dxa"/>
            <w:tcMar>
              <w:top w:w="60" w:type="dxa"/>
              <w:left w:w="100" w:type="dxa"/>
              <w:bottom w:w="60" w:type="dxa"/>
              <w:right w:w="100" w:type="dxa"/>
            </w:tcMar>
          </w:tcPr>
          <w:p w14:paraId="799B0C59" w14:textId="77777777" w:rsidR="0035153B" w:rsidRDefault="00000000" w:rsidP="00EE5C3F">
            <w:pPr>
              <w:spacing w:after="40" w:line="264" w:lineRule="auto"/>
              <w:jc w:val="both"/>
            </w:pPr>
            <w:r>
              <w:rPr>
                <w:sz w:val="20"/>
                <w:szCs w:val="20"/>
              </w:rPr>
              <w:t>Rang dans la hiérarchie des normes et base constitutionnelle ou conventionnelle ; ce que le texte autorise, ce qu’il restreint, quelles garanties il assortit ; par quelles voies il peut être contesté (QPC, recours pour excès de pouvoir contre le décret, contrôle de conventionnalité) ; genèse du texte et réformes successives.</w:t>
            </w:r>
          </w:p>
        </w:tc>
      </w:tr>
      <w:tr w:rsidR="0035153B" w14:paraId="74FD55DA" w14:textId="77777777">
        <w:tblPrEx>
          <w:tblCellMar>
            <w:top w:w="0" w:type="dxa"/>
            <w:bottom w:w="0" w:type="dxa"/>
          </w:tblCellMar>
        </w:tblPrEx>
        <w:tc>
          <w:tcPr>
            <w:tcW w:w="2400" w:type="dxa"/>
            <w:tcMar>
              <w:top w:w="60" w:type="dxa"/>
              <w:left w:w="100" w:type="dxa"/>
              <w:bottom w:w="60" w:type="dxa"/>
              <w:right w:w="100" w:type="dxa"/>
            </w:tcMar>
          </w:tcPr>
          <w:p w14:paraId="402964E2" w14:textId="77777777" w:rsidR="0035153B" w:rsidRDefault="00000000" w:rsidP="00EE5C3F">
            <w:pPr>
              <w:spacing w:after="40" w:line="264" w:lineRule="auto"/>
              <w:jc w:val="both"/>
            </w:pPr>
            <w:r>
              <w:rPr>
                <w:b/>
                <w:bCs/>
                <w:sz w:val="20"/>
                <w:szCs w:val="20"/>
              </w:rPr>
              <w:t>Projet ou proposition de loi</w:t>
            </w:r>
          </w:p>
        </w:tc>
        <w:tc>
          <w:tcPr>
            <w:tcW w:w="6600" w:type="dxa"/>
            <w:tcMar>
              <w:top w:w="60" w:type="dxa"/>
              <w:left w:w="100" w:type="dxa"/>
              <w:bottom w:w="60" w:type="dxa"/>
              <w:right w:w="100" w:type="dxa"/>
            </w:tcMar>
          </w:tcPr>
          <w:p w14:paraId="0F100786" w14:textId="77777777" w:rsidR="0035153B" w:rsidRDefault="00000000" w:rsidP="00EE5C3F">
            <w:pPr>
              <w:spacing w:after="40" w:line="264" w:lineRule="auto"/>
              <w:jc w:val="both"/>
            </w:pPr>
            <w:r>
              <w:rPr>
                <w:sz w:val="20"/>
                <w:szCs w:val="20"/>
              </w:rPr>
              <w:t>Ce n’est pas du droit positif — le dire d’emblée, sous peine de fausser tout l’exposé. Puis : origine (gouvernement ou parlementaire) et état de la navette ; ce que le texte change au droit existant ; les points de fragilité constitutionnelle ou conventionnelle prévisibles (compétence du législateur, art. 34 ; nécessité et proportionnalité de l’atteinte ; garanties procédurales) ; les positions en présence.</w:t>
            </w:r>
          </w:p>
        </w:tc>
      </w:tr>
      <w:tr w:rsidR="0035153B" w14:paraId="68CA62AE" w14:textId="77777777">
        <w:tblPrEx>
          <w:tblCellMar>
            <w:top w:w="0" w:type="dxa"/>
            <w:bottom w:w="0" w:type="dxa"/>
          </w:tblCellMar>
        </w:tblPrEx>
        <w:tc>
          <w:tcPr>
            <w:tcW w:w="2400" w:type="dxa"/>
            <w:tcMar>
              <w:top w:w="60" w:type="dxa"/>
              <w:left w:w="100" w:type="dxa"/>
              <w:bottom w:w="60" w:type="dxa"/>
              <w:right w:w="100" w:type="dxa"/>
            </w:tcMar>
          </w:tcPr>
          <w:p w14:paraId="35D3728C" w14:textId="77777777" w:rsidR="0035153B" w:rsidRDefault="00000000" w:rsidP="00EE5C3F">
            <w:pPr>
              <w:spacing w:after="40" w:line="264" w:lineRule="auto"/>
              <w:jc w:val="both"/>
            </w:pPr>
            <w:r>
              <w:rPr>
                <w:b/>
                <w:bCs/>
                <w:sz w:val="20"/>
                <w:szCs w:val="20"/>
              </w:rPr>
              <w:t>Discours, doctrine, article de presse</w:t>
            </w:r>
          </w:p>
        </w:tc>
        <w:tc>
          <w:tcPr>
            <w:tcW w:w="6600" w:type="dxa"/>
            <w:tcMar>
              <w:top w:w="60" w:type="dxa"/>
              <w:left w:w="100" w:type="dxa"/>
              <w:bottom w:w="60" w:type="dxa"/>
              <w:right w:w="100" w:type="dxa"/>
            </w:tcMar>
          </w:tcPr>
          <w:p w14:paraId="0BDE4359" w14:textId="77777777" w:rsidR="0035153B" w:rsidRDefault="00000000" w:rsidP="00EE5C3F">
            <w:pPr>
              <w:spacing w:after="40" w:line="264" w:lineRule="auto"/>
              <w:jc w:val="both"/>
            </w:pPr>
            <w:r>
              <w:rPr>
                <w:sz w:val="20"/>
                <w:szCs w:val="20"/>
              </w:rPr>
              <w:t>Ce n’est pas un dispositif à commenter mais une thèse à discuter. Identifier l’auteur et sa position institutionnelle, la thèse en une phrase, ses présupposés, ce qui la conforte et ce qui la contredit en droit positif. La réponse se construit en juriste, textes et décisions à l’appui, jamais en opinion.</w:t>
            </w:r>
          </w:p>
        </w:tc>
      </w:tr>
    </w:tbl>
    <w:p w14:paraId="373893A4" w14:textId="77777777" w:rsidR="0035153B" w:rsidRDefault="00000000" w:rsidP="00EE5C3F">
      <w:pPr>
        <w:jc w:val="both"/>
      </w:pPr>
      <w:r>
        <w:br w:type="page"/>
      </w:r>
    </w:p>
    <w:p w14:paraId="1084B9AC" w14:textId="77777777" w:rsidR="0035153B" w:rsidRDefault="00000000" w:rsidP="00EE5C3F">
      <w:pPr>
        <w:pStyle w:val="Titre1"/>
        <w:spacing w:before="320" w:after="160"/>
        <w:jc w:val="both"/>
      </w:pPr>
      <w:r>
        <w:rPr>
          <w:b/>
          <w:bCs/>
          <w:color w:val="1F3864"/>
          <w:sz w:val="28"/>
          <w:szCs w:val="28"/>
        </w:rPr>
        <w:lastRenderedPageBreak/>
        <w:t>6. L’exposé, quinze minutes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5153B" w14:paraId="6D7E214D" w14:textId="77777777">
        <w:tblPrEx>
          <w:tblCellMar>
            <w:top w:w="0" w:type="dxa"/>
            <w:bottom w:w="0" w:type="dxa"/>
          </w:tblCellMar>
        </w:tblPrEx>
        <w:tc>
          <w:tcPr>
            <w:tcW w:w="2400" w:type="dxa"/>
            <w:shd w:val="clear" w:color="auto" w:fill="F2F2F2"/>
            <w:tcMar>
              <w:top w:w="60" w:type="dxa"/>
              <w:left w:w="100" w:type="dxa"/>
              <w:bottom w:w="60" w:type="dxa"/>
              <w:right w:w="100" w:type="dxa"/>
            </w:tcMar>
          </w:tcPr>
          <w:p w14:paraId="4ED3ACB6" w14:textId="77777777" w:rsidR="0035153B" w:rsidRDefault="00000000" w:rsidP="00EE5C3F">
            <w:pPr>
              <w:spacing w:after="40" w:line="264" w:lineRule="auto"/>
              <w:jc w:val="both"/>
            </w:pPr>
            <w:r>
              <w:rPr>
                <w:b/>
                <w:bCs/>
                <w:sz w:val="20"/>
                <w:szCs w:val="20"/>
              </w:rPr>
              <w:t>Bloc</w:t>
            </w:r>
          </w:p>
        </w:tc>
        <w:tc>
          <w:tcPr>
            <w:tcW w:w="6600" w:type="dxa"/>
            <w:shd w:val="clear" w:color="auto" w:fill="F2F2F2"/>
            <w:tcMar>
              <w:top w:w="60" w:type="dxa"/>
              <w:left w:w="100" w:type="dxa"/>
              <w:bottom w:w="60" w:type="dxa"/>
              <w:right w:w="100" w:type="dxa"/>
            </w:tcMar>
          </w:tcPr>
          <w:p w14:paraId="2995A8EC" w14:textId="77777777" w:rsidR="0035153B" w:rsidRDefault="00000000" w:rsidP="00EE5C3F">
            <w:pPr>
              <w:spacing w:after="40" w:line="264" w:lineRule="auto"/>
              <w:jc w:val="both"/>
            </w:pPr>
            <w:r>
              <w:rPr>
                <w:sz w:val="20"/>
                <w:szCs w:val="20"/>
              </w:rPr>
              <w:t>Contenu et durée</w:t>
            </w:r>
          </w:p>
        </w:tc>
      </w:tr>
      <w:tr w:rsidR="0035153B" w14:paraId="3109BF8E" w14:textId="77777777">
        <w:tblPrEx>
          <w:tblCellMar>
            <w:top w:w="0" w:type="dxa"/>
            <w:bottom w:w="0" w:type="dxa"/>
          </w:tblCellMar>
        </w:tblPrEx>
        <w:tc>
          <w:tcPr>
            <w:tcW w:w="2400" w:type="dxa"/>
            <w:tcMar>
              <w:top w:w="60" w:type="dxa"/>
              <w:left w:w="100" w:type="dxa"/>
              <w:bottom w:w="60" w:type="dxa"/>
              <w:right w:w="100" w:type="dxa"/>
            </w:tcMar>
          </w:tcPr>
          <w:p w14:paraId="1AD07053" w14:textId="77777777" w:rsidR="0035153B" w:rsidRDefault="00000000" w:rsidP="00EE5C3F">
            <w:pPr>
              <w:spacing w:after="40" w:line="264" w:lineRule="auto"/>
              <w:jc w:val="both"/>
            </w:pPr>
            <w:r>
              <w:rPr>
                <w:b/>
                <w:bCs/>
                <w:sz w:val="20"/>
                <w:szCs w:val="20"/>
              </w:rPr>
              <w:t>Ouverture</w:t>
            </w:r>
          </w:p>
        </w:tc>
        <w:tc>
          <w:tcPr>
            <w:tcW w:w="6600" w:type="dxa"/>
            <w:tcMar>
              <w:top w:w="60" w:type="dxa"/>
              <w:left w:w="100" w:type="dxa"/>
              <w:bottom w:w="60" w:type="dxa"/>
              <w:right w:w="100" w:type="dxa"/>
            </w:tcMar>
          </w:tcPr>
          <w:p w14:paraId="4971E277" w14:textId="77777777" w:rsidR="0035153B" w:rsidRDefault="00000000" w:rsidP="00EE5C3F">
            <w:pPr>
              <w:spacing w:after="40" w:line="264" w:lineRule="auto"/>
              <w:jc w:val="both"/>
            </w:pPr>
            <w:r>
              <w:rPr>
                <w:sz w:val="20"/>
                <w:szCs w:val="20"/>
              </w:rPr>
              <w:t>Salutation, « Madame la Présidente, Mesdames et Messieurs les membres du jury », annonce du document. 15 secondes.</w:t>
            </w:r>
          </w:p>
        </w:tc>
      </w:tr>
      <w:tr w:rsidR="0035153B" w14:paraId="2AACDC88" w14:textId="77777777">
        <w:tblPrEx>
          <w:tblCellMar>
            <w:top w:w="0" w:type="dxa"/>
            <w:bottom w:w="0" w:type="dxa"/>
          </w:tblCellMar>
        </w:tblPrEx>
        <w:tc>
          <w:tcPr>
            <w:tcW w:w="2400" w:type="dxa"/>
            <w:tcMar>
              <w:top w:w="60" w:type="dxa"/>
              <w:left w:w="100" w:type="dxa"/>
              <w:bottom w:w="60" w:type="dxa"/>
              <w:right w:w="100" w:type="dxa"/>
            </w:tcMar>
          </w:tcPr>
          <w:p w14:paraId="5E0679A2" w14:textId="77777777" w:rsidR="0035153B" w:rsidRDefault="00000000" w:rsidP="00EE5C3F">
            <w:pPr>
              <w:spacing w:after="40" w:line="264" w:lineRule="auto"/>
              <w:jc w:val="both"/>
            </w:pPr>
            <w:r>
              <w:rPr>
                <w:b/>
                <w:bCs/>
                <w:sz w:val="20"/>
                <w:szCs w:val="20"/>
              </w:rPr>
              <w:t>Introduction</w:t>
            </w:r>
          </w:p>
          <w:p w14:paraId="39752DE5" w14:textId="77777777" w:rsidR="0035153B" w:rsidRDefault="00000000" w:rsidP="00EE5C3F">
            <w:pPr>
              <w:spacing w:after="40" w:line="264" w:lineRule="auto"/>
              <w:jc w:val="both"/>
            </w:pPr>
            <w:r>
              <w:rPr>
                <w:b/>
                <w:bCs/>
                <w:sz w:val="20"/>
                <w:szCs w:val="20"/>
              </w:rPr>
              <w:t>3 à 4 min</w:t>
            </w:r>
          </w:p>
        </w:tc>
        <w:tc>
          <w:tcPr>
            <w:tcW w:w="6600" w:type="dxa"/>
            <w:tcMar>
              <w:top w:w="60" w:type="dxa"/>
              <w:left w:w="100" w:type="dxa"/>
              <w:bottom w:w="60" w:type="dxa"/>
              <w:right w:w="100" w:type="dxa"/>
            </w:tcMar>
          </w:tcPr>
          <w:p w14:paraId="5F6E6F33" w14:textId="77777777" w:rsidR="0035153B" w:rsidRDefault="00000000" w:rsidP="00EE5C3F">
            <w:pPr>
              <w:spacing w:after="40" w:line="264" w:lineRule="auto"/>
              <w:jc w:val="both"/>
            </w:pPr>
            <w:r>
              <w:rPr>
                <w:sz w:val="20"/>
                <w:szCs w:val="20"/>
              </w:rPr>
              <w:t>Accroche (une actualité, un chiffre, une formule — jamais une généralité) · présentation du document : nature, auteur, date, contexte de production · faits utiles, procédure, question de droit, solution s’il est juridictionnel · intérêt du texte et enjeu de libertés · problématique en une phrase interrogative à laquelle on peut répondre · annonce du plan.</w:t>
            </w:r>
          </w:p>
        </w:tc>
      </w:tr>
      <w:tr w:rsidR="0035153B" w14:paraId="0605686D" w14:textId="77777777">
        <w:tblPrEx>
          <w:tblCellMar>
            <w:top w:w="0" w:type="dxa"/>
            <w:bottom w:w="0" w:type="dxa"/>
          </w:tblCellMar>
        </w:tblPrEx>
        <w:tc>
          <w:tcPr>
            <w:tcW w:w="2400" w:type="dxa"/>
            <w:tcMar>
              <w:top w:w="60" w:type="dxa"/>
              <w:left w:w="100" w:type="dxa"/>
              <w:bottom w:w="60" w:type="dxa"/>
              <w:right w:w="100" w:type="dxa"/>
            </w:tcMar>
          </w:tcPr>
          <w:p w14:paraId="4495218D" w14:textId="77777777" w:rsidR="0035153B" w:rsidRDefault="00000000" w:rsidP="00EE5C3F">
            <w:pPr>
              <w:spacing w:after="40" w:line="264" w:lineRule="auto"/>
              <w:jc w:val="both"/>
            </w:pPr>
            <w:r>
              <w:rPr>
                <w:b/>
                <w:bCs/>
                <w:sz w:val="20"/>
                <w:szCs w:val="20"/>
              </w:rPr>
              <w:t>I</w:t>
            </w:r>
          </w:p>
          <w:p w14:paraId="2834F764" w14:textId="77777777" w:rsidR="0035153B" w:rsidRDefault="00000000" w:rsidP="00EE5C3F">
            <w:pPr>
              <w:spacing w:after="40" w:line="264" w:lineRule="auto"/>
              <w:jc w:val="both"/>
            </w:pPr>
            <w:r>
              <w:rPr>
                <w:b/>
                <w:bCs/>
                <w:sz w:val="20"/>
                <w:szCs w:val="20"/>
              </w:rPr>
              <w:t>5 min</w:t>
            </w:r>
          </w:p>
        </w:tc>
        <w:tc>
          <w:tcPr>
            <w:tcW w:w="6600" w:type="dxa"/>
            <w:tcMar>
              <w:top w:w="60" w:type="dxa"/>
              <w:left w:w="100" w:type="dxa"/>
              <w:bottom w:w="60" w:type="dxa"/>
              <w:right w:w="100" w:type="dxa"/>
            </w:tcMar>
          </w:tcPr>
          <w:p w14:paraId="130370A7" w14:textId="77777777" w:rsidR="0035153B" w:rsidRDefault="00000000" w:rsidP="00EE5C3F">
            <w:pPr>
              <w:spacing w:after="40" w:line="264" w:lineRule="auto"/>
              <w:jc w:val="both"/>
            </w:pPr>
            <w:r>
              <w:rPr>
                <w:sz w:val="20"/>
                <w:szCs w:val="20"/>
              </w:rPr>
              <w:t>Deux sous-parties. Au moins un texte visé, une décision citée avec sa date.</w:t>
            </w:r>
          </w:p>
        </w:tc>
      </w:tr>
      <w:tr w:rsidR="0035153B" w14:paraId="1BD901A9" w14:textId="77777777">
        <w:tblPrEx>
          <w:tblCellMar>
            <w:top w:w="0" w:type="dxa"/>
            <w:bottom w:w="0" w:type="dxa"/>
          </w:tblCellMar>
        </w:tblPrEx>
        <w:tc>
          <w:tcPr>
            <w:tcW w:w="2400" w:type="dxa"/>
            <w:tcMar>
              <w:top w:w="60" w:type="dxa"/>
              <w:left w:w="100" w:type="dxa"/>
              <w:bottom w:w="60" w:type="dxa"/>
              <w:right w:w="100" w:type="dxa"/>
            </w:tcMar>
          </w:tcPr>
          <w:p w14:paraId="1883C217" w14:textId="77777777" w:rsidR="0035153B" w:rsidRDefault="00000000" w:rsidP="00EE5C3F">
            <w:pPr>
              <w:spacing w:after="40" w:line="264" w:lineRule="auto"/>
              <w:jc w:val="both"/>
            </w:pPr>
            <w:r>
              <w:rPr>
                <w:b/>
                <w:bCs/>
                <w:sz w:val="20"/>
                <w:szCs w:val="20"/>
              </w:rPr>
              <w:t>Transition</w:t>
            </w:r>
          </w:p>
        </w:tc>
        <w:tc>
          <w:tcPr>
            <w:tcW w:w="6600" w:type="dxa"/>
            <w:tcMar>
              <w:top w:w="60" w:type="dxa"/>
              <w:left w:w="100" w:type="dxa"/>
              <w:bottom w:w="60" w:type="dxa"/>
              <w:right w:w="100" w:type="dxa"/>
            </w:tcMar>
          </w:tcPr>
          <w:p w14:paraId="11B9B171" w14:textId="77777777" w:rsidR="0035153B" w:rsidRDefault="00000000" w:rsidP="00EE5C3F">
            <w:pPr>
              <w:spacing w:after="40" w:line="264" w:lineRule="auto"/>
              <w:jc w:val="both"/>
            </w:pPr>
            <w:r>
              <w:rPr>
                <w:sz w:val="20"/>
                <w:szCs w:val="20"/>
              </w:rPr>
              <w:t>Une phrase, dite lentement. Elle vaut point : elle prouve que le plan est raisonné.</w:t>
            </w:r>
          </w:p>
        </w:tc>
      </w:tr>
      <w:tr w:rsidR="0035153B" w14:paraId="453DA428" w14:textId="77777777">
        <w:tblPrEx>
          <w:tblCellMar>
            <w:top w:w="0" w:type="dxa"/>
            <w:bottom w:w="0" w:type="dxa"/>
          </w:tblCellMar>
        </w:tblPrEx>
        <w:tc>
          <w:tcPr>
            <w:tcW w:w="2400" w:type="dxa"/>
            <w:tcMar>
              <w:top w:w="60" w:type="dxa"/>
              <w:left w:w="100" w:type="dxa"/>
              <w:bottom w:w="60" w:type="dxa"/>
              <w:right w:w="100" w:type="dxa"/>
            </w:tcMar>
          </w:tcPr>
          <w:p w14:paraId="6F21806A" w14:textId="77777777" w:rsidR="0035153B" w:rsidRDefault="00000000" w:rsidP="00EE5C3F">
            <w:pPr>
              <w:spacing w:after="40" w:line="264" w:lineRule="auto"/>
              <w:jc w:val="both"/>
            </w:pPr>
            <w:r>
              <w:rPr>
                <w:b/>
                <w:bCs/>
                <w:sz w:val="20"/>
                <w:szCs w:val="20"/>
              </w:rPr>
              <w:t>II</w:t>
            </w:r>
          </w:p>
          <w:p w14:paraId="73486268" w14:textId="77777777" w:rsidR="0035153B" w:rsidRDefault="00000000" w:rsidP="00EE5C3F">
            <w:pPr>
              <w:spacing w:after="40" w:line="264" w:lineRule="auto"/>
              <w:jc w:val="both"/>
            </w:pPr>
            <w:r>
              <w:rPr>
                <w:b/>
                <w:bCs/>
                <w:sz w:val="20"/>
                <w:szCs w:val="20"/>
              </w:rPr>
              <w:t>5 min</w:t>
            </w:r>
          </w:p>
        </w:tc>
        <w:tc>
          <w:tcPr>
            <w:tcW w:w="6600" w:type="dxa"/>
            <w:tcMar>
              <w:top w:w="60" w:type="dxa"/>
              <w:left w:w="100" w:type="dxa"/>
              <w:bottom w:w="60" w:type="dxa"/>
              <w:right w:w="100" w:type="dxa"/>
            </w:tcMar>
          </w:tcPr>
          <w:p w14:paraId="3AF43262" w14:textId="77777777" w:rsidR="0035153B" w:rsidRDefault="00000000" w:rsidP="00EE5C3F">
            <w:pPr>
              <w:spacing w:after="40" w:line="264" w:lineRule="auto"/>
              <w:jc w:val="both"/>
            </w:pPr>
            <w:r>
              <w:rPr>
                <w:sz w:val="20"/>
                <w:szCs w:val="20"/>
              </w:rPr>
              <w:t>Symétrique. C’est ici que se logent la portée, les limites et la critique.</w:t>
            </w:r>
          </w:p>
        </w:tc>
      </w:tr>
      <w:tr w:rsidR="0035153B" w14:paraId="715AA5AD" w14:textId="77777777">
        <w:tblPrEx>
          <w:tblCellMar>
            <w:top w:w="0" w:type="dxa"/>
            <w:bottom w:w="0" w:type="dxa"/>
          </w:tblCellMar>
        </w:tblPrEx>
        <w:tc>
          <w:tcPr>
            <w:tcW w:w="2400" w:type="dxa"/>
            <w:tcMar>
              <w:top w:w="60" w:type="dxa"/>
              <w:left w:w="100" w:type="dxa"/>
              <w:bottom w:w="60" w:type="dxa"/>
              <w:right w:w="100" w:type="dxa"/>
            </w:tcMar>
          </w:tcPr>
          <w:p w14:paraId="68CF621A" w14:textId="77777777" w:rsidR="0035153B" w:rsidRDefault="00000000" w:rsidP="00EE5C3F">
            <w:pPr>
              <w:spacing w:after="40" w:line="264" w:lineRule="auto"/>
              <w:jc w:val="both"/>
            </w:pPr>
            <w:r>
              <w:rPr>
                <w:b/>
                <w:bCs/>
                <w:sz w:val="20"/>
                <w:szCs w:val="20"/>
              </w:rPr>
              <w:t>Conclusion</w:t>
            </w:r>
          </w:p>
          <w:p w14:paraId="76F37BE6" w14:textId="77777777" w:rsidR="0035153B" w:rsidRDefault="00000000" w:rsidP="00EE5C3F">
            <w:pPr>
              <w:spacing w:after="40" w:line="264" w:lineRule="auto"/>
              <w:jc w:val="both"/>
            </w:pPr>
            <w:r>
              <w:rPr>
                <w:b/>
                <w:bCs/>
                <w:sz w:val="20"/>
                <w:szCs w:val="20"/>
              </w:rPr>
              <w:t>1 à 2 min</w:t>
            </w:r>
          </w:p>
        </w:tc>
        <w:tc>
          <w:tcPr>
            <w:tcW w:w="6600" w:type="dxa"/>
            <w:tcMar>
              <w:top w:w="60" w:type="dxa"/>
              <w:left w:w="100" w:type="dxa"/>
              <w:bottom w:w="60" w:type="dxa"/>
              <w:right w:w="100" w:type="dxa"/>
            </w:tcMar>
          </w:tcPr>
          <w:p w14:paraId="75E51B71" w14:textId="77777777" w:rsidR="0035153B" w:rsidRDefault="00000000" w:rsidP="00EE5C3F">
            <w:pPr>
              <w:spacing w:after="40" w:line="264" w:lineRule="auto"/>
              <w:jc w:val="both"/>
            </w:pPr>
            <w:r>
              <w:rPr>
                <w:sz w:val="20"/>
                <w:szCs w:val="20"/>
              </w:rPr>
              <w:t>Réponse explicite à la problématique, puis une ouverture juridique datée (réforme en cours, texte déposé, arrêt attendu). Puis le silence : il signale la fin, on n’annonce pas « j’ai terminé ».</w:t>
            </w:r>
          </w:p>
        </w:tc>
      </w:tr>
    </w:tbl>
    <w:p w14:paraId="3D92BFC8" w14:textId="77777777" w:rsidR="0035153B" w:rsidRDefault="00000000" w:rsidP="00EE5C3F">
      <w:pPr>
        <w:spacing w:after="60" w:line="276" w:lineRule="auto"/>
        <w:jc w:val="both"/>
      </w:pPr>
      <w:r>
        <w:rPr>
          <w:b/>
          <w:bCs/>
        </w:rPr>
        <w:t>Plans qui fonctionnent sur un texte</w:t>
      </w:r>
    </w:p>
    <w:p w14:paraId="41D41EB8" w14:textId="77777777" w:rsidR="0035153B" w:rsidRDefault="00000000" w:rsidP="00EE5C3F">
      <w:pPr>
        <w:pStyle w:val="Paragraphedeliste"/>
        <w:numPr>
          <w:ilvl w:val="0"/>
          <w:numId w:val="2"/>
        </w:numPr>
        <w:spacing w:after="60" w:line="276" w:lineRule="auto"/>
        <w:jc w:val="both"/>
      </w:pPr>
      <w:r>
        <w:t>Sens puis portée : ce que le texte dit / ce qu’il change et ce qu’il laisse ouvert.</w:t>
      </w:r>
    </w:p>
    <w:p w14:paraId="01AB4221" w14:textId="77777777" w:rsidR="0035153B" w:rsidRDefault="00000000" w:rsidP="00EE5C3F">
      <w:pPr>
        <w:pStyle w:val="Paragraphedeliste"/>
        <w:numPr>
          <w:ilvl w:val="0"/>
          <w:numId w:val="2"/>
        </w:numPr>
        <w:spacing w:after="60" w:line="276" w:lineRule="auto"/>
        <w:jc w:val="both"/>
      </w:pPr>
      <w:r>
        <w:t>Le mouvement de fond : une liberté affirmée / une liberté encadrée — à condition que le texte alimente les deux.</w:t>
      </w:r>
    </w:p>
    <w:p w14:paraId="221491D4" w14:textId="77777777" w:rsidR="0035153B" w:rsidRDefault="00000000" w:rsidP="00EE5C3F">
      <w:pPr>
        <w:pStyle w:val="Paragraphedeliste"/>
        <w:numPr>
          <w:ilvl w:val="0"/>
          <w:numId w:val="2"/>
        </w:numPr>
        <w:spacing w:after="60" w:line="276" w:lineRule="auto"/>
        <w:jc w:val="both"/>
      </w:pPr>
      <w:r>
        <w:t>Le conflit de droits : la protection recherchée / le contrôle de proportionnalité et ses limites.</w:t>
      </w:r>
    </w:p>
    <w:p w14:paraId="0A2B4172" w14:textId="77777777" w:rsidR="0035153B" w:rsidRDefault="00000000" w:rsidP="00EE5C3F">
      <w:pPr>
        <w:pStyle w:val="Paragraphedeliste"/>
        <w:numPr>
          <w:ilvl w:val="0"/>
          <w:numId w:val="2"/>
        </w:numPr>
        <w:spacing w:after="60" w:line="276" w:lineRule="auto"/>
        <w:jc w:val="both"/>
      </w:pPr>
      <w:r>
        <w:t>La technique du juge : la solution retenue / sa cohérence avec les autres ordres (Conseil constitutionnel, CEDH, CJUE).</w:t>
      </w:r>
    </w:p>
    <w:p w14:paraId="387A6B36" w14:textId="77777777" w:rsidR="0035153B" w:rsidRDefault="00000000" w:rsidP="00EE5C3F">
      <w:pPr>
        <w:spacing w:after="120" w:line="276" w:lineRule="auto"/>
        <w:jc w:val="both"/>
      </w:pPr>
      <w:r>
        <w:rPr>
          <w:b/>
          <w:bCs/>
        </w:rPr>
        <w:t>Interdits</w:t>
      </w:r>
      <w:r>
        <w:t xml:space="preserve"> : « I. La notion — II. Le régime » ; un titre qui pourrait coiffer n’importe quelle autre décision sur la même liberté ; trois parties ; un plan où le contrôle de proportionnalité n’apparaît nulle part.</w:t>
      </w:r>
    </w:p>
    <w:p w14:paraId="4B6FC451" w14:textId="77777777" w:rsidR="0035153B" w:rsidRDefault="00000000" w:rsidP="00EE5C3F">
      <w:pPr>
        <w:spacing w:after="60" w:line="276" w:lineRule="auto"/>
        <w:jc w:val="both"/>
      </w:pPr>
      <w:r>
        <w:rPr>
          <w:b/>
          <w:bCs/>
        </w:rPr>
        <w:t>Contrôle du plan, deux minutes, avant tout développement</w:t>
      </w:r>
    </w:p>
    <w:p w14:paraId="19CB3F21" w14:textId="77777777" w:rsidR="0035153B" w:rsidRDefault="00000000" w:rsidP="00EE5C3F">
      <w:pPr>
        <w:pStyle w:val="Paragraphedeliste"/>
        <w:numPr>
          <w:ilvl w:val="0"/>
          <w:numId w:val="2"/>
        </w:numPr>
        <w:spacing w:after="60" w:line="276" w:lineRule="auto"/>
        <w:jc w:val="both"/>
      </w:pPr>
      <w:r>
        <w:t>La problématique est une question à laquelle on peut répondre.</w:t>
      </w:r>
    </w:p>
    <w:p w14:paraId="25419774" w14:textId="77777777" w:rsidR="0035153B" w:rsidRDefault="00000000" w:rsidP="00EE5C3F">
      <w:pPr>
        <w:pStyle w:val="Paragraphedeliste"/>
        <w:numPr>
          <w:ilvl w:val="0"/>
          <w:numId w:val="2"/>
        </w:numPr>
        <w:spacing w:after="60" w:line="276" w:lineRule="auto"/>
        <w:jc w:val="both"/>
      </w:pPr>
      <w:r>
        <w:t>Chaque sous-partie tient en une phrase affirmative.</w:t>
      </w:r>
    </w:p>
    <w:p w14:paraId="605BF509" w14:textId="77777777" w:rsidR="0035153B" w:rsidRDefault="00000000" w:rsidP="00EE5C3F">
      <w:pPr>
        <w:pStyle w:val="Paragraphedeliste"/>
        <w:numPr>
          <w:ilvl w:val="0"/>
          <w:numId w:val="2"/>
        </w:numPr>
        <w:spacing w:after="60" w:line="276" w:lineRule="auto"/>
        <w:jc w:val="both"/>
      </w:pPr>
      <w:r>
        <w:t>Le plan est étanche : rien de I ne pourrait être dit en II.</w:t>
      </w:r>
    </w:p>
    <w:p w14:paraId="42D44771" w14:textId="77777777" w:rsidR="0035153B" w:rsidRDefault="00000000" w:rsidP="00EE5C3F">
      <w:pPr>
        <w:pStyle w:val="Paragraphedeliste"/>
        <w:numPr>
          <w:ilvl w:val="0"/>
          <w:numId w:val="2"/>
        </w:numPr>
        <w:spacing w:after="60" w:line="276" w:lineRule="auto"/>
        <w:jc w:val="both"/>
      </w:pPr>
      <w:r>
        <w:t>Chaque partie vise au moins un texte, et ce texte figure dans le code que j’aurai le jour J.</w:t>
      </w:r>
    </w:p>
    <w:p w14:paraId="64C5867A" w14:textId="77777777" w:rsidR="0035153B" w:rsidRDefault="00000000" w:rsidP="00EE5C3F">
      <w:pPr>
        <w:pStyle w:val="Paragraphedeliste"/>
        <w:numPr>
          <w:ilvl w:val="0"/>
          <w:numId w:val="2"/>
        </w:numPr>
        <w:spacing w:after="60" w:line="276" w:lineRule="auto"/>
        <w:jc w:val="both"/>
      </w:pPr>
      <w:r>
        <w:t>Le document apparaît dans les deux parties, sans y être paraphrasé.</w:t>
      </w:r>
    </w:p>
    <w:p w14:paraId="08C4DAA7" w14:textId="77777777" w:rsidR="0035153B" w:rsidRDefault="00000000" w:rsidP="00EE5C3F">
      <w:pPr>
        <w:pStyle w:val="Paragraphedeliste"/>
        <w:numPr>
          <w:ilvl w:val="0"/>
          <w:numId w:val="2"/>
        </w:numPr>
        <w:spacing w:after="60" w:line="276" w:lineRule="auto"/>
        <w:jc w:val="both"/>
      </w:pPr>
      <w:r>
        <w:t>Une actualité datée, au moins une.</w:t>
      </w:r>
    </w:p>
    <w:p w14:paraId="0304F477" w14:textId="77777777" w:rsidR="0035153B" w:rsidRDefault="00000000" w:rsidP="00EE5C3F">
      <w:pPr>
        <w:pStyle w:val="Paragraphedeliste"/>
        <w:numPr>
          <w:ilvl w:val="0"/>
          <w:numId w:val="2"/>
        </w:numPr>
        <w:spacing w:after="60" w:line="276" w:lineRule="auto"/>
        <w:jc w:val="both"/>
      </w:pPr>
      <w:r>
        <w:t>Le minutage annoncé tient : I et II équilibrés à trente secondes près.</w:t>
      </w:r>
    </w:p>
    <w:p w14:paraId="3373776A" w14:textId="77777777" w:rsidR="001813FE" w:rsidRDefault="001813FE" w:rsidP="00EE5C3F">
      <w:pPr>
        <w:spacing w:after="60" w:line="276" w:lineRule="auto"/>
        <w:jc w:val="both"/>
      </w:pPr>
    </w:p>
    <w:p w14:paraId="2C809FBD" w14:textId="77777777" w:rsidR="001813FE" w:rsidRPr="001813FE" w:rsidRDefault="001813FE" w:rsidP="00EE5C3F">
      <w:pPr>
        <w:spacing w:after="60" w:line="276" w:lineRule="auto"/>
        <w:jc w:val="both"/>
      </w:pPr>
      <w:r w:rsidRPr="001813FE">
        <w:t xml:space="preserve">Quinze minutes d'oral posé, c'est environ 2 000 mots. L'introduction en prend 500, la conclusion 200. Il reste </w:t>
      </w:r>
      <w:r w:rsidRPr="001813FE">
        <w:rPr>
          <w:b/>
          <w:bCs/>
        </w:rPr>
        <w:t>1 300 mots pour quatre sous-parties, soit 300 à 350 mots chacune</w:t>
      </w:r>
      <w:r w:rsidRPr="001813FE">
        <w:t xml:space="preserve"> — deux minutes trente. Dans 330 mots, tu loges : une règle, le texte qui la porte, une décision qui l'illustre, son application au document, une nuance. Point. Ton exposé entier tient donc dans </w:t>
      </w:r>
      <w:r w:rsidRPr="001813FE">
        <w:rPr>
          <w:b/>
          <w:bCs/>
        </w:rPr>
        <w:t>huit ou dix briques</w:t>
      </w:r>
      <w:r w:rsidRPr="001813FE">
        <w:t>. Ce n'est pas un problème de volume de connaissances — c'est même l'inverse : les candidats qui ont révisé se noient parce qu'ils veulent placer ce qu'ils savent.</w:t>
      </w:r>
    </w:p>
    <w:p w14:paraId="5D7CD0B4" w14:textId="77777777" w:rsidR="001813FE" w:rsidRPr="001813FE" w:rsidRDefault="001813FE" w:rsidP="00EE5C3F">
      <w:pPr>
        <w:spacing w:after="60" w:line="276" w:lineRule="auto"/>
        <w:jc w:val="both"/>
      </w:pPr>
      <w:r w:rsidRPr="001813FE">
        <w:t xml:space="preserve">Ce qui est vrai, en revanche : </w:t>
      </w:r>
      <w:r w:rsidRPr="001813FE">
        <w:rPr>
          <w:b/>
          <w:bCs/>
        </w:rPr>
        <w:t>le contenu du plan ne se trouve pas dans les supports</w:t>
      </w:r>
      <w:r w:rsidRPr="001813FE">
        <w:t xml:space="preserve">. Le code annoté te donne les textes et, sous les articles, des références de jurisprudence — donc tes visas et parfois tes arrêts. Le recueil de textes te donne la Constitution, la Convention, la Charte. Aucun des deux ne te donne l'idée, le titre, ni l'actualité. Chercher </w:t>
      </w:r>
      <w:r w:rsidRPr="001813FE">
        <w:lastRenderedPageBreak/>
        <w:t>pendant l'heure, c'est déjà avoir perdu : à 20 minutes tu dois vérifier des numéros que tu as en tête, pas découvrir un régime.</w:t>
      </w:r>
    </w:p>
    <w:p w14:paraId="185F6854" w14:textId="77777777" w:rsidR="001813FE" w:rsidRPr="001813FE" w:rsidRDefault="001813FE" w:rsidP="00EE5C3F">
      <w:pPr>
        <w:spacing w:after="60" w:line="276" w:lineRule="auto"/>
        <w:jc w:val="both"/>
      </w:pPr>
      <w:r w:rsidRPr="001813FE">
        <w:t>D'où vient alors le contenu du plan ? De trois ou quatre matrices qui recouvrent presque tous les sujets, et que tu appliques au document une fois que tu as nommé la liberté en cause :</w:t>
      </w:r>
    </w:p>
    <w:p w14:paraId="1F321750" w14:textId="77777777" w:rsidR="001813FE" w:rsidRPr="001813FE" w:rsidRDefault="001813FE" w:rsidP="00EE5C3F">
      <w:pPr>
        <w:numPr>
          <w:ilvl w:val="0"/>
          <w:numId w:val="3"/>
        </w:numPr>
        <w:spacing w:after="60" w:line="276" w:lineRule="auto"/>
        <w:jc w:val="both"/>
      </w:pPr>
      <w:r w:rsidRPr="001813FE">
        <w:rPr>
          <w:b/>
          <w:bCs/>
        </w:rPr>
        <w:t>Le fond puis le contrôle.</w:t>
      </w:r>
      <w:r w:rsidRPr="001813FE">
        <w:t xml:space="preserve"> I. la liberté et ses limites de fond — II. </w:t>
      </w:r>
      <w:proofErr w:type="gramStart"/>
      <w:r w:rsidRPr="001813FE">
        <w:t>les</w:t>
      </w:r>
      <w:proofErr w:type="gramEnd"/>
      <w:r w:rsidRPr="001813FE">
        <w:t xml:space="preserve"> garanties, l'office du juge, l'effectivité du recours. C'est exactement le plan du corrigé que ton IEJ t'a donné le 1er juin : I. la subordination de la liberté de l'enseignement à l'instruction obligatoire — II. </w:t>
      </w:r>
      <w:proofErr w:type="gramStart"/>
      <w:r w:rsidRPr="001813FE">
        <w:t>le</w:t>
      </w:r>
      <w:proofErr w:type="gramEnd"/>
      <w:r w:rsidRPr="001813FE">
        <w:t xml:space="preserve"> contrôle des décisions de fermeture. Regarde-le : le II ne parle plus de la liberté, il parle du juge.</w:t>
      </w:r>
    </w:p>
    <w:p w14:paraId="5FB525C3" w14:textId="77777777" w:rsidR="001813FE" w:rsidRPr="001813FE" w:rsidRDefault="001813FE" w:rsidP="00EE5C3F">
      <w:pPr>
        <w:numPr>
          <w:ilvl w:val="0"/>
          <w:numId w:val="3"/>
        </w:numPr>
        <w:spacing w:after="60" w:line="276" w:lineRule="auto"/>
        <w:jc w:val="both"/>
      </w:pPr>
      <w:r w:rsidRPr="001813FE">
        <w:rPr>
          <w:b/>
          <w:bCs/>
        </w:rPr>
        <w:t>Le schéma de l'ingérence.</w:t>
      </w:r>
      <w:r w:rsidRPr="001813FE">
        <w:t xml:space="preserve"> Existence d'une atteinte → base légale → but légitime → nécessité et proportionnalité → garanties procédurales. Il se coupe en deux à l'endroit que le texte commande.</w:t>
      </w:r>
    </w:p>
    <w:p w14:paraId="4376918A" w14:textId="77777777" w:rsidR="001813FE" w:rsidRPr="001813FE" w:rsidRDefault="001813FE" w:rsidP="00EE5C3F">
      <w:pPr>
        <w:numPr>
          <w:ilvl w:val="0"/>
          <w:numId w:val="3"/>
        </w:numPr>
        <w:spacing w:after="60" w:line="276" w:lineRule="auto"/>
        <w:jc w:val="both"/>
      </w:pPr>
      <w:r w:rsidRPr="001813FE">
        <w:rPr>
          <w:b/>
          <w:bCs/>
        </w:rPr>
        <w:t>Le conflit de droits.</w:t>
      </w:r>
      <w:r w:rsidRPr="001813FE">
        <w:t xml:space="preserve"> Deux libertés qui se heurtent, et la conciliation opérée par le juge : I. la protection revendiquée — II. </w:t>
      </w:r>
      <w:proofErr w:type="gramStart"/>
      <w:r w:rsidRPr="001813FE">
        <w:t>ce</w:t>
      </w:r>
      <w:proofErr w:type="gramEnd"/>
      <w:r w:rsidRPr="001813FE">
        <w:t xml:space="preserve"> que le juge fait céder, et pourquoi.</w:t>
      </w:r>
    </w:p>
    <w:p w14:paraId="36BA43F5" w14:textId="77777777" w:rsidR="001813FE" w:rsidRPr="001813FE" w:rsidRDefault="001813FE" w:rsidP="00EE5C3F">
      <w:pPr>
        <w:numPr>
          <w:ilvl w:val="0"/>
          <w:numId w:val="3"/>
        </w:numPr>
        <w:spacing w:after="60" w:line="276" w:lineRule="auto"/>
        <w:jc w:val="both"/>
      </w:pPr>
      <w:r w:rsidRPr="001813FE">
        <w:rPr>
          <w:b/>
          <w:bCs/>
        </w:rPr>
        <w:t>L'affirmation et l'effectivité.</w:t>
      </w:r>
      <w:r w:rsidRPr="001813FE">
        <w:t xml:space="preserve"> Le droit proclamé — le droit réellement garanti (recours, sanction, réparation). Utile quand le texte est un discours, un article de code, une proposition de loi.</w:t>
      </w:r>
    </w:p>
    <w:p w14:paraId="22CDEC44" w14:textId="77777777" w:rsidR="001813FE" w:rsidRPr="001813FE" w:rsidRDefault="001813FE" w:rsidP="00EE5C3F">
      <w:pPr>
        <w:spacing w:after="60" w:line="276" w:lineRule="auto"/>
        <w:jc w:val="both"/>
      </w:pPr>
      <w:r w:rsidRPr="001813FE">
        <w:t>Tu remarqueras que ces matrices ne dépendent pas de la liberté concernée. C'est ça, la vraie économie : tu n'apprends pas quatre-vingts plans, tu apprends quatre schémas et tu leur donnes la couleur du document.</w:t>
      </w:r>
    </w:p>
    <w:p w14:paraId="087E3CCD" w14:textId="6DEF44C2" w:rsidR="00EE5C3F" w:rsidRDefault="001813FE" w:rsidP="00EE5C3F">
      <w:pPr>
        <w:spacing w:after="60" w:line="276" w:lineRule="auto"/>
        <w:jc w:val="both"/>
      </w:pPr>
      <w:r w:rsidRPr="001813FE">
        <w:t xml:space="preserve">Ce qui est réellement difficile, et que je ne vais pas t'enjoliver : les </w:t>
      </w:r>
      <w:r w:rsidRPr="001813FE">
        <w:rPr>
          <w:b/>
          <w:bCs/>
        </w:rPr>
        <w:t>cinq premières minutes</w:t>
      </w:r>
      <w:r w:rsidRPr="001813FE">
        <w:t xml:space="preserve"> — nommer la liberté exacte et son fondement précis, pas « la liberté d'expression » quand le texte parle de la liberté de la presse ; </w:t>
      </w:r>
      <w:r w:rsidRPr="001813FE">
        <w:rPr>
          <w:b/>
          <w:bCs/>
        </w:rPr>
        <w:t>l'actualité</w:t>
      </w:r>
      <w:r w:rsidRPr="001813FE">
        <w:t xml:space="preserve">, que rien dans la salle ne te fournira ; et surtout </w:t>
      </w:r>
      <w:r w:rsidRPr="001813FE">
        <w:rPr>
          <w:b/>
          <w:bCs/>
        </w:rPr>
        <w:t>l'entretien de trente minutes</w:t>
      </w:r>
      <w:r w:rsidRPr="001813FE">
        <w:t>, qui pèse le double de l'exposé et où l'écart de fond se voit vraiment. Le plan, lui, est une compétence d'entraînement, pas de connaissance : quatre sujets par jour, problématique et deux titres, quatre minutes chacun, sans jamais développer. En deux semaines ça devient un réflexe.</w:t>
      </w:r>
    </w:p>
    <w:p w14:paraId="694B9D0B" w14:textId="77777777" w:rsidR="00EE5C3F" w:rsidRDefault="00EE5C3F" w:rsidP="00EE5C3F">
      <w:pPr>
        <w:spacing w:after="60" w:line="276" w:lineRule="auto"/>
        <w:jc w:val="both"/>
      </w:pPr>
    </w:p>
    <w:p w14:paraId="3BBA0713" w14:textId="7EC755B5" w:rsidR="00EE5C3F" w:rsidRDefault="00EE5C3F" w:rsidP="00EE5C3F">
      <w:pPr>
        <w:spacing w:after="60" w:line="276" w:lineRule="auto"/>
        <w:jc w:val="both"/>
      </w:pPr>
      <w:r>
        <w:t>Exemple de rédaction :</w:t>
      </w:r>
    </w:p>
    <w:p w14:paraId="503AC20F" w14:textId="77777777" w:rsidR="00EE5C3F" w:rsidRPr="00EE5C3F" w:rsidRDefault="00EE5C3F" w:rsidP="00EE5C3F">
      <w:pPr>
        <w:spacing w:after="60" w:line="276" w:lineRule="auto"/>
        <w:jc w:val="both"/>
      </w:pPr>
      <w:r w:rsidRPr="00EE5C3F">
        <w:rPr>
          <w:b/>
          <w:bCs/>
        </w:rPr>
        <w:t>I. A — L'autonomie dans le choix des contenus pédagogiques</w:t>
      </w:r>
      <w:r w:rsidRPr="00EE5C3F">
        <w:t xml:space="preserve"> </w:t>
      </w:r>
      <w:r w:rsidRPr="00EE5C3F">
        <w:rPr>
          <w:i/>
          <w:iCs/>
        </w:rPr>
        <w:t>(≈ 2 min 30)</w:t>
      </w:r>
    </w:p>
    <w:p w14:paraId="7933A9B0" w14:textId="77777777" w:rsidR="00EE5C3F" w:rsidRPr="00EE5C3F" w:rsidRDefault="00EE5C3F" w:rsidP="00EE5C3F">
      <w:pPr>
        <w:spacing w:after="60" w:line="276" w:lineRule="auto"/>
        <w:ind w:firstLine="708"/>
        <w:jc w:val="both"/>
      </w:pPr>
      <w:r w:rsidRPr="00EE5C3F">
        <w:t>La liberté de l'enseignement n'est pas une liberté d'origine récente ni de rang subalterne. Dès sa décision n° 77-87 DC du 23 novembre 1977, le Conseil constitutionnel a jugé que le principe de la liberté d'enseignement, « rappelé notamment à l'article 91 de la loi de finances du 31 mars 1931, constitue l'un des principes fondamentaux reconnus par les lois de la République » — elle a donc valeur constitutionnelle, et le législateur ne peut y porter atteinte que dans la mesure nécessaire à la conciliation avec d'autres exigences.</w:t>
      </w:r>
    </w:p>
    <w:p w14:paraId="4E01C8E3" w14:textId="77777777" w:rsidR="00EE5C3F" w:rsidRPr="00EE5C3F" w:rsidRDefault="00EE5C3F" w:rsidP="00EE5C3F">
      <w:pPr>
        <w:spacing w:after="60" w:line="276" w:lineRule="auto"/>
        <w:ind w:firstLine="708"/>
        <w:jc w:val="both"/>
      </w:pPr>
      <w:r w:rsidRPr="00EE5C3F">
        <w:t>Cette liberté a deux visages. Un visage institutionnel d'abord : la liberté d'ouvrir un établissement, aujourd'hui soumise à un régime de déclaration assorti d'un droit d'opposition. Un visage pédagogique ensuite, qui nous intéresse ici : l'établissement hors contrat choisit ses méthodes. L'ordonnance commentée le rappelle expressément en son point 7 : « il est loisible aux établissements privés hors contrat de choisir, en fonction de leur parti éducatif, leurs méthodes et supports pédagogiques », sous les seules réserves de l'article L. 442-3 du code de l'éducation.</w:t>
      </w:r>
    </w:p>
    <w:p w14:paraId="3584815C" w14:textId="77777777" w:rsidR="00EE5C3F" w:rsidRPr="00EE5C3F" w:rsidRDefault="00EE5C3F" w:rsidP="00EE5C3F">
      <w:pPr>
        <w:spacing w:after="60" w:line="276" w:lineRule="auto"/>
        <w:ind w:firstLine="708"/>
        <w:jc w:val="both"/>
      </w:pPr>
      <w:r w:rsidRPr="00EE5C3F">
        <w:t xml:space="preserve">Le droit européen conforte cette autonomie. L'article 2 du Protocole n° 1 impose à l'État de respecter les convictions religieuses et philosophiques des parents ; dans l'arrêt </w:t>
      </w:r>
      <w:r w:rsidRPr="00EE5C3F">
        <w:rPr>
          <w:i/>
          <w:iCs/>
        </w:rPr>
        <w:t>Kjeldsen, Busk Madsen et Pedersen c. Danemark</w:t>
      </w:r>
      <w:r w:rsidRPr="00EE5C3F">
        <w:t xml:space="preserve"> du 7 décembre 1976, la Cour a jugé que l'État doit veiller à ce que les connaissances soient diffusées « de manière objective, critique et pluraliste » et s'interdire tout but d'endoctrinement.</w:t>
      </w:r>
    </w:p>
    <w:p w14:paraId="3763788B" w14:textId="77777777" w:rsidR="00EE5C3F" w:rsidRPr="00EE5C3F" w:rsidRDefault="00EE5C3F" w:rsidP="00EE5C3F">
      <w:pPr>
        <w:spacing w:after="60" w:line="276" w:lineRule="auto"/>
        <w:ind w:firstLine="708"/>
        <w:jc w:val="both"/>
      </w:pPr>
      <w:r w:rsidRPr="00EE5C3F">
        <w:t>Or, et c'est ce qui donne à l'espèce sa portée, le juge des référés relève que l'arrêté préfectoral « ne comporte aucune contestation ni critique de la pédagogie propre à l'école » — pas un mot contre la méthode Steiner-Waldorf. Le débat n'est donc pas celui du choix pédagogique. Il est celui du résultat que ce choix doit atteindre : l'acquisition du socle commun.</w:t>
      </w:r>
    </w:p>
    <w:p w14:paraId="7E144954" w14:textId="77777777" w:rsidR="00EE5C3F" w:rsidRPr="00EE5C3F" w:rsidRDefault="00EE5C3F" w:rsidP="00EE5C3F">
      <w:pPr>
        <w:spacing w:after="60" w:line="276" w:lineRule="auto"/>
        <w:jc w:val="both"/>
      </w:pPr>
      <w:r w:rsidRPr="00EE5C3F">
        <w:rPr>
          <w:b/>
          <w:bCs/>
        </w:rPr>
        <w:t>II. B — Le contrôle minimal du juge administratif</w:t>
      </w:r>
      <w:r w:rsidRPr="00EE5C3F">
        <w:t xml:space="preserve"> </w:t>
      </w:r>
      <w:r w:rsidRPr="00EE5C3F">
        <w:rPr>
          <w:i/>
          <w:iCs/>
        </w:rPr>
        <w:t>(≈ 2 min 30)</w:t>
      </w:r>
    </w:p>
    <w:p w14:paraId="6B4E1DBD" w14:textId="77777777" w:rsidR="00EE5C3F" w:rsidRPr="00EE5C3F" w:rsidRDefault="00EE5C3F" w:rsidP="00EE5C3F">
      <w:pPr>
        <w:spacing w:after="60" w:line="276" w:lineRule="auto"/>
        <w:ind w:firstLine="708"/>
        <w:jc w:val="both"/>
      </w:pPr>
      <w:r w:rsidRPr="00EE5C3F">
        <w:t>Si la fermeture est une mesure de police, encore faut-il savoir qui la contrôle et jusqu'où. Or l'établissement a choisi le référé-liberté, et ce choix commande tout le reste.</w:t>
      </w:r>
    </w:p>
    <w:p w14:paraId="2ED7D006" w14:textId="77777777" w:rsidR="00EE5C3F" w:rsidRPr="00EE5C3F" w:rsidRDefault="00EE5C3F" w:rsidP="00EE5C3F">
      <w:pPr>
        <w:spacing w:after="60" w:line="276" w:lineRule="auto"/>
        <w:ind w:firstLine="708"/>
        <w:jc w:val="both"/>
      </w:pPr>
      <w:r w:rsidRPr="00EE5C3F">
        <w:lastRenderedPageBreak/>
        <w:t>L'article L. 521-2 du code de justice administrative n'offre pas un contrôle de légalité ordinaire : le juge ne peut ordonner des mesures que si l'atteinte à une liberté fondamentale est à la fois « grave » et « manifestement illégale ». Le seuil est donc double, et l'illégalité simple ne suffit pas.</w:t>
      </w:r>
    </w:p>
    <w:p w14:paraId="28545378" w14:textId="77777777" w:rsidR="00EE5C3F" w:rsidRPr="00EE5C3F" w:rsidRDefault="00EE5C3F" w:rsidP="00EE5C3F">
      <w:pPr>
        <w:spacing w:after="60" w:line="276" w:lineRule="auto"/>
        <w:ind w:firstLine="708"/>
        <w:jc w:val="both"/>
      </w:pPr>
      <w:r w:rsidRPr="00EE5C3F">
        <w:t>L'ordonnance en donne une illustration presque parfaite. Les requérants établissaient que le rapport de la seconde inspection ne leur avait jamais été transmis — le ministre ne l'a pas contesté à l'audience. Le juge le concède, et le formule en un mot qui vaut d'être retenu : cette circonstance, « pour regrettable qu'elle soit », n'est pas de nature à caractériser une illégalité grave et manifeste, dès lors qu'une procédure contradictoire s'est déroulée par ailleurs. Autrement dit, une irrégularité reconnue ne renverse pas la mesure devant le juge du provisoire.</w:t>
      </w:r>
    </w:p>
    <w:p w14:paraId="4612DB8A" w14:textId="77777777" w:rsidR="00EE5C3F" w:rsidRPr="00EE5C3F" w:rsidRDefault="00EE5C3F" w:rsidP="00EE5C3F">
      <w:pPr>
        <w:spacing w:after="60" w:line="276" w:lineRule="auto"/>
        <w:ind w:firstLine="708"/>
        <w:jc w:val="both"/>
      </w:pPr>
      <w:r w:rsidRPr="00EE5C3F">
        <w:t>Second indice de cette économie de moyens : le Conseil d'État rejette la requête « sans qu'il soit besoin de se prononcer sur la condition d'urgence ». Une condition manquante suffit ; le juge des référés ne s'attarde pas.</w:t>
      </w:r>
    </w:p>
    <w:p w14:paraId="5C7D18C5" w14:textId="77777777" w:rsidR="00EE5C3F" w:rsidRPr="00EE5C3F" w:rsidRDefault="00EE5C3F" w:rsidP="00EE5C3F">
      <w:pPr>
        <w:spacing w:after="60" w:line="276" w:lineRule="auto"/>
        <w:ind w:firstLine="708"/>
        <w:jc w:val="both"/>
      </w:pPr>
      <w:r w:rsidRPr="00EE5C3F">
        <w:t>Faut-il en conclure que la liberté est mal protégée ? Non — mais la protection se déplace. Elle reste entière devant le juge de l'excès de pouvoir, qui contrôlera au fond la proportionnalité d'une mesure de police que l'ordonnance qualifie elle-même comme telle. Le référé-liberté filtre l'évident ; il ne juge pas l'affaire.</w:t>
      </w:r>
    </w:p>
    <w:p w14:paraId="0C0C0F7B" w14:textId="77777777" w:rsidR="00EE5C3F" w:rsidRDefault="00EE5C3F" w:rsidP="00EE5C3F">
      <w:pPr>
        <w:spacing w:after="60" w:line="276" w:lineRule="auto"/>
        <w:jc w:val="both"/>
      </w:pPr>
    </w:p>
    <w:p w14:paraId="70232AC1" w14:textId="77777777" w:rsidR="0035153B" w:rsidRDefault="00000000" w:rsidP="00EE5C3F">
      <w:pPr>
        <w:pStyle w:val="Titre1"/>
        <w:spacing w:before="320" w:after="160"/>
        <w:jc w:val="both"/>
      </w:pPr>
      <w:r>
        <w:rPr>
          <w:b/>
          <w:bCs/>
          <w:color w:val="1F3864"/>
          <w:sz w:val="28"/>
          <w:szCs w:val="28"/>
        </w:rPr>
        <w:t>7. L’entretien, trente minutes — le double de l’exposé</w:t>
      </w:r>
    </w:p>
    <w:p w14:paraId="102C30CB" w14:textId="77777777" w:rsidR="0035153B" w:rsidRDefault="00000000" w:rsidP="00EE5C3F">
      <w:pPr>
        <w:pStyle w:val="Paragraphedeliste"/>
        <w:numPr>
          <w:ilvl w:val="0"/>
          <w:numId w:val="2"/>
        </w:numPr>
        <w:spacing w:after="60" w:line="276" w:lineRule="auto"/>
        <w:jc w:val="both"/>
      </w:pPr>
      <w:r>
        <w:rPr>
          <w:b/>
          <w:bCs/>
        </w:rPr>
        <w:t>Premier tiers — approfondissement.</w:t>
      </w:r>
      <w:r>
        <w:t xml:space="preserve"> Le jury pousse là où l’exposé a été rapide, et vérifie que vous avez lu le document, pas seulement reconnu son thème. Attendez-vous à : « quelle était la formation ? », « que devient la disposition censurée ? », « qu’aurait décidé le juge du fond ? ».</w:t>
      </w:r>
    </w:p>
    <w:p w14:paraId="0A589DC3" w14:textId="77777777" w:rsidR="0035153B" w:rsidRDefault="00000000" w:rsidP="00EE5C3F">
      <w:pPr>
        <w:pStyle w:val="Paragraphedeliste"/>
        <w:numPr>
          <w:ilvl w:val="0"/>
          <w:numId w:val="2"/>
        </w:numPr>
        <w:spacing w:after="60" w:line="276" w:lineRule="auto"/>
        <w:jc w:val="both"/>
      </w:pPr>
      <w:r>
        <w:rPr>
          <w:b/>
          <w:bCs/>
        </w:rPr>
        <w:t>Deuxième tiers — culture juridique.</w:t>
      </w:r>
      <w:r>
        <w:t xml:space="preserve"> Une autre liberté, un mécanisme de garantie, une décision récente, les institutions juridictionnelles, les grands systèmes de droit.</w:t>
      </w:r>
    </w:p>
    <w:p w14:paraId="04A8F64B" w14:textId="77777777" w:rsidR="0035153B" w:rsidRDefault="00000000" w:rsidP="00EE5C3F">
      <w:pPr>
        <w:pStyle w:val="Paragraphedeliste"/>
        <w:numPr>
          <w:ilvl w:val="0"/>
          <w:numId w:val="2"/>
        </w:numPr>
        <w:spacing w:after="60" w:line="276" w:lineRule="auto"/>
        <w:jc w:val="both"/>
      </w:pPr>
      <w:r>
        <w:rPr>
          <w:b/>
          <w:bCs/>
        </w:rPr>
        <w:t>Dernier tiers — parcours, motivation, déontologie.</w:t>
      </w:r>
      <w:r>
        <w:t xml:space="preserve"> Pourquoi avocat, pourquoi cette matière, un dilemme déontologique argumenté. Ces réponses se préparent et se stabilisent : elles ne s’improvisent pas mieux que les autres.</w:t>
      </w:r>
    </w:p>
    <w:p w14:paraId="60FD546A" w14:textId="77777777" w:rsidR="0035153B" w:rsidRDefault="00000000" w:rsidP="00EE5C3F">
      <w:pPr>
        <w:spacing w:after="120" w:line="276" w:lineRule="auto"/>
        <w:jc w:val="both"/>
      </w:pPr>
      <w:r>
        <w:t>Règles : jamais de réponse d’un mot ; toujours une argumentation juridique, même brève ; « je ne sais pas, mais voici comment je raisonnerais » vaut infiniment mieux qu’un bluff — un bluff détecté coûte plus cher que l’ignorance avouée ; s’adresser à tous les membres du jury ; ne pas céder sur une position exacte quand le jury contredit pour tester, mais nuancer quand il a raison.</w:t>
      </w:r>
    </w:p>
    <w:p w14:paraId="719C570C" w14:textId="77777777" w:rsidR="0035153B" w:rsidRDefault="00000000" w:rsidP="00EE5C3F">
      <w:pPr>
        <w:pStyle w:val="Titre1"/>
        <w:spacing w:before="320" w:after="160"/>
        <w:jc w:val="both"/>
      </w:pPr>
      <w:r>
        <w:rPr>
          <w:b/>
          <w:bCs/>
          <w:color w:val="1F3864"/>
          <w:sz w:val="28"/>
          <w:szCs w:val="28"/>
        </w:rPr>
        <w:t>8. Les huit fautes qui coûtent des points</w:t>
      </w:r>
    </w:p>
    <w:p w14:paraId="15C460D2" w14:textId="77777777" w:rsidR="0035153B" w:rsidRDefault="00000000" w:rsidP="00EE5C3F">
      <w:pPr>
        <w:pStyle w:val="Paragraphedeliste"/>
        <w:numPr>
          <w:ilvl w:val="0"/>
          <w:numId w:val="2"/>
        </w:numPr>
        <w:spacing w:after="60" w:line="276" w:lineRule="auto"/>
        <w:jc w:val="both"/>
      </w:pPr>
      <w:r>
        <w:t xml:space="preserve">Paraphraser le document (I. les faits, II. </w:t>
      </w:r>
      <w:proofErr w:type="gramStart"/>
      <w:r>
        <w:t>la</w:t>
      </w:r>
      <w:proofErr w:type="gramEnd"/>
      <w:r>
        <w:t xml:space="preserve"> solution).</w:t>
      </w:r>
    </w:p>
    <w:p w14:paraId="29C31CB3" w14:textId="77777777" w:rsidR="0035153B" w:rsidRDefault="00000000" w:rsidP="00EE5C3F">
      <w:pPr>
        <w:pStyle w:val="Paragraphedeliste"/>
        <w:numPr>
          <w:ilvl w:val="0"/>
          <w:numId w:val="2"/>
        </w:numPr>
        <w:spacing w:after="60" w:line="276" w:lineRule="auto"/>
        <w:jc w:val="both"/>
      </w:pPr>
      <w:r>
        <w:t>Traiter le thème du document et non le document.</w:t>
      </w:r>
    </w:p>
    <w:p w14:paraId="3D30D2A6" w14:textId="77777777" w:rsidR="0035153B" w:rsidRDefault="00000000" w:rsidP="00EE5C3F">
      <w:pPr>
        <w:pStyle w:val="Paragraphedeliste"/>
        <w:numPr>
          <w:ilvl w:val="0"/>
          <w:numId w:val="2"/>
        </w:numPr>
        <w:spacing w:after="60" w:line="276" w:lineRule="auto"/>
        <w:jc w:val="both"/>
      </w:pPr>
      <w:r>
        <w:t>Confondre un communiqué de presse, un extrait ou un résumé avec la décision elle-même.</w:t>
      </w:r>
    </w:p>
    <w:p w14:paraId="150DF90F" w14:textId="77777777" w:rsidR="0035153B" w:rsidRDefault="00000000" w:rsidP="00EE5C3F">
      <w:pPr>
        <w:pStyle w:val="Paragraphedeliste"/>
        <w:numPr>
          <w:ilvl w:val="0"/>
          <w:numId w:val="2"/>
        </w:numPr>
        <w:spacing w:after="60" w:line="276" w:lineRule="auto"/>
        <w:jc w:val="both"/>
      </w:pPr>
      <w:r>
        <w:t>Parler d’un projet ou d’une proposition de loi comme d’un texte en vigueur.</w:t>
      </w:r>
    </w:p>
    <w:p w14:paraId="54186441" w14:textId="77777777" w:rsidR="0035153B" w:rsidRDefault="00000000" w:rsidP="00EE5C3F">
      <w:pPr>
        <w:pStyle w:val="Paragraphedeliste"/>
        <w:numPr>
          <w:ilvl w:val="0"/>
          <w:numId w:val="2"/>
        </w:numPr>
        <w:spacing w:after="60" w:line="276" w:lineRule="auto"/>
        <w:jc w:val="both"/>
      </w:pPr>
      <w:r>
        <w:t>Ignorer la formation, la publication ou la voie procédurale, et surestimer la portée d’une ordonnance de référé ou d’un arrêt non publié.</w:t>
      </w:r>
    </w:p>
    <w:p w14:paraId="46CAE71B" w14:textId="77777777" w:rsidR="0035153B" w:rsidRDefault="00000000" w:rsidP="00EE5C3F">
      <w:pPr>
        <w:pStyle w:val="Paragraphedeliste"/>
        <w:numPr>
          <w:ilvl w:val="0"/>
          <w:numId w:val="2"/>
        </w:numPr>
        <w:spacing w:after="60" w:line="276" w:lineRule="auto"/>
        <w:jc w:val="both"/>
      </w:pPr>
      <w:r>
        <w:t>Omettre les effets dans le temps d’une censure constitutionnelle.</w:t>
      </w:r>
    </w:p>
    <w:p w14:paraId="7110DA50" w14:textId="77777777" w:rsidR="0035153B" w:rsidRDefault="00000000" w:rsidP="00EE5C3F">
      <w:pPr>
        <w:pStyle w:val="Paragraphedeliste"/>
        <w:numPr>
          <w:ilvl w:val="0"/>
          <w:numId w:val="2"/>
        </w:numPr>
        <w:spacing w:after="60" w:line="276" w:lineRule="auto"/>
        <w:jc w:val="both"/>
      </w:pPr>
      <w:r>
        <w:t>Sortir du programme : une dissertation de philosophie politique sans texte visé.</w:t>
      </w:r>
    </w:p>
    <w:p w14:paraId="2E94114B" w14:textId="77777777" w:rsidR="0035153B" w:rsidRDefault="00000000" w:rsidP="00EE5C3F">
      <w:pPr>
        <w:pStyle w:val="Paragraphedeliste"/>
        <w:numPr>
          <w:ilvl w:val="0"/>
          <w:numId w:val="2"/>
        </w:numPr>
        <w:spacing w:after="60" w:line="276" w:lineRule="auto"/>
        <w:jc w:val="both"/>
      </w:pPr>
      <w:r>
        <w:t>Déborder ou finir en dix minutes : le minutage est une compétence évaluée, pas une contrainte matérielle.</w:t>
      </w:r>
    </w:p>
    <w:p w14:paraId="0168492F" w14:textId="77777777" w:rsidR="0035153B" w:rsidRDefault="00000000" w:rsidP="00EE5C3F">
      <w:pPr>
        <w:spacing w:before="320"/>
        <w:jc w:val="both"/>
      </w:pPr>
      <w:r>
        <w:rPr>
          <w:b/>
          <w:bCs/>
          <w:color w:val="1F3864"/>
        </w:rPr>
        <w:t>Sources</w:t>
      </w:r>
    </w:p>
    <w:p w14:paraId="18CC48DF" w14:textId="77777777" w:rsidR="0035153B" w:rsidRDefault="00000000" w:rsidP="00EE5C3F">
      <w:pPr>
        <w:spacing w:after="120" w:line="276" w:lineRule="auto"/>
        <w:jc w:val="both"/>
      </w:pPr>
      <w:r>
        <w:rPr>
          <w:i/>
          <w:iCs/>
          <w:sz w:val="19"/>
          <w:szCs w:val="19"/>
        </w:rPr>
        <w:t>Arrêté du 17 octobre 2016, art. 7 (version en vigueur, Légifrance) · IEJ de l’École de droit de Toulouse, « Préparation à l’examen d’entrée au CRFPA — L’épreuve du Grand oral », 2025 · Sujets d’entraînement et éléments de correction de l’IEJ (semaines 1 et 4 ; séance du 1er juin 2026) · Annales officieuses des sujets du grand oral 2024 et 2025 (RD Avocats, 1anpourleCRFPA) · Fiches de méthodologie Dalloz Étudiant, Prépa Dalloz, Objectif Barreau, Village de la Justice.</w:t>
      </w:r>
    </w:p>
    <w:sectPr w:rsidR="0035153B">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F66E1"/>
    <w:multiLevelType w:val="multilevel"/>
    <w:tmpl w:val="00CC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6335A"/>
    <w:multiLevelType w:val="hybridMultilevel"/>
    <w:tmpl w:val="A81CB7FC"/>
    <w:lvl w:ilvl="0" w:tplc="DB90A706">
      <w:start w:val="1"/>
      <w:numFmt w:val="bullet"/>
      <w:lvlText w:val="●"/>
      <w:lvlJc w:val="left"/>
      <w:pPr>
        <w:ind w:left="720" w:hanging="360"/>
      </w:pPr>
    </w:lvl>
    <w:lvl w:ilvl="1" w:tplc="1A2EE014">
      <w:start w:val="1"/>
      <w:numFmt w:val="bullet"/>
      <w:lvlText w:val="○"/>
      <w:lvlJc w:val="left"/>
      <w:pPr>
        <w:ind w:left="1440" w:hanging="360"/>
      </w:pPr>
    </w:lvl>
    <w:lvl w:ilvl="2" w:tplc="180CC534">
      <w:start w:val="1"/>
      <w:numFmt w:val="bullet"/>
      <w:lvlText w:val="■"/>
      <w:lvlJc w:val="left"/>
      <w:pPr>
        <w:ind w:left="2160" w:hanging="360"/>
      </w:pPr>
    </w:lvl>
    <w:lvl w:ilvl="3" w:tplc="D6DC6478">
      <w:start w:val="1"/>
      <w:numFmt w:val="bullet"/>
      <w:lvlText w:val="●"/>
      <w:lvlJc w:val="left"/>
      <w:pPr>
        <w:ind w:left="2880" w:hanging="360"/>
      </w:pPr>
    </w:lvl>
    <w:lvl w:ilvl="4" w:tplc="B5FE6F76">
      <w:start w:val="1"/>
      <w:numFmt w:val="bullet"/>
      <w:lvlText w:val="○"/>
      <w:lvlJc w:val="left"/>
      <w:pPr>
        <w:ind w:left="3600" w:hanging="360"/>
      </w:pPr>
    </w:lvl>
    <w:lvl w:ilvl="5" w:tplc="9198E69E">
      <w:start w:val="1"/>
      <w:numFmt w:val="bullet"/>
      <w:lvlText w:val="■"/>
      <w:lvlJc w:val="left"/>
      <w:pPr>
        <w:ind w:left="4320" w:hanging="360"/>
      </w:pPr>
    </w:lvl>
    <w:lvl w:ilvl="6" w:tplc="DBFCF104">
      <w:start w:val="1"/>
      <w:numFmt w:val="bullet"/>
      <w:lvlText w:val="●"/>
      <w:lvlJc w:val="left"/>
      <w:pPr>
        <w:ind w:left="5040" w:hanging="360"/>
      </w:pPr>
    </w:lvl>
    <w:lvl w:ilvl="7" w:tplc="CBB8FE28">
      <w:start w:val="1"/>
      <w:numFmt w:val="bullet"/>
      <w:lvlText w:val="●"/>
      <w:lvlJc w:val="left"/>
      <w:pPr>
        <w:ind w:left="5760" w:hanging="360"/>
      </w:pPr>
    </w:lvl>
    <w:lvl w:ilvl="8" w:tplc="DBCA7546">
      <w:start w:val="1"/>
      <w:numFmt w:val="bullet"/>
      <w:lvlText w:val="●"/>
      <w:lvlJc w:val="left"/>
      <w:pPr>
        <w:ind w:left="6480" w:hanging="360"/>
      </w:pPr>
    </w:lvl>
  </w:abstractNum>
  <w:abstractNum w:abstractNumId="2" w15:restartNumberingAfterBreak="0">
    <w:nsid w:val="759D6815"/>
    <w:multiLevelType w:val="hybridMultilevel"/>
    <w:tmpl w:val="7182FD34"/>
    <w:lvl w:ilvl="0" w:tplc="40383966">
      <w:start w:val="1"/>
      <w:numFmt w:val="bullet"/>
      <w:lvlText w:val="•"/>
      <w:lvlJc w:val="left"/>
      <w:pPr>
        <w:ind w:left="340" w:hanging="200"/>
      </w:pPr>
    </w:lvl>
    <w:lvl w:ilvl="1" w:tplc="8DAA2A3C">
      <w:start w:val="1"/>
      <w:numFmt w:val="bullet"/>
      <w:lvlText w:val="–"/>
      <w:lvlJc w:val="left"/>
      <w:pPr>
        <w:ind w:left="680" w:hanging="200"/>
      </w:pPr>
    </w:lvl>
    <w:lvl w:ilvl="2" w:tplc="C596B02A">
      <w:numFmt w:val="decimal"/>
      <w:lvlText w:val=""/>
      <w:lvlJc w:val="left"/>
    </w:lvl>
    <w:lvl w:ilvl="3" w:tplc="D8C82EE4">
      <w:numFmt w:val="decimal"/>
      <w:lvlText w:val=""/>
      <w:lvlJc w:val="left"/>
    </w:lvl>
    <w:lvl w:ilvl="4" w:tplc="5FC45252">
      <w:numFmt w:val="decimal"/>
      <w:lvlText w:val=""/>
      <w:lvlJc w:val="left"/>
    </w:lvl>
    <w:lvl w:ilvl="5" w:tplc="782EE8EA">
      <w:numFmt w:val="decimal"/>
      <w:lvlText w:val=""/>
      <w:lvlJc w:val="left"/>
    </w:lvl>
    <w:lvl w:ilvl="6" w:tplc="F878D7A0">
      <w:numFmt w:val="decimal"/>
      <w:lvlText w:val=""/>
      <w:lvlJc w:val="left"/>
    </w:lvl>
    <w:lvl w:ilvl="7" w:tplc="9014B7CA">
      <w:numFmt w:val="decimal"/>
      <w:lvlText w:val=""/>
      <w:lvlJc w:val="left"/>
    </w:lvl>
    <w:lvl w:ilvl="8" w:tplc="6C046366">
      <w:numFmt w:val="decimal"/>
      <w:lvlText w:val=""/>
      <w:lvlJc w:val="left"/>
    </w:lvl>
  </w:abstractNum>
  <w:num w:numId="1" w16cid:durableId="1335381972">
    <w:abstractNumId w:val="1"/>
    <w:lvlOverride w:ilvl="0">
      <w:startOverride w:val="1"/>
    </w:lvlOverride>
  </w:num>
  <w:num w:numId="2" w16cid:durableId="967588362">
    <w:abstractNumId w:val="2"/>
    <w:lvlOverride w:ilvl="0">
      <w:startOverride w:val="1"/>
    </w:lvlOverride>
  </w:num>
  <w:num w:numId="3" w16cid:durableId="1041248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53B"/>
    <w:rsid w:val="001813FE"/>
    <w:rsid w:val="0035153B"/>
    <w:rsid w:val="003C60EE"/>
    <w:rsid w:val="006A16C9"/>
    <w:rsid w:val="00EE5C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743AD929"/>
  <w15:docId w15:val="{724B3B91-1B7C-C148-BF2C-8DA7AB667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3106</Words>
  <Characters>17085</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TOUCHARD</cp:lastModifiedBy>
  <cp:revision>3</cp:revision>
  <dcterms:created xsi:type="dcterms:W3CDTF">2026-09-09T15:31:00Z</dcterms:created>
  <dcterms:modified xsi:type="dcterms:W3CDTF">2026-09-09T16:08:00Z</dcterms:modified>
</cp:coreProperties>
</file>