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XSpec="center" w:tblpY="86"/>
        <w:tblW w:w="11624" w:type="dxa"/>
        <w:tblLook w:val="04A0" w:firstRow="1" w:lastRow="0" w:firstColumn="1" w:lastColumn="0" w:noHBand="0" w:noVBand="1"/>
      </w:tblPr>
      <w:tblGrid>
        <w:gridCol w:w="1086"/>
        <w:gridCol w:w="1071"/>
        <w:gridCol w:w="2369"/>
        <w:gridCol w:w="1333"/>
        <w:gridCol w:w="2178"/>
        <w:gridCol w:w="1551"/>
        <w:gridCol w:w="1099"/>
        <w:gridCol w:w="937"/>
      </w:tblGrid>
      <w:tr w:rsidR="001F219B" w:rsidRPr="00177A46" w14:paraId="3EC7352C" w14:textId="77777777" w:rsidTr="00177A46">
        <w:tc>
          <w:tcPr>
            <w:tcW w:w="1123" w:type="dxa"/>
          </w:tcPr>
          <w:p w14:paraId="572CB2E1" w14:textId="2FAC2DDE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Notion</w:t>
            </w:r>
          </w:p>
        </w:tc>
        <w:tc>
          <w:tcPr>
            <w:tcW w:w="1133" w:type="dxa"/>
          </w:tcPr>
          <w:p w14:paraId="68D75640" w14:textId="082CA359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Définition</w:t>
            </w:r>
          </w:p>
        </w:tc>
        <w:tc>
          <w:tcPr>
            <w:tcW w:w="2369" w:type="dxa"/>
          </w:tcPr>
          <w:p w14:paraId="4A22B881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Sources</w:t>
            </w:r>
          </w:p>
          <w:p w14:paraId="310CFC70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textuelles</w:t>
            </w:r>
            <w:proofErr w:type="gramEnd"/>
          </w:p>
          <w:p w14:paraId="5A3D2AC7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en</w:t>
            </w:r>
            <w:proofErr w:type="gramEnd"/>
            <w:r w:rsidRPr="00177A46">
              <w:rPr>
                <w:sz w:val="20"/>
                <w:szCs w:val="20"/>
              </w:rPr>
              <w:t xml:space="preserve"> droit</w:t>
            </w:r>
          </w:p>
          <w:p w14:paraId="779F092E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français</w:t>
            </w:r>
            <w:proofErr w:type="gramEnd"/>
          </w:p>
          <w:p w14:paraId="2814C066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414" w:type="dxa"/>
          </w:tcPr>
          <w:p w14:paraId="260CF64C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Sources</w:t>
            </w:r>
          </w:p>
          <w:p w14:paraId="5A519A9F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textuelles</w:t>
            </w:r>
            <w:proofErr w:type="gramEnd"/>
            <w:r w:rsidRPr="00177A46">
              <w:rPr>
                <w:sz w:val="20"/>
                <w:szCs w:val="20"/>
              </w:rPr>
              <w:t xml:space="preserve"> en</w:t>
            </w:r>
          </w:p>
          <w:p w14:paraId="07A5BDE0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droit</w:t>
            </w:r>
            <w:proofErr w:type="gramEnd"/>
          </w:p>
          <w:p w14:paraId="7C71F45E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européen</w:t>
            </w:r>
            <w:proofErr w:type="gramEnd"/>
          </w:p>
          <w:p w14:paraId="3AB8AA9E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et</w:t>
            </w:r>
            <w:proofErr w:type="gramEnd"/>
            <w:r w:rsidRPr="00177A46">
              <w:rPr>
                <w:sz w:val="20"/>
                <w:szCs w:val="20"/>
              </w:rPr>
              <w:t>/ou</w:t>
            </w:r>
          </w:p>
          <w:p w14:paraId="59763B99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international</w:t>
            </w:r>
            <w:proofErr w:type="gramEnd"/>
          </w:p>
          <w:p w14:paraId="3F25D927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48" w:type="dxa"/>
          </w:tcPr>
          <w:p w14:paraId="2F72F3F2" w14:textId="3D67F554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Jurisprudences</w:t>
            </w:r>
          </w:p>
          <w:p w14:paraId="68055EE8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importantes</w:t>
            </w:r>
            <w:proofErr w:type="gramEnd"/>
          </w:p>
          <w:p w14:paraId="3116DBE0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en</w:t>
            </w:r>
            <w:proofErr w:type="gramEnd"/>
            <w:r w:rsidRPr="00177A46">
              <w:rPr>
                <w:sz w:val="20"/>
                <w:szCs w:val="20"/>
              </w:rPr>
              <w:t xml:space="preserve"> droit</w:t>
            </w:r>
          </w:p>
          <w:p w14:paraId="54FDE1F0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français</w:t>
            </w:r>
            <w:proofErr w:type="gramEnd"/>
          </w:p>
          <w:p w14:paraId="2A088DAD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48" w:type="dxa"/>
          </w:tcPr>
          <w:p w14:paraId="53F57B4C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 xml:space="preserve">Jurisprudences </w:t>
            </w:r>
            <w:r w:rsidRPr="00177A46">
              <w:rPr>
                <w:sz w:val="20"/>
                <w:szCs w:val="20"/>
              </w:rPr>
              <w:t>importantes</w:t>
            </w:r>
          </w:p>
          <w:p w14:paraId="0B87FC09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en</w:t>
            </w:r>
            <w:proofErr w:type="gramEnd"/>
            <w:r w:rsidRPr="00177A46">
              <w:rPr>
                <w:sz w:val="20"/>
                <w:szCs w:val="20"/>
              </w:rPr>
              <w:t xml:space="preserve"> droit</w:t>
            </w:r>
          </w:p>
          <w:p w14:paraId="7ADCAE8C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européen</w:t>
            </w:r>
            <w:proofErr w:type="gramEnd"/>
          </w:p>
          <w:p w14:paraId="7F21236C" w14:textId="77777777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et</w:t>
            </w:r>
            <w:proofErr w:type="gramEnd"/>
            <w:r w:rsidRPr="00177A46">
              <w:rPr>
                <w:sz w:val="20"/>
                <w:szCs w:val="20"/>
              </w:rPr>
              <w:t>/ou</w:t>
            </w:r>
          </w:p>
          <w:p w14:paraId="252FFDE4" w14:textId="31AA74C3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proofErr w:type="gramStart"/>
            <w:r w:rsidRPr="00177A46">
              <w:rPr>
                <w:sz w:val="20"/>
                <w:szCs w:val="20"/>
              </w:rPr>
              <w:t>international</w:t>
            </w:r>
            <w:proofErr w:type="gramEnd"/>
          </w:p>
        </w:tc>
        <w:tc>
          <w:tcPr>
            <w:tcW w:w="1163" w:type="dxa"/>
          </w:tcPr>
          <w:p w14:paraId="3D2BD7B7" w14:textId="54DF7D76" w:rsidR="001F219B" w:rsidRPr="00177A46" w:rsidRDefault="001F219B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Actualités</w:t>
            </w:r>
          </w:p>
        </w:tc>
        <w:tc>
          <w:tcPr>
            <w:tcW w:w="1126" w:type="dxa"/>
          </w:tcPr>
          <w:p w14:paraId="55FF50AF" w14:textId="68D772BB" w:rsidR="00F025DF" w:rsidRPr="00177A46" w:rsidRDefault="001F219B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Notions liées / autres libertés en cause</w:t>
            </w:r>
          </w:p>
        </w:tc>
      </w:tr>
      <w:tr w:rsidR="00F025DF" w:rsidRPr="00177A46" w14:paraId="6302F779" w14:textId="77777777" w:rsidTr="00177A46">
        <w:tc>
          <w:tcPr>
            <w:tcW w:w="1123" w:type="dxa"/>
          </w:tcPr>
          <w:p w14:paraId="187EB7EE" w14:textId="406FB6C5" w:rsidR="00F025DF" w:rsidRPr="00177A46" w:rsidRDefault="00552205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Les droits de l’Homme</w:t>
            </w:r>
          </w:p>
        </w:tc>
        <w:tc>
          <w:tcPr>
            <w:tcW w:w="1133" w:type="dxa"/>
          </w:tcPr>
          <w:p w14:paraId="5062F58F" w14:textId="77777777" w:rsidR="00F025DF" w:rsidRPr="00177A46" w:rsidRDefault="00F025DF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369" w:type="dxa"/>
          </w:tcPr>
          <w:p w14:paraId="7F734F74" w14:textId="26ED889A" w:rsidR="00F025DF" w:rsidRPr="00177A46" w:rsidRDefault="00552205" w:rsidP="00177A46">
            <w:pPr>
              <w:pStyle w:val="Paragraphedeliste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Déclaration des droits de l’Homme et du citoyen (1789)</w:t>
            </w:r>
          </w:p>
        </w:tc>
        <w:tc>
          <w:tcPr>
            <w:tcW w:w="1414" w:type="dxa"/>
          </w:tcPr>
          <w:p w14:paraId="05BC138C" w14:textId="77777777" w:rsidR="00F025DF" w:rsidRPr="00177A46" w:rsidRDefault="00F025DF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48" w:type="dxa"/>
          </w:tcPr>
          <w:p w14:paraId="1B46A5D2" w14:textId="77777777" w:rsidR="00F025DF" w:rsidRPr="00177A46" w:rsidRDefault="00F025DF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48" w:type="dxa"/>
          </w:tcPr>
          <w:p w14:paraId="00543977" w14:textId="77777777" w:rsidR="00F025DF" w:rsidRPr="00177A46" w:rsidRDefault="00F025DF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63" w:type="dxa"/>
          </w:tcPr>
          <w:p w14:paraId="3A2D4B58" w14:textId="77777777" w:rsidR="00F025DF" w:rsidRPr="00177A46" w:rsidRDefault="00F025DF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26" w:type="dxa"/>
          </w:tcPr>
          <w:p w14:paraId="76B042E3" w14:textId="77777777" w:rsidR="00F025DF" w:rsidRPr="00177A46" w:rsidRDefault="00F025DF" w:rsidP="00177A46">
            <w:pPr>
              <w:jc w:val="both"/>
              <w:rPr>
                <w:sz w:val="20"/>
                <w:szCs w:val="20"/>
              </w:rPr>
            </w:pPr>
          </w:p>
        </w:tc>
      </w:tr>
      <w:tr w:rsidR="00552205" w:rsidRPr="00177A46" w14:paraId="4CBFCFB2" w14:textId="77777777" w:rsidTr="00177A46">
        <w:tc>
          <w:tcPr>
            <w:tcW w:w="1123" w:type="dxa"/>
          </w:tcPr>
          <w:p w14:paraId="4B5AB869" w14:textId="72A2C327" w:rsidR="00552205" w:rsidRPr="00177A46" w:rsidRDefault="00552205" w:rsidP="00177A46">
            <w:p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Les libertés publiques</w:t>
            </w:r>
          </w:p>
        </w:tc>
        <w:tc>
          <w:tcPr>
            <w:tcW w:w="1133" w:type="dxa"/>
          </w:tcPr>
          <w:p w14:paraId="7261752D" w14:textId="77777777" w:rsidR="00552205" w:rsidRPr="00177A46" w:rsidRDefault="00552205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369" w:type="dxa"/>
          </w:tcPr>
          <w:p w14:paraId="53BFFACC" w14:textId="2FB3A047" w:rsidR="00177A46" w:rsidRPr="00177A46" w:rsidRDefault="00177A46" w:rsidP="00177A4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Reconnaissance formelle :</w:t>
            </w:r>
          </w:p>
          <w:p w14:paraId="33313852" w14:textId="5130AF40" w:rsidR="00552205" w:rsidRPr="00177A46" w:rsidRDefault="00177A46" w:rsidP="00177A4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>Naissance lors de l’adoption de grandes lois républicaines sous la IIIe république.</w:t>
            </w:r>
          </w:p>
          <w:p w14:paraId="5E6FF806" w14:textId="77777777" w:rsidR="00177A46" w:rsidRDefault="00177A46" w:rsidP="00177A4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177A4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Renaissance lors de la Constitution de 1946 qui consacre les PFRLR (principes fondamentaux reconnus par les lois de la république)</w:t>
            </w:r>
          </w:p>
          <w:p w14:paraId="73364742" w14:textId="77777777" w:rsidR="00177A46" w:rsidRDefault="00177A46" w:rsidP="00177A4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Reconnaissance relative par le juge :</w:t>
            </w:r>
          </w:p>
          <w:p w14:paraId="2F9AB8C8" w14:textId="77777777" w:rsidR="00177A46" w:rsidRDefault="00177A46" w:rsidP="00177A4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Reconnaissance indirecte puis expresse de la valeur juridique de la DDHC et du Préambule de 1946, texte invocable entre l’administration et administrés, voire entre particuliers.</w:t>
            </w:r>
          </w:p>
          <w:p w14:paraId="7589166A" w14:textId="245B7CA3" w:rsidR="00177A46" w:rsidRDefault="00177A46" w:rsidP="00177A4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 juges refusent de contrôler la loi qui est l’expression de la volonté générale donc la DDHC et le Préambule ne peuvent être invoqués contre la loi (</w:t>
            </w:r>
            <w:r w:rsidRPr="00177A46">
              <w:rPr>
                <w:i/>
                <w:iCs/>
                <w:sz w:val="20"/>
                <w:szCs w:val="20"/>
              </w:rPr>
              <w:t>CE, 1936, Arrighi</w:t>
            </w:r>
            <w:r>
              <w:rPr>
                <w:sz w:val="20"/>
                <w:szCs w:val="20"/>
              </w:rPr>
              <w:t xml:space="preserve">, théorie </w:t>
            </w:r>
            <w:r>
              <w:rPr>
                <w:sz w:val="20"/>
                <w:szCs w:val="20"/>
              </w:rPr>
              <w:lastRenderedPageBreak/>
              <w:t>de la « loi-écran »)</w:t>
            </w:r>
          </w:p>
          <w:p w14:paraId="1FD921CE" w14:textId="1A466938" w:rsidR="00177A46" w:rsidRPr="00177A46" w:rsidRDefault="00AE6A2C" w:rsidP="00177A4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Intégration par le CE des textes des déclarations (dont il s’abstient de reconnaitre le caractère juridique) dans sa jurisprudence par la technique des principes généraux du droit (PGD).</w:t>
            </w:r>
            <w:r w:rsidR="00177A4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4" w:type="dxa"/>
          </w:tcPr>
          <w:p w14:paraId="67F2A93C" w14:textId="77777777" w:rsidR="00552205" w:rsidRPr="00177A46" w:rsidRDefault="00552205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48" w:type="dxa"/>
          </w:tcPr>
          <w:p w14:paraId="00E93CA4" w14:textId="77777777" w:rsidR="00552205" w:rsidRDefault="004E7826" w:rsidP="004E782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Refus clause conditionnelle dans un testament soumettant ce dernier à l’absence d’une union avec un juif (1947, </w:t>
            </w:r>
            <w:r w:rsidRPr="004E7826">
              <w:rPr>
                <w:i/>
                <w:iCs/>
                <w:sz w:val="20"/>
                <w:szCs w:val="20"/>
              </w:rPr>
              <w:t>Dame Burdy</w:t>
            </w:r>
            <w:r>
              <w:rPr>
                <w:sz w:val="20"/>
                <w:szCs w:val="20"/>
              </w:rPr>
              <w:t>)</w:t>
            </w:r>
            <w:r w:rsidRPr="004E7826">
              <w:rPr>
                <w:sz w:val="20"/>
                <w:szCs w:val="20"/>
              </w:rPr>
              <w:t xml:space="preserve"> </w:t>
            </w:r>
          </w:p>
          <w:p w14:paraId="5386A390" w14:textId="77777777" w:rsidR="004E7826" w:rsidRDefault="004E7826" w:rsidP="004E782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PGD :</w:t>
            </w:r>
          </w:p>
          <w:p w14:paraId="62A1179F" w14:textId="77777777" w:rsidR="004E7826" w:rsidRDefault="004E7826" w:rsidP="004E782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droit de la défense (CE, Ass., 1945, </w:t>
            </w:r>
            <w:r>
              <w:rPr>
                <w:i/>
                <w:iCs/>
                <w:sz w:val="20"/>
                <w:szCs w:val="20"/>
              </w:rPr>
              <w:t>Aramu</w:t>
            </w:r>
            <w:r>
              <w:rPr>
                <w:sz w:val="20"/>
                <w:szCs w:val="20"/>
              </w:rPr>
              <w:t>)</w:t>
            </w:r>
          </w:p>
          <w:p w14:paraId="3AEC9644" w14:textId="39433CD9" w:rsidR="004E7826" w:rsidRPr="004E7826" w:rsidRDefault="004E7826" w:rsidP="004E782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principe du contradictoire (CE, 1944, </w:t>
            </w:r>
            <w:r>
              <w:rPr>
                <w:i/>
                <w:iCs/>
                <w:sz w:val="20"/>
                <w:szCs w:val="20"/>
              </w:rPr>
              <w:t>Dame veuve Trompier-Grav</w:t>
            </w:r>
            <w:r w:rsidRPr="004E7826">
              <w:rPr>
                <w:i/>
                <w:iCs/>
                <w:sz w:val="20"/>
                <w:szCs w:val="20"/>
              </w:rPr>
              <w:t>ier</w:t>
            </w:r>
            <w:r w:rsidRPr="004E7826">
              <w:rPr>
                <w:sz w:val="20"/>
                <w:szCs w:val="20"/>
              </w:rPr>
              <w:t>)</w:t>
            </w:r>
          </w:p>
          <w:p w14:paraId="1210CCA7" w14:textId="77777777" w:rsidR="004E7826" w:rsidRDefault="004E7826" w:rsidP="004E782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principe de sécurité juridique (CE, Ass. 2006, KPMG)</w:t>
            </w:r>
          </w:p>
          <w:p w14:paraId="71255B96" w14:textId="4D281356" w:rsidR="004E7826" w:rsidRDefault="004E7826" w:rsidP="004E782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Enrichissement directement de</w:t>
            </w:r>
            <w:r w:rsidR="00B00DB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textes constitutionnels :</w:t>
            </w:r>
          </w:p>
          <w:p w14:paraId="583B5EF2" w14:textId="77777777" w:rsidR="004E7826" w:rsidRDefault="004E7826" w:rsidP="004E782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Préambule de la Constitution de 1946 : sur le droit de grève (CE, 1950, </w:t>
            </w:r>
            <w:r>
              <w:rPr>
                <w:i/>
                <w:iCs/>
                <w:sz w:val="20"/>
                <w:szCs w:val="20"/>
              </w:rPr>
              <w:t>Dehaene</w:t>
            </w:r>
            <w:r>
              <w:rPr>
                <w:sz w:val="20"/>
                <w:szCs w:val="20"/>
              </w:rPr>
              <w:t>)</w:t>
            </w:r>
          </w:p>
          <w:p w14:paraId="61684FA1" w14:textId="77777777" w:rsidR="004E7826" w:rsidRDefault="004E7826" w:rsidP="004E7826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DDHC de 1789 : sur les articles directement : art. 8, 9 et 10 (CE, 1954, </w:t>
            </w:r>
            <w:r>
              <w:rPr>
                <w:i/>
                <w:iCs/>
                <w:sz w:val="20"/>
                <w:szCs w:val="20"/>
              </w:rPr>
              <w:t>Condamine</w:t>
            </w:r>
            <w:r>
              <w:rPr>
                <w:sz w:val="20"/>
                <w:szCs w:val="20"/>
              </w:rPr>
              <w:t>)</w:t>
            </w:r>
          </w:p>
          <w:p w14:paraId="635354FC" w14:textId="43D2FA8E" w:rsidR="004E7826" w:rsidRPr="004E7826" w:rsidRDefault="004E7826" w:rsidP="004E782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Puis, fondamentalisation des libertés : Conseil Constitutionnel, Liberté d’association, 1971 dans lequel il accepte de contr</w:t>
            </w:r>
            <w:r w:rsidR="0031714E">
              <w:rPr>
                <w:sz w:val="20"/>
                <w:szCs w:val="20"/>
              </w:rPr>
              <w:t>ôler la loi sur le fondement du préambule de la constitution et des textes auxquels il renvoie = passage État légal à État de droit.</w:t>
            </w:r>
          </w:p>
        </w:tc>
        <w:tc>
          <w:tcPr>
            <w:tcW w:w="1648" w:type="dxa"/>
          </w:tcPr>
          <w:p w14:paraId="0EF040DC" w14:textId="77777777" w:rsidR="00552205" w:rsidRPr="00177A46" w:rsidRDefault="00552205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63" w:type="dxa"/>
          </w:tcPr>
          <w:p w14:paraId="31F4EE52" w14:textId="77777777" w:rsidR="00552205" w:rsidRPr="00177A46" w:rsidRDefault="00552205" w:rsidP="00177A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26" w:type="dxa"/>
          </w:tcPr>
          <w:p w14:paraId="1C6794AF" w14:textId="77777777" w:rsidR="00552205" w:rsidRPr="00177A46" w:rsidRDefault="00552205" w:rsidP="00177A46">
            <w:pPr>
              <w:jc w:val="both"/>
              <w:rPr>
                <w:sz w:val="20"/>
                <w:szCs w:val="20"/>
              </w:rPr>
            </w:pPr>
          </w:p>
        </w:tc>
      </w:tr>
    </w:tbl>
    <w:p w14:paraId="23317968" w14:textId="6D40E4FC" w:rsidR="001F219B" w:rsidRDefault="00552205" w:rsidP="001F219B">
      <w:pPr>
        <w:jc w:val="both"/>
        <w:rPr>
          <w:sz w:val="20"/>
          <w:szCs w:val="20"/>
        </w:rPr>
      </w:pPr>
      <w:r w:rsidRPr="00177A46">
        <w:rPr>
          <w:sz w:val="20"/>
          <w:szCs w:val="20"/>
        </w:rPr>
        <w:t>Court résumé sur droits de l’homme, libertés publiques et État de droit.</w:t>
      </w:r>
    </w:p>
    <w:p w14:paraId="7D3F76B3" w14:textId="290C0D1B" w:rsidR="009B552D" w:rsidRPr="00177A46" w:rsidRDefault="009B552D" w:rsidP="001F219B">
      <w:pPr>
        <w:jc w:val="both"/>
        <w:rPr>
          <w:sz w:val="20"/>
          <w:szCs w:val="20"/>
        </w:rPr>
      </w:pPr>
      <w:r>
        <w:rPr>
          <w:sz w:val="20"/>
          <w:szCs w:val="20"/>
        </w:rPr>
        <w:t>Def objectif à valeur constitutionnelle et principe à valeur constitutionnelle (pvc)</w:t>
      </w:r>
    </w:p>
    <w:sectPr w:rsidR="009B552D" w:rsidRPr="00177A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44B41"/>
    <w:multiLevelType w:val="hybridMultilevel"/>
    <w:tmpl w:val="0C462AFE"/>
    <w:lvl w:ilvl="0" w:tplc="03704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C215C"/>
    <w:multiLevelType w:val="hybridMultilevel"/>
    <w:tmpl w:val="A12697C8"/>
    <w:lvl w:ilvl="0" w:tplc="6F72D3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571481">
    <w:abstractNumId w:val="1"/>
  </w:num>
  <w:num w:numId="2" w16cid:durableId="99668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9B"/>
    <w:rsid w:val="0016320C"/>
    <w:rsid w:val="00177A46"/>
    <w:rsid w:val="001F219B"/>
    <w:rsid w:val="0031714E"/>
    <w:rsid w:val="004E7826"/>
    <w:rsid w:val="00552205"/>
    <w:rsid w:val="009B552D"/>
    <w:rsid w:val="00AE6A2C"/>
    <w:rsid w:val="00B00DB1"/>
    <w:rsid w:val="00F0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2017"/>
  <w15:chartTrackingRefBased/>
  <w15:docId w15:val="{ED5707B3-5169-1D40-8551-DFE9829A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2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2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2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2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2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21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21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21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21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21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21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21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21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21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2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21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219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F2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TOUCHARD</dc:creator>
  <cp:keywords/>
  <dc:description/>
  <cp:lastModifiedBy>Thomas TOUCHARD</cp:lastModifiedBy>
  <cp:revision>5</cp:revision>
  <dcterms:created xsi:type="dcterms:W3CDTF">2026-09-12T10:06:00Z</dcterms:created>
  <dcterms:modified xsi:type="dcterms:W3CDTF">2026-09-12T14:13:00Z</dcterms:modified>
</cp:coreProperties>
</file>