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63EB6E" w14:textId="77777777" w:rsidR="00B13F99" w:rsidRDefault="00000000">
      <w:pPr>
        <w:spacing w:before="1200" w:after="140"/>
        <w:jc w:val="center"/>
      </w:pPr>
      <w:r>
        <w:rPr>
          <w:rFonts w:ascii="Calibri" w:eastAsia="Calibri" w:hAnsi="Calibri" w:cs="Calibri"/>
          <w:b/>
          <w:bCs/>
          <w:color w:val="8C1C2B"/>
          <w:sz w:val="40"/>
          <w:szCs w:val="40"/>
        </w:rPr>
        <w:t>ENTRAÎNEMENT N° 1 — CORRECTION ENRICHIE</w:t>
      </w:r>
    </w:p>
    <w:p w14:paraId="394BB819" w14:textId="77777777" w:rsidR="00B13F99" w:rsidRDefault="00000000">
      <w:pPr>
        <w:spacing w:after="100"/>
        <w:jc w:val="center"/>
      </w:pPr>
      <w:r>
        <w:rPr>
          <w:rFonts w:ascii="Calibri" w:eastAsia="Calibri" w:hAnsi="Calibri" w:cs="Calibri"/>
          <w:b/>
          <w:bCs/>
          <w:color w:val="1A1A1A"/>
          <w:sz w:val="24"/>
          <w:szCs w:val="24"/>
        </w:rPr>
        <w:t>Le droit à la vie</w:t>
      </w:r>
      <w:r>
        <w:rPr>
          <w:rFonts w:ascii="Calibri" w:eastAsia="Calibri" w:hAnsi="Calibri" w:cs="Calibri"/>
          <w:color w:val="1A1A1A"/>
          <w:sz w:val="24"/>
          <w:szCs w:val="24"/>
        </w:rPr>
        <w:t xml:space="preserve"> — Objectif Barreau, Grand Oral du CRFPA</w:t>
      </w:r>
    </w:p>
    <w:p w14:paraId="28E26875" w14:textId="77777777" w:rsidR="00B13F99" w:rsidRDefault="00000000">
      <w:pPr>
        <w:spacing w:after="100"/>
        <w:jc w:val="center"/>
      </w:pPr>
      <w:r>
        <w:rPr>
          <w:rFonts w:ascii="Calibri" w:eastAsia="Calibri" w:hAnsi="Calibri" w:cs="Calibri"/>
          <w:color w:val="1A1A1A"/>
          <w:sz w:val="24"/>
          <w:szCs w:val="24"/>
        </w:rPr>
        <w:t>Sujet n° 1 : « La fin de vie »</w:t>
      </w:r>
    </w:p>
    <w:p w14:paraId="10CE0E06" w14:textId="77777777" w:rsidR="00B13F99" w:rsidRDefault="00000000">
      <w:pPr>
        <w:spacing w:after="100"/>
        <w:jc w:val="center"/>
      </w:pPr>
      <w:r>
        <w:rPr>
          <w:rFonts w:ascii="Calibri" w:eastAsia="Calibri" w:hAnsi="Calibri" w:cs="Calibri"/>
          <w:color w:val="1A1A1A"/>
          <w:sz w:val="24"/>
          <w:szCs w:val="24"/>
        </w:rPr>
        <w:t>Sujet n° 2 : « Soutenez que l’euthanasie est contraire au respect du droit à la vie »</w:t>
      </w:r>
    </w:p>
    <w:p w14:paraId="4BFCB486" w14:textId="77777777" w:rsidR="00B13F99" w:rsidRDefault="00000000">
      <w:pPr>
        <w:spacing w:before="400" w:after="100"/>
        <w:jc w:val="center"/>
      </w:pPr>
      <w:r>
        <w:rPr>
          <w:rFonts w:ascii="Calibri" w:eastAsia="Calibri" w:hAnsi="Calibri" w:cs="Calibri"/>
          <w:color w:val="1A1A1A"/>
          <w:sz w:val="19"/>
          <w:szCs w:val="19"/>
        </w:rPr>
        <w:t xml:space="preserve">Code couleur : </w:t>
      </w:r>
      <w:r>
        <w:rPr>
          <w:rFonts w:ascii="Calibri" w:eastAsia="Calibri" w:hAnsi="Calibri" w:cs="Calibri"/>
          <w:color w:val="1E88E5"/>
          <w:sz w:val="19"/>
          <w:szCs w:val="19"/>
        </w:rPr>
        <w:t>textes normatifs</w:t>
      </w:r>
      <w:r>
        <w:rPr>
          <w:rFonts w:ascii="Calibri" w:eastAsia="Calibri" w:hAnsi="Calibri" w:cs="Calibri"/>
          <w:color w:val="1A1A1A"/>
          <w:sz w:val="19"/>
          <w:szCs w:val="19"/>
        </w:rPr>
        <w:t xml:space="preserve"> · </w:t>
      </w:r>
      <w:r>
        <w:rPr>
          <w:rFonts w:ascii="Calibri" w:eastAsia="Calibri" w:hAnsi="Calibri" w:cs="Calibri"/>
          <w:color w:val="E91E63"/>
          <w:sz w:val="19"/>
          <w:szCs w:val="19"/>
        </w:rPr>
        <w:t>jurisprudence</w:t>
      </w:r>
      <w:r>
        <w:rPr>
          <w:rFonts w:ascii="Calibri" w:eastAsia="Calibri" w:hAnsi="Calibri" w:cs="Calibri"/>
          <w:color w:val="1A1A1A"/>
          <w:sz w:val="19"/>
          <w:szCs w:val="19"/>
        </w:rPr>
        <w:t xml:space="preserve"> · </w:t>
      </w:r>
      <w:r>
        <w:rPr>
          <w:rFonts w:ascii="Calibri" w:eastAsia="Calibri" w:hAnsi="Calibri" w:cs="Calibri"/>
          <w:color w:val="2E7D32"/>
          <w:sz w:val="19"/>
          <w:szCs w:val="19"/>
        </w:rPr>
        <w:t>doctrine et institutions</w:t>
      </w:r>
      <w:r>
        <w:rPr>
          <w:rFonts w:ascii="Calibri" w:eastAsia="Calibri" w:hAnsi="Calibri" w:cs="Calibri"/>
          <w:color w:val="1A1A1A"/>
          <w:sz w:val="19"/>
          <w:szCs w:val="19"/>
        </w:rPr>
        <w:t xml:space="preserve"> · </w:t>
      </w:r>
      <w:r>
        <w:rPr>
          <w:rFonts w:ascii="Calibri" w:eastAsia="Calibri" w:hAnsi="Calibri" w:cs="Calibri"/>
          <w:b/>
          <w:bCs/>
          <w:color w:val="1A1A1A"/>
          <w:sz w:val="19"/>
          <w:szCs w:val="19"/>
        </w:rPr>
        <w:t>gras = apport à mémoriser</w:t>
      </w:r>
      <w:r>
        <w:rPr>
          <w:rFonts w:ascii="Calibri" w:eastAsia="Calibri" w:hAnsi="Calibri" w:cs="Calibri"/>
          <w:color w:val="1A1A1A"/>
          <w:sz w:val="19"/>
          <w:szCs w:val="19"/>
        </w:rPr>
        <w:t xml:space="preserve"> · ★ référence incontournable</w:t>
      </w:r>
    </w:p>
    <w:p w14:paraId="38A6694C" w14:textId="77777777" w:rsidR="00B13F99" w:rsidRDefault="00000000">
      <w:r>
        <w:br w:type="page"/>
      </w:r>
    </w:p>
    <w:p w14:paraId="632262AC"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lastRenderedPageBreak/>
        <w:t>MODE D’EMPLOI</w:t>
      </w:r>
    </w:p>
    <w:p w14:paraId="39304710" w14:textId="77777777" w:rsidR="00B13F99" w:rsidRDefault="00000000">
      <w:pPr>
        <w:spacing w:after="90" w:line="264" w:lineRule="auto"/>
        <w:jc w:val="both"/>
      </w:pPr>
      <w:r>
        <w:rPr>
          <w:rFonts w:ascii="Calibri" w:eastAsia="Calibri" w:hAnsi="Calibri" w:cs="Calibri"/>
          <w:color w:val="1A1A1A"/>
        </w:rPr>
        <w:t>Ce document reprend les notes prises pendant le séminaire de correction et les transforme en dossier de travail. Il n’ajoute pas seulement de la mise en forme : il corrige les références fautives, tranche les qualifications juridiques restées floues, et met à jour l’état du droit à la date du 27 septembre 2026.</w:t>
      </w:r>
    </w:p>
    <w:p w14:paraId="0C22FDD8" w14:textId="77777777" w:rsidR="00B13F99" w:rsidRDefault="00000000">
      <w:pPr>
        <w:pStyle w:val="Titre3"/>
        <w:spacing w:before="200" w:after="80"/>
      </w:pPr>
      <w:r>
        <w:rPr>
          <w:rFonts w:ascii="Calibri" w:eastAsia="Calibri" w:hAnsi="Calibri" w:cs="Calibri"/>
          <w:b/>
          <w:bCs/>
          <w:i/>
          <w:iCs/>
          <w:color w:val="1A1A1A"/>
          <w:sz w:val="21"/>
          <w:szCs w:val="21"/>
        </w:rPr>
        <w:t>Ce que contient le dossier</w:t>
      </w:r>
    </w:p>
    <w:p w14:paraId="3570F075"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Partie I — Le dossier documentaire.</w:t>
      </w:r>
      <w:r>
        <w:rPr>
          <w:rFonts w:ascii="Calibri" w:eastAsia="Calibri" w:hAnsi="Calibri" w:cs="Calibri"/>
          <w:color w:val="1A1A1A"/>
        </w:rPr>
        <w:t xml:space="preserve"> L’architecture textuelle, la ligne prétorienne et l’actualité déterminante du sujet, avec les références vérifiées. C’est la matière première commune aux deux sujets.</w:t>
      </w:r>
    </w:p>
    <w:p w14:paraId="48C579B1"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Partie II — Sujet n° 1, « La fin de vie ».</w:t>
      </w:r>
      <w:r>
        <w:rPr>
          <w:rFonts w:ascii="Calibri" w:eastAsia="Calibri" w:hAnsi="Calibri" w:cs="Calibri"/>
          <w:color w:val="1A1A1A"/>
        </w:rPr>
        <w:t xml:space="preserve"> Exercice de dissertation. Gestion de l’heure de préparation, introduction rédigée mot à mot, plan détaillé avec les arrêts placés dans les sous-parties, développements, conclusion, relances du jury.</w:t>
      </w:r>
    </w:p>
    <w:p w14:paraId="5ADA5630"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Partie III — Sujet n° 2, « Soutenez que l’euthanasie est contraire au respect du droit à la vie ».</w:t>
      </w:r>
      <w:r>
        <w:rPr>
          <w:rFonts w:ascii="Calibri" w:eastAsia="Calibri" w:hAnsi="Calibri" w:cs="Calibri"/>
          <w:color w:val="1A1A1A"/>
        </w:rPr>
        <w:t xml:space="preserve"> Exercice d’argumentation à thèse imposée : règles du jeu, définition stipulative qui rend la thèse tenable, plan, développements, ripostes aux objections.</w:t>
      </w:r>
    </w:p>
    <w:p w14:paraId="052955F1"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Partie IV — Correction des plans proposés en séminaire.</w:t>
      </w:r>
      <w:r>
        <w:rPr>
          <w:rFonts w:ascii="Calibri" w:eastAsia="Calibri" w:hAnsi="Calibri" w:cs="Calibri"/>
          <w:color w:val="1A1A1A"/>
        </w:rPr>
        <w:t xml:space="preserve"> Les dix-neuf propositions reprises une par une : ce qui tient, ce qui ne tient pas, le rattrapage, une note indicative.</w:t>
      </w:r>
    </w:p>
    <w:p w14:paraId="1DD2C49C"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Partie V — Annexes.</w:t>
      </w:r>
      <w:r>
        <w:rPr>
          <w:rFonts w:ascii="Calibri" w:eastAsia="Calibri" w:hAnsi="Calibri" w:cs="Calibri"/>
          <w:color w:val="1A1A1A"/>
        </w:rPr>
        <w:t xml:space="preserve"> Les erreurs de références à ne pas reprendre, le kit oral (accroches, citations, chiffres), et la carte des confusions à éviter.</w:t>
      </w:r>
    </w:p>
    <w:p w14:paraId="39CD6825" w14:textId="77777777" w:rsidR="00B13F99" w:rsidRDefault="00000000">
      <w:pPr>
        <w:pStyle w:val="Titre3"/>
        <w:spacing w:before="200" w:after="80"/>
      </w:pPr>
      <w:r>
        <w:rPr>
          <w:rFonts w:ascii="Calibri" w:eastAsia="Calibri" w:hAnsi="Calibri" w:cs="Calibri"/>
          <w:b/>
          <w:bCs/>
          <w:i/>
          <w:iCs/>
          <w:color w:val="1A1A1A"/>
          <w:sz w:val="21"/>
          <w:szCs w:val="21"/>
        </w:rPr>
        <w:t>Trois avertissements de méthode</w:t>
      </w:r>
    </w:p>
    <w:p w14:paraId="18211442"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distinction lexicale commande tout.</w:t>
      </w:r>
      <w:r>
        <w:rPr>
          <w:rFonts w:ascii="Calibri" w:eastAsia="Calibri" w:hAnsi="Calibri" w:cs="Calibri"/>
          <w:color w:val="1A1A1A"/>
        </w:rPr>
        <w:t xml:space="preserve"> « Euthanasie », « suicide assisté », « aide à mourir », « sédation profonde et continue », « arrêt des traitements », « obstination déraisonnable » ne sont pas synonymes. Presque toutes les fautes relevées dans les plans du séminaire viennent de là. Le tableau des pages suivantes est à connaître avant tout le reste.</w:t>
      </w:r>
    </w:p>
    <w:p w14:paraId="4812E006"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Les deux sujets ne sont pas le même exercice.</w:t>
      </w:r>
      <w:r>
        <w:rPr>
          <w:rFonts w:ascii="Calibri" w:eastAsia="Calibri" w:hAnsi="Calibri" w:cs="Calibri"/>
          <w:color w:val="1A1A1A"/>
        </w:rPr>
        <w:t xml:space="preserve"> Le premier demande d’analyser ; le second demande de défendre. Traiter le second comme le premier — en nuançant dès le grand I — est la faute la plus lourde, et plusieurs propositions du séminaire y tombent.</w:t>
      </w:r>
    </w:p>
    <w:p w14:paraId="17291AED"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Les numéros de paragraphes des réserves</w:t>
      </w:r>
      <w:r>
        <w:rPr>
          <w:rFonts w:ascii="Calibri" w:eastAsia="Calibri" w:hAnsi="Calibri" w:cs="Calibri"/>
          <w:color w:val="1A1A1A"/>
        </w:rPr>
        <w:t xml:space="preserve"> de la décision </w:t>
      </w:r>
      <w:r>
        <w:rPr>
          <w:rFonts w:ascii="Calibri" w:eastAsia="Calibri" w:hAnsi="Calibri" w:cs="Calibri"/>
          <w:color w:val="E91E63"/>
        </w:rPr>
        <w:t>Cons. const., 14 août 2026, n° 2026-910 DC</w:t>
      </w:r>
      <w:r>
        <w:rPr>
          <w:rFonts w:ascii="Calibri" w:eastAsia="Calibri" w:hAnsi="Calibri" w:cs="Calibri"/>
          <w:color w:val="1A1A1A"/>
        </w:rPr>
        <w:t xml:space="preserve"> sont repris du communiqué du greffe. Ils sont à recontrôler sur le texte intégral avant toute citation littérale devant un jury.</w:t>
      </w:r>
    </w:p>
    <w:p w14:paraId="1EFABA49" w14:textId="77777777" w:rsidR="00B13F99" w:rsidRDefault="00000000">
      <w:r>
        <w:br w:type="page"/>
      </w:r>
    </w:p>
    <w:p w14:paraId="13C9413D"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lastRenderedPageBreak/>
        <w:t>FICHE-MÉMOIRE — À RELIRE AVANT L’ÉPREUVE</w:t>
      </w:r>
    </w:p>
    <w:p w14:paraId="2AD875E9" w14:textId="77777777" w:rsidR="00B13F99" w:rsidRDefault="00000000">
      <w:pPr>
        <w:pStyle w:val="Titre3"/>
        <w:spacing w:before="200" w:after="80"/>
      </w:pPr>
      <w:r>
        <w:rPr>
          <w:rFonts w:ascii="Calibri" w:eastAsia="Calibri" w:hAnsi="Calibri" w:cs="Calibri"/>
          <w:b/>
          <w:bCs/>
          <w:i/>
          <w:iCs/>
          <w:color w:val="1A1A1A"/>
          <w:sz w:val="21"/>
          <w:szCs w:val="21"/>
        </w:rPr>
        <w:t>Accroche</w:t>
      </w:r>
    </w:p>
    <w:p w14:paraId="4D3040B0" w14:textId="77777777" w:rsidR="00B13F99"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color w:val="1A1A1A"/>
          <w:sz w:val="19"/>
          <w:szCs w:val="19"/>
        </w:rPr>
        <w:t>« Le 14 août 2026, le Conseil constitutionnel a rendu deux décisions. Il a censuré une loi qui protégeait les mineurs et validé une loi qui autorise à mourir. Dans les deux cas, il n’a jugé ni le but ni la valeur : il a jugé la mesure. »</w:t>
      </w:r>
    </w:p>
    <w:p w14:paraId="4F2E7FFF" w14:textId="77777777" w:rsidR="00B13F99" w:rsidRDefault="00000000">
      <w:pPr>
        <w:pStyle w:val="Titre3"/>
        <w:spacing w:before="200" w:after="80"/>
      </w:pPr>
      <w:r>
        <w:rPr>
          <w:rFonts w:ascii="Calibri" w:eastAsia="Calibri" w:hAnsi="Calibri" w:cs="Calibri"/>
          <w:b/>
          <w:bCs/>
          <w:i/>
          <w:iCs/>
          <w:color w:val="1A1A1A"/>
          <w:sz w:val="21"/>
          <w:szCs w:val="21"/>
        </w:rPr>
        <w:t>Accroche alternative</w:t>
      </w:r>
    </w:p>
    <w:p w14:paraId="45F12E3B" w14:textId="77777777" w:rsidR="00B13F99"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color w:val="1A1A1A"/>
          <w:sz w:val="19"/>
          <w:szCs w:val="19"/>
        </w:rPr>
        <w:t>« En 2002, la Cour de Strasbourg refusait à Diane Pretty un droit de mourir. En 2026, le Conseil constitutionnel valide une loi qui l’organise. Entre les deux, aucun texte n’a changé : c’est la dignité qui a changé de camp. »</w:t>
      </w:r>
    </w:p>
    <w:p w14:paraId="50876A0B" w14:textId="77777777" w:rsidR="00B13F99" w:rsidRDefault="00000000">
      <w:pPr>
        <w:pStyle w:val="Titre3"/>
        <w:spacing w:before="200" w:after="80"/>
      </w:pPr>
      <w:r>
        <w:rPr>
          <w:rFonts w:ascii="Calibri" w:eastAsia="Calibri" w:hAnsi="Calibri" w:cs="Calibri"/>
          <w:b/>
          <w:bCs/>
          <w:i/>
          <w:iCs/>
          <w:color w:val="1A1A1A"/>
          <w:sz w:val="21"/>
          <w:szCs w:val="21"/>
        </w:rPr>
        <w:t>La définition en trois lignes</w:t>
      </w:r>
    </w:p>
    <w:p w14:paraId="75FC1550" w14:textId="77777777" w:rsidR="00B13F99" w:rsidRDefault="00000000">
      <w:pPr>
        <w:spacing w:after="90" w:line="264" w:lineRule="auto"/>
        <w:jc w:val="both"/>
      </w:pPr>
      <w:r>
        <w:rPr>
          <w:rFonts w:ascii="Calibri" w:eastAsia="Calibri" w:hAnsi="Calibri" w:cs="Calibri"/>
          <w:color w:val="1A1A1A"/>
        </w:rPr>
        <w:t xml:space="preserve">La </w:t>
      </w:r>
      <w:r>
        <w:rPr>
          <w:rFonts w:ascii="Calibri" w:eastAsia="Calibri" w:hAnsi="Calibri" w:cs="Calibri"/>
          <w:b/>
          <w:bCs/>
          <w:color w:val="1A1A1A"/>
        </w:rPr>
        <w:t>fin de vie</w:t>
      </w:r>
      <w:r>
        <w:rPr>
          <w:rFonts w:ascii="Calibri" w:eastAsia="Calibri" w:hAnsi="Calibri" w:cs="Calibri"/>
          <w:color w:val="1A1A1A"/>
        </w:rPr>
        <w:t xml:space="preserve"> désigne la période au cours de laquelle une personne atteinte d’une affection grave et incurable se trouve à l’approche de son décès. Juridiquement, elle ne se confond ni avec la mort ni avec le droit à la vie : elle désigne le </w:t>
      </w:r>
      <w:r>
        <w:rPr>
          <w:rFonts w:ascii="Calibri" w:eastAsia="Calibri" w:hAnsi="Calibri" w:cs="Calibri"/>
          <w:b/>
          <w:bCs/>
          <w:color w:val="1A1A1A"/>
        </w:rPr>
        <w:t>régime des décisions prises pendant ce processus</w:t>
      </w:r>
      <w:r>
        <w:rPr>
          <w:rFonts w:ascii="Calibri" w:eastAsia="Calibri" w:hAnsi="Calibri" w:cs="Calibri"/>
          <w:color w:val="1A1A1A"/>
        </w:rPr>
        <w:t xml:space="preserve"> — poursuite ou arrêt des traitements, soulagement de la souffrance, et, depuis 2026, aide à mourir.</w:t>
      </w:r>
    </w:p>
    <w:p w14:paraId="62CA9ECA" w14:textId="77777777" w:rsidR="00B13F99" w:rsidRDefault="00000000">
      <w:pPr>
        <w:pStyle w:val="Titre3"/>
        <w:spacing w:before="200" w:after="80"/>
      </w:pPr>
      <w:r>
        <w:rPr>
          <w:rFonts w:ascii="Calibri" w:eastAsia="Calibri" w:hAnsi="Calibri" w:cs="Calibri"/>
          <w:b/>
          <w:bCs/>
          <w:i/>
          <w:iCs/>
          <w:color w:val="1A1A1A"/>
          <w:sz w:val="21"/>
          <w:szCs w:val="21"/>
        </w:rPr>
        <w:t>Cinq références incontournables</w:t>
      </w:r>
    </w:p>
    <w:p w14:paraId="123A8779"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1E88E5"/>
        </w:rPr>
        <w:t>Article 2 de la Convention européenne des droits de l’homme</w:t>
      </w:r>
      <w:r>
        <w:rPr>
          <w:rFonts w:ascii="Calibri" w:eastAsia="Calibri" w:hAnsi="Calibri" w:cs="Calibri"/>
          <w:color w:val="1A1A1A"/>
        </w:rPr>
        <w:t xml:space="preserve"> — le droit à la vie est protégé par la loi ; la mort ne peut être infligée intentionnellement, sauf dans les trois hypothèses limitativement énumérées au § 2.</w:t>
      </w:r>
    </w:p>
    <w:p w14:paraId="6A6BE97F"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29 avril 2002, Pretty c. Royaume-Uni, n° 2346/02</w:t>
      </w:r>
      <w:r>
        <w:rPr>
          <w:rFonts w:ascii="Calibri" w:eastAsia="Calibri" w:hAnsi="Calibri" w:cs="Calibri"/>
          <w:color w:val="1A1A1A"/>
        </w:rPr>
        <w:t xml:space="preserve"> — l’article 2 ne comporte pas de volet négatif : il n’en résulte aucun droit de mourir. Le refus opposé au requérant entre en revanche dans le champ de l’</w:t>
      </w:r>
      <w:r>
        <w:rPr>
          <w:rFonts w:ascii="Calibri" w:eastAsia="Calibri" w:hAnsi="Calibri" w:cs="Calibri"/>
          <w:color w:val="1E88E5"/>
        </w:rPr>
        <w:t>article 8</w:t>
      </w:r>
      <w:r>
        <w:rPr>
          <w:rFonts w:ascii="Calibri" w:eastAsia="Calibri" w:hAnsi="Calibri" w:cs="Calibri"/>
          <w:color w:val="1A1A1A"/>
        </w:rPr>
        <w:t xml:space="preserve"> (autonomie personnelle).</w:t>
      </w:r>
    </w:p>
    <w:p w14:paraId="48E9A459"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27 juillet 1994, n° 94-343/344 DC</w:t>
      </w:r>
      <w:r>
        <w:rPr>
          <w:rFonts w:ascii="Calibri" w:eastAsia="Calibri" w:hAnsi="Calibri" w:cs="Calibri"/>
          <w:color w:val="1A1A1A"/>
        </w:rPr>
        <w:t xml:space="preserve"> — la sauvegarde de la dignité de la personne humaine contre toute forme d’asservissement et de dégradation est un principe à valeur constitutionnelle tiré du premier alinéa du </w:t>
      </w:r>
      <w:r>
        <w:rPr>
          <w:rFonts w:ascii="Calibri" w:eastAsia="Calibri" w:hAnsi="Calibri" w:cs="Calibri"/>
          <w:color w:val="1E88E5"/>
        </w:rPr>
        <w:t>Préambule de 1946</w:t>
      </w:r>
      <w:r>
        <w:rPr>
          <w:rFonts w:ascii="Calibri" w:eastAsia="Calibri" w:hAnsi="Calibri" w:cs="Calibri"/>
          <w:color w:val="1A1A1A"/>
        </w:rPr>
        <w:t>.</w:t>
      </w:r>
    </w:p>
    <w:p w14:paraId="4652C3CC"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1E88E5"/>
        </w:rPr>
        <w:t>Loi n° 2026-794 du 18 août 2026 relative au droit à l’aide à mourir</w:t>
      </w:r>
      <w:r>
        <w:rPr>
          <w:rFonts w:ascii="Calibri" w:eastAsia="Calibri" w:hAnsi="Calibri" w:cs="Calibri"/>
          <w:color w:val="1A1A1A"/>
        </w:rPr>
        <w:t xml:space="preserve"> et </w:t>
      </w:r>
      <w:r>
        <w:rPr>
          <w:rFonts w:ascii="Calibri" w:eastAsia="Calibri" w:hAnsi="Calibri" w:cs="Calibri"/>
          <w:color w:val="E91E63"/>
        </w:rPr>
        <w:t>Cons. const., 14 août 2026, n° 2026-910 DC</w:t>
      </w:r>
      <w:r>
        <w:rPr>
          <w:rFonts w:ascii="Calibri" w:eastAsia="Calibri" w:hAnsi="Calibri" w:cs="Calibri"/>
          <w:color w:val="1A1A1A"/>
        </w:rPr>
        <w:t xml:space="preserve"> — conformité intégrale sous trois réserves d’interprétation, toutes protectrices de tiers.</w:t>
      </w:r>
    </w:p>
    <w:p w14:paraId="702E3E4D"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ass., 24 juin 2014, Mme Lambert et autres, n° 375081</w:t>
      </w:r>
      <w:r>
        <w:rPr>
          <w:rFonts w:ascii="Calibri" w:eastAsia="Calibri" w:hAnsi="Calibri" w:cs="Calibri"/>
          <w:color w:val="1A1A1A"/>
        </w:rPr>
        <w:t xml:space="preserve"> et </w:t>
      </w:r>
      <w:r>
        <w:rPr>
          <w:rFonts w:ascii="Calibri" w:eastAsia="Calibri" w:hAnsi="Calibri" w:cs="Calibri"/>
          <w:color w:val="E91E63"/>
        </w:rPr>
        <w:t>CEDH [GC], 5 juin 2015, Lambert et autres c. France, n° 46043/14</w:t>
      </w:r>
      <w:r>
        <w:rPr>
          <w:rFonts w:ascii="Calibri" w:eastAsia="Calibri" w:hAnsi="Calibri" w:cs="Calibri"/>
          <w:color w:val="1A1A1A"/>
        </w:rPr>
        <w:t xml:space="preserve"> — l’arrêt des traitements relève de la procédure collégiale sous contrôle du juge du référé-liberté ; la Cour renvoie à l’ample marge nationale d’appréciation.</w:t>
      </w:r>
    </w:p>
    <w:p w14:paraId="3918FDF8" w14:textId="77777777" w:rsidR="00B13F99" w:rsidRDefault="00000000">
      <w:pPr>
        <w:pStyle w:val="Titre3"/>
        <w:spacing w:before="200" w:after="80"/>
      </w:pPr>
      <w:r>
        <w:rPr>
          <w:rFonts w:ascii="Calibri" w:eastAsia="Calibri" w:hAnsi="Calibri" w:cs="Calibri"/>
          <w:b/>
          <w:bCs/>
          <w:i/>
          <w:iCs/>
          <w:color w:val="1A1A1A"/>
          <w:sz w:val="21"/>
          <w:szCs w:val="21"/>
        </w:rPr>
        <w:t>Matrice de plan — Sujet n° 1, « La fin de vie »</w:t>
      </w:r>
    </w:p>
    <w:tbl>
      <w:tblPr>
        <w:tblW w:w="5000" w:type="pct"/>
        <w:tblBorders>
          <w:top w:val="single" w:sz="2" w:space="0" w:color="C9C0B6"/>
          <w:left w:val="single" w:sz="2" w:space="0" w:color="C9C0B6"/>
          <w:bottom w:val="single" w:sz="2" w:space="0" w:color="C9C0B6"/>
          <w:right w:val="single" w:sz="2" w:space="0" w:color="C9C0B6"/>
          <w:insideH w:val="single" w:sz="2" w:space="0" w:color="DCD5CC"/>
          <w:insideV w:val="single" w:sz="2" w:space="0" w:color="DCD5CC"/>
        </w:tblBorders>
        <w:tblCellMar>
          <w:left w:w="10" w:type="dxa"/>
          <w:right w:w="10" w:type="dxa"/>
        </w:tblCellMar>
        <w:tblLook w:val="04A0" w:firstRow="1" w:lastRow="0" w:firstColumn="1" w:lastColumn="0" w:noHBand="0" w:noVBand="1"/>
      </w:tblPr>
      <w:tblGrid>
        <w:gridCol w:w="3248"/>
        <w:gridCol w:w="3249"/>
        <w:gridCol w:w="3249"/>
      </w:tblGrid>
      <w:tr w:rsidR="00B13F99" w14:paraId="5CC02FD8" w14:textId="77777777">
        <w:tblPrEx>
          <w:tblCellMar>
            <w:top w:w="0" w:type="dxa"/>
            <w:bottom w:w="0" w:type="dxa"/>
          </w:tblCellMar>
        </w:tblPrEx>
        <w:trPr>
          <w:tblHeader/>
        </w:trPr>
        <w:tc>
          <w:tcPr>
            <w:tcW w:w="1650" w:type="pct"/>
            <w:shd w:val="clear" w:color="auto" w:fill="F2E9EA"/>
            <w:tcMar>
              <w:top w:w="60" w:type="dxa"/>
              <w:left w:w="90" w:type="dxa"/>
              <w:bottom w:w="60" w:type="dxa"/>
              <w:right w:w="90" w:type="dxa"/>
            </w:tcMar>
          </w:tcPr>
          <w:p w14:paraId="0ED3DF73" w14:textId="77777777" w:rsidR="00B13F99" w:rsidRDefault="00B13F99"/>
        </w:tc>
        <w:tc>
          <w:tcPr>
            <w:tcW w:w="1650" w:type="pct"/>
            <w:shd w:val="clear" w:color="auto" w:fill="F2E9EA"/>
            <w:tcMar>
              <w:top w:w="60" w:type="dxa"/>
              <w:left w:w="90" w:type="dxa"/>
              <w:bottom w:w="60" w:type="dxa"/>
              <w:right w:w="90" w:type="dxa"/>
            </w:tcMar>
          </w:tcPr>
          <w:p w14:paraId="712FF5C6" w14:textId="77777777" w:rsidR="00B13F99" w:rsidRDefault="00000000">
            <w:r>
              <w:rPr>
                <w:rFonts w:ascii="Calibri" w:eastAsia="Calibri" w:hAnsi="Calibri" w:cs="Calibri"/>
                <w:b/>
                <w:bCs/>
                <w:color w:val="1A1A1A"/>
                <w:sz w:val="17"/>
                <w:szCs w:val="17"/>
              </w:rPr>
              <w:t>I. Un droit de la fin de vie construit sur le refus de l’obstination déraisonnable</w:t>
            </w:r>
          </w:p>
        </w:tc>
        <w:tc>
          <w:tcPr>
            <w:tcW w:w="1650" w:type="pct"/>
            <w:shd w:val="clear" w:color="auto" w:fill="F2E9EA"/>
            <w:tcMar>
              <w:top w:w="60" w:type="dxa"/>
              <w:left w:w="90" w:type="dxa"/>
              <w:bottom w:w="60" w:type="dxa"/>
              <w:right w:w="90" w:type="dxa"/>
            </w:tcMar>
          </w:tcPr>
          <w:p w14:paraId="57F49335" w14:textId="77777777" w:rsidR="00B13F99" w:rsidRDefault="00000000">
            <w:r>
              <w:rPr>
                <w:rFonts w:ascii="Calibri" w:eastAsia="Calibri" w:hAnsi="Calibri" w:cs="Calibri"/>
                <w:b/>
                <w:bCs/>
                <w:color w:val="1A1A1A"/>
                <w:sz w:val="17"/>
                <w:szCs w:val="17"/>
              </w:rPr>
              <w:t>II. La consécration d’un droit à l’aide à mourir sous encadrement strict</w:t>
            </w:r>
          </w:p>
        </w:tc>
      </w:tr>
      <w:tr w:rsidR="00B13F99" w14:paraId="758B9F38" w14:textId="77777777">
        <w:tblPrEx>
          <w:tblCellMar>
            <w:top w:w="0" w:type="dxa"/>
            <w:bottom w:w="0" w:type="dxa"/>
          </w:tblCellMar>
        </w:tblPrEx>
        <w:tc>
          <w:tcPr>
            <w:tcW w:w="1650" w:type="pct"/>
            <w:tcMar>
              <w:top w:w="60" w:type="dxa"/>
              <w:left w:w="90" w:type="dxa"/>
              <w:bottom w:w="60" w:type="dxa"/>
              <w:right w:w="90" w:type="dxa"/>
            </w:tcMar>
          </w:tcPr>
          <w:p w14:paraId="53F85845" w14:textId="77777777" w:rsidR="00B13F99" w:rsidRDefault="00000000">
            <w:r>
              <w:rPr>
                <w:rFonts w:ascii="Calibri" w:eastAsia="Calibri" w:hAnsi="Calibri" w:cs="Calibri"/>
                <w:color w:val="1A1A1A"/>
                <w:sz w:val="17"/>
                <w:szCs w:val="17"/>
              </w:rPr>
              <w:t>A</w:t>
            </w:r>
          </w:p>
        </w:tc>
        <w:tc>
          <w:tcPr>
            <w:tcW w:w="1650" w:type="pct"/>
            <w:tcMar>
              <w:top w:w="60" w:type="dxa"/>
              <w:left w:w="90" w:type="dxa"/>
              <w:bottom w:w="60" w:type="dxa"/>
              <w:right w:w="90" w:type="dxa"/>
            </w:tcMar>
          </w:tcPr>
          <w:p w14:paraId="795F30FF" w14:textId="77777777" w:rsidR="00B13F99" w:rsidRDefault="00000000">
            <w:r>
              <w:rPr>
                <w:rFonts w:ascii="Calibri" w:eastAsia="Calibri" w:hAnsi="Calibri" w:cs="Calibri"/>
                <w:color w:val="1A1A1A"/>
                <w:sz w:val="17"/>
                <w:szCs w:val="17"/>
              </w:rPr>
              <w:t>La construction législative du laisser-mourir — lois de 1999, 2002, 2005, 2016 ; art. L. 1110-5 et L. 1110-5-1 CSP</w:t>
            </w:r>
          </w:p>
        </w:tc>
        <w:tc>
          <w:tcPr>
            <w:tcW w:w="1650" w:type="pct"/>
            <w:tcMar>
              <w:top w:w="60" w:type="dxa"/>
              <w:left w:w="90" w:type="dxa"/>
              <w:bottom w:w="60" w:type="dxa"/>
              <w:right w:w="90" w:type="dxa"/>
            </w:tcMar>
          </w:tcPr>
          <w:p w14:paraId="53E78FFC" w14:textId="77777777" w:rsidR="00B13F99" w:rsidRDefault="00000000">
            <w:r>
              <w:rPr>
                <w:rFonts w:ascii="Calibri" w:eastAsia="Calibri" w:hAnsi="Calibri" w:cs="Calibri"/>
                <w:color w:val="1A1A1A"/>
                <w:sz w:val="17"/>
                <w:szCs w:val="17"/>
              </w:rPr>
              <w:t>Un droit substantiel nouveau — loi du 18 août 2026, art. L. 1111-12-1 et L. 1111-12-2 CSP, cinq conditions cumulatives</w:t>
            </w:r>
          </w:p>
        </w:tc>
      </w:tr>
      <w:tr w:rsidR="00B13F99" w14:paraId="64A39795" w14:textId="77777777">
        <w:tblPrEx>
          <w:tblCellMar>
            <w:top w:w="0" w:type="dxa"/>
            <w:bottom w:w="0" w:type="dxa"/>
          </w:tblCellMar>
        </w:tblPrEx>
        <w:tc>
          <w:tcPr>
            <w:tcW w:w="1650" w:type="pct"/>
            <w:tcMar>
              <w:top w:w="60" w:type="dxa"/>
              <w:left w:w="90" w:type="dxa"/>
              <w:bottom w:w="60" w:type="dxa"/>
              <w:right w:w="90" w:type="dxa"/>
            </w:tcMar>
          </w:tcPr>
          <w:p w14:paraId="08681E09" w14:textId="77777777" w:rsidR="00B13F99" w:rsidRDefault="00000000">
            <w:r>
              <w:rPr>
                <w:rFonts w:ascii="Calibri" w:eastAsia="Calibri" w:hAnsi="Calibri" w:cs="Calibri"/>
                <w:color w:val="1A1A1A"/>
                <w:sz w:val="17"/>
                <w:szCs w:val="17"/>
              </w:rPr>
              <w:t>B</w:t>
            </w:r>
          </w:p>
        </w:tc>
        <w:tc>
          <w:tcPr>
            <w:tcW w:w="1650" w:type="pct"/>
            <w:tcMar>
              <w:top w:w="60" w:type="dxa"/>
              <w:left w:w="90" w:type="dxa"/>
              <w:bottom w:w="60" w:type="dxa"/>
              <w:right w:w="90" w:type="dxa"/>
            </w:tcMar>
          </w:tcPr>
          <w:p w14:paraId="1D54E7F5" w14:textId="77777777" w:rsidR="00B13F99" w:rsidRDefault="00000000">
            <w:r>
              <w:rPr>
                <w:rFonts w:ascii="Calibri" w:eastAsia="Calibri" w:hAnsi="Calibri" w:cs="Calibri"/>
                <w:color w:val="1A1A1A"/>
                <w:sz w:val="17"/>
                <w:szCs w:val="17"/>
              </w:rPr>
              <w:t>La validation prétorienne — CE, ass., 24 juin 2014, Lambert ; CEDH [GC], 5 juin 2015, Lambert ; Cons. const., 2 juin 2017, n° 2017-632 QPC</w:t>
            </w:r>
          </w:p>
        </w:tc>
        <w:tc>
          <w:tcPr>
            <w:tcW w:w="1650" w:type="pct"/>
            <w:tcMar>
              <w:top w:w="60" w:type="dxa"/>
              <w:left w:w="90" w:type="dxa"/>
              <w:bottom w:w="60" w:type="dxa"/>
              <w:right w:w="90" w:type="dxa"/>
            </w:tcMar>
          </w:tcPr>
          <w:p w14:paraId="5D536DAE" w14:textId="77777777" w:rsidR="00B13F99" w:rsidRDefault="00000000">
            <w:r>
              <w:rPr>
                <w:rFonts w:ascii="Calibri" w:eastAsia="Calibri" w:hAnsi="Calibri" w:cs="Calibri"/>
                <w:color w:val="1A1A1A"/>
                <w:sz w:val="17"/>
                <w:szCs w:val="17"/>
              </w:rPr>
              <w:t>Un droit validé sous réserves — Cons. const., 14 août 2026, n° 2026-910 DC ; contrôle des garanties et non de l’opportunité</w:t>
            </w:r>
          </w:p>
        </w:tc>
      </w:tr>
    </w:tbl>
    <w:p w14:paraId="72FB1421" w14:textId="77777777" w:rsidR="00B13F99" w:rsidRDefault="00B13F99">
      <w:pPr>
        <w:spacing w:after="120"/>
      </w:pPr>
    </w:p>
    <w:p w14:paraId="2540307F" w14:textId="77777777" w:rsidR="00B13F99" w:rsidRDefault="00000000">
      <w:pPr>
        <w:pStyle w:val="Titre3"/>
        <w:spacing w:before="200" w:after="80"/>
      </w:pPr>
      <w:r>
        <w:rPr>
          <w:rFonts w:ascii="Calibri" w:eastAsia="Calibri" w:hAnsi="Calibri" w:cs="Calibri"/>
          <w:b/>
          <w:bCs/>
          <w:i/>
          <w:iCs/>
          <w:color w:val="1A1A1A"/>
          <w:sz w:val="21"/>
          <w:szCs w:val="21"/>
        </w:rPr>
        <w:t>Matrice de plan — Sujet n° 2, « Soutenez que l’euthanasie… »</w:t>
      </w:r>
    </w:p>
    <w:tbl>
      <w:tblPr>
        <w:tblW w:w="5000" w:type="pct"/>
        <w:tblBorders>
          <w:top w:val="single" w:sz="2" w:space="0" w:color="C9C0B6"/>
          <w:left w:val="single" w:sz="2" w:space="0" w:color="C9C0B6"/>
          <w:bottom w:val="single" w:sz="2" w:space="0" w:color="C9C0B6"/>
          <w:right w:val="single" w:sz="2" w:space="0" w:color="C9C0B6"/>
          <w:insideH w:val="single" w:sz="2" w:space="0" w:color="DCD5CC"/>
          <w:insideV w:val="single" w:sz="2" w:space="0" w:color="DCD5CC"/>
        </w:tblBorders>
        <w:tblCellMar>
          <w:left w:w="10" w:type="dxa"/>
          <w:right w:w="10" w:type="dxa"/>
        </w:tblCellMar>
        <w:tblLook w:val="04A0" w:firstRow="1" w:lastRow="0" w:firstColumn="1" w:lastColumn="0" w:noHBand="0" w:noVBand="1"/>
      </w:tblPr>
      <w:tblGrid>
        <w:gridCol w:w="3248"/>
        <w:gridCol w:w="3249"/>
        <w:gridCol w:w="3249"/>
      </w:tblGrid>
      <w:tr w:rsidR="00B13F99" w14:paraId="61BAA3DC" w14:textId="77777777">
        <w:tblPrEx>
          <w:tblCellMar>
            <w:top w:w="0" w:type="dxa"/>
            <w:bottom w:w="0" w:type="dxa"/>
          </w:tblCellMar>
        </w:tblPrEx>
        <w:trPr>
          <w:tblHeader/>
        </w:trPr>
        <w:tc>
          <w:tcPr>
            <w:tcW w:w="1650" w:type="pct"/>
            <w:shd w:val="clear" w:color="auto" w:fill="F2E9EA"/>
            <w:tcMar>
              <w:top w:w="60" w:type="dxa"/>
              <w:left w:w="90" w:type="dxa"/>
              <w:bottom w:w="60" w:type="dxa"/>
              <w:right w:w="90" w:type="dxa"/>
            </w:tcMar>
          </w:tcPr>
          <w:p w14:paraId="2A915161" w14:textId="77777777" w:rsidR="00B13F99" w:rsidRDefault="00B13F99"/>
        </w:tc>
        <w:tc>
          <w:tcPr>
            <w:tcW w:w="1650" w:type="pct"/>
            <w:shd w:val="clear" w:color="auto" w:fill="F2E9EA"/>
            <w:tcMar>
              <w:top w:w="60" w:type="dxa"/>
              <w:left w:w="90" w:type="dxa"/>
              <w:bottom w:w="60" w:type="dxa"/>
              <w:right w:w="90" w:type="dxa"/>
            </w:tcMar>
          </w:tcPr>
          <w:p w14:paraId="23EBB687" w14:textId="77777777" w:rsidR="00B13F99" w:rsidRDefault="00000000">
            <w:r>
              <w:rPr>
                <w:rFonts w:ascii="Calibri" w:eastAsia="Calibri" w:hAnsi="Calibri" w:cs="Calibri"/>
                <w:b/>
                <w:bCs/>
                <w:color w:val="1A1A1A"/>
                <w:sz w:val="17"/>
                <w:szCs w:val="17"/>
              </w:rPr>
              <w:t>I. L’État débiteur d’une obligation de protéger la vie, y compris contre la volonté du titulaire</w:t>
            </w:r>
          </w:p>
        </w:tc>
        <w:tc>
          <w:tcPr>
            <w:tcW w:w="1650" w:type="pct"/>
            <w:shd w:val="clear" w:color="auto" w:fill="F2E9EA"/>
            <w:tcMar>
              <w:top w:w="60" w:type="dxa"/>
              <w:left w:w="90" w:type="dxa"/>
              <w:bottom w:w="60" w:type="dxa"/>
              <w:right w:w="90" w:type="dxa"/>
            </w:tcMar>
          </w:tcPr>
          <w:p w14:paraId="24C62D0A" w14:textId="77777777" w:rsidR="00B13F99" w:rsidRDefault="00000000">
            <w:r>
              <w:rPr>
                <w:rFonts w:ascii="Calibri" w:eastAsia="Calibri" w:hAnsi="Calibri" w:cs="Calibri"/>
                <w:b/>
                <w:bCs/>
                <w:color w:val="1A1A1A"/>
                <w:sz w:val="17"/>
                <w:szCs w:val="17"/>
              </w:rPr>
              <w:t>II. L’absence de tout droit subjectif opposable à mourir</w:t>
            </w:r>
          </w:p>
        </w:tc>
      </w:tr>
      <w:tr w:rsidR="00B13F99" w14:paraId="5EAAA59A" w14:textId="77777777">
        <w:tblPrEx>
          <w:tblCellMar>
            <w:top w:w="0" w:type="dxa"/>
            <w:bottom w:w="0" w:type="dxa"/>
          </w:tblCellMar>
        </w:tblPrEx>
        <w:tc>
          <w:tcPr>
            <w:tcW w:w="1650" w:type="pct"/>
            <w:tcMar>
              <w:top w:w="60" w:type="dxa"/>
              <w:left w:w="90" w:type="dxa"/>
              <w:bottom w:w="60" w:type="dxa"/>
              <w:right w:w="90" w:type="dxa"/>
            </w:tcMar>
          </w:tcPr>
          <w:p w14:paraId="502D16D9" w14:textId="77777777" w:rsidR="00B13F99" w:rsidRDefault="00000000">
            <w:r>
              <w:rPr>
                <w:rFonts w:ascii="Calibri" w:eastAsia="Calibri" w:hAnsi="Calibri" w:cs="Calibri"/>
                <w:color w:val="1A1A1A"/>
                <w:sz w:val="17"/>
                <w:szCs w:val="17"/>
              </w:rPr>
              <w:t>A</w:t>
            </w:r>
          </w:p>
        </w:tc>
        <w:tc>
          <w:tcPr>
            <w:tcW w:w="1650" w:type="pct"/>
            <w:tcMar>
              <w:top w:w="60" w:type="dxa"/>
              <w:left w:w="90" w:type="dxa"/>
              <w:bottom w:w="60" w:type="dxa"/>
              <w:right w:w="90" w:type="dxa"/>
            </w:tcMar>
          </w:tcPr>
          <w:p w14:paraId="6CD25A32" w14:textId="77777777" w:rsidR="00B13F99" w:rsidRDefault="00000000">
            <w:r>
              <w:rPr>
                <w:rFonts w:ascii="Calibri" w:eastAsia="Calibri" w:hAnsi="Calibri" w:cs="Calibri"/>
                <w:color w:val="1A1A1A"/>
                <w:sz w:val="17"/>
                <w:szCs w:val="17"/>
              </w:rPr>
              <w:t>Une obligation négative et positive — art. 2 CEDH ; CEDH [GC], 27 sept. 1995, McCann, n° 18984/91 ; CEDH, 28 oct. 1998, Osman, n° 23452/94</w:t>
            </w:r>
          </w:p>
        </w:tc>
        <w:tc>
          <w:tcPr>
            <w:tcW w:w="1650" w:type="pct"/>
            <w:tcMar>
              <w:top w:w="60" w:type="dxa"/>
              <w:left w:w="90" w:type="dxa"/>
              <w:bottom w:w="60" w:type="dxa"/>
              <w:right w:w="90" w:type="dxa"/>
            </w:tcMar>
          </w:tcPr>
          <w:p w14:paraId="5CDB286C" w14:textId="77777777" w:rsidR="00B13F99" w:rsidRDefault="00000000">
            <w:r>
              <w:rPr>
                <w:rFonts w:ascii="Calibri" w:eastAsia="Calibri" w:hAnsi="Calibri" w:cs="Calibri"/>
                <w:color w:val="1A1A1A"/>
                <w:sz w:val="17"/>
                <w:szCs w:val="17"/>
              </w:rPr>
              <w:t>Le silence délibéré des textes — Pretty, 2002 ; Karsai c. Hongrie, 13 juin 2024, n° 32312/23 ; pas de consensus européen</w:t>
            </w:r>
          </w:p>
        </w:tc>
      </w:tr>
      <w:tr w:rsidR="00B13F99" w14:paraId="15F9E751" w14:textId="77777777">
        <w:tblPrEx>
          <w:tblCellMar>
            <w:top w:w="0" w:type="dxa"/>
            <w:bottom w:w="0" w:type="dxa"/>
          </w:tblCellMar>
        </w:tblPrEx>
        <w:tc>
          <w:tcPr>
            <w:tcW w:w="1650" w:type="pct"/>
            <w:tcMar>
              <w:top w:w="60" w:type="dxa"/>
              <w:left w:w="90" w:type="dxa"/>
              <w:bottom w:w="60" w:type="dxa"/>
              <w:right w:w="90" w:type="dxa"/>
            </w:tcMar>
          </w:tcPr>
          <w:p w14:paraId="539FF423" w14:textId="77777777" w:rsidR="00B13F99" w:rsidRDefault="00000000">
            <w:r>
              <w:rPr>
                <w:rFonts w:ascii="Calibri" w:eastAsia="Calibri" w:hAnsi="Calibri" w:cs="Calibri"/>
                <w:color w:val="1A1A1A"/>
                <w:sz w:val="17"/>
                <w:szCs w:val="17"/>
              </w:rPr>
              <w:lastRenderedPageBreak/>
              <w:t>B</w:t>
            </w:r>
          </w:p>
        </w:tc>
        <w:tc>
          <w:tcPr>
            <w:tcW w:w="1650" w:type="pct"/>
            <w:tcMar>
              <w:top w:w="60" w:type="dxa"/>
              <w:left w:w="90" w:type="dxa"/>
              <w:bottom w:w="60" w:type="dxa"/>
              <w:right w:w="90" w:type="dxa"/>
            </w:tcMar>
          </w:tcPr>
          <w:p w14:paraId="3A65D1D6" w14:textId="77777777" w:rsidR="00B13F99" w:rsidRDefault="00000000">
            <w:r>
              <w:rPr>
                <w:rFonts w:ascii="Calibri" w:eastAsia="Calibri" w:hAnsi="Calibri" w:cs="Calibri"/>
                <w:color w:val="1A1A1A"/>
                <w:sz w:val="17"/>
                <w:szCs w:val="17"/>
              </w:rPr>
              <w:t>L’étanchéité de l’interdiction pénale — art. 221-1, 221-3 et 221-5 du code pénal ; art. R. 4127-38 CSP</w:t>
            </w:r>
          </w:p>
        </w:tc>
        <w:tc>
          <w:tcPr>
            <w:tcW w:w="1650" w:type="pct"/>
            <w:tcMar>
              <w:top w:w="60" w:type="dxa"/>
              <w:left w:w="90" w:type="dxa"/>
              <w:bottom w:w="60" w:type="dxa"/>
              <w:right w:w="90" w:type="dxa"/>
            </w:tcMar>
          </w:tcPr>
          <w:p w14:paraId="6F2FC087" w14:textId="77777777" w:rsidR="00B13F99" w:rsidRDefault="00000000">
            <w:r>
              <w:rPr>
                <w:rFonts w:ascii="Calibri" w:eastAsia="Calibri" w:hAnsi="Calibri" w:cs="Calibri"/>
                <w:color w:val="1A1A1A"/>
                <w:sz w:val="17"/>
                <w:szCs w:val="17"/>
              </w:rPr>
              <w:t>Le contrôle a posteriori comme aveu — CEDH, 4 oct. 2022, Mortier c. Belgique, n° 78017/17</w:t>
            </w:r>
          </w:p>
        </w:tc>
      </w:tr>
    </w:tbl>
    <w:p w14:paraId="2F2BD409" w14:textId="77777777" w:rsidR="00B13F99" w:rsidRDefault="00B13F99">
      <w:pPr>
        <w:spacing w:after="120"/>
      </w:pPr>
    </w:p>
    <w:p w14:paraId="3F722D4B" w14:textId="77777777" w:rsidR="00B13F99" w:rsidRDefault="00000000">
      <w:pPr>
        <w:pStyle w:val="Titre3"/>
        <w:spacing w:before="200" w:after="80"/>
      </w:pPr>
      <w:r>
        <w:rPr>
          <w:rFonts w:ascii="Calibri" w:eastAsia="Calibri" w:hAnsi="Calibri" w:cs="Calibri"/>
          <w:b/>
          <w:bCs/>
          <w:i/>
          <w:iCs/>
          <w:color w:val="1A1A1A"/>
          <w:sz w:val="21"/>
          <w:szCs w:val="21"/>
        </w:rPr>
        <w:t>Trois pièges</w:t>
      </w:r>
    </w:p>
    <w:p w14:paraId="1A406FCA"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Piège n° 1 — confondre euthanasie et aide à mourir.</w:t>
      </w:r>
      <w:r>
        <w:rPr>
          <w:rFonts w:ascii="Calibri" w:eastAsia="Calibri" w:hAnsi="Calibri" w:cs="Calibri"/>
          <w:color w:val="1A1A1A"/>
        </w:rPr>
        <w:t xml:space="preserve"> La loi du 18 août 2026 pose en principe l’</w:t>
      </w:r>
      <w:r>
        <w:rPr>
          <w:rFonts w:ascii="Calibri" w:eastAsia="Calibri" w:hAnsi="Calibri" w:cs="Calibri"/>
          <w:b/>
          <w:bCs/>
          <w:color w:val="1A1A1A"/>
        </w:rPr>
        <w:t>auto-administration</w:t>
      </w:r>
      <w:r>
        <w:rPr>
          <w:rFonts w:ascii="Calibri" w:eastAsia="Calibri" w:hAnsi="Calibri" w:cs="Calibri"/>
          <w:color w:val="1A1A1A"/>
        </w:rPr>
        <w:t xml:space="preserve"> de la substance létale par la personne ; l’administration par un médecin ou un infirmier n’est que subsidiaire, lorsque la personne n’est pas en mesure d’y procéder. Dire que « la loi de 2026 légalise l’euthanasie » est une approximation que le jury relèvera.</w:t>
      </w:r>
    </w:p>
    <w:p w14:paraId="350D4E2F"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Piège n° 2 — dire que le Conseil constitutionnel a consacré un droit de mourir.</w:t>
      </w:r>
      <w:r>
        <w:rPr>
          <w:rFonts w:ascii="Calibri" w:eastAsia="Calibri" w:hAnsi="Calibri" w:cs="Calibri"/>
          <w:color w:val="1A1A1A"/>
        </w:rPr>
        <w:t xml:space="preserve"> Il a jugé qu’une loi qui l’organise n’est pas contraire à la Constitution. Entre « permis » et « garanti » se joue tout l’intérêt de la décision.</w:t>
      </w:r>
    </w:p>
    <w:p w14:paraId="5A7D2495"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Piège n° 3 — traiter la clause de conscience comme un droit au respect de la vie privée.</w:t>
      </w:r>
      <w:r>
        <w:rPr>
          <w:rFonts w:ascii="Calibri" w:eastAsia="Calibri" w:hAnsi="Calibri" w:cs="Calibri"/>
          <w:color w:val="1A1A1A"/>
        </w:rPr>
        <w:t xml:space="preserve"> Elle se rattache à la </w:t>
      </w:r>
      <w:r>
        <w:rPr>
          <w:rFonts w:ascii="Calibri" w:eastAsia="Calibri" w:hAnsi="Calibri" w:cs="Calibri"/>
          <w:b/>
          <w:bCs/>
          <w:color w:val="1A1A1A"/>
        </w:rPr>
        <w:t>liberté de conscience</w:t>
      </w:r>
      <w:r>
        <w:rPr>
          <w:rFonts w:ascii="Calibri" w:eastAsia="Calibri" w:hAnsi="Calibri" w:cs="Calibri"/>
          <w:color w:val="1A1A1A"/>
        </w:rPr>
        <w:t xml:space="preserve"> — </w:t>
      </w:r>
      <w:r>
        <w:rPr>
          <w:rFonts w:ascii="Calibri" w:eastAsia="Calibri" w:hAnsi="Calibri" w:cs="Calibri"/>
          <w:color w:val="1E88E5"/>
        </w:rPr>
        <w:t>article 10 de la Déclaration de 1789</w:t>
      </w:r>
      <w:r>
        <w:rPr>
          <w:rFonts w:ascii="Calibri" w:eastAsia="Calibri" w:hAnsi="Calibri" w:cs="Calibri"/>
          <w:color w:val="1A1A1A"/>
        </w:rPr>
        <w:t xml:space="preserve">, </w:t>
      </w:r>
      <w:r>
        <w:rPr>
          <w:rFonts w:ascii="Calibri" w:eastAsia="Calibri" w:hAnsi="Calibri" w:cs="Calibri"/>
          <w:color w:val="1E88E5"/>
        </w:rPr>
        <w:t>article 9 de la Convention</w:t>
      </w:r>
      <w:r>
        <w:rPr>
          <w:rFonts w:ascii="Calibri" w:eastAsia="Calibri" w:hAnsi="Calibri" w:cs="Calibri"/>
          <w:color w:val="1A1A1A"/>
        </w:rPr>
        <w:t xml:space="preserve"> —, non à l’</w:t>
      </w:r>
      <w:r>
        <w:rPr>
          <w:rFonts w:ascii="Calibri" w:eastAsia="Calibri" w:hAnsi="Calibri" w:cs="Calibri"/>
          <w:color w:val="1E88E5"/>
        </w:rPr>
        <w:t>article 8</w:t>
      </w:r>
      <w:r>
        <w:rPr>
          <w:rFonts w:ascii="Calibri" w:eastAsia="Calibri" w:hAnsi="Calibri" w:cs="Calibri"/>
          <w:color w:val="1A1A1A"/>
        </w:rPr>
        <w:t>.</w:t>
      </w:r>
    </w:p>
    <w:p w14:paraId="0DF15B39" w14:textId="77777777" w:rsidR="00B13F99" w:rsidRDefault="00000000">
      <w:r>
        <w:br w:type="page"/>
      </w:r>
    </w:p>
    <w:p w14:paraId="7F454D2E" w14:textId="77777777" w:rsidR="00B13F99" w:rsidRDefault="00000000">
      <w:pPr>
        <w:shd w:val="clear" w:color="auto" w:fill="F2E9EA"/>
        <w:spacing w:before="200" w:after="220"/>
        <w:jc w:val="center"/>
      </w:pPr>
      <w:r>
        <w:rPr>
          <w:rFonts w:ascii="Calibri" w:eastAsia="Calibri" w:hAnsi="Calibri" w:cs="Calibri"/>
          <w:b/>
          <w:bCs/>
          <w:color w:val="8C1C2B"/>
          <w:spacing w:val="30"/>
          <w:sz w:val="26"/>
          <w:szCs w:val="26"/>
        </w:rPr>
        <w:lastRenderedPageBreak/>
        <w:t>PARTIE I. LE DOSSIER DOCUMENTAIRE</w:t>
      </w:r>
    </w:p>
    <w:p w14:paraId="20AED5C0"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1. LE LEXIQUE — SIX NOTIONS À NE JAMAIS CONFONDRE</w:t>
      </w:r>
    </w:p>
    <w:p w14:paraId="6E4AD9C6" w14:textId="77777777" w:rsidR="00B13F99" w:rsidRDefault="00000000">
      <w:pPr>
        <w:spacing w:after="90" w:line="264" w:lineRule="auto"/>
        <w:jc w:val="both"/>
      </w:pPr>
      <w:r>
        <w:rPr>
          <w:rFonts w:ascii="Calibri" w:eastAsia="Calibri" w:hAnsi="Calibri" w:cs="Calibri"/>
          <w:color w:val="1A1A1A"/>
        </w:rPr>
        <w:t>C’est la première chose que le jury vérifie, et c’est là que les propositions du séminaire ont le plus souvent trébuché. Chacune de ces notions a un régime distinct, un fondement textuel distinct et, souvent, une juridiction compétente distincte.</w:t>
      </w:r>
    </w:p>
    <w:tbl>
      <w:tblPr>
        <w:tblW w:w="5000" w:type="pct"/>
        <w:tblBorders>
          <w:top w:val="single" w:sz="2" w:space="0" w:color="C9C0B6"/>
          <w:left w:val="single" w:sz="2" w:space="0" w:color="C9C0B6"/>
          <w:bottom w:val="single" w:sz="2" w:space="0" w:color="C9C0B6"/>
          <w:right w:val="single" w:sz="2" w:space="0" w:color="C9C0B6"/>
          <w:insideH w:val="single" w:sz="2" w:space="0" w:color="DCD5CC"/>
          <w:insideV w:val="single" w:sz="2" w:space="0" w:color="DCD5CC"/>
        </w:tblBorders>
        <w:tblCellMar>
          <w:left w:w="10" w:type="dxa"/>
          <w:right w:w="10" w:type="dxa"/>
        </w:tblCellMar>
        <w:tblLook w:val="04A0" w:firstRow="1" w:lastRow="0" w:firstColumn="1" w:lastColumn="0" w:noHBand="0" w:noVBand="1"/>
      </w:tblPr>
      <w:tblGrid>
        <w:gridCol w:w="3248"/>
        <w:gridCol w:w="3249"/>
        <w:gridCol w:w="3249"/>
      </w:tblGrid>
      <w:tr w:rsidR="00B13F99" w14:paraId="75B8C1D5" w14:textId="77777777">
        <w:tblPrEx>
          <w:tblCellMar>
            <w:top w:w="0" w:type="dxa"/>
            <w:bottom w:w="0" w:type="dxa"/>
          </w:tblCellMar>
        </w:tblPrEx>
        <w:trPr>
          <w:tblHeader/>
        </w:trPr>
        <w:tc>
          <w:tcPr>
            <w:tcW w:w="1650" w:type="pct"/>
            <w:shd w:val="clear" w:color="auto" w:fill="F2E9EA"/>
            <w:tcMar>
              <w:top w:w="60" w:type="dxa"/>
              <w:left w:w="90" w:type="dxa"/>
              <w:bottom w:w="60" w:type="dxa"/>
              <w:right w:w="90" w:type="dxa"/>
            </w:tcMar>
          </w:tcPr>
          <w:p w14:paraId="48917585" w14:textId="77777777" w:rsidR="00B13F99" w:rsidRDefault="00000000">
            <w:r>
              <w:rPr>
                <w:rFonts w:ascii="Calibri" w:eastAsia="Calibri" w:hAnsi="Calibri" w:cs="Calibri"/>
                <w:b/>
                <w:bCs/>
                <w:color w:val="1A1A1A"/>
                <w:sz w:val="17"/>
                <w:szCs w:val="17"/>
              </w:rPr>
              <w:t>Notion</w:t>
            </w:r>
          </w:p>
        </w:tc>
        <w:tc>
          <w:tcPr>
            <w:tcW w:w="1650" w:type="pct"/>
            <w:shd w:val="clear" w:color="auto" w:fill="F2E9EA"/>
            <w:tcMar>
              <w:top w:w="60" w:type="dxa"/>
              <w:left w:w="90" w:type="dxa"/>
              <w:bottom w:w="60" w:type="dxa"/>
              <w:right w:w="90" w:type="dxa"/>
            </w:tcMar>
          </w:tcPr>
          <w:p w14:paraId="0F563B12" w14:textId="77777777" w:rsidR="00B13F99" w:rsidRDefault="00000000">
            <w:r>
              <w:rPr>
                <w:rFonts w:ascii="Calibri" w:eastAsia="Calibri" w:hAnsi="Calibri" w:cs="Calibri"/>
                <w:b/>
                <w:bCs/>
                <w:color w:val="1A1A1A"/>
                <w:sz w:val="17"/>
                <w:szCs w:val="17"/>
              </w:rPr>
              <w:t>Définition juridique</w:t>
            </w:r>
          </w:p>
        </w:tc>
        <w:tc>
          <w:tcPr>
            <w:tcW w:w="1650" w:type="pct"/>
            <w:shd w:val="clear" w:color="auto" w:fill="F2E9EA"/>
            <w:tcMar>
              <w:top w:w="60" w:type="dxa"/>
              <w:left w:w="90" w:type="dxa"/>
              <w:bottom w:w="60" w:type="dxa"/>
              <w:right w:w="90" w:type="dxa"/>
            </w:tcMar>
          </w:tcPr>
          <w:p w14:paraId="7A24ED83" w14:textId="77777777" w:rsidR="00B13F99" w:rsidRDefault="00000000">
            <w:r>
              <w:rPr>
                <w:rFonts w:ascii="Calibri" w:eastAsia="Calibri" w:hAnsi="Calibri" w:cs="Calibri"/>
                <w:b/>
                <w:bCs/>
                <w:color w:val="1A1A1A"/>
                <w:sz w:val="17"/>
                <w:szCs w:val="17"/>
              </w:rPr>
              <w:t>Régime en droit français</w:t>
            </w:r>
          </w:p>
        </w:tc>
      </w:tr>
      <w:tr w:rsidR="00B13F99" w14:paraId="36CE4A35" w14:textId="77777777">
        <w:tblPrEx>
          <w:tblCellMar>
            <w:top w:w="0" w:type="dxa"/>
            <w:bottom w:w="0" w:type="dxa"/>
          </w:tblCellMar>
        </w:tblPrEx>
        <w:tc>
          <w:tcPr>
            <w:tcW w:w="1650" w:type="pct"/>
            <w:tcMar>
              <w:top w:w="60" w:type="dxa"/>
              <w:left w:w="90" w:type="dxa"/>
              <w:bottom w:w="60" w:type="dxa"/>
              <w:right w:w="90" w:type="dxa"/>
            </w:tcMar>
          </w:tcPr>
          <w:p w14:paraId="4BF10356" w14:textId="77777777" w:rsidR="00B13F99" w:rsidRDefault="00000000">
            <w:r>
              <w:rPr>
                <w:rFonts w:ascii="Calibri" w:eastAsia="Calibri" w:hAnsi="Calibri" w:cs="Calibri"/>
                <w:color w:val="1A1A1A"/>
                <w:sz w:val="17"/>
                <w:szCs w:val="17"/>
              </w:rPr>
              <w:t>Obstination déraisonnable</w:t>
            </w:r>
          </w:p>
        </w:tc>
        <w:tc>
          <w:tcPr>
            <w:tcW w:w="1650" w:type="pct"/>
            <w:tcMar>
              <w:top w:w="60" w:type="dxa"/>
              <w:left w:w="90" w:type="dxa"/>
              <w:bottom w:w="60" w:type="dxa"/>
              <w:right w:w="90" w:type="dxa"/>
            </w:tcMar>
          </w:tcPr>
          <w:p w14:paraId="7819D6ED" w14:textId="77777777" w:rsidR="00B13F99" w:rsidRDefault="00000000">
            <w:r>
              <w:rPr>
                <w:rFonts w:ascii="Calibri" w:eastAsia="Calibri" w:hAnsi="Calibri" w:cs="Calibri"/>
                <w:color w:val="1A1A1A"/>
                <w:sz w:val="17"/>
                <w:szCs w:val="17"/>
              </w:rPr>
              <w:t>Poursuite d’actes « inutiles, disproportionnés ou n’ayant d’autre effet que le seul maintien artificiel de la vie ».</w:t>
            </w:r>
          </w:p>
        </w:tc>
        <w:tc>
          <w:tcPr>
            <w:tcW w:w="1650" w:type="pct"/>
            <w:tcMar>
              <w:top w:w="60" w:type="dxa"/>
              <w:left w:w="90" w:type="dxa"/>
              <w:bottom w:w="60" w:type="dxa"/>
              <w:right w:w="90" w:type="dxa"/>
            </w:tcMar>
          </w:tcPr>
          <w:p w14:paraId="12573664" w14:textId="77777777" w:rsidR="00B13F99" w:rsidRDefault="00000000">
            <w:r>
              <w:rPr>
                <w:rFonts w:ascii="Calibri" w:eastAsia="Calibri" w:hAnsi="Calibri" w:cs="Calibri"/>
                <w:color w:val="1A1A1A"/>
                <w:sz w:val="17"/>
                <w:szCs w:val="17"/>
              </w:rPr>
              <w:t>Prohibée — art. L. 1110-5-1 CSP (loi du 22 avril 2005). Le médecin doit s’abstenir ; l’arrêt obéit à une procédure collégiale.</w:t>
            </w:r>
          </w:p>
        </w:tc>
      </w:tr>
      <w:tr w:rsidR="00B13F99" w14:paraId="12A7542B" w14:textId="77777777">
        <w:tblPrEx>
          <w:tblCellMar>
            <w:top w:w="0" w:type="dxa"/>
            <w:bottom w:w="0" w:type="dxa"/>
          </w:tblCellMar>
        </w:tblPrEx>
        <w:tc>
          <w:tcPr>
            <w:tcW w:w="1650" w:type="pct"/>
            <w:tcMar>
              <w:top w:w="60" w:type="dxa"/>
              <w:left w:w="90" w:type="dxa"/>
              <w:bottom w:w="60" w:type="dxa"/>
              <w:right w:w="90" w:type="dxa"/>
            </w:tcMar>
          </w:tcPr>
          <w:p w14:paraId="2301AFB8" w14:textId="77777777" w:rsidR="00B13F99" w:rsidRDefault="00000000">
            <w:r>
              <w:rPr>
                <w:rFonts w:ascii="Calibri" w:eastAsia="Calibri" w:hAnsi="Calibri" w:cs="Calibri"/>
                <w:color w:val="1A1A1A"/>
                <w:sz w:val="17"/>
                <w:szCs w:val="17"/>
              </w:rPr>
              <w:t>Arrêt ou refus de traitement</w:t>
            </w:r>
          </w:p>
        </w:tc>
        <w:tc>
          <w:tcPr>
            <w:tcW w:w="1650" w:type="pct"/>
            <w:tcMar>
              <w:top w:w="60" w:type="dxa"/>
              <w:left w:w="90" w:type="dxa"/>
              <w:bottom w:w="60" w:type="dxa"/>
              <w:right w:w="90" w:type="dxa"/>
            </w:tcMar>
          </w:tcPr>
          <w:p w14:paraId="12BEDEDE" w14:textId="77777777" w:rsidR="00B13F99" w:rsidRDefault="00000000">
            <w:r>
              <w:rPr>
                <w:rFonts w:ascii="Calibri" w:eastAsia="Calibri" w:hAnsi="Calibri" w:cs="Calibri"/>
                <w:color w:val="1A1A1A"/>
                <w:sz w:val="17"/>
                <w:szCs w:val="17"/>
              </w:rPr>
              <w:t>Décision de ne pas entreprendre ou d’interrompre un traitement, à la demande du patient ou après procédure collégiale s’il ne peut s’exprimer.</w:t>
            </w:r>
          </w:p>
        </w:tc>
        <w:tc>
          <w:tcPr>
            <w:tcW w:w="1650" w:type="pct"/>
            <w:tcMar>
              <w:top w:w="60" w:type="dxa"/>
              <w:left w:w="90" w:type="dxa"/>
              <w:bottom w:w="60" w:type="dxa"/>
              <w:right w:w="90" w:type="dxa"/>
            </w:tcMar>
          </w:tcPr>
          <w:p w14:paraId="3F78A6E4" w14:textId="77777777" w:rsidR="00B13F99" w:rsidRDefault="00000000">
            <w:r>
              <w:rPr>
                <w:rFonts w:ascii="Calibri" w:eastAsia="Calibri" w:hAnsi="Calibri" w:cs="Calibri"/>
                <w:color w:val="1A1A1A"/>
                <w:sz w:val="17"/>
                <w:szCs w:val="17"/>
              </w:rPr>
              <w:t>Licite — art. L. 1111-4 CSP. Le patient peut refuser tout traitement, même vital. Validé par CE, ass., 24 juin 2014, Lambert.</w:t>
            </w:r>
          </w:p>
        </w:tc>
      </w:tr>
      <w:tr w:rsidR="00B13F99" w14:paraId="64A26CAE" w14:textId="77777777">
        <w:tblPrEx>
          <w:tblCellMar>
            <w:top w:w="0" w:type="dxa"/>
            <w:bottom w:w="0" w:type="dxa"/>
          </w:tblCellMar>
        </w:tblPrEx>
        <w:tc>
          <w:tcPr>
            <w:tcW w:w="1650" w:type="pct"/>
            <w:tcMar>
              <w:top w:w="60" w:type="dxa"/>
              <w:left w:w="90" w:type="dxa"/>
              <w:bottom w:w="60" w:type="dxa"/>
              <w:right w:w="90" w:type="dxa"/>
            </w:tcMar>
          </w:tcPr>
          <w:p w14:paraId="3854B935" w14:textId="77777777" w:rsidR="00B13F99" w:rsidRDefault="00000000">
            <w:r>
              <w:rPr>
                <w:rFonts w:ascii="Calibri" w:eastAsia="Calibri" w:hAnsi="Calibri" w:cs="Calibri"/>
                <w:color w:val="1A1A1A"/>
                <w:sz w:val="17"/>
                <w:szCs w:val="17"/>
              </w:rPr>
              <w:t>Sédation profonde et continue jusqu’au décès</w:t>
            </w:r>
          </w:p>
        </w:tc>
        <w:tc>
          <w:tcPr>
            <w:tcW w:w="1650" w:type="pct"/>
            <w:tcMar>
              <w:top w:w="60" w:type="dxa"/>
              <w:left w:w="90" w:type="dxa"/>
              <w:bottom w:w="60" w:type="dxa"/>
              <w:right w:w="90" w:type="dxa"/>
            </w:tcMar>
          </w:tcPr>
          <w:p w14:paraId="2551F9F3" w14:textId="77777777" w:rsidR="00B13F99" w:rsidRDefault="00000000">
            <w:r>
              <w:rPr>
                <w:rFonts w:ascii="Calibri" w:eastAsia="Calibri" w:hAnsi="Calibri" w:cs="Calibri"/>
                <w:color w:val="1A1A1A"/>
                <w:sz w:val="17"/>
                <w:szCs w:val="17"/>
              </w:rPr>
              <w:t>Altération de la conscience maintenue jusqu’au décès, associée à l’arrêt des traitements de maintien en vie, pour un pronostic vital engagé à court terme.</w:t>
            </w:r>
          </w:p>
        </w:tc>
        <w:tc>
          <w:tcPr>
            <w:tcW w:w="1650" w:type="pct"/>
            <w:tcMar>
              <w:top w:w="60" w:type="dxa"/>
              <w:left w:w="90" w:type="dxa"/>
              <w:bottom w:w="60" w:type="dxa"/>
              <w:right w:w="90" w:type="dxa"/>
            </w:tcMar>
          </w:tcPr>
          <w:p w14:paraId="54EEB4FF" w14:textId="77777777" w:rsidR="00B13F99" w:rsidRDefault="00000000">
            <w:r>
              <w:rPr>
                <w:rFonts w:ascii="Calibri" w:eastAsia="Calibri" w:hAnsi="Calibri" w:cs="Calibri"/>
                <w:color w:val="1A1A1A"/>
                <w:sz w:val="17"/>
                <w:szCs w:val="17"/>
              </w:rPr>
              <w:t>Licite sous conditions — art. L. 1110-5-2 CSP (loi Claeys-Leonetti du 2 février 2016). L’intention est de soulager, non de tuer.</w:t>
            </w:r>
          </w:p>
        </w:tc>
      </w:tr>
      <w:tr w:rsidR="00B13F99" w14:paraId="30BAFDED" w14:textId="77777777">
        <w:tblPrEx>
          <w:tblCellMar>
            <w:top w:w="0" w:type="dxa"/>
            <w:bottom w:w="0" w:type="dxa"/>
          </w:tblCellMar>
        </w:tblPrEx>
        <w:tc>
          <w:tcPr>
            <w:tcW w:w="1650" w:type="pct"/>
            <w:tcMar>
              <w:top w:w="60" w:type="dxa"/>
              <w:left w:w="90" w:type="dxa"/>
              <w:bottom w:w="60" w:type="dxa"/>
              <w:right w:w="90" w:type="dxa"/>
            </w:tcMar>
          </w:tcPr>
          <w:p w14:paraId="46304B71" w14:textId="77777777" w:rsidR="00B13F99" w:rsidRDefault="00000000">
            <w:r>
              <w:rPr>
                <w:rFonts w:ascii="Calibri" w:eastAsia="Calibri" w:hAnsi="Calibri" w:cs="Calibri"/>
                <w:color w:val="1A1A1A"/>
                <w:sz w:val="17"/>
                <w:szCs w:val="17"/>
              </w:rPr>
              <w:t>Euthanasie (dite active)</w:t>
            </w:r>
          </w:p>
        </w:tc>
        <w:tc>
          <w:tcPr>
            <w:tcW w:w="1650" w:type="pct"/>
            <w:tcMar>
              <w:top w:w="60" w:type="dxa"/>
              <w:left w:w="90" w:type="dxa"/>
              <w:bottom w:w="60" w:type="dxa"/>
              <w:right w:w="90" w:type="dxa"/>
            </w:tcMar>
          </w:tcPr>
          <w:p w14:paraId="45CB0E09" w14:textId="77777777" w:rsidR="00B13F99" w:rsidRDefault="00000000">
            <w:r>
              <w:rPr>
                <w:rFonts w:ascii="Calibri" w:eastAsia="Calibri" w:hAnsi="Calibri" w:cs="Calibri"/>
                <w:color w:val="1A1A1A"/>
                <w:sz w:val="17"/>
                <w:szCs w:val="17"/>
              </w:rPr>
              <w:t>Acte d’un tiers qui administre délibérément une substance létale dans l’intention de provoquer la mort.</w:t>
            </w:r>
          </w:p>
        </w:tc>
        <w:tc>
          <w:tcPr>
            <w:tcW w:w="1650" w:type="pct"/>
            <w:tcMar>
              <w:top w:w="60" w:type="dxa"/>
              <w:left w:w="90" w:type="dxa"/>
              <w:bottom w:w="60" w:type="dxa"/>
              <w:right w:w="90" w:type="dxa"/>
            </w:tcMar>
          </w:tcPr>
          <w:p w14:paraId="19E63CE6" w14:textId="77777777" w:rsidR="00B13F99" w:rsidRDefault="00000000">
            <w:r>
              <w:rPr>
                <w:rFonts w:ascii="Calibri" w:eastAsia="Calibri" w:hAnsi="Calibri" w:cs="Calibri"/>
                <w:color w:val="1A1A1A"/>
                <w:sz w:val="17"/>
                <w:szCs w:val="17"/>
              </w:rPr>
              <w:t>Non consacrée comme telle. Relève, en l’absence d’un cadre légal spécifique, de l’homicide volontaire (art. 221-1 C. pén.) ou de l’empoisonnement (art. 221-5 C. pén.).</w:t>
            </w:r>
          </w:p>
        </w:tc>
      </w:tr>
      <w:tr w:rsidR="00B13F99" w14:paraId="29299A2E" w14:textId="77777777">
        <w:tblPrEx>
          <w:tblCellMar>
            <w:top w:w="0" w:type="dxa"/>
            <w:bottom w:w="0" w:type="dxa"/>
          </w:tblCellMar>
        </w:tblPrEx>
        <w:tc>
          <w:tcPr>
            <w:tcW w:w="1650" w:type="pct"/>
            <w:tcMar>
              <w:top w:w="60" w:type="dxa"/>
              <w:left w:w="90" w:type="dxa"/>
              <w:bottom w:w="60" w:type="dxa"/>
              <w:right w:w="90" w:type="dxa"/>
            </w:tcMar>
          </w:tcPr>
          <w:p w14:paraId="10AC33AF" w14:textId="77777777" w:rsidR="00B13F99" w:rsidRDefault="00000000">
            <w:r>
              <w:rPr>
                <w:rFonts w:ascii="Calibri" w:eastAsia="Calibri" w:hAnsi="Calibri" w:cs="Calibri"/>
                <w:color w:val="1A1A1A"/>
                <w:sz w:val="17"/>
                <w:szCs w:val="17"/>
              </w:rPr>
              <w:t>Suicide assisté</w:t>
            </w:r>
          </w:p>
        </w:tc>
        <w:tc>
          <w:tcPr>
            <w:tcW w:w="1650" w:type="pct"/>
            <w:tcMar>
              <w:top w:w="60" w:type="dxa"/>
              <w:left w:w="90" w:type="dxa"/>
              <w:bottom w:w="60" w:type="dxa"/>
              <w:right w:w="90" w:type="dxa"/>
            </w:tcMar>
          </w:tcPr>
          <w:p w14:paraId="39477819" w14:textId="77777777" w:rsidR="00B13F99" w:rsidRDefault="00000000">
            <w:r>
              <w:rPr>
                <w:rFonts w:ascii="Calibri" w:eastAsia="Calibri" w:hAnsi="Calibri" w:cs="Calibri"/>
                <w:color w:val="1A1A1A"/>
                <w:sz w:val="17"/>
                <w:szCs w:val="17"/>
              </w:rPr>
              <w:t>Fourniture à une personne des moyens de se donner elle-même la mort ; l’acte létal final est accompli par elle.</w:t>
            </w:r>
          </w:p>
        </w:tc>
        <w:tc>
          <w:tcPr>
            <w:tcW w:w="1650" w:type="pct"/>
            <w:tcMar>
              <w:top w:w="60" w:type="dxa"/>
              <w:left w:w="90" w:type="dxa"/>
              <w:bottom w:w="60" w:type="dxa"/>
              <w:right w:w="90" w:type="dxa"/>
            </w:tcMar>
          </w:tcPr>
          <w:p w14:paraId="05D7216A" w14:textId="77777777" w:rsidR="00B13F99" w:rsidRDefault="00000000">
            <w:r>
              <w:rPr>
                <w:rFonts w:ascii="Calibri" w:eastAsia="Calibri" w:hAnsi="Calibri" w:cs="Calibri"/>
                <w:color w:val="1A1A1A"/>
                <w:sz w:val="17"/>
                <w:szCs w:val="17"/>
              </w:rPr>
              <w:t>Le suicide n’est pas pénalisé, mais la provocation au suicide l’est (art. 223-13 C. pén.). C’est le modèle retenu à titre principal par la loi du 18 août 2026.</w:t>
            </w:r>
          </w:p>
        </w:tc>
      </w:tr>
      <w:tr w:rsidR="00B13F99" w14:paraId="6F3975DA" w14:textId="77777777">
        <w:tblPrEx>
          <w:tblCellMar>
            <w:top w:w="0" w:type="dxa"/>
            <w:bottom w:w="0" w:type="dxa"/>
          </w:tblCellMar>
        </w:tblPrEx>
        <w:tc>
          <w:tcPr>
            <w:tcW w:w="1650" w:type="pct"/>
            <w:tcMar>
              <w:top w:w="60" w:type="dxa"/>
              <w:left w:w="90" w:type="dxa"/>
              <w:bottom w:w="60" w:type="dxa"/>
              <w:right w:w="90" w:type="dxa"/>
            </w:tcMar>
          </w:tcPr>
          <w:p w14:paraId="3C0C92CE" w14:textId="77777777" w:rsidR="00B13F99" w:rsidRDefault="00000000">
            <w:r>
              <w:rPr>
                <w:rFonts w:ascii="Calibri" w:eastAsia="Calibri" w:hAnsi="Calibri" w:cs="Calibri"/>
                <w:color w:val="1A1A1A"/>
                <w:sz w:val="17"/>
                <w:szCs w:val="17"/>
              </w:rPr>
              <w:t>Aide à mourir (loi du 18 août 2026)</w:t>
            </w:r>
          </w:p>
        </w:tc>
        <w:tc>
          <w:tcPr>
            <w:tcW w:w="1650" w:type="pct"/>
            <w:tcMar>
              <w:top w:w="60" w:type="dxa"/>
              <w:left w:w="90" w:type="dxa"/>
              <w:bottom w:w="60" w:type="dxa"/>
              <w:right w:w="90" w:type="dxa"/>
            </w:tcMar>
          </w:tcPr>
          <w:p w14:paraId="4968B63D" w14:textId="77777777" w:rsidR="00B13F99" w:rsidRDefault="00000000">
            <w:r>
              <w:rPr>
                <w:rFonts w:ascii="Calibri" w:eastAsia="Calibri" w:hAnsi="Calibri" w:cs="Calibri"/>
                <w:color w:val="1A1A1A"/>
                <w:sz w:val="17"/>
                <w:szCs w:val="17"/>
              </w:rPr>
              <w:t>Droit, pour une personne remplissant cinq conditions cumulatives, d’obtenir une substance létale qu’elle s’administre elle-même — à défaut, un médecin ou un infirmier procède à l’administration.</w:t>
            </w:r>
          </w:p>
        </w:tc>
        <w:tc>
          <w:tcPr>
            <w:tcW w:w="1650" w:type="pct"/>
            <w:tcMar>
              <w:top w:w="60" w:type="dxa"/>
              <w:left w:w="90" w:type="dxa"/>
              <w:bottom w:w="60" w:type="dxa"/>
              <w:right w:w="90" w:type="dxa"/>
            </w:tcMar>
          </w:tcPr>
          <w:p w14:paraId="51240DFD" w14:textId="77777777" w:rsidR="00B13F99" w:rsidRDefault="00000000">
            <w:r>
              <w:rPr>
                <w:rFonts w:ascii="Calibri" w:eastAsia="Calibri" w:hAnsi="Calibri" w:cs="Calibri"/>
                <w:color w:val="1A1A1A"/>
                <w:sz w:val="17"/>
                <w:szCs w:val="17"/>
              </w:rPr>
              <w:t>Licite — art. L. 1111-12-1 et L. 1111-12-2 CSP. Conforme sous trois réserves : Cons. const., 14 août 2026, n° 2026-910 DC.</w:t>
            </w:r>
          </w:p>
        </w:tc>
      </w:tr>
    </w:tbl>
    <w:p w14:paraId="0A6B2F53" w14:textId="77777777" w:rsidR="00B13F99" w:rsidRDefault="00B13F99">
      <w:pPr>
        <w:spacing w:after="120"/>
      </w:pPr>
    </w:p>
    <w:p w14:paraId="4D0331AF" w14:textId="77777777" w:rsidR="00B13F99"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b/>
          <w:bCs/>
          <w:color w:val="1A1A1A"/>
          <w:sz w:val="19"/>
          <w:szCs w:val="19"/>
        </w:rPr>
        <w:t>La conséquence à tirer.</w:t>
      </w:r>
      <w:r>
        <w:rPr>
          <w:rFonts w:ascii="Calibri" w:eastAsia="Calibri" w:hAnsi="Calibri" w:cs="Calibri"/>
          <w:color w:val="1A1A1A"/>
          <w:sz w:val="19"/>
          <w:szCs w:val="19"/>
        </w:rPr>
        <w:t xml:space="preserve"> La loi française de 2026 n’est pas, au sens strict, une loi d’euthanasie : elle organise à titre principal un </w:t>
      </w:r>
      <w:r>
        <w:rPr>
          <w:rFonts w:ascii="Calibri" w:eastAsia="Calibri" w:hAnsi="Calibri" w:cs="Calibri"/>
          <w:b/>
          <w:bCs/>
          <w:color w:val="1A1A1A"/>
          <w:sz w:val="19"/>
          <w:szCs w:val="19"/>
        </w:rPr>
        <w:t>suicide médicalement assisté</w:t>
      </w:r>
      <w:r>
        <w:rPr>
          <w:rFonts w:ascii="Calibri" w:eastAsia="Calibri" w:hAnsi="Calibri" w:cs="Calibri"/>
          <w:color w:val="1A1A1A"/>
          <w:sz w:val="19"/>
          <w:szCs w:val="19"/>
        </w:rPr>
        <w:t>, l’administration par un tiers n’étant qu’une modalité subsidiaire. Cette nuance n’est pas cosmétique — elle commande toute la solidité du sujet n° 2, et elle explique pourquoi la décision du Conseil constitutionnel a pu retenir la « liberté personnelle » comme fondement.</w:t>
      </w:r>
    </w:p>
    <w:p w14:paraId="0E95D8B3"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2. L’ARCHITECTURE TEXTUELLE</w:t>
      </w:r>
    </w:p>
    <w:p w14:paraId="25A70181" w14:textId="77777777" w:rsidR="00B13F99" w:rsidRDefault="00000000">
      <w:pPr>
        <w:pStyle w:val="Titre2"/>
        <w:spacing w:before="260" w:after="110"/>
      </w:pPr>
      <w:r>
        <w:rPr>
          <w:rFonts w:ascii="Calibri" w:eastAsia="Calibri" w:hAnsi="Calibri" w:cs="Calibri"/>
          <w:b/>
          <w:bCs/>
          <w:color w:val="1A1A1A"/>
          <w:spacing w:val="16"/>
          <w:sz w:val="23"/>
          <w:szCs w:val="23"/>
        </w:rPr>
        <w:t>2.1. Le socle international</w:t>
      </w:r>
    </w:p>
    <w:p w14:paraId="12F1675D" w14:textId="77777777" w:rsidR="00B13F99" w:rsidRDefault="00000000">
      <w:pPr>
        <w:pStyle w:val="Paragraphedeliste"/>
        <w:numPr>
          <w:ilvl w:val="0"/>
          <w:numId w:val="2"/>
        </w:numPr>
        <w:spacing w:after="70" w:line="264" w:lineRule="auto"/>
        <w:jc w:val="both"/>
      </w:pPr>
      <w:r>
        <w:rPr>
          <w:rFonts w:ascii="Calibri" w:eastAsia="Calibri" w:hAnsi="Calibri" w:cs="Calibri"/>
          <w:color w:val="1E88E5"/>
        </w:rPr>
        <w:t>Article 3 de la Déclaration universelle des droits de l’homme</w:t>
      </w:r>
      <w:r>
        <w:rPr>
          <w:rFonts w:ascii="Calibri" w:eastAsia="Calibri" w:hAnsi="Calibri" w:cs="Calibri"/>
          <w:color w:val="1A1A1A"/>
        </w:rPr>
        <w:t xml:space="preserve"> (1948) : « Tout individu a droit à la vie, à la liberté et à la sûreté de sa personne. »</w:t>
      </w:r>
    </w:p>
    <w:p w14:paraId="521728C9" w14:textId="77777777" w:rsidR="00B13F99" w:rsidRDefault="00000000">
      <w:pPr>
        <w:pStyle w:val="Paragraphedeliste"/>
        <w:numPr>
          <w:ilvl w:val="0"/>
          <w:numId w:val="2"/>
        </w:numPr>
        <w:spacing w:after="70" w:line="264" w:lineRule="auto"/>
        <w:jc w:val="both"/>
      </w:pPr>
      <w:r>
        <w:rPr>
          <w:rFonts w:ascii="Calibri" w:eastAsia="Calibri" w:hAnsi="Calibri" w:cs="Calibri"/>
          <w:color w:val="1E88E5"/>
        </w:rPr>
        <w:t>Article 6-1 du Pacte international relatif aux droits civils et politiques</w:t>
      </w:r>
      <w:r>
        <w:rPr>
          <w:rFonts w:ascii="Calibri" w:eastAsia="Calibri" w:hAnsi="Calibri" w:cs="Calibri"/>
          <w:color w:val="1A1A1A"/>
        </w:rPr>
        <w:t xml:space="preserve"> : « Le droit à la vie est inhérent à la personne humaine. Ce droit doit être protégé par la loi. Nul ne peut être arbitrairement privé de la vie. » Droit indérogeable au titre de l’</w:t>
      </w:r>
      <w:r>
        <w:rPr>
          <w:rFonts w:ascii="Calibri" w:eastAsia="Calibri" w:hAnsi="Calibri" w:cs="Calibri"/>
          <w:color w:val="1E88E5"/>
        </w:rPr>
        <w:t>article 4 § 2</w:t>
      </w:r>
      <w:r>
        <w:rPr>
          <w:rFonts w:ascii="Calibri" w:eastAsia="Calibri" w:hAnsi="Calibri" w:cs="Calibri"/>
          <w:color w:val="1A1A1A"/>
        </w:rPr>
        <w:t xml:space="preserve"> du Pacte.</w:t>
      </w:r>
    </w:p>
    <w:p w14:paraId="5D84843B" w14:textId="77777777" w:rsidR="00B13F99" w:rsidRDefault="00000000">
      <w:pPr>
        <w:pStyle w:val="Paragraphedeliste"/>
        <w:numPr>
          <w:ilvl w:val="0"/>
          <w:numId w:val="2"/>
        </w:numPr>
        <w:spacing w:after="70" w:line="264" w:lineRule="auto"/>
        <w:jc w:val="both"/>
      </w:pPr>
      <w:r>
        <w:rPr>
          <w:rFonts w:ascii="Calibri" w:eastAsia="Calibri" w:hAnsi="Calibri" w:cs="Calibri"/>
          <w:color w:val="2E7D32"/>
        </w:rPr>
        <w:t>Comité des droits de l’homme, Observation générale n° 36 sur l’article 6 du Pacte</w:t>
      </w:r>
      <w:r>
        <w:rPr>
          <w:rFonts w:ascii="Calibri" w:eastAsia="Calibri" w:hAnsi="Calibri" w:cs="Calibri"/>
          <w:color w:val="1A1A1A"/>
        </w:rPr>
        <w:t>, adoptée lors de la 120e session (juillet 2018) : le droit à la vie y est qualifié de « droit suprême ». Le Comité y admet que les États qui autorisent l’aide à mourir doivent entourer la procédure de garanties robustes.</w:t>
      </w:r>
    </w:p>
    <w:p w14:paraId="3FD1A3C6" w14:textId="77777777" w:rsidR="00B13F99" w:rsidRDefault="00000000">
      <w:pPr>
        <w:pStyle w:val="Paragraphedeliste"/>
        <w:numPr>
          <w:ilvl w:val="0"/>
          <w:numId w:val="2"/>
        </w:numPr>
        <w:spacing w:after="70" w:line="264" w:lineRule="auto"/>
        <w:jc w:val="both"/>
      </w:pPr>
      <w:r>
        <w:rPr>
          <w:rFonts w:ascii="Calibri" w:eastAsia="Calibri" w:hAnsi="Calibri" w:cs="Calibri"/>
          <w:color w:val="1E88E5"/>
        </w:rPr>
        <w:t>Deuxième Protocole facultatif se rapportant au Pacte</w:t>
      </w:r>
      <w:r>
        <w:rPr>
          <w:rFonts w:ascii="Calibri" w:eastAsia="Calibri" w:hAnsi="Calibri" w:cs="Calibri"/>
          <w:color w:val="1A1A1A"/>
        </w:rPr>
        <w:t>, adopté le 15 décembre 1989, visant à abolir la peine de mort — ratifié par la France en 2007.</w:t>
      </w:r>
    </w:p>
    <w:p w14:paraId="6884C2B0" w14:textId="77777777" w:rsidR="00B13F99" w:rsidRDefault="00000000">
      <w:pPr>
        <w:pStyle w:val="Paragraphedeliste"/>
        <w:numPr>
          <w:ilvl w:val="0"/>
          <w:numId w:val="2"/>
        </w:numPr>
        <w:spacing w:after="70" w:line="264" w:lineRule="auto"/>
        <w:jc w:val="both"/>
      </w:pPr>
      <w:r>
        <w:rPr>
          <w:rFonts w:ascii="Calibri" w:eastAsia="Calibri" w:hAnsi="Calibri" w:cs="Calibri"/>
          <w:color w:val="1E88E5"/>
        </w:rPr>
        <w:t>Article 6 de la Convention internationale relative aux droits de l’enfant</w:t>
      </w:r>
      <w:r>
        <w:rPr>
          <w:rFonts w:ascii="Calibri" w:eastAsia="Calibri" w:hAnsi="Calibri" w:cs="Calibri"/>
          <w:color w:val="1A1A1A"/>
        </w:rPr>
        <w:t xml:space="preserve"> : droit à la vie, à la survie et au développement.</w:t>
      </w:r>
    </w:p>
    <w:p w14:paraId="482DB905" w14:textId="77777777" w:rsidR="00B13F99" w:rsidRDefault="00000000">
      <w:pPr>
        <w:pStyle w:val="Titre2"/>
        <w:spacing w:before="260" w:after="110"/>
      </w:pPr>
      <w:r>
        <w:rPr>
          <w:rFonts w:ascii="Calibri" w:eastAsia="Calibri" w:hAnsi="Calibri" w:cs="Calibri"/>
          <w:b/>
          <w:bCs/>
          <w:color w:val="1A1A1A"/>
          <w:spacing w:val="16"/>
          <w:sz w:val="23"/>
          <w:szCs w:val="23"/>
        </w:rPr>
        <w:lastRenderedPageBreak/>
        <w:t>2.2. Le socle européen</w:t>
      </w:r>
    </w:p>
    <w:p w14:paraId="1D1FE1EA" w14:textId="77777777" w:rsidR="00B13F99" w:rsidRDefault="00000000">
      <w:pPr>
        <w:pStyle w:val="Paragraphedeliste"/>
        <w:numPr>
          <w:ilvl w:val="0"/>
          <w:numId w:val="2"/>
        </w:numPr>
        <w:spacing w:after="70" w:line="264" w:lineRule="auto"/>
        <w:jc w:val="both"/>
      </w:pPr>
      <w:r>
        <w:rPr>
          <w:rFonts w:ascii="Calibri" w:eastAsia="Calibri" w:hAnsi="Calibri" w:cs="Calibri"/>
          <w:color w:val="1E88E5"/>
        </w:rPr>
        <w:t>Article 2 de la Convention européenne des droits de l’homme</w:t>
      </w:r>
      <w:r>
        <w:rPr>
          <w:rFonts w:ascii="Calibri" w:eastAsia="Calibri" w:hAnsi="Calibri" w:cs="Calibri"/>
          <w:color w:val="1A1A1A"/>
        </w:rPr>
        <w:t xml:space="preserve"> — le texte à citer textuellement. Le § 1 pose l’obligation de protection par la loi et l’interdiction d’infliger intentionnellement la mort ; le § 2 énumère limitativement trois hypothèses dans lesquelles le recours à la force « rendu absolument nécessaire » n’emporte pas violation.</w:t>
      </w:r>
    </w:p>
    <w:p w14:paraId="6B2A9377" w14:textId="77777777" w:rsidR="00B13F99" w:rsidRDefault="00000000">
      <w:pPr>
        <w:pStyle w:val="Paragraphedeliste"/>
        <w:numPr>
          <w:ilvl w:val="0"/>
          <w:numId w:val="2"/>
        </w:numPr>
        <w:spacing w:after="70" w:line="264" w:lineRule="auto"/>
        <w:jc w:val="both"/>
      </w:pPr>
      <w:r>
        <w:rPr>
          <w:rFonts w:ascii="Calibri" w:eastAsia="Calibri" w:hAnsi="Calibri" w:cs="Calibri"/>
          <w:color w:val="1E88E5"/>
        </w:rPr>
        <w:t>Article 15 § 2 de la Convention</w:t>
      </w:r>
      <w:r>
        <w:rPr>
          <w:rFonts w:ascii="Calibri" w:eastAsia="Calibri" w:hAnsi="Calibri" w:cs="Calibri"/>
          <w:color w:val="1A1A1A"/>
        </w:rPr>
        <w:t xml:space="preserve"> — l’article 2 figure parmi les droits indérogeables, sauf « pour le cas de décès résultant d’actes licites de guerre ».</w:t>
      </w:r>
    </w:p>
    <w:p w14:paraId="5B6824AE" w14:textId="77777777" w:rsidR="00B13F99" w:rsidRDefault="00000000">
      <w:pPr>
        <w:pStyle w:val="Paragraphedeliste"/>
        <w:numPr>
          <w:ilvl w:val="0"/>
          <w:numId w:val="2"/>
        </w:numPr>
        <w:spacing w:after="70" w:line="264" w:lineRule="auto"/>
        <w:jc w:val="both"/>
      </w:pPr>
      <w:r>
        <w:rPr>
          <w:rFonts w:ascii="Calibri" w:eastAsia="Calibri" w:hAnsi="Calibri" w:cs="Calibri"/>
          <w:color w:val="1E88E5"/>
        </w:rPr>
        <w:t>Protocole additionnel n° 6</w:t>
      </w:r>
      <w:r>
        <w:rPr>
          <w:rFonts w:ascii="Calibri" w:eastAsia="Calibri" w:hAnsi="Calibri" w:cs="Calibri"/>
          <w:color w:val="1A1A1A"/>
        </w:rPr>
        <w:t xml:space="preserve"> du 28 avril 1983 (abolition en temps de paix) et </w:t>
      </w:r>
      <w:r>
        <w:rPr>
          <w:rFonts w:ascii="Calibri" w:eastAsia="Calibri" w:hAnsi="Calibri" w:cs="Calibri"/>
          <w:color w:val="1E88E5"/>
        </w:rPr>
        <w:t>Protocole additionnel n° 13</w:t>
      </w:r>
      <w:r>
        <w:rPr>
          <w:rFonts w:ascii="Calibri" w:eastAsia="Calibri" w:hAnsi="Calibri" w:cs="Calibri"/>
          <w:color w:val="1A1A1A"/>
        </w:rPr>
        <w:t xml:space="preserve"> du 3 mai 2002 (abolition en toutes circonstances).</w:t>
      </w:r>
    </w:p>
    <w:p w14:paraId="455408FE" w14:textId="77777777" w:rsidR="00B13F99" w:rsidRDefault="00000000">
      <w:pPr>
        <w:pStyle w:val="Paragraphedeliste"/>
        <w:numPr>
          <w:ilvl w:val="0"/>
          <w:numId w:val="2"/>
        </w:numPr>
        <w:spacing w:after="70" w:line="264" w:lineRule="auto"/>
        <w:jc w:val="both"/>
      </w:pPr>
      <w:r>
        <w:rPr>
          <w:rFonts w:ascii="Calibri" w:eastAsia="Calibri" w:hAnsi="Calibri" w:cs="Calibri"/>
          <w:color w:val="1E88E5"/>
        </w:rPr>
        <w:t>Article 2 de la Charte des droits fondamentaux de l’Union européenne</w:t>
      </w:r>
      <w:r>
        <w:rPr>
          <w:rFonts w:ascii="Calibri" w:eastAsia="Calibri" w:hAnsi="Calibri" w:cs="Calibri"/>
          <w:color w:val="1A1A1A"/>
        </w:rPr>
        <w:t xml:space="preserve"> : « Toute personne a droit à la vie. Nul ne peut être condamné à la peine de mort, ni exécuté. »</w:t>
      </w:r>
    </w:p>
    <w:p w14:paraId="43E9D3B0" w14:textId="77777777" w:rsidR="00B13F99" w:rsidRDefault="00000000">
      <w:pPr>
        <w:pStyle w:val="Titre2"/>
        <w:spacing w:before="260" w:after="110"/>
      </w:pPr>
      <w:r>
        <w:rPr>
          <w:rFonts w:ascii="Calibri" w:eastAsia="Calibri" w:hAnsi="Calibri" w:cs="Calibri"/>
          <w:b/>
          <w:bCs/>
          <w:color w:val="1A1A1A"/>
          <w:spacing w:val="16"/>
          <w:sz w:val="23"/>
          <w:szCs w:val="23"/>
        </w:rPr>
        <w:t>2.3. Le socle interne</w:t>
      </w:r>
    </w:p>
    <w:p w14:paraId="7C6AD17D"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Constitution ne consacre pas expressément le droit à la vie.</w:t>
      </w:r>
      <w:r>
        <w:rPr>
          <w:rFonts w:ascii="Calibri" w:eastAsia="Calibri" w:hAnsi="Calibri" w:cs="Calibri"/>
          <w:color w:val="1A1A1A"/>
        </w:rPr>
        <w:t xml:space="preserve"> C’est un point que le jury aime faire dire. Le droit à la vie est rattaché indirectement au principe de sauvegarde de la dignité de la personne humaine, tiré du premier alinéa du </w:t>
      </w:r>
      <w:r>
        <w:rPr>
          <w:rFonts w:ascii="Calibri" w:eastAsia="Calibri" w:hAnsi="Calibri" w:cs="Calibri"/>
          <w:color w:val="1E88E5"/>
        </w:rPr>
        <w:t>Préambule de 1946</w:t>
      </w:r>
      <w:r>
        <w:rPr>
          <w:rFonts w:ascii="Calibri" w:eastAsia="Calibri" w:hAnsi="Calibri" w:cs="Calibri"/>
          <w:color w:val="1A1A1A"/>
        </w:rPr>
        <w:t xml:space="preserve"> — </w:t>
      </w:r>
      <w:r>
        <w:rPr>
          <w:rFonts w:ascii="Calibri" w:eastAsia="Calibri" w:hAnsi="Calibri" w:cs="Calibri"/>
          <w:color w:val="E91E63"/>
        </w:rPr>
        <w:t>Cons. const., 27 juillet 1994, n° 94-343/344 DC</w:t>
      </w:r>
      <w:r>
        <w:rPr>
          <w:rFonts w:ascii="Calibri" w:eastAsia="Calibri" w:hAnsi="Calibri" w:cs="Calibri"/>
          <w:color w:val="1A1A1A"/>
        </w:rPr>
        <w:t>.</w:t>
      </w:r>
    </w:p>
    <w:p w14:paraId="28F39E59" w14:textId="77777777" w:rsidR="00B13F99" w:rsidRDefault="00000000">
      <w:pPr>
        <w:pStyle w:val="Paragraphedeliste"/>
        <w:numPr>
          <w:ilvl w:val="0"/>
          <w:numId w:val="2"/>
        </w:numPr>
        <w:spacing w:after="70" w:line="264" w:lineRule="auto"/>
        <w:jc w:val="both"/>
      </w:pPr>
      <w:r>
        <w:rPr>
          <w:rFonts w:ascii="Calibri" w:eastAsia="Calibri" w:hAnsi="Calibri" w:cs="Calibri"/>
          <w:color w:val="1E88E5"/>
        </w:rPr>
        <w:t>Article 66-1 de la Constitution</w:t>
      </w:r>
      <w:r>
        <w:rPr>
          <w:rFonts w:ascii="Calibri" w:eastAsia="Calibri" w:hAnsi="Calibri" w:cs="Calibri"/>
          <w:color w:val="1A1A1A"/>
        </w:rPr>
        <w:t xml:space="preserve"> (révision constitutionnelle du 23 février 2007) : « Nul ne peut être condamné à la peine de mort. » Il fait suite à </w:t>
      </w:r>
      <w:r>
        <w:rPr>
          <w:rFonts w:ascii="Calibri" w:eastAsia="Calibri" w:hAnsi="Calibri" w:cs="Calibri"/>
          <w:color w:val="E91E63"/>
        </w:rPr>
        <w:t>Cons. const., 13 octobre 2005, n° 2005-524/525 DC</w:t>
      </w:r>
      <w:r>
        <w:rPr>
          <w:rFonts w:ascii="Calibri" w:eastAsia="Calibri" w:hAnsi="Calibri" w:cs="Calibri"/>
          <w:color w:val="1A1A1A"/>
        </w:rPr>
        <w:t>, qui avait relevé que l’absence de faculté de dénonciation des engagements abolitionnistes portait atteinte aux conditions essentielles d’exercice de la souveraineté nationale.</w:t>
      </w:r>
    </w:p>
    <w:p w14:paraId="250E926D" w14:textId="77777777" w:rsidR="00B13F99" w:rsidRDefault="00000000">
      <w:pPr>
        <w:pStyle w:val="Paragraphedeliste"/>
        <w:numPr>
          <w:ilvl w:val="0"/>
          <w:numId w:val="2"/>
        </w:numPr>
        <w:spacing w:after="70" w:line="264" w:lineRule="auto"/>
        <w:jc w:val="both"/>
      </w:pPr>
      <w:r>
        <w:rPr>
          <w:rFonts w:ascii="Calibri" w:eastAsia="Calibri" w:hAnsi="Calibri" w:cs="Calibri"/>
          <w:color w:val="1E88E5"/>
        </w:rPr>
        <w:t>Loi n° 81-908 du 9 octobre 1981 portant abolition de la peine de mort</w:t>
      </w:r>
      <w:r>
        <w:rPr>
          <w:rFonts w:ascii="Calibri" w:eastAsia="Calibri" w:hAnsi="Calibri" w:cs="Calibri"/>
          <w:color w:val="1A1A1A"/>
        </w:rPr>
        <w:t xml:space="preserve"> (loi Badinter), article 1er : « La peine de mort est abolie. »</w:t>
      </w:r>
    </w:p>
    <w:p w14:paraId="3B142E20" w14:textId="77777777" w:rsidR="00B13F99" w:rsidRDefault="00000000">
      <w:pPr>
        <w:pStyle w:val="Paragraphedeliste"/>
        <w:numPr>
          <w:ilvl w:val="0"/>
          <w:numId w:val="2"/>
        </w:numPr>
        <w:spacing w:after="70" w:line="264" w:lineRule="auto"/>
        <w:jc w:val="both"/>
      </w:pPr>
      <w:r>
        <w:rPr>
          <w:rFonts w:ascii="Calibri" w:eastAsia="Calibri" w:hAnsi="Calibri" w:cs="Calibri"/>
          <w:color w:val="1E88E5"/>
        </w:rPr>
        <w:t>Articles 221-1, 221-3 et 221-5 du code pénal</w:t>
      </w:r>
      <w:r>
        <w:rPr>
          <w:rFonts w:ascii="Calibri" w:eastAsia="Calibri" w:hAnsi="Calibri" w:cs="Calibri"/>
          <w:color w:val="1A1A1A"/>
        </w:rPr>
        <w:t xml:space="preserve"> : meurtre, assassinat, empoisonnement. Le consentement de la victime n’est pas une cause d’irresponsabilité pénale en droit français.</w:t>
      </w:r>
    </w:p>
    <w:p w14:paraId="103A42E4" w14:textId="77777777" w:rsidR="00B13F99" w:rsidRDefault="00000000">
      <w:pPr>
        <w:pStyle w:val="Paragraphedeliste"/>
        <w:numPr>
          <w:ilvl w:val="0"/>
          <w:numId w:val="2"/>
        </w:numPr>
        <w:spacing w:after="70" w:line="264" w:lineRule="auto"/>
        <w:jc w:val="both"/>
      </w:pPr>
      <w:r>
        <w:rPr>
          <w:rFonts w:ascii="Calibri" w:eastAsia="Calibri" w:hAnsi="Calibri" w:cs="Calibri"/>
          <w:color w:val="1E88E5"/>
        </w:rPr>
        <w:t>Article L. 1110-5 du code de la santé publique</w:t>
      </w:r>
      <w:r>
        <w:rPr>
          <w:rFonts w:ascii="Calibri" w:eastAsia="Calibri" w:hAnsi="Calibri" w:cs="Calibri"/>
          <w:color w:val="1A1A1A"/>
        </w:rPr>
        <w:t xml:space="preserve"> : « Toute personne a le droit d’avoir une fin de vie digne et accompagnée du meilleur apaisement possible de la souffrance. »</w:t>
      </w:r>
    </w:p>
    <w:p w14:paraId="2624E053" w14:textId="77777777" w:rsidR="00B13F99" w:rsidRDefault="00000000">
      <w:pPr>
        <w:pStyle w:val="Paragraphedeliste"/>
        <w:numPr>
          <w:ilvl w:val="0"/>
          <w:numId w:val="2"/>
        </w:numPr>
        <w:spacing w:after="70" w:line="264" w:lineRule="auto"/>
        <w:jc w:val="both"/>
      </w:pPr>
      <w:r>
        <w:rPr>
          <w:rFonts w:ascii="Calibri" w:eastAsia="Calibri" w:hAnsi="Calibri" w:cs="Calibri"/>
          <w:color w:val="1E88E5"/>
        </w:rPr>
        <w:t>Article R. 4127-38 du code de la santé publique</w:t>
      </w:r>
      <w:r>
        <w:rPr>
          <w:rFonts w:ascii="Calibri" w:eastAsia="Calibri" w:hAnsi="Calibri" w:cs="Calibri"/>
          <w:color w:val="1A1A1A"/>
        </w:rPr>
        <w:t xml:space="preserve"> (article 38 du code de déontologie médicale) : le médecin « n’a pas le droit de provoquer délibérément la mort ». Son articulation avec la loi du 18 août 2026 est un sujet de relance probable.</w:t>
      </w:r>
    </w:p>
    <w:p w14:paraId="6FBE8C2B"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droit à la vie est une liberté fondamentale au sens du référé-liberté</w:t>
      </w:r>
      <w:r>
        <w:rPr>
          <w:rFonts w:ascii="Calibri" w:eastAsia="Calibri" w:hAnsi="Calibri" w:cs="Calibri"/>
          <w:color w:val="1A1A1A"/>
        </w:rPr>
        <w:t xml:space="preserve"> — </w:t>
      </w:r>
      <w:r>
        <w:rPr>
          <w:rFonts w:ascii="Calibri" w:eastAsia="Calibri" w:hAnsi="Calibri" w:cs="Calibri"/>
          <w:color w:val="1E88E5"/>
        </w:rPr>
        <w:t>article L. 521-2 du code de justice administrative</w:t>
      </w:r>
      <w:r>
        <w:rPr>
          <w:rFonts w:ascii="Calibri" w:eastAsia="Calibri" w:hAnsi="Calibri" w:cs="Calibri"/>
          <w:color w:val="1A1A1A"/>
        </w:rPr>
        <w:t xml:space="preserve"> : </w:t>
      </w:r>
      <w:r>
        <w:rPr>
          <w:rFonts w:ascii="Calibri" w:eastAsia="Calibri" w:hAnsi="Calibri" w:cs="Calibri"/>
          <w:color w:val="E91E63"/>
        </w:rPr>
        <w:t>CE, ord., 13 août 2013, Commune de Saint-Leu, n° 370902</w:t>
      </w:r>
      <w:r>
        <w:rPr>
          <w:rFonts w:ascii="Calibri" w:eastAsia="Calibri" w:hAnsi="Calibri" w:cs="Calibri"/>
          <w:color w:val="1A1A1A"/>
        </w:rPr>
        <w:t>.</w:t>
      </w:r>
    </w:p>
    <w:p w14:paraId="7C143A6A" w14:textId="77777777" w:rsidR="00B13F99" w:rsidRDefault="00000000">
      <w:pPr>
        <w:pStyle w:val="Titre2"/>
        <w:spacing w:before="260" w:after="110"/>
      </w:pPr>
      <w:r>
        <w:rPr>
          <w:rFonts w:ascii="Calibri" w:eastAsia="Calibri" w:hAnsi="Calibri" w:cs="Calibri"/>
          <w:b/>
          <w:bCs/>
          <w:color w:val="1A1A1A"/>
          <w:spacing w:val="16"/>
          <w:sz w:val="23"/>
          <w:szCs w:val="23"/>
        </w:rPr>
        <w:t>2.4. La chaîne législative de la fin de vie — les cinq paliers</w:t>
      </w:r>
    </w:p>
    <w:tbl>
      <w:tblPr>
        <w:tblW w:w="5000" w:type="pct"/>
        <w:tblBorders>
          <w:top w:val="single" w:sz="2" w:space="0" w:color="C9C0B6"/>
          <w:left w:val="single" w:sz="2" w:space="0" w:color="C9C0B6"/>
          <w:bottom w:val="single" w:sz="2" w:space="0" w:color="C9C0B6"/>
          <w:right w:val="single" w:sz="2" w:space="0" w:color="C9C0B6"/>
          <w:insideH w:val="single" w:sz="2" w:space="0" w:color="DCD5CC"/>
          <w:insideV w:val="single" w:sz="2" w:space="0" w:color="DCD5CC"/>
        </w:tblBorders>
        <w:tblCellMar>
          <w:left w:w="10" w:type="dxa"/>
          <w:right w:w="10" w:type="dxa"/>
        </w:tblCellMar>
        <w:tblLook w:val="04A0" w:firstRow="1" w:lastRow="0" w:firstColumn="1" w:lastColumn="0" w:noHBand="0" w:noVBand="1"/>
      </w:tblPr>
      <w:tblGrid>
        <w:gridCol w:w="3248"/>
        <w:gridCol w:w="3249"/>
        <w:gridCol w:w="3249"/>
      </w:tblGrid>
      <w:tr w:rsidR="00B13F99" w14:paraId="3DA44248" w14:textId="77777777">
        <w:tblPrEx>
          <w:tblCellMar>
            <w:top w:w="0" w:type="dxa"/>
            <w:bottom w:w="0" w:type="dxa"/>
          </w:tblCellMar>
        </w:tblPrEx>
        <w:trPr>
          <w:tblHeader/>
        </w:trPr>
        <w:tc>
          <w:tcPr>
            <w:tcW w:w="1650" w:type="pct"/>
            <w:shd w:val="clear" w:color="auto" w:fill="F2E9EA"/>
            <w:tcMar>
              <w:top w:w="60" w:type="dxa"/>
              <w:left w:w="90" w:type="dxa"/>
              <w:bottom w:w="60" w:type="dxa"/>
              <w:right w:w="90" w:type="dxa"/>
            </w:tcMar>
          </w:tcPr>
          <w:p w14:paraId="2F11EAD2" w14:textId="77777777" w:rsidR="00B13F99" w:rsidRDefault="00000000">
            <w:r>
              <w:rPr>
                <w:rFonts w:ascii="Calibri" w:eastAsia="Calibri" w:hAnsi="Calibri" w:cs="Calibri"/>
                <w:b/>
                <w:bCs/>
                <w:color w:val="1A1A1A"/>
                <w:sz w:val="17"/>
                <w:szCs w:val="17"/>
              </w:rPr>
              <w:t>Texte</w:t>
            </w:r>
          </w:p>
        </w:tc>
        <w:tc>
          <w:tcPr>
            <w:tcW w:w="1650" w:type="pct"/>
            <w:shd w:val="clear" w:color="auto" w:fill="F2E9EA"/>
            <w:tcMar>
              <w:top w:w="60" w:type="dxa"/>
              <w:left w:w="90" w:type="dxa"/>
              <w:bottom w:w="60" w:type="dxa"/>
              <w:right w:w="90" w:type="dxa"/>
            </w:tcMar>
          </w:tcPr>
          <w:p w14:paraId="5D6A4CEF" w14:textId="77777777" w:rsidR="00B13F99" w:rsidRDefault="00000000">
            <w:r>
              <w:rPr>
                <w:rFonts w:ascii="Calibri" w:eastAsia="Calibri" w:hAnsi="Calibri" w:cs="Calibri"/>
                <w:b/>
                <w:bCs/>
                <w:color w:val="1A1A1A"/>
                <w:sz w:val="17"/>
                <w:szCs w:val="17"/>
              </w:rPr>
              <w:t>Apport</w:t>
            </w:r>
          </w:p>
        </w:tc>
        <w:tc>
          <w:tcPr>
            <w:tcW w:w="1650" w:type="pct"/>
            <w:shd w:val="clear" w:color="auto" w:fill="F2E9EA"/>
            <w:tcMar>
              <w:top w:w="60" w:type="dxa"/>
              <w:left w:w="90" w:type="dxa"/>
              <w:bottom w:w="60" w:type="dxa"/>
              <w:right w:w="90" w:type="dxa"/>
            </w:tcMar>
          </w:tcPr>
          <w:p w14:paraId="52165413" w14:textId="77777777" w:rsidR="00B13F99" w:rsidRDefault="00000000">
            <w:r>
              <w:rPr>
                <w:rFonts w:ascii="Calibri" w:eastAsia="Calibri" w:hAnsi="Calibri" w:cs="Calibri"/>
                <w:b/>
                <w:bCs/>
                <w:color w:val="1A1A1A"/>
                <w:sz w:val="17"/>
                <w:szCs w:val="17"/>
              </w:rPr>
              <w:t>Ce qu’il ne fait pas</w:t>
            </w:r>
          </w:p>
        </w:tc>
      </w:tr>
      <w:tr w:rsidR="00B13F99" w14:paraId="08ED00A5" w14:textId="77777777">
        <w:tblPrEx>
          <w:tblCellMar>
            <w:top w:w="0" w:type="dxa"/>
            <w:bottom w:w="0" w:type="dxa"/>
          </w:tblCellMar>
        </w:tblPrEx>
        <w:tc>
          <w:tcPr>
            <w:tcW w:w="1650" w:type="pct"/>
            <w:tcMar>
              <w:top w:w="60" w:type="dxa"/>
              <w:left w:w="90" w:type="dxa"/>
              <w:bottom w:w="60" w:type="dxa"/>
              <w:right w:w="90" w:type="dxa"/>
            </w:tcMar>
          </w:tcPr>
          <w:p w14:paraId="618F94C7" w14:textId="77777777" w:rsidR="00B13F99" w:rsidRDefault="00000000">
            <w:r>
              <w:rPr>
                <w:rFonts w:ascii="Calibri" w:eastAsia="Calibri" w:hAnsi="Calibri" w:cs="Calibri"/>
                <w:color w:val="1A1A1A"/>
                <w:sz w:val="17"/>
                <w:szCs w:val="17"/>
              </w:rPr>
              <w:t>Loi n° 99-477 du 9 juin 1999</w:t>
            </w:r>
          </w:p>
        </w:tc>
        <w:tc>
          <w:tcPr>
            <w:tcW w:w="1650" w:type="pct"/>
            <w:tcMar>
              <w:top w:w="60" w:type="dxa"/>
              <w:left w:w="90" w:type="dxa"/>
              <w:bottom w:w="60" w:type="dxa"/>
              <w:right w:w="90" w:type="dxa"/>
            </w:tcMar>
          </w:tcPr>
          <w:p w14:paraId="5C4B8137" w14:textId="77777777" w:rsidR="00B13F99" w:rsidRDefault="00000000">
            <w:r>
              <w:rPr>
                <w:rFonts w:ascii="Calibri" w:eastAsia="Calibri" w:hAnsi="Calibri" w:cs="Calibri"/>
                <w:color w:val="1A1A1A"/>
                <w:sz w:val="17"/>
                <w:szCs w:val="17"/>
              </w:rPr>
              <w:t>Garantit l’accès aux soins palliatifs.</w:t>
            </w:r>
          </w:p>
        </w:tc>
        <w:tc>
          <w:tcPr>
            <w:tcW w:w="1650" w:type="pct"/>
            <w:tcMar>
              <w:top w:w="60" w:type="dxa"/>
              <w:left w:w="90" w:type="dxa"/>
              <w:bottom w:w="60" w:type="dxa"/>
              <w:right w:w="90" w:type="dxa"/>
            </w:tcMar>
          </w:tcPr>
          <w:p w14:paraId="57A8FC89" w14:textId="77777777" w:rsidR="00B13F99" w:rsidRDefault="00000000">
            <w:r>
              <w:rPr>
                <w:rFonts w:ascii="Calibri" w:eastAsia="Calibri" w:hAnsi="Calibri" w:cs="Calibri"/>
                <w:color w:val="1A1A1A"/>
                <w:sz w:val="17"/>
                <w:szCs w:val="17"/>
              </w:rPr>
              <w:t>Ne donne aucun moyen ; droit proclamé sans effectivité.</w:t>
            </w:r>
          </w:p>
        </w:tc>
      </w:tr>
      <w:tr w:rsidR="00B13F99" w14:paraId="7271BEC8" w14:textId="77777777">
        <w:tblPrEx>
          <w:tblCellMar>
            <w:top w:w="0" w:type="dxa"/>
            <w:bottom w:w="0" w:type="dxa"/>
          </w:tblCellMar>
        </w:tblPrEx>
        <w:tc>
          <w:tcPr>
            <w:tcW w:w="1650" w:type="pct"/>
            <w:tcMar>
              <w:top w:w="60" w:type="dxa"/>
              <w:left w:w="90" w:type="dxa"/>
              <w:bottom w:w="60" w:type="dxa"/>
              <w:right w:w="90" w:type="dxa"/>
            </w:tcMar>
          </w:tcPr>
          <w:p w14:paraId="073E6A80" w14:textId="77777777" w:rsidR="00B13F99" w:rsidRDefault="00000000">
            <w:r>
              <w:rPr>
                <w:rFonts w:ascii="Calibri" w:eastAsia="Calibri" w:hAnsi="Calibri" w:cs="Calibri"/>
                <w:color w:val="1A1A1A"/>
                <w:sz w:val="17"/>
                <w:szCs w:val="17"/>
              </w:rPr>
              <w:t>Loi n° 2002-303 du 4 mars 2002 (Kouchner)</w:t>
            </w:r>
          </w:p>
        </w:tc>
        <w:tc>
          <w:tcPr>
            <w:tcW w:w="1650" w:type="pct"/>
            <w:tcMar>
              <w:top w:w="60" w:type="dxa"/>
              <w:left w:w="90" w:type="dxa"/>
              <w:bottom w:w="60" w:type="dxa"/>
              <w:right w:w="90" w:type="dxa"/>
            </w:tcMar>
          </w:tcPr>
          <w:p w14:paraId="00885897" w14:textId="77777777" w:rsidR="00B13F99" w:rsidRDefault="00000000">
            <w:r>
              <w:rPr>
                <w:rFonts w:ascii="Calibri" w:eastAsia="Calibri" w:hAnsi="Calibri" w:cs="Calibri"/>
                <w:color w:val="1A1A1A"/>
                <w:sz w:val="17"/>
                <w:szCs w:val="17"/>
              </w:rPr>
              <w:t>Fait du consentement le pivot : nul acte médical sans l’accord du patient, qui peut refuser un traitement.</w:t>
            </w:r>
          </w:p>
        </w:tc>
        <w:tc>
          <w:tcPr>
            <w:tcW w:w="1650" w:type="pct"/>
            <w:tcMar>
              <w:top w:w="60" w:type="dxa"/>
              <w:left w:w="90" w:type="dxa"/>
              <w:bottom w:w="60" w:type="dxa"/>
              <w:right w:w="90" w:type="dxa"/>
            </w:tcMar>
          </w:tcPr>
          <w:p w14:paraId="09BB5327" w14:textId="77777777" w:rsidR="00B13F99" w:rsidRDefault="00000000">
            <w:r>
              <w:rPr>
                <w:rFonts w:ascii="Calibri" w:eastAsia="Calibri" w:hAnsi="Calibri" w:cs="Calibri"/>
                <w:color w:val="1A1A1A"/>
                <w:sz w:val="17"/>
                <w:szCs w:val="17"/>
              </w:rPr>
              <w:t>Ne dit rien de l’arrêt des traitements chez le patient hors d’état de s’exprimer.</w:t>
            </w:r>
          </w:p>
        </w:tc>
      </w:tr>
      <w:tr w:rsidR="00B13F99" w14:paraId="10552041" w14:textId="77777777">
        <w:tblPrEx>
          <w:tblCellMar>
            <w:top w:w="0" w:type="dxa"/>
            <w:bottom w:w="0" w:type="dxa"/>
          </w:tblCellMar>
        </w:tblPrEx>
        <w:tc>
          <w:tcPr>
            <w:tcW w:w="1650" w:type="pct"/>
            <w:tcMar>
              <w:top w:w="60" w:type="dxa"/>
              <w:left w:w="90" w:type="dxa"/>
              <w:bottom w:w="60" w:type="dxa"/>
              <w:right w:w="90" w:type="dxa"/>
            </w:tcMar>
          </w:tcPr>
          <w:p w14:paraId="10B0EC2B" w14:textId="77777777" w:rsidR="00B13F99" w:rsidRDefault="00000000">
            <w:r>
              <w:rPr>
                <w:rFonts w:ascii="Calibri" w:eastAsia="Calibri" w:hAnsi="Calibri" w:cs="Calibri"/>
                <w:color w:val="1A1A1A"/>
                <w:sz w:val="17"/>
                <w:szCs w:val="17"/>
              </w:rPr>
              <w:t>Loi n° 2005-370 du 22 avril 2005 (Leonetti)</w:t>
            </w:r>
          </w:p>
        </w:tc>
        <w:tc>
          <w:tcPr>
            <w:tcW w:w="1650" w:type="pct"/>
            <w:tcMar>
              <w:top w:w="60" w:type="dxa"/>
              <w:left w:w="90" w:type="dxa"/>
              <w:bottom w:w="60" w:type="dxa"/>
              <w:right w:w="90" w:type="dxa"/>
            </w:tcMar>
          </w:tcPr>
          <w:p w14:paraId="6E60DFE5" w14:textId="77777777" w:rsidR="00B13F99" w:rsidRDefault="00000000">
            <w:r>
              <w:rPr>
                <w:rFonts w:ascii="Calibri" w:eastAsia="Calibri" w:hAnsi="Calibri" w:cs="Calibri"/>
                <w:color w:val="1A1A1A"/>
                <w:sz w:val="17"/>
                <w:szCs w:val="17"/>
              </w:rPr>
              <w:t>Prohibe l’obstination déraisonnable ; autorise l’abstention thérapeutique.</w:t>
            </w:r>
          </w:p>
        </w:tc>
        <w:tc>
          <w:tcPr>
            <w:tcW w:w="1650" w:type="pct"/>
            <w:tcMar>
              <w:top w:w="60" w:type="dxa"/>
              <w:left w:w="90" w:type="dxa"/>
              <w:bottom w:w="60" w:type="dxa"/>
              <w:right w:w="90" w:type="dxa"/>
            </w:tcMar>
          </w:tcPr>
          <w:p w14:paraId="157A4FD3" w14:textId="77777777" w:rsidR="00B13F99" w:rsidRDefault="00000000">
            <w:r>
              <w:rPr>
                <w:rFonts w:ascii="Calibri" w:eastAsia="Calibri" w:hAnsi="Calibri" w:cs="Calibri"/>
                <w:color w:val="1A1A1A"/>
                <w:sz w:val="17"/>
                <w:szCs w:val="17"/>
              </w:rPr>
              <w:t>Distingue le laisser-mourir du faire-mourir, et s’arrête à cette frontière.</w:t>
            </w:r>
          </w:p>
        </w:tc>
      </w:tr>
      <w:tr w:rsidR="00B13F99" w14:paraId="56DE5137" w14:textId="77777777">
        <w:tblPrEx>
          <w:tblCellMar>
            <w:top w:w="0" w:type="dxa"/>
            <w:bottom w:w="0" w:type="dxa"/>
          </w:tblCellMar>
        </w:tblPrEx>
        <w:tc>
          <w:tcPr>
            <w:tcW w:w="1650" w:type="pct"/>
            <w:tcMar>
              <w:top w:w="60" w:type="dxa"/>
              <w:left w:w="90" w:type="dxa"/>
              <w:bottom w:w="60" w:type="dxa"/>
              <w:right w:w="90" w:type="dxa"/>
            </w:tcMar>
          </w:tcPr>
          <w:p w14:paraId="2CC325D8" w14:textId="77777777" w:rsidR="00B13F99" w:rsidRDefault="00000000">
            <w:r>
              <w:rPr>
                <w:rFonts w:ascii="Calibri" w:eastAsia="Calibri" w:hAnsi="Calibri" w:cs="Calibri"/>
                <w:color w:val="1A1A1A"/>
                <w:sz w:val="17"/>
                <w:szCs w:val="17"/>
              </w:rPr>
              <w:t>Loi n° 2016-87 du 2 février 2016 (Claeys-Leonetti)</w:t>
            </w:r>
          </w:p>
        </w:tc>
        <w:tc>
          <w:tcPr>
            <w:tcW w:w="1650" w:type="pct"/>
            <w:tcMar>
              <w:top w:w="60" w:type="dxa"/>
              <w:left w:w="90" w:type="dxa"/>
              <w:bottom w:w="60" w:type="dxa"/>
              <w:right w:w="90" w:type="dxa"/>
            </w:tcMar>
          </w:tcPr>
          <w:p w14:paraId="558FAD34" w14:textId="77777777" w:rsidR="00B13F99" w:rsidRDefault="00000000">
            <w:r>
              <w:rPr>
                <w:rFonts w:ascii="Calibri" w:eastAsia="Calibri" w:hAnsi="Calibri" w:cs="Calibri"/>
                <w:color w:val="1A1A1A"/>
                <w:sz w:val="17"/>
                <w:szCs w:val="17"/>
              </w:rPr>
              <w:t>Crée la sédation profonde et continue jusqu’au décès ; rend les directives anticipées contraignantes.</w:t>
            </w:r>
          </w:p>
        </w:tc>
        <w:tc>
          <w:tcPr>
            <w:tcW w:w="1650" w:type="pct"/>
            <w:tcMar>
              <w:top w:w="60" w:type="dxa"/>
              <w:left w:w="90" w:type="dxa"/>
              <w:bottom w:w="60" w:type="dxa"/>
              <w:right w:w="90" w:type="dxa"/>
            </w:tcMar>
          </w:tcPr>
          <w:p w14:paraId="03F486A6" w14:textId="77777777" w:rsidR="00B13F99" w:rsidRDefault="00000000">
            <w:r>
              <w:rPr>
                <w:rFonts w:ascii="Calibri" w:eastAsia="Calibri" w:hAnsi="Calibri" w:cs="Calibri"/>
                <w:color w:val="1A1A1A"/>
                <w:sz w:val="17"/>
                <w:szCs w:val="17"/>
              </w:rPr>
              <w:t>Déplace la frontière sans la franchir : l’intention reste de soulager.</w:t>
            </w:r>
          </w:p>
        </w:tc>
      </w:tr>
      <w:tr w:rsidR="00B13F99" w14:paraId="2AACC8FE" w14:textId="77777777">
        <w:tblPrEx>
          <w:tblCellMar>
            <w:top w:w="0" w:type="dxa"/>
            <w:bottom w:w="0" w:type="dxa"/>
          </w:tblCellMar>
        </w:tblPrEx>
        <w:tc>
          <w:tcPr>
            <w:tcW w:w="1650" w:type="pct"/>
            <w:tcMar>
              <w:top w:w="60" w:type="dxa"/>
              <w:left w:w="90" w:type="dxa"/>
              <w:bottom w:w="60" w:type="dxa"/>
              <w:right w:w="90" w:type="dxa"/>
            </w:tcMar>
          </w:tcPr>
          <w:p w14:paraId="29DE8CB0" w14:textId="77777777" w:rsidR="00B13F99" w:rsidRDefault="00000000">
            <w:r>
              <w:rPr>
                <w:rFonts w:ascii="Calibri" w:eastAsia="Calibri" w:hAnsi="Calibri" w:cs="Calibri"/>
                <w:color w:val="1A1A1A"/>
                <w:sz w:val="17"/>
                <w:szCs w:val="17"/>
              </w:rPr>
              <w:t>Loi n° 2026-794 du 18 août 2026</w:t>
            </w:r>
          </w:p>
        </w:tc>
        <w:tc>
          <w:tcPr>
            <w:tcW w:w="1650" w:type="pct"/>
            <w:tcMar>
              <w:top w:w="60" w:type="dxa"/>
              <w:left w:w="90" w:type="dxa"/>
              <w:bottom w:w="60" w:type="dxa"/>
              <w:right w:w="90" w:type="dxa"/>
            </w:tcMar>
          </w:tcPr>
          <w:p w14:paraId="59C81061" w14:textId="77777777" w:rsidR="00B13F99" w:rsidRDefault="00000000">
            <w:r>
              <w:rPr>
                <w:rFonts w:ascii="Calibri" w:eastAsia="Calibri" w:hAnsi="Calibri" w:cs="Calibri"/>
                <w:color w:val="1A1A1A"/>
                <w:sz w:val="17"/>
                <w:szCs w:val="17"/>
              </w:rPr>
              <w:t>Crée le droit à l’aide à mourir — art. L. 1111-12-1 et L. 1111-12-2 CSP.</w:t>
            </w:r>
          </w:p>
        </w:tc>
        <w:tc>
          <w:tcPr>
            <w:tcW w:w="1650" w:type="pct"/>
            <w:tcMar>
              <w:top w:w="60" w:type="dxa"/>
              <w:left w:w="90" w:type="dxa"/>
              <w:bottom w:w="60" w:type="dxa"/>
              <w:right w:w="90" w:type="dxa"/>
            </w:tcMar>
          </w:tcPr>
          <w:p w14:paraId="6B294E46" w14:textId="77777777" w:rsidR="00B13F99" w:rsidRDefault="00000000">
            <w:r>
              <w:rPr>
                <w:rFonts w:ascii="Calibri" w:eastAsia="Calibri" w:hAnsi="Calibri" w:cs="Calibri"/>
                <w:color w:val="1A1A1A"/>
                <w:sz w:val="17"/>
                <w:szCs w:val="17"/>
              </w:rPr>
              <w:t>Franchit la frontière de l’intention, mais suspend son application à des décrets non publiés.</w:t>
            </w:r>
          </w:p>
        </w:tc>
      </w:tr>
    </w:tbl>
    <w:p w14:paraId="41A791F6" w14:textId="77777777" w:rsidR="00B13F99" w:rsidRDefault="00B13F99">
      <w:pPr>
        <w:spacing w:after="120"/>
      </w:pPr>
    </w:p>
    <w:p w14:paraId="2551E3F7" w14:textId="77777777" w:rsidR="00FB5E40" w:rsidRDefault="00FB5E40">
      <w:pPr>
        <w:spacing w:after="120"/>
      </w:pPr>
    </w:p>
    <w:p w14:paraId="009D05FA" w14:textId="77777777" w:rsidR="00FB5E40" w:rsidRDefault="00FB5E40">
      <w:pPr>
        <w:spacing w:after="120"/>
      </w:pPr>
    </w:p>
    <w:p w14:paraId="54977477"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lastRenderedPageBreak/>
        <w:t>3. LA LIGNE PRÉTORIENNE</w:t>
      </w:r>
    </w:p>
    <w:p w14:paraId="515BDADC" w14:textId="77777777" w:rsidR="00B13F99" w:rsidRDefault="00000000">
      <w:pPr>
        <w:pStyle w:val="Titre2"/>
        <w:spacing w:before="260" w:after="110"/>
      </w:pPr>
      <w:r>
        <w:rPr>
          <w:rFonts w:ascii="Calibri" w:eastAsia="Calibri" w:hAnsi="Calibri" w:cs="Calibri"/>
          <w:b/>
          <w:bCs/>
          <w:color w:val="1A1A1A"/>
          <w:spacing w:val="16"/>
          <w:sz w:val="23"/>
          <w:szCs w:val="23"/>
        </w:rPr>
        <w:t>3.1. Le contenu de l’obligation européenne</w:t>
      </w:r>
    </w:p>
    <w:p w14:paraId="4BE81DC3" w14:textId="77777777" w:rsidR="00B13F99" w:rsidRDefault="00000000">
      <w:pPr>
        <w:pStyle w:val="Paragraphedeliste"/>
        <w:numPr>
          <w:ilvl w:val="0"/>
          <w:numId w:val="2"/>
        </w:numPr>
        <w:spacing w:after="70" w:line="264" w:lineRule="auto"/>
        <w:jc w:val="both"/>
      </w:pPr>
      <w:r>
        <w:rPr>
          <w:rFonts w:ascii="Calibri" w:eastAsia="Calibri" w:hAnsi="Calibri" w:cs="Calibri"/>
          <w:color w:val="E91E63"/>
        </w:rPr>
        <w:t>CEDH [GC], 27 septembre 1995, McCann et autres c. Royaume-Uni, n° 18984/91</w:t>
      </w:r>
      <w:r>
        <w:rPr>
          <w:rFonts w:ascii="Calibri" w:eastAsia="Calibri" w:hAnsi="Calibri" w:cs="Calibri"/>
          <w:color w:val="1A1A1A"/>
        </w:rPr>
        <w:t xml:space="preserve"> — arrêt matriciel. Il pose le contrôle de la « nécessité absolue » du recours à la force meurtrière et, surtout, </w:t>
      </w:r>
      <w:r>
        <w:rPr>
          <w:rFonts w:ascii="Calibri" w:eastAsia="Calibri" w:hAnsi="Calibri" w:cs="Calibri"/>
          <w:b/>
          <w:bCs/>
          <w:color w:val="1A1A1A"/>
        </w:rPr>
        <w:t>dégage le volet procédural de l’article 2</w:t>
      </w:r>
      <w:r>
        <w:rPr>
          <w:rFonts w:ascii="Calibri" w:eastAsia="Calibri" w:hAnsi="Calibri" w:cs="Calibri"/>
          <w:color w:val="1A1A1A"/>
        </w:rPr>
        <w:t xml:space="preserve"> : l’État doit conduire une enquête effective et indépendante sur tout décès causé par la force. C’est aussi le premier constat de violation de l’article 2 dans l’histoire de la Cour.</w:t>
      </w:r>
    </w:p>
    <w:p w14:paraId="22CA94A3" w14:textId="77777777" w:rsidR="00B13F99" w:rsidRDefault="00000000">
      <w:pPr>
        <w:pStyle w:val="Paragraphedeliste"/>
        <w:numPr>
          <w:ilvl w:val="0"/>
          <w:numId w:val="2"/>
        </w:numPr>
        <w:spacing w:after="70" w:line="264" w:lineRule="auto"/>
        <w:jc w:val="both"/>
      </w:pPr>
      <w:r>
        <w:rPr>
          <w:rFonts w:ascii="Calibri" w:eastAsia="Calibri" w:hAnsi="Calibri" w:cs="Calibri"/>
          <w:color w:val="E91E63"/>
        </w:rPr>
        <w:t xml:space="preserve">CEDH [GC], 22 mars 2001, </w:t>
      </w:r>
      <w:proofErr w:type="spellStart"/>
      <w:r>
        <w:rPr>
          <w:rFonts w:ascii="Calibri" w:eastAsia="Calibri" w:hAnsi="Calibri" w:cs="Calibri"/>
          <w:color w:val="E91E63"/>
        </w:rPr>
        <w:t>Streletz</w:t>
      </w:r>
      <w:proofErr w:type="spellEnd"/>
      <w:r>
        <w:rPr>
          <w:rFonts w:ascii="Calibri" w:eastAsia="Calibri" w:hAnsi="Calibri" w:cs="Calibri"/>
          <w:color w:val="E91E63"/>
        </w:rPr>
        <w:t>, Kessler et Krenz c. Allemagne, n° 34044/96</w:t>
      </w:r>
      <w:r>
        <w:rPr>
          <w:rFonts w:ascii="Calibri" w:eastAsia="Calibri" w:hAnsi="Calibri" w:cs="Calibri"/>
          <w:color w:val="1A1A1A"/>
        </w:rPr>
        <w:t xml:space="preserve"> — le droit à la vie « constitue un attribut inaliénable de la personne humaine » et « forme la valeur suprême dans l’échelle des droits de l’homme ».</w:t>
      </w:r>
    </w:p>
    <w:p w14:paraId="50B5000A" w14:textId="77777777" w:rsidR="00B13F99" w:rsidRDefault="00000000">
      <w:pPr>
        <w:pStyle w:val="Paragraphedeliste"/>
        <w:numPr>
          <w:ilvl w:val="0"/>
          <w:numId w:val="2"/>
        </w:numPr>
        <w:spacing w:after="70" w:line="264" w:lineRule="auto"/>
        <w:jc w:val="both"/>
      </w:pPr>
      <w:r>
        <w:rPr>
          <w:rFonts w:ascii="Calibri" w:eastAsia="Calibri" w:hAnsi="Calibri" w:cs="Calibri"/>
          <w:color w:val="E91E63"/>
        </w:rPr>
        <w:t>CEDH, 28 octobre 1998, Osman c. Royaume-Uni, n° 23452/94</w:t>
      </w:r>
      <w:r>
        <w:rPr>
          <w:rFonts w:ascii="Calibri" w:eastAsia="Calibri" w:hAnsi="Calibri" w:cs="Calibri"/>
          <w:color w:val="1A1A1A"/>
        </w:rPr>
        <w:t xml:space="preserve"> — </w:t>
      </w:r>
      <w:r>
        <w:rPr>
          <w:rFonts w:ascii="Calibri" w:eastAsia="Calibri" w:hAnsi="Calibri" w:cs="Calibri"/>
          <w:b/>
          <w:bCs/>
          <w:color w:val="1A1A1A"/>
        </w:rPr>
        <w:t>l’obligation positive de protection contre les atteintes du fait d’autrui</w:t>
      </w:r>
      <w:r>
        <w:rPr>
          <w:rFonts w:ascii="Calibri" w:eastAsia="Calibri" w:hAnsi="Calibri" w:cs="Calibri"/>
          <w:color w:val="1A1A1A"/>
        </w:rPr>
        <w:t xml:space="preserve"> : elle naît lorsque les autorités savaient ou auraient dû savoir qu’existait un risque réel et immédiat pour la vie d’un individu identifié. Elle ne doit pas imposer aux autorités un fardeau insupportable ou excessif.</w:t>
      </w:r>
    </w:p>
    <w:p w14:paraId="4ACF5CC5" w14:textId="77777777" w:rsidR="00B13F99" w:rsidRDefault="00000000">
      <w:pPr>
        <w:pStyle w:val="Paragraphedeliste"/>
        <w:numPr>
          <w:ilvl w:val="0"/>
          <w:numId w:val="2"/>
        </w:numPr>
        <w:spacing w:after="70" w:line="264" w:lineRule="auto"/>
        <w:jc w:val="both"/>
      </w:pPr>
      <w:r>
        <w:rPr>
          <w:rFonts w:ascii="Calibri" w:eastAsia="Calibri" w:hAnsi="Calibri" w:cs="Calibri"/>
          <w:color w:val="E91E63"/>
        </w:rPr>
        <w:t>CEDH [GC], 30 novembre 2004, Öneryıldız c. Turquie, n° 48939/99</w:t>
      </w:r>
      <w:r>
        <w:rPr>
          <w:rFonts w:ascii="Calibri" w:eastAsia="Calibri" w:hAnsi="Calibri" w:cs="Calibri"/>
          <w:color w:val="1A1A1A"/>
        </w:rPr>
        <w:t xml:space="preserve"> — l’obligation positive s’étend aux activités dangereuses et aux risques environnementaux ; prolongée par </w:t>
      </w:r>
      <w:r>
        <w:rPr>
          <w:rFonts w:ascii="Calibri" w:eastAsia="Calibri" w:hAnsi="Calibri" w:cs="Calibri"/>
          <w:color w:val="E91E63"/>
        </w:rPr>
        <w:t>CEDH, 30 janvier 2025, Cannavacciuolo et autres c. Italie, nos 51567/14, 39742/14, 74208/14 et 24215/15</w:t>
      </w:r>
      <w:r>
        <w:rPr>
          <w:rFonts w:ascii="Calibri" w:eastAsia="Calibri" w:hAnsi="Calibri" w:cs="Calibri"/>
          <w:color w:val="1A1A1A"/>
        </w:rPr>
        <w:t xml:space="preserve"> (arrêt pilote, « Terre des feux »).</w:t>
      </w:r>
    </w:p>
    <w:p w14:paraId="1026C2F1" w14:textId="77777777" w:rsidR="00B13F99" w:rsidRDefault="00000000">
      <w:pPr>
        <w:pStyle w:val="Paragraphedeliste"/>
        <w:numPr>
          <w:ilvl w:val="0"/>
          <w:numId w:val="2"/>
        </w:numPr>
        <w:spacing w:after="70" w:line="264" w:lineRule="auto"/>
        <w:jc w:val="both"/>
      </w:pPr>
      <w:r>
        <w:rPr>
          <w:rFonts w:ascii="Calibri" w:eastAsia="Calibri" w:hAnsi="Calibri" w:cs="Calibri"/>
          <w:color w:val="E91E63"/>
        </w:rPr>
        <w:t>CEDH [GC], 8 juillet 2004, Vo c. France, n° 53924/00</w:t>
      </w:r>
      <w:r>
        <w:rPr>
          <w:rFonts w:ascii="Calibri" w:eastAsia="Calibri" w:hAnsi="Calibri" w:cs="Calibri"/>
          <w:color w:val="1A1A1A"/>
        </w:rPr>
        <w:t xml:space="preserve"> — l’embryon ne peut se prévaloir du droit à la vie ; la détermination du point de départ de la protection relève de la marge nationale d’appréciation. Utile pour montrer que </w:t>
      </w:r>
      <w:r>
        <w:rPr>
          <w:rFonts w:ascii="Calibri" w:eastAsia="Calibri" w:hAnsi="Calibri" w:cs="Calibri"/>
          <w:b/>
          <w:bCs/>
          <w:color w:val="1A1A1A"/>
        </w:rPr>
        <w:t>l’article 2 ne dit ni quand la vie commence, ni quand elle peut s’arrêter</w:t>
      </w:r>
      <w:r>
        <w:rPr>
          <w:rFonts w:ascii="Calibri" w:eastAsia="Calibri" w:hAnsi="Calibri" w:cs="Calibri"/>
          <w:color w:val="1A1A1A"/>
        </w:rPr>
        <w:t>.</w:t>
      </w:r>
    </w:p>
    <w:p w14:paraId="3A115511" w14:textId="77777777" w:rsidR="00B13F99" w:rsidRDefault="00000000">
      <w:pPr>
        <w:pStyle w:val="Titre2"/>
        <w:spacing w:before="260" w:after="110"/>
      </w:pPr>
      <w:r>
        <w:rPr>
          <w:rFonts w:ascii="Calibri" w:eastAsia="Calibri" w:hAnsi="Calibri" w:cs="Calibri"/>
          <w:b/>
          <w:bCs/>
          <w:color w:val="1A1A1A"/>
          <w:spacing w:val="16"/>
          <w:sz w:val="23"/>
          <w:szCs w:val="23"/>
        </w:rPr>
        <w:t>3.2. Le refus européen d’un droit de mourir</w:t>
      </w:r>
    </w:p>
    <w:p w14:paraId="45F94BE3"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29 avril 2002, Pretty c. Royaume-Uni, n° 2346/02</w:t>
      </w:r>
      <w:r>
        <w:rPr>
          <w:rFonts w:ascii="Calibri" w:eastAsia="Calibri" w:hAnsi="Calibri" w:cs="Calibri"/>
          <w:color w:val="1A1A1A"/>
        </w:rPr>
        <w:t xml:space="preserve"> — l’article 2 « ne saurait, sans distorsion de langage, être interprété comme conférant un droit diamétralement opposé, à savoir un droit à mourir ». La Cour juge en revanche, au § 65, que le refus opposé à la requérante entre dans le champ de l’</w:t>
      </w:r>
      <w:r>
        <w:rPr>
          <w:rFonts w:ascii="Calibri" w:eastAsia="Calibri" w:hAnsi="Calibri" w:cs="Calibri"/>
          <w:color w:val="1E88E5"/>
        </w:rPr>
        <w:t>article 8</w:t>
      </w:r>
      <w:r>
        <w:rPr>
          <w:rFonts w:ascii="Calibri" w:eastAsia="Calibri" w:hAnsi="Calibri" w:cs="Calibri"/>
          <w:color w:val="1A1A1A"/>
        </w:rPr>
        <w:t xml:space="preserve">, sous l’angle de l’autonomie personnelle. </w:t>
      </w:r>
      <w:r>
        <w:rPr>
          <w:rFonts w:ascii="Calibri" w:eastAsia="Calibri" w:hAnsi="Calibri" w:cs="Calibri"/>
          <w:b/>
          <w:bCs/>
          <w:color w:val="1A1A1A"/>
        </w:rPr>
        <w:t>C’est le basculement à retenir : le droit de mourir est refusé sur l’article 2 et discuté sur l’article 8.</w:t>
      </w:r>
    </w:p>
    <w:p w14:paraId="07E10DB9" w14:textId="77777777" w:rsidR="00B13F99" w:rsidRDefault="00000000">
      <w:pPr>
        <w:pStyle w:val="Paragraphedeliste"/>
        <w:numPr>
          <w:ilvl w:val="0"/>
          <w:numId w:val="2"/>
        </w:numPr>
        <w:spacing w:after="70" w:line="264" w:lineRule="auto"/>
        <w:jc w:val="both"/>
      </w:pPr>
      <w:r>
        <w:rPr>
          <w:rFonts w:ascii="Calibri" w:eastAsia="Calibri" w:hAnsi="Calibri" w:cs="Calibri"/>
          <w:color w:val="E91E63"/>
        </w:rPr>
        <w:t>CEDH, 20 janvier 2011, Haas c. Suisse, n° 31322/07</w:t>
      </w:r>
      <w:r>
        <w:rPr>
          <w:rFonts w:ascii="Calibri" w:eastAsia="Calibri" w:hAnsi="Calibri" w:cs="Calibri"/>
          <w:color w:val="1A1A1A"/>
        </w:rPr>
        <w:t xml:space="preserve"> — le droit d’un individu de décider de quelle manière et à quel moment sa vie doit prendre fin entre dans le champ de l’article 8, mais les États conservent une ample marge pour en organiser ou en refuser l’exercice.</w:t>
      </w:r>
    </w:p>
    <w:p w14:paraId="5FD825E8"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13 juin 2024, Dániel Karsai c. Hongrie, n° 32312/23</w:t>
      </w:r>
      <w:r>
        <w:rPr>
          <w:rFonts w:ascii="Calibri" w:eastAsia="Calibri" w:hAnsi="Calibri" w:cs="Calibri"/>
          <w:color w:val="1A1A1A"/>
        </w:rPr>
        <w:t xml:space="preserve"> — confirmation la plus récente : pas de violation, </w:t>
      </w:r>
      <w:r>
        <w:rPr>
          <w:rFonts w:ascii="Calibri" w:eastAsia="Calibri" w:hAnsi="Calibri" w:cs="Calibri"/>
          <w:b/>
          <w:bCs/>
          <w:color w:val="1A1A1A"/>
        </w:rPr>
        <w:t>faute de consensus européen</w:t>
      </w:r>
      <w:r>
        <w:rPr>
          <w:rFonts w:ascii="Calibri" w:eastAsia="Calibri" w:hAnsi="Calibri" w:cs="Calibri"/>
          <w:color w:val="1A1A1A"/>
        </w:rPr>
        <w:t xml:space="preserve"> ; la Convention n’impose pas aux États d’ouvrir une aide médicale à mourir. Référence d’actualité qui vaut beaucoup plus cher que Pretty devant un jury en 2026.</w:t>
      </w:r>
    </w:p>
    <w:p w14:paraId="02331BDD" w14:textId="77777777" w:rsidR="00B13F99" w:rsidRDefault="00000000">
      <w:pPr>
        <w:pStyle w:val="Paragraphedeliste"/>
        <w:numPr>
          <w:ilvl w:val="0"/>
          <w:numId w:val="2"/>
        </w:numPr>
        <w:spacing w:after="70" w:line="264" w:lineRule="auto"/>
        <w:jc w:val="both"/>
      </w:pPr>
      <w:r>
        <w:rPr>
          <w:rFonts w:ascii="Calibri" w:eastAsia="Calibri" w:hAnsi="Calibri" w:cs="Calibri"/>
          <w:color w:val="E91E63"/>
        </w:rPr>
        <w:t>CEDH [GC], 5 juin 2015, Lambert et autres c. France, n° 46043/14</w:t>
      </w:r>
      <w:r>
        <w:rPr>
          <w:rFonts w:ascii="Calibri" w:eastAsia="Calibri" w:hAnsi="Calibri" w:cs="Calibri"/>
          <w:color w:val="1A1A1A"/>
        </w:rPr>
        <w:t xml:space="preserve"> — l’arrêt de l’alimentation et de l’hydratation artificielles, décidé selon le cadre législatif français, ne viole pas l’article 2. La Cour renvoie à la marge nationale d’appréciation et contrôle la qualité du cadre, non le choix.</w:t>
      </w:r>
    </w:p>
    <w:p w14:paraId="7DC093F2"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4 octobre 2022, Mortier c. Belgique, n° 78017/17</w:t>
      </w:r>
      <w:r>
        <w:rPr>
          <w:rFonts w:ascii="Calibri" w:eastAsia="Calibri" w:hAnsi="Calibri" w:cs="Calibri"/>
          <w:color w:val="1A1A1A"/>
        </w:rPr>
        <w:t xml:space="preserve"> — </w:t>
      </w:r>
      <w:r>
        <w:rPr>
          <w:rFonts w:ascii="Calibri" w:eastAsia="Calibri" w:hAnsi="Calibri" w:cs="Calibri"/>
          <w:b/>
          <w:bCs/>
          <w:color w:val="1A1A1A"/>
        </w:rPr>
        <w:t>la pièce la plus utile du dossier</w:t>
      </w:r>
      <w:r>
        <w:rPr>
          <w:rFonts w:ascii="Calibri" w:eastAsia="Calibri" w:hAnsi="Calibri" w:cs="Calibri"/>
          <w:color w:val="1A1A1A"/>
        </w:rPr>
        <w:t xml:space="preserve">. La Belgique est condamnée sur le seul </w:t>
      </w:r>
      <w:r>
        <w:rPr>
          <w:rFonts w:ascii="Calibri" w:eastAsia="Calibri" w:hAnsi="Calibri" w:cs="Calibri"/>
          <w:b/>
          <w:bCs/>
          <w:color w:val="1A1A1A"/>
        </w:rPr>
        <w:t>volet procédural</w:t>
      </w:r>
      <w:r>
        <w:rPr>
          <w:rFonts w:ascii="Calibri" w:eastAsia="Calibri" w:hAnsi="Calibri" w:cs="Calibri"/>
          <w:color w:val="1A1A1A"/>
        </w:rPr>
        <w:t xml:space="preserve"> de l’article 2 : le contrôle a posteriori exercé par la commission fédérale n’offrait pas de garanties d’indépendance suffisantes. L’État n’est pas jugé sur le principe qu’il retient, il est jugé sur le contrôle qu’il organise.</w:t>
      </w:r>
    </w:p>
    <w:p w14:paraId="5FF8A0A1" w14:textId="77777777" w:rsidR="00B13F99" w:rsidRDefault="00000000">
      <w:pPr>
        <w:pStyle w:val="Titre2"/>
        <w:spacing w:before="260" w:after="110"/>
      </w:pPr>
      <w:r>
        <w:rPr>
          <w:rFonts w:ascii="Calibri" w:eastAsia="Calibri" w:hAnsi="Calibri" w:cs="Calibri"/>
          <w:b/>
          <w:bCs/>
          <w:color w:val="1A1A1A"/>
          <w:spacing w:val="16"/>
          <w:sz w:val="23"/>
          <w:szCs w:val="23"/>
        </w:rPr>
        <w:t>3.3. La ligne interne</w:t>
      </w:r>
    </w:p>
    <w:p w14:paraId="603718AD" w14:textId="77777777" w:rsidR="00B13F99" w:rsidRDefault="00000000">
      <w:pPr>
        <w:pStyle w:val="Paragraphedeliste"/>
        <w:numPr>
          <w:ilvl w:val="0"/>
          <w:numId w:val="2"/>
        </w:numPr>
        <w:spacing w:after="70" w:line="264" w:lineRule="auto"/>
        <w:jc w:val="both"/>
      </w:pPr>
      <w:r>
        <w:rPr>
          <w:rFonts w:ascii="Calibri" w:eastAsia="Calibri" w:hAnsi="Calibri" w:cs="Calibri"/>
          <w:color w:val="E91E63"/>
        </w:rPr>
        <w:t>Cons. const., 15 janvier 1975, n° 74-54 DC, Loi relative à l’interruption volontaire de la grossesse</w:t>
      </w:r>
      <w:r>
        <w:rPr>
          <w:rFonts w:ascii="Calibri" w:eastAsia="Calibri" w:hAnsi="Calibri" w:cs="Calibri"/>
          <w:color w:val="1A1A1A"/>
        </w:rPr>
        <w:t xml:space="preserve"> — double apport : le Conseil refuse d’exercer un contrôle de conventionnalité, et il pose la formule du retrait, reprise mot pour mot en 2026 : il ne lui appartient pas « de substituer son appréciation à celle du législateur ».</w:t>
      </w:r>
    </w:p>
    <w:p w14:paraId="3CBA9D08"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27 juillet 1994, n° 94-343/344 DC, Lois bioéthiques</w:t>
      </w:r>
      <w:r>
        <w:rPr>
          <w:rFonts w:ascii="Calibri" w:eastAsia="Calibri" w:hAnsi="Calibri" w:cs="Calibri"/>
          <w:color w:val="1A1A1A"/>
        </w:rPr>
        <w:t xml:space="preserve"> — consécration du principe de sauvegarde de la dignité de la personne humaine contre toute forme d’asservissement et de dégradation, tiré du premier alinéa du </w:t>
      </w:r>
      <w:r>
        <w:rPr>
          <w:rFonts w:ascii="Calibri" w:eastAsia="Calibri" w:hAnsi="Calibri" w:cs="Calibri"/>
          <w:color w:val="1E88E5"/>
        </w:rPr>
        <w:t>Préambule de 1946</w:t>
      </w:r>
      <w:r>
        <w:rPr>
          <w:rFonts w:ascii="Calibri" w:eastAsia="Calibri" w:hAnsi="Calibri" w:cs="Calibri"/>
          <w:color w:val="1A1A1A"/>
        </w:rPr>
        <w:t>.</w:t>
      </w:r>
    </w:p>
    <w:p w14:paraId="5E27233B" w14:textId="77777777" w:rsidR="00B13F99" w:rsidRDefault="00000000">
      <w:pPr>
        <w:pStyle w:val="Paragraphedeliste"/>
        <w:numPr>
          <w:ilvl w:val="0"/>
          <w:numId w:val="2"/>
        </w:numPr>
        <w:spacing w:after="70" w:line="264" w:lineRule="auto"/>
        <w:jc w:val="both"/>
      </w:pPr>
      <w:r>
        <w:rPr>
          <w:rFonts w:ascii="Calibri" w:eastAsia="Calibri" w:hAnsi="Calibri" w:cs="Calibri"/>
          <w:color w:val="E91E63"/>
        </w:rPr>
        <w:t>CE, ass., 27 octobre 1995, Commune de Morsang-sur-Orge, n° 136727</w:t>
      </w:r>
      <w:r>
        <w:rPr>
          <w:rFonts w:ascii="Calibri" w:eastAsia="Calibri" w:hAnsi="Calibri" w:cs="Calibri"/>
          <w:color w:val="1A1A1A"/>
        </w:rPr>
        <w:t xml:space="preserve"> — le respect de la dignité est une composante de l’ordre public ; </w:t>
      </w:r>
      <w:r>
        <w:rPr>
          <w:rFonts w:ascii="Calibri" w:eastAsia="Calibri" w:hAnsi="Calibri" w:cs="Calibri"/>
          <w:b/>
          <w:bCs/>
          <w:color w:val="1A1A1A"/>
        </w:rPr>
        <w:t>le consentement de la personne est indifférent</w:t>
      </w:r>
      <w:r>
        <w:rPr>
          <w:rFonts w:ascii="Calibri" w:eastAsia="Calibri" w:hAnsi="Calibri" w:cs="Calibri"/>
          <w:color w:val="1A1A1A"/>
        </w:rPr>
        <w:t>. C’est la dignité-limite, opposable à la volonté individuelle.</w:t>
      </w:r>
    </w:p>
    <w:p w14:paraId="1E7F7AC8"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lastRenderedPageBreak/>
        <w:t xml:space="preserve">★ </w:t>
      </w:r>
      <w:r>
        <w:rPr>
          <w:rFonts w:ascii="Calibri" w:eastAsia="Calibri" w:hAnsi="Calibri" w:cs="Calibri"/>
          <w:color w:val="E91E63"/>
        </w:rPr>
        <w:t>CE, ass., 24 juin 2014, Mme Lambert et autres, n° 375081</w:t>
      </w:r>
      <w:r>
        <w:rPr>
          <w:rFonts w:ascii="Calibri" w:eastAsia="Calibri" w:hAnsi="Calibri" w:cs="Calibri"/>
          <w:color w:val="1A1A1A"/>
        </w:rPr>
        <w:t xml:space="preserve"> — l’arrêt des traitements relève de la procédure collégiale ; le juge du référé-liberté exerce un contrôle de plein contentieux, inédit pour ce type de référé.</w:t>
      </w:r>
    </w:p>
    <w:p w14:paraId="1B961729"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2 juin 2017, n° 2017-632 QPC, Union nationale des associations de familles de traumatisés crâniens et de cérébro-lésés</w:t>
      </w:r>
      <w:r>
        <w:rPr>
          <w:rFonts w:ascii="Calibri" w:eastAsia="Calibri" w:hAnsi="Calibri" w:cs="Calibri"/>
          <w:color w:val="1A1A1A"/>
        </w:rPr>
        <w:t xml:space="preserve"> — les dispositions de la loi Claeys-Leonetti sont conformes, </w:t>
      </w:r>
      <w:r>
        <w:rPr>
          <w:rFonts w:ascii="Calibri" w:eastAsia="Calibri" w:hAnsi="Calibri" w:cs="Calibri"/>
          <w:b/>
          <w:bCs/>
          <w:color w:val="1A1A1A"/>
        </w:rPr>
        <w:t>sous réserve</w:t>
      </w:r>
      <w:r>
        <w:rPr>
          <w:rFonts w:ascii="Calibri" w:eastAsia="Calibri" w:hAnsi="Calibri" w:cs="Calibri"/>
          <w:color w:val="1A1A1A"/>
        </w:rPr>
        <w:t xml:space="preserve"> de l’existence d’un recours effectif contre la décision d’arrêt des traitements. </w:t>
      </w:r>
      <w:r>
        <w:rPr>
          <w:rFonts w:ascii="Calibri" w:eastAsia="Calibri" w:hAnsi="Calibri" w:cs="Calibri"/>
          <w:b/>
          <w:bCs/>
          <w:color w:val="1A1A1A"/>
        </w:rPr>
        <w:t>Le Conseil accepte donc dès 2017 que la décision de fin de vie ne soit pas juridictionnelle ; il acceptera en 2026 qu’elle ne soit plus seulement médicale.</w:t>
      </w:r>
    </w:p>
    <w:p w14:paraId="680344D4" w14:textId="77777777" w:rsidR="00B13F99" w:rsidRDefault="00000000">
      <w:pPr>
        <w:pStyle w:val="Paragraphedeliste"/>
        <w:numPr>
          <w:ilvl w:val="0"/>
          <w:numId w:val="2"/>
        </w:numPr>
        <w:spacing w:after="70" w:line="264" w:lineRule="auto"/>
        <w:jc w:val="both"/>
      </w:pPr>
      <w:r>
        <w:rPr>
          <w:rFonts w:ascii="Calibri" w:eastAsia="Calibri" w:hAnsi="Calibri" w:cs="Calibri"/>
          <w:color w:val="E91E63"/>
        </w:rPr>
        <w:t>Cass., ass. plén., 3 juillet 2026, nos 24-50.028 et 24-50.029</w:t>
      </w:r>
      <w:r>
        <w:rPr>
          <w:rFonts w:ascii="Calibri" w:eastAsia="Calibri" w:hAnsi="Calibri" w:cs="Calibri"/>
          <w:color w:val="1A1A1A"/>
        </w:rPr>
        <w:t xml:space="preserve"> — la décision étrangère établissant la filiation d’un enfant né d’une gestation pour autrui peut être reconnue en France, sous réserve de garanties suffisantes et de l’intérêt supérieur de l’enfant. Hors sujet au sens strict, mais c’est l’arrêt que la fiche de culture juridique du séminaire visait : il illustre la </w:t>
      </w:r>
      <w:r>
        <w:rPr>
          <w:rFonts w:ascii="Calibri" w:eastAsia="Calibri" w:hAnsi="Calibri" w:cs="Calibri"/>
          <w:b/>
          <w:bCs/>
          <w:color w:val="1A1A1A"/>
        </w:rPr>
        <w:t>dissociation entre la licéité du procédé et les effets juridiques de la naissance</w:t>
      </w:r>
      <w:r>
        <w:rPr>
          <w:rFonts w:ascii="Calibri" w:eastAsia="Calibri" w:hAnsi="Calibri" w:cs="Calibri"/>
          <w:color w:val="1A1A1A"/>
        </w:rPr>
        <w:t>, et il peut servir d’exemple du recul de l’indisponibilité du corps humain.</w:t>
      </w:r>
    </w:p>
    <w:p w14:paraId="6074570D"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4. L’ACTUALITÉ DÉTERMINANTE — LE DIPTYQUE DE 2026</w:t>
      </w:r>
    </w:p>
    <w:p w14:paraId="6A3C65FC" w14:textId="77777777" w:rsidR="00B13F99" w:rsidRDefault="00000000">
      <w:pPr>
        <w:pStyle w:val="Titre2"/>
        <w:spacing w:before="260" w:after="110"/>
      </w:pPr>
      <w:r>
        <w:rPr>
          <w:rFonts w:ascii="Calibri" w:eastAsia="Calibri" w:hAnsi="Calibri" w:cs="Calibri"/>
          <w:b/>
          <w:bCs/>
          <w:color w:val="1A1A1A"/>
          <w:spacing w:val="16"/>
          <w:sz w:val="23"/>
          <w:szCs w:val="23"/>
        </w:rPr>
        <w:t>4.1. La loi n° 2026-794 du 18 août 2026 relative au droit à l’aide à mourir</w:t>
      </w:r>
    </w:p>
    <w:p w14:paraId="2A2173B4" w14:textId="77777777" w:rsidR="00B13F99" w:rsidRDefault="00000000">
      <w:pPr>
        <w:spacing w:after="90" w:line="264" w:lineRule="auto"/>
        <w:jc w:val="both"/>
      </w:pPr>
      <w:r>
        <w:rPr>
          <w:rFonts w:ascii="Calibri" w:eastAsia="Calibri" w:hAnsi="Calibri" w:cs="Calibri"/>
          <w:color w:val="1A1A1A"/>
        </w:rPr>
        <w:t xml:space="preserve">Adoptée définitivement en juillet 2026 après trois ans de navette parlementaire, publiée au Journal officiel le 19 août 2026. Elle crée les </w:t>
      </w:r>
      <w:r>
        <w:rPr>
          <w:rFonts w:ascii="Calibri" w:eastAsia="Calibri" w:hAnsi="Calibri" w:cs="Calibri"/>
          <w:color w:val="1E88E5"/>
        </w:rPr>
        <w:t>articles L. 1111-12-1 et L. 1111-12-2 du code de la santé publique</w:t>
      </w:r>
      <w:r>
        <w:rPr>
          <w:rFonts w:ascii="Calibri" w:eastAsia="Calibri" w:hAnsi="Calibri" w:cs="Calibri"/>
          <w:color w:val="1A1A1A"/>
        </w:rPr>
        <w:t>.</w:t>
      </w:r>
    </w:p>
    <w:p w14:paraId="60607D3B" w14:textId="77777777" w:rsidR="00B13F99" w:rsidRDefault="00000000">
      <w:pPr>
        <w:spacing w:before="170" w:after="70"/>
      </w:pPr>
      <w:r>
        <w:rPr>
          <w:rFonts w:ascii="Calibri" w:eastAsia="Calibri" w:hAnsi="Calibri" w:cs="Calibri"/>
          <w:b/>
          <w:bCs/>
          <w:color w:val="1A1A1A"/>
        </w:rPr>
        <w:t>Les cinq conditions cumulatives d’accès</w:t>
      </w:r>
    </w:p>
    <w:p w14:paraId="70B12D27"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Être </w:t>
      </w:r>
      <w:r>
        <w:rPr>
          <w:rFonts w:ascii="Calibri" w:eastAsia="Calibri" w:hAnsi="Calibri" w:cs="Calibri"/>
          <w:b/>
          <w:bCs/>
          <w:color w:val="1A1A1A"/>
        </w:rPr>
        <w:t>majeur</w:t>
      </w:r>
      <w:r>
        <w:rPr>
          <w:rFonts w:ascii="Calibri" w:eastAsia="Calibri" w:hAnsi="Calibri" w:cs="Calibri"/>
          <w:color w:val="1A1A1A"/>
        </w:rPr>
        <w:t>.</w:t>
      </w:r>
    </w:p>
    <w:p w14:paraId="581E2083"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Être de </w:t>
      </w:r>
      <w:r>
        <w:rPr>
          <w:rFonts w:ascii="Calibri" w:eastAsia="Calibri" w:hAnsi="Calibri" w:cs="Calibri"/>
          <w:b/>
          <w:bCs/>
          <w:color w:val="1A1A1A"/>
        </w:rPr>
        <w:t>nationalité française</w:t>
      </w:r>
      <w:r>
        <w:rPr>
          <w:rFonts w:ascii="Calibri" w:eastAsia="Calibri" w:hAnsi="Calibri" w:cs="Calibri"/>
          <w:color w:val="1A1A1A"/>
        </w:rPr>
        <w:t xml:space="preserve"> ou résider en France de façon stable et régulière.</w:t>
      </w:r>
    </w:p>
    <w:p w14:paraId="16D21849"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Être atteint d’une </w:t>
      </w:r>
      <w:r>
        <w:rPr>
          <w:rFonts w:ascii="Calibri" w:eastAsia="Calibri" w:hAnsi="Calibri" w:cs="Calibri"/>
          <w:b/>
          <w:bCs/>
          <w:color w:val="1A1A1A"/>
        </w:rPr>
        <w:t>affection grave et incurable engageant le pronostic vital</w:t>
      </w:r>
      <w:r>
        <w:rPr>
          <w:rFonts w:ascii="Calibri" w:eastAsia="Calibri" w:hAnsi="Calibri" w:cs="Calibri"/>
          <w:color w:val="1A1A1A"/>
        </w:rPr>
        <w:t>, en phase avancée ou terminale.</w:t>
      </w:r>
    </w:p>
    <w:p w14:paraId="14FA6211"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Présenter une </w:t>
      </w:r>
      <w:r>
        <w:rPr>
          <w:rFonts w:ascii="Calibri" w:eastAsia="Calibri" w:hAnsi="Calibri" w:cs="Calibri"/>
          <w:b/>
          <w:bCs/>
          <w:color w:val="1A1A1A"/>
        </w:rPr>
        <w:t>souffrance physique ou psychologique réfractaire ou insupportable</w:t>
      </w:r>
      <w:r>
        <w:rPr>
          <w:rFonts w:ascii="Calibri" w:eastAsia="Calibri" w:hAnsi="Calibri" w:cs="Calibri"/>
          <w:color w:val="1A1A1A"/>
        </w:rPr>
        <w:t xml:space="preserve"> — la souffrance psychologique seule ne suffit pas à ouvrir l’accès.</w:t>
      </w:r>
    </w:p>
    <w:p w14:paraId="6490ECD5"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Être </w:t>
      </w:r>
      <w:r>
        <w:rPr>
          <w:rFonts w:ascii="Calibri" w:eastAsia="Calibri" w:hAnsi="Calibri" w:cs="Calibri"/>
          <w:b/>
          <w:bCs/>
          <w:color w:val="1A1A1A"/>
        </w:rPr>
        <w:t>apte à manifester sa volonté de façon libre et éclairée</w:t>
      </w:r>
      <w:r>
        <w:rPr>
          <w:rFonts w:ascii="Calibri" w:eastAsia="Calibri" w:hAnsi="Calibri" w:cs="Calibri"/>
          <w:color w:val="1A1A1A"/>
        </w:rPr>
        <w:t>.</w:t>
      </w:r>
    </w:p>
    <w:p w14:paraId="26DA8C3C" w14:textId="77777777" w:rsidR="00B13F99" w:rsidRDefault="00000000">
      <w:pPr>
        <w:spacing w:before="170" w:after="70"/>
      </w:pPr>
      <w:r>
        <w:rPr>
          <w:rFonts w:ascii="Calibri" w:eastAsia="Calibri" w:hAnsi="Calibri" w:cs="Calibri"/>
          <w:b/>
          <w:bCs/>
          <w:color w:val="1A1A1A"/>
        </w:rPr>
        <w:t>La procédure</w:t>
      </w:r>
    </w:p>
    <w:p w14:paraId="2942A002"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Recueil de la demande par un médecin, qui réunit une </w:t>
      </w:r>
      <w:r>
        <w:rPr>
          <w:rFonts w:ascii="Calibri" w:eastAsia="Calibri" w:hAnsi="Calibri" w:cs="Calibri"/>
          <w:b/>
          <w:bCs/>
          <w:color w:val="1A1A1A"/>
        </w:rPr>
        <w:t>équipe pluridisciplinaire</w:t>
      </w:r>
      <w:r>
        <w:rPr>
          <w:rFonts w:ascii="Calibri" w:eastAsia="Calibri" w:hAnsi="Calibri" w:cs="Calibri"/>
          <w:color w:val="1A1A1A"/>
        </w:rPr>
        <w:t xml:space="preserve"> comprenant un spécialiste de la pathologie et des auxiliaires médicaux.</w:t>
      </w:r>
    </w:p>
    <w:p w14:paraId="7C0127C4"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Décision du médecin dans un délai de quinze jours.</w:t>
      </w:r>
    </w:p>
    <w:p w14:paraId="535F8F80"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Délai de réflexion minimal de deux jours</w:t>
      </w:r>
      <w:r>
        <w:rPr>
          <w:rFonts w:ascii="Calibri" w:eastAsia="Calibri" w:hAnsi="Calibri" w:cs="Calibri"/>
          <w:color w:val="1A1A1A"/>
        </w:rPr>
        <w:t xml:space="preserve"> avant confirmation de la demande, révocable à tout moment.</w:t>
      </w:r>
    </w:p>
    <w:p w14:paraId="141100BD"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Réévaluation</w:t>
      </w:r>
      <w:r>
        <w:rPr>
          <w:rFonts w:ascii="Calibri" w:eastAsia="Calibri" w:hAnsi="Calibri" w:cs="Calibri"/>
          <w:color w:val="1A1A1A"/>
        </w:rPr>
        <w:t xml:space="preserve"> si la confirmation intervient plus de trois mois après la notification.</w:t>
      </w:r>
    </w:p>
    <w:p w14:paraId="6B5600F7"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Auto-administration de la substance létale par la personne</w:t>
      </w:r>
      <w:r>
        <w:rPr>
          <w:rFonts w:ascii="Calibri" w:eastAsia="Calibri" w:hAnsi="Calibri" w:cs="Calibri"/>
          <w:color w:val="1A1A1A"/>
        </w:rPr>
        <w:t xml:space="preserve"> ; à défaut, administration par un médecin ou un infirmier. La personne choisit le lieu et peut être accompagnée.</w:t>
      </w:r>
    </w:p>
    <w:p w14:paraId="5D6FE74F"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Contrôle a posteriori</w:t>
      </w:r>
      <w:r>
        <w:rPr>
          <w:rFonts w:ascii="Calibri" w:eastAsia="Calibri" w:hAnsi="Calibri" w:cs="Calibri"/>
          <w:color w:val="1A1A1A"/>
        </w:rPr>
        <w:t xml:space="preserve"> par une commission de contrôle et d’évaluation, qui saisit les ordres professionnels ou le procureur de la République en cas de manquement.</w:t>
      </w:r>
    </w:p>
    <w:p w14:paraId="2909AAFA"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Recours</w:t>
      </w:r>
      <w:r>
        <w:rPr>
          <w:rFonts w:ascii="Calibri" w:eastAsia="Calibri" w:hAnsi="Calibri" w:cs="Calibri"/>
          <w:color w:val="1A1A1A"/>
        </w:rPr>
        <w:t xml:space="preserve"> devant le juge administratif, avec un délai spécial de deux jours ouvert à la personne chargée de la mesure de protection juridique.</w:t>
      </w:r>
    </w:p>
    <w:p w14:paraId="72F0F429" w14:textId="77777777" w:rsidR="00B13F99"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b/>
          <w:bCs/>
          <w:color w:val="1A1A1A"/>
          <w:sz w:val="19"/>
          <w:szCs w:val="19"/>
        </w:rPr>
        <w:t>Le point d’actualité qui fait mouche.</w:t>
      </w:r>
      <w:r>
        <w:rPr>
          <w:rFonts w:ascii="Calibri" w:eastAsia="Calibri" w:hAnsi="Calibri" w:cs="Calibri"/>
          <w:color w:val="1A1A1A"/>
          <w:sz w:val="19"/>
          <w:szCs w:val="19"/>
        </w:rPr>
        <w:t xml:space="preserve"> La loi est promulguée, conforme et publiée — et pourtant </w:t>
      </w:r>
      <w:r>
        <w:rPr>
          <w:rFonts w:ascii="Calibri" w:eastAsia="Calibri" w:hAnsi="Calibri" w:cs="Calibri"/>
          <w:b/>
          <w:bCs/>
          <w:color w:val="1A1A1A"/>
          <w:sz w:val="19"/>
          <w:szCs w:val="19"/>
        </w:rPr>
        <w:t>inexerçable</w:t>
      </w:r>
      <w:r>
        <w:rPr>
          <w:rFonts w:ascii="Calibri" w:eastAsia="Calibri" w:hAnsi="Calibri" w:cs="Calibri"/>
          <w:color w:val="1A1A1A"/>
          <w:sz w:val="19"/>
          <w:szCs w:val="19"/>
        </w:rPr>
        <w:t xml:space="preserve"> tant que les décrets d’application n’ont pas été pris. L’obligation de consulter le registre des mesures de protection juridique n’entrera elle-même en vigueur qu’au plus tard le 31 décembre 2028. C’est la distinction entre </w:t>
      </w:r>
      <w:r>
        <w:rPr>
          <w:rFonts w:ascii="Calibri" w:eastAsia="Calibri" w:hAnsi="Calibri" w:cs="Calibri"/>
          <w:b/>
          <w:bCs/>
          <w:color w:val="1A1A1A"/>
          <w:sz w:val="19"/>
          <w:szCs w:val="19"/>
        </w:rPr>
        <w:t>validité et effectivité</w:t>
      </w:r>
      <w:r>
        <w:rPr>
          <w:rFonts w:ascii="Calibri" w:eastAsia="Calibri" w:hAnsi="Calibri" w:cs="Calibri"/>
          <w:color w:val="1A1A1A"/>
          <w:sz w:val="19"/>
          <w:szCs w:val="19"/>
        </w:rPr>
        <w:t xml:space="preserve"> de la norme, et le terrain classique du recours pour carence réglementaire : le pouvoir réglementaire est tenu de prendre dans un délai raisonnable les mesures qu’appelle l’exécution de la loi.</w:t>
      </w:r>
    </w:p>
    <w:p w14:paraId="20D3C3B4" w14:textId="77777777" w:rsidR="00B13F99" w:rsidRDefault="00000000">
      <w:pPr>
        <w:pStyle w:val="Titre2"/>
        <w:spacing w:before="260" w:after="110"/>
      </w:pPr>
      <w:r>
        <w:rPr>
          <w:rFonts w:ascii="Calibri" w:eastAsia="Calibri" w:hAnsi="Calibri" w:cs="Calibri"/>
          <w:b/>
          <w:bCs/>
          <w:color w:val="1A1A1A"/>
          <w:spacing w:val="16"/>
          <w:sz w:val="23"/>
          <w:szCs w:val="23"/>
        </w:rPr>
        <w:t>4.2. La décision Cons. const., 14 août 2026, n° 2026-910 DC</w:t>
      </w:r>
    </w:p>
    <w:p w14:paraId="77079F23" w14:textId="77777777" w:rsidR="00B13F99" w:rsidRDefault="00000000">
      <w:pPr>
        <w:spacing w:before="170" w:after="70"/>
      </w:pPr>
      <w:r>
        <w:rPr>
          <w:rFonts w:ascii="Calibri" w:eastAsia="Calibri" w:hAnsi="Calibri" w:cs="Calibri"/>
          <w:b/>
          <w:bCs/>
          <w:color w:val="1A1A1A"/>
        </w:rPr>
        <w:t>Saisines</w:t>
      </w:r>
    </w:p>
    <w:p w14:paraId="7A70FE3E" w14:textId="77777777" w:rsidR="00B13F99" w:rsidRDefault="00000000">
      <w:pPr>
        <w:spacing w:after="90" w:line="264" w:lineRule="auto"/>
        <w:jc w:val="both"/>
      </w:pPr>
      <w:r>
        <w:rPr>
          <w:rFonts w:ascii="Calibri" w:eastAsia="Calibri" w:hAnsi="Calibri" w:cs="Calibri"/>
          <w:color w:val="1A1A1A"/>
        </w:rPr>
        <w:t xml:space="preserve">Configuration rare : cinq saisines, dont celle du </w:t>
      </w:r>
      <w:r>
        <w:rPr>
          <w:rFonts w:ascii="Calibri" w:eastAsia="Calibri" w:hAnsi="Calibri" w:cs="Calibri"/>
          <w:b/>
          <w:bCs/>
          <w:color w:val="1A1A1A"/>
        </w:rPr>
        <w:t>Premier ministre</w:t>
      </w:r>
      <w:r>
        <w:rPr>
          <w:rFonts w:ascii="Calibri" w:eastAsia="Calibri" w:hAnsi="Calibri" w:cs="Calibri"/>
          <w:color w:val="1A1A1A"/>
        </w:rPr>
        <w:t xml:space="preserve">, qui ne visait pas à faire tomber le texte mais à le sécuriser. S’y ajoutent le Président du Sénat, soixante sénateurs et deux groupes de députés. Griefs invoqués : atteinte à </w:t>
      </w:r>
      <w:r>
        <w:rPr>
          <w:rFonts w:ascii="Calibri" w:eastAsia="Calibri" w:hAnsi="Calibri" w:cs="Calibri"/>
          <w:color w:val="1A1A1A"/>
        </w:rPr>
        <w:lastRenderedPageBreak/>
        <w:t>la dignité, au principe de fraternité, à la liberté de conscience, à la liberté d’entreprendre, à la liberté d’association et au principe d’égalité.</w:t>
      </w:r>
    </w:p>
    <w:p w14:paraId="5BD68C61" w14:textId="77777777" w:rsidR="00B13F99" w:rsidRDefault="00000000">
      <w:pPr>
        <w:spacing w:before="170" w:after="70"/>
      </w:pPr>
      <w:r>
        <w:rPr>
          <w:rFonts w:ascii="Calibri" w:eastAsia="Calibri" w:hAnsi="Calibri" w:cs="Calibri"/>
          <w:b/>
          <w:bCs/>
          <w:color w:val="1A1A1A"/>
        </w:rPr>
        <w:t>Le raisonnement, en deux mouvements</w:t>
      </w:r>
    </w:p>
    <w:p w14:paraId="50D448D1" w14:textId="77777777" w:rsidR="00B13F99" w:rsidRDefault="00000000">
      <w:pPr>
        <w:spacing w:after="90" w:line="264" w:lineRule="auto"/>
        <w:jc w:val="both"/>
      </w:pPr>
      <w:r>
        <w:rPr>
          <w:rFonts w:ascii="Calibri" w:eastAsia="Calibri" w:hAnsi="Calibri" w:cs="Calibri"/>
          <w:b/>
          <w:bCs/>
          <w:color w:val="1A1A1A"/>
        </w:rPr>
        <w:t>Premier mouvement — la qualification du but.</w:t>
      </w:r>
      <w:r>
        <w:rPr>
          <w:rFonts w:ascii="Calibri" w:eastAsia="Calibri" w:hAnsi="Calibri" w:cs="Calibri"/>
          <w:color w:val="1A1A1A"/>
        </w:rPr>
        <w:t xml:space="preserve"> Le Conseil ne traite pas l’aide à mourir comme une dérogation arrachée à un principe, mais comme la mise en œuvre d’une liberté : le législateur « a entendu garantir la liberté personnelle » et « le droit de toute personne d’avoir une fin de vie digne ». La liberté personnelle se déduit des </w:t>
      </w:r>
      <w:r>
        <w:rPr>
          <w:rFonts w:ascii="Calibri" w:eastAsia="Calibri" w:hAnsi="Calibri" w:cs="Calibri"/>
          <w:color w:val="1E88E5"/>
        </w:rPr>
        <w:t>articles 1er, 2 et 4 de la Déclaration de 1789</w:t>
      </w:r>
      <w:r>
        <w:rPr>
          <w:rFonts w:ascii="Calibri" w:eastAsia="Calibri" w:hAnsi="Calibri" w:cs="Calibri"/>
          <w:color w:val="1A1A1A"/>
        </w:rPr>
        <w:t xml:space="preserve"> ; la dignité, du premier alinéa du </w:t>
      </w:r>
      <w:r>
        <w:rPr>
          <w:rFonts w:ascii="Calibri" w:eastAsia="Calibri" w:hAnsi="Calibri" w:cs="Calibri"/>
          <w:color w:val="1E88E5"/>
        </w:rPr>
        <w:t>Préambule de 1946</w:t>
      </w:r>
      <w:r>
        <w:rPr>
          <w:rFonts w:ascii="Calibri" w:eastAsia="Calibri" w:hAnsi="Calibri" w:cs="Calibri"/>
          <w:color w:val="1A1A1A"/>
        </w:rPr>
        <w:t xml:space="preserve">. </w:t>
      </w:r>
      <w:r>
        <w:rPr>
          <w:rFonts w:ascii="Calibri" w:eastAsia="Calibri" w:hAnsi="Calibri" w:cs="Calibri"/>
          <w:b/>
          <w:bCs/>
          <w:color w:val="1A1A1A"/>
        </w:rPr>
        <w:t>La dignité change de camp</w:t>
      </w:r>
      <w:r>
        <w:rPr>
          <w:rFonts w:ascii="Calibri" w:eastAsia="Calibri" w:hAnsi="Calibri" w:cs="Calibri"/>
          <w:color w:val="1A1A1A"/>
        </w:rPr>
        <w:t xml:space="preserve"> : invoquée par les requérants contre la loi, elle est retenue par le Conseil au soutien de la loi.</w:t>
      </w:r>
    </w:p>
    <w:p w14:paraId="7AFA631F" w14:textId="77777777" w:rsidR="00B13F99" w:rsidRDefault="00000000">
      <w:pPr>
        <w:spacing w:after="90" w:line="264" w:lineRule="auto"/>
        <w:jc w:val="both"/>
      </w:pPr>
      <w:r>
        <w:rPr>
          <w:rFonts w:ascii="Calibri" w:eastAsia="Calibri" w:hAnsi="Calibri" w:cs="Calibri"/>
          <w:b/>
          <w:bCs/>
          <w:color w:val="1A1A1A"/>
        </w:rPr>
        <w:t>Second mouvement — le retrait.</w:t>
      </w:r>
      <w:r>
        <w:rPr>
          <w:rFonts w:ascii="Calibri" w:eastAsia="Calibri" w:hAnsi="Calibri" w:cs="Calibri"/>
          <w:color w:val="1A1A1A"/>
        </w:rPr>
        <w:t xml:space="preserve"> Le Conseil refuse de peser lui-même les valeurs en présence et écarte les griefs dès lors que « la mise en œuvre de ce droit repose sur [la] volonté libre et éclairée [de la personne] et est assortie de garanties appropriées ».</w:t>
      </w:r>
    </w:p>
    <w:p w14:paraId="72B99D5C" w14:textId="77777777" w:rsidR="00B13F99" w:rsidRDefault="00000000">
      <w:pPr>
        <w:spacing w:before="90" w:after="90" w:line="264" w:lineRule="auto"/>
        <w:ind w:left="400" w:right="200"/>
        <w:jc w:val="both"/>
      </w:pPr>
      <w:r>
        <w:rPr>
          <w:rFonts w:ascii="Calibri" w:eastAsia="Calibri" w:hAnsi="Calibri" w:cs="Calibri"/>
          <w:i/>
          <w:iCs/>
          <w:color w:val="1A1A1A"/>
          <w:sz w:val="19"/>
          <w:szCs w:val="19"/>
        </w:rPr>
        <w:t>« Il n’appartient pas au Conseil constitutionnel, qui ne dispose pas d’un pouvoir général d’appréciation et de décision de même nature que celui du Parlement, de substituer son appréciation à celle du législateur. »</w:t>
      </w:r>
    </w:p>
    <w:p w14:paraId="55D6D16D" w14:textId="77777777" w:rsidR="00B13F99" w:rsidRDefault="00000000">
      <w:pPr>
        <w:spacing w:after="90" w:line="264" w:lineRule="auto"/>
        <w:jc w:val="both"/>
      </w:pPr>
      <w:r>
        <w:rPr>
          <w:rFonts w:ascii="Calibri" w:eastAsia="Calibri" w:hAnsi="Calibri" w:cs="Calibri"/>
          <w:color w:val="1A1A1A"/>
        </w:rPr>
        <w:t xml:space="preserve">La formule est celle de </w:t>
      </w:r>
      <w:r>
        <w:rPr>
          <w:rFonts w:ascii="Calibri" w:eastAsia="Calibri" w:hAnsi="Calibri" w:cs="Calibri"/>
          <w:color w:val="E91E63"/>
        </w:rPr>
        <w:t>Cons. const., 15 janvier 1975, n° 74-54 DC, IVG</w:t>
      </w:r>
      <w:r>
        <w:rPr>
          <w:rFonts w:ascii="Calibri" w:eastAsia="Calibri" w:hAnsi="Calibri" w:cs="Calibri"/>
          <w:color w:val="1A1A1A"/>
        </w:rPr>
        <w:t xml:space="preserve">, inchangée depuis un demi-siècle. Le contrôle ne porte donc pas sur le choix d’autoriser, mais sur </w:t>
      </w:r>
      <w:r>
        <w:rPr>
          <w:rFonts w:ascii="Calibri" w:eastAsia="Calibri" w:hAnsi="Calibri" w:cs="Calibri"/>
          <w:b/>
          <w:bCs/>
          <w:color w:val="1A1A1A"/>
        </w:rPr>
        <w:t>l’architecture des garanties</w:t>
      </w:r>
      <w:r>
        <w:rPr>
          <w:rFonts w:ascii="Calibri" w:eastAsia="Calibri" w:hAnsi="Calibri" w:cs="Calibri"/>
          <w:color w:val="1A1A1A"/>
        </w:rPr>
        <w:t>.</w:t>
      </w:r>
    </w:p>
    <w:p w14:paraId="2D2D17F1" w14:textId="77777777" w:rsidR="00B13F99" w:rsidRDefault="00000000">
      <w:pPr>
        <w:spacing w:before="170" w:after="70"/>
      </w:pPr>
      <w:r>
        <w:rPr>
          <w:rFonts w:ascii="Calibri" w:eastAsia="Calibri" w:hAnsi="Calibri" w:cs="Calibri"/>
          <w:b/>
          <w:bCs/>
          <w:color w:val="1A1A1A"/>
        </w:rPr>
        <w:t>Les trois réserves d’interprétation</w:t>
      </w:r>
    </w:p>
    <w:p w14:paraId="35FC4E1F"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Majeurs protégés</w:t>
      </w:r>
      <w:r>
        <w:rPr>
          <w:rFonts w:ascii="Calibri" w:eastAsia="Calibri" w:hAnsi="Calibri" w:cs="Calibri"/>
          <w:color w:val="1A1A1A"/>
        </w:rPr>
        <w:t xml:space="preserve"> — le médecin doit prendre en compte, dans sa décision, les observations recueillies auprès de la personne chargée de la mesure de protection juridique.</w:t>
      </w:r>
    </w:p>
    <w:p w14:paraId="2B4DBF60"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Clause de conscience du pharmacien</w:t>
      </w:r>
      <w:r>
        <w:rPr>
          <w:rFonts w:ascii="Calibri" w:eastAsia="Calibri" w:hAnsi="Calibri" w:cs="Calibri"/>
          <w:color w:val="1A1A1A"/>
        </w:rPr>
        <w:t xml:space="preserve"> — la réalisation d’une préparation magistrale létale ou sa délivrance étant « susceptible de heurter les convictions personnelles » du pharmacien, celui-ci bénéficie d’une clause de conscience </w:t>
      </w:r>
      <w:r>
        <w:rPr>
          <w:rFonts w:ascii="Calibri" w:eastAsia="Calibri" w:hAnsi="Calibri" w:cs="Calibri"/>
          <w:b/>
          <w:bCs/>
          <w:color w:val="1A1A1A"/>
        </w:rPr>
        <w:t>que la loi ne lui avait pas accordée</w:t>
      </w:r>
      <w:r>
        <w:rPr>
          <w:rFonts w:ascii="Calibri" w:eastAsia="Calibri" w:hAnsi="Calibri" w:cs="Calibri"/>
          <w:color w:val="1A1A1A"/>
        </w:rPr>
        <w:t>. Le Conseil crée ici de toutes pièces une protection que le législateur avait refusée.</w:t>
      </w:r>
    </w:p>
    <w:p w14:paraId="60B37D9F"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Établissements privés</w:t>
      </w:r>
      <w:r>
        <w:rPr>
          <w:rFonts w:ascii="Calibri" w:eastAsia="Calibri" w:hAnsi="Calibri" w:cs="Calibri"/>
          <w:color w:val="1A1A1A"/>
        </w:rPr>
        <w:t xml:space="preserve"> — le responsable peut refuser que la procédure soit mise en œuvre dans ses locaux lorsqu’elle est manifestement contraire à ses missions statutaires, mais seulement « à condition que d’autres établissements soient en mesure de répondre aux besoins locaux » — formule calquée sur l’</w:t>
      </w:r>
      <w:r>
        <w:rPr>
          <w:rFonts w:ascii="Calibri" w:eastAsia="Calibri" w:hAnsi="Calibri" w:cs="Calibri"/>
          <w:color w:val="1E88E5"/>
        </w:rPr>
        <w:t>article L. 2212-8 du code de la santé publique</w:t>
      </w:r>
      <w:r>
        <w:rPr>
          <w:rFonts w:ascii="Calibri" w:eastAsia="Calibri" w:hAnsi="Calibri" w:cs="Calibri"/>
          <w:color w:val="1A1A1A"/>
        </w:rPr>
        <w:t xml:space="preserve"> en matière d’IVG.</w:t>
      </w:r>
    </w:p>
    <w:p w14:paraId="60E71BFE" w14:textId="77777777" w:rsidR="00B13F99"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b/>
          <w:bCs/>
          <w:color w:val="1A1A1A"/>
          <w:sz w:val="19"/>
          <w:szCs w:val="19"/>
        </w:rPr>
        <w:t>La leçon du jour.</w:t>
      </w:r>
      <w:r>
        <w:rPr>
          <w:rFonts w:ascii="Calibri" w:eastAsia="Calibri" w:hAnsi="Calibri" w:cs="Calibri"/>
          <w:color w:val="1A1A1A"/>
          <w:sz w:val="19"/>
          <w:szCs w:val="19"/>
        </w:rPr>
        <w:t xml:space="preserve"> Le 14 août 2026, le Conseil a rendu </w:t>
      </w:r>
      <w:r>
        <w:rPr>
          <w:rFonts w:ascii="Calibri" w:eastAsia="Calibri" w:hAnsi="Calibri" w:cs="Calibri"/>
          <w:b/>
          <w:bCs/>
          <w:color w:val="1A1A1A"/>
          <w:sz w:val="19"/>
          <w:szCs w:val="19"/>
        </w:rPr>
        <w:t>deux</w:t>
      </w:r>
      <w:r>
        <w:rPr>
          <w:rFonts w:ascii="Calibri" w:eastAsia="Calibri" w:hAnsi="Calibri" w:cs="Calibri"/>
          <w:color w:val="1A1A1A"/>
          <w:sz w:val="19"/>
          <w:szCs w:val="19"/>
        </w:rPr>
        <w:t xml:space="preserve"> décisions DC. Il a censuré la n° 2026-911 (réseaux sociaux et mineurs) et validé la n° 2026-910. L’écart tient tout entier à la technique : </w:t>
      </w:r>
      <w:r>
        <w:rPr>
          <w:rFonts w:ascii="Calibri" w:eastAsia="Calibri" w:hAnsi="Calibri" w:cs="Calibri"/>
          <w:b/>
          <w:bCs/>
          <w:color w:val="1A1A1A"/>
          <w:sz w:val="19"/>
          <w:szCs w:val="19"/>
        </w:rPr>
        <w:t>il a censuré une interdiction générale posée sans distinguer, et validé une autorisation posée en distinguant</w:t>
      </w:r>
      <w:r>
        <w:rPr>
          <w:rFonts w:ascii="Calibri" w:eastAsia="Calibri" w:hAnsi="Calibri" w:cs="Calibri"/>
          <w:color w:val="1A1A1A"/>
          <w:sz w:val="19"/>
          <w:szCs w:val="19"/>
        </w:rPr>
        <w:t>. Le Conseil ne sanctionne pas l’audace du but, il sanctionne la grossièreté du moyen.</w:t>
      </w:r>
    </w:p>
    <w:p w14:paraId="1D29DA4F" w14:textId="77777777" w:rsidR="00B13F99" w:rsidRDefault="00000000">
      <w:pPr>
        <w:pStyle w:val="Titre2"/>
        <w:spacing w:before="260" w:after="110"/>
      </w:pPr>
      <w:r>
        <w:rPr>
          <w:rFonts w:ascii="Calibri" w:eastAsia="Calibri" w:hAnsi="Calibri" w:cs="Calibri"/>
          <w:b/>
          <w:bCs/>
          <w:color w:val="1A1A1A"/>
          <w:spacing w:val="16"/>
          <w:sz w:val="23"/>
          <w:szCs w:val="23"/>
        </w:rPr>
        <w:t>4.3. La loi jumelle sur les soins palliatifs — l’asymétrie à exploiter</w:t>
      </w:r>
    </w:p>
    <w:p w14:paraId="69A8C5EA" w14:textId="77777777" w:rsidR="00B13F99" w:rsidRDefault="00000000">
      <w:pPr>
        <w:spacing w:after="90" w:line="264" w:lineRule="auto"/>
        <w:jc w:val="both"/>
      </w:pPr>
      <w:r>
        <w:rPr>
          <w:rFonts w:ascii="Calibri" w:eastAsia="Calibri" w:hAnsi="Calibri" w:cs="Calibri"/>
          <w:color w:val="1E88E5"/>
        </w:rPr>
        <w:t>Loi n° 2026-404 du 26 mai 2026 visant à garantir l’égal accès de tous à l’accompagnement et aux soins palliatifs</w:t>
      </w:r>
      <w:r>
        <w:rPr>
          <w:rFonts w:ascii="Calibri" w:eastAsia="Calibri" w:hAnsi="Calibri" w:cs="Calibri"/>
          <w:color w:val="1A1A1A"/>
        </w:rPr>
        <w:t xml:space="preserve">, promulguée trois mois plus tôt. Elle crée les </w:t>
      </w:r>
      <w:r>
        <w:rPr>
          <w:rFonts w:ascii="Calibri" w:eastAsia="Calibri" w:hAnsi="Calibri" w:cs="Calibri"/>
          <w:b/>
          <w:bCs/>
          <w:color w:val="1A1A1A"/>
        </w:rPr>
        <w:t>maisons d’accompagnement</w:t>
      </w:r>
      <w:r>
        <w:rPr>
          <w:rFonts w:ascii="Calibri" w:eastAsia="Calibri" w:hAnsi="Calibri" w:cs="Calibri"/>
          <w:color w:val="1A1A1A"/>
        </w:rPr>
        <w:t>, catégorie nouvelle d’établissement médico-social entre le domicile et l’hôpital, confie aux agences régionales de santé la charge de l’effectivité et prévoit des lois de programmation quinquennales.</w:t>
      </w:r>
    </w:p>
    <w:p w14:paraId="0ABD8B36" w14:textId="77777777" w:rsidR="00B13F99" w:rsidRDefault="00000000">
      <w:pPr>
        <w:spacing w:after="90" w:line="264" w:lineRule="auto"/>
        <w:jc w:val="both"/>
      </w:pPr>
      <w:r>
        <w:rPr>
          <w:rFonts w:ascii="Calibri" w:eastAsia="Calibri" w:hAnsi="Calibri" w:cs="Calibri"/>
          <w:b/>
          <w:bCs/>
          <w:color w:val="1A1A1A"/>
        </w:rPr>
        <w:t>Mais le droit opposable aux soins palliatifs, voté par l’Assemblée nationale, a été supprimé par le Sénat</w:t>
      </w:r>
      <w:r>
        <w:rPr>
          <w:rFonts w:ascii="Calibri" w:eastAsia="Calibri" w:hAnsi="Calibri" w:cs="Calibri"/>
          <w:color w:val="1A1A1A"/>
        </w:rPr>
        <w:t xml:space="preserve">, au motif qu’un droit opposable ne produirait que des condamnations indemnitaires. Le </w:t>
      </w:r>
      <w:r>
        <w:rPr>
          <w:rFonts w:ascii="Calibri" w:eastAsia="Calibri" w:hAnsi="Calibri" w:cs="Calibri"/>
          <w:color w:val="1E88E5"/>
        </w:rPr>
        <w:t>onzième alinéa du Préambule de 1946</w:t>
      </w:r>
      <w:r>
        <w:rPr>
          <w:rFonts w:ascii="Calibri" w:eastAsia="Calibri" w:hAnsi="Calibri" w:cs="Calibri"/>
          <w:color w:val="1A1A1A"/>
        </w:rPr>
        <w:t xml:space="preserve"> garantit « à tous la protection de la santé » ; il n’a jamais été jugé directement invocable pour exiger une prestation déterminée.</w:t>
      </w:r>
    </w:p>
    <w:p w14:paraId="24924AFE" w14:textId="77777777" w:rsidR="00B13F99"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b/>
          <w:bCs/>
          <w:color w:val="1A1A1A"/>
          <w:sz w:val="19"/>
          <w:szCs w:val="19"/>
        </w:rPr>
        <w:t>La phrase la plus forte du dossier, à placer en conclusion ou en réponse à une relance.</w:t>
      </w:r>
      <w:r>
        <w:rPr>
          <w:rFonts w:ascii="Calibri" w:eastAsia="Calibri" w:hAnsi="Calibri" w:cs="Calibri"/>
          <w:color w:val="1A1A1A"/>
          <w:sz w:val="19"/>
          <w:szCs w:val="19"/>
        </w:rPr>
        <w:t xml:space="preserve"> Le législateur a rendu exigible la liberté de mourir avant d’avoir rendu exigible le droit d’être soulagé. Elle n’est ni pour ni contre la loi : elle décrit une </w:t>
      </w:r>
      <w:r>
        <w:rPr>
          <w:rFonts w:ascii="Calibri" w:eastAsia="Calibri" w:hAnsi="Calibri" w:cs="Calibri"/>
          <w:b/>
          <w:bCs/>
          <w:color w:val="1A1A1A"/>
          <w:sz w:val="19"/>
          <w:szCs w:val="19"/>
        </w:rPr>
        <w:t>asymétrie de régime entre deux droits issus du même onzième alinéa</w:t>
      </w:r>
      <w:r>
        <w:rPr>
          <w:rFonts w:ascii="Calibri" w:eastAsia="Calibri" w:hAnsi="Calibri" w:cs="Calibri"/>
          <w:color w:val="1A1A1A"/>
          <w:sz w:val="19"/>
          <w:szCs w:val="19"/>
        </w:rPr>
        <w:t xml:space="preserve"> — le droit à l’aide à mourir est un droit-liberté exigible, le droit aux soins palliatifs reste un droit-programme.</w:t>
      </w:r>
    </w:p>
    <w:p w14:paraId="1B53CAD7" w14:textId="77777777" w:rsidR="00B13F99" w:rsidRDefault="00000000">
      <w:r>
        <w:br w:type="page"/>
      </w:r>
    </w:p>
    <w:p w14:paraId="78996867" w14:textId="77777777" w:rsidR="00B13F99" w:rsidRDefault="00000000">
      <w:pPr>
        <w:shd w:val="clear" w:color="auto" w:fill="F2E9EA"/>
        <w:spacing w:before="200" w:after="220"/>
        <w:jc w:val="center"/>
      </w:pPr>
      <w:r>
        <w:rPr>
          <w:rFonts w:ascii="Calibri" w:eastAsia="Calibri" w:hAnsi="Calibri" w:cs="Calibri"/>
          <w:b/>
          <w:bCs/>
          <w:color w:val="8C1C2B"/>
          <w:spacing w:val="30"/>
          <w:sz w:val="26"/>
          <w:szCs w:val="26"/>
        </w:rPr>
        <w:lastRenderedPageBreak/>
        <w:t>PARTIE II. SUJET N° 1 — « LA FIN DE VIE »</w:t>
      </w:r>
    </w:p>
    <w:p w14:paraId="30473081"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1. LIRE LE SUJET</w:t>
      </w:r>
    </w:p>
    <w:p w14:paraId="361C8CB8" w14:textId="77777777" w:rsidR="00B13F99" w:rsidRDefault="00000000">
      <w:pPr>
        <w:pStyle w:val="Titre2"/>
        <w:spacing w:before="260" w:after="110"/>
      </w:pPr>
      <w:r>
        <w:rPr>
          <w:rFonts w:ascii="Calibri" w:eastAsia="Calibri" w:hAnsi="Calibri" w:cs="Calibri"/>
          <w:b/>
          <w:bCs/>
          <w:color w:val="1A1A1A"/>
          <w:spacing w:val="16"/>
          <w:sz w:val="23"/>
          <w:szCs w:val="23"/>
        </w:rPr>
        <w:t>1.1. La nature de l’exercice</w:t>
      </w:r>
    </w:p>
    <w:p w14:paraId="004F501B" w14:textId="77777777" w:rsidR="00B13F99" w:rsidRDefault="00000000">
      <w:pPr>
        <w:spacing w:after="90" w:line="264" w:lineRule="auto"/>
        <w:jc w:val="both"/>
      </w:pPr>
      <w:r>
        <w:rPr>
          <w:rFonts w:ascii="Calibri" w:eastAsia="Calibri" w:hAnsi="Calibri" w:cs="Calibri"/>
          <w:color w:val="1A1A1A"/>
        </w:rPr>
        <w:t xml:space="preserve">Trois mots, un article défini, aucun verbe : c’est un </w:t>
      </w:r>
      <w:r>
        <w:rPr>
          <w:rFonts w:ascii="Calibri" w:eastAsia="Calibri" w:hAnsi="Calibri" w:cs="Calibri"/>
          <w:b/>
          <w:bCs/>
          <w:color w:val="1A1A1A"/>
        </w:rPr>
        <w:t>sujet notionnel</w:t>
      </w:r>
      <w:r>
        <w:rPr>
          <w:rFonts w:ascii="Calibri" w:eastAsia="Calibri" w:hAnsi="Calibri" w:cs="Calibri"/>
          <w:color w:val="1A1A1A"/>
        </w:rPr>
        <w:t>, la forme la plus ouverte et la plus piégeuse de l’exposé-dissertation. Le jury ne vous donne aucune direction ; il attend que vous en construisiez une. Un sujet aussi nu se gagne ou se perd en introduction.</w:t>
      </w:r>
    </w:p>
    <w:p w14:paraId="7DC0C670" w14:textId="77777777" w:rsidR="00B13F99" w:rsidRDefault="00000000">
      <w:pPr>
        <w:pStyle w:val="Titre2"/>
        <w:spacing w:before="260" w:after="110"/>
      </w:pPr>
      <w:r>
        <w:rPr>
          <w:rFonts w:ascii="Calibri" w:eastAsia="Calibri" w:hAnsi="Calibri" w:cs="Calibri"/>
          <w:b/>
          <w:bCs/>
          <w:color w:val="1A1A1A"/>
          <w:spacing w:val="16"/>
          <w:sz w:val="23"/>
          <w:szCs w:val="23"/>
        </w:rPr>
        <w:t>1.2. Les trois pièges du sujet</w:t>
      </w:r>
    </w:p>
    <w:p w14:paraId="6789C474"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hors-sujet par glissement vers le droit à la vie.</w:t>
      </w:r>
      <w:r>
        <w:rPr>
          <w:rFonts w:ascii="Calibri" w:eastAsia="Calibri" w:hAnsi="Calibri" w:cs="Calibri"/>
          <w:color w:val="1A1A1A"/>
        </w:rPr>
        <w:t xml:space="preserve"> « La fin de vie » n’est pas « le droit à la vie ». Le second est le cadre, la première est l’objet. Un plan dont le grand I s’intitule « Le droit à la vie, droit fondamental » commence par traiter autre chose que le sujet — c’est la faute la plus répandue dans les propositions du séminaire.</w:t>
      </w:r>
    </w:p>
    <w:p w14:paraId="2B42717B"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hors-sujet par réduction à l’aide à mourir.</w:t>
      </w:r>
      <w:r>
        <w:rPr>
          <w:rFonts w:ascii="Calibri" w:eastAsia="Calibri" w:hAnsi="Calibri" w:cs="Calibri"/>
          <w:color w:val="1A1A1A"/>
        </w:rPr>
        <w:t xml:space="preserve"> L’actualité est si forte qu’elle aspire le sujet. Or la fin de vie, c’est aussi et d’abord le refus de traitement, la lutte contre la douleur, les directives anticipées, la sédation, la personne de confiance. L’aide à mourir n’en est que le dernier palier.</w:t>
      </w:r>
    </w:p>
    <w:p w14:paraId="2F083F45"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plan chronologique.</w:t>
      </w:r>
      <w:r>
        <w:rPr>
          <w:rFonts w:ascii="Calibri" w:eastAsia="Calibri" w:hAnsi="Calibri" w:cs="Calibri"/>
          <w:color w:val="1A1A1A"/>
        </w:rPr>
        <w:t xml:space="preserve"> « 1999, 2002, 2005, 2016, 2026 » n’est pas un plan, c’est une frise. Le jury attend une </w:t>
      </w:r>
      <w:r>
        <w:rPr>
          <w:rFonts w:ascii="Calibri" w:eastAsia="Calibri" w:hAnsi="Calibri" w:cs="Calibri"/>
          <w:b/>
          <w:bCs/>
          <w:color w:val="1A1A1A"/>
        </w:rPr>
        <w:t>tension</w:t>
      </w:r>
      <w:r>
        <w:rPr>
          <w:rFonts w:ascii="Calibri" w:eastAsia="Calibri" w:hAnsi="Calibri" w:cs="Calibri"/>
          <w:color w:val="1A1A1A"/>
        </w:rPr>
        <w:t>, pas une succession. La chronologie doit servir la démonstration, jamais la remplacer.</w:t>
      </w:r>
    </w:p>
    <w:p w14:paraId="6A700DC2" w14:textId="77777777" w:rsidR="00B13F99" w:rsidRDefault="00000000">
      <w:pPr>
        <w:pStyle w:val="Titre2"/>
        <w:spacing w:before="260" w:after="110"/>
      </w:pPr>
      <w:r>
        <w:rPr>
          <w:rFonts w:ascii="Calibri" w:eastAsia="Calibri" w:hAnsi="Calibri" w:cs="Calibri"/>
          <w:b/>
          <w:bCs/>
          <w:color w:val="1A1A1A"/>
          <w:spacing w:val="16"/>
          <w:sz w:val="23"/>
          <w:szCs w:val="23"/>
        </w:rPr>
        <w:t>1.3. La question que se pose le jury</w:t>
      </w:r>
    </w:p>
    <w:p w14:paraId="67CCC78E" w14:textId="77777777" w:rsidR="00B13F99"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color w:val="1A1A1A"/>
          <w:sz w:val="19"/>
          <w:szCs w:val="19"/>
        </w:rPr>
        <w:t xml:space="preserve">Pourquoi ce sujet aujourd’hui ? Parce qu’en 2026 le droit français a franchi une frontière qu’il avait délibérément maintenue pendant vingt-sept ans : celle qui sépare </w:t>
      </w:r>
      <w:r>
        <w:rPr>
          <w:rFonts w:ascii="Calibri" w:eastAsia="Calibri" w:hAnsi="Calibri" w:cs="Calibri"/>
          <w:b/>
          <w:bCs/>
          <w:color w:val="1A1A1A"/>
          <w:sz w:val="19"/>
          <w:szCs w:val="19"/>
        </w:rPr>
        <w:t>laisser mourir</w:t>
      </w:r>
      <w:r>
        <w:rPr>
          <w:rFonts w:ascii="Calibri" w:eastAsia="Calibri" w:hAnsi="Calibri" w:cs="Calibri"/>
          <w:color w:val="1A1A1A"/>
          <w:sz w:val="19"/>
          <w:szCs w:val="19"/>
        </w:rPr>
        <w:t xml:space="preserve"> de </w:t>
      </w:r>
      <w:r>
        <w:rPr>
          <w:rFonts w:ascii="Calibri" w:eastAsia="Calibri" w:hAnsi="Calibri" w:cs="Calibri"/>
          <w:b/>
          <w:bCs/>
          <w:color w:val="1A1A1A"/>
          <w:sz w:val="19"/>
          <w:szCs w:val="19"/>
        </w:rPr>
        <w:t>faire mourir</w:t>
      </w:r>
      <w:r>
        <w:rPr>
          <w:rFonts w:ascii="Calibri" w:eastAsia="Calibri" w:hAnsi="Calibri" w:cs="Calibri"/>
          <w:color w:val="1A1A1A"/>
          <w:sz w:val="19"/>
          <w:szCs w:val="19"/>
        </w:rPr>
        <w:t>. Le candidat qui ne nomme pas cette frontière et ne dit pas ce qui la rendait tenable passe à côté du sujet, quelle que soit la quantité de connaissances déversée.</w:t>
      </w:r>
    </w:p>
    <w:p w14:paraId="36108AFF"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2. L’HEURE DE PRÉPARATION</w:t>
      </w:r>
    </w:p>
    <w:p w14:paraId="33B12E81" w14:textId="77777777" w:rsidR="00B13F99" w:rsidRDefault="00000000">
      <w:pPr>
        <w:spacing w:after="90" w:line="264" w:lineRule="auto"/>
        <w:jc w:val="both"/>
      </w:pPr>
      <w:r>
        <w:rPr>
          <w:rFonts w:ascii="Calibri" w:eastAsia="Calibri" w:hAnsi="Calibri" w:cs="Calibri"/>
          <w:color w:val="1A1A1A"/>
        </w:rPr>
        <w:t xml:space="preserve">Une question posée en séminaire mérite une réponse franche : </w:t>
      </w:r>
      <w:r>
        <w:rPr>
          <w:rFonts w:ascii="Calibri" w:eastAsia="Calibri" w:hAnsi="Calibri" w:cs="Calibri"/>
          <w:b/>
          <w:bCs/>
          <w:color w:val="1A1A1A"/>
        </w:rPr>
        <w:t>« 45 minutes pour faire le plan, est-ce trop long ? »</w:t>
      </w:r>
      <w:r>
        <w:rPr>
          <w:rFonts w:ascii="Calibri" w:eastAsia="Calibri" w:hAnsi="Calibri" w:cs="Calibri"/>
          <w:color w:val="1A1A1A"/>
        </w:rPr>
        <w:t xml:space="preserve"> Oui, et largement. L’épreuve donne une heure pour préparer un exposé de quinze minutes </w:t>
      </w:r>
      <w:r>
        <w:rPr>
          <w:rFonts w:ascii="Calibri" w:eastAsia="Calibri" w:hAnsi="Calibri" w:cs="Calibri"/>
          <w:b/>
          <w:bCs/>
          <w:color w:val="1A1A1A"/>
        </w:rPr>
        <w:t>et</w:t>
      </w:r>
      <w:r>
        <w:rPr>
          <w:rFonts w:ascii="Calibri" w:eastAsia="Calibri" w:hAnsi="Calibri" w:cs="Calibri"/>
          <w:color w:val="1A1A1A"/>
        </w:rPr>
        <w:t xml:space="preserve"> un entretien de trente. Consacrer quarante-cinq minutes au seul plan laisse un quart d’heure pour tout le reste : rédiger l’introduction, rédiger la conclusion, nourrir les sous-parties, relire. C’est mathématiquement intenable.</w:t>
      </w:r>
    </w:p>
    <w:p w14:paraId="2F51EAD9" w14:textId="77777777" w:rsidR="00B13F99" w:rsidRDefault="00000000">
      <w:pPr>
        <w:pStyle w:val="Titre2"/>
        <w:spacing w:before="260" w:after="110"/>
      </w:pPr>
      <w:r>
        <w:rPr>
          <w:rFonts w:ascii="Calibri" w:eastAsia="Calibri" w:hAnsi="Calibri" w:cs="Calibri"/>
          <w:b/>
          <w:bCs/>
          <w:color w:val="1A1A1A"/>
          <w:spacing w:val="16"/>
          <w:sz w:val="23"/>
          <w:szCs w:val="23"/>
        </w:rPr>
        <w:t>Répartition conseillée de l’heure</w:t>
      </w:r>
    </w:p>
    <w:tbl>
      <w:tblPr>
        <w:tblW w:w="5000" w:type="pct"/>
        <w:tblBorders>
          <w:top w:val="single" w:sz="2" w:space="0" w:color="C9C0B6"/>
          <w:left w:val="single" w:sz="2" w:space="0" w:color="C9C0B6"/>
          <w:bottom w:val="single" w:sz="2" w:space="0" w:color="C9C0B6"/>
          <w:right w:val="single" w:sz="2" w:space="0" w:color="C9C0B6"/>
          <w:insideH w:val="single" w:sz="2" w:space="0" w:color="DCD5CC"/>
          <w:insideV w:val="single" w:sz="2" w:space="0" w:color="DCD5CC"/>
        </w:tblBorders>
        <w:tblCellMar>
          <w:left w:w="10" w:type="dxa"/>
          <w:right w:w="10" w:type="dxa"/>
        </w:tblCellMar>
        <w:tblLook w:val="04A0" w:firstRow="1" w:lastRow="0" w:firstColumn="1" w:lastColumn="0" w:noHBand="0" w:noVBand="1"/>
      </w:tblPr>
      <w:tblGrid>
        <w:gridCol w:w="3248"/>
        <w:gridCol w:w="3249"/>
        <w:gridCol w:w="3249"/>
      </w:tblGrid>
      <w:tr w:rsidR="00B13F99" w14:paraId="253C4DDB" w14:textId="77777777">
        <w:tblPrEx>
          <w:tblCellMar>
            <w:top w:w="0" w:type="dxa"/>
            <w:bottom w:w="0" w:type="dxa"/>
          </w:tblCellMar>
        </w:tblPrEx>
        <w:trPr>
          <w:tblHeader/>
        </w:trPr>
        <w:tc>
          <w:tcPr>
            <w:tcW w:w="1650" w:type="pct"/>
            <w:shd w:val="clear" w:color="auto" w:fill="F2E9EA"/>
            <w:tcMar>
              <w:top w:w="60" w:type="dxa"/>
              <w:left w:w="90" w:type="dxa"/>
              <w:bottom w:w="60" w:type="dxa"/>
              <w:right w:w="90" w:type="dxa"/>
            </w:tcMar>
          </w:tcPr>
          <w:p w14:paraId="74AB5474" w14:textId="77777777" w:rsidR="00B13F99" w:rsidRDefault="00000000">
            <w:r>
              <w:rPr>
                <w:rFonts w:ascii="Calibri" w:eastAsia="Calibri" w:hAnsi="Calibri" w:cs="Calibri"/>
                <w:b/>
                <w:bCs/>
                <w:color w:val="1A1A1A"/>
                <w:sz w:val="17"/>
                <w:szCs w:val="17"/>
              </w:rPr>
              <w:t>Durée</w:t>
            </w:r>
          </w:p>
        </w:tc>
        <w:tc>
          <w:tcPr>
            <w:tcW w:w="1650" w:type="pct"/>
            <w:shd w:val="clear" w:color="auto" w:fill="F2E9EA"/>
            <w:tcMar>
              <w:top w:w="60" w:type="dxa"/>
              <w:left w:w="90" w:type="dxa"/>
              <w:bottom w:w="60" w:type="dxa"/>
              <w:right w:w="90" w:type="dxa"/>
            </w:tcMar>
          </w:tcPr>
          <w:p w14:paraId="6BD3ED3C" w14:textId="77777777" w:rsidR="00B13F99" w:rsidRDefault="00000000">
            <w:r>
              <w:rPr>
                <w:rFonts w:ascii="Calibri" w:eastAsia="Calibri" w:hAnsi="Calibri" w:cs="Calibri"/>
                <w:b/>
                <w:bCs/>
                <w:color w:val="1A1A1A"/>
                <w:sz w:val="17"/>
                <w:szCs w:val="17"/>
              </w:rPr>
              <w:t>Opération</w:t>
            </w:r>
          </w:p>
        </w:tc>
        <w:tc>
          <w:tcPr>
            <w:tcW w:w="1650" w:type="pct"/>
            <w:shd w:val="clear" w:color="auto" w:fill="F2E9EA"/>
            <w:tcMar>
              <w:top w:w="60" w:type="dxa"/>
              <w:left w:w="90" w:type="dxa"/>
              <w:bottom w:w="60" w:type="dxa"/>
              <w:right w:w="90" w:type="dxa"/>
            </w:tcMar>
          </w:tcPr>
          <w:p w14:paraId="3C4103D1" w14:textId="77777777" w:rsidR="00B13F99" w:rsidRDefault="00000000">
            <w:r>
              <w:rPr>
                <w:rFonts w:ascii="Calibri" w:eastAsia="Calibri" w:hAnsi="Calibri" w:cs="Calibri"/>
                <w:b/>
                <w:bCs/>
                <w:color w:val="1A1A1A"/>
                <w:sz w:val="17"/>
                <w:szCs w:val="17"/>
              </w:rPr>
              <w:t>Ce qui doit être produit</w:t>
            </w:r>
          </w:p>
        </w:tc>
      </w:tr>
      <w:tr w:rsidR="00B13F99" w14:paraId="34E02F53" w14:textId="77777777">
        <w:tblPrEx>
          <w:tblCellMar>
            <w:top w:w="0" w:type="dxa"/>
            <w:bottom w:w="0" w:type="dxa"/>
          </w:tblCellMar>
        </w:tblPrEx>
        <w:tc>
          <w:tcPr>
            <w:tcW w:w="1650" w:type="pct"/>
            <w:tcMar>
              <w:top w:w="60" w:type="dxa"/>
              <w:left w:w="90" w:type="dxa"/>
              <w:bottom w:w="60" w:type="dxa"/>
              <w:right w:w="90" w:type="dxa"/>
            </w:tcMar>
          </w:tcPr>
          <w:p w14:paraId="158397BD" w14:textId="77777777" w:rsidR="00B13F99" w:rsidRDefault="00000000">
            <w:r>
              <w:rPr>
                <w:rFonts w:ascii="Calibri" w:eastAsia="Calibri" w:hAnsi="Calibri" w:cs="Calibri"/>
                <w:color w:val="1A1A1A"/>
                <w:sz w:val="17"/>
                <w:szCs w:val="17"/>
              </w:rPr>
              <w:t>0 – 5 min</w:t>
            </w:r>
          </w:p>
        </w:tc>
        <w:tc>
          <w:tcPr>
            <w:tcW w:w="1650" w:type="pct"/>
            <w:tcMar>
              <w:top w:w="60" w:type="dxa"/>
              <w:left w:w="90" w:type="dxa"/>
              <w:bottom w:w="60" w:type="dxa"/>
              <w:right w:w="90" w:type="dxa"/>
            </w:tcMar>
          </w:tcPr>
          <w:p w14:paraId="7460E494" w14:textId="77777777" w:rsidR="00B13F99" w:rsidRDefault="00000000">
            <w:r>
              <w:rPr>
                <w:rFonts w:ascii="Calibri" w:eastAsia="Calibri" w:hAnsi="Calibri" w:cs="Calibri"/>
                <w:color w:val="1A1A1A"/>
                <w:sz w:val="17"/>
                <w:szCs w:val="17"/>
              </w:rPr>
              <w:t>Lire, relire, définir les termes au brouillon.</w:t>
            </w:r>
          </w:p>
        </w:tc>
        <w:tc>
          <w:tcPr>
            <w:tcW w:w="1650" w:type="pct"/>
            <w:tcMar>
              <w:top w:w="60" w:type="dxa"/>
              <w:left w:w="90" w:type="dxa"/>
              <w:bottom w:w="60" w:type="dxa"/>
              <w:right w:w="90" w:type="dxa"/>
            </w:tcMar>
          </w:tcPr>
          <w:p w14:paraId="442E0770" w14:textId="77777777" w:rsidR="00B13F99" w:rsidRDefault="00000000">
            <w:r>
              <w:rPr>
                <w:rFonts w:ascii="Calibri" w:eastAsia="Calibri" w:hAnsi="Calibri" w:cs="Calibri"/>
                <w:color w:val="1A1A1A"/>
                <w:sz w:val="17"/>
                <w:szCs w:val="17"/>
              </w:rPr>
              <w:t>Une définition écrite de chaque mot du sujet, même des mots qui paraissent évidents.</w:t>
            </w:r>
          </w:p>
        </w:tc>
      </w:tr>
      <w:tr w:rsidR="00B13F99" w14:paraId="391EFBC5" w14:textId="77777777">
        <w:tblPrEx>
          <w:tblCellMar>
            <w:top w:w="0" w:type="dxa"/>
            <w:bottom w:w="0" w:type="dxa"/>
          </w:tblCellMar>
        </w:tblPrEx>
        <w:tc>
          <w:tcPr>
            <w:tcW w:w="1650" w:type="pct"/>
            <w:tcMar>
              <w:top w:w="60" w:type="dxa"/>
              <w:left w:w="90" w:type="dxa"/>
              <w:bottom w:w="60" w:type="dxa"/>
              <w:right w:w="90" w:type="dxa"/>
            </w:tcMar>
          </w:tcPr>
          <w:p w14:paraId="1784629D" w14:textId="77777777" w:rsidR="00B13F99" w:rsidRDefault="00000000">
            <w:r>
              <w:rPr>
                <w:rFonts w:ascii="Calibri" w:eastAsia="Calibri" w:hAnsi="Calibri" w:cs="Calibri"/>
                <w:color w:val="1A1A1A"/>
                <w:sz w:val="17"/>
                <w:szCs w:val="17"/>
              </w:rPr>
              <w:t>5 – 15 min</w:t>
            </w:r>
          </w:p>
        </w:tc>
        <w:tc>
          <w:tcPr>
            <w:tcW w:w="1650" w:type="pct"/>
            <w:tcMar>
              <w:top w:w="60" w:type="dxa"/>
              <w:left w:w="90" w:type="dxa"/>
              <w:bottom w:w="60" w:type="dxa"/>
              <w:right w:w="90" w:type="dxa"/>
            </w:tcMar>
          </w:tcPr>
          <w:p w14:paraId="4CC7E43F" w14:textId="77777777" w:rsidR="00B13F99" w:rsidRDefault="00000000">
            <w:r>
              <w:rPr>
                <w:rFonts w:ascii="Calibri" w:eastAsia="Calibri" w:hAnsi="Calibri" w:cs="Calibri"/>
                <w:color w:val="1A1A1A"/>
                <w:sz w:val="17"/>
                <w:szCs w:val="17"/>
              </w:rPr>
              <w:t>Recenser les droits, libertés et notions engagés, directement ou indirectement. Élaguer.</w:t>
            </w:r>
          </w:p>
        </w:tc>
        <w:tc>
          <w:tcPr>
            <w:tcW w:w="1650" w:type="pct"/>
            <w:tcMar>
              <w:top w:w="60" w:type="dxa"/>
              <w:left w:w="90" w:type="dxa"/>
              <w:bottom w:w="60" w:type="dxa"/>
              <w:right w:w="90" w:type="dxa"/>
            </w:tcMar>
          </w:tcPr>
          <w:p w14:paraId="2B8C1C1B" w14:textId="77777777" w:rsidR="00B13F99" w:rsidRDefault="00000000">
            <w:r>
              <w:rPr>
                <w:rFonts w:ascii="Calibri" w:eastAsia="Calibri" w:hAnsi="Calibri" w:cs="Calibri"/>
                <w:color w:val="1A1A1A"/>
                <w:sz w:val="17"/>
                <w:szCs w:val="17"/>
              </w:rPr>
              <w:t>Une liste, relue trois fois, dont on a barré ce qui est trop éloigné du cœur du sujet.</w:t>
            </w:r>
          </w:p>
        </w:tc>
      </w:tr>
      <w:tr w:rsidR="00B13F99" w14:paraId="4B18B958" w14:textId="77777777">
        <w:tblPrEx>
          <w:tblCellMar>
            <w:top w:w="0" w:type="dxa"/>
            <w:bottom w:w="0" w:type="dxa"/>
          </w:tblCellMar>
        </w:tblPrEx>
        <w:tc>
          <w:tcPr>
            <w:tcW w:w="1650" w:type="pct"/>
            <w:tcMar>
              <w:top w:w="60" w:type="dxa"/>
              <w:left w:w="90" w:type="dxa"/>
              <w:bottom w:w="60" w:type="dxa"/>
              <w:right w:w="90" w:type="dxa"/>
            </w:tcMar>
          </w:tcPr>
          <w:p w14:paraId="74AD84BD" w14:textId="77777777" w:rsidR="00B13F99" w:rsidRDefault="00000000">
            <w:r>
              <w:rPr>
                <w:rFonts w:ascii="Calibri" w:eastAsia="Calibri" w:hAnsi="Calibri" w:cs="Calibri"/>
                <w:color w:val="1A1A1A"/>
                <w:sz w:val="17"/>
                <w:szCs w:val="17"/>
              </w:rPr>
              <w:t>15 – 25 min</w:t>
            </w:r>
          </w:p>
        </w:tc>
        <w:tc>
          <w:tcPr>
            <w:tcW w:w="1650" w:type="pct"/>
            <w:tcMar>
              <w:top w:w="60" w:type="dxa"/>
              <w:left w:w="90" w:type="dxa"/>
              <w:bottom w:w="60" w:type="dxa"/>
              <w:right w:w="90" w:type="dxa"/>
            </w:tcMar>
          </w:tcPr>
          <w:p w14:paraId="3FCA2E23" w14:textId="77777777" w:rsidR="00B13F99" w:rsidRDefault="00000000">
            <w:r>
              <w:rPr>
                <w:rFonts w:ascii="Calibri" w:eastAsia="Calibri" w:hAnsi="Calibri" w:cs="Calibri"/>
                <w:color w:val="1A1A1A"/>
                <w:sz w:val="17"/>
                <w:szCs w:val="17"/>
              </w:rPr>
              <w:t>Ouvrir les codes et recueils pour compléter — jamais pour découvrir.</w:t>
            </w:r>
          </w:p>
        </w:tc>
        <w:tc>
          <w:tcPr>
            <w:tcW w:w="1650" w:type="pct"/>
            <w:tcMar>
              <w:top w:w="60" w:type="dxa"/>
              <w:left w:w="90" w:type="dxa"/>
              <w:bottom w:w="60" w:type="dxa"/>
              <w:right w:w="90" w:type="dxa"/>
            </w:tcMar>
          </w:tcPr>
          <w:p w14:paraId="4A58C8B6" w14:textId="77777777" w:rsidR="00B13F99" w:rsidRDefault="00000000">
            <w:r>
              <w:rPr>
                <w:rFonts w:ascii="Calibri" w:eastAsia="Calibri" w:hAnsi="Calibri" w:cs="Calibri"/>
                <w:color w:val="1A1A1A"/>
                <w:sz w:val="17"/>
                <w:szCs w:val="17"/>
              </w:rPr>
              <w:t>Les visas exacts et trois ou quatre arrêts placés en face d’une idée.</w:t>
            </w:r>
          </w:p>
        </w:tc>
      </w:tr>
      <w:tr w:rsidR="00B13F99" w14:paraId="4C9F13C3" w14:textId="77777777">
        <w:tblPrEx>
          <w:tblCellMar>
            <w:top w:w="0" w:type="dxa"/>
            <w:bottom w:w="0" w:type="dxa"/>
          </w:tblCellMar>
        </w:tblPrEx>
        <w:tc>
          <w:tcPr>
            <w:tcW w:w="1650" w:type="pct"/>
            <w:tcMar>
              <w:top w:w="60" w:type="dxa"/>
              <w:left w:w="90" w:type="dxa"/>
              <w:bottom w:w="60" w:type="dxa"/>
              <w:right w:w="90" w:type="dxa"/>
            </w:tcMar>
          </w:tcPr>
          <w:p w14:paraId="0E8B4CE6" w14:textId="77777777" w:rsidR="00B13F99" w:rsidRDefault="00000000">
            <w:r>
              <w:rPr>
                <w:rFonts w:ascii="Calibri" w:eastAsia="Calibri" w:hAnsi="Calibri" w:cs="Calibri"/>
                <w:color w:val="1A1A1A"/>
                <w:sz w:val="17"/>
                <w:szCs w:val="17"/>
              </w:rPr>
              <w:t>25 – 40 min</w:t>
            </w:r>
          </w:p>
        </w:tc>
        <w:tc>
          <w:tcPr>
            <w:tcW w:w="1650" w:type="pct"/>
            <w:tcMar>
              <w:top w:w="60" w:type="dxa"/>
              <w:left w:w="90" w:type="dxa"/>
              <w:bottom w:w="60" w:type="dxa"/>
              <w:right w:w="90" w:type="dxa"/>
            </w:tcMar>
          </w:tcPr>
          <w:p w14:paraId="1111C490" w14:textId="77777777" w:rsidR="00B13F99" w:rsidRDefault="00000000">
            <w:r>
              <w:rPr>
                <w:rFonts w:ascii="Calibri" w:eastAsia="Calibri" w:hAnsi="Calibri" w:cs="Calibri"/>
                <w:color w:val="1A1A1A"/>
                <w:sz w:val="17"/>
                <w:szCs w:val="17"/>
              </w:rPr>
              <w:t>Problématiser, puis construire le plan.</w:t>
            </w:r>
          </w:p>
        </w:tc>
        <w:tc>
          <w:tcPr>
            <w:tcW w:w="1650" w:type="pct"/>
            <w:tcMar>
              <w:top w:w="60" w:type="dxa"/>
              <w:left w:w="90" w:type="dxa"/>
              <w:bottom w:w="60" w:type="dxa"/>
              <w:right w:w="90" w:type="dxa"/>
            </w:tcMar>
          </w:tcPr>
          <w:p w14:paraId="71AE73D8" w14:textId="77777777" w:rsidR="00B13F99" w:rsidRDefault="00000000">
            <w:r>
              <w:rPr>
                <w:rFonts w:ascii="Calibri" w:eastAsia="Calibri" w:hAnsi="Calibri" w:cs="Calibri"/>
                <w:color w:val="1A1A1A"/>
                <w:sz w:val="17"/>
                <w:szCs w:val="17"/>
              </w:rPr>
              <w:t>Une problématique écrite en une phrase interrogative, et quatre intitulés de sous-parties.</w:t>
            </w:r>
          </w:p>
        </w:tc>
      </w:tr>
      <w:tr w:rsidR="00B13F99" w14:paraId="31C132EF" w14:textId="77777777">
        <w:tblPrEx>
          <w:tblCellMar>
            <w:top w:w="0" w:type="dxa"/>
            <w:bottom w:w="0" w:type="dxa"/>
          </w:tblCellMar>
        </w:tblPrEx>
        <w:tc>
          <w:tcPr>
            <w:tcW w:w="1650" w:type="pct"/>
            <w:tcMar>
              <w:top w:w="60" w:type="dxa"/>
              <w:left w:w="90" w:type="dxa"/>
              <w:bottom w:w="60" w:type="dxa"/>
              <w:right w:w="90" w:type="dxa"/>
            </w:tcMar>
          </w:tcPr>
          <w:p w14:paraId="0DC60812" w14:textId="77777777" w:rsidR="00B13F99" w:rsidRDefault="00000000">
            <w:r>
              <w:rPr>
                <w:rFonts w:ascii="Calibri" w:eastAsia="Calibri" w:hAnsi="Calibri" w:cs="Calibri"/>
                <w:color w:val="1A1A1A"/>
                <w:sz w:val="17"/>
                <w:szCs w:val="17"/>
              </w:rPr>
              <w:t>40 – 52 min</w:t>
            </w:r>
          </w:p>
        </w:tc>
        <w:tc>
          <w:tcPr>
            <w:tcW w:w="1650" w:type="pct"/>
            <w:tcMar>
              <w:top w:w="60" w:type="dxa"/>
              <w:left w:w="90" w:type="dxa"/>
              <w:bottom w:w="60" w:type="dxa"/>
              <w:right w:w="90" w:type="dxa"/>
            </w:tcMar>
          </w:tcPr>
          <w:p w14:paraId="0130410E" w14:textId="77777777" w:rsidR="00B13F99" w:rsidRDefault="00000000">
            <w:r>
              <w:rPr>
                <w:rFonts w:ascii="Calibri" w:eastAsia="Calibri" w:hAnsi="Calibri" w:cs="Calibri"/>
                <w:color w:val="1A1A1A"/>
                <w:sz w:val="17"/>
                <w:szCs w:val="17"/>
              </w:rPr>
              <w:t>Rédiger intégralement l’introduction et la conclusion.</w:t>
            </w:r>
          </w:p>
        </w:tc>
        <w:tc>
          <w:tcPr>
            <w:tcW w:w="1650" w:type="pct"/>
            <w:tcMar>
              <w:top w:w="60" w:type="dxa"/>
              <w:left w:w="90" w:type="dxa"/>
              <w:bottom w:w="60" w:type="dxa"/>
              <w:right w:w="90" w:type="dxa"/>
            </w:tcMar>
          </w:tcPr>
          <w:p w14:paraId="333C7780" w14:textId="77777777" w:rsidR="00B13F99" w:rsidRDefault="00000000">
            <w:r>
              <w:rPr>
                <w:rFonts w:ascii="Calibri" w:eastAsia="Calibri" w:hAnsi="Calibri" w:cs="Calibri"/>
                <w:color w:val="1A1A1A"/>
                <w:sz w:val="17"/>
                <w:szCs w:val="17"/>
              </w:rPr>
              <w:t>Deux blocs rédigés, prêts à être lus si le trac survient.</w:t>
            </w:r>
          </w:p>
        </w:tc>
      </w:tr>
      <w:tr w:rsidR="00B13F99" w14:paraId="4E3F92F9" w14:textId="77777777">
        <w:tblPrEx>
          <w:tblCellMar>
            <w:top w:w="0" w:type="dxa"/>
            <w:bottom w:w="0" w:type="dxa"/>
          </w:tblCellMar>
        </w:tblPrEx>
        <w:tc>
          <w:tcPr>
            <w:tcW w:w="1650" w:type="pct"/>
            <w:tcMar>
              <w:top w:w="60" w:type="dxa"/>
              <w:left w:w="90" w:type="dxa"/>
              <w:bottom w:w="60" w:type="dxa"/>
              <w:right w:w="90" w:type="dxa"/>
            </w:tcMar>
          </w:tcPr>
          <w:p w14:paraId="5BCBBA1A" w14:textId="77777777" w:rsidR="00B13F99" w:rsidRDefault="00000000">
            <w:r>
              <w:rPr>
                <w:rFonts w:ascii="Calibri" w:eastAsia="Calibri" w:hAnsi="Calibri" w:cs="Calibri"/>
                <w:color w:val="1A1A1A"/>
                <w:sz w:val="17"/>
                <w:szCs w:val="17"/>
              </w:rPr>
              <w:t>52 – 60 min</w:t>
            </w:r>
          </w:p>
        </w:tc>
        <w:tc>
          <w:tcPr>
            <w:tcW w:w="1650" w:type="pct"/>
            <w:tcMar>
              <w:top w:w="60" w:type="dxa"/>
              <w:left w:w="90" w:type="dxa"/>
              <w:bottom w:w="60" w:type="dxa"/>
              <w:right w:w="90" w:type="dxa"/>
            </w:tcMar>
          </w:tcPr>
          <w:p w14:paraId="31AF4D47" w14:textId="77777777" w:rsidR="00B13F99" w:rsidRDefault="00000000">
            <w:r>
              <w:rPr>
                <w:rFonts w:ascii="Calibri" w:eastAsia="Calibri" w:hAnsi="Calibri" w:cs="Calibri"/>
                <w:color w:val="1A1A1A"/>
                <w:sz w:val="17"/>
                <w:szCs w:val="17"/>
              </w:rPr>
              <w:t>Nourrir chaque sous-partie de deux ou trois arguments avec leur référence. Numéroter les feuilles, recto seulement.</w:t>
            </w:r>
          </w:p>
        </w:tc>
        <w:tc>
          <w:tcPr>
            <w:tcW w:w="1650" w:type="pct"/>
            <w:tcMar>
              <w:top w:w="60" w:type="dxa"/>
              <w:left w:w="90" w:type="dxa"/>
              <w:bottom w:w="60" w:type="dxa"/>
              <w:right w:w="90" w:type="dxa"/>
            </w:tcMar>
          </w:tcPr>
          <w:p w14:paraId="2D346626" w14:textId="77777777" w:rsidR="00B13F99" w:rsidRDefault="00000000">
            <w:r>
              <w:rPr>
                <w:rFonts w:ascii="Calibri" w:eastAsia="Calibri" w:hAnsi="Calibri" w:cs="Calibri"/>
                <w:color w:val="1A1A1A"/>
                <w:sz w:val="17"/>
                <w:szCs w:val="17"/>
              </w:rPr>
              <w:t>Un brouillon lisible en un coup d’œil, qui dispense la mémoire de travailler devant le jury.</w:t>
            </w:r>
          </w:p>
        </w:tc>
      </w:tr>
    </w:tbl>
    <w:p w14:paraId="77F64C1F" w14:textId="77777777" w:rsidR="00B13F99" w:rsidRDefault="00B13F99">
      <w:pPr>
        <w:spacing w:after="120"/>
      </w:pPr>
    </w:p>
    <w:p w14:paraId="3ED33028" w14:textId="77777777" w:rsidR="00B13F99"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b/>
          <w:bCs/>
          <w:color w:val="1A1A1A"/>
          <w:sz w:val="19"/>
          <w:szCs w:val="19"/>
        </w:rPr>
        <w:lastRenderedPageBreak/>
        <w:t>La règle d’or de l’heure de préparation.</w:t>
      </w:r>
      <w:r>
        <w:rPr>
          <w:rFonts w:ascii="Calibri" w:eastAsia="Calibri" w:hAnsi="Calibri" w:cs="Calibri"/>
          <w:color w:val="1A1A1A"/>
          <w:sz w:val="19"/>
          <w:szCs w:val="19"/>
        </w:rPr>
        <w:t xml:space="preserve"> Ce qui est rédigé, c’est le début et la fin. Le reste est un fil d’Ariane, pas un texte. Un exposé lu est un exposé mort — mais un blanc dans les dix premières secondes coûte plus cher qu’une lecture.</w:t>
      </w:r>
    </w:p>
    <w:p w14:paraId="46EB41C7"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3. L’INTRODUCTION, RÉDIGÉE MOT À MOT</w:t>
      </w:r>
    </w:p>
    <w:p w14:paraId="4A474190" w14:textId="77777777" w:rsidR="00B13F99" w:rsidRDefault="00000000">
      <w:pPr>
        <w:spacing w:after="160"/>
      </w:pPr>
      <w:r>
        <w:rPr>
          <w:rFonts w:ascii="Calibri" w:eastAsia="Calibri" w:hAnsi="Calibri" w:cs="Calibri"/>
          <w:i/>
          <w:iCs/>
          <w:color w:val="5A5A5A"/>
          <w:sz w:val="18"/>
          <w:szCs w:val="18"/>
        </w:rPr>
        <w:t>À apprendre dans sa structure, non par cœur. Durée à l’oral : environ quatre minutes sur les quinze.</w:t>
      </w:r>
    </w:p>
    <w:p w14:paraId="2AAB1C16" w14:textId="77777777" w:rsidR="00B13F99" w:rsidRDefault="00000000">
      <w:pPr>
        <w:pStyle w:val="Titre3"/>
        <w:spacing w:before="200" w:after="80"/>
      </w:pPr>
      <w:r>
        <w:rPr>
          <w:rFonts w:ascii="Calibri" w:eastAsia="Calibri" w:hAnsi="Calibri" w:cs="Calibri"/>
          <w:b/>
          <w:bCs/>
          <w:i/>
          <w:iCs/>
          <w:color w:val="1A1A1A"/>
          <w:sz w:val="21"/>
          <w:szCs w:val="21"/>
        </w:rPr>
        <w:t>Accroche</w:t>
      </w:r>
    </w:p>
    <w:p w14:paraId="01614B9E" w14:textId="77777777" w:rsidR="00B13F99" w:rsidRDefault="00000000">
      <w:pPr>
        <w:spacing w:after="110" w:line="288" w:lineRule="auto"/>
        <w:ind w:left="180" w:right="180"/>
        <w:jc w:val="both"/>
      </w:pPr>
      <w:r>
        <w:rPr>
          <w:rFonts w:ascii="Calibri" w:eastAsia="Calibri" w:hAnsi="Calibri" w:cs="Calibri"/>
          <w:color w:val="1A1A1A"/>
        </w:rPr>
        <w:t>Le 18 août 2026, le législateur français a rendu exigible la liberté de mourir. Trois mois plus tôt, le 26 mai, il avait refusé de rendre opposable le droit d’être soulagé. Entre ces deux textes issus du même alinéa du Préambule de 1946, c’est toute la difficulté du droit de la fin de vie qui se donne à lire.</w:t>
      </w:r>
    </w:p>
    <w:p w14:paraId="0C9E94CA" w14:textId="77777777" w:rsidR="00B13F99" w:rsidRDefault="00000000">
      <w:pPr>
        <w:pStyle w:val="Titre3"/>
        <w:spacing w:before="200" w:after="80"/>
      </w:pPr>
      <w:r>
        <w:rPr>
          <w:rFonts w:ascii="Calibri" w:eastAsia="Calibri" w:hAnsi="Calibri" w:cs="Calibri"/>
          <w:b/>
          <w:bCs/>
          <w:i/>
          <w:iCs/>
          <w:color w:val="1A1A1A"/>
          <w:sz w:val="21"/>
          <w:szCs w:val="21"/>
        </w:rPr>
        <w:t>Définition des termes</w:t>
      </w:r>
    </w:p>
    <w:p w14:paraId="3ABEB930" w14:textId="77777777" w:rsidR="00B13F99" w:rsidRDefault="00000000">
      <w:pPr>
        <w:spacing w:after="110" w:line="288" w:lineRule="auto"/>
        <w:ind w:left="180" w:right="180"/>
        <w:jc w:val="both"/>
      </w:pPr>
      <w:r>
        <w:rPr>
          <w:rFonts w:ascii="Calibri" w:eastAsia="Calibri" w:hAnsi="Calibri" w:cs="Calibri"/>
          <w:color w:val="1A1A1A"/>
        </w:rPr>
        <w:t>La fin de vie désigne la période au cours de laquelle une personne se trouve à l’approche de son décès, en raison le plus souvent d’une affection grave et incurable en phase avancée ou terminale. Si la notion renvoie d’abord à une réalité médicale, elle revêt une dimension juridique propre : elle ne se confond ni avec la mort, qui est un événement, ni avec le droit à la vie, qui est son cadre. Elle désigne le régime des décisions prises pendant ce processus — poursuite ou arrêt des traitements, refus de soins, soulagement de la souffrance, sédation, et depuis 2026 aide à mourir.</w:t>
      </w:r>
    </w:p>
    <w:p w14:paraId="41D3476F" w14:textId="77777777" w:rsidR="00B13F99" w:rsidRDefault="00000000">
      <w:pPr>
        <w:pStyle w:val="Titre3"/>
        <w:spacing w:before="200" w:after="80"/>
      </w:pPr>
      <w:r>
        <w:rPr>
          <w:rFonts w:ascii="Calibri" w:eastAsia="Calibri" w:hAnsi="Calibri" w:cs="Calibri"/>
          <w:b/>
          <w:bCs/>
          <w:i/>
          <w:iCs/>
          <w:color w:val="1A1A1A"/>
          <w:sz w:val="21"/>
          <w:szCs w:val="21"/>
        </w:rPr>
        <w:t>Cadre normatif</w:t>
      </w:r>
    </w:p>
    <w:p w14:paraId="61683926" w14:textId="77777777" w:rsidR="00B13F99" w:rsidRDefault="00000000">
      <w:pPr>
        <w:spacing w:after="110" w:line="288" w:lineRule="auto"/>
        <w:ind w:left="180" w:right="180"/>
        <w:jc w:val="both"/>
      </w:pPr>
      <w:r>
        <w:rPr>
          <w:rFonts w:ascii="Calibri" w:eastAsia="Calibri" w:hAnsi="Calibri" w:cs="Calibri"/>
          <w:color w:val="1A1A1A"/>
        </w:rPr>
        <w:t>Ce régime s’inscrit dans un cadre qu’il ne peut ignorer. L’article 2 de la Convention européenne des droits de l’homme impose à l’État de protéger la vie par la loi, et la Cour de Strasbourg a jugé, dès l’arrêt Pretty contre Royaume-Uni du 29 avril 2002, que cette disposition ne comporte pas de volet négatif dont procéderait un droit de mourir. En droit interne, la Constitution ne consacre pas expressément le droit à la vie : il se rattache au principe de sauvegarde de la dignité de la personne humaine, dégagé par le Conseil constitutionnel dans sa décision du 27 juillet 1994.</w:t>
      </w:r>
    </w:p>
    <w:p w14:paraId="7665601C" w14:textId="77777777" w:rsidR="00B13F99" w:rsidRDefault="00000000">
      <w:pPr>
        <w:pStyle w:val="Titre3"/>
        <w:spacing w:before="200" w:after="80"/>
      </w:pPr>
      <w:r>
        <w:rPr>
          <w:rFonts w:ascii="Calibri" w:eastAsia="Calibri" w:hAnsi="Calibri" w:cs="Calibri"/>
          <w:b/>
          <w:bCs/>
          <w:i/>
          <w:iCs/>
          <w:color w:val="1A1A1A"/>
          <w:sz w:val="21"/>
          <w:szCs w:val="21"/>
        </w:rPr>
        <w:t>Contexte</w:t>
      </w:r>
    </w:p>
    <w:p w14:paraId="2A25154C" w14:textId="77777777" w:rsidR="00B13F99" w:rsidRDefault="00000000">
      <w:pPr>
        <w:spacing w:after="110" w:line="288" w:lineRule="auto"/>
        <w:ind w:left="180" w:right="180"/>
        <w:jc w:val="both"/>
      </w:pPr>
      <w:r>
        <w:rPr>
          <w:rFonts w:ascii="Calibri" w:eastAsia="Calibri" w:hAnsi="Calibri" w:cs="Calibri"/>
          <w:color w:val="1A1A1A"/>
        </w:rPr>
        <w:t>Le droit français de la fin de vie s’est construit par paliers, chacun déplaçant le curseur d’un cran sans jamais le franchir d’un coup : l’accès aux soins palliatifs en 1999, le consentement érigé en pivot en 2002, la prohibition de l’obstination déraisonnable en 2005, la sédation profonde et continue et les directives anticipées contraignantes en 2016. Vingt-sept ans durant, la ligne est restée la même : le droit français autorisait à laisser mourir, il n’autorisait pas à faire mourir. La loi du 18 août 2026 relative au droit à l’aide à mourir, déclarée conforme sous trois réserves par le Conseil constitutionnel le 14 août 2026, franchit cette frontière.</w:t>
      </w:r>
    </w:p>
    <w:p w14:paraId="6BAED980" w14:textId="77777777" w:rsidR="00B13F99" w:rsidRDefault="00000000">
      <w:pPr>
        <w:pStyle w:val="Titre3"/>
        <w:spacing w:before="200" w:after="80"/>
      </w:pPr>
      <w:r>
        <w:rPr>
          <w:rFonts w:ascii="Calibri" w:eastAsia="Calibri" w:hAnsi="Calibri" w:cs="Calibri"/>
          <w:b/>
          <w:bCs/>
          <w:i/>
          <w:iCs/>
          <w:color w:val="1A1A1A"/>
          <w:sz w:val="21"/>
          <w:szCs w:val="21"/>
        </w:rPr>
        <w:t>Intérêt du sujet</w:t>
      </w:r>
    </w:p>
    <w:p w14:paraId="2DDAFBFC" w14:textId="77777777" w:rsidR="00B13F99" w:rsidRDefault="00000000">
      <w:pPr>
        <w:spacing w:after="110" w:line="288" w:lineRule="auto"/>
        <w:ind w:left="180" w:right="180"/>
        <w:jc w:val="both"/>
      </w:pPr>
      <w:r>
        <w:rPr>
          <w:rFonts w:ascii="Calibri" w:eastAsia="Calibri" w:hAnsi="Calibri" w:cs="Calibri"/>
          <w:color w:val="1A1A1A"/>
        </w:rPr>
        <w:t>L’intérêt du sujet tient à ce que la fin de vie met en présence deux exigences constitutionnelles de même rang, sans hiérarchie prédéterminée : la protection due à la vie et aux personnes vulnérables d’une part, le respect de la dignité et de l’autonomie de la personne d’autre part. Le franchissement de 2026 oblige à reposer une question ancienne : la volonté de la personne peut-elle, à elle seule, fonder un droit dont l’exercice suppose le concours d’autrui ?</w:t>
      </w:r>
    </w:p>
    <w:p w14:paraId="4501CF62" w14:textId="77777777" w:rsidR="00B13F99" w:rsidRDefault="00000000">
      <w:pPr>
        <w:pStyle w:val="Titre3"/>
        <w:spacing w:before="200" w:after="80"/>
      </w:pPr>
      <w:r>
        <w:rPr>
          <w:rFonts w:ascii="Calibri" w:eastAsia="Calibri" w:hAnsi="Calibri" w:cs="Calibri"/>
          <w:b/>
          <w:bCs/>
          <w:i/>
          <w:iCs/>
          <w:color w:val="1A1A1A"/>
          <w:sz w:val="21"/>
          <w:szCs w:val="21"/>
        </w:rPr>
        <w:t>Délimitation</w:t>
      </w:r>
    </w:p>
    <w:p w14:paraId="717DBE76" w14:textId="77777777" w:rsidR="00B13F99" w:rsidRDefault="00000000">
      <w:pPr>
        <w:spacing w:after="110" w:line="288" w:lineRule="auto"/>
        <w:ind w:left="180" w:right="180"/>
        <w:jc w:val="both"/>
      </w:pPr>
      <w:r>
        <w:rPr>
          <w:rFonts w:ascii="Calibri" w:eastAsia="Calibri" w:hAnsi="Calibri" w:cs="Calibri"/>
          <w:color w:val="1A1A1A"/>
        </w:rPr>
        <w:t>Le sujet sera envisagé sous l’angle des droits et libertés fondamentaux, à partir du droit français éclairé par les exigences européennes. Les questions d’assurance, de responsabilité civile ou de fiscalité successorale en seront écartées.</w:t>
      </w:r>
    </w:p>
    <w:p w14:paraId="0000A93C" w14:textId="77777777" w:rsidR="00B13F99" w:rsidRDefault="00000000">
      <w:pPr>
        <w:pStyle w:val="Titre3"/>
        <w:spacing w:before="200" w:after="80"/>
      </w:pPr>
      <w:r>
        <w:rPr>
          <w:rFonts w:ascii="Calibri" w:eastAsia="Calibri" w:hAnsi="Calibri" w:cs="Calibri"/>
          <w:b/>
          <w:bCs/>
          <w:i/>
          <w:iCs/>
          <w:color w:val="1A1A1A"/>
          <w:sz w:val="21"/>
          <w:szCs w:val="21"/>
        </w:rPr>
        <w:t>Problématique</w:t>
      </w:r>
    </w:p>
    <w:p w14:paraId="346919B8" w14:textId="77777777" w:rsidR="00B13F99"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b/>
          <w:bCs/>
          <w:color w:val="1A1A1A"/>
          <w:sz w:val="19"/>
          <w:szCs w:val="19"/>
        </w:rPr>
        <w:t>Le droit de la fin de vie peut-il faire reposer sur la seule volonté de la personne des décisions qui engagent la protection due à la vie ?</w:t>
      </w:r>
    </w:p>
    <w:p w14:paraId="3F0C8728" w14:textId="77777777" w:rsidR="00B13F99" w:rsidRDefault="00000000">
      <w:pPr>
        <w:pStyle w:val="Titre3"/>
        <w:spacing w:before="200" w:after="80"/>
      </w:pPr>
      <w:r>
        <w:rPr>
          <w:rFonts w:ascii="Calibri" w:eastAsia="Calibri" w:hAnsi="Calibri" w:cs="Calibri"/>
          <w:b/>
          <w:bCs/>
          <w:i/>
          <w:iCs/>
          <w:color w:val="1A1A1A"/>
          <w:sz w:val="21"/>
          <w:szCs w:val="21"/>
        </w:rPr>
        <w:lastRenderedPageBreak/>
        <w:t>Annonce du plan</w:t>
      </w:r>
    </w:p>
    <w:p w14:paraId="5EA9CC97" w14:textId="77777777" w:rsidR="00B13F99" w:rsidRDefault="00000000">
      <w:pPr>
        <w:spacing w:after="110" w:line="288" w:lineRule="auto"/>
        <w:ind w:left="180" w:right="180"/>
        <w:jc w:val="both"/>
      </w:pPr>
      <w:r>
        <w:rPr>
          <w:rFonts w:ascii="Calibri" w:eastAsia="Calibri" w:hAnsi="Calibri" w:cs="Calibri"/>
          <w:color w:val="1A1A1A"/>
        </w:rPr>
        <w:t>La réponse a longtemps été négative : la volonté du patient n’a d’abord été reçue que comme une limite opposée à l’obstination médicale, relayée par la collégialité lorsqu’elle ne pouvait plus s’exprimer (I). Elle est désormais érigée en fondement d’un droit, mais à la condition que le législateur en organise les garanties — le contrôle s’étant déplacé du choix lui-même vers l’architecture qui l’encadre (II).</w:t>
      </w:r>
    </w:p>
    <w:p w14:paraId="331AAC80"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4. LE PLAN DÉTAILLÉ</w:t>
      </w:r>
    </w:p>
    <w:tbl>
      <w:tblPr>
        <w:tblW w:w="5000" w:type="pct"/>
        <w:tblBorders>
          <w:top w:val="single" w:sz="2" w:space="0" w:color="C9C0B6"/>
          <w:left w:val="single" w:sz="2" w:space="0" w:color="C9C0B6"/>
          <w:bottom w:val="single" w:sz="2" w:space="0" w:color="C9C0B6"/>
          <w:right w:val="single" w:sz="2" w:space="0" w:color="C9C0B6"/>
          <w:insideH w:val="single" w:sz="2" w:space="0" w:color="DCD5CC"/>
          <w:insideV w:val="single" w:sz="2" w:space="0" w:color="DCD5CC"/>
        </w:tblBorders>
        <w:tblCellMar>
          <w:left w:w="10" w:type="dxa"/>
          <w:right w:w="10" w:type="dxa"/>
        </w:tblCellMar>
        <w:tblLook w:val="04A0" w:firstRow="1" w:lastRow="0" w:firstColumn="1" w:lastColumn="0" w:noHBand="0" w:noVBand="1"/>
      </w:tblPr>
      <w:tblGrid>
        <w:gridCol w:w="3248"/>
        <w:gridCol w:w="3249"/>
        <w:gridCol w:w="3249"/>
      </w:tblGrid>
      <w:tr w:rsidR="00B13F99" w14:paraId="73BFC465" w14:textId="77777777">
        <w:tblPrEx>
          <w:tblCellMar>
            <w:top w:w="0" w:type="dxa"/>
            <w:bottom w:w="0" w:type="dxa"/>
          </w:tblCellMar>
        </w:tblPrEx>
        <w:trPr>
          <w:tblHeader/>
        </w:trPr>
        <w:tc>
          <w:tcPr>
            <w:tcW w:w="1650" w:type="pct"/>
            <w:shd w:val="clear" w:color="auto" w:fill="F2E9EA"/>
            <w:tcMar>
              <w:top w:w="60" w:type="dxa"/>
              <w:left w:w="90" w:type="dxa"/>
              <w:bottom w:w="60" w:type="dxa"/>
              <w:right w:w="90" w:type="dxa"/>
            </w:tcMar>
          </w:tcPr>
          <w:p w14:paraId="215876B4" w14:textId="77777777" w:rsidR="00B13F99" w:rsidRDefault="00B13F99"/>
        </w:tc>
        <w:tc>
          <w:tcPr>
            <w:tcW w:w="1650" w:type="pct"/>
            <w:shd w:val="clear" w:color="auto" w:fill="F2E9EA"/>
            <w:tcMar>
              <w:top w:w="60" w:type="dxa"/>
              <w:left w:w="90" w:type="dxa"/>
              <w:bottom w:w="60" w:type="dxa"/>
              <w:right w:w="90" w:type="dxa"/>
            </w:tcMar>
          </w:tcPr>
          <w:p w14:paraId="59CEA6D0" w14:textId="77777777" w:rsidR="00B13F99" w:rsidRDefault="00000000">
            <w:r>
              <w:rPr>
                <w:rFonts w:ascii="Calibri" w:eastAsia="Calibri" w:hAnsi="Calibri" w:cs="Calibri"/>
                <w:b/>
                <w:bCs/>
                <w:color w:val="1A1A1A"/>
                <w:sz w:val="17"/>
                <w:szCs w:val="17"/>
              </w:rPr>
              <w:t>I. Une fin de vie longtemps gouvernée par l’interdit de l’obstination</w:t>
            </w:r>
          </w:p>
        </w:tc>
        <w:tc>
          <w:tcPr>
            <w:tcW w:w="1650" w:type="pct"/>
            <w:shd w:val="clear" w:color="auto" w:fill="F2E9EA"/>
            <w:tcMar>
              <w:top w:w="60" w:type="dxa"/>
              <w:left w:w="90" w:type="dxa"/>
              <w:bottom w:w="60" w:type="dxa"/>
              <w:right w:w="90" w:type="dxa"/>
            </w:tcMar>
          </w:tcPr>
          <w:p w14:paraId="67E26814" w14:textId="77777777" w:rsidR="00B13F99" w:rsidRDefault="00000000">
            <w:r>
              <w:rPr>
                <w:rFonts w:ascii="Calibri" w:eastAsia="Calibri" w:hAnsi="Calibri" w:cs="Calibri"/>
                <w:b/>
                <w:bCs/>
                <w:color w:val="1A1A1A"/>
                <w:sz w:val="17"/>
                <w:szCs w:val="17"/>
              </w:rPr>
              <w:t>II. Une fin de vie désormais ouverte au choix, sous condition de garanties</w:t>
            </w:r>
          </w:p>
        </w:tc>
      </w:tr>
      <w:tr w:rsidR="00B13F99" w14:paraId="12AB5B6E" w14:textId="77777777">
        <w:tblPrEx>
          <w:tblCellMar>
            <w:top w:w="0" w:type="dxa"/>
            <w:bottom w:w="0" w:type="dxa"/>
          </w:tblCellMar>
        </w:tblPrEx>
        <w:tc>
          <w:tcPr>
            <w:tcW w:w="1650" w:type="pct"/>
            <w:tcMar>
              <w:top w:w="60" w:type="dxa"/>
              <w:left w:w="90" w:type="dxa"/>
              <w:bottom w:w="60" w:type="dxa"/>
              <w:right w:w="90" w:type="dxa"/>
            </w:tcMar>
          </w:tcPr>
          <w:p w14:paraId="1EDE3D92" w14:textId="77777777" w:rsidR="00B13F99" w:rsidRDefault="00000000">
            <w:r>
              <w:rPr>
                <w:rFonts w:ascii="Calibri" w:eastAsia="Calibri" w:hAnsi="Calibri" w:cs="Calibri"/>
                <w:color w:val="1A1A1A"/>
                <w:sz w:val="17"/>
                <w:szCs w:val="17"/>
              </w:rPr>
              <w:t>A</w:t>
            </w:r>
          </w:p>
        </w:tc>
        <w:tc>
          <w:tcPr>
            <w:tcW w:w="1650" w:type="pct"/>
            <w:tcMar>
              <w:top w:w="60" w:type="dxa"/>
              <w:left w:w="90" w:type="dxa"/>
              <w:bottom w:w="60" w:type="dxa"/>
              <w:right w:w="90" w:type="dxa"/>
            </w:tcMar>
          </w:tcPr>
          <w:p w14:paraId="4EECCCA6" w14:textId="77777777" w:rsidR="00B13F99" w:rsidRDefault="00000000">
            <w:r>
              <w:rPr>
                <w:rFonts w:ascii="Calibri" w:eastAsia="Calibri" w:hAnsi="Calibri" w:cs="Calibri"/>
                <w:color w:val="1A1A1A"/>
                <w:sz w:val="17"/>
                <w:szCs w:val="17"/>
              </w:rPr>
              <w:t>La volonté comme frein : refus de traitement, directives anticipées, sédation</w:t>
            </w:r>
          </w:p>
        </w:tc>
        <w:tc>
          <w:tcPr>
            <w:tcW w:w="1650" w:type="pct"/>
            <w:tcMar>
              <w:top w:w="60" w:type="dxa"/>
              <w:left w:w="90" w:type="dxa"/>
              <w:bottom w:w="60" w:type="dxa"/>
              <w:right w:w="90" w:type="dxa"/>
            </w:tcMar>
          </w:tcPr>
          <w:p w14:paraId="6D73E880" w14:textId="77777777" w:rsidR="00B13F99" w:rsidRDefault="00000000">
            <w:r>
              <w:rPr>
                <w:rFonts w:ascii="Calibri" w:eastAsia="Calibri" w:hAnsi="Calibri" w:cs="Calibri"/>
                <w:color w:val="1A1A1A"/>
                <w:sz w:val="17"/>
                <w:szCs w:val="17"/>
              </w:rPr>
              <w:t>La volonté comme fondement : le droit à l’aide à mourir</w:t>
            </w:r>
          </w:p>
        </w:tc>
      </w:tr>
      <w:tr w:rsidR="00B13F99" w14:paraId="022CB98B" w14:textId="77777777">
        <w:tblPrEx>
          <w:tblCellMar>
            <w:top w:w="0" w:type="dxa"/>
            <w:bottom w:w="0" w:type="dxa"/>
          </w:tblCellMar>
        </w:tblPrEx>
        <w:tc>
          <w:tcPr>
            <w:tcW w:w="1650" w:type="pct"/>
            <w:tcMar>
              <w:top w:w="60" w:type="dxa"/>
              <w:left w:w="90" w:type="dxa"/>
              <w:bottom w:w="60" w:type="dxa"/>
              <w:right w:w="90" w:type="dxa"/>
            </w:tcMar>
          </w:tcPr>
          <w:p w14:paraId="52DF5836" w14:textId="77777777" w:rsidR="00B13F99" w:rsidRDefault="00000000">
            <w:r>
              <w:rPr>
                <w:rFonts w:ascii="Calibri" w:eastAsia="Calibri" w:hAnsi="Calibri" w:cs="Calibri"/>
                <w:color w:val="1A1A1A"/>
                <w:sz w:val="17"/>
                <w:szCs w:val="17"/>
              </w:rPr>
              <w:t>B</w:t>
            </w:r>
          </w:p>
        </w:tc>
        <w:tc>
          <w:tcPr>
            <w:tcW w:w="1650" w:type="pct"/>
            <w:tcMar>
              <w:top w:w="60" w:type="dxa"/>
              <w:left w:w="90" w:type="dxa"/>
              <w:bottom w:w="60" w:type="dxa"/>
              <w:right w:w="90" w:type="dxa"/>
            </w:tcMar>
          </w:tcPr>
          <w:p w14:paraId="5D47F3DF" w14:textId="77777777" w:rsidR="00B13F99" w:rsidRDefault="00000000">
            <w:r>
              <w:rPr>
                <w:rFonts w:ascii="Calibri" w:eastAsia="Calibri" w:hAnsi="Calibri" w:cs="Calibri"/>
                <w:color w:val="1A1A1A"/>
                <w:sz w:val="17"/>
                <w:szCs w:val="17"/>
              </w:rPr>
              <w:t>La volonté relayée : collégialité médicale et contrôle du juge</w:t>
            </w:r>
          </w:p>
        </w:tc>
        <w:tc>
          <w:tcPr>
            <w:tcW w:w="1650" w:type="pct"/>
            <w:tcMar>
              <w:top w:w="60" w:type="dxa"/>
              <w:left w:w="90" w:type="dxa"/>
              <w:bottom w:w="60" w:type="dxa"/>
              <w:right w:w="90" w:type="dxa"/>
            </w:tcMar>
          </w:tcPr>
          <w:p w14:paraId="2C638D33" w14:textId="77777777" w:rsidR="00B13F99" w:rsidRDefault="00000000">
            <w:r>
              <w:rPr>
                <w:rFonts w:ascii="Calibri" w:eastAsia="Calibri" w:hAnsi="Calibri" w:cs="Calibri"/>
                <w:color w:val="1A1A1A"/>
                <w:sz w:val="17"/>
                <w:szCs w:val="17"/>
              </w:rPr>
              <w:t>Le déplacement du contrôle : du choix vers les garanties</w:t>
            </w:r>
          </w:p>
        </w:tc>
      </w:tr>
    </w:tbl>
    <w:p w14:paraId="316CEA83" w14:textId="77777777" w:rsidR="00B13F99" w:rsidRDefault="00000000">
      <w:pPr>
        <w:pStyle w:val="Titre2"/>
        <w:spacing w:before="260" w:after="110"/>
      </w:pPr>
      <w:r>
        <w:rPr>
          <w:rFonts w:ascii="Calibri" w:eastAsia="Calibri" w:hAnsi="Calibri" w:cs="Calibri"/>
          <w:b/>
          <w:bCs/>
          <w:color w:val="1A1A1A"/>
          <w:spacing w:val="16"/>
          <w:sz w:val="23"/>
          <w:szCs w:val="23"/>
        </w:rPr>
        <w:t>I. Une fin de vie longtemps gouvernée par l’interdit de l’obstination</w:t>
      </w:r>
    </w:p>
    <w:p w14:paraId="3A6D6D50" w14:textId="77777777" w:rsidR="00B13F99" w:rsidRDefault="00000000">
      <w:pPr>
        <w:spacing w:after="90" w:line="264" w:lineRule="auto"/>
        <w:jc w:val="both"/>
      </w:pPr>
      <w:r>
        <w:rPr>
          <w:rFonts w:ascii="Calibri" w:eastAsia="Calibri" w:hAnsi="Calibri" w:cs="Calibri"/>
          <w:i/>
          <w:iCs/>
          <w:color w:val="1A1A1A"/>
        </w:rPr>
        <w:t>Chapeau introductif à dire à l’oral.</w:t>
      </w:r>
      <w:r>
        <w:rPr>
          <w:rFonts w:ascii="Calibri" w:eastAsia="Calibri" w:hAnsi="Calibri" w:cs="Calibri"/>
          <w:color w:val="1A1A1A"/>
        </w:rPr>
        <w:t xml:space="preserve"> Le droit français n’a pas commencé par reconnaître un droit sur sa propre mort : il a commencé par poser une interdiction à la médecine. La volonté du patient y trouve d’abord une place défensive.</w:t>
      </w:r>
    </w:p>
    <w:p w14:paraId="13075677" w14:textId="77777777" w:rsidR="00B13F99" w:rsidRDefault="00000000">
      <w:pPr>
        <w:pStyle w:val="Titre3"/>
        <w:spacing w:before="200" w:after="80"/>
      </w:pPr>
      <w:r>
        <w:rPr>
          <w:rFonts w:ascii="Calibri" w:eastAsia="Calibri" w:hAnsi="Calibri" w:cs="Calibri"/>
          <w:b/>
          <w:bCs/>
          <w:i/>
          <w:iCs/>
          <w:color w:val="1A1A1A"/>
          <w:sz w:val="21"/>
          <w:szCs w:val="21"/>
        </w:rPr>
        <w:t>A. La volonté comme frein : refus de traitement, directives anticipées, sédation</w:t>
      </w:r>
    </w:p>
    <w:p w14:paraId="1B8CDE89"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socle : un droit à une fin de vie digne, non un droit à la mort.</w:t>
      </w:r>
      <w:r>
        <w:rPr>
          <w:rFonts w:ascii="Calibri" w:eastAsia="Calibri" w:hAnsi="Calibri" w:cs="Calibri"/>
          <w:color w:val="1A1A1A"/>
        </w:rPr>
        <w:t xml:space="preserve"> </w:t>
      </w:r>
      <w:r>
        <w:rPr>
          <w:rFonts w:ascii="Calibri" w:eastAsia="Calibri" w:hAnsi="Calibri" w:cs="Calibri"/>
          <w:color w:val="1E88E5"/>
        </w:rPr>
        <w:t>Article L. 1110-5 du code de la santé publique</w:t>
      </w:r>
      <w:r>
        <w:rPr>
          <w:rFonts w:ascii="Calibri" w:eastAsia="Calibri" w:hAnsi="Calibri" w:cs="Calibri"/>
          <w:color w:val="1A1A1A"/>
        </w:rPr>
        <w:t xml:space="preserve"> : « Toute personne a le droit d’avoir une fin de vie digne et accompagnée du meilleur apaisement possible de la souffrance. » La dignité y est un </w:t>
      </w:r>
      <w:r>
        <w:rPr>
          <w:rFonts w:ascii="Calibri" w:eastAsia="Calibri" w:hAnsi="Calibri" w:cs="Calibri"/>
          <w:b/>
          <w:bCs/>
          <w:color w:val="1A1A1A"/>
        </w:rPr>
        <w:t>standard de prise en charge</w:t>
      </w:r>
      <w:r>
        <w:rPr>
          <w:rFonts w:ascii="Calibri" w:eastAsia="Calibri" w:hAnsi="Calibri" w:cs="Calibri"/>
          <w:color w:val="1A1A1A"/>
        </w:rPr>
        <w:t>, non un fondement d’un droit subjectif.</w:t>
      </w:r>
    </w:p>
    <w:p w14:paraId="0641F64E"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consentement érigé en pivot.</w:t>
      </w:r>
      <w:r>
        <w:rPr>
          <w:rFonts w:ascii="Calibri" w:eastAsia="Calibri" w:hAnsi="Calibri" w:cs="Calibri"/>
          <w:color w:val="1A1A1A"/>
        </w:rPr>
        <w:t xml:space="preserve"> </w:t>
      </w:r>
      <w:r>
        <w:rPr>
          <w:rFonts w:ascii="Calibri" w:eastAsia="Calibri" w:hAnsi="Calibri" w:cs="Calibri"/>
          <w:color w:val="1E88E5"/>
        </w:rPr>
        <w:t>Loi n° 2002-303 du 4 mars 2002</w:t>
      </w:r>
      <w:r>
        <w:rPr>
          <w:rFonts w:ascii="Calibri" w:eastAsia="Calibri" w:hAnsi="Calibri" w:cs="Calibri"/>
          <w:color w:val="1A1A1A"/>
        </w:rPr>
        <w:t xml:space="preserve"> et </w:t>
      </w:r>
      <w:r>
        <w:rPr>
          <w:rFonts w:ascii="Calibri" w:eastAsia="Calibri" w:hAnsi="Calibri" w:cs="Calibri"/>
          <w:color w:val="1E88E5"/>
        </w:rPr>
        <w:t>article L. 1111-4 CSP</w:t>
      </w:r>
      <w:r>
        <w:rPr>
          <w:rFonts w:ascii="Calibri" w:eastAsia="Calibri" w:hAnsi="Calibri" w:cs="Calibri"/>
          <w:color w:val="1A1A1A"/>
        </w:rPr>
        <w:t xml:space="preserve"> : aucun acte médical ne peut être pratiqué sans le consentement libre et éclairé de la personne, qui peut le retirer à tout moment. </w:t>
      </w:r>
      <w:r>
        <w:rPr>
          <w:rFonts w:ascii="Calibri" w:eastAsia="Calibri" w:hAnsi="Calibri" w:cs="Calibri"/>
          <w:b/>
          <w:bCs/>
          <w:color w:val="1A1A1A"/>
        </w:rPr>
        <w:t>Le patient peut refuser un traitement, fût-il vital</w:t>
      </w:r>
      <w:r>
        <w:rPr>
          <w:rFonts w:ascii="Calibri" w:eastAsia="Calibri" w:hAnsi="Calibri" w:cs="Calibri"/>
          <w:color w:val="1A1A1A"/>
        </w:rPr>
        <w:t xml:space="preserve"> — et c’est déjà une forme de maîtrise de sa fin.</w:t>
      </w:r>
    </w:p>
    <w:p w14:paraId="2B92BB38"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prohibition de l’obstination déraisonnable.</w:t>
      </w:r>
      <w:r>
        <w:rPr>
          <w:rFonts w:ascii="Calibri" w:eastAsia="Calibri" w:hAnsi="Calibri" w:cs="Calibri"/>
          <w:color w:val="1A1A1A"/>
        </w:rPr>
        <w:t xml:space="preserve"> </w:t>
      </w:r>
      <w:r>
        <w:rPr>
          <w:rFonts w:ascii="Calibri" w:eastAsia="Calibri" w:hAnsi="Calibri" w:cs="Calibri"/>
          <w:color w:val="1E88E5"/>
        </w:rPr>
        <w:t>Loi n° 2005-370 du 22 avril 2005, dite Leonetti</w:t>
      </w:r>
      <w:r>
        <w:rPr>
          <w:rFonts w:ascii="Calibri" w:eastAsia="Calibri" w:hAnsi="Calibri" w:cs="Calibri"/>
          <w:color w:val="1A1A1A"/>
        </w:rPr>
        <w:t xml:space="preserve"> ; </w:t>
      </w:r>
      <w:r>
        <w:rPr>
          <w:rFonts w:ascii="Calibri" w:eastAsia="Calibri" w:hAnsi="Calibri" w:cs="Calibri"/>
          <w:color w:val="1E88E5"/>
        </w:rPr>
        <w:t>article L. 1110-5-1 CSP</w:t>
      </w:r>
      <w:r>
        <w:rPr>
          <w:rFonts w:ascii="Calibri" w:eastAsia="Calibri" w:hAnsi="Calibri" w:cs="Calibri"/>
          <w:color w:val="1A1A1A"/>
        </w:rPr>
        <w:t xml:space="preserve"> : les actes « inutiles, disproportionnés ou n’ayant d’autre effet que le seul maintien artificiel de la vie » ne doivent pas être poursuivis. </w:t>
      </w:r>
      <w:r>
        <w:rPr>
          <w:rFonts w:ascii="Calibri" w:eastAsia="Calibri" w:hAnsi="Calibri" w:cs="Calibri"/>
          <w:b/>
          <w:bCs/>
          <w:color w:val="1A1A1A"/>
        </w:rPr>
        <w:t>L’interdiction pèse sur le médecin, pas sur le patient</w:t>
      </w:r>
      <w:r>
        <w:rPr>
          <w:rFonts w:ascii="Calibri" w:eastAsia="Calibri" w:hAnsi="Calibri" w:cs="Calibri"/>
          <w:color w:val="1A1A1A"/>
        </w:rPr>
        <w:t xml:space="preserve"> : c’est une obligation déontologique devenue légale.</w:t>
      </w:r>
    </w:p>
    <w:p w14:paraId="3725259E"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sédation profonde et continue jusqu’au décès.</w:t>
      </w:r>
      <w:r>
        <w:rPr>
          <w:rFonts w:ascii="Calibri" w:eastAsia="Calibri" w:hAnsi="Calibri" w:cs="Calibri"/>
          <w:color w:val="1A1A1A"/>
        </w:rPr>
        <w:t xml:space="preserve"> </w:t>
      </w:r>
      <w:r>
        <w:rPr>
          <w:rFonts w:ascii="Calibri" w:eastAsia="Calibri" w:hAnsi="Calibri" w:cs="Calibri"/>
          <w:color w:val="1E88E5"/>
        </w:rPr>
        <w:t>Loi n° 2016-87 du 2 février 2016, dite Claeys-Leonetti</w:t>
      </w:r>
      <w:r>
        <w:rPr>
          <w:rFonts w:ascii="Calibri" w:eastAsia="Calibri" w:hAnsi="Calibri" w:cs="Calibri"/>
          <w:color w:val="1A1A1A"/>
        </w:rPr>
        <w:t xml:space="preserve"> ; </w:t>
      </w:r>
      <w:r>
        <w:rPr>
          <w:rFonts w:ascii="Calibri" w:eastAsia="Calibri" w:hAnsi="Calibri" w:cs="Calibri"/>
          <w:color w:val="1E88E5"/>
        </w:rPr>
        <w:t>article L. 1110-5-2 CSP</w:t>
      </w:r>
      <w:r>
        <w:rPr>
          <w:rFonts w:ascii="Calibri" w:eastAsia="Calibri" w:hAnsi="Calibri" w:cs="Calibri"/>
          <w:color w:val="1A1A1A"/>
        </w:rPr>
        <w:t xml:space="preserve">. Elle suppose un pronostic vital engagé à court terme et s’accompagne de l’arrêt des traitements de maintien en vie. </w:t>
      </w:r>
      <w:r>
        <w:rPr>
          <w:rFonts w:ascii="Calibri" w:eastAsia="Calibri" w:hAnsi="Calibri" w:cs="Calibri"/>
          <w:b/>
          <w:bCs/>
          <w:color w:val="1A1A1A"/>
        </w:rPr>
        <w:t>Le critère demeure l’intention</w:t>
      </w:r>
      <w:r>
        <w:rPr>
          <w:rFonts w:ascii="Calibri" w:eastAsia="Calibri" w:hAnsi="Calibri" w:cs="Calibri"/>
          <w:color w:val="1A1A1A"/>
        </w:rPr>
        <w:t xml:space="preserve"> : soulager, non provoquer la mort — c’est ce qui la distingue juridiquement de l’euthanasie, quoique l’effet puisse être voisin.</w:t>
      </w:r>
    </w:p>
    <w:p w14:paraId="2720E2CF"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Les directives anticipées rendues contraignantes.</w:t>
      </w:r>
      <w:r>
        <w:rPr>
          <w:rFonts w:ascii="Calibri" w:eastAsia="Calibri" w:hAnsi="Calibri" w:cs="Calibri"/>
          <w:color w:val="1A1A1A"/>
        </w:rPr>
        <w:t xml:space="preserve"> Même loi de 2016, </w:t>
      </w:r>
      <w:r>
        <w:rPr>
          <w:rFonts w:ascii="Calibri" w:eastAsia="Calibri" w:hAnsi="Calibri" w:cs="Calibri"/>
          <w:color w:val="1E88E5"/>
        </w:rPr>
        <w:t>article L. 1111-11 CSP</w:t>
      </w:r>
      <w:r>
        <w:rPr>
          <w:rFonts w:ascii="Calibri" w:eastAsia="Calibri" w:hAnsi="Calibri" w:cs="Calibri"/>
          <w:color w:val="1A1A1A"/>
        </w:rPr>
        <w:t xml:space="preserve"> : le médecin doit s’y conformer, sauf urgence vitale le temps d’évaluer la situation, ou directives manifestement inappropriées — auquel cas il statue au terme d’une procédure collégiale.</w:t>
      </w:r>
    </w:p>
    <w:p w14:paraId="33A9F2D2" w14:textId="77777777" w:rsidR="00B13F99"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b/>
          <w:bCs/>
          <w:color w:val="1A1A1A"/>
          <w:sz w:val="19"/>
          <w:szCs w:val="19"/>
        </w:rPr>
        <w:t>Transition vers B.</w:t>
      </w:r>
      <w:r>
        <w:rPr>
          <w:rFonts w:ascii="Calibri" w:eastAsia="Calibri" w:hAnsi="Calibri" w:cs="Calibri"/>
          <w:color w:val="1A1A1A"/>
          <w:sz w:val="19"/>
          <w:szCs w:val="19"/>
        </w:rPr>
        <w:t xml:space="preserve"> Ce dispositif suppose une volonté exprimable. Or la fin de vie est précisément le moment où elle cesse de l’être. Le droit a donc dû organiser ce qui se passe quand le patient se tait.</w:t>
      </w:r>
    </w:p>
    <w:p w14:paraId="19D5310B" w14:textId="77777777" w:rsidR="00B13F99" w:rsidRDefault="00000000">
      <w:pPr>
        <w:pStyle w:val="Titre3"/>
        <w:spacing w:before="200" w:after="80"/>
      </w:pPr>
      <w:r>
        <w:rPr>
          <w:rFonts w:ascii="Calibri" w:eastAsia="Calibri" w:hAnsi="Calibri" w:cs="Calibri"/>
          <w:b/>
          <w:bCs/>
          <w:i/>
          <w:iCs/>
          <w:color w:val="1A1A1A"/>
          <w:sz w:val="21"/>
          <w:szCs w:val="21"/>
        </w:rPr>
        <w:t>B. La volonté relayée : collégialité médicale et contrôle du juge</w:t>
      </w:r>
    </w:p>
    <w:p w14:paraId="22C722CD"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procédure collégiale comme substitut.</w:t>
      </w:r>
      <w:r>
        <w:rPr>
          <w:rFonts w:ascii="Calibri" w:eastAsia="Calibri" w:hAnsi="Calibri" w:cs="Calibri"/>
          <w:color w:val="1A1A1A"/>
        </w:rPr>
        <w:t xml:space="preserve"> Lorsque le patient est hors d’état d’exprimer sa volonté, la décision d’arrêt des traitements est prise par le médecin au terme d’une procédure collégiale, après consultation des directives anticipées, de la personne de confiance, à défaut de la famille (</w:t>
      </w:r>
      <w:r>
        <w:rPr>
          <w:rFonts w:ascii="Calibri" w:eastAsia="Calibri" w:hAnsi="Calibri" w:cs="Calibri"/>
          <w:color w:val="1E88E5"/>
        </w:rPr>
        <w:t>articles L. 1110-5-1 et R. 4127-37 CSP</w:t>
      </w:r>
      <w:r>
        <w:rPr>
          <w:rFonts w:ascii="Calibri" w:eastAsia="Calibri" w:hAnsi="Calibri" w:cs="Calibri"/>
          <w:color w:val="1A1A1A"/>
        </w:rPr>
        <w:t>).</w:t>
      </w:r>
    </w:p>
    <w:p w14:paraId="4C8EE7F7"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ass., 24 juin 2014, Mme Lambert et autres, n° 375081</w:t>
      </w:r>
      <w:r>
        <w:rPr>
          <w:rFonts w:ascii="Calibri" w:eastAsia="Calibri" w:hAnsi="Calibri" w:cs="Calibri"/>
          <w:color w:val="1A1A1A"/>
        </w:rPr>
        <w:t xml:space="preserve"> — l’alimentation et l’hydratation artificielles constituent des traitements susceptibles d’être arrêtés. Le Conseil d’État saisi en </w:t>
      </w:r>
      <w:r>
        <w:rPr>
          <w:rFonts w:ascii="Calibri" w:eastAsia="Calibri" w:hAnsi="Calibri" w:cs="Calibri"/>
          <w:color w:val="1E88E5"/>
        </w:rPr>
        <w:t>référé-liberté (art. L. 521-2 CJA)</w:t>
      </w:r>
      <w:r>
        <w:rPr>
          <w:rFonts w:ascii="Calibri" w:eastAsia="Calibri" w:hAnsi="Calibri" w:cs="Calibri"/>
          <w:color w:val="1A1A1A"/>
        </w:rPr>
        <w:t xml:space="preserve"> exerce un contrôle </w:t>
      </w:r>
      <w:r>
        <w:rPr>
          <w:rFonts w:ascii="Calibri" w:eastAsia="Calibri" w:hAnsi="Calibri" w:cs="Calibri"/>
          <w:b/>
          <w:bCs/>
          <w:color w:val="1A1A1A"/>
        </w:rPr>
        <w:t>de plein contentieux</w:t>
      </w:r>
      <w:r>
        <w:rPr>
          <w:rFonts w:ascii="Calibri" w:eastAsia="Calibri" w:hAnsi="Calibri" w:cs="Calibri"/>
          <w:color w:val="1A1A1A"/>
        </w:rPr>
        <w:t>, inédit pour ce référé : il ordonne une expertise et apprécie lui-même la situation du patient.</w:t>
      </w:r>
    </w:p>
    <w:p w14:paraId="2165D23D"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lastRenderedPageBreak/>
        <w:t xml:space="preserve">★ </w:t>
      </w:r>
      <w:r>
        <w:rPr>
          <w:rFonts w:ascii="Calibri" w:eastAsia="Calibri" w:hAnsi="Calibri" w:cs="Calibri"/>
          <w:color w:val="E91E63"/>
        </w:rPr>
        <w:t>CEDH [GC], 5 juin 2015, Lambert et autres c. France, n° 46043/14</w:t>
      </w:r>
      <w:r>
        <w:rPr>
          <w:rFonts w:ascii="Calibri" w:eastAsia="Calibri" w:hAnsi="Calibri" w:cs="Calibri"/>
          <w:color w:val="1A1A1A"/>
        </w:rPr>
        <w:t xml:space="preserve"> — non-violation de l’article 2. La Cour ne dit pas ce qu’il fallait décider ; elle vérifie que le cadre législatif est suffisamment clair, que la procédure a été menée avec méticulosité et qu’un recours juridictionnel était ouvert. </w:t>
      </w:r>
      <w:r>
        <w:rPr>
          <w:rFonts w:ascii="Calibri" w:eastAsia="Calibri" w:hAnsi="Calibri" w:cs="Calibri"/>
          <w:b/>
          <w:bCs/>
          <w:color w:val="1A1A1A"/>
        </w:rPr>
        <w:t>Ample marge nationale d’appréciation.</w:t>
      </w:r>
    </w:p>
    <w:p w14:paraId="5A3F2A07"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2 juin 2017, n° 2017-632 QPC</w:t>
      </w:r>
      <w:r>
        <w:rPr>
          <w:rFonts w:ascii="Calibri" w:eastAsia="Calibri" w:hAnsi="Calibri" w:cs="Calibri"/>
          <w:color w:val="1A1A1A"/>
        </w:rPr>
        <w:t xml:space="preserve"> — conformité des dispositions de la loi Claeys-Leonetti, </w:t>
      </w:r>
      <w:r>
        <w:rPr>
          <w:rFonts w:ascii="Calibri" w:eastAsia="Calibri" w:hAnsi="Calibri" w:cs="Calibri"/>
          <w:b/>
          <w:bCs/>
          <w:color w:val="1A1A1A"/>
        </w:rPr>
        <w:t>sous réserve</w:t>
      </w:r>
      <w:r>
        <w:rPr>
          <w:rFonts w:ascii="Calibri" w:eastAsia="Calibri" w:hAnsi="Calibri" w:cs="Calibri"/>
          <w:color w:val="1A1A1A"/>
        </w:rPr>
        <w:t xml:space="preserve"> de l’existence d’un recours effectif suspensif contre la décision d’arrêt. </w:t>
      </w:r>
      <w:r>
        <w:rPr>
          <w:rFonts w:ascii="Calibri" w:eastAsia="Calibri" w:hAnsi="Calibri" w:cs="Calibri"/>
          <w:b/>
          <w:bCs/>
          <w:color w:val="1A1A1A"/>
        </w:rPr>
        <w:t>Le Conseil accepte donc, dès 2017, que la décision de fin de vie ne soit pas juridictionnelle</w:t>
      </w:r>
      <w:r>
        <w:rPr>
          <w:rFonts w:ascii="Calibri" w:eastAsia="Calibri" w:hAnsi="Calibri" w:cs="Calibri"/>
          <w:color w:val="1A1A1A"/>
        </w:rPr>
        <w:t xml:space="preserve"> : elle est médicale, sous contrôle juridictionnel.</w:t>
      </w:r>
    </w:p>
    <w:p w14:paraId="443C2D67"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refus européen d’aller plus loin.</w:t>
      </w:r>
      <w:r>
        <w:rPr>
          <w:rFonts w:ascii="Calibri" w:eastAsia="Calibri" w:hAnsi="Calibri" w:cs="Calibri"/>
          <w:color w:val="1A1A1A"/>
        </w:rPr>
        <w:t xml:space="preserve"> ★ </w:t>
      </w:r>
      <w:r>
        <w:rPr>
          <w:rFonts w:ascii="Calibri" w:eastAsia="Calibri" w:hAnsi="Calibri" w:cs="Calibri"/>
          <w:color w:val="E91E63"/>
        </w:rPr>
        <w:t>CEDH, 29 avril 2002, Pretty c. Royaume-Uni, n° 2346/02</w:t>
      </w:r>
      <w:r>
        <w:rPr>
          <w:rFonts w:ascii="Calibri" w:eastAsia="Calibri" w:hAnsi="Calibri" w:cs="Calibri"/>
          <w:color w:val="1A1A1A"/>
        </w:rPr>
        <w:t xml:space="preserve"> : l’article 2 « ne saurait, sans distorsion de langage, être interprété comme conférant un droit diamétralement opposé, à savoir un droit à mourir ». La demande est renvoyée à l’</w:t>
      </w:r>
      <w:r>
        <w:rPr>
          <w:rFonts w:ascii="Calibri" w:eastAsia="Calibri" w:hAnsi="Calibri" w:cs="Calibri"/>
          <w:color w:val="1E88E5"/>
        </w:rPr>
        <w:t>article 8</w:t>
      </w:r>
      <w:r>
        <w:rPr>
          <w:rFonts w:ascii="Calibri" w:eastAsia="Calibri" w:hAnsi="Calibri" w:cs="Calibri"/>
          <w:color w:val="1A1A1A"/>
        </w:rPr>
        <w:t xml:space="preserve">, où elle échoue au stade de la nécessité. Confirmé par </w:t>
      </w:r>
      <w:r>
        <w:rPr>
          <w:rFonts w:ascii="Calibri" w:eastAsia="Calibri" w:hAnsi="Calibri" w:cs="Calibri"/>
          <w:color w:val="E91E63"/>
        </w:rPr>
        <w:t>CEDH, 20 janvier 2011, Haas c. Suisse, n° 31322/07</w:t>
      </w:r>
      <w:r>
        <w:rPr>
          <w:rFonts w:ascii="Calibri" w:eastAsia="Calibri" w:hAnsi="Calibri" w:cs="Calibri"/>
          <w:color w:val="1A1A1A"/>
        </w:rPr>
        <w:t xml:space="preserve"> puis ★ </w:t>
      </w:r>
      <w:r>
        <w:rPr>
          <w:rFonts w:ascii="Calibri" w:eastAsia="Calibri" w:hAnsi="Calibri" w:cs="Calibri"/>
          <w:color w:val="E91E63"/>
        </w:rPr>
        <w:t>CEDH, 13 juin 2024, Karsai c. Hongrie, n° 32312/23</w:t>
      </w:r>
      <w:r>
        <w:rPr>
          <w:rFonts w:ascii="Calibri" w:eastAsia="Calibri" w:hAnsi="Calibri" w:cs="Calibri"/>
          <w:color w:val="1A1A1A"/>
        </w:rPr>
        <w:t>, faute de consensus européen.</w:t>
      </w:r>
    </w:p>
    <w:p w14:paraId="53A6A09C" w14:textId="77777777" w:rsidR="00B13F99"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b/>
          <w:bCs/>
          <w:color w:val="1A1A1A"/>
          <w:sz w:val="19"/>
          <w:szCs w:val="19"/>
        </w:rPr>
        <w:t>Bilan du I, à dire tel quel.</w:t>
      </w:r>
      <w:r>
        <w:rPr>
          <w:rFonts w:ascii="Calibri" w:eastAsia="Calibri" w:hAnsi="Calibri" w:cs="Calibri"/>
          <w:color w:val="1A1A1A"/>
          <w:sz w:val="19"/>
          <w:szCs w:val="19"/>
        </w:rPr>
        <w:t xml:space="preserve"> Jusqu’en 2026, la volonté du patient pouvait tout arrêter et ne pouvait rien demander. Elle commandait l’abstention ; elle ne fondait aucune prestation. La frontière entre laisser mourir et faire mourir tenait à cette asymétrie.</w:t>
      </w:r>
    </w:p>
    <w:p w14:paraId="3A6C527F" w14:textId="77777777" w:rsidR="00B13F99" w:rsidRDefault="00000000">
      <w:pPr>
        <w:pStyle w:val="Titre2"/>
        <w:spacing w:before="260" w:after="110"/>
      </w:pPr>
      <w:r>
        <w:rPr>
          <w:rFonts w:ascii="Calibri" w:eastAsia="Calibri" w:hAnsi="Calibri" w:cs="Calibri"/>
          <w:b/>
          <w:bCs/>
          <w:color w:val="1A1A1A"/>
          <w:spacing w:val="16"/>
          <w:sz w:val="23"/>
          <w:szCs w:val="23"/>
        </w:rPr>
        <w:t>II. Une fin de vie désormais ouverte au choix, sous condition de garanties</w:t>
      </w:r>
    </w:p>
    <w:p w14:paraId="68A59319" w14:textId="77777777" w:rsidR="00B13F99" w:rsidRDefault="00000000">
      <w:pPr>
        <w:spacing w:after="90" w:line="264" w:lineRule="auto"/>
        <w:jc w:val="both"/>
      </w:pPr>
      <w:r>
        <w:rPr>
          <w:rFonts w:ascii="Calibri" w:eastAsia="Calibri" w:hAnsi="Calibri" w:cs="Calibri"/>
          <w:i/>
          <w:iCs/>
          <w:color w:val="1A1A1A"/>
        </w:rPr>
        <w:t>Chapeau.</w:t>
      </w:r>
      <w:r>
        <w:rPr>
          <w:rFonts w:ascii="Calibri" w:eastAsia="Calibri" w:hAnsi="Calibri" w:cs="Calibri"/>
          <w:color w:val="1A1A1A"/>
        </w:rPr>
        <w:t xml:space="preserve"> La loi du 18 août 2026 ne déplace pas seulement une frontière matérielle : elle change la fonction de la volonté, qui cesse d’être une limite pour devenir un titre. Mais ce basculement s’accompagne d’un déplacement symétrique du contrôle.</w:t>
      </w:r>
    </w:p>
    <w:p w14:paraId="3309126E" w14:textId="77777777" w:rsidR="00B13F99" w:rsidRDefault="00000000">
      <w:pPr>
        <w:pStyle w:val="Titre3"/>
        <w:spacing w:before="200" w:after="80"/>
      </w:pPr>
      <w:r>
        <w:rPr>
          <w:rFonts w:ascii="Calibri" w:eastAsia="Calibri" w:hAnsi="Calibri" w:cs="Calibri"/>
          <w:b/>
          <w:bCs/>
          <w:i/>
          <w:iCs/>
          <w:color w:val="1A1A1A"/>
          <w:sz w:val="21"/>
          <w:szCs w:val="21"/>
        </w:rPr>
        <w:t>A. La volonté comme fondement : le droit à l’aide à mourir</w:t>
      </w:r>
    </w:p>
    <w:p w14:paraId="7E14D276"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Un droit subjectif nouveau.</w:t>
      </w:r>
      <w:r>
        <w:rPr>
          <w:rFonts w:ascii="Calibri" w:eastAsia="Calibri" w:hAnsi="Calibri" w:cs="Calibri"/>
          <w:color w:val="1A1A1A"/>
        </w:rPr>
        <w:t xml:space="preserve"> </w:t>
      </w:r>
      <w:r>
        <w:rPr>
          <w:rFonts w:ascii="Calibri" w:eastAsia="Calibri" w:hAnsi="Calibri" w:cs="Calibri"/>
          <w:color w:val="1E88E5"/>
        </w:rPr>
        <w:t>Loi n° 2026-794 du 18 août 2026</w:t>
      </w:r>
      <w:r>
        <w:rPr>
          <w:rFonts w:ascii="Calibri" w:eastAsia="Calibri" w:hAnsi="Calibri" w:cs="Calibri"/>
          <w:color w:val="1A1A1A"/>
        </w:rPr>
        <w:t xml:space="preserve">, créant les </w:t>
      </w:r>
      <w:r>
        <w:rPr>
          <w:rFonts w:ascii="Calibri" w:eastAsia="Calibri" w:hAnsi="Calibri" w:cs="Calibri"/>
          <w:color w:val="1E88E5"/>
        </w:rPr>
        <w:t>articles L. 1111-12-1 et L. 1111-12-2 du code de la santé publique</w:t>
      </w:r>
      <w:r>
        <w:rPr>
          <w:rFonts w:ascii="Calibri" w:eastAsia="Calibri" w:hAnsi="Calibri" w:cs="Calibri"/>
          <w:color w:val="1A1A1A"/>
        </w:rPr>
        <w:t xml:space="preserve">. La qualification retenue par le Conseil constitutionnel est décisive : il ne s’agit pas d’une dérogation à un interdit mais de la </w:t>
      </w:r>
      <w:r>
        <w:rPr>
          <w:rFonts w:ascii="Calibri" w:eastAsia="Calibri" w:hAnsi="Calibri" w:cs="Calibri"/>
          <w:b/>
          <w:bCs/>
          <w:color w:val="1A1A1A"/>
        </w:rPr>
        <w:t>mise en œuvre de la liberté personnelle</w:t>
      </w:r>
      <w:r>
        <w:rPr>
          <w:rFonts w:ascii="Calibri" w:eastAsia="Calibri" w:hAnsi="Calibri" w:cs="Calibri"/>
          <w:color w:val="1A1A1A"/>
        </w:rPr>
        <w:t xml:space="preserve"> et du « droit de toute personne d’avoir une fin de vie digne ».</w:t>
      </w:r>
    </w:p>
    <w:p w14:paraId="7FDAE429"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Cinq conditions cumulatives</w:t>
      </w:r>
      <w:r>
        <w:rPr>
          <w:rFonts w:ascii="Calibri" w:eastAsia="Calibri" w:hAnsi="Calibri" w:cs="Calibri"/>
          <w:color w:val="1A1A1A"/>
        </w:rPr>
        <w:t xml:space="preserve"> — majorité ; nationalité française ou résidence stable et régulière ; affection grave et incurable engageant le pronostic vital en phase avancée ou terminale ; souffrance réfractaire ou insupportable ; aptitude à manifester une volonté libre et éclairée. </w:t>
      </w:r>
      <w:r>
        <w:rPr>
          <w:rFonts w:ascii="Calibri" w:eastAsia="Calibri" w:hAnsi="Calibri" w:cs="Calibri"/>
          <w:b/>
          <w:bCs/>
          <w:color w:val="1A1A1A"/>
        </w:rPr>
        <w:t>La souffrance psychologique seule ne suffit pas</w:t>
      </w:r>
      <w:r>
        <w:rPr>
          <w:rFonts w:ascii="Calibri" w:eastAsia="Calibri" w:hAnsi="Calibri" w:cs="Calibri"/>
          <w:color w:val="1A1A1A"/>
        </w:rPr>
        <w:t xml:space="preserve"> : le critère somatique verrouille l’accès.</w:t>
      </w:r>
    </w:p>
    <w:p w14:paraId="0B6FFD4C"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Une procédure qui matérialise la volonté dans le temps.</w:t>
      </w:r>
      <w:r>
        <w:rPr>
          <w:rFonts w:ascii="Calibri" w:eastAsia="Calibri" w:hAnsi="Calibri" w:cs="Calibri"/>
          <w:color w:val="1A1A1A"/>
        </w:rPr>
        <w:t xml:space="preserve"> Équipe pluridisciplinaire ; décision du médecin dans un délai de quinze jours ; délai de réflexion minimal de deux jours avant confirmation ; réévaluation si la confirmation intervient plus de trois mois après la notification ; révocabilité à tout moment. </w:t>
      </w:r>
      <w:r>
        <w:rPr>
          <w:rFonts w:ascii="Calibri" w:eastAsia="Calibri" w:hAnsi="Calibri" w:cs="Calibri"/>
          <w:b/>
          <w:bCs/>
          <w:color w:val="1A1A1A"/>
        </w:rPr>
        <w:t>Le droit transforme un instant de volonté en un processus vérifiable.</w:t>
      </w:r>
    </w:p>
    <w:p w14:paraId="6254FE96"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mode d’exécution, souvent mal restitué.</w:t>
      </w:r>
      <w:r>
        <w:rPr>
          <w:rFonts w:ascii="Calibri" w:eastAsia="Calibri" w:hAnsi="Calibri" w:cs="Calibri"/>
          <w:color w:val="1A1A1A"/>
        </w:rPr>
        <w:t xml:space="preserve"> Le principe est l’</w:t>
      </w:r>
      <w:r>
        <w:rPr>
          <w:rFonts w:ascii="Calibri" w:eastAsia="Calibri" w:hAnsi="Calibri" w:cs="Calibri"/>
          <w:b/>
          <w:bCs/>
          <w:color w:val="1A1A1A"/>
        </w:rPr>
        <w:t>auto-administration</w:t>
      </w:r>
      <w:r>
        <w:rPr>
          <w:rFonts w:ascii="Calibri" w:eastAsia="Calibri" w:hAnsi="Calibri" w:cs="Calibri"/>
          <w:color w:val="1A1A1A"/>
        </w:rPr>
        <w:t xml:space="preserve"> de la substance létale par la personne ; l’administration par un médecin ou un infirmier n’intervient qu’à titre </w:t>
      </w:r>
      <w:r>
        <w:rPr>
          <w:rFonts w:ascii="Calibri" w:eastAsia="Calibri" w:hAnsi="Calibri" w:cs="Calibri"/>
          <w:b/>
          <w:bCs/>
          <w:color w:val="1A1A1A"/>
        </w:rPr>
        <w:t>subsidiaire</w:t>
      </w:r>
      <w:r>
        <w:rPr>
          <w:rFonts w:ascii="Calibri" w:eastAsia="Calibri" w:hAnsi="Calibri" w:cs="Calibri"/>
          <w:color w:val="1A1A1A"/>
        </w:rPr>
        <w:t xml:space="preserve">, lorsqu’elle n’est pas en mesure d’y procéder. Techniquement, la loi française consacre donc à titre principal un </w:t>
      </w:r>
      <w:r>
        <w:rPr>
          <w:rFonts w:ascii="Calibri" w:eastAsia="Calibri" w:hAnsi="Calibri" w:cs="Calibri"/>
          <w:b/>
          <w:bCs/>
          <w:color w:val="1A1A1A"/>
        </w:rPr>
        <w:t>suicide médicalement assisté</w:t>
      </w:r>
      <w:r>
        <w:rPr>
          <w:rFonts w:ascii="Calibri" w:eastAsia="Calibri" w:hAnsi="Calibri" w:cs="Calibri"/>
          <w:color w:val="1A1A1A"/>
        </w:rPr>
        <w:t>, et non une euthanasie.</w:t>
      </w:r>
    </w:p>
    <w:p w14:paraId="71B7A03F"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renversement de la dignité.</w:t>
      </w:r>
      <w:r>
        <w:rPr>
          <w:rFonts w:ascii="Calibri" w:eastAsia="Calibri" w:hAnsi="Calibri" w:cs="Calibri"/>
          <w:color w:val="1A1A1A"/>
        </w:rPr>
        <w:t xml:space="preserve"> Depuis </w:t>
      </w:r>
      <w:r>
        <w:rPr>
          <w:rFonts w:ascii="Calibri" w:eastAsia="Calibri" w:hAnsi="Calibri" w:cs="Calibri"/>
          <w:color w:val="E91E63"/>
        </w:rPr>
        <w:t>Cons. const., 27 juillet 1994, n° 94-343/344 DC</w:t>
      </w:r>
      <w:r>
        <w:rPr>
          <w:rFonts w:ascii="Calibri" w:eastAsia="Calibri" w:hAnsi="Calibri" w:cs="Calibri"/>
          <w:color w:val="1A1A1A"/>
        </w:rPr>
        <w:t xml:space="preserve"> et </w:t>
      </w:r>
      <w:r>
        <w:rPr>
          <w:rFonts w:ascii="Calibri" w:eastAsia="Calibri" w:hAnsi="Calibri" w:cs="Calibri"/>
          <w:color w:val="E91E63"/>
        </w:rPr>
        <w:t>CE, ass., 27 octobre 1995, Commune de Morsang-sur-Orge, n° 136727</w:t>
      </w:r>
      <w:r>
        <w:rPr>
          <w:rFonts w:ascii="Calibri" w:eastAsia="Calibri" w:hAnsi="Calibri" w:cs="Calibri"/>
          <w:color w:val="1A1A1A"/>
        </w:rPr>
        <w:t xml:space="preserve">, la dignité servait de </w:t>
      </w:r>
      <w:r>
        <w:rPr>
          <w:rFonts w:ascii="Calibri" w:eastAsia="Calibri" w:hAnsi="Calibri" w:cs="Calibri"/>
          <w:b/>
          <w:bCs/>
          <w:color w:val="1A1A1A"/>
        </w:rPr>
        <w:t>limite opposable à la volonté</w:t>
      </w:r>
      <w:r>
        <w:rPr>
          <w:rFonts w:ascii="Calibri" w:eastAsia="Calibri" w:hAnsi="Calibri" w:cs="Calibri"/>
          <w:color w:val="1A1A1A"/>
        </w:rPr>
        <w:t xml:space="preserve">, jusqu’à rendre le consentement indifférent. Elle devient en 2026 un </w:t>
      </w:r>
      <w:r>
        <w:rPr>
          <w:rFonts w:ascii="Calibri" w:eastAsia="Calibri" w:hAnsi="Calibri" w:cs="Calibri"/>
          <w:b/>
          <w:bCs/>
          <w:color w:val="1A1A1A"/>
        </w:rPr>
        <w:t>fondement de l’autonomie</w:t>
      </w:r>
      <w:r>
        <w:rPr>
          <w:rFonts w:ascii="Calibri" w:eastAsia="Calibri" w:hAnsi="Calibri" w:cs="Calibri"/>
          <w:color w:val="1A1A1A"/>
        </w:rPr>
        <w:t>. C’est le point le plus fort du sujet.</w:t>
      </w:r>
    </w:p>
    <w:p w14:paraId="2C8B9656" w14:textId="77777777" w:rsidR="00B13F99" w:rsidRDefault="00000000">
      <w:pPr>
        <w:pStyle w:val="Titre3"/>
        <w:spacing w:before="200" w:after="80"/>
      </w:pPr>
      <w:r>
        <w:rPr>
          <w:rFonts w:ascii="Calibri" w:eastAsia="Calibri" w:hAnsi="Calibri" w:cs="Calibri"/>
          <w:b/>
          <w:bCs/>
          <w:i/>
          <w:iCs/>
          <w:color w:val="1A1A1A"/>
          <w:sz w:val="21"/>
          <w:szCs w:val="21"/>
        </w:rPr>
        <w:t>B. Le déplacement du contrôle : du choix vers les garanties</w:t>
      </w:r>
    </w:p>
    <w:p w14:paraId="0213280E"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14 août 2026, n° 2026-910 DC</w:t>
      </w:r>
      <w:r>
        <w:rPr>
          <w:rFonts w:ascii="Calibri" w:eastAsia="Calibri" w:hAnsi="Calibri" w:cs="Calibri"/>
          <w:color w:val="1A1A1A"/>
        </w:rPr>
        <w:t xml:space="preserve"> — conformité intégrale, aucune censure, </w:t>
      </w:r>
      <w:r>
        <w:rPr>
          <w:rFonts w:ascii="Calibri" w:eastAsia="Calibri" w:hAnsi="Calibri" w:cs="Calibri"/>
          <w:b/>
          <w:bCs/>
          <w:color w:val="1A1A1A"/>
        </w:rPr>
        <w:t>trois réserves d’interprétation</w:t>
      </w:r>
      <w:r>
        <w:rPr>
          <w:rFonts w:ascii="Calibri" w:eastAsia="Calibri" w:hAnsi="Calibri" w:cs="Calibri"/>
          <w:color w:val="1A1A1A"/>
        </w:rPr>
        <w:t xml:space="preserve">. Le Conseil refuse de peser les valeurs : « Il n’appartient pas au Conseil constitutionnel [...] de substituer son appréciation à celle du législateur », formule reprise de </w:t>
      </w:r>
      <w:r>
        <w:rPr>
          <w:rFonts w:ascii="Calibri" w:eastAsia="Calibri" w:hAnsi="Calibri" w:cs="Calibri"/>
          <w:color w:val="E91E63"/>
        </w:rPr>
        <w:t>Cons. const., 15 janvier 1975, n° 74-54 DC, IVG</w:t>
      </w:r>
      <w:r>
        <w:rPr>
          <w:rFonts w:ascii="Calibri" w:eastAsia="Calibri" w:hAnsi="Calibri" w:cs="Calibri"/>
          <w:color w:val="1A1A1A"/>
        </w:rPr>
        <w:t>. Le grief est écarté dès lors que le droit « repose sur [la] volonté libre et éclairée [de la personne] et est assorti de garanties appropriées ».</w:t>
      </w:r>
    </w:p>
    <w:p w14:paraId="33F44727"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technique de contrôle, à énoncer telle quelle au jury.</w:t>
      </w:r>
      <w:r>
        <w:rPr>
          <w:rFonts w:ascii="Calibri" w:eastAsia="Calibri" w:hAnsi="Calibri" w:cs="Calibri"/>
          <w:color w:val="1A1A1A"/>
        </w:rPr>
        <w:t xml:space="preserve"> Ce n’est ni le triple test, ni un contrôle de proportionnalité au sens strict. Le Conseil ne demande pas si la mesure est adaptée, nécessaire et proportionnée : il vérifie </w:t>
      </w:r>
      <w:r>
        <w:rPr>
          <w:rFonts w:ascii="Calibri" w:eastAsia="Calibri" w:hAnsi="Calibri" w:cs="Calibri"/>
          <w:b/>
          <w:bCs/>
          <w:color w:val="1A1A1A"/>
        </w:rPr>
        <w:t xml:space="preserve">l’existence </w:t>
      </w:r>
      <w:r>
        <w:rPr>
          <w:rFonts w:ascii="Calibri" w:eastAsia="Calibri" w:hAnsi="Calibri" w:cs="Calibri"/>
          <w:b/>
          <w:bCs/>
          <w:color w:val="1A1A1A"/>
        </w:rPr>
        <w:lastRenderedPageBreak/>
        <w:t>de garanties légales appropriées</w:t>
      </w:r>
      <w:r>
        <w:rPr>
          <w:rFonts w:ascii="Calibri" w:eastAsia="Calibri" w:hAnsi="Calibri" w:cs="Calibri"/>
          <w:color w:val="1A1A1A"/>
        </w:rPr>
        <w:t xml:space="preserve">. Quand la loi </w:t>
      </w:r>
      <w:r>
        <w:rPr>
          <w:rFonts w:ascii="Calibri" w:eastAsia="Calibri" w:hAnsi="Calibri" w:cs="Calibri"/>
          <w:i/>
          <w:iCs/>
          <w:color w:val="1A1A1A"/>
        </w:rPr>
        <w:t>restreint</w:t>
      </w:r>
      <w:r>
        <w:rPr>
          <w:rFonts w:ascii="Calibri" w:eastAsia="Calibri" w:hAnsi="Calibri" w:cs="Calibri"/>
          <w:color w:val="1A1A1A"/>
        </w:rPr>
        <w:t xml:space="preserve"> une liberté, le Conseil pèse ; quand la loi </w:t>
      </w:r>
      <w:r>
        <w:rPr>
          <w:rFonts w:ascii="Calibri" w:eastAsia="Calibri" w:hAnsi="Calibri" w:cs="Calibri"/>
          <w:i/>
          <w:iCs/>
          <w:color w:val="1A1A1A"/>
        </w:rPr>
        <w:t>organise</w:t>
      </w:r>
      <w:r>
        <w:rPr>
          <w:rFonts w:ascii="Calibri" w:eastAsia="Calibri" w:hAnsi="Calibri" w:cs="Calibri"/>
          <w:color w:val="1A1A1A"/>
        </w:rPr>
        <w:t xml:space="preserve"> une liberté nouvelle, il vérifie qu’elle est encadrée.</w:t>
      </w:r>
    </w:p>
    <w:p w14:paraId="3D5A6123"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Trois réserves, toutes tournées vers des tiers</w:t>
      </w:r>
      <w:r>
        <w:rPr>
          <w:rFonts w:ascii="Calibri" w:eastAsia="Calibri" w:hAnsi="Calibri" w:cs="Calibri"/>
          <w:color w:val="1A1A1A"/>
        </w:rPr>
        <w:t xml:space="preserve"> — et c’est ce qui frappe. Prise en compte des observations de la personne chargée de la mesure de protection juridique ; clause de conscience du </w:t>
      </w:r>
      <w:r>
        <w:rPr>
          <w:rFonts w:ascii="Calibri" w:eastAsia="Calibri" w:hAnsi="Calibri" w:cs="Calibri"/>
          <w:b/>
          <w:bCs/>
          <w:color w:val="1A1A1A"/>
        </w:rPr>
        <w:t>pharmacien</w:t>
      </w:r>
      <w:r>
        <w:rPr>
          <w:rFonts w:ascii="Calibri" w:eastAsia="Calibri" w:hAnsi="Calibri" w:cs="Calibri"/>
          <w:color w:val="1A1A1A"/>
        </w:rPr>
        <w:t>, que la loi lui refusait et que le Conseil crée ; faculté de refus de l’établissement privé, mais « à condition que d’autres établissements soient en mesure de répondre aux besoins locaux », formule calquée sur l’</w:t>
      </w:r>
      <w:r>
        <w:rPr>
          <w:rFonts w:ascii="Calibri" w:eastAsia="Calibri" w:hAnsi="Calibri" w:cs="Calibri"/>
          <w:color w:val="1E88E5"/>
        </w:rPr>
        <w:t>article L. 2212-8 CSP</w:t>
      </w:r>
      <w:r>
        <w:rPr>
          <w:rFonts w:ascii="Calibri" w:eastAsia="Calibri" w:hAnsi="Calibri" w:cs="Calibri"/>
          <w:color w:val="1A1A1A"/>
        </w:rPr>
        <w:t xml:space="preserve"> en matière d’IVG. </w:t>
      </w:r>
      <w:r>
        <w:rPr>
          <w:rFonts w:ascii="Calibri" w:eastAsia="Calibri" w:hAnsi="Calibri" w:cs="Calibri"/>
          <w:b/>
          <w:bCs/>
          <w:color w:val="1A1A1A"/>
        </w:rPr>
        <w:t>La conscience individuelle est protégée ; la carence collective ne l’est pas.</w:t>
      </w:r>
    </w:p>
    <w:p w14:paraId="4F4D4E83"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relais européen du contrôle.</w:t>
      </w:r>
      <w:r>
        <w:rPr>
          <w:rFonts w:ascii="Calibri" w:eastAsia="Calibri" w:hAnsi="Calibri" w:cs="Calibri"/>
          <w:color w:val="1A1A1A"/>
        </w:rPr>
        <w:t xml:space="preserve"> ★ </w:t>
      </w:r>
      <w:r>
        <w:rPr>
          <w:rFonts w:ascii="Calibri" w:eastAsia="Calibri" w:hAnsi="Calibri" w:cs="Calibri"/>
          <w:color w:val="E91E63"/>
        </w:rPr>
        <w:t>CEDH, 4 octobre 2022, Mortier c. Belgique, n° 78017/17</w:t>
      </w:r>
      <w:r>
        <w:rPr>
          <w:rFonts w:ascii="Calibri" w:eastAsia="Calibri" w:hAnsi="Calibri" w:cs="Calibri"/>
          <w:color w:val="1A1A1A"/>
        </w:rPr>
        <w:t xml:space="preserve"> : la Belgique est condamnée sur le seul </w:t>
      </w:r>
      <w:r>
        <w:rPr>
          <w:rFonts w:ascii="Calibri" w:eastAsia="Calibri" w:hAnsi="Calibri" w:cs="Calibri"/>
          <w:b/>
          <w:bCs/>
          <w:color w:val="1A1A1A"/>
        </w:rPr>
        <w:t>volet procédural</w:t>
      </w:r>
      <w:r>
        <w:rPr>
          <w:rFonts w:ascii="Calibri" w:eastAsia="Calibri" w:hAnsi="Calibri" w:cs="Calibri"/>
          <w:color w:val="1A1A1A"/>
        </w:rPr>
        <w:t xml:space="preserve"> de l’article 2, le contrôle a posteriori n’offrant pas de garanties d’indépendance suffisantes. Conséquence immédiate : la commission française de contrôle et d’évaluation naît sous le regard de Strasbourg. </w:t>
      </w:r>
      <w:r>
        <w:rPr>
          <w:rFonts w:ascii="Calibri" w:eastAsia="Calibri" w:hAnsi="Calibri" w:cs="Calibri"/>
          <w:b/>
          <w:bCs/>
          <w:color w:val="1A1A1A"/>
        </w:rPr>
        <w:t>L’État n’est pas jugé sur le principe qu’il retient, il est jugé sur le contrôle qu’il organise.</w:t>
      </w:r>
    </w:p>
    <w:p w14:paraId="63C9C66A"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Un droit valide mais pas encore effectif.</w:t>
      </w:r>
      <w:r>
        <w:rPr>
          <w:rFonts w:ascii="Calibri" w:eastAsia="Calibri" w:hAnsi="Calibri" w:cs="Calibri"/>
          <w:color w:val="1A1A1A"/>
        </w:rPr>
        <w:t xml:space="preserve"> L’application de la loi est suspendue à des décrets non publiés ; l’obligation de consulter le registre des mesures de protection juridique n’entre en vigueur qu’au plus tard le 31 décembre 2028. </w:t>
      </w:r>
      <w:r>
        <w:rPr>
          <w:rFonts w:ascii="Calibri" w:eastAsia="Calibri" w:hAnsi="Calibri" w:cs="Calibri"/>
          <w:b/>
          <w:bCs/>
          <w:color w:val="1A1A1A"/>
        </w:rPr>
        <w:t>Validité n’est pas effectivité</w:t>
      </w:r>
      <w:r>
        <w:rPr>
          <w:rFonts w:ascii="Calibri" w:eastAsia="Calibri" w:hAnsi="Calibri" w:cs="Calibri"/>
          <w:color w:val="1A1A1A"/>
        </w:rPr>
        <w:t xml:space="preserve"> — et la carence du pouvoir réglementaire au-delà d’un délai raisonnable est sanctionnée par le juge administratif.</w:t>
      </w:r>
    </w:p>
    <w:p w14:paraId="4ECDADA5"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L’asymétrie finale.</w:t>
      </w:r>
      <w:r>
        <w:rPr>
          <w:rFonts w:ascii="Calibri" w:eastAsia="Calibri" w:hAnsi="Calibri" w:cs="Calibri"/>
          <w:color w:val="1A1A1A"/>
        </w:rPr>
        <w:t xml:space="preserve"> </w:t>
      </w:r>
      <w:r>
        <w:rPr>
          <w:rFonts w:ascii="Calibri" w:eastAsia="Calibri" w:hAnsi="Calibri" w:cs="Calibri"/>
          <w:color w:val="1E88E5"/>
        </w:rPr>
        <w:t>Loi n° 2026-404 du 26 mai 2026</w:t>
      </w:r>
      <w:r>
        <w:rPr>
          <w:rFonts w:ascii="Calibri" w:eastAsia="Calibri" w:hAnsi="Calibri" w:cs="Calibri"/>
          <w:color w:val="1A1A1A"/>
        </w:rPr>
        <w:t xml:space="preserve"> : le droit opposable aux soins palliatifs, voté par l’Assemblée, a été supprimé par le Sénat. Le </w:t>
      </w:r>
      <w:r>
        <w:rPr>
          <w:rFonts w:ascii="Calibri" w:eastAsia="Calibri" w:hAnsi="Calibri" w:cs="Calibri"/>
          <w:color w:val="1E88E5"/>
        </w:rPr>
        <w:t>onzième alinéa du Préambule de 1946</w:t>
      </w:r>
      <w:r>
        <w:rPr>
          <w:rFonts w:ascii="Calibri" w:eastAsia="Calibri" w:hAnsi="Calibri" w:cs="Calibri"/>
          <w:color w:val="1A1A1A"/>
        </w:rPr>
        <w:t xml:space="preserve"> n’a jamais été jugé directement invocable pour exiger une prestation déterminée. </w:t>
      </w:r>
      <w:r>
        <w:rPr>
          <w:rFonts w:ascii="Calibri" w:eastAsia="Calibri" w:hAnsi="Calibri" w:cs="Calibri"/>
          <w:b/>
          <w:bCs/>
          <w:color w:val="1A1A1A"/>
        </w:rPr>
        <w:t>Le législateur a rendu exigible la liberté de mourir avant d’avoir rendu exigible le droit d’être soulagé.</w:t>
      </w:r>
    </w:p>
    <w:p w14:paraId="438B6450"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5. LA CONCLUSION, RÉDIGÉE MOT À MOT</w:t>
      </w:r>
    </w:p>
    <w:p w14:paraId="559434F1" w14:textId="77777777" w:rsidR="00B13F99" w:rsidRDefault="00000000">
      <w:pPr>
        <w:spacing w:after="110" w:line="288" w:lineRule="auto"/>
        <w:ind w:left="180" w:right="180"/>
        <w:jc w:val="both"/>
      </w:pPr>
      <w:r>
        <w:rPr>
          <w:rFonts w:ascii="Calibri" w:eastAsia="Calibri" w:hAnsi="Calibri" w:cs="Calibri"/>
          <w:color w:val="1A1A1A"/>
        </w:rPr>
        <w:t>La fin de vie n’a donc pas cessé d’être un objet de protection pour devenir un objet de liberté : elle est devenue les deux à la fois, et c’est la charge de l’articulation qui s’est déplacée. Longtemps, le droit a protégé la personne en limitant ce que la médecine pouvait lui faire ; il la protège désormais en encadrant ce qu’elle peut demander. Le contrôle n’a pas disparu, il a changé d’objet : il ne porte plus sur la légitimité du choix, mais sur la qualité des garanties qui l’entourent.</w:t>
      </w:r>
    </w:p>
    <w:p w14:paraId="31BFE043" w14:textId="77777777" w:rsidR="00B13F99" w:rsidRDefault="00000000">
      <w:pPr>
        <w:spacing w:after="110" w:line="288" w:lineRule="auto"/>
        <w:ind w:left="180" w:right="180"/>
        <w:jc w:val="both"/>
      </w:pPr>
      <w:r>
        <w:rPr>
          <w:rFonts w:ascii="Calibri" w:eastAsia="Calibri" w:hAnsi="Calibri" w:cs="Calibri"/>
          <w:color w:val="1A1A1A"/>
        </w:rPr>
        <w:t>Reste une réserve, qui n’est ni pour ni contre la loi. La même vulnérabilité qui rend la souffrance insupportable rend aussi la volonté perméable. Un droit qui suppose une volonté libre et éclairée s’exerce précisément au moment où la liberté est le plus sous contrainte — par la douleur, par le sentiment d’être une charge, par l’absence d’alternative. Tant que l’accès aux soins palliatifs demeure un droit-programme quand l’aide à mourir est un droit exigible, le choix offert n’est pas tout à fait un choix entre deux termes.</w:t>
      </w:r>
    </w:p>
    <w:p w14:paraId="290B3498" w14:textId="77777777" w:rsidR="00B13F99" w:rsidRDefault="00000000">
      <w:pPr>
        <w:pStyle w:val="Titre3"/>
        <w:spacing w:before="200" w:after="80"/>
      </w:pPr>
      <w:r>
        <w:rPr>
          <w:rFonts w:ascii="Calibri" w:eastAsia="Calibri" w:hAnsi="Calibri" w:cs="Calibri"/>
          <w:b/>
          <w:bCs/>
          <w:i/>
          <w:iCs/>
          <w:color w:val="1A1A1A"/>
          <w:sz w:val="21"/>
          <w:szCs w:val="21"/>
        </w:rPr>
        <w:t>Ouverture</w:t>
      </w:r>
    </w:p>
    <w:p w14:paraId="2DED8549" w14:textId="77777777" w:rsidR="00B13F99" w:rsidRDefault="00000000">
      <w:pPr>
        <w:spacing w:after="110" w:line="288" w:lineRule="auto"/>
        <w:ind w:left="180" w:right="180"/>
        <w:jc w:val="both"/>
      </w:pPr>
      <w:r>
        <w:rPr>
          <w:rFonts w:ascii="Calibri" w:eastAsia="Calibri" w:hAnsi="Calibri" w:cs="Calibri"/>
          <w:color w:val="1A1A1A"/>
        </w:rPr>
        <w:t>L’effectivité de ce droit se jouera moins devant le Conseil constitutionnel, qui a épuisé son office, que devant le juge administratif et devant la Cour de Strasbourg : recours contre les refus d’autorisation, carence du pouvoir réglementaire, et contrôle de l’indépendance de la commission d’évaluation, sur le modèle de l’arrêt Mortier contre Belgique.</w:t>
      </w:r>
    </w:p>
    <w:p w14:paraId="0C1F01BD"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6. UN PLAN ALTERNATIF, TOUT AUSSI DÉFENDABLE</w:t>
      </w:r>
    </w:p>
    <w:p w14:paraId="1C925653" w14:textId="77777777" w:rsidR="00B13F99" w:rsidRDefault="00000000">
      <w:pPr>
        <w:spacing w:after="90" w:line="264" w:lineRule="auto"/>
        <w:jc w:val="both"/>
      </w:pPr>
      <w:r>
        <w:rPr>
          <w:rFonts w:ascii="Calibri" w:eastAsia="Calibri" w:hAnsi="Calibri" w:cs="Calibri"/>
          <w:color w:val="1A1A1A"/>
        </w:rPr>
        <w:t>Le plan retenu ci-dessus prend pour axe la fonction de la volonté. On peut lui préférer un axe fondé sur la technique de protection, qui a l’avantage d’être plus immédiatement lisible pour un jury pressé.</w:t>
      </w:r>
    </w:p>
    <w:tbl>
      <w:tblPr>
        <w:tblW w:w="5000" w:type="pct"/>
        <w:tblBorders>
          <w:top w:val="single" w:sz="2" w:space="0" w:color="C9C0B6"/>
          <w:left w:val="single" w:sz="2" w:space="0" w:color="C9C0B6"/>
          <w:bottom w:val="single" w:sz="2" w:space="0" w:color="C9C0B6"/>
          <w:right w:val="single" w:sz="2" w:space="0" w:color="C9C0B6"/>
          <w:insideH w:val="single" w:sz="2" w:space="0" w:color="DCD5CC"/>
          <w:insideV w:val="single" w:sz="2" w:space="0" w:color="DCD5CC"/>
        </w:tblBorders>
        <w:tblCellMar>
          <w:left w:w="10" w:type="dxa"/>
          <w:right w:w="10" w:type="dxa"/>
        </w:tblCellMar>
        <w:tblLook w:val="04A0" w:firstRow="1" w:lastRow="0" w:firstColumn="1" w:lastColumn="0" w:noHBand="0" w:noVBand="1"/>
      </w:tblPr>
      <w:tblGrid>
        <w:gridCol w:w="3248"/>
        <w:gridCol w:w="3249"/>
        <w:gridCol w:w="3249"/>
      </w:tblGrid>
      <w:tr w:rsidR="00B13F99" w14:paraId="2A2A772D" w14:textId="77777777">
        <w:tblPrEx>
          <w:tblCellMar>
            <w:top w:w="0" w:type="dxa"/>
            <w:bottom w:w="0" w:type="dxa"/>
          </w:tblCellMar>
        </w:tblPrEx>
        <w:trPr>
          <w:tblHeader/>
        </w:trPr>
        <w:tc>
          <w:tcPr>
            <w:tcW w:w="1650" w:type="pct"/>
            <w:shd w:val="clear" w:color="auto" w:fill="F2E9EA"/>
            <w:tcMar>
              <w:top w:w="60" w:type="dxa"/>
              <w:left w:w="90" w:type="dxa"/>
              <w:bottom w:w="60" w:type="dxa"/>
              <w:right w:w="90" w:type="dxa"/>
            </w:tcMar>
          </w:tcPr>
          <w:p w14:paraId="35067D81" w14:textId="77777777" w:rsidR="00B13F99" w:rsidRDefault="00B13F99"/>
        </w:tc>
        <w:tc>
          <w:tcPr>
            <w:tcW w:w="1650" w:type="pct"/>
            <w:shd w:val="clear" w:color="auto" w:fill="F2E9EA"/>
            <w:tcMar>
              <w:top w:w="60" w:type="dxa"/>
              <w:left w:w="90" w:type="dxa"/>
              <w:bottom w:w="60" w:type="dxa"/>
              <w:right w:w="90" w:type="dxa"/>
            </w:tcMar>
          </w:tcPr>
          <w:p w14:paraId="55097F0D" w14:textId="77777777" w:rsidR="00B13F99" w:rsidRDefault="00000000">
            <w:r>
              <w:rPr>
                <w:rFonts w:ascii="Calibri" w:eastAsia="Calibri" w:hAnsi="Calibri" w:cs="Calibri"/>
                <w:b/>
                <w:bCs/>
                <w:color w:val="1A1A1A"/>
                <w:sz w:val="17"/>
                <w:szCs w:val="17"/>
              </w:rPr>
              <w:t>I. Un droit construit sur le refus de l’obstination déraisonnable</w:t>
            </w:r>
          </w:p>
        </w:tc>
        <w:tc>
          <w:tcPr>
            <w:tcW w:w="1650" w:type="pct"/>
            <w:shd w:val="clear" w:color="auto" w:fill="F2E9EA"/>
            <w:tcMar>
              <w:top w:w="60" w:type="dxa"/>
              <w:left w:w="90" w:type="dxa"/>
              <w:bottom w:w="60" w:type="dxa"/>
              <w:right w:w="90" w:type="dxa"/>
            </w:tcMar>
          </w:tcPr>
          <w:p w14:paraId="685BF09C" w14:textId="77777777" w:rsidR="00B13F99" w:rsidRDefault="00000000">
            <w:r>
              <w:rPr>
                <w:rFonts w:ascii="Calibri" w:eastAsia="Calibri" w:hAnsi="Calibri" w:cs="Calibri"/>
                <w:b/>
                <w:bCs/>
                <w:color w:val="1A1A1A"/>
                <w:sz w:val="17"/>
                <w:szCs w:val="17"/>
              </w:rPr>
              <w:t>II. Un droit ouvert à l’aide à mourir sous encadrement strict</w:t>
            </w:r>
          </w:p>
        </w:tc>
      </w:tr>
      <w:tr w:rsidR="00B13F99" w14:paraId="57DE2602" w14:textId="77777777">
        <w:tblPrEx>
          <w:tblCellMar>
            <w:top w:w="0" w:type="dxa"/>
            <w:bottom w:w="0" w:type="dxa"/>
          </w:tblCellMar>
        </w:tblPrEx>
        <w:tc>
          <w:tcPr>
            <w:tcW w:w="1650" w:type="pct"/>
            <w:tcMar>
              <w:top w:w="60" w:type="dxa"/>
              <w:left w:w="90" w:type="dxa"/>
              <w:bottom w:w="60" w:type="dxa"/>
              <w:right w:w="90" w:type="dxa"/>
            </w:tcMar>
          </w:tcPr>
          <w:p w14:paraId="3A2ABF68" w14:textId="77777777" w:rsidR="00B13F99" w:rsidRDefault="00000000">
            <w:r>
              <w:rPr>
                <w:rFonts w:ascii="Calibri" w:eastAsia="Calibri" w:hAnsi="Calibri" w:cs="Calibri"/>
                <w:color w:val="1A1A1A"/>
                <w:sz w:val="17"/>
                <w:szCs w:val="17"/>
              </w:rPr>
              <w:t>A</w:t>
            </w:r>
          </w:p>
        </w:tc>
        <w:tc>
          <w:tcPr>
            <w:tcW w:w="1650" w:type="pct"/>
            <w:tcMar>
              <w:top w:w="60" w:type="dxa"/>
              <w:left w:w="90" w:type="dxa"/>
              <w:bottom w:w="60" w:type="dxa"/>
              <w:right w:w="90" w:type="dxa"/>
            </w:tcMar>
          </w:tcPr>
          <w:p w14:paraId="14FDCC41" w14:textId="77777777" w:rsidR="00B13F99" w:rsidRDefault="00000000">
            <w:r>
              <w:rPr>
                <w:rFonts w:ascii="Calibri" w:eastAsia="Calibri" w:hAnsi="Calibri" w:cs="Calibri"/>
                <w:color w:val="1A1A1A"/>
                <w:sz w:val="17"/>
                <w:szCs w:val="17"/>
              </w:rPr>
              <w:t>La construction progressive d’un droit au laisser-mourir (1999 → 2016)</w:t>
            </w:r>
          </w:p>
        </w:tc>
        <w:tc>
          <w:tcPr>
            <w:tcW w:w="1650" w:type="pct"/>
            <w:tcMar>
              <w:top w:w="60" w:type="dxa"/>
              <w:left w:w="90" w:type="dxa"/>
              <w:bottom w:w="60" w:type="dxa"/>
              <w:right w:w="90" w:type="dxa"/>
            </w:tcMar>
          </w:tcPr>
          <w:p w14:paraId="67919A6D" w14:textId="77777777" w:rsidR="00B13F99" w:rsidRDefault="00000000">
            <w:r>
              <w:rPr>
                <w:rFonts w:ascii="Calibri" w:eastAsia="Calibri" w:hAnsi="Calibri" w:cs="Calibri"/>
                <w:color w:val="1A1A1A"/>
                <w:sz w:val="17"/>
                <w:szCs w:val="17"/>
              </w:rPr>
              <w:t>Un droit substantiel nouveau (loi du 18 août 2026, cinq conditions, procédure)</w:t>
            </w:r>
          </w:p>
        </w:tc>
      </w:tr>
      <w:tr w:rsidR="00B13F99" w14:paraId="36750B08" w14:textId="77777777">
        <w:tblPrEx>
          <w:tblCellMar>
            <w:top w:w="0" w:type="dxa"/>
            <w:bottom w:w="0" w:type="dxa"/>
          </w:tblCellMar>
        </w:tblPrEx>
        <w:tc>
          <w:tcPr>
            <w:tcW w:w="1650" w:type="pct"/>
            <w:tcMar>
              <w:top w:w="60" w:type="dxa"/>
              <w:left w:w="90" w:type="dxa"/>
              <w:bottom w:w="60" w:type="dxa"/>
              <w:right w:w="90" w:type="dxa"/>
            </w:tcMar>
          </w:tcPr>
          <w:p w14:paraId="0064EF7A" w14:textId="77777777" w:rsidR="00B13F99" w:rsidRDefault="00000000">
            <w:r>
              <w:rPr>
                <w:rFonts w:ascii="Calibri" w:eastAsia="Calibri" w:hAnsi="Calibri" w:cs="Calibri"/>
                <w:color w:val="1A1A1A"/>
                <w:sz w:val="17"/>
                <w:szCs w:val="17"/>
              </w:rPr>
              <w:t>B</w:t>
            </w:r>
          </w:p>
        </w:tc>
        <w:tc>
          <w:tcPr>
            <w:tcW w:w="1650" w:type="pct"/>
            <w:tcMar>
              <w:top w:w="60" w:type="dxa"/>
              <w:left w:w="90" w:type="dxa"/>
              <w:bottom w:w="60" w:type="dxa"/>
              <w:right w:w="90" w:type="dxa"/>
            </w:tcMar>
          </w:tcPr>
          <w:p w14:paraId="3B43B924" w14:textId="77777777" w:rsidR="00B13F99" w:rsidRDefault="00000000">
            <w:r>
              <w:rPr>
                <w:rFonts w:ascii="Calibri" w:eastAsia="Calibri" w:hAnsi="Calibri" w:cs="Calibri"/>
                <w:color w:val="1A1A1A"/>
                <w:sz w:val="17"/>
                <w:szCs w:val="17"/>
              </w:rPr>
              <w:t>La validation jurisprudentielle et conventionnelle (Lambert, CE 2014 et CEDH 2015 ; Cons. const. 2017-632 QPC)</w:t>
            </w:r>
          </w:p>
        </w:tc>
        <w:tc>
          <w:tcPr>
            <w:tcW w:w="1650" w:type="pct"/>
            <w:tcMar>
              <w:top w:w="60" w:type="dxa"/>
              <w:left w:w="90" w:type="dxa"/>
              <w:bottom w:w="60" w:type="dxa"/>
              <w:right w:w="90" w:type="dxa"/>
            </w:tcMar>
          </w:tcPr>
          <w:p w14:paraId="30227F29" w14:textId="77777777" w:rsidR="00B13F99" w:rsidRDefault="00000000">
            <w:r>
              <w:rPr>
                <w:rFonts w:ascii="Calibri" w:eastAsia="Calibri" w:hAnsi="Calibri" w:cs="Calibri"/>
                <w:color w:val="1A1A1A"/>
                <w:sz w:val="17"/>
                <w:szCs w:val="17"/>
              </w:rPr>
              <w:t>Un droit validé sous réserves et suspendu à son effectivité (2026-910 DC ; Mortier ; décrets)</w:t>
            </w:r>
          </w:p>
        </w:tc>
      </w:tr>
    </w:tbl>
    <w:p w14:paraId="43350228" w14:textId="77777777" w:rsidR="00B13F99" w:rsidRDefault="00B13F99">
      <w:pPr>
        <w:spacing w:after="120"/>
      </w:pPr>
    </w:p>
    <w:p w14:paraId="63A0809C" w14:textId="77777777" w:rsidR="00B13F99" w:rsidRDefault="00000000">
      <w:pPr>
        <w:spacing w:after="90" w:line="264" w:lineRule="auto"/>
        <w:jc w:val="both"/>
      </w:pPr>
      <w:r>
        <w:rPr>
          <w:rFonts w:ascii="Calibri" w:eastAsia="Calibri" w:hAnsi="Calibri" w:cs="Calibri"/>
          <w:b/>
          <w:bCs/>
          <w:color w:val="1A1A1A"/>
        </w:rPr>
        <w:lastRenderedPageBreak/>
        <w:t>Son défaut :</w:t>
      </w:r>
      <w:r>
        <w:rPr>
          <w:rFonts w:ascii="Calibri" w:eastAsia="Calibri" w:hAnsi="Calibri" w:cs="Calibri"/>
          <w:color w:val="1A1A1A"/>
        </w:rPr>
        <w:t xml:space="preserve"> il reste chronologique en surface. On le rattrape en annonçant explicitement, dans le chapeau, que la ligne de partage n’est pas temporelle mais tient à l’intention — soulager ou provoquer.</w:t>
      </w:r>
    </w:p>
    <w:p w14:paraId="1F72D6D6"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7. LES RELANCES PROBABLES DU JURY</w:t>
      </w:r>
    </w:p>
    <w:p w14:paraId="13A89461" w14:textId="77777777" w:rsidR="00B13F99" w:rsidRDefault="00000000">
      <w:pPr>
        <w:spacing w:after="160"/>
      </w:pPr>
      <w:r>
        <w:rPr>
          <w:rFonts w:ascii="Calibri" w:eastAsia="Calibri" w:hAnsi="Calibri" w:cs="Calibri"/>
          <w:i/>
          <w:iCs/>
          <w:color w:val="5A5A5A"/>
          <w:sz w:val="18"/>
          <w:szCs w:val="18"/>
        </w:rPr>
        <w:t>Réponses construites en syllogisme : majeure textuelle, illustration jurisprudentielle ou d’actualité, puis conclusion. Trois à cinq secondes de silence avant de répondre valent mieux qu’un départ précipité.</w:t>
      </w:r>
    </w:p>
    <w:p w14:paraId="45510F66" w14:textId="77777777" w:rsidR="00B13F99" w:rsidRDefault="00000000">
      <w:pPr>
        <w:pStyle w:val="Titre3"/>
        <w:spacing w:before="200" w:after="80"/>
      </w:pPr>
      <w:r>
        <w:rPr>
          <w:rFonts w:ascii="Calibri" w:eastAsia="Calibri" w:hAnsi="Calibri" w:cs="Calibri"/>
          <w:b/>
          <w:bCs/>
          <w:i/>
          <w:iCs/>
          <w:color w:val="1A1A1A"/>
          <w:sz w:val="21"/>
          <w:szCs w:val="21"/>
        </w:rPr>
        <w:t>« Existe-t-il un droit de mourir ? »</w:t>
      </w:r>
    </w:p>
    <w:p w14:paraId="51C8A4CE"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Majeure.</w:t>
      </w:r>
      <w:r>
        <w:rPr>
          <w:rFonts w:ascii="Calibri" w:eastAsia="Calibri" w:hAnsi="Calibri" w:cs="Calibri"/>
          <w:color w:val="1A1A1A"/>
        </w:rPr>
        <w:t xml:space="preserve"> L’</w:t>
      </w:r>
      <w:r>
        <w:rPr>
          <w:rFonts w:ascii="Calibri" w:eastAsia="Calibri" w:hAnsi="Calibri" w:cs="Calibri"/>
          <w:color w:val="1E88E5"/>
        </w:rPr>
        <w:t>article 2 de la Convention</w:t>
      </w:r>
      <w:r>
        <w:rPr>
          <w:rFonts w:ascii="Calibri" w:eastAsia="Calibri" w:hAnsi="Calibri" w:cs="Calibri"/>
          <w:color w:val="1A1A1A"/>
        </w:rPr>
        <w:t xml:space="preserve"> impose à l’État de protéger la vie ; il ne comporte pas de volet négatif.</w:t>
      </w:r>
    </w:p>
    <w:p w14:paraId="19674A21"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Illustration.</w:t>
      </w:r>
      <w:r>
        <w:rPr>
          <w:rFonts w:ascii="Calibri" w:eastAsia="Calibri" w:hAnsi="Calibri" w:cs="Calibri"/>
          <w:color w:val="1A1A1A"/>
        </w:rPr>
        <w:t xml:space="preserve"> </w:t>
      </w:r>
      <w:r>
        <w:rPr>
          <w:rFonts w:ascii="Calibri" w:eastAsia="Calibri" w:hAnsi="Calibri" w:cs="Calibri"/>
          <w:color w:val="E91E63"/>
        </w:rPr>
        <w:t>Pretty c. Royaume-Uni, 2002</w:t>
      </w:r>
      <w:r>
        <w:rPr>
          <w:rFonts w:ascii="Calibri" w:eastAsia="Calibri" w:hAnsi="Calibri" w:cs="Calibri"/>
          <w:color w:val="1A1A1A"/>
        </w:rPr>
        <w:t xml:space="preserve"> l’a dit expressément ; </w:t>
      </w:r>
      <w:r>
        <w:rPr>
          <w:rFonts w:ascii="Calibri" w:eastAsia="Calibri" w:hAnsi="Calibri" w:cs="Calibri"/>
          <w:color w:val="E91E63"/>
        </w:rPr>
        <w:t>Karsai c. Hongrie, 2024</w:t>
      </w:r>
      <w:r>
        <w:rPr>
          <w:rFonts w:ascii="Calibri" w:eastAsia="Calibri" w:hAnsi="Calibri" w:cs="Calibri"/>
          <w:color w:val="1A1A1A"/>
        </w:rPr>
        <w:t xml:space="preserve"> l’a confirmé faute de consensus européen. En droit interne, </w:t>
      </w:r>
      <w:r>
        <w:rPr>
          <w:rFonts w:ascii="Calibri" w:eastAsia="Calibri" w:hAnsi="Calibri" w:cs="Calibri"/>
          <w:color w:val="E91E63"/>
        </w:rPr>
        <w:t>Cons. const., 14 août 2026, n° 2026-910 DC</w:t>
      </w:r>
      <w:r>
        <w:rPr>
          <w:rFonts w:ascii="Calibri" w:eastAsia="Calibri" w:hAnsi="Calibri" w:cs="Calibri"/>
          <w:color w:val="1A1A1A"/>
        </w:rPr>
        <w:t xml:space="preserve"> ne consacre aucun droit constitutionnel de mourir : il juge qu’une loi qui l’organise n’est pas contraire à la Constitution.</w:t>
      </w:r>
    </w:p>
    <w:p w14:paraId="2A939EEB"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Conclusion.</w:t>
      </w:r>
      <w:r>
        <w:rPr>
          <w:rFonts w:ascii="Calibri" w:eastAsia="Calibri" w:hAnsi="Calibri" w:cs="Calibri"/>
          <w:color w:val="1A1A1A"/>
        </w:rPr>
        <w:t xml:space="preserve"> Il n’existe pas de droit de mourir garanti ; il existe, depuis 2026, un droit légal à l’aide à mourir. La différence entre </w:t>
      </w:r>
      <w:r>
        <w:rPr>
          <w:rFonts w:ascii="Calibri" w:eastAsia="Calibri" w:hAnsi="Calibri" w:cs="Calibri"/>
          <w:b/>
          <w:bCs/>
          <w:color w:val="1A1A1A"/>
        </w:rPr>
        <w:t>permis</w:t>
      </w:r>
      <w:r>
        <w:rPr>
          <w:rFonts w:ascii="Calibri" w:eastAsia="Calibri" w:hAnsi="Calibri" w:cs="Calibri"/>
          <w:color w:val="1A1A1A"/>
        </w:rPr>
        <w:t xml:space="preserve"> et </w:t>
      </w:r>
      <w:r>
        <w:rPr>
          <w:rFonts w:ascii="Calibri" w:eastAsia="Calibri" w:hAnsi="Calibri" w:cs="Calibri"/>
          <w:b/>
          <w:bCs/>
          <w:color w:val="1A1A1A"/>
        </w:rPr>
        <w:t>garanti</w:t>
      </w:r>
      <w:r>
        <w:rPr>
          <w:rFonts w:ascii="Calibri" w:eastAsia="Calibri" w:hAnsi="Calibri" w:cs="Calibri"/>
          <w:color w:val="1A1A1A"/>
        </w:rPr>
        <w:t xml:space="preserve"> est l’essentiel de la question.</w:t>
      </w:r>
    </w:p>
    <w:p w14:paraId="7C44696C" w14:textId="77777777" w:rsidR="00B13F99" w:rsidRDefault="00000000">
      <w:pPr>
        <w:pStyle w:val="Titre3"/>
        <w:spacing w:before="200" w:after="80"/>
      </w:pPr>
      <w:r>
        <w:rPr>
          <w:rFonts w:ascii="Calibri" w:eastAsia="Calibri" w:hAnsi="Calibri" w:cs="Calibri"/>
          <w:b/>
          <w:bCs/>
          <w:i/>
          <w:iCs/>
          <w:color w:val="1A1A1A"/>
          <w:sz w:val="21"/>
          <w:szCs w:val="21"/>
        </w:rPr>
        <w:t>« Le Conseil dit qu’il ne substitue pas son appréciation à celle du législateur. N’est-ce pas un abandon de contrôle ? »</w:t>
      </w:r>
    </w:p>
    <w:p w14:paraId="678D3C15"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Non — c’est une répartition des offices</w:t>
      </w:r>
      <w:r>
        <w:rPr>
          <w:rFonts w:ascii="Calibri" w:eastAsia="Calibri" w:hAnsi="Calibri" w:cs="Calibri"/>
          <w:color w:val="1A1A1A"/>
        </w:rPr>
        <w:t xml:space="preserve">, formulée dans les mêmes termes depuis </w:t>
      </w:r>
      <w:r>
        <w:rPr>
          <w:rFonts w:ascii="Calibri" w:eastAsia="Calibri" w:hAnsi="Calibri" w:cs="Calibri"/>
          <w:color w:val="E91E63"/>
        </w:rPr>
        <w:t>74-54 DC</w:t>
      </w:r>
      <w:r>
        <w:rPr>
          <w:rFonts w:ascii="Calibri" w:eastAsia="Calibri" w:hAnsi="Calibri" w:cs="Calibri"/>
          <w:color w:val="1A1A1A"/>
        </w:rPr>
        <w:t xml:space="preserve"> : le Conseil contrôle la conformité, non l’opportunité.</w:t>
      </w:r>
    </w:p>
    <w:p w14:paraId="3046E864"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contrôle s’est déplacé, non supprimé</w:t>
      </w:r>
      <w:r>
        <w:rPr>
          <w:rFonts w:ascii="Calibri" w:eastAsia="Calibri" w:hAnsi="Calibri" w:cs="Calibri"/>
          <w:color w:val="1A1A1A"/>
        </w:rPr>
        <w:t xml:space="preserve"> : il porte sur l’existence de garanties appropriées, et il a produit trois réserves qui modifient réellement le texte — l’une d’elles crée une clause de conscience que la loi refusait au pharmacien.</w:t>
      </w:r>
    </w:p>
    <w:p w14:paraId="2B4E1A59"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Ce retrait est relatif dans le temps</w:t>
      </w:r>
      <w:r>
        <w:rPr>
          <w:rFonts w:ascii="Calibri" w:eastAsia="Calibri" w:hAnsi="Calibri" w:cs="Calibri"/>
          <w:color w:val="1A1A1A"/>
        </w:rPr>
        <w:t xml:space="preserve"> : la déclaration de conformité a priori n’épuise ni le contrôle de conventionnalité, ni le contentieux administratif de l’application, ni d’éventuelles QPC sur des cas non examinés.</w:t>
      </w:r>
    </w:p>
    <w:p w14:paraId="6E558FE3" w14:textId="77777777" w:rsidR="00B13F99" w:rsidRDefault="00000000">
      <w:pPr>
        <w:pStyle w:val="Titre3"/>
        <w:spacing w:before="200" w:after="80"/>
      </w:pPr>
      <w:r>
        <w:rPr>
          <w:rFonts w:ascii="Calibri" w:eastAsia="Calibri" w:hAnsi="Calibri" w:cs="Calibri"/>
          <w:b/>
          <w:bCs/>
          <w:i/>
          <w:iCs/>
          <w:color w:val="1A1A1A"/>
          <w:sz w:val="21"/>
          <w:szCs w:val="21"/>
        </w:rPr>
        <w:t>« La dignité n’a-t-elle pas toujours servi à protéger la personne contre elle-même ? »</w:t>
      </w:r>
    </w:p>
    <w:p w14:paraId="637DE336"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Les deux usages coexistent et se distinguent par leur objet.</w:t>
      </w:r>
      <w:r>
        <w:rPr>
          <w:rFonts w:ascii="Calibri" w:eastAsia="Calibri" w:hAnsi="Calibri" w:cs="Calibri"/>
          <w:color w:val="1A1A1A"/>
        </w:rPr>
        <w:t xml:space="preserve"> La dignité-limite vise des pratiques qui traitent la personne comme un objet pour autrui — lancer de nain, esclavage, marchandisation du corps : </w:t>
      </w:r>
      <w:r>
        <w:rPr>
          <w:rFonts w:ascii="Calibri" w:eastAsia="Calibri" w:hAnsi="Calibri" w:cs="Calibri"/>
          <w:color w:val="E91E63"/>
        </w:rPr>
        <w:t>Morsang-sur-Orge, 1995</w:t>
      </w:r>
      <w:r>
        <w:rPr>
          <w:rFonts w:ascii="Calibri" w:eastAsia="Calibri" w:hAnsi="Calibri" w:cs="Calibri"/>
          <w:color w:val="1A1A1A"/>
        </w:rPr>
        <w:t>. La dignité-fondement vise le rapport de la personne à sa propre fin.</w:t>
      </w:r>
    </w:p>
    <w:p w14:paraId="6F827019"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glissement est européen d’abord</w:t>
      </w:r>
      <w:r>
        <w:rPr>
          <w:rFonts w:ascii="Calibri" w:eastAsia="Calibri" w:hAnsi="Calibri" w:cs="Calibri"/>
          <w:color w:val="1A1A1A"/>
        </w:rPr>
        <w:t xml:space="preserve"> : </w:t>
      </w:r>
      <w:r>
        <w:rPr>
          <w:rFonts w:ascii="Calibri" w:eastAsia="Calibri" w:hAnsi="Calibri" w:cs="Calibri"/>
          <w:color w:val="E91E63"/>
        </w:rPr>
        <w:t>Pretty, § 65</w:t>
      </w:r>
      <w:r>
        <w:rPr>
          <w:rFonts w:ascii="Calibri" w:eastAsia="Calibri" w:hAnsi="Calibri" w:cs="Calibri"/>
          <w:color w:val="1A1A1A"/>
        </w:rPr>
        <w:t>, lie dignité et autonomie personnelle sous l’</w:t>
      </w:r>
      <w:r>
        <w:rPr>
          <w:rFonts w:ascii="Calibri" w:eastAsia="Calibri" w:hAnsi="Calibri" w:cs="Calibri"/>
          <w:color w:val="1E88E5"/>
        </w:rPr>
        <w:t>article 8</w:t>
      </w:r>
      <w:r>
        <w:rPr>
          <w:rFonts w:ascii="Calibri" w:eastAsia="Calibri" w:hAnsi="Calibri" w:cs="Calibri"/>
          <w:color w:val="1A1A1A"/>
        </w:rPr>
        <w:t>.</w:t>
      </w:r>
    </w:p>
    <w:p w14:paraId="7A1354FB"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Mais il reste borné</w:t>
      </w:r>
      <w:r>
        <w:rPr>
          <w:rFonts w:ascii="Calibri" w:eastAsia="Calibri" w:hAnsi="Calibri" w:cs="Calibri"/>
          <w:color w:val="1A1A1A"/>
        </w:rPr>
        <w:t xml:space="preserve"> : la 910 DC retient « le droit d’avoir une fin de vie digne » au soutien de la loi, sans créer de droit constitutionnel nouveau.</w:t>
      </w:r>
    </w:p>
    <w:p w14:paraId="52B02295" w14:textId="77777777" w:rsidR="00B13F99" w:rsidRDefault="00000000">
      <w:pPr>
        <w:pStyle w:val="Titre3"/>
        <w:spacing w:before="200" w:after="80"/>
      </w:pPr>
      <w:r>
        <w:rPr>
          <w:rFonts w:ascii="Calibri" w:eastAsia="Calibri" w:hAnsi="Calibri" w:cs="Calibri"/>
          <w:b/>
          <w:bCs/>
          <w:i/>
          <w:iCs/>
          <w:color w:val="1A1A1A"/>
          <w:sz w:val="21"/>
          <w:szCs w:val="21"/>
        </w:rPr>
        <w:t>« Quelle différence entre la sédation profonde et l’aide à mourir ? »</w:t>
      </w:r>
    </w:p>
    <w:p w14:paraId="4A2BA2A4"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L’intention, et elle seule.</w:t>
      </w:r>
      <w:r>
        <w:rPr>
          <w:rFonts w:ascii="Calibri" w:eastAsia="Calibri" w:hAnsi="Calibri" w:cs="Calibri"/>
          <w:color w:val="1A1A1A"/>
        </w:rPr>
        <w:t xml:space="preserve"> La sédation (</w:t>
      </w:r>
      <w:r>
        <w:rPr>
          <w:rFonts w:ascii="Calibri" w:eastAsia="Calibri" w:hAnsi="Calibri" w:cs="Calibri"/>
          <w:color w:val="1E88E5"/>
        </w:rPr>
        <w:t>art. L. 1110-5-2 CSP</w:t>
      </w:r>
      <w:r>
        <w:rPr>
          <w:rFonts w:ascii="Calibri" w:eastAsia="Calibri" w:hAnsi="Calibri" w:cs="Calibri"/>
          <w:color w:val="1A1A1A"/>
        </w:rPr>
        <w:t>) vise à soulager une souffrance réfractaire chez un patient dont le pronostic vital est engagé à court terme ; le décès en est la conséquence acceptée, non le but. L’aide à mourir vise le décès.</w:t>
      </w:r>
    </w:p>
    <w:p w14:paraId="070B58BB"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conséquence de régime.</w:t>
      </w:r>
      <w:r>
        <w:rPr>
          <w:rFonts w:ascii="Calibri" w:eastAsia="Calibri" w:hAnsi="Calibri" w:cs="Calibri"/>
          <w:color w:val="1A1A1A"/>
        </w:rPr>
        <w:t xml:space="preserve"> La sédation relève de la décision médicale et de la procédure collégiale ; l’aide à mourir relève d’une demande de la personne soumise à cinq conditions cumulatives et à un contrôle a posteriori.</w:t>
      </w:r>
    </w:p>
    <w:p w14:paraId="5957A7AB"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limite de la distinction.</w:t>
      </w:r>
      <w:r>
        <w:rPr>
          <w:rFonts w:ascii="Calibri" w:eastAsia="Calibri" w:hAnsi="Calibri" w:cs="Calibri"/>
          <w:color w:val="1A1A1A"/>
        </w:rPr>
        <w:t xml:space="preserve"> Elle est critiquée par une partie de la doctrine comme une frontière d’intention difficile à objectiver — c’est un débat que l’on peut mentionner, à condition de ne pas s’y perdre.</w:t>
      </w:r>
    </w:p>
    <w:p w14:paraId="12C82BA2" w14:textId="77777777" w:rsidR="00B13F99" w:rsidRDefault="00000000">
      <w:pPr>
        <w:pStyle w:val="Titre3"/>
        <w:spacing w:before="200" w:after="80"/>
      </w:pPr>
      <w:r>
        <w:rPr>
          <w:rFonts w:ascii="Calibri" w:eastAsia="Calibri" w:hAnsi="Calibri" w:cs="Calibri"/>
          <w:b/>
          <w:bCs/>
          <w:i/>
          <w:iCs/>
          <w:color w:val="1A1A1A"/>
          <w:sz w:val="21"/>
          <w:szCs w:val="21"/>
        </w:rPr>
        <w:t>« Une loi votée, promulguée, conforme — et pourtant inapplicable faute de décrets. Cela vous paraît normal ? »</w:t>
      </w:r>
    </w:p>
    <w:p w14:paraId="243E9788"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C’est la distinction classique entre validité et effectivité</w:t>
      </w:r>
      <w:r>
        <w:rPr>
          <w:rFonts w:ascii="Calibri" w:eastAsia="Calibri" w:hAnsi="Calibri" w:cs="Calibri"/>
          <w:color w:val="1A1A1A"/>
        </w:rPr>
        <w:t xml:space="preserve"> : la norme existe et est valide ; son exercice suppose des mesures d’application.</w:t>
      </w:r>
    </w:p>
    <w:p w14:paraId="1048004B"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pouvoir réglementaire n’est pas libre de s’abstenir</w:t>
      </w:r>
      <w:r>
        <w:rPr>
          <w:rFonts w:ascii="Calibri" w:eastAsia="Calibri" w:hAnsi="Calibri" w:cs="Calibri"/>
          <w:color w:val="1A1A1A"/>
        </w:rPr>
        <w:t xml:space="preserve"> : il est tenu de prendre dans un délai raisonnable les mesures qu’appelle l’exécution de la loi, et sa carence est sanctionnée par le juge administratif.</w:t>
      </w:r>
    </w:p>
    <w:p w14:paraId="35400674" w14:textId="77777777" w:rsidR="00B13F99" w:rsidRPr="00767761" w:rsidRDefault="00000000">
      <w:pPr>
        <w:pStyle w:val="Paragraphedeliste"/>
        <w:numPr>
          <w:ilvl w:val="0"/>
          <w:numId w:val="2"/>
        </w:numPr>
        <w:spacing w:after="70" w:line="264" w:lineRule="auto"/>
        <w:jc w:val="both"/>
      </w:pPr>
      <w:r>
        <w:rPr>
          <w:rFonts w:ascii="Calibri" w:eastAsia="Calibri" w:hAnsi="Calibri" w:cs="Calibri"/>
          <w:b/>
          <w:bCs/>
          <w:color w:val="1A1A1A"/>
        </w:rPr>
        <w:t>L’enjeu est ici redoublé</w:t>
      </w:r>
      <w:r>
        <w:rPr>
          <w:rFonts w:ascii="Calibri" w:eastAsia="Calibri" w:hAnsi="Calibri" w:cs="Calibri"/>
          <w:color w:val="1A1A1A"/>
        </w:rPr>
        <w:t xml:space="preserve"> par l’asymétrie avec le texte jumeau : le droit à l’aide à mourir sera exigible, quand le droit aux soins palliatifs a été privé de son caractère opposable par le Sénat dans la </w:t>
      </w:r>
      <w:r>
        <w:rPr>
          <w:rFonts w:ascii="Calibri" w:eastAsia="Calibri" w:hAnsi="Calibri" w:cs="Calibri"/>
          <w:color w:val="1E88E5"/>
        </w:rPr>
        <w:t>loi du 26 mai 2026</w:t>
      </w:r>
      <w:r>
        <w:rPr>
          <w:rFonts w:ascii="Calibri" w:eastAsia="Calibri" w:hAnsi="Calibri" w:cs="Calibri"/>
          <w:color w:val="1A1A1A"/>
        </w:rPr>
        <w:t>. L’ordre d’effectivité ne suit pas l’ordre des principes.</w:t>
      </w:r>
    </w:p>
    <w:p w14:paraId="38300E07" w14:textId="77777777" w:rsidR="00767761" w:rsidRDefault="00767761" w:rsidP="00767761">
      <w:pPr>
        <w:pStyle w:val="Paragraphedeliste"/>
        <w:spacing w:after="70" w:line="264" w:lineRule="auto"/>
        <w:ind w:left="340"/>
        <w:jc w:val="both"/>
      </w:pPr>
    </w:p>
    <w:p w14:paraId="7444555F" w14:textId="77777777" w:rsidR="00B13F99" w:rsidRDefault="00000000">
      <w:pPr>
        <w:pStyle w:val="Titre3"/>
        <w:spacing w:before="200" w:after="80"/>
      </w:pPr>
      <w:r>
        <w:rPr>
          <w:rFonts w:ascii="Calibri" w:eastAsia="Calibri" w:hAnsi="Calibri" w:cs="Calibri"/>
          <w:b/>
          <w:bCs/>
          <w:i/>
          <w:iCs/>
          <w:color w:val="1A1A1A"/>
          <w:sz w:val="21"/>
          <w:szCs w:val="21"/>
        </w:rPr>
        <w:lastRenderedPageBreak/>
        <w:t>« Un médecin peut-il refuser ? Et si tous refusent ? »</w:t>
      </w:r>
    </w:p>
    <w:p w14:paraId="7C8C176B"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Il le peut</w:t>
      </w:r>
      <w:r>
        <w:rPr>
          <w:rFonts w:ascii="Calibri" w:eastAsia="Calibri" w:hAnsi="Calibri" w:cs="Calibri"/>
          <w:color w:val="1A1A1A"/>
        </w:rPr>
        <w:t xml:space="preserve">, et c’est acquis : la clause de conscience figure dans la loi pour les médecins et les infirmiers, et le Conseil constitutionnel l’a étendue au pharmacien par voie de réserve. Elle se rattache à la </w:t>
      </w:r>
      <w:r>
        <w:rPr>
          <w:rFonts w:ascii="Calibri" w:eastAsia="Calibri" w:hAnsi="Calibri" w:cs="Calibri"/>
          <w:b/>
          <w:bCs/>
          <w:color w:val="1A1A1A"/>
        </w:rPr>
        <w:t>liberté de conscience</w:t>
      </w:r>
      <w:r>
        <w:rPr>
          <w:rFonts w:ascii="Calibri" w:eastAsia="Calibri" w:hAnsi="Calibri" w:cs="Calibri"/>
          <w:color w:val="1A1A1A"/>
        </w:rPr>
        <w:t xml:space="preserve"> — </w:t>
      </w:r>
      <w:r>
        <w:rPr>
          <w:rFonts w:ascii="Calibri" w:eastAsia="Calibri" w:hAnsi="Calibri" w:cs="Calibri"/>
          <w:color w:val="1E88E5"/>
        </w:rPr>
        <w:t>article 10 de la Déclaration de 1789</w:t>
      </w:r>
      <w:r>
        <w:rPr>
          <w:rFonts w:ascii="Calibri" w:eastAsia="Calibri" w:hAnsi="Calibri" w:cs="Calibri"/>
          <w:color w:val="1A1A1A"/>
        </w:rPr>
        <w:t xml:space="preserve">, </w:t>
      </w:r>
      <w:r>
        <w:rPr>
          <w:rFonts w:ascii="Calibri" w:eastAsia="Calibri" w:hAnsi="Calibri" w:cs="Calibri"/>
          <w:color w:val="1E88E5"/>
        </w:rPr>
        <w:t>article 9 de la Convention</w:t>
      </w:r>
      <w:r>
        <w:rPr>
          <w:rFonts w:ascii="Calibri" w:eastAsia="Calibri" w:hAnsi="Calibri" w:cs="Calibri"/>
          <w:color w:val="1A1A1A"/>
        </w:rPr>
        <w:t xml:space="preserve"> — et non au droit au respect de la vie privée.</w:t>
      </w:r>
    </w:p>
    <w:p w14:paraId="256B5218"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Mais elle ne vaut pas droit de veto</w:t>
      </w:r>
      <w:r>
        <w:rPr>
          <w:rFonts w:ascii="Calibri" w:eastAsia="Calibri" w:hAnsi="Calibri" w:cs="Calibri"/>
          <w:color w:val="1A1A1A"/>
        </w:rPr>
        <w:t xml:space="preserve"> : le professionnel qui refuse doit orienter la personne vers d’autres praticiens, et la réserve relative aux établissements privés subordonne leur refus à ce que d’autres établissements puissent répondre aux besoins locaux.</w:t>
      </w:r>
    </w:p>
    <w:p w14:paraId="21391DB1"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vraie question n’est donc pas la légitimité de l’objection, mais l’imputation de la charge d’organiser l’accès quand elle est exercée.</w:t>
      </w:r>
      <w:r>
        <w:rPr>
          <w:rFonts w:ascii="Calibri" w:eastAsia="Calibri" w:hAnsi="Calibri" w:cs="Calibri"/>
          <w:color w:val="1A1A1A"/>
        </w:rPr>
        <w:t xml:space="preserve"> Par l’effet d’agrégation, des refus concentrés géographiquement feraient de l’accès une question de code postal : c’est l’État, débiteur de l’effectivité du droit qu’il a créé, qui en répond.</w:t>
      </w:r>
    </w:p>
    <w:p w14:paraId="2734C0E8" w14:textId="77777777" w:rsidR="00B13F99" w:rsidRDefault="00000000">
      <w:r>
        <w:br w:type="page"/>
      </w:r>
    </w:p>
    <w:p w14:paraId="2DD94133" w14:textId="77777777" w:rsidR="00B13F99" w:rsidRDefault="00000000">
      <w:pPr>
        <w:shd w:val="clear" w:color="auto" w:fill="F2E9EA"/>
        <w:spacing w:before="200" w:after="220"/>
        <w:jc w:val="center"/>
      </w:pPr>
      <w:r>
        <w:rPr>
          <w:rFonts w:ascii="Calibri" w:eastAsia="Calibri" w:hAnsi="Calibri" w:cs="Calibri"/>
          <w:b/>
          <w:bCs/>
          <w:color w:val="8C1C2B"/>
          <w:spacing w:val="30"/>
          <w:sz w:val="26"/>
          <w:szCs w:val="26"/>
        </w:rPr>
        <w:lastRenderedPageBreak/>
        <w:t>PARTIE III. SUJET N° 2 — « SOUTENEZ QUE L’EUTHANASIE EST CONTRAIRE AU RESPECT DU DROIT À LA VIE »</w:t>
      </w:r>
    </w:p>
    <w:p w14:paraId="02A70EDB"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1. LES RÈGLES DU JEU DE L’ARGUMENTATION IMPOSÉE</w:t>
      </w:r>
    </w:p>
    <w:p w14:paraId="5DF1AC6B" w14:textId="77777777" w:rsidR="00B13F99" w:rsidRDefault="00000000">
      <w:pPr>
        <w:spacing w:after="90" w:line="264" w:lineRule="auto"/>
        <w:jc w:val="both"/>
      </w:pPr>
      <w:r>
        <w:rPr>
          <w:rFonts w:ascii="Calibri" w:eastAsia="Calibri" w:hAnsi="Calibri" w:cs="Calibri"/>
          <w:color w:val="1A1A1A"/>
        </w:rPr>
        <w:t>C’est un exercice distinct de la dissertation, et la méthode du Grand Oral le classe à part : l’exposé-dissertation « dans lequel il convient de défendre une thèse ». Le jury ne vous demande pas ce que vous pensez ; il vous assigne une position et évalue votre capacité à la tenir avec les outils du droit. C’est l’exercice le plus proche du métier d’avocat, et c’est pour cela qu’il est donné.</w:t>
      </w:r>
    </w:p>
    <w:p w14:paraId="1B705BF1" w14:textId="77777777" w:rsidR="00B13F99" w:rsidRDefault="00000000">
      <w:pPr>
        <w:pStyle w:val="Titre2"/>
        <w:spacing w:before="260" w:after="110"/>
      </w:pPr>
      <w:r>
        <w:rPr>
          <w:rFonts w:ascii="Calibri" w:eastAsia="Calibri" w:hAnsi="Calibri" w:cs="Calibri"/>
          <w:b/>
          <w:bCs/>
          <w:color w:val="1A1A1A"/>
          <w:spacing w:val="16"/>
          <w:sz w:val="23"/>
          <w:szCs w:val="23"/>
        </w:rPr>
        <w:t>Six règles</w:t>
      </w:r>
    </w:p>
    <w:p w14:paraId="4083F994"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On ne nuance pas dans le corps de l’exposé.</w:t>
      </w:r>
      <w:r>
        <w:rPr>
          <w:rFonts w:ascii="Calibri" w:eastAsia="Calibri" w:hAnsi="Calibri" w:cs="Calibri"/>
          <w:color w:val="1A1A1A"/>
        </w:rPr>
        <w:t xml:space="preserve"> La nuance a sa place, mais une seule : l’ouverture finale. Un grand II intitulé « L’atténuation de ce principe » ou « Les limites de cette thèse » détruit la démonstration en son milieu — et plusieurs propositions du séminaire y tombent.</w:t>
      </w:r>
    </w:p>
    <w:p w14:paraId="220A721E"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On ne dit jamais « je pense », « selon moi », « personnellement ».</w:t>
      </w:r>
      <w:r>
        <w:rPr>
          <w:rFonts w:ascii="Calibri" w:eastAsia="Calibri" w:hAnsi="Calibri" w:cs="Calibri"/>
          <w:color w:val="1A1A1A"/>
        </w:rPr>
        <w:t xml:space="preserve"> On dit « il faut soutenir que », « il sera démontré que », « l’argument ne résiste pas ». La thèse n’est pas la vôtre, elle est celle que vous plaidez.</w:t>
      </w:r>
    </w:p>
    <w:p w14:paraId="05C8AA17"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On ne nie jamais l’état du droit.</w:t>
      </w:r>
      <w:r>
        <w:rPr>
          <w:rFonts w:ascii="Calibri" w:eastAsia="Calibri" w:hAnsi="Calibri" w:cs="Calibri"/>
          <w:color w:val="1A1A1A"/>
        </w:rPr>
        <w:t xml:space="preserve"> Soutenir que l’euthanasie est contraire au droit à la vie n’autorise pas à ignorer la loi du 18 août 2026. Il faut au contraire l’intégrer et la qualifier.</w:t>
      </w:r>
    </w:p>
    <w:p w14:paraId="7E31E8E0"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On définit d’abord — et c’est là que se gagne le sujet.</w:t>
      </w:r>
      <w:r>
        <w:rPr>
          <w:rFonts w:ascii="Calibri" w:eastAsia="Calibri" w:hAnsi="Calibri" w:cs="Calibri"/>
          <w:color w:val="1A1A1A"/>
        </w:rPr>
        <w:t xml:space="preserve"> Le mot « euthanasie » n’est pas défini par la loi française. Vous avez donc le droit, et même le devoir, de poser une définition stipulative précise. C’est elle qui rendra la thèse tenable.</w:t>
      </w:r>
    </w:p>
    <w:p w14:paraId="5BBFE63D"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On argumente en droit, pas en morale.</w:t>
      </w:r>
      <w:r>
        <w:rPr>
          <w:rFonts w:ascii="Calibri" w:eastAsia="Calibri" w:hAnsi="Calibri" w:cs="Calibri"/>
          <w:color w:val="1A1A1A"/>
        </w:rPr>
        <w:t xml:space="preserve"> La pente glissante, la « brèche éthique », le serment d’Hippocrate sont des arguments d’opportunité. Ils ne valent qu’en appoint, jamais comme ossature d’une sous-partie : le jury est composé de juristes.</w:t>
      </w:r>
    </w:p>
    <w:p w14:paraId="6BF09E94"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On termine par l’ouverture qui montre qu’on n’est pas dupe.</w:t>
      </w:r>
      <w:r>
        <w:rPr>
          <w:rFonts w:ascii="Calibri" w:eastAsia="Calibri" w:hAnsi="Calibri" w:cs="Calibri"/>
          <w:color w:val="1A1A1A"/>
        </w:rPr>
        <w:t xml:space="preserve"> C’est là que la nuance se loge, et c’est ce qui distingue le candidat qui plaide du candidat qui récite.</w:t>
      </w:r>
    </w:p>
    <w:p w14:paraId="09008D9A"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2. LE COUP DE MAÎTRE : LA DÉFINITION STIPULATIVE</w:t>
      </w:r>
    </w:p>
    <w:p w14:paraId="75450DC1" w14:textId="77777777" w:rsidR="00B13F99" w:rsidRDefault="00000000">
      <w:pPr>
        <w:spacing w:after="90" w:line="264" w:lineRule="auto"/>
        <w:jc w:val="both"/>
      </w:pPr>
      <w:r>
        <w:rPr>
          <w:rFonts w:ascii="Calibri" w:eastAsia="Calibri" w:hAnsi="Calibri" w:cs="Calibri"/>
          <w:color w:val="1A1A1A"/>
        </w:rPr>
        <w:t>Le sujet serait intenable si l’on assimilait « euthanasie » et « aide à mourir au sens de la loi du 18 août 2026 » : on soutiendrait alors qu’une loi promulguée et déclarée conforme est contraire au droit à la vie. Le jury vous y attend.</w:t>
      </w:r>
    </w:p>
    <w:p w14:paraId="752DA9E2" w14:textId="77777777" w:rsidR="00B13F99"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b/>
          <w:bCs/>
          <w:color w:val="1A1A1A"/>
          <w:sz w:val="19"/>
          <w:szCs w:val="19"/>
        </w:rPr>
        <w:t>La définition à poser en introduction.</w:t>
      </w:r>
      <w:r>
        <w:rPr>
          <w:rFonts w:ascii="Calibri" w:eastAsia="Calibri" w:hAnsi="Calibri" w:cs="Calibri"/>
          <w:color w:val="1A1A1A"/>
          <w:sz w:val="19"/>
          <w:szCs w:val="19"/>
        </w:rPr>
        <w:t xml:space="preserve"> L’euthanasie désigne l’acte par lequel </w:t>
      </w:r>
      <w:r>
        <w:rPr>
          <w:rFonts w:ascii="Calibri" w:eastAsia="Calibri" w:hAnsi="Calibri" w:cs="Calibri"/>
          <w:b/>
          <w:bCs/>
          <w:color w:val="1A1A1A"/>
          <w:sz w:val="19"/>
          <w:szCs w:val="19"/>
        </w:rPr>
        <w:t>un tiers administre délibérément à une personne une substance létale dans l’intention de provoquer sa mort</w:t>
      </w:r>
      <w:r>
        <w:rPr>
          <w:rFonts w:ascii="Calibri" w:eastAsia="Calibri" w:hAnsi="Calibri" w:cs="Calibri"/>
          <w:color w:val="1A1A1A"/>
          <w:sz w:val="19"/>
          <w:szCs w:val="19"/>
        </w:rPr>
        <w:t>. Elle se distingue du suicide assisté, où l’acte létal final est accompli par la personne elle-même ; de la sédation profonde et continue, dont l’intention est de soulager ; et de l’arrêt des traitements, qui laisse la maladie suivre son cours.</w:t>
      </w:r>
    </w:p>
    <w:p w14:paraId="73DB3E35" w14:textId="77777777" w:rsidR="00B13F99" w:rsidRDefault="00000000">
      <w:pPr>
        <w:spacing w:after="90" w:line="264" w:lineRule="auto"/>
        <w:jc w:val="both"/>
      </w:pPr>
      <w:r>
        <w:rPr>
          <w:rFonts w:ascii="Calibri" w:eastAsia="Calibri" w:hAnsi="Calibri" w:cs="Calibri"/>
          <w:b/>
          <w:bCs/>
          <w:color w:val="1A1A1A"/>
        </w:rPr>
        <w:t>Ce que cette définition vous permet.</w:t>
      </w:r>
      <w:r>
        <w:rPr>
          <w:rFonts w:ascii="Calibri" w:eastAsia="Calibri" w:hAnsi="Calibri" w:cs="Calibri"/>
          <w:color w:val="1A1A1A"/>
        </w:rPr>
        <w:t xml:space="preserve"> La loi du 18 août 2026 pose en principe l’</w:t>
      </w:r>
      <w:r>
        <w:rPr>
          <w:rFonts w:ascii="Calibri" w:eastAsia="Calibri" w:hAnsi="Calibri" w:cs="Calibri"/>
          <w:b/>
          <w:bCs/>
          <w:color w:val="1A1A1A"/>
        </w:rPr>
        <w:t>auto-administration</w:t>
      </w:r>
      <w:r>
        <w:rPr>
          <w:rFonts w:ascii="Calibri" w:eastAsia="Calibri" w:hAnsi="Calibri" w:cs="Calibri"/>
          <w:color w:val="1A1A1A"/>
        </w:rPr>
        <w:t xml:space="preserve"> de la substance par la personne, l’administration par un médecin ou un infirmier n’étant que subsidiaire. Elle consacre donc à titre principal un suicide médicalement assisté. Vous pouvez dès lors soutenir que </w:t>
      </w:r>
      <w:r>
        <w:rPr>
          <w:rFonts w:ascii="Calibri" w:eastAsia="Calibri" w:hAnsi="Calibri" w:cs="Calibri"/>
          <w:b/>
          <w:bCs/>
          <w:color w:val="1A1A1A"/>
        </w:rPr>
        <w:t>l’euthanasie proprement dite demeure contraire au droit à la vie</w:t>
      </w:r>
      <w:r>
        <w:rPr>
          <w:rFonts w:ascii="Calibri" w:eastAsia="Calibri" w:hAnsi="Calibri" w:cs="Calibri"/>
          <w:color w:val="1A1A1A"/>
        </w:rPr>
        <w:t>, tout en rendant compte du droit positif — et faire de la voie subsidiaire ouverte par la loi le point d’application le plus vulnérable de votre critique.</w:t>
      </w:r>
    </w:p>
    <w:p w14:paraId="3CEE61E1" w14:textId="77777777" w:rsidR="00B13F99" w:rsidRDefault="00000000">
      <w:pPr>
        <w:spacing w:after="90" w:line="264" w:lineRule="auto"/>
        <w:jc w:val="both"/>
        <w:rPr>
          <w:rFonts w:ascii="Calibri" w:eastAsia="Calibri" w:hAnsi="Calibri" w:cs="Calibri"/>
          <w:color w:val="1A1A1A"/>
        </w:rPr>
      </w:pPr>
      <w:r>
        <w:rPr>
          <w:rFonts w:ascii="Calibri" w:eastAsia="Calibri" w:hAnsi="Calibri" w:cs="Calibri"/>
          <w:b/>
          <w:bCs/>
          <w:color w:val="1A1A1A"/>
        </w:rPr>
        <w:t>La formule à préparer, mot pour mot, pour la première relance :</w:t>
      </w:r>
      <w:r>
        <w:rPr>
          <w:rFonts w:ascii="Calibri" w:eastAsia="Calibri" w:hAnsi="Calibri" w:cs="Calibri"/>
          <w:color w:val="1A1A1A"/>
        </w:rPr>
        <w:t xml:space="preserve"> « Le législateur français a précisément évité de consacrer l’euthanasie : il a fait de l’auto-administration le principe. Ce choix n’est pas une élégance rédactionnelle, c’est un aveu — c’est la reconnaissance que l’acte de donner la mort à autrui, lui, reste en tension avec l’obligation de protéger la vie. »</w:t>
      </w:r>
    </w:p>
    <w:p w14:paraId="7569D945" w14:textId="77777777" w:rsidR="00960E94" w:rsidRDefault="00960E94">
      <w:pPr>
        <w:spacing w:after="90" w:line="264" w:lineRule="auto"/>
        <w:jc w:val="both"/>
        <w:rPr>
          <w:rFonts w:ascii="Calibri" w:eastAsia="Calibri" w:hAnsi="Calibri" w:cs="Calibri"/>
          <w:color w:val="1A1A1A"/>
        </w:rPr>
      </w:pPr>
    </w:p>
    <w:p w14:paraId="21D29299" w14:textId="77777777" w:rsidR="00960E94" w:rsidRDefault="00960E94">
      <w:pPr>
        <w:spacing w:after="90" w:line="264" w:lineRule="auto"/>
        <w:jc w:val="both"/>
        <w:rPr>
          <w:rFonts w:ascii="Calibri" w:eastAsia="Calibri" w:hAnsi="Calibri" w:cs="Calibri"/>
          <w:color w:val="1A1A1A"/>
        </w:rPr>
      </w:pPr>
    </w:p>
    <w:p w14:paraId="0D1F3F94" w14:textId="77777777" w:rsidR="00960E94" w:rsidRDefault="00960E94">
      <w:pPr>
        <w:spacing w:after="90" w:line="264" w:lineRule="auto"/>
        <w:jc w:val="both"/>
      </w:pPr>
    </w:p>
    <w:p w14:paraId="202DBA80"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lastRenderedPageBreak/>
        <w:t>3. L’INTRODUCTION, RÉDIGÉE MOT À MOT</w:t>
      </w:r>
    </w:p>
    <w:p w14:paraId="1558781A" w14:textId="77777777" w:rsidR="00B13F99" w:rsidRDefault="00000000">
      <w:pPr>
        <w:pStyle w:val="Titre3"/>
        <w:spacing w:before="200" w:after="80"/>
      </w:pPr>
      <w:r>
        <w:rPr>
          <w:rFonts w:ascii="Calibri" w:eastAsia="Calibri" w:hAnsi="Calibri" w:cs="Calibri"/>
          <w:b/>
          <w:bCs/>
          <w:i/>
          <w:iCs/>
          <w:color w:val="1A1A1A"/>
          <w:sz w:val="21"/>
          <w:szCs w:val="21"/>
        </w:rPr>
        <w:t>Accroche</w:t>
      </w:r>
    </w:p>
    <w:p w14:paraId="7E042860" w14:textId="77777777" w:rsidR="00B13F99" w:rsidRDefault="00000000">
      <w:pPr>
        <w:spacing w:after="110" w:line="288" w:lineRule="auto"/>
        <w:ind w:left="180" w:right="180"/>
        <w:jc w:val="both"/>
      </w:pPr>
      <w:r>
        <w:rPr>
          <w:rFonts w:ascii="Calibri" w:eastAsia="Calibri" w:hAnsi="Calibri" w:cs="Calibri"/>
          <w:color w:val="1A1A1A"/>
        </w:rPr>
        <w:t>Le 4 octobre 2022, la Cour européenne des droits de l’homme a condamné la Belgique, premier pays d’Europe continentale à avoir dépénalisé l’euthanasie. Elle ne l’a pas condamnée pour avoir autorisé : elle l’a condamnée pour n’avoir pas contrôlé. Vingt ans après avoir légiféré, l’État belge ne parvenait toujours pas à garantir l’indépendance de la commission chargée de vérifier a posteriori que la mort donnée l’avait été dans les règles.</w:t>
      </w:r>
    </w:p>
    <w:p w14:paraId="008DEE27" w14:textId="77777777" w:rsidR="00B13F99" w:rsidRDefault="00000000">
      <w:pPr>
        <w:pStyle w:val="Titre3"/>
        <w:spacing w:before="200" w:after="80"/>
      </w:pPr>
      <w:r>
        <w:rPr>
          <w:rFonts w:ascii="Calibri" w:eastAsia="Calibri" w:hAnsi="Calibri" w:cs="Calibri"/>
          <w:b/>
          <w:bCs/>
          <w:i/>
          <w:iCs/>
          <w:color w:val="1A1A1A"/>
          <w:sz w:val="21"/>
          <w:szCs w:val="21"/>
        </w:rPr>
        <w:t>Définition des termes</w:t>
      </w:r>
    </w:p>
    <w:p w14:paraId="5FF60AA2" w14:textId="77777777" w:rsidR="00B13F99" w:rsidRDefault="00000000">
      <w:pPr>
        <w:spacing w:after="110" w:line="288" w:lineRule="auto"/>
        <w:ind w:left="180" w:right="180"/>
        <w:jc w:val="both"/>
      </w:pPr>
      <w:r>
        <w:rPr>
          <w:rFonts w:ascii="Calibri" w:eastAsia="Calibri" w:hAnsi="Calibri" w:cs="Calibri"/>
          <w:color w:val="1A1A1A"/>
        </w:rPr>
        <w:t>L’euthanasie désigne l’acte par lequel un tiers administre délibérément à une personne une substance létale dans l’intention de provoquer sa mort. Elle se distingue du suicide assisté, dans lequel l’acte létal final est accompli par la personne elle-même, de la sédation profonde et continue, dont l’intention est de soulager une souffrance réfractaire, et de l’arrêt des traitements, qui se borne à laisser la maladie suivre son cours. Le droit à la vie, quant à lui, est consacré par l’article 3 de la Déclaration universelle de 1948, l’article 6-1 du Pacte international relatif aux droits civils et politiques et, surtout, l’article 2 de la Convention européenne des droits de l’homme, qui impose à l’État de le protéger par la loi et n’admet d’exception que dans trois hypothèses limitativement énumérées.</w:t>
      </w:r>
    </w:p>
    <w:p w14:paraId="7D02D918" w14:textId="77777777" w:rsidR="00B13F99" w:rsidRDefault="00000000">
      <w:pPr>
        <w:pStyle w:val="Titre3"/>
        <w:spacing w:before="200" w:after="80"/>
      </w:pPr>
      <w:r>
        <w:rPr>
          <w:rFonts w:ascii="Calibri" w:eastAsia="Calibri" w:hAnsi="Calibri" w:cs="Calibri"/>
          <w:b/>
          <w:bCs/>
          <w:i/>
          <w:iCs/>
          <w:color w:val="1A1A1A"/>
          <w:sz w:val="21"/>
          <w:szCs w:val="21"/>
        </w:rPr>
        <w:t>Contexte</w:t>
      </w:r>
    </w:p>
    <w:p w14:paraId="714F56C4" w14:textId="77777777" w:rsidR="00B13F99" w:rsidRDefault="00000000">
      <w:pPr>
        <w:spacing w:after="110" w:line="288" w:lineRule="auto"/>
        <w:ind w:left="180" w:right="180"/>
        <w:jc w:val="both"/>
      </w:pPr>
      <w:r>
        <w:rPr>
          <w:rFonts w:ascii="Calibri" w:eastAsia="Calibri" w:hAnsi="Calibri" w:cs="Calibri"/>
          <w:color w:val="1A1A1A"/>
        </w:rPr>
        <w:t>La question n’est pas nouvelle, mais elle a changé d’état. Après vingt-sept ans de construction par paliers — accès aux soins palliatifs en 1999, consentement érigé en pivot en 2002, prohibition de l’obstination déraisonnable en 2005, sédation profonde et continue en 2016 —, le législateur français a adopté la loi du 18 août 2026 relative au droit à l’aide à mourir, déclarée conforme sous trois réserves par le Conseil constitutionnel le 14 août 2026. Il convient de relever d’emblée que ce texte pose en principe l’auto-administration de la substance létale par la personne elle-même, l’administration par un professionnel de santé n’intervenant qu’à titre subsidiaire.</w:t>
      </w:r>
    </w:p>
    <w:p w14:paraId="0BC0905F" w14:textId="77777777" w:rsidR="00B13F99" w:rsidRDefault="00000000">
      <w:pPr>
        <w:pStyle w:val="Titre3"/>
        <w:spacing w:before="200" w:after="80"/>
      </w:pPr>
      <w:r>
        <w:rPr>
          <w:rFonts w:ascii="Calibri" w:eastAsia="Calibri" w:hAnsi="Calibri" w:cs="Calibri"/>
          <w:b/>
          <w:bCs/>
          <w:i/>
          <w:iCs/>
          <w:color w:val="1A1A1A"/>
          <w:sz w:val="21"/>
          <w:szCs w:val="21"/>
        </w:rPr>
        <w:t>Intérêt et délimitation</w:t>
      </w:r>
    </w:p>
    <w:p w14:paraId="756F4707" w14:textId="77777777" w:rsidR="00B13F99" w:rsidRDefault="00000000">
      <w:pPr>
        <w:spacing w:after="110" w:line="288" w:lineRule="auto"/>
        <w:ind w:left="180" w:right="180"/>
        <w:jc w:val="both"/>
      </w:pPr>
      <w:r>
        <w:rPr>
          <w:rFonts w:ascii="Calibri" w:eastAsia="Calibri" w:hAnsi="Calibri" w:cs="Calibri"/>
          <w:color w:val="1A1A1A"/>
        </w:rPr>
        <w:t>L’intérêt du sujet tient à ce que cette réserve du législateur n’est pas fortuite : elle marque la ligne que le droit à la vie continue d’opposer à l’acte de donner la mort à autrui. Il sera soutenu que l’euthanasie, entendue comme l’administration de la mort par un tiers, demeure contraire au respect du droit à la vie. La démonstration se placera sur le terrain du droit des libertés fondamentales, à partir du droit français éclairé par la jurisprudence européenne.</w:t>
      </w:r>
    </w:p>
    <w:p w14:paraId="4904D26D" w14:textId="77777777" w:rsidR="00B13F99" w:rsidRDefault="00000000">
      <w:pPr>
        <w:pStyle w:val="Titre3"/>
        <w:spacing w:before="200" w:after="80"/>
      </w:pPr>
      <w:r>
        <w:rPr>
          <w:rFonts w:ascii="Calibri" w:eastAsia="Calibri" w:hAnsi="Calibri" w:cs="Calibri"/>
          <w:b/>
          <w:bCs/>
          <w:i/>
          <w:iCs/>
          <w:color w:val="1A1A1A"/>
          <w:sz w:val="21"/>
          <w:szCs w:val="21"/>
        </w:rPr>
        <w:t>Problématique</w:t>
      </w:r>
    </w:p>
    <w:p w14:paraId="5909753D" w14:textId="77777777" w:rsidR="00B13F99"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b/>
          <w:bCs/>
          <w:color w:val="1A1A1A"/>
          <w:sz w:val="19"/>
          <w:szCs w:val="19"/>
        </w:rPr>
        <w:t>La volonté d’une personne peut-elle délier l’État de l’obligation de protéger sa vie ?</w:t>
      </w:r>
    </w:p>
    <w:p w14:paraId="5AE3969A" w14:textId="77777777" w:rsidR="00B13F99" w:rsidRDefault="00000000">
      <w:pPr>
        <w:pStyle w:val="Titre3"/>
        <w:spacing w:before="200" w:after="80"/>
      </w:pPr>
      <w:r>
        <w:rPr>
          <w:rFonts w:ascii="Calibri" w:eastAsia="Calibri" w:hAnsi="Calibri" w:cs="Calibri"/>
          <w:b/>
          <w:bCs/>
          <w:i/>
          <w:iCs/>
          <w:color w:val="1A1A1A"/>
          <w:sz w:val="21"/>
          <w:szCs w:val="21"/>
        </w:rPr>
        <w:t>Annonce du plan</w:t>
      </w:r>
    </w:p>
    <w:p w14:paraId="68156BEF" w14:textId="77777777" w:rsidR="00B13F99" w:rsidRDefault="00000000">
      <w:pPr>
        <w:spacing w:after="110" w:line="288" w:lineRule="auto"/>
        <w:ind w:left="180" w:right="180"/>
        <w:jc w:val="both"/>
      </w:pPr>
      <w:r>
        <w:rPr>
          <w:rFonts w:ascii="Calibri" w:eastAsia="Calibri" w:hAnsi="Calibri" w:cs="Calibri"/>
          <w:color w:val="1A1A1A"/>
        </w:rPr>
        <w:t>Il sera démontré, d’une part, que l’euthanasie heurte de front une obligation de protection dont l’État n’est pas maître et devant laquelle le consentement ne fait pas échec (I) ; d’autre part, qu’elle ne peut se réclamer d’aucun droit qui la fonde, ni en droit européen ni en droit interne, et que l’autonomie invoquée à son soutien ne résiste pas à l’épreuve des conditions dans lesquelles elle s’exerce (II).</w:t>
      </w:r>
    </w:p>
    <w:p w14:paraId="18DA8F6F"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4. LE PLAN DÉTAILLÉ</w:t>
      </w:r>
    </w:p>
    <w:tbl>
      <w:tblPr>
        <w:tblW w:w="5000" w:type="pct"/>
        <w:tblBorders>
          <w:top w:val="single" w:sz="2" w:space="0" w:color="C9C0B6"/>
          <w:left w:val="single" w:sz="2" w:space="0" w:color="C9C0B6"/>
          <w:bottom w:val="single" w:sz="2" w:space="0" w:color="C9C0B6"/>
          <w:right w:val="single" w:sz="2" w:space="0" w:color="C9C0B6"/>
          <w:insideH w:val="single" w:sz="2" w:space="0" w:color="DCD5CC"/>
          <w:insideV w:val="single" w:sz="2" w:space="0" w:color="DCD5CC"/>
        </w:tblBorders>
        <w:tblCellMar>
          <w:left w:w="10" w:type="dxa"/>
          <w:right w:w="10" w:type="dxa"/>
        </w:tblCellMar>
        <w:tblLook w:val="04A0" w:firstRow="1" w:lastRow="0" w:firstColumn="1" w:lastColumn="0" w:noHBand="0" w:noVBand="1"/>
      </w:tblPr>
      <w:tblGrid>
        <w:gridCol w:w="3248"/>
        <w:gridCol w:w="3249"/>
        <w:gridCol w:w="3249"/>
      </w:tblGrid>
      <w:tr w:rsidR="00B13F99" w14:paraId="50C2DFE6" w14:textId="77777777">
        <w:tblPrEx>
          <w:tblCellMar>
            <w:top w:w="0" w:type="dxa"/>
            <w:bottom w:w="0" w:type="dxa"/>
          </w:tblCellMar>
        </w:tblPrEx>
        <w:trPr>
          <w:tblHeader/>
        </w:trPr>
        <w:tc>
          <w:tcPr>
            <w:tcW w:w="1650" w:type="pct"/>
            <w:shd w:val="clear" w:color="auto" w:fill="F2E9EA"/>
            <w:tcMar>
              <w:top w:w="60" w:type="dxa"/>
              <w:left w:w="90" w:type="dxa"/>
              <w:bottom w:w="60" w:type="dxa"/>
              <w:right w:w="90" w:type="dxa"/>
            </w:tcMar>
          </w:tcPr>
          <w:p w14:paraId="13BD6679" w14:textId="77777777" w:rsidR="00B13F99" w:rsidRDefault="00B13F99"/>
        </w:tc>
        <w:tc>
          <w:tcPr>
            <w:tcW w:w="1650" w:type="pct"/>
            <w:shd w:val="clear" w:color="auto" w:fill="F2E9EA"/>
            <w:tcMar>
              <w:top w:w="60" w:type="dxa"/>
              <w:left w:w="90" w:type="dxa"/>
              <w:bottom w:w="60" w:type="dxa"/>
              <w:right w:w="90" w:type="dxa"/>
            </w:tcMar>
          </w:tcPr>
          <w:p w14:paraId="6410FEEE" w14:textId="77777777" w:rsidR="00B13F99" w:rsidRDefault="00000000">
            <w:r>
              <w:rPr>
                <w:rFonts w:ascii="Calibri" w:eastAsia="Calibri" w:hAnsi="Calibri" w:cs="Calibri"/>
                <w:b/>
                <w:bCs/>
                <w:color w:val="1A1A1A"/>
                <w:sz w:val="17"/>
                <w:szCs w:val="17"/>
              </w:rPr>
              <w:t>I. Une obligation de protéger la vie devant laquelle le consentement ne fait pas échec</w:t>
            </w:r>
          </w:p>
        </w:tc>
        <w:tc>
          <w:tcPr>
            <w:tcW w:w="1650" w:type="pct"/>
            <w:shd w:val="clear" w:color="auto" w:fill="F2E9EA"/>
            <w:tcMar>
              <w:top w:w="60" w:type="dxa"/>
              <w:left w:w="90" w:type="dxa"/>
              <w:bottom w:w="60" w:type="dxa"/>
              <w:right w:w="90" w:type="dxa"/>
            </w:tcMar>
          </w:tcPr>
          <w:p w14:paraId="7B10DB88" w14:textId="77777777" w:rsidR="00B13F99" w:rsidRDefault="00000000">
            <w:r>
              <w:rPr>
                <w:rFonts w:ascii="Calibri" w:eastAsia="Calibri" w:hAnsi="Calibri" w:cs="Calibri"/>
                <w:b/>
                <w:bCs/>
                <w:color w:val="1A1A1A"/>
                <w:sz w:val="17"/>
                <w:szCs w:val="17"/>
              </w:rPr>
              <w:t>II. Une pratique qui ne peut se réclamer d’aucun droit qui la fonde</w:t>
            </w:r>
          </w:p>
        </w:tc>
      </w:tr>
      <w:tr w:rsidR="00B13F99" w14:paraId="39ADE6C6" w14:textId="77777777">
        <w:tblPrEx>
          <w:tblCellMar>
            <w:top w:w="0" w:type="dxa"/>
            <w:bottom w:w="0" w:type="dxa"/>
          </w:tblCellMar>
        </w:tblPrEx>
        <w:tc>
          <w:tcPr>
            <w:tcW w:w="1650" w:type="pct"/>
            <w:tcMar>
              <w:top w:w="60" w:type="dxa"/>
              <w:left w:w="90" w:type="dxa"/>
              <w:bottom w:w="60" w:type="dxa"/>
              <w:right w:w="90" w:type="dxa"/>
            </w:tcMar>
          </w:tcPr>
          <w:p w14:paraId="5F145F2F" w14:textId="77777777" w:rsidR="00B13F99" w:rsidRDefault="00000000">
            <w:r>
              <w:rPr>
                <w:rFonts w:ascii="Calibri" w:eastAsia="Calibri" w:hAnsi="Calibri" w:cs="Calibri"/>
                <w:color w:val="1A1A1A"/>
                <w:sz w:val="17"/>
                <w:szCs w:val="17"/>
              </w:rPr>
              <w:t>A</w:t>
            </w:r>
          </w:p>
        </w:tc>
        <w:tc>
          <w:tcPr>
            <w:tcW w:w="1650" w:type="pct"/>
            <w:tcMar>
              <w:top w:w="60" w:type="dxa"/>
              <w:left w:w="90" w:type="dxa"/>
              <w:bottom w:w="60" w:type="dxa"/>
              <w:right w:w="90" w:type="dxa"/>
            </w:tcMar>
          </w:tcPr>
          <w:p w14:paraId="2B9465BE" w14:textId="77777777" w:rsidR="00B13F99" w:rsidRDefault="00000000">
            <w:r>
              <w:rPr>
                <w:rFonts w:ascii="Calibri" w:eastAsia="Calibri" w:hAnsi="Calibri" w:cs="Calibri"/>
                <w:color w:val="1A1A1A"/>
                <w:sz w:val="17"/>
                <w:szCs w:val="17"/>
              </w:rPr>
              <w:t>Une obligation à double détente dont l’État n’est pas maître</w:t>
            </w:r>
          </w:p>
        </w:tc>
        <w:tc>
          <w:tcPr>
            <w:tcW w:w="1650" w:type="pct"/>
            <w:tcMar>
              <w:top w:w="60" w:type="dxa"/>
              <w:left w:w="90" w:type="dxa"/>
              <w:bottom w:w="60" w:type="dxa"/>
              <w:right w:w="90" w:type="dxa"/>
            </w:tcMar>
          </w:tcPr>
          <w:p w14:paraId="770FF16D" w14:textId="77777777" w:rsidR="00B13F99" w:rsidRDefault="00000000">
            <w:r>
              <w:rPr>
                <w:rFonts w:ascii="Calibri" w:eastAsia="Calibri" w:hAnsi="Calibri" w:cs="Calibri"/>
                <w:color w:val="1A1A1A"/>
                <w:sz w:val="17"/>
                <w:szCs w:val="17"/>
              </w:rPr>
              <w:t>L’absence de tout pendant négatif au droit à la vie</w:t>
            </w:r>
          </w:p>
        </w:tc>
      </w:tr>
      <w:tr w:rsidR="00B13F99" w14:paraId="04F7899F" w14:textId="77777777">
        <w:tblPrEx>
          <w:tblCellMar>
            <w:top w:w="0" w:type="dxa"/>
            <w:bottom w:w="0" w:type="dxa"/>
          </w:tblCellMar>
        </w:tblPrEx>
        <w:tc>
          <w:tcPr>
            <w:tcW w:w="1650" w:type="pct"/>
            <w:tcMar>
              <w:top w:w="60" w:type="dxa"/>
              <w:left w:w="90" w:type="dxa"/>
              <w:bottom w:w="60" w:type="dxa"/>
              <w:right w:w="90" w:type="dxa"/>
            </w:tcMar>
          </w:tcPr>
          <w:p w14:paraId="5F7AFD4A" w14:textId="77777777" w:rsidR="00B13F99" w:rsidRDefault="00000000">
            <w:r>
              <w:rPr>
                <w:rFonts w:ascii="Calibri" w:eastAsia="Calibri" w:hAnsi="Calibri" w:cs="Calibri"/>
                <w:color w:val="1A1A1A"/>
                <w:sz w:val="17"/>
                <w:szCs w:val="17"/>
              </w:rPr>
              <w:t>B</w:t>
            </w:r>
          </w:p>
        </w:tc>
        <w:tc>
          <w:tcPr>
            <w:tcW w:w="1650" w:type="pct"/>
            <w:tcMar>
              <w:top w:w="60" w:type="dxa"/>
              <w:left w:w="90" w:type="dxa"/>
              <w:bottom w:w="60" w:type="dxa"/>
              <w:right w:w="90" w:type="dxa"/>
            </w:tcMar>
          </w:tcPr>
          <w:p w14:paraId="0C53E50A" w14:textId="77777777" w:rsidR="00B13F99" w:rsidRDefault="00000000">
            <w:r>
              <w:rPr>
                <w:rFonts w:ascii="Calibri" w:eastAsia="Calibri" w:hAnsi="Calibri" w:cs="Calibri"/>
                <w:color w:val="1A1A1A"/>
                <w:sz w:val="17"/>
                <w:szCs w:val="17"/>
              </w:rPr>
              <w:t>Une interdiction pénale que la volonté de la victime ne neutralise pas</w:t>
            </w:r>
          </w:p>
        </w:tc>
        <w:tc>
          <w:tcPr>
            <w:tcW w:w="1650" w:type="pct"/>
            <w:tcMar>
              <w:top w:w="60" w:type="dxa"/>
              <w:left w:w="90" w:type="dxa"/>
              <w:bottom w:w="60" w:type="dxa"/>
              <w:right w:w="90" w:type="dxa"/>
            </w:tcMar>
          </w:tcPr>
          <w:p w14:paraId="09866C5B" w14:textId="77777777" w:rsidR="00B13F99" w:rsidRDefault="00000000">
            <w:r>
              <w:rPr>
                <w:rFonts w:ascii="Calibri" w:eastAsia="Calibri" w:hAnsi="Calibri" w:cs="Calibri"/>
                <w:color w:val="1A1A1A"/>
                <w:sz w:val="17"/>
                <w:szCs w:val="17"/>
              </w:rPr>
              <w:t>Une autonomie qui ne résiste pas à l’épreuve des faits</w:t>
            </w:r>
          </w:p>
        </w:tc>
      </w:tr>
    </w:tbl>
    <w:p w14:paraId="276752D5" w14:textId="77777777" w:rsidR="00B13F99" w:rsidRDefault="00B13F99">
      <w:pPr>
        <w:spacing w:after="120"/>
      </w:pPr>
    </w:p>
    <w:p w14:paraId="41E18674" w14:textId="77777777" w:rsidR="00B13F99" w:rsidRDefault="00000000">
      <w:pPr>
        <w:pStyle w:val="Titre2"/>
        <w:spacing w:before="260" w:after="110"/>
      </w:pPr>
      <w:r>
        <w:rPr>
          <w:rFonts w:ascii="Calibri" w:eastAsia="Calibri" w:hAnsi="Calibri" w:cs="Calibri"/>
          <w:b/>
          <w:bCs/>
          <w:color w:val="1A1A1A"/>
          <w:spacing w:val="16"/>
          <w:sz w:val="23"/>
          <w:szCs w:val="23"/>
        </w:rPr>
        <w:lastRenderedPageBreak/>
        <w:t>I. Une obligation de protéger la vie devant laquelle le consentement ne fait pas échec</w:t>
      </w:r>
    </w:p>
    <w:p w14:paraId="03EFD827" w14:textId="77777777" w:rsidR="00B13F99" w:rsidRDefault="00000000">
      <w:pPr>
        <w:spacing w:after="90" w:line="264" w:lineRule="auto"/>
        <w:jc w:val="both"/>
      </w:pPr>
      <w:r>
        <w:rPr>
          <w:rFonts w:ascii="Calibri" w:eastAsia="Calibri" w:hAnsi="Calibri" w:cs="Calibri"/>
          <w:i/>
          <w:iCs/>
          <w:color w:val="1A1A1A"/>
        </w:rPr>
        <w:t>Chapeau.</w:t>
      </w:r>
      <w:r>
        <w:rPr>
          <w:rFonts w:ascii="Calibri" w:eastAsia="Calibri" w:hAnsi="Calibri" w:cs="Calibri"/>
          <w:color w:val="1A1A1A"/>
        </w:rPr>
        <w:t xml:space="preserve"> L’obligation qui pèse sur l’État en matière de droit à la vie n’est pas une faculté dont il disposerait librement : elle est d’ordre public, elle est double, et elle est indérogeable.</w:t>
      </w:r>
    </w:p>
    <w:p w14:paraId="2343F2A3" w14:textId="77777777" w:rsidR="00B13F99" w:rsidRDefault="00000000">
      <w:pPr>
        <w:pStyle w:val="Titre3"/>
        <w:spacing w:before="200" w:after="80"/>
      </w:pPr>
      <w:r>
        <w:rPr>
          <w:rFonts w:ascii="Calibri" w:eastAsia="Calibri" w:hAnsi="Calibri" w:cs="Calibri"/>
          <w:b/>
          <w:bCs/>
          <w:i/>
          <w:iCs/>
          <w:color w:val="1A1A1A"/>
          <w:sz w:val="21"/>
          <w:szCs w:val="21"/>
        </w:rPr>
        <w:t>A. Une obligation à double détente dont l’État n’est pas maître</w:t>
      </w:r>
    </w:p>
    <w:p w14:paraId="00C01FF9"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texte est rédigé comme une interdiction adressée à l’État, non comme une faculté offerte à l’individu.</w:t>
      </w:r>
      <w:r>
        <w:rPr>
          <w:rFonts w:ascii="Calibri" w:eastAsia="Calibri" w:hAnsi="Calibri" w:cs="Calibri"/>
          <w:color w:val="1A1A1A"/>
        </w:rPr>
        <w:t xml:space="preserve"> </w:t>
      </w:r>
      <w:r>
        <w:rPr>
          <w:rFonts w:ascii="Calibri" w:eastAsia="Calibri" w:hAnsi="Calibri" w:cs="Calibri"/>
          <w:color w:val="1E88E5"/>
        </w:rPr>
        <w:t>Article 2 § 1 de la Convention</w:t>
      </w:r>
      <w:r>
        <w:rPr>
          <w:rFonts w:ascii="Calibri" w:eastAsia="Calibri" w:hAnsi="Calibri" w:cs="Calibri"/>
          <w:color w:val="1A1A1A"/>
        </w:rPr>
        <w:t xml:space="preserve"> : « Le droit de toute personne à la vie est protégé par la loi. La mort ne peut être infligée à quiconque intentionnellement [...]. » Le § 2 énumère </w:t>
      </w:r>
      <w:r>
        <w:rPr>
          <w:rFonts w:ascii="Calibri" w:eastAsia="Calibri" w:hAnsi="Calibri" w:cs="Calibri"/>
          <w:b/>
          <w:bCs/>
          <w:color w:val="1A1A1A"/>
        </w:rPr>
        <w:t>limitativement</w:t>
      </w:r>
      <w:r>
        <w:rPr>
          <w:rFonts w:ascii="Calibri" w:eastAsia="Calibri" w:hAnsi="Calibri" w:cs="Calibri"/>
          <w:color w:val="1A1A1A"/>
        </w:rPr>
        <w:t xml:space="preserve"> trois hypothèses — défense contre la violence illégale, arrestation régulière ou évasion, répression d’une émeute ou d’une insurrection — et les subordonne à une force « rendue absolument nécessaire ». </w:t>
      </w:r>
      <w:r>
        <w:rPr>
          <w:rFonts w:ascii="Calibri" w:eastAsia="Calibri" w:hAnsi="Calibri" w:cs="Calibri"/>
          <w:b/>
          <w:bCs/>
          <w:color w:val="1A1A1A"/>
        </w:rPr>
        <w:t>La demande du titulaire ne figure pas dans cette liste.</w:t>
      </w:r>
    </w:p>
    <w:p w14:paraId="6597553E"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Une obligation négative, contrôlée avec la plus grande rigueur.</w:t>
      </w:r>
      <w:r>
        <w:rPr>
          <w:rFonts w:ascii="Calibri" w:eastAsia="Calibri" w:hAnsi="Calibri" w:cs="Calibri"/>
          <w:color w:val="1A1A1A"/>
        </w:rPr>
        <w:t xml:space="preserve"> ★ </w:t>
      </w:r>
      <w:r>
        <w:rPr>
          <w:rFonts w:ascii="Calibri" w:eastAsia="Calibri" w:hAnsi="Calibri" w:cs="Calibri"/>
          <w:color w:val="E91E63"/>
        </w:rPr>
        <w:t>CEDH [GC], 27 septembre 1995, McCann et autres c. Royaume-Uni, n° 18984/91</w:t>
      </w:r>
      <w:r>
        <w:rPr>
          <w:rFonts w:ascii="Calibri" w:eastAsia="Calibri" w:hAnsi="Calibri" w:cs="Calibri"/>
          <w:color w:val="1A1A1A"/>
        </w:rPr>
        <w:t xml:space="preserve"> : contrôle de la nécessité absolue, examen minutieux de la préparation et de la conduite de l’opération. Si l’État doit se justifier à ce degré lorsqu’il tue pour protéger d’autres vies, on voit mal à quel titre il pourrait organiser la mise à mort d’une personne qui n’en menace aucune.</w:t>
      </w:r>
    </w:p>
    <w:p w14:paraId="79AE17CB"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Une obligation positive de prévenir les atteintes, y compris venues du titulaire lui-même.</w:t>
      </w:r>
      <w:r>
        <w:rPr>
          <w:rFonts w:ascii="Calibri" w:eastAsia="Calibri" w:hAnsi="Calibri" w:cs="Calibri"/>
          <w:color w:val="1A1A1A"/>
        </w:rPr>
        <w:t xml:space="preserve"> ★ </w:t>
      </w:r>
      <w:r>
        <w:rPr>
          <w:rFonts w:ascii="Calibri" w:eastAsia="Calibri" w:hAnsi="Calibri" w:cs="Calibri"/>
          <w:color w:val="E91E63"/>
        </w:rPr>
        <w:t>CEDH, 28 octobre 1998, Osman c. Royaume-Uni, n° 23452/94</w:t>
      </w:r>
      <w:r>
        <w:rPr>
          <w:rFonts w:ascii="Calibri" w:eastAsia="Calibri" w:hAnsi="Calibri" w:cs="Calibri"/>
          <w:color w:val="1A1A1A"/>
        </w:rPr>
        <w:t xml:space="preserve"> : l’État doit prendre les mesures raisonnables lorsqu’il sait ou devrait savoir qu’existe un risque réel et immédiat pour la vie d’une personne identifiée. Cette obligation a été appliquée aux détenus suicidaires et aux personnes vulnérables placées sous le contrôle des autorités : </w:t>
      </w:r>
      <w:r>
        <w:rPr>
          <w:rFonts w:ascii="Calibri" w:eastAsia="Calibri" w:hAnsi="Calibri" w:cs="Calibri"/>
          <w:color w:val="E91E63"/>
        </w:rPr>
        <w:t>CEDH [GC], 17 juillet 2014, Centre de ressources juridiques au nom de Valentin Câmpeanu c. Roumanie, n° 47848/08</w:t>
      </w:r>
      <w:r>
        <w:rPr>
          <w:rFonts w:ascii="Calibri" w:eastAsia="Calibri" w:hAnsi="Calibri" w:cs="Calibri"/>
          <w:color w:val="1A1A1A"/>
        </w:rPr>
        <w:t xml:space="preserve">. </w:t>
      </w:r>
      <w:r>
        <w:rPr>
          <w:rFonts w:ascii="Calibri" w:eastAsia="Calibri" w:hAnsi="Calibri" w:cs="Calibri"/>
          <w:b/>
          <w:bCs/>
          <w:color w:val="1A1A1A"/>
        </w:rPr>
        <w:t>Le droit à la vie oblige donc l’État à protéger la personne contre le risque qu’elle représente pour elle-même</w:t>
      </w:r>
      <w:r>
        <w:rPr>
          <w:rFonts w:ascii="Calibri" w:eastAsia="Calibri" w:hAnsi="Calibri" w:cs="Calibri"/>
          <w:color w:val="1A1A1A"/>
        </w:rPr>
        <w:t xml:space="preserve"> — proposition inconciliable avec l’organisation d’un acte létal par un tiers.</w:t>
      </w:r>
    </w:p>
    <w:p w14:paraId="26D3BE1C"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Une obligation indérogeable.</w:t>
      </w:r>
      <w:r>
        <w:rPr>
          <w:rFonts w:ascii="Calibri" w:eastAsia="Calibri" w:hAnsi="Calibri" w:cs="Calibri"/>
          <w:color w:val="1A1A1A"/>
        </w:rPr>
        <w:t xml:space="preserve"> </w:t>
      </w:r>
      <w:r>
        <w:rPr>
          <w:rFonts w:ascii="Calibri" w:eastAsia="Calibri" w:hAnsi="Calibri" w:cs="Calibri"/>
          <w:color w:val="1E88E5"/>
        </w:rPr>
        <w:t>Article 15 § 2 de la Convention</w:t>
      </w:r>
      <w:r>
        <w:rPr>
          <w:rFonts w:ascii="Calibri" w:eastAsia="Calibri" w:hAnsi="Calibri" w:cs="Calibri"/>
          <w:color w:val="1A1A1A"/>
        </w:rPr>
        <w:t xml:space="preserve"> : l’article 2 ne souffre aucune dérogation, sauf décès résultant d’actes licites de guerre. </w:t>
      </w:r>
      <w:r>
        <w:rPr>
          <w:rFonts w:ascii="Calibri" w:eastAsia="Calibri" w:hAnsi="Calibri" w:cs="Calibri"/>
          <w:color w:val="1E88E5"/>
        </w:rPr>
        <w:t>Article 4 § 2 du Pacte</w:t>
      </w:r>
      <w:r>
        <w:rPr>
          <w:rFonts w:ascii="Calibri" w:eastAsia="Calibri" w:hAnsi="Calibri" w:cs="Calibri"/>
          <w:color w:val="1A1A1A"/>
        </w:rPr>
        <w:t xml:space="preserve"> : même solution. ★ </w:t>
      </w:r>
      <w:r>
        <w:rPr>
          <w:rFonts w:ascii="Calibri" w:eastAsia="Calibri" w:hAnsi="Calibri" w:cs="Calibri"/>
          <w:color w:val="E91E63"/>
        </w:rPr>
        <w:t xml:space="preserve">CEDH [GC], 22 mars 2001, </w:t>
      </w:r>
      <w:proofErr w:type="spellStart"/>
      <w:r>
        <w:rPr>
          <w:rFonts w:ascii="Calibri" w:eastAsia="Calibri" w:hAnsi="Calibri" w:cs="Calibri"/>
          <w:color w:val="E91E63"/>
        </w:rPr>
        <w:t>Streletz</w:t>
      </w:r>
      <w:proofErr w:type="spellEnd"/>
      <w:r>
        <w:rPr>
          <w:rFonts w:ascii="Calibri" w:eastAsia="Calibri" w:hAnsi="Calibri" w:cs="Calibri"/>
          <w:color w:val="E91E63"/>
        </w:rPr>
        <w:t>, Kessler et Krenz c. Allemagne, n° 34044/96</w:t>
      </w:r>
      <w:r>
        <w:rPr>
          <w:rFonts w:ascii="Calibri" w:eastAsia="Calibri" w:hAnsi="Calibri" w:cs="Calibri"/>
          <w:color w:val="1A1A1A"/>
        </w:rPr>
        <w:t xml:space="preserve"> : le droit à la vie « constitue un attribut inaliénable de la personne humaine » et « forme la valeur suprême dans l’échelle des droits de l’homme ». </w:t>
      </w:r>
      <w:r>
        <w:rPr>
          <w:rFonts w:ascii="Calibri" w:eastAsia="Calibri" w:hAnsi="Calibri" w:cs="Calibri"/>
          <w:b/>
          <w:bCs/>
          <w:color w:val="1A1A1A"/>
        </w:rPr>
        <w:t>Inaliénable signifie : dont on ne peut disposer, fût-ce par soi-même.</w:t>
      </w:r>
    </w:p>
    <w:p w14:paraId="2430F949" w14:textId="77777777" w:rsidR="00B13F99"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b/>
          <w:bCs/>
          <w:color w:val="1A1A1A"/>
          <w:sz w:val="19"/>
          <w:szCs w:val="19"/>
        </w:rPr>
        <w:t>Transition.</w:t>
      </w:r>
      <w:r>
        <w:rPr>
          <w:rFonts w:ascii="Calibri" w:eastAsia="Calibri" w:hAnsi="Calibri" w:cs="Calibri"/>
          <w:color w:val="1A1A1A"/>
          <w:sz w:val="19"/>
          <w:szCs w:val="19"/>
        </w:rPr>
        <w:t xml:space="preserve"> Cette obligation n’est pas une abstraction internationale : elle se traduit, en droit interne, par une incrimination que la volonté de la victime ne neutralise pas.</w:t>
      </w:r>
    </w:p>
    <w:p w14:paraId="05D83971" w14:textId="77777777" w:rsidR="00B13F99" w:rsidRDefault="00000000">
      <w:pPr>
        <w:pStyle w:val="Titre3"/>
        <w:spacing w:before="200" w:after="80"/>
      </w:pPr>
      <w:r>
        <w:rPr>
          <w:rFonts w:ascii="Calibri" w:eastAsia="Calibri" w:hAnsi="Calibri" w:cs="Calibri"/>
          <w:b/>
          <w:bCs/>
          <w:i/>
          <w:iCs/>
          <w:color w:val="1A1A1A"/>
          <w:sz w:val="21"/>
          <w:szCs w:val="21"/>
        </w:rPr>
        <w:t>B. Une interdiction pénale que la volonté de la victime ne neutralise pas</w:t>
      </w:r>
    </w:p>
    <w:p w14:paraId="5320684F"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Une incrimination générale et sans exception tenant au consentement.</w:t>
      </w:r>
      <w:r>
        <w:rPr>
          <w:rFonts w:ascii="Calibri" w:eastAsia="Calibri" w:hAnsi="Calibri" w:cs="Calibri"/>
          <w:color w:val="1A1A1A"/>
        </w:rPr>
        <w:t xml:space="preserve"> </w:t>
      </w:r>
      <w:r>
        <w:rPr>
          <w:rFonts w:ascii="Calibri" w:eastAsia="Calibri" w:hAnsi="Calibri" w:cs="Calibri"/>
          <w:color w:val="1E88E5"/>
        </w:rPr>
        <w:t>Article 221-1 du code pénal</w:t>
      </w:r>
      <w:r>
        <w:rPr>
          <w:rFonts w:ascii="Calibri" w:eastAsia="Calibri" w:hAnsi="Calibri" w:cs="Calibri"/>
          <w:color w:val="1A1A1A"/>
        </w:rPr>
        <w:t xml:space="preserve"> : le fait de donner volontairement la mort à autrui constitue un meurtre. </w:t>
      </w:r>
      <w:r>
        <w:rPr>
          <w:rFonts w:ascii="Calibri" w:eastAsia="Calibri" w:hAnsi="Calibri" w:cs="Calibri"/>
          <w:color w:val="1E88E5"/>
        </w:rPr>
        <w:t>Article 221-3</w:t>
      </w:r>
      <w:r>
        <w:rPr>
          <w:rFonts w:ascii="Calibri" w:eastAsia="Calibri" w:hAnsi="Calibri" w:cs="Calibri"/>
          <w:color w:val="1A1A1A"/>
        </w:rPr>
        <w:t xml:space="preserve"> : la préméditation en fait un assassinat. </w:t>
      </w:r>
      <w:r>
        <w:rPr>
          <w:rFonts w:ascii="Calibri" w:eastAsia="Calibri" w:hAnsi="Calibri" w:cs="Calibri"/>
          <w:color w:val="1E88E5"/>
        </w:rPr>
        <w:t>Article 221-5</w:t>
      </w:r>
      <w:r>
        <w:rPr>
          <w:rFonts w:ascii="Calibri" w:eastAsia="Calibri" w:hAnsi="Calibri" w:cs="Calibri"/>
          <w:color w:val="1A1A1A"/>
        </w:rPr>
        <w:t xml:space="preserve"> : le fait d’attenter à la vie d’autrui par l’emploi de substances de nature à entraîner la mort constitue un empoisonnement. </w:t>
      </w:r>
      <w:r>
        <w:rPr>
          <w:rFonts w:ascii="Calibri" w:eastAsia="Calibri" w:hAnsi="Calibri" w:cs="Calibri"/>
          <w:b/>
          <w:bCs/>
          <w:color w:val="1A1A1A"/>
        </w:rPr>
        <w:t>L’administration d’un produit létal par un tiers entre littéralement dans la qualification d’empoisonnement</w:t>
      </w:r>
      <w:r>
        <w:rPr>
          <w:rFonts w:ascii="Calibri" w:eastAsia="Calibri" w:hAnsi="Calibri" w:cs="Calibri"/>
          <w:color w:val="1A1A1A"/>
        </w:rPr>
        <w:t>, et l’intention de soulager ne fait pas disparaître l’intention de donner la mort.</w:t>
      </w:r>
    </w:p>
    <w:p w14:paraId="1D4E8AC0"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consentement de la victime n’est pas une cause d’irresponsabilité pénale.</w:t>
      </w:r>
      <w:r>
        <w:rPr>
          <w:rFonts w:ascii="Calibri" w:eastAsia="Calibri" w:hAnsi="Calibri" w:cs="Calibri"/>
          <w:color w:val="1A1A1A"/>
        </w:rPr>
        <w:t xml:space="preserve"> Les faits justificatifs sont limitativement énumérés aux </w:t>
      </w:r>
      <w:r>
        <w:rPr>
          <w:rFonts w:ascii="Calibri" w:eastAsia="Calibri" w:hAnsi="Calibri" w:cs="Calibri"/>
          <w:color w:val="1E88E5"/>
        </w:rPr>
        <w:t>articles 122-4 à 122-7 du code pénal</w:t>
      </w:r>
      <w:r>
        <w:rPr>
          <w:rFonts w:ascii="Calibri" w:eastAsia="Calibri" w:hAnsi="Calibri" w:cs="Calibri"/>
          <w:color w:val="1A1A1A"/>
        </w:rPr>
        <w:t xml:space="preserve"> — ordre de la loi, commandement de l’autorité légitime, légitime défense, état de nécessité. Le consentement n’y figure pas. Cette architecture est le corollaire pénal de l’indisponibilité du corps humain (</w:t>
      </w:r>
      <w:r>
        <w:rPr>
          <w:rFonts w:ascii="Calibri" w:eastAsia="Calibri" w:hAnsi="Calibri" w:cs="Calibri"/>
          <w:color w:val="1E88E5"/>
        </w:rPr>
        <w:t>articles 16 à 16-9 du code civil</w:t>
      </w:r>
      <w:r>
        <w:rPr>
          <w:rFonts w:ascii="Calibri" w:eastAsia="Calibri" w:hAnsi="Calibri" w:cs="Calibri"/>
          <w:color w:val="1A1A1A"/>
        </w:rPr>
        <w:t>).</w:t>
      </w:r>
    </w:p>
    <w:p w14:paraId="692D9860"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dignité elle-même est indifférente au consentement.</w:t>
      </w:r>
      <w:r>
        <w:rPr>
          <w:rFonts w:ascii="Calibri" w:eastAsia="Calibri" w:hAnsi="Calibri" w:cs="Calibri"/>
          <w:color w:val="1A1A1A"/>
        </w:rPr>
        <w:t xml:space="preserve"> ★ </w:t>
      </w:r>
      <w:r>
        <w:rPr>
          <w:rFonts w:ascii="Calibri" w:eastAsia="Calibri" w:hAnsi="Calibri" w:cs="Calibri"/>
          <w:color w:val="E91E63"/>
        </w:rPr>
        <w:t>CE, ass., 27 octobre 1995, Commune de Morsang-sur-Orge, n° 136727</w:t>
      </w:r>
      <w:r>
        <w:rPr>
          <w:rFonts w:ascii="Calibri" w:eastAsia="Calibri" w:hAnsi="Calibri" w:cs="Calibri"/>
          <w:color w:val="1A1A1A"/>
        </w:rPr>
        <w:t xml:space="preserve"> : le respect de la dignité de la personne humaine est une composante de l’ordre public, et </w:t>
      </w:r>
      <w:r>
        <w:rPr>
          <w:rFonts w:ascii="Calibri" w:eastAsia="Calibri" w:hAnsi="Calibri" w:cs="Calibri"/>
          <w:b/>
          <w:bCs/>
          <w:color w:val="1A1A1A"/>
        </w:rPr>
        <w:t>le fait que la personne concernée ait consenti est sans incidence</w:t>
      </w:r>
      <w:r>
        <w:rPr>
          <w:rFonts w:ascii="Calibri" w:eastAsia="Calibri" w:hAnsi="Calibri" w:cs="Calibri"/>
          <w:color w:val="1A1A1A"/>
        </w:rPr>
        <w:t xml:space="preserve">. </w:t>
      </w:r>
      <w:r>
        <w:rPr>
          <w:rFonts w:ascii="Calibri" w:eastAsia="Calibri" w:hAnsi="Calibri" w:cs="Calibri"/>
          <w:color w:val="E91E63"/>
        </w:rPr>
        <w:t>Cons. const., 27 juillet 1994, n° 94-343/344 DC</w:t>
      </w:r>
      <w:r>
        <w:rPr>
          <w:rFonts w:ascii="Calibri" w:eastAsia="Calibri" w:hAnsi="Calibri" w:cs="Calibri"/>
          <w:color w:val="1A1A1A"/>
        </w:rPr>
        <w:t xml:space="preserve"> avait posé le principe à valeur constitutionnelle de sauvegarde de la dignité contre toute forme d’asservissement et de dégradation. La dignité y est une norme objective, soustraite à la disposition individuelle.</w:t>
      </w:r>
    </w:p>
    <w:p w14:paraId="153B96A9"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déontologie médicale confirme la ligne.</w:t>
      </w:r>
      <w:r>
        <w:rPr>
          <w:rFonts w:ascii="Calibri" w:eastAsia="Calibri" w:hAnsi="Calibri" w:cs="Calibri"/>
          <w:color w:val="1A1A1A"/>
        </w:rPr>
        <w:t xml:space="preserve"> </w:t>
      </w:r>
      <w:r>
        <w:rPr>
          <w:rFonts w:ascii="Calibri" w:eastAsia="Calibri" w:hAnsi="Calibri" w:cs="Calibri"/>
          <w:color w:val="1E88E5"/>
        </w:rPr>
        <w:t>Article R. 4127-38 du code de la santé publique</w:t>
      </w:r>
      <w:r>
        <w:rPr>
          <w:rFonts w:ascii="Calibri" w:eastAsia="Calibri" w:hAnsi="Calibri" w:cs="Calibri"/>
          <w:color w:val="1A1A1A"/>
        </w:rPr>
        <w:t xml:space="preserve"> : le médecin « n’a pas le droit de provoquer délibérément la mort ». Cette disposition, qui n’a pas été abrogée, dit ce que la médecine peut faire et ce qu’elle ne peut pas faire — et elle borne l’acte, non la souffrance.</w:t>
      </w:r>
    </w:p>
    <w:p w14:paraId="2A0F8792"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droit français connaît d’ailleurs déjà la limite.</w:t>
      </w:r>
      <w:r>
        <w:rPr>
          <w:rFonts w:ascii="Calibri" w:eastAsia="Calibri" w:hAnsi="Calibri" w:cs="Calibri"/>
          <w:color w:val="1A1A1A"/>
        </w:rPr>
        <w:t xml:space="preserve"> Le suicide n’est pas pénalisé, mais la </w:t>
      </w:r>
      <w:r>
        <w:rPr>
          <w:rFonts w:ascii="Calibri" w:eastAsia="Calibri" w:hAnsi="Calibri" w:cs="Calibri"/>
          <w:color w:val="1E88E5"/>
        </w:rPr>
        <w:t>provocation au suicide est incriminée à l’article 223-13 du code pénal</w:t>
      </w:r>
      <w:r>
        <w:rPr>
          <w:rFonts w:ascii="Calibri" w:eastAsia="Calibri" w:hAnsi="Calibri" w:cs="Calibri"/>
          <w:color w:val="1A1A1A"/>
        </w:rPr>
        <w:t xml:space="preserve">. </w:t>
      </w:r>
      <w:r>
        <w:rPr>
          <w:rFonts w:ascii="Calibri" w:eastAsia="Calibri" w:hAnsi="Calibri" w:cs="Calibri"/>
          <w:b/>
          <w:bCs/>
          <w:color w:val="1A1A1A"/>
        </w:rPr>
        <w:t>Le droit s’abstient de punir celui qui se donne la mort ; il n’a jamais admis celui qui la donne.</w:t>
      </w:r>
      <w:r>
        <w:rPr>
          <w:rFonts w:ascii="Calibri" w:eastAsia="Calibri" w:hAnsi="Calibri" w:cs="Calibri"/>
          <w:color w:val="1A1A1A"/>
        </w:rPr>
        <w:t xml:space="preserve"> C’est très exactement la ligne que l’euthanasie prétend franchir.</w:t>
      </w:r>
    </w:p>
    <w:p w14:paraId="30D0AC07" w14:textId="77777777" w:rsidR="00B13F99" w:rsidRDefault="00000000">
      <w:pPr>
        <w:pStyle w:val="Titre2"/>
        <w:spacing w:before="260" w:after="110"/>
      </w:pPr>
      <w:r>
        <w:rPr>
          <w:rFonts w:ascii="Calibri" w:eastAsia="Calibri" w:hAnsi="Calibri" w:cs="Calibri"/>
          <w:b/>
          <w:bCs/>
          <w:color w:val="1A1A1A"/>
          <w:spacing w:val="16"/>
          <w:sz w:val="23"/>
          <w:szCs w:val="23"/>
        </w:rPr>
        <w:lastRenderedPageBreak/>
        <w:t>II. Une pratique qui ne peut se réclamer d’aucun droit qui la fonde</w:t>
      </w:r>
    </w:p>
    <w:p w14:paraId="50646707" w14:textId="77777777" w:rsidR="00B13F99" w:rsidRDefault="00000000">
      <w:pPr>
        <w:spacing w:after="90" w:line="264" w:lineRule="auto"/>
        <w:jc w:val="both"/>
      </w:pPr>
      <w:r>
        <w:rPr>
          <w:rFonts w:ascii="Calibri" w:eastAsia="Calibri" w:hAnsi="Calibri" w:cs="Calibri"/>
          <w:i/>
          <w:iCs/>
          <w:color w:val="1A1A1A"/>
        </w:rPr>
        <w:t>Chapeau.</w:t>
      </w:r>
      <w:r>
        <w:rPr>
          <w:rFonts w:ascii="Calibri" w:eastAsia="Calibri" w:hAnsi="Calibri" w:cs="Calibri"/>
          <w:color w:val="1A1A1A"/>
        </w:rPr>
        <w:t xml:space="preserve"> À l’obligation qui interdit, les partisans de l’euthanasie opposent un droit qui autoriserait. Ce droit n’existe pas, et l’autonomie invoquée à sa place ne résiste pas à l’examen des conditions concrètes de son exercice.</w:t>
      </w:r>
    </w:p>
    <w:p w14:paraId="36D15342" w14:textId="77777777" w:rsidR="00B13F99" w:rsidRDefault="00000000">
      <w:pPr>
        <w:pStyle w:val="Titre3"/>
        <w:spacing w:before="200" w:after="80"/>
      </w:pPr>
      <w:r>
        <w:rPr>
          <w:rFonts w:ascii="Calibri" w:eastAsia="Calibri" w:hAnsi="Calibri" w:cs="Calibri"/>
          <w:b/>
          <w:bCs/>
          <w:i/>
          <w:iCs/>
          <w:color w:val="1A1A1A"/>
          <w:sz w:val="21"/>
          <w:szCs w:val="21"/>
        </w:rPr>
        <w:t>A. L’absence de tout pendant négatif au droit à la vie</w:t>
      </w:r>
    </w:p>
    <w:p w14:paraId="1773CB0B"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29 avril 2002, Pretty c. Royaume-Uni, n° 2346/02</w:t>
      </w:r>
      <w:r>
        <w:rPr>
          <w:rFonts w:ascii="Calibri" w:eastAsia="Calibri" w:hAnsi="Calibri" w:cs="Calibri"/>
          <w:color w:val="1A1A1A"/>
        </w:rPr>
        <w:t xml:space="preserve"> — la formule est à citer textuellement : l’article 2 « ne saurait, sans distorsion de langage, être interprété comme conférant un droit diamétralement opposé, à savoir un droit à mourir ». La Cour ajoute que l’article 2 ne saurait conférer « le droit à l’autodétermination en ce sens qu’il donnerait à tout individu le droit de choisir la mort plutôt que la vie ».</w:t>
      </w:r>
    </w:p>
    <w:p w14:paraId="50412416"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repli sur l’article 8 n’a pas mieux réussi.</w:t>
      </w:r>
      <w:r>
        <w:rPr>
          <w:rFonts w:ascii="Calibri" w:eastAsia="Calibri" w:hAnsi="Calibri" w:cs="Calibri"/>
          <w:color w:val="1A1A1A"/>
        </w:rPr>
        <w:t xml:space="preserve"> La Cour a certes admis que le refus opposé à la requérante entrait dans le champ de l’autonomie personnelle, mais elle a jugé l’ingérence nécessaire dans une société démocratique, </w:t>
      </w:r>
      <w:r>
        <w:rPr>
          <w:rFonts w:ascii="Calibri" w:eastAsia="Calibri" w:hAnsi="Calibri" w:cs="Calibri"/>
          <w:b/>
          <w:bCs/>
          <w:color w:val="1A1A1A"/>
        </w:rPr>
        <w:t>au motif expressément retenu de la protection des personnes vulnérables</w:t>
      </w:r>
      <w:r>
        <w:rPr>
          <w:rFonts w:ascii="Calibri" w:eastAsia="Calibri" w:hAnsi="Calibri" w:cs="Calibri"/>
          <w:color w:val="1A1A1A"/>
        </w:rPr>
        <w:t xml:space="preserve">. Confirmé par </w:t>
      </w:r>
      <w:r>
        <w:rPr>
          <w:rFonts w:ascii="Calibri" w:eastAsia="Calibri" w:hAnsi="Calibri" w:cs="Calibri"/>
          <w:color w:val="E91E63"/>
        </w:rPr>
        <w:t>CEDH, 20 janvier 2011, Haas c. Suisse, n° 31322/07</w:t>
      </w:r>
      <w:r>
        <w:rPr>
          <w:rFonts w:ascii="Calibri" w:eastAsia="Calibri" w:hAnsi="Calibri" w:cs="Calibri"/>
          <w:color w:val="1A1A1A"/>
        </w:rPr>
        <w:t>.</w:t>
      </w:r>
    </w:p>
    <w:p w14:paraId="6E123795"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13 juin 2024, Dániel Karsai c. Hongrie, n° 32312/23</w:t>
      </w:r>
      <w:r>
        <w:rPr>
          <w:rFonts w:ascii="Calibri" w:eastAsia="Calibri" w:hAnsi="Calibri" w:cs="Calibri"/>
          <w:color w:val="1A1A1A"/>
        </w:rPr>
        <w:t xml:space="preserve"> — vingt-deux ans plus tard, aucune évolution : pas de violation, ample marge nationale d’appréciation, </w:t>
      </w:r>
      <w:r>
        <w:rPr>
          <w:rFonts w:ascii="Calibri" w:eastAsia="Calibri" w:hAnsi="Calibri" w:cs="Calibri"/>
          <w:b/>
          <w:bCs/>
          <w:color w:val="1A1A1A"/>
        </w:rPr>
        <w:t>faute de consensus européen</w:t>
      </w:r>
      <w:r>
        <w:rPr>
          <w:rFonts w:ascii="Calibri" w:eastAsia="Calibri" w:hAnsi="Calibri" w:cs="Calibri"/>
          <w:color w:val="1A1A1A"/>
        </w:rPr>
        <w:t>. En 2024, la Cour refuse encore de déduire de la Convention la moindre obligation d’ouvrir une aide médicale à mourir.</w:t>
      </w:r>
    </w:p>
    <w:p w14:paraId="4BEB35EE"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droit interne ne dit pas autre chose.</w:t>
      </w:r>
      <w:r>
        <w:rPr>
          <w:rFonts w:ascii="Calibri" w:eastAsia="Calibri" w:hAnsi="Calibri" w:cs="Calibri"/>
          <w:color w:val="1A1A1A"/>
        </w:rPr>
        <w:t xml:space="preserve"> </w:t>
      </w:r>
      <w:r>
        <w:rPr>
          <w:rFonts w:ascii="Calibri" w:eastAsia="Calibri" w:hAnsi="Calibri" w:cs="Calibri"/>
          <w:color w:val="E91E63"/>
        </w:rPr>
        <w:t>Cons. const., 14 août 2026, n° 2026-910 DC</w:t>
      </w:r>
      <w:r>
        <w:rPr>
          <w:rFonts w:ascii="Calibri" w:eastAsia="Calibri" w:hAnsi="Calibri" w:cs="Calibri"/>
          <w:color w:val="1A1A1A"/>
        </w:rPr>
        <w:t xml:space="preserve"> ne consacre </w:t>
      </w:r>
      <w:r>
        <w:rPr>
          <w:rFonts w:ascii="Calibri" w:eastAsia="Calibri" w:hAnsi="Calibri" w:cs="Calibri"/>
          <w:b/>
          <w:bCs/>
          <w:color w:val="1A1A1A"/>
        </w:rPr>
        <w:t>aucun</w:t>
      </w:r>
      <w:r>
        <w:rPr>
          <w:rFonts w:ascii="Calibri" w:eastAsia="Calibri" w:hAnsi="Calibri" w:cs="Calibri"/>
          <w:color w:val="1A1A1A"/>
        </w:rPr>
        <w:t xml:space="preserve"> droit constitutionnel de mourir : il juge qu’une loi qui l’organise n’est pas contraire à la Constitution, et il le fait en refusant expressément de substituer son appréciation à celle du législateur — formule reprise de </w:t>
      </w:r>
      <w:r>
        <w:rPr>
          <w:rFonts w:ascii="Calibri" w:eastAsia="Calibri" w:hAnsi="Calibri" w:cs="Calibri"/>
          <w:color w:val="E91E63"/>
        </w:rPr>
        <w:t>Cons. const., 15 janvier 1975, n° 74-54 DC</w:t>
      </w:r>
      <w:r>
        <w:rPr>
          <w:rFonts w:ascii="Calibri" w:eastAsia="Calibri" w:hAnsi="Calibri" w:cs="Calibri"/>
          <w:color w:val="1A1A1A"/>
        </w:rPr>
        <w:t xml:space="preserve">. </w:t>
      </w:r>
      <w:r>
        <w:rPr>
          <w:rFonts w:ascii="Calibri" w:eastAsia="Calibri" w:hAnsi="Calibri" w:cs="Calibri"/>
          <w:b/>
          <w:bCs/>
          <w:color w:val="1A1A1A"/>
        </w:rPr>
        <w:t>Une autorisation législative n’est pas une consécration constitutionnelle</w:t>
      </w:r>
      <w:r>
        <w:rPr>
          <w:rFonts w:ascii="Calibri" w:eastAsia="Calibri" w:hAnsi="Calibri" w:cs="Calibri"/>
          <w:color w:val="1A1A1A"/>
        </w:rPr>
        <w:t>, et ce qu’une loi a permis, une loi peut le reprendre.</w:t>
      </w:r>
    </w:p>
    <w:p w14:paraId="1980CD65"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conséquence à marteler.</w:t>
      </w:r>
      <w:r>
        <w:rPr>
          <w:rFonts w:ascii="Calibri" w:eastAsia="Calibri" w:hAnsi="Calibri" w:cs="Calibri"/>
          <w:color w:val="1A1A1A"/>
        </w:rPr>
        <w:t xml:space="preserve"> L’euthanasie n’a donc, en droit, aucun titre à opposer à l’obligation de protection. Elle est au mieux tolérée par un législateur national ; elle n’est garantie par aucun texte, ni interne ni européen.</w:t>
      </w:r>
    </w:p>
    <w:p w14:paraId="7D545EAD" w14:textId="77777777" w:rsidR="00B13F99" w:rsidRDefault="00000000">
      <w:pPr>
        <w:pStyle w:val="Titre3"/>
        <w:spacing w:before="200" w:after="80"/>
      </w:pPr>
      <w:r>
        <w:rPr>
          <w:rFonts w:ascii="Calibri" w:eastAsia="Calibri" w:hAnsi="Calibri" w:cs="Calibri"/>
          <w:b/>
          <w:bCs/>
          <w:i/>
          <w:iCs/>
          <w:color w:val="1A1A1A"/>
          <w:sz w:val="21"/>
          <w:szCs w:val="21"/>
        </w:rPr>
        <w:t>B. Une autonomie qui ne résiste pas à l’épreuve des faits</w:t>
      </w:r>
    </w:p>
    <w:p w14:paraId="28C0FB86"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volonté invoquée est précisément celle qui est le plus sous contrainte.</w:t>
      </w:r>
      <w:r>
        <w:rPr>
          <w:rFonts w:ascii="Calibri" w:eastAsia="Calibri" w:hAnsi="Calibri" w:cs="Calibri"/>
          <w:color w:val="1A1A1A"/>
        </w:rPr>
        <w:t xml:space="preserve"> Le droit exige une volonté « libre et éclairée » ; or elle s’exprime au moment où la liberté est le plus entamée — par la douleur, par la dépendance, par le sentiment d’être une charge. C’est le motif même que la Cour a retenu dans </w:t>
      </w:r>
      <w:r>
        <w:rPr>
          <w:rFonts w:ascii="Calibri" w:eastAsia="Calibri" w:hAnsi="Calibri" w:cs="Calibri"/>
          <w:color w:val="E91E63"/>
        </w:rPr>
        <w:t>Pretty</w:t>
      </w:r>
      <w:r>
        <w:rPr>
          <w:rFonts w:ascii="Calibri" w:eastAsia="Calibri" w:hAnsi="Calibri" w:cs="Calibri"/>
          <w:color w:val="1A1A1A"/>
        </w:rPr>
        <w:t xml:space="preserve"> pour valider l’interdiction britannique : la protection des personnes vulnérables.</w:t>
      </w:r>
    </w:p>
    <w:p w14:paraId="0E7E1415"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L’alternative n’est pas offerte.</w:t>
      </w:r>
      <w:r>
        <w:rPr>
          <w:rFonts w:ascii="Calibri" w:eastAsia="Calibri" w:hAnsi="Calibri" w:cs="Calibri"/>
          <w:color w:val="1A1A1A"/>
        </w:rPr>
        <w:t xml:space="preserve"> La </w:t>
      </w:r>
      <w:r>
        <w:rPr>
          <w:rFonts w:ascii="Calibri" w:eastAsia="Calibri" w:hAnsi="Calibri" w:cs="Calibri"/>
          <w:color w:val="1E88E5"/>
        </w:rPr>
        <w:t>loi n° 2026-404 du 26 mai 2026</w:t>
      </w:r>
      <w:r>
        <w:rPr>
          <w:rFonts w:ascii="Calibri" w:eastAsia="Calibri" w:hAnsi="Calibri" w:cs="Calibri"/>
          <w:color w:val="1A1A1A"/>
        </w:rPr>
        <w:t xml:space="preserve"> a créé les maisons d’accompagnement, mais le </w:t>
      </w:r>
      <w:r>
        <w:rPr>
          <w:rFonts w:ascii="Calibri" w:eastAsia="Calibri" w:hAnsi="Calibri" w:cs="Calibri"/>
          <w:b/>
          <w:bCs/>
          <w:color w:val="1A1A1A"/>
        </w:rPr>
        <w:t>droit opposable aux soins palliatifs, voté par l’Assemblée nationale, a été supprimé par le Sénat</w:t>
      </w:r>
      <w:r>
        <w:rPr>
          <w:rFonts w:ascii="Calibri" w:eastAsia="Calibri" w:hAnsi="Calibri" w:cs="Calibri"/>
          <w:color w:val="1A1A1A"/>
        </w:rPr>
        <w:t xml:space="preserve">. Le </w:t>
      </w:r>
      <w:r>
        <w:rPr>
          <w:rFonts w:ascii="Calibri" w:eastAsia="Calibri" w:hAnsi="Calibri" w:cs="Calibri"/>
          <w:color w:val="1E88E5"/>
        </w:rPr>
        <w:t>onzième alinéa du Préambule de 1946</w:t>
      </w:r>
      <w:r>
        <w:rPr>
          <w:rFonts w:ascii="Calibri" w:eastAsia="Calibri" w:hAnsi="Calibri" w:cs="Calibri"/>
          <w:color w:val="1A1A1A"/>
        </w:rPr>
        <w:t xml:space="preserve"> n’a jamais été jugé directement invocable pour exiger une prestation déterminée. </w:t>
      </w:r>
      <w:r>
        <w:rPr>
          <w:rFonts w:ascii="Calibri" w:eastAsia="Calibri" w:hAnsi="Calibri" w:cs="Calibri"/>
          <w:b/>
          <w:bCs/>
          <w:color w:val="1A1A1A"/>
        </w:rPr>
        <w:t>Tant que la moitié des besoins en soins palliatifs n’est pas couverte, le choix proposé n’est pas un choix entre deux termes</w:t>
      </w:r>
      <w:r>
        <w:rPr>
          <w:rFonts w:ascii="Calibri" w:eastAsia="Calibri" w:hAnsi="Calibri" w:cs="Calibri"/>
          <w:color w:val="1A1A1A"/>
        </w:rPr>
        <w:t xml:space="preserve"> — et un consentement sans alternative n’est pas un consentement libre.</w:t>
      </w:r>
    </w:p>
    <w:p w14:paraId="15D51949"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contrôle organisé ne rattrape pas le vice.</w:t>
      </w:r>
      <w:r>
        <w:rPr>
          <w:rFonts w:ascii="Calibri" w:eastAsia="Calibri" w:hAnsi="Calibri" w:cs="Calibri"/>
          <w:color w:val="1A1A1A"/>
        </w:rPr>
        <w:t xml:space="preserve"> ★ </w:t>
      </w:r>
      <w:r>
        <w:rPr>
          <w:rFonts w:ascii="Calibri" w:eastAsia="Calibri" w:hAnsi="Calibri" w:cs="Calibri"/>
          <w:color w:val="E91E63"/>
        </w:rPr>
        <w:t>CEDH, 4 octobre 2022, Mortier c. Belgique, n° 78017/17</w:t>
      </w:r>
      <w:r>
        <w:rPr>
          <w:rFonts w:ascii="Calibri" w:eastAsia="Calibri" w:hAnsi="Calibri" w:cs="Calibri"/>
          <w:color w:val="1A1A1A"/>
        </w:rPr>
        <w:t xml:space="preserve"> : vingt ans après la dépénalisation, la Belgique est condamnée sur le volet procédural de l’article 2 parce que la commission de contrôle </w:t>
      </w:r>
      <w:r>
        <w:rPr>
          <w:rFonts w:ascii="Calibri" w:eastAsia="Calibri" w:hAnsi="Calibri" w:cs="Calibri"/>
          <w:b/>
          <w:bCs/>
          <w:color w:val="1A1A1A"/>
        </w:rPr>
        <w:t>n’offrait pas de garanties d’indépendance suffisantes</w:t>
      </w:r>
      <w:r>
        <w:rPr>
          <w:rFonts w:ascii="Calibri" w:eastAsia="Calibri" w:hAnsi="Calibri" w:cs="Calibri"/>
          <w:color w:val="1A1A1A"/>
        </w:rPr>
        <w:t xml:space="preserve">. Le contrôle est a posteriori — il intervient quand la mort est déjà donnée et qu’aucune réparation n’est possible. </w:t>
      </w:r>
      <w:r>
        <w:rPr>
          <w:rFonts w:ascii="Calibri" w:eastAsia="Calibri" w:hAnsi="Calibri" w:cs="Calibri"/>
          <w:b/>
          <w:bCs/>
          <w:color w:val="1A1A1A"/>
        </w:rPr>
        <w:t>L’irréversibilité de l’acte prive le contrôle de son objet.</w:t>
      </w:r>
    </w:p>
    <w:p w14:paraId="2B37CD14"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législateur français a lui-même reculé devant l’acte.</w:t>
      </w:r>
      <w:r>
        <w:rPr>
          <w:rFonts w:ascii="Calibri" w:eastAsia="Calibri" w:hAnsi="Calibri" w:cs="Calibri"/>
          <w:color w:val="1A1A1A"/>
        </w:rPr>
        <w:t xml:space="preserve"> Il a fait de l’auto-administration le principe, de l’intervention du tiers une exception, et il a enfermé l’accès dans cinq conditions cumulatives assorties d’un délai de réflexion. </w:t>
      </w:r>
      <w:r>
        <w:rPr>
          <w:rFonts w:ascii="Calibri" w:eastAsia="Calibri" w:hAnsi="Calibri" w:cs="Calibri"/>
          <w:b/>
          <w:bCs/>
          <w:color w:val="1A1A1A"/>
        </w:rPr>
        <w:t>Ces précautions n’auraient aucun sens si l’acte de donner la mort à autrui était, en lui-même, compatible avec le droit à la vie.</w:t>
      </w:r>
    </w:p>
    <w:p w14:paraId="16C33DA7"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juge constitutionnel a dû, lui aussi, ajouter ce que la loi n’avait pas prévu.</w:t>
      </w:r>
      <w:r>
        <w:rPr>
          <w:rFonts w:ascii="Calibri" w:eastAsia="Calibri" w:hAnsi="Calibri" w:cs="Calibri"/>
          <w:color w:val="1A1A1A"/>
        </w:rPr>
        <w:t xml:space="preserve"> Les trois réserves d’interprétation du </w:t>
      </w:r>
      <w:r>
        <w:rPr>
          <w:rFonts w:ascii="Calibri" w:eastAsia="Calibri" w:hAnsi="Calibri" w:cs="Calibri"/>
          <w:color w:val="E91E63"/>
        </w:rPr>
        <w:t>14 août 2026</w:t>
      </w:r>
      <w:r>
        <w:rPr>
          <w:rFonts w:ascii="Calibri" w:eastAsia="Calibri" w:hAnsi="Calibri" w:cs="Calibri"/>
          <w:color w:val="1A1A1A"/>
        </w:rPr>
        <w:t xml:space="preserve"> sont toutes protectrices de tiers — majeur protégé, pharmacien, établissement privé. Le Conseil a même créé de toutes pièces une clause de conscience que le législateur avait refusée au pharmacien. </w:t>
      </w:r>
      <w:r>
        <w:rPr>
          <w:rFonts w:ascii="Calibri" w:eastAsia="Calibri" w:hAnsi="Calibri" w:cs="Calibri"/>
          <w:b/>
          <w:bCs/>
          <w:color w:val="1A1A1A"/>
        </w:rPr>
        <w:t>Quand un texte doit être complété par le juge au moment même où il est validé, c’est le signe que la conciliation n’est pas acquise.</w:t>
      </w:r>
    </w:p>
    <w:p w14:paraId="5B20EAC9"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5. LA CONCLUSION ET L’OUVERTURE</w:t>
      </w:r>
    </w:p>
    <w:p w14:paraId="18DC06ED" w14:textId="77777777" w:rsidR="00B13F99" w:rsidRDefault="00000000">
      <w:pPr>
        <w:spacing w:after="110" w:line="288" w:lineRule="auto"/>
        <w:ind w:left="180" w:right="180"/>
        <w:jc w:val="both"/>
      </w:pPr>
      <w:r>
        <w:rPr>
          <w:rFonts w:ascii="Calibri" w:eastAsia="Calibri" w:hAnsi="Calibri" w:cs="Calibri"/>
          <w:color w:val="1A1A1A"/>
        </w:rPr>
        <w:t xml:space="preserve">L’euthanasie, entendue comme l’administration délibérée de la mort par un tiers, demeure donc contraire au respect du droit à la vie. Elle se heurte à une obligation de protection que l’État ne tient pas de la volonté des individus et dont il ne peut se délier, et elle ne peut lui opposer aucun droit : ni la Convention, ni la Constitution ne reconnaissent </w:t>
      </w:r>
      <w:r>
        <w:rPr>
          <w:rFonts w:ascii="Calibri" w:eastAsia="Calibri" w:hAnsi="Calibri" w:cs="Calibri"/>
          <w:color w:val="1A1A1A"/>
        </w:rPr>
        <w:lastRenderedPageBreak/>
        <w:t>de pendant négatif au droit à la vie, et l’autonomie invoquée s’exerce dans des conditions qui la privent de la liberté qu’elle suppose.</w:t>
      </w:r>
    </w:p>
    <w:p w14:paraId="4C0266C6" w14:textId="77777777" w:rsidR="00B13F99" w:rsidRDefault="00000000">
      <w:pPr>
        <w:pStyle w:val="Titre3"/>
        <w:spacing w:before="200" w:after="80"/>
      </w:pPr>
      <w:r>
        <w:rPr>
          <w:rFonts w:ascii="Calibri" w:eastAsia="Calibri" w:hAnsi="Calibri" w:cs="Calibri"/>
          <w:b/>
          <w:bCs/>
          <w:i/>
          <w:iCs/>
          <w:color w:val="1A1A1A"/>
          <w:sz w:val="21"/>
          <w:szCs w:val="21"/>
        </w:rPr>
        <w:t>Ouverture — c’est ici, et seulement ici, que la nuance se loge</w:t>
      </w:r>
    </w:p>
    <w:p w14:paraId="132D8802" w14:textId="77777777" w:rsidR="00B13F99" w:rsidRDefault="00000000">
      <w:pPr>
        <w:spacing w:after="110" w:line="288" w:lineRule="auto"/>
        <w:ind w:left="180" w:right="180"/>
        <w:jc w:val="both"/>
      </w:pPr>
      <w:r>
        <w:rPr>
          <w:rFonts w:ascii="Calibri" w:eastAsia="Calibri" w:hAnsi="Calibri" w:cs="Calibri"/>
          <w:color w:val="1A1A1A"/>
        </w:rPr>
        <w:t>Il faut cependant se garder d’étendre cette conclusion à la loi du 18 août 2026. Celle-ci n’a pas consacré l’euthanasie : elle a fait de l’auto-administration le principe, réservé l’intervention du tiers aux cas où la personne ne peut y procéder, et entouré l’accès de cinq conditions cumulatives, d’une procédure collégiale et d’un contrôle a posteriori. Ce faisant, le législateur a lui-même pris acte de l’objection. La véritable question qu’ouvre le texte n’est donc pas celle de sa conformité au droit à la vie, que le Conseil constitutionnel a tranchée, mais celle de son effectivité : un droit dont l’exercice suppose le concours d’autrui n’est jamais tout à fait le même droit qu’une liberté d’abstention.</w:t>
      </w:r>
    </w:p>
    <w:p w14:paraId="54C7728B"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6. LES OBJECTIONS DU JURY ET LES RIPOSTES</w:t>
      </w:r>
    </w:p>
    <w:p w14:paraId="028212B8" w14:textId="77777777" w:rsidR="00B13F99" w:rsidRDefault="00000000">
      <w:pPr>
        <w:spacing w:after="160"/>
      </w:pPr>
      <w:r>
        <w:rPr>
          <w:rFonts w:ascii="Calibri" w:eastAsia="Calibri" w:hAnsi="Calibri" w:cs="Calibri"/>
          <w:i/>
          <w:iCs/>
          <w:color w:val="5A5A5A"/>
          <w:sz w:val="18"/>
          <w:szCs w:val="18"/>
        </w:rPr>
        <w:t>Dans cet exercice, le jury teste la solidité de la thèse en la prenant à revers. Ne cédez pas — mais ne vous obstinez pas sans expliquer : reconnaissez l’argument, puis montrez pourquoi il ne renverse pas la démonstration.</w:t>
      </w:r>
    </w:p>
    <w:p w14:paraId="5314D69D" w14:textId="77777777" w:rsidR="00B13F99" w:rsidRDefault="00000000">
      <w:pPr>
        <w:pStyle w:val="Titre3"/>
        <w:spacing w:before="200" w:after="80"/>
      </w:pPr>
      <w:r>
        <w:rPr>
          <w:rFonts w:ascii="Calibri" w:eastAsia="Calibri" w:hAnsi="Calibri" w:cs="Calibri"/>
          <w:b/>
          <w:bCs/>
          <w:i/>
          <w:iCs/>
          <w:color w:val="1A1A1A"/>
          <w:sz w:val="21"/>
          <w:szCs w:val="21"/>
        </w:rPr>
        <w:t>« Mais la loi du 18 août 2026 autorise l’aide à mourir. Votre thèse n’est-elle pas démentie par le droit positif ? »</w:t>
      </w:r>
    </w:p>
    <w:p w14:paraId="617A2099"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texte ne consacre pas l’euthanasie</w:t>
      </w:r>
      <w:r>
        <w:rPr>
          <w:rFonts w:ascii="Calibri" w:eastAsia="Calibri" w:hAnsi="Calibri" w:cs="Calibri"/>
          <w:color w:val="1A1A1A"/>
        </w:rPr>
        <w:t xml:space="preserve"> au sens où elle a été définie : le principe y est l’auto-administration, l’intervention du tiers n’étant que subsidiaire. Le législateur a délibérément évité la qualification.</w:t>
      </w:r>
    </w:p>
    <w:p w14:paraId="25417D14"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Une autorisation légale ne vaut pas conformité à un principe supérieur</w:t>
      </w:r>
      <w:r>
        <w:rPr>
          <w:rFonts w:ascii="Calibri" w:eastAsia="Calibri" w:hAnsi="Calibri" w:cs="Calibri"/>
          <w:color w:val="1A1A1A"/>
        </w:rPr>
        <w:t xml:space="preserve"> : elle vaut jugement de non-contrariété à la Constitution, rendu par un juge qui a expressément refusé de substituer son appréciation à celle du Parlement.</w:t>
      </w:r>
    </w:p>
    <w:p w14:paraId="5C682688"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Et ce jugement n’épuise pas le contrôle</w:t>
      </w:r>
      <w:r>
        <w:rPr>
          <w:rFonts w:ascii="Calibri" w:eastAsia="Calibri" w:hAnsi="Calibri" w:cs="Calibri"/>
          <w:color w:val="1A1A1A"/>
        </w:rPr>
        <w:t xml:space="preserve"> : ni la conventionnalité, ni le contentieux administratif de l’application, ni d’éventuelles QPC sur des cas non examinés.</w:t>
      </w:r>
    </w:p>
    <w:p w14:paraId="229B0713" w14:textId="77777777" w:rsidR="00B13F99" w:rsidRDefault="00000000">
      <w:pPr>
        <w:pStyle w:val="Titre3"/>
        <w:spacing w:before="200" w:after="80"/>
      </w:pPr>
      <w:r>
        <w:rPr>
          <w:rFonts w:ascii="Calibri" w:eastAsia="Calibri" w:hAnsi="Calibri" w:cs="Calibri"/>
          <w:b/>
          <w:bCs/>
          <w:i/>
          <w:iCs/>
          <w:color w:val="1A1A1A"/>
          <w:sz w:val="21"/>
          <w:szCs w:val="21"/>
        </w:rPr>
        <w:t>« Le Conseil constitutionnel a retenu la dignité au soutien de la loi. La dignité ne joue-t-elle pas contre vous ? »</w:t>
      </w:r>
    </w:p>
    <w:p w14:paraId="306B2B4F"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Il faut distinguer deux dignités.</w:t>
      </w:r>
      <w:r>
        <w:rPr>
          <w:rFonts w:ascii="Calibri" w:eastAsia="Calibri" w:hAnsi="Calibri" w:cs="Calibri"/>
          <w:color w:val="1A1A1A"/>
        </w:rPr>
        <w:t xml:space="preserve"> La dignité-fondement, qui soutient l’autonomie, est celle de </w:t>
      </w:r>
      <w:r>
        <w:rPr>
          <w:rFonts w:ascii="Calibri" w:eastAsia="Calibri" w:hAnsi="Calibri" w:cs="Calibri"/>
          <w:color w:val="E91E63"/>
        </w:rPr>
        <w:t>Pretty, § 65</w:t>
      </w:r>
      <w:r>
        <w:rPr>
          <w:rFonts w:ascii="Calibri" w:eastAsia="Calibri" w:hAnsi="Calibri" w:cs="Calibri"/>
          <w:color w:val="1A1A1A"/>
        </w:rPr>
        <w:t>, sous l’</w:t>
      </w:r>
      <w:r>
        <w:rPr>
          <w:rFonts w:ascii="Calibri" w:eastAsia="Calibri" w:hAnsi="Calibri" w:cs="Calibri"/>
          <w:color w:val="1E88E5"/>
        </w:rPr>
        <w:t>article 8</w:t>
      </w:r>
      <w:r>
        <w:rPr>
          <w:rFonts w:ascii="Calibri" w:eastAsia="Calibri" w:hAnsi="Calibri" w:cs="Calibri"/>
          <w:color w:val="1A1A1A"/>
        </w:rPr>
        <w:t xml:space="preserve">. La dignité-limite est celle de </w:t>
      </w:r>
      <w:r>
        <w:rPr>
          <w:rFonts w:ascii="Calibri" w:eastAsia="Calibri" w:hAnsi="Calibri" w:cs="Calibri"/>
          <w:color w:val="E91E63"/>
        </w:rPr>
        <w:t>Morsang-sur-Orge</w:t>
      </w:r>
      <w:r>
        <w:rPr>
          <w:rFonts w:ascii="Calibri" w:eastAsia="Calibri" w:hAnsi="Calibri" w:cs="Calibri"/>
          <w:color w:val="1A1A1A"/>
        </w:rPr>
        <w:t xml:space="preserve"> et de </w:t>
      </w:r>
      <w:r>
        <w:rPr>
          <w:rFonts w:ascii="Calibri" w:eastAsia="Calibri" w:hAnsi="Calibri" w:cs="Calibri"/>
          <w:color w:val="E91E63"/>
        </w:rPr>
        <w:t>94-343/344 DC</w:t>
      </w:r>
      <w:r>
        <w:rPr>
          <w:rFonts w:ascii="Calibri" w:eastAsia="Calibri" w:hAnsi="Calibri" w:cs="Calibri"/>
          <w:color w:val="1A1A1A"/>
        </w:rPr>
        <w:t xml:space="preserve"> : une norme objective, indifférente au consentement.</w:t>
      </w:r>
    </w:p>
    <w:p w14:paraId="1A695383"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Conseil n’a pas arbitré entre les deux</w:t>
      </w:r>
      <w:r>
        <w:rPr>
          <w:rFonts w:ascii="Calibri" w:eastAsia="Calibri" w:hAnsi="Calibri" w:cs="Calibri"/>
          <w:color w:val="1A1A1A"/>
        </w:rPr>
        <w:t xml:space="preserve"> : il a jugé que l’arbitrage appartenait au législateur. Sa décision est une décision de retrait, pas une consécration.</w:t>
      </w:r>
    </w:p>
    <w:p w14:paraId="55B58BF3"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Et la dignité-limite n’a pas été abrogée</w:t>
      </w:r>
      <w:r>
        <w:rPr>
          <w:rFonts w:ascii="Calibri" w:eastAsia="Calibri" w:hAnsi="Calibri" w:cs="Calibri"/>
          <w:color w:val="1A1A1A"/>
        </w:rPr>
        <w:t xml:space="preserve"> : l’indisponibilité du corps humain (</w:t>
      </w:r>
      <w:r>
        <w:rPr>
          <w:rFonts w:ascii="Calibri" w:eastAsia="Calibri" w:hAnsi="Calibri" w:cs="Calibri"/>
          <w:color w:val="1E88E5"/>
        </w:rPr>
        <w:t>art. 16 à 16-9 du code civil</w:t>
      </w:r>
      <w:r>
        <w:rPr>
          <w:rFonts w:ascii="Calibri" w:eastAsia="Calibri" w:hAnsi="Calibri" w:cs="Calibri"/>
          <w:color w:val="1A1A1A"/>
        </w:rPr>
        <w:t>) et l’ordre public immatériel subsistent.</w:t>
      </w:r>
    </w:p>
    <w:p w14:paraId="30C6CE6F" w14:textId="77777777" w:rsidR="00B13F99" w:rsidRDefault="00000000">
      <w:pPr>
        <w:pStyle w:val="Titre3"/>
        <w:spacing w:before="200" w:after="80"/>
      </w:pPr>
      <w:r>
        <w:rPr>
          <w:rFonts w:ascii="Calibri" w:eastAsia="Calibri" w:hAnsi="Calibri" w:cs="Calibri"/>
          <w:b/>
          <w:bCs/>
          <w:i/>
          <w:iCs/>
          <w:color w:val="1A1A1A"/>
          <w:sz w:val="21"/>
          <w:szCs w:val="21"/>
        </w:rPr>
        <w:t>« L’interdiction ne condamne-t-elle pas des personnes à souffrir ? »</w:t>
      </w:r>
    </w:p>
    <w:p w14:paraId="55EA340B"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droit français apporte déjà une réponse à la souffrance</w:t>
      </w:r>
      <w:r>
        <w:rPr>
          <w:rFonts w:ascii="Calibri" w:eastAsia="Calibri" w:hAnsi="Calibri" w:cs="Calibri"/>
          <w:color w:val="1A1A1A"/>
        </w:rPr>
        <w:t xml:space="preserve"> qui n’exige pas l’acte létal d’un tiers : refus de traitement (</w:t>
      </w:r>
      <w:r>
        <w:rPr>
          <w:rFonts w:ascii="Calibri" w:eastAsia="Calibri" w:hAnsi="Calibri" w:cs="Calibri"/>
          <w:color w:val="1E88E5"/>
        </w:rPr>
        <w:t>art. L. 1111-4 CSP</w:t>
      </w:r>
      <w:r>
        <w:rPr>
          <w:rFonts w:ascii="Calibri" w:eastAsia="Calibri" w:hAnsi="Calibri" w:cs="Calibri"/>
          <w:color w:val="1A1A1A"/>
        </w:rPr>
        <w:t>), prohibition de l’obstination déraisonnable (</w:t>
      </w:r>
      <w:r>
        <w:rPr>
          <w:rFonts w:ascii="Calibri" w:eastAsia="Calibri" w:hAnsi="Calibri" w:cs="Calibri"/>
          <w:color w:val="1E88E5"/>
        </w:rPr>
        <w:t>art. L. 1110-5-1</w:t>
      </w:r>
      <w:r>
        <w:rPr>
          <w:rFonts w:ascii="Calibri" w:eastAsia="Calibri" w:hAnsi="Calibri" w:cs="Calibri"/>
          <w:color w:val="1A1A1A"/>
        </w:rPr>
        <w:t>), sédation profonde et continue (</w:t>
      </w:r>
      <w:r>
        <w:rPr>
          <w:rFonts w:ascii="Calibri" w:eastAsia="Calibri" w:hAnsi="Calibri" w:cs="Calibri"/>
          <w:color w:val="1E88E5"/>
        </w:rPr>
        <w:t>art. L. 1110-5-2</w:t>
      </w:r>
      <w:r>
        <w:rPr>
          <w:rFonts w:ascii="Calibri" w:eastAsia="Calibri" w:hAnsi="Calibri" w:cs="Calibri"/>
          <w:color w:val="1A1A1A"/>
        </w:rPr>
        <w:t>), droit à une fin de vie digne et au meilleur apaisement possible de la souffrance (</w:t>
      </w:r>
      <w:r>
        <w:rPr>
          <w:rFonts w:ascii="Calibri" w:eastAsia="Calibri" w:hAnsi="Calibri" w:cs="Calibri"/>
          <w:color w:val="1E88E5"/>
        </w:rPr>
        <w:t>art. L. 1110-5</w:t>
      </w:r>
      <w:r>
        <w:rPr>
          <w:rFonts w:ascii="Calibri" w:eastAsia="Calibri" w:hAnsi="Calibri" w:cs="Calibri"/>
          <w:color w:val="1A1A1A"/>
        </w:rPr>
        <w:t>).</w:t>
      </w:r>
    </w:p>
    <w:p w14:paraId="14DB5AEC"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déficit n’est pas normatif, il est matériel</w:t>
      </w:r>
      <w:r>
        <w:rPr>
          <w:rFonts w:ascii="Calibri" w:eastAsia="Calibri" w:hAnsi="Calibri" w:cs="Calibri"/>
          <w:color w:val="1A1A1A"/>
        </w:rPr>
        <w:t xml:space="preserve"> : c’est l’effectivité des soins palliatifs qui fait défaut, et le Sénat a précisément refusé d’en faire un droit opposable en mai 2026.</w:t>
      </w:r>
    </w:p>
    <w:p w14:paraId="3E3BC9CE"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réponse à un droit-créance inexécuté n’est pas l’ouverture d’un droit-liberté qui s’y substitue.</w:t>
      </w:r>
      <w:r>
        <w:rPr>
          <w:rFonts w:ascii="Calibri" w:eastAsia="Calibri" w:hAnsi="Calibri" w:cs="Calibri"/>
          <w:color w:val="1A1A1A"/>
        </w:rPr>
        <w:t xml:space="preserve"> Ce serait résoudre une carence de l’État par une renonciation de la personne.</w:t>
      </w:r>
    </w:p>
    <w:p w14:paraId="16B9B4E9" w14:textId="77777777" w:rsidR="00B13F99" w:rsidRDefault="00000000">
      <w:pPr>
        <w:pStyle w:val="Titre3"/>
        <w:spacing w:before="200" w:after="80"/>
      </w:pPr>
      <w:r>
        <w:rPr>
          <w:rFonts w:ascii="Calibri" w:eastAsia="Calibri" w:hAnsi="Calibri" w:cs="Calibri"/>
          <w:b/>
          <w:bCs/>
          <w:i/>
          <w:iCs/>
          <w:color w:val="1A1A1A"/>
          <w:sz w:val="21"/>
          <w:szCs w:val="21"/>
        </w:rPr>
        <w:t>« N’est-ce pas une position morale déguisée en argument juridique ? »</w:t>
      </w:r>
    </w:p>
    <w:p w14:paraId="6D5E16A6"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Non</w:t>
      </w:r>
      <w:r>
        <w:rPr>
          <w:rFonts w:ascii="Calibri" w:eastAsia="Calibri" w:hAnsi="Calibri" w:cs="Calibri"/>
          <w:color w:val="1A1A1A"/>
        </w:rPr>
        <w:t xml:space="preserve"> : la démonstration n’a reposé sur aucune valeur religieuse ni sur aucun jugement moral. Elle s’appuie sur trois éléments strictement positifs — le caractère limitatif de l’</w:t>
      </w:r>
      <w:r>
        <w:rPr>
          <w:rFonts w:ascii="Calibri" w:eastAsia="Calibri" w:hAnsi="Calibri" w:cs="Calibri"/>
          <w:color w:val="1E88E5"/>
        </w:rPr>
        <w:t>article 2 § 2</w:t>
      </w:r>
      <w:r>
        <w:rPr>
          <w:rFonts w:ascii="Calibri" w:eastAsia="Calibri" w:hAnsi="Calibri" w:cs="Calibri"/>
          <w:color w:val="1A1A1A"/>
        </w:rPr>
        <w:t xml:space="preserve">, l’absence de consentement dans la liste des faits justificatifs des </w:t>
      </w:r>
      <w:r>
        <w:rPr>
          <w:rFonts w:ascii="Calibri" w:eastAsia="Calibri" w:hAnsi="Calibri" w:cs="Calibri"/>
          <w:color w:val="1E88E5"/>
        </w:rPr>
        <w:t>articles 122-4 et suivants du code pénal</w:t>
      </w:r>
      <w:r>
        <w:rPr>
          <w:rFonts w:ascii="Calibri" w:eastAsia="Calibri" w:hAnsi="Calibri" w:cs="Calibri"/>
          <w:color w:val="1A1A1A"/>
        </w:rPr>
        <w:t>, et le refus constant de la Cour européenne de reconnaître un droit de mourir.</w:t>
      </w:r>
    </w:p>
    <w:p w14:paraId="4D97CD7F" w14:textId="77777777" w:rsidR="00B13F99" w:rsidRPr="009618F4" w:rsidRDefault="00000000">
      <w:pPr>
        <w:pStyle w:val="Paragraphedeliste"/>
        <w:numPr>
          <w:ilvl w:val="0"/>
          <w:numId w:val="2"/>
        </w:numPr>
        <w:spacing w:after="70" w:line="264" w:lineRule="auto"/>
        <w:jc w:val="both"/>
      </w:pPr>
      <w:r>
        <w:rPr>
          <w:rFonts w:ascii="Calibri" w:eastAsia="Calibri" w:hAnsi="Calibri" w:cs="Calibri"/>
          <w:b/>
          <w:bCs/>
          <w:color w:val="1A1A1A"/>
        </w:rPr>
        <w:t>La thèse assignée n’est pas une opinion</w:t>
      </w:r>
      <w:r>
        <w:rPr>
          <w:rFonts w:ascii="Calibri" w:eastAsia="Calibri" w:hAnsi="Calibri" w:cs="Calibri"/>
          <w:color w:val="1A1A1A"/>
        </w:rPr>
        <w:t xml:space="preserve"> : c’est une position juridique, et c’est celle que la Cour de Strasbourg a elle-même retenue en 2002 et confirmée en 2024.</w:t>
      </w:r>
    </w:p>
    <w:p w14:paraId="39EB0B05" w14:textId="77777777" w:rsidR="009618F4" w:rsidRDefault="009618F4" w:rsidP="009618F4">
      <w:pPr>
        <w:spacing w:after="70" w:line="264" w:lineRule="auto"/>
        <w:jc w:val="both"/>
      </w:pPr>
    </w:p>
    <w:p w14:paraId="7B0AACAC" w14:textId="77777777" w:rsidR="009618F4" w:rsidRDefault="009618F4" w:rsidP="009618F4">
      <w:pPr>
        <w:spacing w:after="70" w:line="264" w:lineRule="auto"/>
        <w:jc w:val="both"/>
      </w:pPr>
    </w:p>
    <w:p w14:paraId="53B37041" w14:textId="77777777" w:rsidR="00B13F99" w:rsidRDefault="00000000">
      <w:pPr>
        <w:pStyle w:val="Titre3"/>
        <w:spacing w:before="200" w:after="80"/>
      </w:pPr>
      <w:r>
        <w:rPr>
          <w:rFonts w:ascii="Calibri" w:eastAsia="Calibri" w:hAnsi="Calibri" w:cs="Calibri"/>
          <w:b/>
          <w:bCs/>
          <w:i/>
          <w:iCs/>
          <w:color w:val="1A1A1A"/>
          <w:sz w:val="21"/>
          <w:szCs w:val="21"/>
        </w:rPr>
        <w:lastRenderedPageBreak/>
        <w:t>« Et la clause de conscience ? Ne contredit-elle pas votre thèse en admettant que certains acceptent ? »</w:t>
      </w:r>
    </w:p>
    <w:p w14:paraId="25E655C4"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clause de conscience prouve l’inverse de ce que l’objection suggère</w:t>
      </w:r>
      <w:r>
        <w:rPr>
          <w:rFonts w:ascii="Calibri" w:eastAsia="Calibri" w:hAnsi="Calibri" w:cs="Calibri"/>
          <w:color w:val="1A1A1A"/>
        </w:rPr>
        <w:t xml:space="preserve"> : si le droit prévoit qu’un professionnel puisse refuser, c’est qu’il reconnaît que l’acte demandé n’est pas un acte de soin ordinaire.</w:t>
      </w:r>
    </w:p>
    <w:p w14:paraId="1075061D"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Elle se rattache à la liberté de conscience</w:t>
      </w:r>
      <w:r>
        <w:rPr>
          <w:rFonts w:ascii="Calibri" w:eastAsia="Calibri" w:hAnsi="Calibri" w:cs="Calibri"/>
          <w:color w:val="1A1A1A"/>
        </w:rPr>
        <w:t xml:space="preserve"> — </w:t>
      </w:r>
      <w:r>
        <w:rPr>
          <w:rFonts w:ascii="Calibri" w:eastAsia="Calibri" w:hAnsi="Calibri" w:cs="Calibri"/>
          <w:color w:val="1E88E5"/>
        </w:rPr>
        <w:t>article 10 de la Déclaration de 1789</w:t>
      </w:r>
      <w:r>
        <w:rPr>
          <w:rFonts w:ascii="Calibri" w:eastAsia="Calibri" w:hAnsi="Calibri" w:cs="Calibri"/>
          <w:color w:val="1A1A1A"/>
        </w:rPr>
        <w:t xml:space="preserve">, </w:t>
      </w:r>
      <w:r>
        <w:rPr>
          <w:rFonts w:ascii="Calibri" w:eastAsia="Calibri" w:hAnsi="Calibri" w:cs="Calibri"/>
          <w:color w:val="1E88E5"/>
        </w:rPr>
        <w:t>article 9 de la Convention</w:t>
      </w:r>
      <w:r>
        <w:rPr>
          <w:rFonts w:ascii="Calibri" w:eastAsia="Calibri" w:hAnsi="Calibri" w:cs="Calibri"/>
          <w:color w:val="1A1A1A"/>
        </w:rPr>
        <w:t xml:space="preserve"> — et non au droit au respect de la vie privée.</w:t>
      </w:r>
    </w:p>
    <w:p w14:paraId="74784C11"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Et elle ne vaut pas droit de veto</w:t>
      </w:r>
      <w:r>
        <w:rPr>
          <w:rFonts w:ascii="Calibri" w:eastAsia="Calibri" w:hAnsi="Calibri" w:cs="Calibri"/>
          <w:color w:val="1A1A1A"/>
        </w:rPr>
        <w:t xml:space="preserve"> : le professionnel qui refuse doit orienter. Ce qui se discute n’est pas la légitimité de l’objection, mais l’imputation de la charge d’organiser l’accès quand elle est exercée.</w:t>
      </w:r>
    </w:p>
    <w:p w14:paraId="460B1798" w14:textId="77777777" w:rsidR="00B13F99" w:rsidRDefault="00000000">
      <w:r>
        <w:br w:type="page"/>
      </w:r>
    </w:p>
    <w:p w14:paraId="3294FFF5" w14:textId="77777777" w:rsidR="00B13F99" w:rsidRDefault="00000000">
      <w:pPr>
        <w:shd w:val="clear" w:color="auto" w:fill="F2E9EA"/>
        <w:spacing w:before="200" w:after="220"/>
        <w:jc w:val="center"/>
      </w:pPr>
      <w:r>
        <w:rPr>
          <w:rFonts w:ascii="Calibri" w:eastAsia="Calibri" w:hAnsi="Calibri" w:cs="Calibri"/>
          <w:b/>
          <w:bCs/>
          <w:color w:val="8C1C2B"/>
          <w:spacing w:val="30"/>
          <w:sz w:val="26"/>
          <w:szCs w:val="26"/>
        </w:rPr>
        <w:lastRenderedPageBreak/>
        <w:t>PARTIE IV. CORRECTION DES PLANS PROPOSÉS EN SÉMINAIRE</w:t>
      </w:r>
    </w:p>
    <w:p w14:paraId="192C1666"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AVERTISSEMENT</w:t>
      </w:r>
    </w:p>
    <w:p w14:paraId="4B6409F7" w14:textId="77777777" w:rsidR="00B13F99" w:rsidRDefault="00000000">
      <w:pPr>
        <w:spacing w:after="90" w:line="264" w:lineRule="auto"/>
        <w:jc w:val="both"/>
      </w:pPr>
      <w:r>
        <w:rPr>
          <w:rFonts w:ascii="Calibri" w:eastAsia="Calibri" w:hAnsi="Calibri" w:cs="Calibri"/>
          <w:color w:val="1A1A1A"/>
        </w:rPr>
        <w:t>Dix-neuf propositions distinctes ont été relevées dans les notes du séminaire — quatorze sur le sujet n° 1, cinq sur le sujet n° 2. Elles sont reprises ici une par une. Les notes indicatives sont données avec la latitude d’un correcteur réel : on ne sanctionne pas mécaniquement une maladresse de formulation, on sanctionne ce qui empêche la démonstration d’aboutir. Un plan à 9 n’est pas un mauvais travail — c’est un travail dont l’axe n’a pas été trouvé.</w:t>
      </w:r>
    </w:p>
    <w:p w14:paraId="57DF2A70" w14:textId="77777777" w:rsidR="00B13F99"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b/>
          <w:bCs/>
          <w:color w:val="1A1A1A"/>
          <w:sz w:val="19"/>
          <w:szCs w:val="19"/>
        </w:rPr>
        <w:t>Le critère qui départage tout.</w:t>
      </w:r>
      <w:r>
        <w:rPr>
          <w:rFonts w:ascii="Calibri" w:eastAsia="Calibri" w:hAnsi="Calibri" w:cs="Calibri"/>
          <w:color w:val="1A1A1A"/>
          <w:sz w:val="19"/>
          <w:szCs w:val="19"/>
        </w:rPr>
        <w:t xml:space="preserve"> Un plan vaut par sa capacité à faire avancer une démonstration d’une partie à l’autre. Si le grand II se contente d’ajouter ce que le grand I n’avait pas dit, le plan est descriptif. S’il renverse, précise ou déplace ce que le grand I a posé, le plan est démonstratif. C’est là, et nulle part ailleurs, que se joue l’écart entre 9 et 15.</w:t>
      </w:r>
    </w:p>
    <w:p w14:paraId="276BDF22"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A. LES QUATORZE PLANS SUR « LA FIN DE VIE »</w:t>
      </w:r>
    </w:p>
    <w:p w14:paraId="705BEA06" w14:textId="77777777" w:rsidR="00B13F99" w:rsidRDefault="00000000">
      <w:pPr>
        <w:pStyle w:val="Titre2"/>
        <w:spacing w:before="260" w:after="110"/>
      </w:pPr>
      <w:r>
        <w:rPr>
          <w:rFonts w:ascii="Calibri" w:eastAsia="Calibri" w:hAnsi="Calibri" w:cs="Calibri"/>
          <w:b/>
          <w:bCs/>
          <w:color w:val="1A1A1A"/>
          <w:spacing w:val="16"/>
          <w:sz w:val="23"/>
          <w:szCs w:val="23"/>
        </w:rPr>
        <w:t>Plan n° 1 — L’autonomie reconnue puis conciliée</w:t>
      </w:r>
    </w:p>
    <w:p w14:paraId="112DDDBF"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 La reconnaissance progressive de l’autonomie de la personne dans sa fin de vie — A. La consécration du droit du patient de décider des conditions de sa fin de vie. B. L’extension de l’autonomie personnelle jusqu’à la reconnaissance d’une aide à mourir.</w:t>
      </w:r>
    </w:p>
    <w:p w14:paraId="27A09BB7"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II. Une autonomie conciliée avec les exigences de protection de la vie et des personnes vulnérables — A. La persistance de la protection de la vie comme limite à l’autonomie individuelle. B. L’encadrement de l’aide à mourir comme instrument de conciliation.</w:t>
      </w:r>
    </w:p>
    <w:p w14:paraId="57827F37"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Problématique : « Dans quelle mesure le droit peut-il garantir le respect de la volonté de la personne en fin de vie tout en assurant la protection de la vie et des personnes vulnérables ? »</w:t>
      </w:r>
    </w:p>
    <w:p w14:paraId="4457429D" w14:textId="77777777" w:rsidR="00B13F99" w:rsidRDefault="00000000">
      <w:pPr>
        <w:spacing w:before="170" w:after="70"/>
      </w:pPr>
      <w:r>
        <w:rPr>
          <w:rFonts w:ascii="Calibri" w:eastAsia="Calibri" w:hAnsi="Calibri" w:cs="Calibri"/>
          <w:b/>
          <w:bCs/>
          <w:color w:val="1A1A1A"/>
        </w:rPr>
        <w:t>Ce qui tient</w:t>
      </w:r>
    </w:p>
    <w:p w14:paraId="62A34E82"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C’est la meilleure copie du séminaire</w:t>
      </w:r>
      <w:r>
        <w:rPr>
          <w:rFonts w:ascii="Calibri" w:eastAsia="Calibri" w:hAnsi="Calibri" w:cs="Calibri"/>
          <w:color w:val="1A1A1A"/>
        </w:rPr>
        <w:t>, et de loin, pour une raison précise : l’introduction est complète et structurée — accroche, définition des termes, contextualisation, intérêt du sujet, délimitation, problématique, annonce. C’est l’ossature exacte qu’attend un jury.</w:t>
      </w:r>
    </w:p>
    <w:p w14:paraId="2E07CA63"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La définition de la fin de vie est </w:t>
      </w:r>
      <w:r>
        <w:rPr>
          <w:rFonts w:ascii="Calibri" w:eastAsia="Calibri" w:hAnsi="Calibri" w:cs="Calibri"/>
          <w:b/>
          <w:bCs/>
          <w:color w:val="1A1A1A"/>
        </w:rPr>
        <w:t>juridiquement exacte</w:t>
      </w:r>
      <w:r>
        <w:rPr>
          <w:rFonts w:ascii="Calibri" w:eastAsia="Calibri" w:hAnsi="Calibri" w:cs="Calibri"/>
          <w:color w:val="1A1A1A"/>
        </w:rPr>
        <w:t xml:space="preserve"> : elle distingue la fin de vie de la mort, la qualifie de processus, et énumère les décisions qui s’y rattachent. C’est la seule copie qui le fasse.</w:t>
      </w:r>
    </w:p>
    <w:p w14:paraId="7BEC06C9"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La problématique est ouverte, articule les deux exigences en présence, et annonce un mouvement — non un catalogue.</w:t>
      </w:r>
    </w:p>
    <w:p w14:paraId="28CD5085"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Le plan est </w:t>
      </w:r>
      <w:r>
        <w:rPr>
          <w:rFonts w:ascii="Calibri" w:eastAsia="Calibri" w:hAnsi="Calibri" w:cs="Calibri"/>
          <w:b/>
          <w:bCs/>
          <w:color w:val="1A1A1A"/>
        </w:rPr>
        <w:t>démonstratif</w:t>
      </w:r>
      <w:r>
        <w:rPr>
          <w:rFonts w:ascii="Calibri" w:eastAsia="Calibri" w:hAnsi="Calibri" w:cs="Calibri"/>
          <w:color w:val="1A1A1A"/>
        </w:rPr>
        <w:t xml:space="preserve"> : le II ne s’ajoute pas au I, il le corrige. L’autonomie posée en I est reprise en II sous condition. C’est un vrai mouvement dialectique.</w:t>
      </w:r>
    </w:p>
    <w:p w14:paraId="6796CFC3" w14:textId="77777777" w:rsidR="00B13F99" w:rsidRDefault="00000000">
      <w:pPr>
        <w:spacing w:before="170" w:after="70"/>
      </w:pPr>
      <w:r>
        <w:rPr>
          <w:rFonts w:ascii="Calibri" w:eastAsia="Calibri" w:hAnsi="Calibri" w:cs="Calibri"/>
          <w:b/>
          <w:bCs/>
          <w:color w:val="1A1A1A"/>
        </w:rPr>
        <w:t>Ce qui ne tient pas</w:t>
      </w:r>
    </w:p>
    <w:p w14:paraId="1FAD56B1"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L’accroche manque.</w:t>
      </w:r>
      <w:r>
        <w:rPr>
          <w:rFonts w:ascii="Calibri" w:eastAsia="Calibri" w:hAnsi="Calibri" w:cs="Calibri"/>
          <w:color w:val="1A1A1A"/>
        </w:rPr>
        <w:t xml:space="preserve"> L’introduction commence par une généralité sur la première génération des droits fondamentaux. C’est correct mais tiède : aucune date, aucune actualité, aucun contraste. Un jury retient les quinze premières secondes.</w:t>
      </w:r>
    </w:p>
    <w:p w14:paraId="57E37886"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contextualisation date mal l’actualité</w:t>
      </w:r>
      <w:r>
        <w:rPr>
          <w:rFonts w:ascii="Calibri" w:eastAsia="Calibri" w:hAnsi="Calibri" w:cs="Calibri"/>
          <w:color w:val="1A1A1A"/>
        </w:rPr>
        <w:t xml:space="preserve"> : « l’adoption, en août 2026, d’une législation relative à l’aide à mourir ». Il faut la référence exacte — </w:t>
      </w:r>
      <w:r>
        <w:rPr>
          <w:rFonts w:ascii="Calibri" w:eastAsia="Calibri" w:hAnsi="Calibri" w:cs="Calibri"/>
          <w:color w:val="1E88E5"/>
        </w:rPr>
        <w:t>loi n° 2026-794 du 18 août 2026</w:t>
      </w:r>
      <w:r>
        <w:rPr>
          <w:rFonts w:ascii="Calibri" w:eastAsia="Calibri" w:hAnsi="Calibri" w:cs="Calibri"/>
          <w:color w:val="1A1A1A"/>
        </w:rPr>
        <w:t xml:space="preserve"> — et la décision qui l’a précédée, </w:t>
      </w:r>
      <w:r>
        <w:rPr>
          <w:rFonts w:ascii="Calibri" w:eastAsia="Calibri" w:hAnsi="Calibri" w:cs="Calibri"/>
          <w:color w:val="E91E63"/>
        </w:rPr>
        <w:t>Cons. const., 14 août 2026, n° 2026-910 DC</w:t>
      </w:r>
      <w:r>
        <w:rPr>
          <w:rFonts w:ascii="Calibri" w:eastAsia="Calibri" w:hAnsi="Calibri" w:cs="Calibri"/>
          <w:color w:val="1A1A1A"/>
        </w:rPr>
        <w:t>.</w:t>
      </w:r>
    </w:p>
    <w:p w14:paraId="4C939DAC"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II-B est le maillon faible</w:t>
      </w:r>
      <w:r>
        <w:rPr>
          <w:rFonts w:ascii="Calibri" w:eastAsia="Calibri" w:hAnsi="Calibri" w:cs="Calibri"/>
          <w:color w:val="1A1A1A"/>
        </w:rPr>
        <w:t xml:space="preserve"> : « L’encadrement de l’aide à mourir comme instrument de conciliation » reste abstrait. Rien n’indique qu’on y traitera des trois réserves d’interprétation, ni du déplacement du contrôle du choix vers les garanties.</w:t>
      </w:r>
    </w:p>
    <w:p w14:paraId="5614A607" w14:textId="77777777" w:rsidR="00B13F99" w:rsidRDefault="00000000">
      <w:pPr>
        <w:spacing w:before="170" w:after="70"/>
      </w:pPr>
      <w:r>
        <w:rPr>
          <w:rFonts w:ascii="Calibri" w:eastAsia="Calibri" w:hAnsi="Calibri" w:cs="Calibri"/>
          <w:b/>
          <w:bCs/>
          <w:color w:val="1A1A1A"/>
        </w:rPr>
        <w:t>Le rattrapage</w:t>
      </w:r>
    </w:p>
    <w:p w14:paraId="71322C83" w14:textId="77777777" w:rsidR="00B13F99" w:rsidRDefault="00000000">
      <w:pPr>
        <w:spacing w:after="90" w:line="264" w:lineRule="auto"/>
        <w:jc w:val="both"/>
      </w:pPr>
      <w:r>
        <w:rPr>
          <w:rFonts w:ascii="Calibri" w:eastAsia="Calibri" w:hAnsi="Calibri" w:cs="Calibri"/>
          <w:color w:val="1A1A1A"/>
        </w:rPr>
        <w:t xml:space="preserve">Remplacer l’entame par une accroche datée — les deux décisions du 14 août 2026, ou le contraste entre la loi du 26 mai et celle du 18 août — et charger le II-B des trois réserves et de l’arrêt </w:t>
      </w:r>
      <w:r>
        <w:rPr>
          <w:rFonts w:ascii="Calibri" w:eastAsia="Calibri" w:hAnsi="Calibri" w:cs="Calibri"/>
          <w:color w:val="E91E63"/>
        </w:rPr>
        <w:t>Mortier c. Belgique</w:t>
      </w:r>
      <w:r>
        <w:rPr>
          <w:rFonts w:ascii="Calibri" w:eastAsia="Calibri" w:hAnsi="Calibri" w:cs="Calibri"/>
          <w:color w:val="1A1A1A"/>
        </w:rPr>
        <w:t>. Avec ces deux corrections, c’est une copie d’admission confortable.</w:t>
      </w:r>
    </w:p>
    <w:p w14:paraId="2CE292DB" w14:textId="77777777" w:rsidR="00B13F99" w:rsidRDefault="00000000">
      <w:pPr>
        <w:spacing w:after="160"/>
      </w:pPr>
      <w:r>
        <w:rPr>
          <w:rFonts w:ascii="Calibri" w:eastAsia="Calibri" w:hAnsi="Calibri" w:cs="Calibri"/>
          <w:i/>
          <w:iCs/>
          <w:color w:val="5A5A5A"/>
          <w:sz w:val="18"/>
          <w:szCs w:val="18"/>
        </w:rPr>
        <w:lastRenderedPageBreak/>
        <w:t>Note indicative : 15,5 / 20</w:t>
      </w:r>
    </w:p>
    <w:p w14:paraId="0B289961" w14:textId="77777777" w:rsidR="00B13F99" w:rsidRDefault="00000000">
      <w:pPr>
        <w:pStyle w:val="Titre2"/>
        <w:spacing w:before="260" w:after="110"/>
      </w:pPr>
      <w:r>
        <w:rPr>
          <w:rFonts w:ascii="Calibri" w:eastAsia="Calibri" w:hAnsi="Calibri" w:cs="Calibri"/>
          <w:b/>
          <w:bCs/>
          <w:color w:val="1A1A1A"/>
          <w:spacing w:val="16"/>
          <w:sz w:val="23"/>
          <w:szCs w:val="23"/>
        </w:rPr>
        <w:t>Plan n° 2 — Réponse à un cadre insuffisant puis demande sociétale</w:t>
      </w:r>
    </w:p>
    <w:p w14:paraId="2F90CC19"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 La fin de vie : une réponse à un cadre insuffisant — A. la fin de l’acharnement déraisonnable (lois Leonetti et Claeys de 2016, arrêt Lambert). B. le consentement du patient (dignité, consentement obligatoire, refus de traitement, accès aux soins palliatifs).</w:t>
      </w:r>
    </w:p>
    <w:p w14:paraId="60F294DA"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II. La fin de vie : une demande sociétale — A. Une demande populaire (liberté individuelle contre protection de la personne vulnérable, convention citoyenne). B. la reconnaissance de l’aide à mourir (loi promulguée, prolongement du droit à l’autonomie du patient).</w:t>
      </w:r>
    </w:p>
    <w:p w14:paraId="55454AC2" w14:textId="77777777" w:rsidR="00B13F99" w:rsidRDefault="00000000">
      <w:pPr>
        <w:spacing w:before="170" w:after="70"/>
      </w:pPr>
      <w:r>
        <w:rPr>
          <w:rFonts w:ascii="Calibri" w:eastAsia="Calibri" w:hAnsi="Calibri" w:cs="Calibri"/>
          <w:b/>
          <w:bCs/>
          <w:color w:val="1A1A1A"/>
        </w:rPr>
        <w:t>Ce qui tient</w:t>
      </w:r>
    </w:p>
    <w:p w14:paraId="5E51CCF7"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Le I est bien construit et bien documenté : la prohibition de l’obstination et le consentement sont les deux piliers du régime, et l’arrêt Lambert est placé au bon endroit.</w:t>
      </w:r>
    </w:p>
    <w:p w14:paraId="03310D6E"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Le mot « insuffisant » dans le titre du I suppose une évaluation — c’est un début de démonstration, pas une description.</w:t>
      </w:r>
    </w:p>
    <w:p w14:paraId="0BDCE571" w14:textId="77777777" w:rsidR="00B13F99" w:rsidRDefault="00000000">
      <w:pPr>
        <w:spacing w:before="170" w:after="70"/>
      </w:pPr>
      <w:r>
        <w:rPr>
          <w:rFonts w:ascii="Calibri" w:eastAsia="Calibri" w:hAnsi="Calibri" w:cs="Calibri"/>
          <w:b/>
          <w:bCs/>
          <w:color w:val="1A1A1A"/>
        </w:rPr>
        <w:t>Ce qui ne tient pas</w:t>
      </w:r>
    </w:p>
    <w:p w14:paraId="345AE789"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II sort du droit.</w:t>
      </w:r>
      <w:r>
        <w:rPr>
          <w:rFonts w:ascii="Calibri" w:eastAsia="Calibri" w:hAnsi="Calibri" w:cs="Calibri"/>
          <w:color w:val="1A1A1A"/>
        </w:rPr>
        <w:t xml:space="preserve"> « Une demande sociétale », « une demande populaire », « la convention citoyenne » : ce sont des faits, pas des normes. Devant un jury de juristes, un grand II de sociologie politique est une faute lourde, et elle coûte très cher.</w:t>
      </w:r>
    </w:p>
    <w:p w14:paraId="1E71482E"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vocabulaire est celui des médias, pas celui du code.</w:t>
      </w:r>
      <w:r>
        <w:rPr>
          <w:rFonts w:ascii="Calibri" w:eastAsia="Calibri" w:hAnsi="Calibri" w:cs="Calibri"/>
          <w:color w:val="1A1A1A"/>
        </w:rPr>
        <w:t xml:space="preserve"> On dit </w:t>
      </w:r>
      <w:r>
        <w:rPr>
          <w:rFonts w:ascii="Calibri" w:eastAsia="Calibri" w:hAnsi="Calibri" w:cs="Calibri"/>
          <w:b/>
          <w:bCs/>
          <w:color w:val="1A1A1A"/>
        </w:rPr>
        <w:t>obstination déraisonnable</w:t>
      </w:r>
      <w:r>
        <w:rPr>
          <w:rFonts w:ascii="Calibri" w:eastAsia="Calibri" w:hAnsi="Calibri" w:cs="Calibri"/>
          <w:color w:val="1A1A1A"/>
        </w:rPr>
        <w:t xml:space="preserve"> (</w:t>
      </w:r>
      <w:r>
        <w:rPr>
          <w:rFonts w:ascii="Calibri" w:eastAsia="Calibri" w:hAnsi="Calibri" w:cs="Calibri"/>
          <w:color w:val="1E88E5"/>
        </w:rPr>
        <w:t>art. L. 1110-5-1 CSP</w:t>
      </w:r>
      <w:r>
        <w:rPr>
          <w:rFonts w:ascii="Calibri" w:eastAsia="Calibri" w:hAnsi="Calibri" w:cs="Calibri"/>
          <w:color w:val="1A1A1A"/>
        </w:rPr>
        <w:t>), pas « acharnement déraisonnable » — et surtout pas « acharnement thérapeutique », qui n’est plus l’expression légale depuis 2005.</w:t>
      </w:r>
    </w:p>
    <w:p w14:paraId="7AEAD9FF"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Les lois sont mal datées</w:t>
      </w:r>
      <w:r>
        <w:rPr>
          <w:rFonts w:ascii="Calibri" w:eastAsia="Calibri" w:hAnsi="Calibri" w:cs="Calibri"/>
          <w:color w:val="1A1A1A"/>
        </w:rPr>
        <w:t xml:space="preserve"> : « les lois Leonetti et Claeys de 2016 » fusionne deux textes distincts — </w:t>
      </w:r>
      <w:r>
        <w:rPr>
          <w:rFonts w:ascii="Calibri" w:eastAsia="Calibri" w:hAnsi="Calibri" w:cs="Calibri"/>
          <w:color w:val="1E88E5"/>
        </w:rPr>
        <w:t>loi n° 2005-370 du 22 avril 2005</w:t>
      </w:r>
      <w:r>
        <w:rPr>
          <w:rFonts w:ascii="Calibri" w:eastAsia="Calibri" w:hAnsi="Calibri" w:cs="Calibri"/>
          <w:color w:val="1A1A1A"/>
        </w:rPr>
        <w:t xml:space="preserve"> (Leonetti) et </w:t>
      </w:r>
      <w:r>
        <w:rPr>
          <w:rFonts w:ascii="Calibri" w:eastAsia="Calibri" w:hAnsi="Calibri" w:cs="Calibri"/>
          <w:color w:val="1E88E5"/>
        </w:rPr>
        <w:t>loi n° 2016-87 du 2 février 2016</w:t>
      </w:r>
      <w:r>
        <w:rPr>
          <w:rFonts w:ascii="Calibri" w:eastAsia="Calibri" w:hAnsi="Calibri" w:cs="Calibri"/>
          <w:color w:val="1A1A1A"/>
        </w:rPr>
        <w:t xml:space="preserve"> (Claeys-Leonetti).</w:t>
      </w:r>
    </w:p>
    <w:p w14:paraId="1EBA068F"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plan est descriptif</w:t>
      </w:r>
      <w:r>
        <w:rPr>
          <w:rFonts w:ascii="Calibri" w:eastAsia="Calibri" w:hAnsi="Calibri" w:cs="Calibri"/>
          <w:color w:val="1A1A1A"/>
        </w:rPr>
        <w:t xml:space="preserve"> : le II ajoute au I au lieu de le déplacer.</w:t>
      </w:r>
    </w:p>
    <w:p w14:paraId="619A61DB" w14:textId="77777777" w:rsidR="00B13F99" w:rsidRDefault="00000000">
      <w:pPr>
        <w:spacing w:before="170" w:after="70"/>
      </w:pPr>
      <w:r>
        <w:rPr>
          <w:rFonts w:ascii="Calibri" w:eastAsia="Calibri" w:hAnsi="Calibri" w:cs="Calibri"/>
          <w:b/>
          <w:bCs/>
          <w:color w:val="1A1A1A"/>
        </w:rPr>
        <w:t>Le rattrapage</w:t>
      </w:r>
    </w:p>
    <w:p w14:paraId="7AA8FA74" w14:textId="77777777" w:rsidR="00B13F99" w:rsidRDefault="00000000">
      <w:pPr>
        <w:spacing w:after="90" w:line="264" w:lineRule="auto"/>
        <w:jc w:val="both"/>
      </w:pPr>
      <w:r>
        <w:rPr>
          <w:rFonts w:ascii="Calibri" w:eastAsia="Calibri" w:hAnsi="Calibri" w:cs="Calibri"/>
          <w:color w:val="1A1A1A"/>
        </w:rPr>
        <w:t xml:space="preserve">Garder le I presque tel quel en corrigeant le vocabulaire. Réécrire le II sur un axe juridique : « Une fin de vie désormais ouverte au choix, sous condition de garanties », avec en A le droit nouveau et ses cinq conditions, en B le contrôle — décision du 14 août 2026 et arrêt </w:t>
      </w:r>
      <w:r>
        <w:rPr>
          <w:rFonts w:ascii="Calibri" w:eastAsia="Calibri" w:hAnsi="Calibri" w:cs="Calibri"/>
          <w:color w:val="E91E63"/>
        </w:rPr>
        <w:t>Mortier</w:t>
      </w:r>
      <w:r>
        <w:rPr>
          <w:rFonts w:ascii="Calibri" w:eastAsia="Calibri" w:hAnsi="Calibri" w:cs="Calibri"/>
          <w:color w:val="1A1A1A"/>
        </w:rPr>
        <w:t>. La convention citoyenne et le rapport du Comité consultatif national d’éthique du 13 septembre 2022 se replacent alors en introduction, dans la contextualisation, où ils sont à leur place.</w:t>
      </w:r>
    </w:p>
    <w:p w14:paraId="3F9D238F" w14:textId="77777777" w:rsidR="00B13F99" w:rsidRDefault="00000000">
      <w:pPr>
        <w:spacing w:after="160"/>
      </w:pPr>
      <w:r>
        <w:rPr>
          <w:rFonts w:ascii="Calibri" w:eastAsia="Calibri" w:hAnsi="Calibri" w:cs="Calibri"/>
          <w:i/>
          <w:iCs/>
          <w:color w:val="5A5A5A"/>
          <w:sz w:val="18"/>
          <w:szCs w:val="18"/>
        </w:rPr>
        <w:t>Note indicative : 9,5 / 20</w:t>
      </w:r>
    </w:p>
    <w:p w14:paraId="0A6A02B0" w14:textId="77777777" w:rsidR="00B13F99" w:rsidRDefault="00000000">
      <w:pPr>
        <w:pStyle w:val="Titre2"/>
        <w:spacing w:before="260" w:after="110"/>
      </w:pPr>
      <w:r>
        <w:rPr>
          <w:rFonts w:ascii="Calibri" w:eastAsia="Calibri" w:hAnsi="Calibri" w:cs="Calibri"/>
          <w:b/>
          <w:bCs/>
          <w:color w:val="1A1A1A"/>
          <w:spacing w:val="16"/>
          <w:sz w:val="23"/>
          <w:szCs w:val="23"/>
        </w:rPr>
        <w:t>Plan n° 3 — Protection du droit à la vie puis cadre strict</w:t>
      </w:r>
    </w:p>
    <w:p w14:paraId="1FF5D655"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 La protection du droit à la vie — A. Un droit garanti comme principe fondamental. B. Les contraintes liées aux limitations de ce droit à la vie.</w:t>
      </w:r>
    </w:p>
    <w:p w14:paraId="352C3DCA"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II. Le cadre strict du droit à la fin de vie en réponse aux enjeux juridiques — A. L’encadrement de la fin de vie dans le respect de la dignité humaine. B. L’interdiction de l’obstination déraisonnable du droit à la vie.</w:t>
      </w:r>
    </w:p>
    <w:p w14:paraId="7D4B5016" w14:textId="77777777" w:rsidR="00B13F99" w:rsidRDefault="00000000">
      <w:pPr>
        <w:spacing w:before="170" w:after="70"/>
      </w:pPr>
      <w:r>
        <w:rPr>
          <w:rFonts w:ascii="Calibri" w:eastAsia="Calibri" w:hAnsi="Calibri" w:cs="Calibri"/>
          <w:b/>
          <w:bCs/>
          <w:color w:val="1A1A1A"/>
        </w:rPr>
        <w:t>Ce qui tient</w:t>
      </w:r>
    </w:p>
    <w:p w14:paraId="4D4C56CD"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Le II-A vise juste : l’encadrement de la fin de vie dans le respect de la dignité est bien le cœur du régime.</w:t>
      </w:r>
    </w:p>
    <w:p w14:paraId="04AAC53A"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La notion de « cadre strict » annonce que le candidat a compris que le droit de 2026 est conditionnel, non libéral.</w:t>
      </w:r>
    </w:p>
    <w:p w14:paraId="265CF1E0" w14:textId="77777777" w:rsidR="00B13F99" w:rsidRDefault="00000000">
      <w:pPr>
        <w:spacing w:before="170" w:after="70"/>
      </w:pPr>
      <w:r>
        <w:rPr>
          <w:rFonts w:ascii="Calibri" w:eastAsia="Calibri" w:hAnsi="Calibri" w:cs="Calibri"/>
          <w:b/>
          <w:bCs/>
          <w:color w:val="1A1A1A"/>
        </w:rPr>
        <w:t>Ce qui ne tient pas</w:t>
      </w:r>
    </w:p>
    <w:p w14:paraId="56B7F3DE"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 traite un autre sujet.</w:t>
      </w:r>
      <w:r>
        <w:rPr>
          <w:rFonts w:ascii="Calibri" w:eastAsia="Calibri" w:hAnsi="Calibri" w:cs="Calibri"/>
          <w:color w:val="1A1A1A"/>
        </w:rPr>
        <w:t xml:space="preserve"> « La protection du droit à la vie » est le sujet n° 2, pas le sujet n° 1. Consacrer la moitié de l’exposé à poser le cadre, c’est n’avoir que sept minutes pour traiter la question posée.</w:t>
      </w:r>
    </w:p>
    <w:p w14:paraId="6A136F27"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II-B ne veut rien dire</w:t>
      </w:r>
      <w:r>
        <w:rPr>
          <w:rFonts w:ascii="Calibri" w:eastAsia="Calibri" w:hAnsi="Calibri" w:cs="Calibri"/>
          <w:color w:val="1A1A1A"/>
        </w:rPr>
        <w:t xml:space="preserve"> : « L’interdiction de l’obstination déraisonnable du droit à la vie ». L’obstination déraisonnable n’est pas une obstination « du droit à la vie » — c’est la poursuite d’actes inutiles ou disproportionnés. Un intitulé bancal lu à voix haute devant un jury est immédiatement relevé.</w:t>
      </w:r>
    </w:p>
    <w:p w14:paraId="069C0D67"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L’ordre est inversé</w:t>
      </w:r>
      <w:r>
        <w:rPr>
          <w:rFonts w:ascii="Calibri" w:eastAsia="Calibri" w:hAnsi="Calibri" w:cs="Calibri"/>
          <w:color w:val="1A1A1A"/>
        </w:rPr>
        <w:t xml:space="preserve"> : la prohibition de l’obstination (II-B) est le point de départ historique du régime ; elle devrait ouvrir le développement, pas le fermer.</w:t>
      </w:r>
    </w:p>
    <w:p w14:paraId="2BBAE0EA"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Aucune référence n’est placée</w:t>
      </w:r>
      <w:r>
        <w:rPr>
          <w:rFonts w:ascii="Calibri" w:eastAsia="Calibri" w:hAnsi="Calibri" w:cs="Calibri"/>
          <w:color w:val="1A1A1A"/>
        </w:rPr>
        <w:t xml:space="preserve"> : ni texte, ni arrêt, ni date.</w:t>
      </w:r>
    </w:p>
    <w:p w14:paraId="3B534933" w14:textId="77777777" w:rsidR="00B13F99" w:rsidRDefault="00000000">
      <w:pPr>
        <w:spacing w:before="170" w:after="70"/>
      </w:pPr>
      <w:r>
        <w:rPr>
          <w:rFonts w:ascii="Calibri" w:eastAsia="Calibri" w:hAnsi="Calibri" w:cs="Calibri"/>
          <w:b/>
          <w:bCs/>
          <w:color w:val="1A1A1A"/>
        </w:rPr>
        <w:t>Le rattrapage</w:t>
      </w:r>
    </w:p>
    <w:p w14:paraId="052BFB5A" w14:textId="77777777" w:rsidR="00B13F99" w:rsidRDefault="00000000">
      <w:pPr>
        <w:spacing w:after="90" w:line="264" w:lineRule="auto"/>
        <w:jc w:val="both"/>
      </w:pPr>
      <w:r>
        <w:rPr>
          <w:rFonts w:ascii="Calibri" w:eastAsia="Calibri" w:hAnsi="Calibri" w:cs="Calibri"/>
          <w:color w:val="1A1A1A"/>
        </w:rPr>
        <w:t>Verser tout le I dans l’introduction — quatre phrases suffisent à poser le cadre — et bâtir les deux parties sur la matière du II : d’abord le régime du laisser-mourir (obstination, refus de traitement, sédation), ensuite le droit à l’aide à mourir et son contrôle. Relire chaque intitulé à voix haute avant de le retenir : celui du II-B ne passe pas l’épreuve de l’oreille.</w:t>
      </w:r>
    </w:p>
    <w:p w14:paraId="03566CAA" w14:textId="77777777" w:rsidR="00B13F99" w:rsidRDefault="00000000">
      <w:pPr>
        <w:spacing w:after="160"/>
      </w:pPr>
      <w:r>
        <w:rPr>
          <w:rFonts w:ascii="Calibri" w:eastAsia="Calibri" w:hAnsi="Calibri" w:cs="Calibri"/>
          <w:i/>
          <w:iCs/>
          <w:color w:val="5A5A5A"/>
          <w:sz w:val="18"/>
          <w:szCs w:val="18"/>
        </w:rPr>
        <w:t>Note indicative : 7,5 / 20</w:t>
      </w:r>
    </w:p>
    <w:p w14:paraId="25935561" w14:textId="77777777" w:rsidR="00B13F99" w:rsidRDefault="00000000">
      <w:pPr>
        <w:pStyle w:val="Titre2"/>
        <w:spacing w:before="260" w:after="110"/>
      </w:pPr>
      <w:r>
        <w:rPr>
          <w:rFonts w:ascii="Calibri" w:eastAsia="Calibri" w:hAnsi="Calibri" w:cs="Calibri"/>
          <w:b/>
          <w:bCs/>
          <w:color w:val="1A1A1A"/>
          <w:spacing w:val="16"/>
          <w:sz w:val="23"/>
          <w:szCs w:val="23"/>
        </w:rPr>
        <w:t>Plan n° 4 — Reconnaissance partielle puis totale de l’autodétermination</w:t>
      </w:r>
    </w:p>
    <w:p w14:paraId="203F36BE"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 Une reconnaissance partielle du droit à l’autodétermination par l’accès aux soins palliatifs — A. La consécration d’un droit aménageant les conditions de la fin de vie (loi de 1999, dignité humaine « article 6 DDHC 1789 », personne de confiance). B. Un régime limité par le droit à la vie (art. 2 ConvEDH).</w:t>
      </w:r>
    </w:p>
    <w:p w14:paraId="3423DBF5"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II. Une reconnaissance totale du droit à l’autodétermination par la consécration du droit à l’aide à mourir — A. Le nécessaire encadrement juridique (irréversibilité, volonté libre et éclairée, devoir d’information, délai de réflexion de deux jours, avis collégial, révocabilité). B. La prise en compte du droit au respect de la vie privée du corps médical (clause de conscience).</w:t>
      </w:r>
    </w:p>
    <w:p w14:paraId="5EBA240A" w14:textId="77777777" w:rsidR="00B13F99" w:rsidRDefault="00000000">
      <w:pPr>
        <w:spacing w:before="170" w:after="70"/>
      </w:pPr>
      <w:r>
        <w:rPr>
          <w:rFonts w:ascii="Calibri" w:eastAsia="Calibri" w:hAnsi="Calibri" w:cs="Calibri"/>
          <w:b/>
          <w:bCs/>
          <w:color w:val="1A1A1A"/>
        </w:rPr>
        <w:t>Ce qui tient</w:t>
      </w:r>
    </w:p>
    <w:p w14:paraId="26056BE6"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C’est la copie la mieux documentée sur la procédure de 2026</w:t>
      </w:r>
      <w:r>
        <w:rPr>
          <w:rFonts w:ascii="Calibri" w:eastAsia="Calibri" w:hAnsi="Calibri" w:cs="Calibri"/>
          <w:color w:val="1A1A1A"/>
        </w:rPr>
        <w:t xml:space="preserve"> : irréversibilité de l’acte, volonté libre et éclairée, devoir d’information, délai de deux jours, avis collégial, révocabilité à tout moment. Ces détails valent des points, parce que peu de candidats les connaissent.</w:t>
      </w:r>
    </w:p>
    <w:p w14:paraId="39092F58"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L’axe de l’autodétermination est un vrai fil conducteur, et il est tenu du début à la fin.</w:t>
      </w:r>
    </w:p>
    <w:p w14:paraId="306A262D"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Le I-B, qui pose le droit à la vie comme limite du régime, est une bonne idée : il évite le hors-sujet dénoncé ailleurs en subordonnant le cadre à l’objet.</w:t>
      </w:r>
    </w:p>
    <w:p w14:paraId="734752B4" w14:textId="77777777" w:rsidR="00B13F99" w:rsidRDefault="00000000">
      <w:pPr>
        <w:spacing w:before="170" w:after="70"/>
      </w:pPr>
      <w:r>
        <w:rPr>
          <w:rFonts w:ascii="Calibri" w:eastAsia="Calibri" w:hAnsi="Calibri" w:cs="Calibri"/>
          <w:b/>
          <w:bCs/>
          <w:color w:val="1A1A1A"/>
        </w:rPr>
        <w:t>Ce qui ne tient pas</w:t>
      </w:r>
    </w:p>
    <w:p w14:paraId="123CB2BD"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Erreur de référence sérieuse</w:t>
      </w:r>
      <w:r>
        <w:rPr>
          <w:rFonts w:ascii="Calibri" w:eastAsia="Calibri" w:hAnsi="Calibri" w:cs="Calibri"/>
          <w:color w:val="1A1A1A"/>
        </w:rPr>
        <w:t xml:space="preserve"> : la dignité humaine ne procède pas de l’</w:t>
      </w:r>
      <w:r>
        <w:rPr>
          <w:rFonts w:ascii="Calibri" w:eastAsia="Calibri" w:hAnsi="Calibri" w:cs="Calibri"/>
          <w:color w:val="1E88E5"/>
        </w:rPr>
        <w:t>article 6 de la Déclaration de 1789</w:t>
      </w:r>
      <w:r>
        <w:rPr>
          <w:rFonts w:ascii="Calibri" w:eastAsia="Calibri" w:hAnsi="Calibri" w:cs="Calibri"/>
          <w:color w:val="1A1A1A"/>
        </w:rPr>
        <w:t xml:space="preserve">, qui traite de la loi comme expression de la volonté générale et de l’égalité devant elle. Elle procède du </w:t>
      </w:r>
      <w:r>
        <w:rPr>
          <w:rFonts w:ascii="Calibri" w:eastAsia="Calibri" w:hAnsi="Calibri" w:cs="Calibri"/>
          <w:color w:val="1E88E5"/>
        </w:rPr>
        <w:t>premier alinéa du Préambule de 1946</w:t>
      </w:r>
      <w:r>
        <w:rPr>
          <w:rFonts w:ascii="Calibri" w:eastAsia="Calibri" w:hAnsi="Calibri" w:cs="Calibri"/>
          <w:color w:val="1A1A1A"/>
        </w:rPr>
        <w:t xml:space="preserve">, telle que dégagée par </w:t>
      </w:r>
      <w:r>
        <w:rPr>
          <w:rFonts w:ascii="Calibri" w:eastAsia="Calibri" w:hAnsi="Calibri" w:cs="Calibri"/>
          <w:color w:val="E91E63"/>
        </w:rPr>
        <w:t>Cons. const., 27 juillet 1994, n° 94-343/344 DC</w:t>
      </w:r>
      <w:r>
        <w:rPr>
          <w:rFonts w:ascii="Calibri" w:eastAsia="Calibri" w:hAnsi="Calibri" w:cs="Calibri"/>
          <w:color w:val="1A1A1A"/>
        </w:rPr>
        <w:t>. Cette erreur-là, un jury la relève toujours.</w:t>
      </w:r>
    </w:p>
    <w:p w14:paraId="3DA1ACFD"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 Reconnaissance totale » est inexact</w:t>
      </w:r>
      <w:r>
        <w:rPr>
          <w:rFonts w:ascii="Calibri" w:eastAsia="Calibri" w:hAnsi="Calibri" w:cs="Calibri"/>
          <w:color w:val="1A1A1A"/>
        </w:rPr>
        <w:t xml:space="preserve"> : le droit de 2026 est enfermé dans cinq conditions cumulatives et une procédure de plusieurs semaines. C’est une reconnaissance </w:t>
      </w:r>
      <w:r>
        <w:rPr>
          <w:rFonts w:ascii="Calibri" w:eastAsia="Calibri" w:hAnsi="Calibri" w:cs="Calibri"/>
          <w:b/>
          <w:bCs/>
          <w:color w:val="1A1A1A"/>
        </w:rPr>
        <w:t>conditionnelle</w:t>
      </w:r>
      <w:r>
        <w:rPr>
          <w:rFonts w:ascii="Calibri" w:eastAsia="Calibri" w:hAnsi="Calibri" w:cs="Calibri"/>
          <w:color w:val="1A1A1A"/>
        </w:rPr>
        <w:t>, et le candidat le démontre lui-même en II-A — le titre contredit le contenu.</w:t>
      </w:r>
    </w:p>
    <w:p w14:paraId="7E7645D1"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clause de conscience est mal qualifiée</w:t>
      </w:r>
      <w:r>
        <w:rPr>
          <w:rFonts w:ascii="Calibri" w:eastAsia="Calibri" w:hAnsi="Calibri" w:cs="Calibri"/>
          <w:color w:val="1A1A1A"/>
        </w:rPr>
        <w:t xml:space="preserve"> : elle relève de la </w:t>
      </w:r>
      <w:r>
        <w:rPr>
          <w:rFonts w:ascii="Calibri" w:eastAsia="Calibri" w:hAnsi="Calibri" w:cs="Calibri"/>
          <w:b/>
          <w:bCs/>
          <w:color w:val="1A1A1A"/>
        </w:rPr>
        <w:t>liberté de conscience</w:t>
      </w:r>
      <w:r>
        <w:rPr>
          <w:rFonts w:ascii="Calibri" w:eastAsia="Calibri" w:hAnsi="Calibri" w:cs="Calibri"/>
          <w:color w:val="1A1A1A"/>
        </w:rPr>
        <w:t xml:space="preserve"> (</w:t>
      </w:r>
      <w:r>
        <w:rPr>
          <w:rFonts w:ascii="Calibri" w:eastAsia="Calibri" w:hAnsi="Calibri" w:cs="Calibri"/>
          <w:color w:val="1E88E5"/>
        </w:rPr>
        <w:t>art. 10 DDHC</w:t>
      </w:r>
      <w:r>
        <w:rPr>
          <w:rFonts w:ascii="Calibri" w:eastAsia="Calibri" w:hAnsi="Calibri" w:cs="Calibri"/>
          <w:color w:val="1A1A1A"/>
        </w:rPr>
        <w:t xml:space="preserve">, </w:t>
      </w:r>
      <w:r>
        <w:rPr>
          <w:rFonts w:ascii="Calibri" w:eastAsia="Calibri" w:hAnsi="Calibri" w:cs="Calibri"/>
          <w:color w:val="1E88E5"/>
        </w:rPr>
        <w:t>art. 9 CEDH</w:t>
      </w:r>
      <w:r>
        <w:rPr>
          <w:rFonts w:ascii="Calibri" w:eastAsia="Calibri" w:hAnsi="Calibri" w:cs="Calibri"/>
          <w:color w:val="1A1A1A"/>
        </w:rPr>
        <w:t>), non du droit au respect de la vie privée (</w:t>
      </w:r>
      <w:r>
        <w:rPr>
          <w:rFonts w:ascii="Calibri" w:eastAsia="Calibri" w:hAnsi="Calibri" w:cs="Calibri"/>
          <w:color w:val="1E88E5"/>
        </w:rPr>
        <w:t>art. 8</w:t>
      </w:r>
      <w:r>
        <w:rPr>
          <w:rFonts w:ascii="Calibri" w:eastAsia="Calibri" w:hAnsi="Calibri" w:cs="Calibri"/>
          <w:color w:val="1A1A1A"/>
        </w:rPr>
        <w:t>). Ce n’est pas un détail : cela change la norme de référence et le régime de l’ingérence.</w:t>
      </w:r>
    </w:p>
    <w:p w14:paraId="1A614FF3"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 réduit la fin de vie aux soins palliatifs</w:t>
      </w:r>
      <w:r>
        <w:rPr>
          <w:rFonts w:ascii="Calibri" w:eastAsia="Calibri" w:hAnsi="Calibri" w:cs="Calibri"/>
          <w:color w:val="1A1A1A"/>
        </w:rPr>
        <w:t xml:space="preserve"> et laisse de côté le refus de traitement, l’obstination déraisonnable et la sédation — qui sont l’essentiel du droit antérieur.</w:t>
      </w:r>
    </w:p>
    <w:p w14:paraId="2244DBD8" w14:textId="77777777" w:rsidR="00B13F99" w:rsidRDefault="00000000">
      <w:pPr>
        <w:spacing w:before="170" w:after="70"/>
      </w:pPr>
      <w:r>
        <w:rPr>
          <w:rFonts w:ascii="Calibri" w:eastAsia="Calibri" w:hAnsi="Calibri" w:cs="Calibri"/>
          <w:b/>
          <w:bCs/>
          <w:color w:val="1A1A1A"/>
        </w:rPr>
        <w:t>Le rattrapage</w:t>
      </w:r>
    </w:p>
    <w:p w14:paraId="46B2BAA5" w14:textId="77777777" w:rsidR="00B13F99" w:rsidRDefault="00000000">
      <w:pPr>
        <w:spacing w:after="90" w:line="264" w:lineRule="auto"/>
        <w:jc w:val="both"/>
      </w:pPr>
      <w:r>
        <w:rPr>
          <w:rFonts w:ascii="Calibri" w:eastAsia="Calibri" w:hAnsi="Calibri" w:cs="Calibri"/>
          <w:color w:val="1A1A1A"/>
        </w:rPr>
        <w:t>Trois corrections chirurgicales suffisent : rebaptiser le II « Une reconnaissance conditionnelle », requalifier la clause de conscience, et rectifier le fondement de la dignité. Élargir ensuite le I au-delà des seuls soins palliatifs. La matière est là — c’est la nomenclature qui pèche.</w:t>
      </w:r>
    </w:p>
    <w:p w14:paraId="51AF293A" w14:textId="77777777" w:rsidR="00B13F99" w:rsidRDefault="00000000">
      <w:pPr>
        <w:spacing w:after="160"/>
      </w:pPr>
      <w:r>
        <w:rPr>
          <w:rFonts w:ascii="Calibri" w:eastAsia="Calibri" w:hAnsi="Calibri" w:cs="Calibri"/>
          <w:i/>
          <w:iCs/>
          <w:color w:val="5A5A5A"/>
          <w:sz w:val="18"/>
          <w:szCs w:val="18"/>
        </w:rPr>
        <w:t>Note indicative : 11,5 / 20</w:t>
      </w:r>
    </w:p>
    <w:p w14:paraId="47CD7561" w14:textId="77777777" w:rsidR="00B13F99" w:rsidRDefault="00000000">
      <w:pPr>
        <w:pStyle w:val="Titre2"/>
        <w:spacing w:before="260" w:after="110"/>
      </w:pPr>
      <w:r>
        <w:rPr>
          <w:rFonts w:ascii="Calibri" w:eastAsia="Calibri" w:hAnsi="Calibri" w:cs="Calibri"/>
          <w:b/>
          <w:bCs/>
          <w:color w:val="1A1A1A"/>
          <w:spacing w:val="16"/>
          <w:sz w:val="23"/>
          <w:szCs w:val="23"/>
        </w:rPr>
        <w:t>Plan n° 5 — L’absence de droit à la mort puis la protection de la mort</w:t>
      </w:r>
    </w:p>
    <w:p w14:paraId="301CE5E0"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 L’absence de reconnaissance d’un droit à la mort — A. La protection du droit à la vie. B. L’impossible déduction d’un droit à la mort.</w:t>
      </w:r>
    </w:p>
    <w:p w14:paraId="5FABA1D5"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II. La protection de la mort — A. Le droit d’avoir une fin de vie digne. B. La consécration d’un accompagnement des malades en fin de vie.</w:t>
      </w:r>
    </w:p>
    <w:p w14:paraId="566C51F4" w14:textId="77777777" w:rsidR="00B13F99" w:rsidRDefault="00000000">
      <w:pPr>
        <w:spacing w:before="170" w:after="70"/>
      </w:pPr>
      <w:r>
        <w:rPr>
          <w:rFonts w:ascii="Calibri" w:eastAsia="Calibri" w:hAnsi="Calibri" w:cs="Calibri"/>
          <w:b/>
          <w:bCs/>
          <w:color w:val="1A1A1A"/>
        </w:rPr>
        <w:t>Ce qui tient</w:t>
      </w:r>
    </w:p>
    <w:p w14:paraId="1490D4DC"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lastRenderedPageBreak/>
        <w:t xml:space="preserve">Le I-B est juste et bien nommé : l’impossible déduction d’un droit à mourir à partir du droit à la vie est exactement la solution de </w:t>
      </w:r>
      <w:r>
        <w:rPr>
          <w:rFonts w:ascii="Calibri" w:eastAsia="Calibri" w:hAnsi="Calibri" w:cs="Calibri"/>
          <w:color w:val="E91E63"/>
        </w:rPr>
        <w:t>Pretty c. Royaume-Uni, 2002</w:t>
      </w:r>
      <w:r>
        <w:rPr>
          <w:rFonts w:ascii="Calibri" w:eastAsia="Calibri" w:hAnsi="Calibri" w:cs="Calibri"/>
          <w:color w:val="1A1A1A"/>
        </w:rPr>
        <w:t xml:space="preserve">, reprise par </w:t>
      </w:r>
      <w:r>
        <w:rPr>
          <w:rFonts w:ascii="Calibri" w:eastAsia="Calibri" w:hAnsi="Calibri" w:cs="Calibri"/>
          <w:color w:val="E91E63"/>
        </w:rPr>
        <w:t>Karsai c. Hongrie, 2024</w:t>
      </w:r>
      <w:r>
        <w:rPr>
          <w:rFonts w:ascii="Calibri" w:eastAsia="Calibri" w:hAnsi="Calibri" w:cs="Calibri"/>
          <w:color w:val="1A1A1A"/>
        </w:rPr>
        <w:t>.</w:t>
      </w:r>
    </w:p>
    <w:p w14:paraId="1342BFE3"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Le II-A s’appuie, sans le dire, sur l’</w:t>
      </w:r>
      <w:r>
        <w:rPr>
          <w:rFonts w:ascii="Calibri" w:eastAsia="Calibri" w:hAnsi="Calibri" w:cs="Calibri"/>
          <w:color w:val="1E88E5"/>
        </w:rPr>
        <w:t>article L. 1110-5 du code de la santé publique</w:t>
      </w:r>
      <w:r>
        <w:rPr>
          <w:rFonts w:ascii="Calibri" w:eastAsia="Calibri" w:hAnsi="Calibri" w:cs="Calibri"/>
          <w:color w:val="1A1A1A"/>
        </w:rPr>
        <w:t xml:space="preserve"> — le « droit d’avoir une fin de vie digne » en est la formule littérale.</w:t>
      </w:r>
    </w:p>
    <w:p w14:paraId="02C81147" w14:textId="77777777" w:rsidR="00B13F99" w:rsidRDefault="00000000">
      <w:pPr>
        <w:spacing w:before="170" w:after="70"/>
      </w:pPr>
      <w:r>
        <w:rPr>
          <w:rFonts w:ascii="Calibri" w:eastAsia="Calibri" w:hAnsi="Calibri" w:cs="Calibri"/>
          <w:b/>
          <w:bCs/>
          <w:color w:val="1A1A1A"/>
        </w:rPr>
        <w:t>Ce qui ne tient pas</w:t>
      </w:r>
    </w:p>
    <w:p w14:paraId="504B91E8"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 La protection de la mort » est un contresens.</w:t>
      </w:r>
      <w:r>
        <w:rPr>
          <w:rFonts w:ascii="Calibri" w:eastAsia="Calibri" w:hAnsi="Calibri" w:cs="Calibri"/>
          <w:color w:val="1A1A1A"/>
        </w:rPr>
        <w:t xml:space="preserve"> Le droit ne protège pas la mort ; il protège la personne pendant le processus qui y conduit. Lu à voix haute devant un jury, l’intitulé suffit à faire douter de la maîtrise de la notion.</w:t>
      </w:r>
    </w:p>
    <w:p w14:paraId="7E294533"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 est factuellement fragile depuis le 18 août 2026.</w:t>
      </w:r>
      <w:r>
        <w:rPr>
          <w:rFonts w:ascii="Calibri" w:eastAsia="Calibri" w:hAnsi="Calibri" w:cs="Calibri"/>
          <w:color w:val="1A1A1A"/>
        </w:rPr>
        <w:t xml:space="preserve"> Affirmer en 2026 l’« absence de reconnaissance d’un droit à la mort » sans immédiatement préciser qu’on parle du droit </w:t>
      </w:r>
      <w:r>
        <w:rPr>
          <w:rFonts w:ascii="Calibri" w:eastAsia="Calibri" w:hAnsi="Calibri" w:cs="Calibri"/>
          <w:b/>
          <w:bCs/>
          <w:color w:val="1A1A1A"/>
        </w:rPr>
        <w:t>constitutionnel et conventionnel</w:t>
      </w:r>
      <w:r>
        <w:rPr>
          <w:rFonts w:ascii="Calibri" w:eastAsia="Calibri" w:hAnsi="Calibri" w:cs="Calibri"/>
          <w:color w:val="1A1A1A"/>
        </w:rPr>
        <w:t>, et non du droit légal, expose à une relance dévastatrice dès la première question.</w:t>
      </w:r>
    </w:p>
    <w:p w14:paraId="1050B728"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plan est un diptyque non / oui</w:t>
      </w:r>
      <w:r>
        <w:rPr>
          <w:rFonts w:ascii="Calibri" w:eastAsia="Calibri" w:hAnsi="Calibri" w:cs="Calibri"/>
          <w:color w:val="1A1A1A"/>
        </w:rPr>
        <w:t xml:space="preserve"> sans articulation : on nie, puis on affirme, sans dire ce qui a changé entre les deux.</w:t>
      </w:r>
    </w:p>
    <w:p w14:paraId="038F3627" w14:textId="77777777" w:rsidR="00B13F99" w:rsidRDefault="00000000">
      <w:pPr>
        <w:spacing w:before="170" w:after="70"/>
      </w:pPr>
      <w:r>
        <w:rPr>
          <w:rFonts w:ascii="Calibri" w:eastAsia="Calibri" w:hAnsi="Calibri" w:cs="Calibri"/>
          <w:b/>
          <w:bCs/>
          <w:color w:val="1A1A1A"/>
        </w:rPr>
        <w:t>Le rattrapage</w:t>
      </w:r>
    </w:p>
    <w:p w14:paraId="281D279F" w14:textId="77777777" w:rsidR="00B13F99" w:rsidRDefault="00000000">
      <w:pPr>
        <w:spacing w:after="90" w:line="264" w:lineRule="auto"/>
        <w:jc w:val="both"/>
      </w:pPr>
      <w:r>
        <w:rPr>
          <w:rFonts w:ascii="Calibri" w:eastAsia="Calibri" w:hAnsi="Calibri" w:cs="Calibri"/>
          <w:color w:val="1A1A1A"/>
        </w:rPr>
        <w:t xml:space="preserve">Conserver l’idée — l’écart entre ce qui est </w:t>
      </w:r>
      <w:r>
        <w:rPr>
          <w:rFonts w:ascii="Calibri" w:eastAsia="Calibri" w:hAnsi="Calibri" w:cs="Calibri"/>
          <w:i/>
          <w:iCs/>
          <w:color w:val="1A1A1A"/>
        </w:rPr>
        <w:t>garanti</w:t>
      </w:r>
      <w:r>
        <w:rPr>
          <w:rFonts w:ascii="Calibri" w:eastAsia="Calibri" w:hAnsi="Calibri" w:cs="Calibri"/>
          <w:color w:val="1A1A1A"/>
        </w:rPr>
        <w:t xml:space="preserve"> et ce qui est </w:t>
      </w:r>
      <w:r>
        <w:rPr>
          <w:rFonts w:ascii="Calibri" w:eastAsia="Calibri" w:hAnsi="Calibri" w:cs="Calibri"/>
          <w:i/>
          <w:iCs/>
          <w:color w:val="1A1A1A"/>
        </w:rPr>
        <w:t>permis</w:t>
      </w:r>
      <w:r>
        <w:rPr>
          <w:rFonts w:ascii="Calibri" w:eastAsia="Calibri" w:hAnsi="Calibri" w:cs="Calibri"/>
          <w:color w:val="1A1A1A"/>
        </w:rPr>
        <w:t xml:space="preserve"> est excellent, et c’est même l’angle le plus fin qu’on puisse prendre — mais la nommer. Par exemple : « I. Une fin de vie sans droit garanti » / « II. Une fin de vie sous droit permis ». Et remplacer « la protection de la mort » par « l’accompagnement du mourant ».</w:t>
      </w:r>
    </w:p>
    <w:p w14:paraId="0185D41C" w14:textId="77777777" w:rsidR="00B13F99" w:rsidRDefault="00000000">
      <w:pPr>
        <w:spacing w:after="160"/>
      </w:pPr>
      <w:r>
        <w:rPr>
          <w:rFonts w:ascii="Calibri" w:eastAsia="Calibri" w:hAnsi="Calibri" w:cs="Calibri"/>
          <w:i/>
          <w:iCs/>
          <w:color w:val="5A5A5A"/>
          <w:sz w:val="18"/>
          <w:szCs w:val="18"/>
        </w:rPr>
        <w:t>Note indicative : 7 / 20</w:t>
      </w:r>
    </w:p>
    <w:p w14:paraId="0626E561" w14:textId="77777777" w:rsidR="00B13F99" w:rsidRDefault="00000000">
      <w:pPr>
        <w:pStyle w:val="Titre2"/>
        <w:spacing w:before="260" w:after="110"/>
      </w:pPr>
      <w:r>
        <w:rPr>
          <w:rFonts w:ascii="Calibri" w:eastAsia="Calibri" w:hAnsi="Calibri" w:cs="Calibri"/>
          <w:b/>
          <w:bCs/>
          <w:color w:val="1A1A1A"/>
          <w:spacing w:val="16"/>
          <w:sz w:val="23"/>
          <w:szCs w:val="23"/>
        </w:rPr>
        <w:t>Plan n° 6 — Aide passive puis aide active à mourir</w:t>
      </w:r>
    </w:p>
    <w:p w14:paraId="1D3A7E5A"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 La fin de vie assistée : l’aide passive à mourir — A. L’admission en droit interne et européen de l’aide passive à mourir. B. La dignité humaine confrontée au droit à la vie (loi Leonetti, affaire Lambert).</w:t>
      </w:r>
    </w:p>
    <w:p w14:paraId="680E05F1"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II. La fin de vie provoquée : l’aide active à mourir — A. L’avènement de l’euthanasie en droit interne (loi de 2026). B. La volonté du patient au cœur du processus décisionnel (confrontation entre dignité, droit à la vie et consentement).</w:t>
      </w:r>
    </w:p>
    <w:p w14:paraId="7D06DC6E" w14:textId="77777777" w:rsidR="00B13F99" w:rsidRDefault="00000000">
      <w:pPr>
        <w:spacing w:before="170" w:after="70"/>
      </w:pPr>
      <w:r>
        <w:rPr>
          <w:rFonts w:ascii="Calibri" w:eastAsia="Calibri" w:hAnsi="Calibri" w:cs="Calibri"/>
          <w:b/>
          <w:bCs/>
          <w:color w:val="1A1A1A"/>
        </w:rPr>
        <w:t>Ce qui tient</w:t>
      </w:r>
    </w:p>
    <w:p w14:paraId="0B436372"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C’est l’architecture la plus nette du séminaire.</w:t>
      </w:r>
      <w:r>
        <w:rPr>
          <w:rFonts w:ascii="Calibri" w:eastAsia="Calibri" w:hAnsi="Calibri" w:cs="Calibri"/>
          <w:color w:val="1A1A1A"/>
        </w:rPr>
        <w:t xml:space="preserve"> Passive / active, assistée / provoquée : la ligne de partage est claire, annoncée dès les intitulés, et elle recouvre exactement la frontière que le droit français a franchie en 2026.</w:t>
      </w:r>
    </w:p>
    <w:p w14:paraId="334ACD14"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Le I-B nomme le conflit de normes — dignité contre droit à la vie — au lieu de se contenter d’empiler les textes.</w:t>
      </w:r>
    </w:p>
    <w:p w14:paraId="57AA48BD"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Le II-B place le consentement au centre, ce qui est juste : c’est bien la volonté libre et éclairée qui est la clef de voûte du dispositif de 2026.</w:t>
      </w:r>
    </w:p>
    <w:p w14:paraId="3AB557A6" w14:textId="77777777" w:rsidR="00B13F99" w:rsidRDefault="00000000">
      <w:pPr>
        <w:spacing w:before="170" w:after="70"/>
      </w:pPr>
      <w:r>
        <w:rPr>
          <w:rFonts w:ascii="Calibri" w:eastAsia="Calibri" w:hAnsi="Calibri" w:cs="Calibri"/>
          <w:b/>
          <w:bCs/>
          <w:color w:val="1A1A1A"/>
        </w:rPr>
        <w:t>Ce qui ne tient pas</w:t>
      </w:r>
    </w:p>
    <w:p w14:paraId="59F03EBD"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 Aide passive à mourir » n’est pas une catégorie juridique française.</w:t>
      </w:r>
      <w:r>
        <w:rPr>
          <w:rFonts w:ascii="Calibri" w:eastAsia="Calibri" w:hAnsi="Calibri" w:cs="Calibri"/>
          <w:color w:val="1A1A1A"/>
        </w:rPr>
        <w:t xml:space="preserve"> Le code parle de refus de traitement (</w:t>
      </w:r>
      <w:r>
        <w:rPr>
          <w:rFonts w:ascii="Calibri" w:eastAsia="Calibri" w:hAnsi="Calibri" w:cs="Calibri"/>
          <w:color w:val="1E88E5"/>
        </w:rPr>
        <w:t>art. L. 1111-4</w:t>
      </w:r>
      <w:r>
        <w:rPr>
          <w:rFonts w:ascii="Calibri" w:eastAsia="Calibri" w:hAnsi="Calibri" w:cs="Calibri"/>
          <w:color w:val="1A1A1A"/>
        </w:rPr>
        <w:t>), de prohibition de l’obstination déraisonnable (</w:t>
      </w:r>
      <w:r>
        <w:rPr>
          <w:rFonts w:ascii="Calibri" w:eastAsia="Calibri" w:hAnsi="Calibri" w:cs="Calibri"/>
          <w:color w:val="1E88E5"/>
        </w:rPr>
        <w:t>art. L. 1110-5-1</w:t>
      </w:r>
      <w:r>
        <w:rPr>
          <w:rFonts w:ascii="Calibri" w:eastAsia="Calibri" w:hAnsi="Calibri" w:cs="Calibri"/>
          <w:color w:val="1A1A1A"/>
        </w:rPr>
        <w:t>) et de sédation profonde et continue (</w:t>
      </w:r>
      <w:r>
        <w:rPr>
          <w:rFonts w:ascii="Calibri" w:eastAsia="Calibri" w:hAnsi="Calibri" w:cs="Calibri"/>
          <w:color w:val="1E88E5"/>
        </w:rPr>
        <w:t>art. L. 1110-5-2</w:t>
      </w:r>
      <w:r>
        <w:rPr>
          <w:rFonts w:ascii="Calibri" w:eastAsia="Calibri" w:hAnsi="Calibri" w:cs="Calibri"/>
          <w:color w:val="1A1A1A"/>
        </w:rPr>
        <w:t>). L’opposition actif / passif est d’origine bioéthique ; un jury l’acceptera si vous l’assumez comme telle, mais vous devez alors la définir vous-même, faute de quoi elle passe pour une approximation.</w:t>
      </w:r>
    </w:p>
    <w:p w14:paraId="70A3C4C7"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 L’avènement de l’euthanasie en droit interne » est une qualification fausse.</w:t>
      </w:r>
      <w:r>
        <w:rPr>
          <w:rFonts w:ascii="Calibri" w:eastAsia="Calibri" w:hAnsi="Calibri" w:cs="Calibri"/>
          <w:color w:val="1A1A1A"/>
        </w:rPr>
        <w:t xml:space="preserve"> La loi du 18 août 2026 pose en principe l’</w:t>
      </w:r>
      <w:r>
        <w:rPr>
          <w:rFonts w:ascii="Calibri" w:eastAsia="Calibri" w:hAnsi="Calibri" w:cs="Calibri"/>
          <w:b/>
          <w:bCs/>
          <w:color w:val="1A1A1A"/>
        </w:rPr>
        <w:t>auto-administration</w:t>
      </w:r>
      <w:r>
        <w:rPr>
          <w:rFonts w:ascii="Calibri" w:eastAsia="Calibri" w:hAnsi="Calibri" w:cs="Calibri"/>
          <w:color w:val="1A1A1A"/>
        </w:rPr>
        <w:t xml:space="preserve"> de la substance par la personne ; l’administration par un professionnel n’est que subsidiaire. Le texte consacre donc d’abord un suicide médicalement assisté. C’est la faute qu’un jury exploitera immédiatement.</w:t>
      </w:r>
    </w:p>
    <w:p w14:paraId="55C10A9E"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loi n’est pas référencée</w:t>
      </w:r>
      <w:r>
        <w:rPr>
          <w:rFonts w:ascii="Calibri" w:eastAsia="Calibri" w:hAnsi="Calibri" w:cs="Calibri"/>
          <w:color w:val="1A1A1A"/>
        </w:rPr>
        <w:t xml:space="preserve"> : « la loi de 2026 » ne suffit pas quand on dispose du numéro et de la date.</w:t>
      </w:r>
    </w:p>
    <w:p w14:paraId="69C120B2" w14:textId="77777777" w:rsidR="00B13F99" w:rsidRDefault="00000000">
      <w:pPr>
        <w:spacing w:before="170" w:after="70"/>
      </w:pPr>
      <w:r>
        <w:rPr>
          <w:rFonts w:ascii="Calibri" w:eastAsia="Calibri" w:hAnsi="Calibri" w:cs="Calibri"/>
          <w:b/>
          <w:bCs/>
          <w:color w:val="1A1A1A"/>
        </w:rPr>
        <w:t>Le rattrapage</w:t>
      </w:r>
    </w:p>
    <w:p w14:paraId="31102994" w14:textId="77777777" w:rsidR="00B13F99" w:rsidRDefault="00000000">
      <w:pPr>
        <w:spacing w:after="90" w:line="264" w:lineRule="auto"/>
        <w:jc w:val="both"/>
      </w:pPr>
      <w:r>
        <w:rPr>
          <w:rFonts w:ascii="Calibri" w:eastAsia="Calibri" w:hAnsi="Calibri" w:cs="Calibri"/>
          <w:color w:val="1A1A1A"/>
        </w:rPr>
        <w:t>Garder l’architecture, corriger la qualification. Le II-A devient : « La consécration d’un droit à l’aide à mourir, principalement auto-administrée ». La nuance ne coûte rien et elle rapporte beaucoup, parce qu’elle montre que le texte a été lu.</w:t>
      </w:r>
    </w:p>
    <w:p w14:paraId="5417CF3B" w14:textId="77777777" w:rsidR="00B13F99" w:rsidRDefault="00000000">
      <w:pPr>
        <w:spacing w:after="160"/>
      </w:pPr>
      <w:r>
        <w:rPr>
          <w:rFonts w:ascii="Calibri" w:eastAsia="Calibri" w:hAnsi="Calibri" w:cs="Calibri"/>
          <w:i/>
          <w:iCs/>
          <w:color w:val="5A5A5A"/>
          <w:sz w:val="18"/>
          <w:szCs w:val="18"/>
        </w:rPr>
        <w:t>Note indicative : 12,5 / 20</w:t>
      </w:r>
    </w:p>
    <w:p w14:paraId="3075FAAD" w14:textId="77777777" w:rsidR="00B13F99" w:rsidRDefault="00000000">
      <w:pPr>
        <w:pStyle w:val="Titre2"/>
        <w:spacing w:before="260" w:after="110"/>
      </w:pPr>
      <w:r>
        <w:rPr>
          <w:rFonts w:ascii="Calibri" w:eastAsia="Calibri" w:hAnsi="Calibri" w:cs="Calibri"/>
          <w:b/>
          <w:bCs/>
          <w:color w:val="1A1A1A"/>
          <w:spacing w:val="16"/>
          <w:sz w:val="23"/>
          <w:szCs w:val="23"/>
        </w:rPr>
        <w:t>Plan n° 7 — Le droit à la vie comme principe puis l’accueil de la fin de vie</w:t>
      </w:r>
    </w:p>
    <w:p w14:paraId="391E9C6F"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Problématique : « Comment le droit concilie-t-il la protection de la vie humaine avec la reconnaissance croissante de l’autonomie de la personne face à sa propre mort ? »</w:t>
      </w:r>
    </w:p>
    <w:p w14:paraId="66642324"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lastRenderedPageBreak/>
        <w:t>I. Le droit à la vie comme principe — A. Le droit à la vie, droit indérogeable. B. Un droit en contradiction avec d’autres droits et libertés.</w:t>
      </w:r>
    </w:p>
    <w:p w14:paraId="2AA50D99"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II. L’accueil de la fin de vie en droit, limite du droit à la vie — A. La nécessité d’un encadrement stricte. B. L’évolution de la fin de vie en droit français.</w:t>
      </w:r>
    </w:p>
    <w:p w14:paraId="1907612E" w14:textId="77777777" w:rsidR="00B13F99" w:rsidRDefault="00000000">
      <w:pPr>
        <w:spacing w:before="170" w:after="70"/>
      </w:pPr>
      <w:r>
        <w:rPr>
          <w:rFonts w:ascii="Calibri" w:eastAsia="Calibri" w:hAnsi="Calibri" w:cs="Calibri"/>
          <w:b/>
          <w:bCs/>
          <w:color w:val="1A1A1A"/>
        </w:rPr>
        <w:t>Ce qui tient</w:t>
      </w:r>
    </w:p>
    <w:p w14:paraId="4B27D6D6"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problématique est l’une des trois meilleures du séminaire</w:t>
      </w:r>
      <w:r>
        <w:rPr>
          <w:rFonts w:ascii="Calibri" w:eastAsia="Calibri" w:hAnsi="Calibri" w:cs="Calibri"/>
          <w:color w:val="1A1A1A"/>
        </w:rPr>
        <w:t xml:space="preserve"> : elle est ouverte, elle nomme les deux exigences, et le verbe « concilier » annonce une technique juridique plutôt qu’un jugement.</w:t>
      </w:r>
    </w:p>
    <w:p w14:paraId="5269A143"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Le I-A est exact : l’indérogeabilité résulte de l’</w:t>
      </w:r>
      <w:r>
        <w:rPr>
          <w:rFonts w:ascii="Calibri" w:eastAsia="Calibri" w:hAnsi="Calibri" w:cs="Calibri"/>
          <w:color w:val="1E88E5"/>
        </w:rPr>
        <w:t>article 15 § 2 de la Convention</w:t>
      </w:r>
      <w:r>
        <w:rPr>
          <w:rFonts w:ascii="Calibri" w:eastAsia="Calibri" w:hAnsi="Calibri" w:cs="Calibri"/>
          <w:color w:val="1A1A1A"/>
        </w:rPr>
        <w:t xml:space="preserve"> et de l’</w:t>
      </w:r>
      <w:r>
        <w:rPr>
          <w:rFonts w:ascii="Calibri" w:eastAsia="Calibri" w:hAnsi="Calibri" w:cs="Calibri"/>
          <w:color w:val="1E88E5"/>
        </w:rPr>
        <w:t>article 4 § 2 du Pacte</w:t>
      </w:r>
      <w:r>
        <w:rPr>
          <w:rFonts w:ascii="Calibri" w:eastAsia="Calibri" w:hAnsi="Calibri" w:cs="Calibri"/>
          <w:color w:val="1A1A1A"/>
        </w:rPr>
        <w:t>.</w:t>
      </w:r>
    </w:p>
    <w:p w14:paraId="395C7928"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Le I-B — un droit en contradiction avec d’autres droits — est un bon réflexe : c’est le conflit de droits de même rang.</w:t>
      </w:r>
    </w:p>
    <w:p w14:paraId="2BA0CA00" w14:textId="77777777" w:rsidR="00B13F99" w:rsidRDefault="00000000">
      <w:pPr>
        <w:spacing w:before="170" w:after="70"/>
      </w:pPr>
      <w:r>
        <w:rPr>
          <w:rFonts w:ascii="Calibri" w:eastAsia="Calibri" w:hAnsi="Calibri" w:cs="Calibri"/>
          <w:b/>
          <w:bCs/>
          <w:color w:val="1A1A1A"/>
        </w:rPr>
        <w:t>Ce qui ne tient pas</w:t>
      </w:r>
    </w:p>
    <w:p w14:paraId="52722D01"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plan ne répond pas à la problématique posée.</w:t>
      </w:r>
      <w:r>
        <w:rPr>
          <w:rFonts w:ascii="Calibri" w:eastAsia="Calibri" w:hAnsi="Calibri" w:cs="Calibri"/>
          <w:color w:val="1A1A1A"/>
        </w:rPr>
        <w:t xml:space="preserve"> On demande </w:t>
      </w:r>
      <w:r>
        <w:rPr>
          <w:rFonts w:ascii="Calibri" w:eastAsia="Calibri" w:hAnsi="Calibri" w:cs="Calibri"/>
          <w:i/>
          <w:iCs/>
          <w:color w:val="1A1A1A"/>
        </w:rPr>
        <w:t>comment</w:t>
      </w:r>
      <w:r>
        <w:rPr>
          <w:rFonts w:ascii="Calibri" w:eastAsia="Calibri" w:hAnsi="Calibri" w:cs="Calibri"/>
          <w:color w:val="1A1A1A"/>
        </w:rPr>
        <w:t xml:space="preserve"> le droit concilie ; le plan répond </w:t>
      </w:r>
      <w:r>
        <w:rPr>
          <w:rFonts w:ascii="Calibri" w:eastAsia="Calibri" w:hAnsi="Calibri" w:cs="Calibri"/>
          <w:i/>
          <w:iCs/>
          <w:color w:val="1A1A1A"/>
        </w:rPr>
        <w:t>ce que</w:t>
      </w:r>
      <w:r>
        <w:rPr>
          <w:rFonts w:ascii="Calibri" w:eastAsia="Calibri" w:hAnsi="Calibri" w:cs="Calibri"/>
          <w:color w:val="1A1A1A"/>
        </w:rPr>
        <w:t xml:space="preserve"> le droit prévoit. Le décalage entre une bonne problématique et un plan descriptif est l’un des reproches les plus fréquents du jury.</w:t>
      </w:r>
    </w:p>
    <w:p w14:paraId="01355263"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 traite le sujet n° 2.</w:t>
      </w:r>
      <w:r>
        <w:rPr>
          <w:rFonts w:ascii="Calibri" w:eastAsia="Calibri" w:hAnsi="Calibri" w:cs="Calibri"/>
          <w:color w:val="1A1A1A"/>
        </w:rPr>
        <w:t xml:space="preserve"> Sept minutes sur le droit à la vie, dans un sujet intitulé « La fin de vie », c’est un déséquilibre que rien ne rattrape.</w:t>
      </w:r>
    </w:p>
    <w:p w14:paraId="75A65D54"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II-B est un appendice chronologique</w:t>
      </w:r>
      <w:r>
        <w:rPr>
          <w:rFonts w:ascii="Calibri" w:eastAsia="Calibri" w:hAnsi="Calibri" w:cs="Calibri"/>
          <w:color w:val="1A1A1A"/>
        </w:rPr>
        <w:t xml:space="preserve"> : « L’évolution de la fin de vie en droit français » ne démontre rien, elle raconte.</w:t>
      </w:r>
    </w:p>
    <w:p w14:paraId="0A5756A8"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Faute d’accord</w:t>
      </w:r>
      <w:r>
        <w:rPr>
          <w:rFonts w:ascii="Calibri" w:eastAsia="Calibri" w:hAnsi="Calibri" w:cs="Calibri"/>
          <w:color w:val="1A1A1A"/>
        </w:rPr>
        <w:t xml:space="preserve"> : « un encadrement stricte ». À l’oral elle ne s’entend pas, mais le brouillon est parfois lu par le jury.</w:t>
      </w:r>
    </w:p>
    <w:p w14:paraId="53A422B4" w14:textId="77777777" w:rsidR="00B13F99" w:rsidRDefault="00000000">
      <w:pPr>
        <w:spacing w:before="170" w:after="70"/>
      </w:pPr>
      <w:r>
        <w:rPr>
          <w:rFonts w:ascii="Calibri" w:eastAsia="Calibri" w:hAnsi="Calibri" w:cs="Calibri"/>
          <w:b/>
          <w:bCs/>
          <w:color w:val="1A1A1A"/>
        </w:rPr>
        <w:t>Le rattrapage</w:t>
      </w:r>
    </w:p>
    <w:p w14:paraId="5AD42BA8" w14:textId="77777777" w:rsidR="00B13F99" w:rsidRDefault="00000000">
      <w:pPr>
        <w:spacing w:after="90" w:line="264" w:lineRule="auto"/>
        <w:jc w:val="both"/>
      </w:pPr>
      <w:r>
        <w:rPr>
          <w:rFonts w:ascii="Calibri" w:eastAsia="Calibri" w:hAnsi="Calibri" w:cs="Calibri"/>
          <w:color w:val="1A1A1A"/>
        </w:rPr>
        <w:t>Garder la problématique mot pour mot et rebâtir le plan pour qu’elle soit tenue : en I la technique de conciliation d’hier — la volonté freine, le médecin décide, le juge contrôle ; en II la technique de conciliation d’aujourd’hui — la volonté fonde, la loi conditionne, le contrôle se déplace vers les garanties.</w:t>
      </w:r>
    </w:p>
    <w:p w14:paraId="189BA4D3" w14:textId="77777777" w:rsidR="00B13F99" w:rsidRDefault="00000000">
      <w:pPr>
        <w:spacing w:after="160"/>
      </w:pPr>
      <w:r>
        <w:rPr>
          <w:rFonts w:ascii="Calibri" w:eastAsia="Calibri" w:hAnsi="Calibri" w:cs="Calibri"/>
          <w:i/>
          <w:iCs/>
          <w:color w:val="5A5A5A"/>
          <w:sz w:val="18"/>
          <w:szCs w:val="18"/>
        </w:rPr>
        <w:t>Note indicative : 8,5 / 20</w:t>
      </w:r>
    </w:p>
    <w:p w14:paraId="260EEF7F" w14:textId="77777777" w:rsidR="00B13F99" w:rsidRDefault="00000000">
      <w:pPr>
        <w:pStyle w:val="Titre2"/>
        <w:spacing w:before="260" w:after="110"/>
      </w:pPr>
      <w:r>
        <w:rPr>
          <w:rFonts w:ascii="Calibri" w:eastAsia="Calibri" w:hAnsi="Calibri" w:cs="Calibri"/>
          <w:b/>
          <w:bCs/>
          <w:color w:val="1A1A1A"/>
          <w:spacing w:val="16"/>
          <w:sz w:val="23"/>
          <w:szCs w:val="23"/>
        </w:rPr>
        <w:t>Plan n° 8 — Protection étendue puis nécessaire conciliation</w:t>
      </w:r>
    </w:p>
    <w:p w14:paraId="2606A17F"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Problématique : « Dans quelle mesure la protection du droit à la vie doit-elle se concilier avec l’autonomie de la personne dans la détermination de sa fin de vie ? »</w:t>
      </w:r>
    </w:p>
    <w:p w14:paraId="676E4E1D"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 Le droit à la vie : un droit fondamental faisant l’objet d’une protection étendue — A. La consécration du droit à la vie comme droit fondamental. B. Une protection qui s’impose également aux pouvoirs publics.</w:t>
      </w:r>
    </w:p>
    <w:p w14:paraId="0DB7AB98"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II. La nécessaire conciliation entre protection de la vie, dignité et autonomie personnelle — A. Une conciliation longtemps fondée sur la protection de la personne en fin de vie. B. L’évolution vers une reconnaissance encadrée de l’aide à mourir.</w:t>
      </w:r>
    </w:p>
    <w:p w14:paraId="5A3E9FC3" w14:textId="77777777" w:rsidR="00B13F99" w:rsidRDefault="00000000">
      <w:pPr>
        <w:spacing w:before="170" w:after="70"/>
      </w:pPr>
      <w:r>
        <w:rPr>
          <w:rFonts w:ascii="Calibri" w:eastAsia="Calibri" w:hAnsi="Calibri" w:cs="Calibri"/>
          <w:b/>
          <w:bCs/>
          <w:color w:val="1A1A1A"/>
        </w:rPr>
        <w:t>Ce qui tient</w:t>
      </w:r>
    </w:p>
    <w:p w14:paraId="2F83E8DD"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II est excellent à lui seul</w:t>
      </w:r>
      <w:r>
        <w:rPr>
          <w:rFonts w:ascii="Calibri" w:eastAsia="Calibri" w:hAnsi="Calibri" w:cs="Calibri"/>
          <w:color w:val="1A1A1A"/>
        </w:rPr>
        <w:t xml:space="preserve"> : le couple « conciliation longtemps fondée sur la protection » / « évolution vers une reconnaissance encadrée » est exactement le mouvement du sujet, et le mot « encadrée » montre que le candidat a compris que 2026 n’est pas une libéralisation.</w:t>
      </w:r>
    </w:p>
    <w:p w14:paraId="728924C6"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La problématique est bien formulée et engage une mesure — « dans quelle mesure » — donc une gradation.</w:t>
      </w:r>
    </w:p>
    <w:p w14:paraId="1254AC81"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Le I-B est juste et souvent oublié : la protection du droit à la vie s’impose aux pouvoirs publics, c’est l’obligation positive de </w:t>
      </w:r>
      <w:r>
        <w:rPr>
          <w:rFonts w:ascii="Calibri" w:eastAsia="Calibri" w:hAnsi="Calibri" w:cs="Calibri"/>
          <w:color w:val="E91E63"/>
        </w:rPr>
        <w:t>Osman c. Royaume-Uni, 1998</w:t>
      </w:r>
      <w:r>
        <w:rPr>
          <w:rFonts w:ascii="Calibri" w:eastAsia="Calibri" w:hAnsi="Calibri" w:cs="Calibri"/>
          <w:color w:val="1A1A1A"/>
        </w:rPr>
        <w:t>.</w:t>
      </w:r>
    </w:p>
    <w:p w14:paraId="556A8BFB" w14:textId="77777777" w:rsidR="00B13F99" w:rsidRDefault="00000000">
      <w:pPr>
        <w:spacing w:before="170" w:after="70"/>
      </w:pPr>
      <w:r>
        <w:rPr>
          <w:rFonts w:ascii="Calibri" w:eastAsia="Calibri" w:hAnsi="Calibri" w:cs="Calibri"/>
          <w:b/>
          <w:bCs/>
          <w:color w:val="1A1A1A"/>
        </w:rPr>
        <w:t>Ce qui ne tient pas</w:t>
      </w:r>
    </w:p>
    <w:p w14:paraId="73890215"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déséquilibre est frappant</w:t>
      </w:r>
      <w:r>
        <w:rPr>
          <w:rFonts w:ascii="Calibri" w:eastAsia="Calibri" w:hAnsi="Calibri" w:cs="Calibri"/>
          <w:color w:val="1A1A1A"/>
        </w:rPr>
        <w:t xml:space="preserve"> : tout le sujet est dans le II, et le I sert de portique. Un correcteur additionne le temps réellement consacré à la question posée — ici, sept minutes sur quinze.</w:t>
      </w:r>
    </w:p>
    <w:p w14:paraId="6A21E107"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II mélange trois notions dans un même intitulé</w:t>
      </w:r>
      <w:r>
        <w:rPr>
          <w:rFonts w:ascii="Calibri" w:eastAsia="Calibri" w:hAnsi="Calibri" w:cs="Calibri"/>
          <w:color w:val="1A1A1A"/>
        </w:rPr>
        <w:t xml:space="preserve"> — protection, dignité, autonomie. Trois termes dans un titre de partie, c’est un aveu qu’on n’a pas choisi l’axe.</w:t>
      </w:r>
    </w:p>
    <w:p w14:paraId="30C2BE0F"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Aucune référence placée</w:t>
      </w:r>
      <w:r>
        <w:rPr>
          <w:rFonts w:ascii="Calibri" w:eastAsia="Calibri" w:hAnsi="Calibri" w:cs="Calibri"/>
          <w:color w:val="1A1A1A"/>
        </w:rPr>
        <w:t xml:space="preserve"> : le plan est une ossature sans chair.</w:t>
      </w:r>
    </w:p>
    <w:p w14:paraId="3A020A3C" w14:textId="77777777" w:rsidR="00B13F99" w:rsidRDefault="00000000">
      <w:pPr>
        <w:spacing w:before="170" w:after="70"/>
      </w:pPr>
      <w:r>
        <w:rPr>
          <w:rFonts w:ascii="Calibri" w:eastAsia="Calibri" w:hAnsi="Calibri" w:cs="Calibri"/>
          <w:b/>
          <w:bCs/>
          <w:color w:val="1A1A1A"/>
        </w:rPr>
        <w:t>Le rattrapage</w:t>
      </w:r>
    </w:p>
    <w:p w14:paraId="7B4F6FE4" w14:textId="77777777" w:rsidR="00B13F99" w:rsidRDefault="00000000">
      <w:pPr>
        <w:spacing w:after="90" w:line="264" w:lineRule="auto"/>
        <w:jc w:val="both"/>
      </w:pPr>
      <w:r>
        <w:rPr>
          <w:rFonts w:ascii="Calibri" w:eastAsia="Calibri" w:hAnsi="Calibri" w:cs="Calibri"/>
          <w:color w:val="1A1A1A"/>
        </w:rPr>
        <w:lastRenderedPageBreak/>
        <w:t>Le remède est simple et rentable : supprimer le I, éclater le II en deux parties, et récupérer le contenu du I dans l’introduction. On obtient alors : « I. Une conciliation longtemps fondée sur la protection » / « II. Une reconnaissance encadrée de l’aide à mourir », avec quatre sous-parties à construire. Le plan passe de descriptif à démonstratif sans qu’un mot du travail soit perdu.</w:t>
      </w:r>
    </w:p>
    <w:p w14:paraId="318484B3" w14:textId="77777777" w:rsidR="00B13F99" w:rsidRDefault="00000000">
      <w:pPr>
        <w:spacing w:after="160"/>
      </w:pPr>
      <w:r>
        <w:rPr>
          <w:rFonts w:ascii="Calibri" w:eastAsia="Calibri" w:hAnsi="Calibri" w:cs="Calibri"/>
          <w:i/>
          <w:iCs/>
          <w:color w:val="5A5A5A"/>
          <w:sz w:val="18"/>
          <w:szCs w:val="18"/>
        </w:rPr>
        <w:t>Note indicative : 11 / 20</w:t>
      </w:r>
    </w:p>
    <w:p w14:paraId="43E39F11" w14:textId="77777777" w:rsidR="00B13F99" w:rsidRDefault="00000000">
      <w:pPr>
        <w:pStyle w:val="Titre2"/>
        <w:spacing w:before="260" w:after="110"/>
      </w:pPr>
      <w:r>
        <w:rPr>
          <w:rFonts w:ascii="Calibri" w:eastAsia="Calibri" w:hAnsi="Calibri" w:cs="Calibri"/>
          <w:b/>
          <w:bCs/>
          <w:color w:val="1A1A1A"/>
          <w:spacing w:val="16"/>
          <w:sz w:val="23"/>
          <w:szCs w:val="23"/>
        </w:rPr>
        <w:t>Plan n° 9 — Dichotomie puis conciliation à la française</w:t>
      </w:r>
    </w:p>
    <w:p w14:paraId="0E5A396D"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Problématique : « Il serait judicieux de se demander si l’introduction de la législation relative au droit à mourir en droit français porte atteinte au droit à la vie. »</w:t>
      </w:r>
    </w:p>
    <w:p w14:paraId="3659D3CE"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 La dichotomie entre la fin de vie et le droit à la vie — A. L’absence de consécration internationale de la fin de vie. B. La persistance de la rigidité française relative à la fin de vie.</w:t>
      </w:r>
    </w:p>
    <w:p w14:paraId="2F1F4B12"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II. La conciliation française entre la fin de vie et le droit à la vie — A. Les conditions particulières du droit à l’aide à mourir. B. L’application prudente du droit à l’aide à mourir.</w:t>
      </w:r>
    </w:p>
    <w:p w14:paraId="5E8FC515" w14:textId="77777777" w:rsidR="00B13F99" w:rsidRDefault="00000000">
      <w:pPr>
        <w:spacing w:before="170" w:after="70"/>
      </w:pPr>
      <w:r>
        <w:rPr>
          <w:rFonts w:ascii="Calibri" w:eastAsia="Calibri" w:hAnsi="Calibri" w:cs="Calibri"/>
          <w:b/>
          <w:bCs/>
          <w:color w:val="1A1A1A"/>
        </w:rPr>
        <w:t>Ce qui tient</w:t>
      </w:r>
    </w:p>
    <w:p w14:paraId="4C88A4C6"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Le I-A est juste et bien vu : aucun instrument international ne consacre de droit à la fin de vie, et c’est un point que peu de candidats pensent à poser.</w:t>
      </w:r>
    </w:p>
    <w:p w14:paraId="31261A38"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Le II-B, « l’application prudente », ouvre naturellement sur les réserves d’interprétation et sur les décrets d’application manquants — c’est une bonne intuition.</w:t>
      </w:r>
    </w:p>
    <w:p w14:paraId="1DC8AB77" w14:textId="77777777" w:rsidR="00B13F99" w:rsidRDefault="00000000">
      <w:pPr>
        <w:spacing w:before="170" w:after="70"/>
      </w:pPr>
      <w:r>
        <w:rPr>
          <w:rFonts w:ascii="Calibri" w:eastAsia="Calibri" w:hAnsi="Calibri" w:cs="Calibri"/>
          <w:b/>
          <w:bCs/>
          <w:color w:val="1A1A1A"/>
        </w:rPr>
        <w:t>Ce qui ne tient pas</w:t>
      </w:r>
    </w:p>
    <w:p w14:paraId="3666B4E5"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problématique est celle du sujet n° 2, pas du sujet n° 1.</w:t>
      </w:r>
      <w:r>
        <w:rPr>
          <w:rFonts w:ascii="Calibri" w:eastAsia="Calibri" w:hAnsi="Calibri" w:cs="Calibri"/>
          <w:color w:val="1A1A1A"/>
        </w:rPr>
        <w:t xml:space="preserve"> Demander si la loi « porte atteinte au droit à la vie », c’est poser une question de conformité, donc d’argumentation, dans un exercice qui appelle une analyse.</w:t>
      </w:r>
    </w:p>
    <w:p w14:paraId="1D3685AB"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C’est une question fermée</w:t>
      </w:r>
      <w:r>
        <w:rPr>
          <w:rFonts w:ascii="Calibri" w:eastAsia="Calibri" w:hAnsi="Calibri" w:cs="Calibri"/>
          <w:color w:val="1A1A1A"/>
        </w:rPr>
        <w:t xml:space="preserve"> : elle appelle oui ou non. Une problématique fermée enferme le plan dans un diptyque qui ne peut que répondre à côté.</w:t>
      </w:r>
    </w:p>
    <w:p w14:paraId="4FB2A7BE"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I-B est démenti par les faits</w:t>
      </w:r>
      <w:r>
        <w:rPr>
          <w:rFonts w:ascii="Calibri" w:eastAsia="Calibri" w:hAnsi="Calibri" w:cs="Calibri"/>
          <w:color w:val="1A1A1A"/>
        </w:rPr>
        <w:t xml:space="preserve"> : la « persistance de la rigidité française » ne tient plus en 2026. On ne peut pas poser en première partie une caractéristique que la seconde va contredire sans l’annoncer.</w:t>
      </w:r>
    </w:p>
    <w:p w14:paraId="13DA0DD3"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mot « dichotomie » est impropre</w:t>
      </w:r>
      <w:r>
        <w:rPr>
          <w:rFonts w:ascii="Calibri" w:eastAsia="Calibri" w:hAnsi="Calibri" w:cs="Calibri"/>
          <w:color w:val="1A1A1A"/>
        </w:rPr>
        <w:t xml:space="preserve"> : il désigne une division en deux, non une opposition entre deux notions.</w:t>
      </w:r>
    </w:p>
    <w:p w14:paraId="2F511D69" w14:textId="77777777" w:rsidR="00B13F99" w:rsidRDefault="00000000">
      <w:pPr>
        <w:spacing w:before="170" w:after="70"/>
      </w:pPr>
      <w:r>
        <w:rPr>
          <w:rFonts w:ascii="Calibri" w:eastAsia="Calibri" w:hAnsi="Calibri" w:cs="Calibri"/>
          <w:b/>
          <w:bCs/>
          <w:color w:val="1A1A1A"/>
        </w:rPr>
        <w:t>Le rattrapage</w:t>
      </w:r>
    </w:p>
    <w:p w14:paraId="55E2231B" w14:textId="77777777" w:rsidR="00B13F99" w:rsidRDefault="00000000">
      <w:pPr>
        <w:spacing w:after="90" w:line="264" w:lineRule="auto"/>
        <w:jc w:val="both"/>
      </w:pPr>
      <w:r>
        <w:rPr>
          <w:rFonts w:ascii="Calibri" w:eastAsia="Calibri" w:hAnsi="Calibri" w:cs="Calibri"/>
          <w:color w:val="1A1A1A"/>
        </w:rPr>
        <w:t>Reformuler la question en une interrogation ouverte — « dans quelle mesure », « comment » — et déplacer la rigidité française dans une perspective : « I. Une fin de vie longtemps tenue à distance du droit à la vie » / « II. Une fin de vie désormais articulée au droit à la vie, sous conditions ». La matière du II est bonne : il faut lui donner un I qui ne la contredise pas.</w:t>
      </w:r>
    </w:p>
    <w:p w14:paraId="5F69941B" w14:textId="77777777" w:rsidR="00B13F99" w:rsidRDefault="00000000">
      <w:pPr>
        <w:spacing w:after="160"/>
      </w:pPr>
      <w:r>
        <w:rPr>
          <w:rFonts w:ascii="Calibri" w:eastAsia="Calibri" w:hAnsi="Calibri" w:cs="Calibri"/>
          <w:i/>
          <w:iCs/>
          <w:color w:val="5A5A5A"/>
          <w:sz w:val="18"/>
          <w:szCs w:val="18"/>
        </w:rPr>
        <w:t>Note indicative : 9 / 20</w:t>
      </w:r>
    </w:p>
    <w:p w14:paraId="7063ACB8" w14:textId="77777777" w:rsidR="00B13F99" w:rsidRDefault="00000000">
      <w:pPr>
        <w:pStyle w:val="Titre2"/>
        <w:spacing w:before="260" w:after="110"/>
      </w:pPr>
      <w:r>
        <w:rPr>
          <w:rFonts w:ascii="Calibri" w:eastAsia="Calibri" w:hAnsi="Calibri" w:cs="Calibri"/>
          <w:b/>
          <w:bCs/>
          <w:color w:val="1A1A1A"/>
          <w:spacing w:val="16"/>
          <w:sz w:val="23"/>
          <w:szCs w:val="23"/>
        </w:rPr>
        <w:t>Plan n° 10 — Équilibre autonomie / vie puis débats de société</w:t>
      </w:r>
    </w:p>
    <w:p w14:paraId="3AE5F1AD"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 La recherche d’un équilibre entre l’autonomie personnelle et le respect du droit à la vie — A. Le droit à la vie, un droit fondamental. B. La fin de vie, une renonciation volontaire d’un droit inaliénable.</w:t>
      </w:r>
    </w:p>
    <w:p w14:paraId="227543CE"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II. La fin de vie, une notion au cœur de vifs débats sociétaux — A. La promulgation le 18 août 2026 de la loi relative au droit à l’aide à mourir. B. La fin de vie et l’IVG.</w:t>
      </w:r>
    </w:p>
    <w:p w14:paraId="07B6F408" w14:textId="77777777" w:rsidR="00B13F99" w:rsidRDefault="00000000">
      <w:pPr>
        <w:spacing w:before="170" w:after="70"/>
      </w:pPr>
      <w:r>
        <w:rPr>
          <w:rFonts w:ascii="Calibri" w:eastAsia="Calibri" w:hAnsi="Calibri" w:cs="Calibri"/>
          <w:b/>
          <w:bCs/>
          <w:color w:val="1A1A1A"/>
        </w:rPr>
        <w:t>Ce qui tient</w:t>
      </w:r>
    </w:p>
    <w:p w14:paraId="10BC813E"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C’est la seule copie qui date correctement la loi</w:t>
      </w:r>
      <w:r>
        <w:rPr>
          <w:rFonts w:ascii="Calibri" w:eastAsia="Calibri" w:hAnsi="Calibri" w:cs="Calibri"/>
          <w:color w:val="1A1A1A"/>
        </w:rPr>
        <w:t xml:space="preserve"> : « promulguée le 18 août 2026 ». Le réflexe de la date exacte vaut toujours des points.</w:t>
      </w:r>
    </w:p>
    <w:p w14:paraId="2AB6F30E"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Le rapprochement avec l’IVG (II-B), qui paraît hors sujet, ne l’est pas tout à fait : le Conseil constitutionnel a calqué la réserve relative aux établissements privés sur la formule de l’</w:t>
      </w:r>
      <w:r>
        <w:rPr>
          <w:rFonts w:ascii="Calibri" w:eastAsia="Calibri" w:hAnsi="Calibri" w:cs="Calibri"/>
          <w:color w:val="1E88E5"/>
        </w:rPr>
        <w:t>article L. 2212-8 du code de la santé publique</w:t>
      </w:r>
      <w:r>
        <w:rPr>
          <w:rFonts w:ascii="Calibri" w:eastAsia="Calibri" w:hAnsi="Calibri" w:cs="Calibri"/>
          <w:color w:val="1A1A1A"/>
        </w:rPr>
        <w:t xml:space="preserve"> en matière d’IVG, et </w:t>
      </w:r>
      <w:r>
        <w:rPr>
          <w:rFonts w:ascii="Calibri" w:eastAsia="Calibri" w:hAnsi="Calibri" w:cs="Calibri"/>
          <w:color w:val="E91E63"/>
        </w:rPr>
        <w:t>Cons. const., 15 janvier 1975, n° 74-54 DC</w:t>
      </w:r>
      <w:r>
        <w:rPr>
          <w:rFonts w:ascii="Calibri" w:eastAsia="Calibri" w:hAnsi="Calibri" w:cs="Calibri"/>
          <w:color w:val="1A1A1A"/>
        </w:rPr>
        <w:t xml:space="preserve"> est la source de la formule du retrait reprise en 2026. Il y a donc une vraie filiation — mais elle n’est pas celle qu’annonce l’intitulé.</w:t>
      </w:r>
    </w:p>
    <w:p w14:paraId="47971728" w14:textId="77777777" w:rsidR="00B13F99" w:rsidRDefault="00000000">
      <w:pPr>
        <w:spacing w:before="170" w:after="70"/>
      </w:pPr>
      <w:r>
        <w:rPr>
          <w:rFonts w:ascii="Calibri" w:eastAsia="Calibri" w:hAnsi="Calibri" w:cs="Calibri"/>
          <w:b/>
          <w:bCs/>
          <w:color w:val="1A1A1A"/>
        </w:rPr>
        <w:t>Ce qui ne tient pas</w:t>
      </w:r>
    </w:p>
    <w:p w14:paraId="0A6046C8"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Le I-B est une contradiction dans les termes.</w:t>
      </w:r>
      <w:r>
        <w:rPr>
          <w:rFonts w:ascii="Calibri" w:eastAsia="Calibri" w:hAnsi="Calibri" w:cs="Calibri"/>
          <w:color w:val="1A1A1A"/>
        </w:rPr>
        <w:t xml:space="preserve"> « Une renonciation volontaire d’un droit inaliénable » : un droit inaliénable est précisément celui auquel on ne peut pas renoncer. C’est la solution de </w:t>
      </w:r>
      <w:proofErr w:type="spellStart"/>
      <w:r>
        <w:rPr>
          <w:rFonts w:ascii="Calibri" w:eastAsia="Calibri" w:hAnsi="Calibri" w:cs="Calibri"/>
          <w:color w:val="E91E63"/>
        </w:rPr>
        <w:t>Streletz</w:t>
      </w:r>
      <w:proofErr w:type="spellEnd"/>
      <w:r>
        <w:rPr>
          <w:rFonts w:ascii="Calibri" w:eastAsia="Calibri" w:hAnsi="Calibri" w:cs="Calibri"/>
          <w:color w:val="E91E63"/>
        </w:rPr>
        <w:t>, Kessler et Krenz c. Allemagne, 2001</w:t>
      </w:r>
      <w:r>
        <w:rPr>
          <w:rFonts w:ascii="Calibri" w:eastAsia="Calibri" w:hAnsi="Calibri" w:cs="Calibri"/>
          <w:color w:val="1A1A1A"/>
        </w:rPr>
        <w:t>. Ce n’est pas une maladresse de style, c’est une erreur de concept, et elle sera relevée.</w:t>
      </w:r>
    </w:p>
    <w:p w14:paraId="2A8813B1"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II quitte le droit</w:t>
      </w:r>
      <w:r>
        <w:rPr>
          <w:rFonts w:ascii="Calibri" w:eastAsia="Calibri" w:hAnsi="Calibri" w:cs="Calibri"/>
          <w:color w:val="1A1A1A"/>
        </w:rPr>
        <w:t xml:space="preserve"> : « de vifs débats sociétaux » n’est pas une catégorie juridique.</w:t>
      </w:r>
    </w:p>
    <w:p w14:paraId="41682725"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II-A n’est pas une sous-partie</w:t>
      </w:r>
      <w:r>
        <w:rPr>
          <w:rFonts w:ascii="Calibri" w:eastAsia="Calibri" w:hAnsi="Calibri" w:cs="Calibri"/>
          <w:color w:val="1A1A1A"/>
        </w:rPr>
        <w:t>, c’est un événement. Un intitulé de sous-partie doit porter une idée, non une date.</w:t>
      </w:r>
    </w:p>
    <w:p w14:paraId="53B298F9"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rapprochement avec l’IVG n’est pas justifié</w:t>
      </w:r>
      <w:r>
        <w:rPr>
          <w:rFonts w:ascii="Calibri" w:eastAsia="Calibri" w:hAnsi="Calibri" w:cs="Calibri"/>
          <w:color w:val="1A1A1A"/>
        </w:rPr>
        <w:t xml:space="preserve"> dans l’intitulé : il tombe comme un cheveu sur la soupe.</w:t>
      </w:r>
    </w:p>
    <w:p w14:paraId="05A35CD5" w14:textId="77777777" w:rsidR="00B13F99" w:rsidRDefault="00000000">
      <w:pPr>
        <w:spacing w:before="170" w:after="70"/>
      </w:pPr>
      <w:r>
        <w:rPr>
          <w:rFonts w:ascii="Calibri" w:eastAsia="Calibri" w:hAnsi="Calibri" w:cs="Calibri"/>
          <w:b/>
          <w:bCs/>
          <w:color w:val="1A1A1A"/>
        </w:rPr>
        <w:t>Le rattrapage</w:t>
      </w:r>
    </w:p>
    <w:p w14:paraId="672CF8B8" w14:textId="77777777" w:rsidR="00B13F99" w:rsidRDefault="00000000">
      <w:pPr>
        <w:spacing w:after="90" w:line="264" w:lineRule="auto"/>
        <w:jc w:val="both"/>
      </w:pPr>
      <w:r>
        <w:rPr>
          <w:rFonts w:ascii="Calibri" w:eastAsia="Calibri" w:hAnsi="Calibri" w:cs="Calibri"/>
          <w:color w:val="1A1A1A"/>
        </w:rPr>
        <w:t>Sauver le I-B en le retournant : au lieu de « renonciation à un droit inaliénable », écrire « L’indisponibilité du droit à la vie mise à l’épreuve de la volonté ». L’idée est la même, elle devient juste. Et reconstruire le II sur la technique juridique : conditions d’accès, procédure, contrôle. Le rapprochement avec l’IVG se replace alors en une phrase, en II, là où il est réellement pertinent.</w:t>
      </w:r>
    </w:p>
    <w:p w14:paraId="434EA487" w14:textId="77777777" w:rsidR="00B13F99" w:rsidRDefault="00000000">
      <w:pPr>
        <w:spacing w:after="160"/>
      </w:pPr>
      <w:r>
        <w:rPr>
          <w:rFonts w:ascii="Calibri" w:eastAsia="Calibri" w:hAnsi="Calibri" w:cs="Calibri"/>
          <w:i/>
          <w:iCs/>
          <w:color w:val="5A5A5A"/>
          <w:sz w:val="18"/>
          <w:szCs w:val="18"/>
        </w:rPr>
        <w:t>Note indicative : 7,5 / 20</w:t>
      </w:r>
    </w:p>
    <w:p w14:paraId="3B0AA848" w14:textId="77777777" w:rsidR="00B13F99" w:rsidRDefault="00000000">
      <w:pPr>
        <w:pStyle w:val="Titre2"/>
        <w:spacing w:before="260" w:after="110"/>
      </w:pPr>
      <w:r>
        <w:rPr>
          <w:rFonts w:ascii="Calibri" w:eastAsia="Calibri" w:hAnsi="Calibri" w:cs="Calibri"/>
          <w:b/>
          <w:bCs/>
          <w:color w:val="1A1A1A"/>
          <w:spacing w:val="16"/>
          <w:sz w:val="23"/>
          <w:szCs w:val="23"/>
        </w:rPr>
        <w:t>Plan n° 11 — Développement nouveau puis reconnaissance partielle</w:t>
      </w:r>
    </w:p>
    <w:p w14:paraId="22E6B8CF"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 Le développement nouveau de la fin de vie en droit interne — A. Le droit à la fin de vie comme corollaire du droit à la vie. B. Le droit à la fin de vie : une dérogation au droit à la vie, arrêtée dans des situations spécifiques.</w:t>
      </w:r>
    </w:p>
    <w:p w14:paraId="084CB133"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II. La reconnaissance partielle de la fin de vie — A. L’encadrement juridique de la fin de vie dans des conditions dignes : appréhension dans ses dimensions objective et subjective. B. La remise en cause de la revendication sociale de la fin de vie par l’émergence des progrès médicaux.</w:t>
      </w:r>
    </w:p>
    <w:p w14:paraId="01369665" w14:textId="77777777" w:rsidR="00B13F99" w:rsidRDefault="00000000">
      <w:pPr>
        <w:spacing w:before="170" w:after="70"/>
      </w:pPr>
      <w:r>
        <w:rPr>
          <w:rFonts w:ascii="Calibri" w:eastAsia="Calibri" w:hAnsi="Calibri" w:cs="Calibri"/>
          <w:b/>
          <w:bCs/>
          <w:color w:val="1A1A1A"/>
        </w:rPr>
        <w:t>Ce qui tient</w:t>
      </w:r>
    </w:p>
    <w:p w14:paraId="26346241"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II-A est la trouvaille conceptuelle du séminaire</w:t>
      </w:r>
      <w:r>
        <w:rPr>
          <w:rFonts w:ascii="Calibri" w:eastAsia="Calibri" w:hAnsi="Calibri" w:cs="Calibri"/>
          <w:color w:val="1A1A1A"/>
        </w:rPr>
        <w:t xml:space="preserve"> : distinguer la dimension </w:t>
      </w:r>
      <w:r>
        <w:rPr>
          <w:rFonts w:ascii="Calibri" w:eastAsia="Calibri" w:hAnsi="Calibri" w:cs="Calibri"/>
          <w:b/>
          <w:bCs/>
          <w:color w:val="1A1A1A"/>
        </w:rPr>
        <w:t>objective</w:t>
      </w:r>
      <w:r>
        <w:rPr>
          <w:rFonts w:ascii="Calibri" w:eastAsia="Calibri" w:hAnsi="Calibri" w:cs="Calibri"/>
          <w:color w:val="1A1A1A"/>
        </w:rPr>
        <w:t xml:space="preserve"> de la dignité — norme d’ordre public, indifférente au consentement, celle de </w:t>
      </w:r>
      <w:r>
        <w:rPr>
          <w:rFonts w:ascii="Calibri" w:eastAsia="Calibri" w:hAnsi="Calibri" w:cs="Calibri"/>
          <w:color w:val="E91E63"/>
        </w:rPr>
        <w:t>Morsang-sur-Orge</w:t>
      </w:r>
      <w:r>
        <w:rPr>
          <w:rFonts w:ascii="Calibri" w:eastAsia="Calibri" w:hAnsi="Calibri" w:cs="Calibri"/>
          <w:color w:val="1A1A1A"/>
        </w:rPr>
        <w:t xml:space="preserve"> — et sa dimension </w:t>
      </w:r>
      <w:r>
        <w:rPr>
          <w:rFonts w:ascii="Calibri" w:eastAsia="Calibri" w:hAnsi="Calibri" w:cs="Calibri"/>
          <w:b/>
          <w:bCs/>
          <w:color w:val="1A1A1A"/>
        </w:rPr>
        <w:t>subjective</w:t>
      </w:r>
      <w:r>
        <w:rPr>
          <w:rFonts w:ascii="Calibri" w:eastAsia="Calibri" w:hAnsi="Calibri" w:cs="Calibri"/>
          <w:color w:val="1A1A1A"/>
        </w:rPr>
        <w:t xml:space="preserve"> — autonomie de la personne, celle de </w:t>
      </w:r>
      <w:r>
        <w:rPr>
          <w:rFonts w:ascii="Calibri" w:eastAsia="Calibri" w:hAnsi="Calibri" w:cs="Calibri"/>
          <w:color w:val="E91E63"/>
        </w:rPr>
        <w:t>Pretty, § 65</w:t>
      </w:r>
      <w:r>
        <w:rPr>
          <w:rFonts w:ascii="Calibri" w:eastAsia="Calibri" w:hAnsi="Calibri" w:cs="Calibri"/>
          <w:color w:val="1A1A1A"/>
        </w:rPr>
        <w:t xml:space="preserve"> — est exactement la clef du sujet. Peu de candidats y arrivent.</w:t>
      </w:r>
    </w:p>
    <w:p w14:paraId="42AA2EFB"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Le couple I-A / I-B, corollaire puis dérogation, contient en germe une dialectique intéressante.</w:t>
      </w:r>
    </w:p>
    <w:p w14:paraId="15D93096" w14:textId="77777777" w:rsidR="00B13F99" w:rsidRDefault="00000000">
      <w:pPr>
        <w:spacing w:before="170" w:after="70"/>
      </w:pPr>
      <w:r>
        <w:rPr>
          <w:rFonts w:ascii="Calibri" w:eastAsia="Calibri" w:hAnsi="Calibri" w:cs="Calibri"/>
          <w:b/>
          <w:bCs/>
          <w:color w:val="1A1A1A"/>
        </w:rPr>
        <w:t>Ce qui ne tient pas</w:t>
      </w:r>
    </w:p>
    <w:p w14:paraId="48299ABF"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couple corollaire / dérogation n’est pas assumé comme tel.</w:t>
      </w:r>
      <w:r>
        <w:rPr>
          <w:rFonts w:ascii="Calibri" w:eastAsia="Calibri" w:hAnsi="Calibri" w:cs="Calibri"/>
          <w:color w:val="1A1A1A"/>
        </w:rPr>
        <w:t xml:space="preserve"> Poser en A que la fin de vie prolonge le droit à la vie et en B qu’elle y déroge, c’est se contredire — sauf à l’annoncer, ce que rien ne fait. Une contradiction annoncée est une dialectique ; une contradiction tue est une faute.</w:t>
      </w:r>
    </w:p>
    <w:p w14:paraId="7F226A53"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II-B est spéculatif</w:t>
      </w:r>
      <w:r>
        <w:rPr>
          <w:rFonts w:ascii="Calibri" w:eastAsia="Calibri" w:hAnsi="Calibri" w:cs="Calibri"/>
          <w:color w:val="1A1A1A"/>
        </w:rPr>
        <w:t xml:space="preserve"> : « la remise en cause par l’émergence des progrès médicaux » relève de la prospective, non du droit positif. C’est le type d’affirmation sur laquelle un jury demande une source — et il n’y en a pas.</w:t>
      </w:r>
    </w:p>
    <w:p w14:paraId="6655E34B"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 Le droit à la fin de vie » n’existe pas sous ce nom.</w:t>
      </w:r>
      <w:r>
        <w:rPr>
          <w:rFonts w:ascii="Calibri" w:eastAsia="Calibri" w:hAnsi="Calibri" w:cs="Calibri"/>
          <w:color w:val="1A1A1A"/>
        </w:rPr>
        <w:t xml:space="preserve"> Le code consacre un « droit d’avoir une fin de vie digne » (</w:t>
      </w:r>
      <w:r>
        <w:rPr>
          <w:rFonts w:ascii="Calibri" w:eastAsia="Calibri" w:hAnsi="Calibri" w:cs="Calibri"/>
          <w:color w:val="1E88E5"/>
        </w:rPr>
        <w:t>art. L. 1110-5 CSP</w:t>
      </w:r>
      <w:r>
        <w:rPr>
          <w:rFonts w:ascii="Calibri" w:eastAsia="Calibri" w:hAnsi="Calibri" w:cs="Calibri"/>
          <w:color w:val="1A1A1A"/>
        </w:rPr>
        <w:t>) et, depuis 2026, un « droit à l’aide à mourir ». Nommer un droit qui n’existe pas est risqué.</w:t>
      </w:r>
    </w:p>
    <w:p w14:paraId="07FD98BB" w14:textId="77777777" w:rsidR="00B13F99" w:rsidRDefault="00000000">
      <w:pPr>
        <w:spacing w:before="170" w:after="70"/>
      </w:pPr>
      <w:r>
        <w:rPr>
          <w:rFonts w:ascii="Calibri" w:eastAsia="Calibri" w:hAnsi="Calibri" w:cs="Calibri"/>
          <w:b/>
          <w:bCs/>
          <w:color w:val="1A1A1A"/>
        </w:rPr>
        <w:t>Le rattrapage</w:t>
      </w:r>
    </w:p>
    <w:p w14:paraId="26D8E14D" w14:textId="77777777" w:rsidR="00B13F99" w:rsidRDefault="00000000">
      <w:pPr>
        <w:spacing w:after="90" w:line="264" w:lineRule="auto"/>
        <w:jc w:val="both"/>
      </w:pPr>
      <w:r>
        <w:rPr>
          <w:rFonts w:ascii="Calibri" w:eastAsia="Calibri" w:hAnsi="Calibri" w:cs="Calibri"/>
          <w:color w:val="1A1A1A"/>
        </w:rPr>
        <w:t>Faire du II-A le cœur du devoir : construire le plan entier sur l’opposition dignité objective / dignité subjective, qui est le vrai moteur du sujet. En I, la dignité objective borne la volonté (obstination, indisponibilité, Morsang-sur-Orge) ; en II, la dignité subjective la fonde (Pretty, 2026-910 DC). Le II-B disparaît sans regret.</w:t>
      </w:r>
    </w:p>
    <w:p w14:paraId="6948169F" w14:textId="77777777" w:rsidR="00B13F99" w:rsidRDefault="00000000">
      <w:pPr>
        <w:spacing w:after="160"/>
      </w:pPr>
      <w:r>
        <w:rPr>
          <w:rFonts w:ascii="Calibri" w:eastAsia="Calibri" w:hAnsi="Calibri" w:cs="Calibri"/>
          <w:i/>
          <w:iCs/>
          <w:color w:val="5A5A5A"/>
          <w:sz w:val="18"/>
          <w:szCs w:val="18"/>
        </w:rPr>
        <w:t>Note indicative : 10 / 20</w:t>
      </w:r>
    </w:p>
    <w:p w14:paraId="0D98AED3" w14:textId="77777777" w:rsidR="00B13F99" w:rsidRDefault="00000000">
      <w:pPr>
        <w:pStyle w:val="Titre2"/>
        <w:spacing w:before="260" w:after="110"/>
      </w:pPr>
      <w:r>
        <w:rPr>
          <w:rFonts w:ascii="Calibri" w:eastAsia="Calibri" w:hAnsi="Calibri" w:cs="Calibri"/>
          <w:b/>
          <w:bCs/>
          <w:color w:val="1A1A1A"/>
          <w:spacing w:val="16"/>
          <w:sz w:val="23"/>
          <w:szCs w:val="23"/>
        </w:rPr>
        <w:t>Plan n° 12 — Refus de l’obstination puis aide à mourir encadrée</w:t>
      </w:r>
    </w:p>
    <w:p w14:paraId="35779F0F"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 Un droit de la fin de vie construit sur le refus de l’obstination déraisonnable — A. La construction progressive d’un droit au laisser-mourir. B. La consécration jurisprudentielle et conventionnelle de ce droit.</w:t>
      </w:r>
    </w:p>
    <w:p w14:paraId="491DC416"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II. La consécration d’un droit à l’aide active à mourir sous encadrement strict — A. Un droit substantiel nouveau d’une aide à mourir. B. Un droit validé sous réserves par le Conseil constitutionnel.</w:t>
      </w:r>
    </w:p>
    <w:p w14:paraId="15F85E54" w14:textId="77777777" w:rsidR="00B13F99" w:rsidRDefault="00000000">
      <w:pPr>
        <w:spacing w:before="170" w:after="70"/>
      </w:pPr>
      <w:r>
        <w:rPr>
          <w:rFonts w:ascii="Calibri" w:eastAsia="Calibri" w:hAnsi="Calibri" w:cs="Calibri"/>
          <w:b/>
          <w:bCs/>
          <w:color w:val="1A1A1A"/>
        </w:rPr>
        <w:t>Ce qui tient</w:t>
      </w:r>
    </w:p>
    <w:p w14:paraId="74478A4A"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C’est, avec le plan n° 1, la meilleure proposition du séminaire — et c’est techniquement la plus juste.</w:t>
      </w:r>
      <w:r>
        <w:rPr>
          <w:rFonts w:ascii="Calibri" w:eastAsia="Calibri" w:hAnsi="Calibri" w:cs="Calibri"/>
          <w:color w:val="1A1A1A"/>
        </w:rPr>
        <w:t xml:space="preserve"> Le vocabulaire est celui du code : « obstination déraisonnable », « laisser-mourir », « encadrement strict », « droit substantiel ». Rien n’est approximatif.</w:t>
      </w:r>
    </w:p>
    <w:p w14:paraId="7791278D"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lastRenderedPageBreak/>
        <w:t xml:space="preserve">Le I-B distingue la consécration </w:t>
      </w:r>
      <w:r>
        <w:rPr>
          <w:rFonts w:ascii="Calibri" w:eastAsia="Calibri" w:hAnsi="Calibri" w:cs="Calibri"/>
          <w:b/>
          <w:bCs/>
          <w:color w:val="1A1A1A"/>
        </w:rPr>
        <w:t>jurisprudentielle</w:t>
      </w:r>
      <w:r>
        <w:rPr>
          <w:rFonts w:ascii="Calibri" w:eastAsia="Calibri" w:hAnsi="Calibri" w:cs="Calibri"/>
          <w:color w:val="1A1A1A"/>
        </w:rPr>
        <w:t xml:space="preserve"> (CE, Lambert) de la consécration </w:t>
      </w:r>
      <w:r>
        <w:rPr>
          <w:rFonts w:ascii="Calibri" w:eastAsia="Calibri" w:hAnsi="Calibri" w:cs="Calibri"/>
          <w:b/>
          <w:bCs/>
          <w:color w:val="1A1A1A"/>
        </w:rPr>
        <w:t>conventionnelle</w:t>
      </w:r>
      <w:r>
        <w:rPr>
          <w:rFonts w:ascii="Calibri" w:eastAsia="Calibri" w:hAnsi="Calibri" w:cs="Calibri"/>
          <w:color w:val="1A1A1A"/>
        </w:rPr>
        <w:t xml:space="preserve"> (CEDH, Lambert) : c’est la bonne articulation des ordres juridiques, et elle est rare.</w:t>
      </w:r>
    </w:p>
    <w:p w14:paraId="16A73101"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II-B est le seul intitulé du séminaire à mentionner les réserves</w:t>
      </w:r>
      <w:r>
        <w:rPr>
          <w:rFonts w:ascii="Calibri" w:eastAsia="Calibri" w:hAnsi="Calibri" w:cs="Calibri"/>
          <w:color w:val="1A1A1A"/>
        </w:rPr>
        <w:t xml:space="preserve"> d’interprétation. Cela suppose une lecture réelle de </w:t>
      </w:r>
      <w:r>
        <w:rPr>
          <w:rFonts w:ascii="Calibri" w:eastAsia="Calibri" w:hAnsi="Calibri" w:cs="Calibri"/>
          <w:color w:val="E91E63"/>
        </w:rPr>
        <w:t>Cons. const., 14 août 2026, n° 2026-910 DC</w:t>
      </w:r>
      <w:r>
        <w:rPr>
          <w:rFonts w:ascii="Calibri" w:eastAsia="Calibri" w:hAnsi="Calibri" w:cs="Calibri"/>
          <w:color w:val="1A1A1A"/>
        </w:rPr>
        <w:t xml:space="preserve"> — et le jury le verra.</w:t>
      </w:r>
    </w:p>
    <w:p w14:paraId="270FB2AE"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L’opposition laisser-mourir / faire-mourir, quoique implicite, structure tout le plan.</w:t>
      </w:r>
    </w:p>
    <w:p w14:paraId="20468359" w14:textId="77777777" w:rsidR="00B13F99" w:rsidRDefault="00000000">
      <w:pPr>
        <w:spacing w:before="170" w:after="70"/>
      </w:pPr>
      <w:r>
        <w:rPr>
          <w:rFonts w:ascii="Calibri" w:eastAsia="Calibri" w:hAnsi="Calibri" w:cs="Calibri"/>
          <w:b/>
          <w:bCs/>
          <w:color w:val="1A1A1A"/>
        </w:rPr>
        <w:t>Ce qui ne tient pas</w:t>
      </w:r>
    </w:p>
    <w:p w14:paraId="4C29A168"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plan reste chronologique en surface</w:t>
      </w:r>
      <w:r>
        <w:rPr>
          <w:rFonts w:ascii="Calibri" w:eastAsia="Calibri" w:hAnsi="Calibri" w:cs="Calibri"/>
          <w:color w:val="1A1A1A"/>
        </w:rPr>
        <w:t xml:space="preserve"> : avant 2026 / après 2026. Il ne le sera plus dès lors que le chapeau annonce que la ligne de partage n’est pas temporelle mais tient à l’</w:t>
      </w:r>
      <w:r>
        <w:rPr>
          <w:rFonts w:ascii="Calibri" w:eastAsia="Calibri" w:hAnsi="Calibri" w:cs="Calibri"/>
          <w:b/>
          <w:bCs/>
          <w:color w:val="1A1A1A"/>
        </w:rPr>
        <w:t>intention</w:t>
      </w:r>
      <w:r>
        <w:rPr>
          <w:rFonts w:ascii="Calibri" w:eastAsia="Calibri" w:hAnsi="Calibri" w:cs="Calibri"/>
          <w:color w:val="1A1A1A"/>
        </w:rPr>
        <w:t xml:space="preserve"> — soulager ou provoquer.</w:t>
      </w:r>
    </w:p>
    <w:p w14:paraId="7421F5D5"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 Aide active à mourir » est le terme des médias et du débat parlementaire</w:t>
      </w:r>
      <w:r>
        <w:rPr>
          <w:rFonts w:ascii="Calibri" w:eastAsia="Calibri" w:hAnsi="Calibri" w:cs="Calibri"/>
          <w:color w:val="1A1A1A"/>
        </w:rPr>
        <w:t>, pas celui de la loi, qui dit « aide à mourir ». Et le mot « active » est d’autant plus discutable que le principe légal est l’auto-administration.</w:t>
      </w:r>
    </w:p>
    <w:p w14:paraId="55E0F187"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II-A est maladroitement formulé</w:t>
      </w:r>
      <w:r>
        <w:rPr>
          <w:rFonts w:ascii="Calibri" w:eastAsia="Calibri" w:hAnsi="Calibri" w:cs="Calibri"/>
          <w:color w:val="1A1A1A"/>
        </w:rPr>
        <w:t xml:space="preserve"> : « un droit substantiel nouveau d’une aide à mourir ». Le « d’une » est de trop.</w:t>
      </w:r>
    </w:p>
    <w:p w14:paraId="319E9957" w14:textId="77777777" w:rsidR="00B13F99" w:rsidRDefault="00000000">
      <w:pPr>
        <w:spacing w:before="170" w:after="70"/>
      </w:pPr>
      <w:r>
        <w:rPr>
          <w:rFonts w:ascii="Calibri" w:eastAsia="Calibri" w:hAnsi="Calibri" w:cs="Calibri"/>
          <w:b/>
          <w:bCs/>
          <w:color w:val="1A1A1A"/>
        </w:rPr>
        <w:t>Le rattrapage</w:t>
      </w:r>
    </w:p>
    <w:p w14:paraId="2C6D7B85" w14:textId="77777777" w:rsidR="00B13F99" w:rsidRDefault="00000000">
      <w:pPr>
        <w:spacing w:after="90" w:line="264" w:lineRule="auto"/>
        <w:jc w:val="both"/>
      </w:pPr>
      <w:r>
        <w:rPr>
          <w:rFonts w:ascii="Calibri" w:eastAsia="Calibri" w:hAnsi="Calibri" w:cs="Calibri"/>
          <w:color w:val="1A1A1A"/>
        </w:rPr>
        <w:t>Trois retouches : aligner le vocabulaire sur la loi, annoncer dans le chapeau que la ligne de partage est celle de l’intention, et corriger la syntaxe du II-A. Le plan devient alors difficilement attaquable.</w:t>
      </w:r>
    </w:p>
    <w:p w14:paraId="7F2859C8" w14:textId="77777777" w:rsidR="00B13F99" w:rsidRDefault="00000000">
      <w:pPr>
        <w:spacing w:after="160"/>
      </w:pPr>
      <w:r>
        <w:rPr>
          <w:rFonts w:ascii="Calibri" w:eastAsia="Calibri" w:hAnsi="Calibri" w:cs="Calibri"/>
          <w:i/>
          <w:iCs/>
          <w:color w:val="5A5A5A"/>
          <w:sz w:val="18"/>
          <w:szCs w:val="18"/>
        </w:rPr>
        <w:t>Note indicative : 15 / 20</w:t>
      </w:r>
    </w:p>
    <w:p w14:paraId="4A093DE6" w14:textId="77777777" w:rsidR="00B13F99" w:rsidRDefault="00000000">
      <w:pPr>
        <w:pStyle w:val="Titre2"/>
        <w:spacing w:before="260" w:after="110"/>
      </w:pPr>
      <w:r>
        <w:rPr>
          <w:rFonts w:ascii="Calibri" w:eastAsia="Calibri" w:hAnsi="Calibri" w:cs="Calibri"/>
          <w:b/>
          <w:bCs/>
          <w:color w:val="1A1A1A"/>
          <w:spacing w:val="16"/>
          <w:sz w:val="23"/>
          <w:szCs w:val="23"/>
        </w:rPr>
        <w:t>Plan n° 13 — Protection contre les atteintes puis appréciation</w:t>
      </w:r>
    </w:p>
    <w:p w14:paraId="5F987E23"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 La protection de la fin de vie contre ses atteintes — A. La prohibition des atteintes à la dignité provoquant la fin de vie. B. L’obligation positive des États à la protection de la vie.</w:t>
      </w:r>
    </w:p>
    <w:p w14:paraId="782BFFE5"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II. L’appréciation de la fin de vie — A. L’absence de reconnaissance par la CEDH du droit à mourir. B. La reconnaissance d’un droit national dans la fin de vie : l’aide à mourir.</w:t>
      </w:r>
    </w:p>
    <w:p w14:paraId="4B04E5B5" w14:textId="77777777" w:rsidR="00B13F99" w:rsidRDefault="00000000">
      <w:pPr>
        <w:spacing w:before="170" w:after="70"/>
      </w:pPr>
      <w:r>
        <w:rPr>
          <w:rFonts w:ascii="Calibri" w:eastAsia="Calibri" w:hAnsi="Calibri" w:cs="Calibri"/>
          <w:b/>
          <w:bCs/>
          <w:color w:val="1A1A1A"/>
        </w:rPr>
        <w:t>Ce qui tient</w:t>
      </w:r>
    </w:p>
    <w:p w14:paraId="15ED31CA"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II est bien vu et il est original</w:t>
      </w:r>
      <w:r>
        <w:rPr>
          <w:rFonts w:ascii="Calibri" w:eastAsia="Calibri" w:hAnsi="Calibri" w:cs="Calibri"/>
          <w:color w:val="1A1A1A"/>
        </w:rPr>
        <w:t xml:space="preserve"> : opposer le refus européen (</w:t>
      </w:r>
      <w:r>
        <w:rPr>
          <w:rFonts w:ascii="Calibri" w:eastAsia="Calibri" w:hAnsi="Calibri" w:cs="Calibri"/>
          <w:color w:val="E91E63"/>
        </w:rPr>
        <w:t>Pretty</w:t>
      </w:r>
      <w:r>
        <w:rPr>
          <w:rFonts w:ascii="Calibri" w:eastAsia="Calibri" w:hAnsi="Calibri" w:cs="Calibri"/>
          <w:color w:val="1A1A1A"/>
        </w:rPr>
        <w:t xml:space="preserve">, </w:t>
      </w:r>
      <w:r>
        <w:rPr>
          <w:rFonts w:ascii="Calibri" w:eastAsia="Calibri" w:hAnsi="Calibri" w:cs="Calibri"/>
          <w:color w:val="E91E63"/>
        </w:rPr>
        <w:t>Karsai</w:t>
      </w:r>
      <w:r>
        <w:rPr>
          <w:rFonts w:ascii="Calibri" w:eastAsia="Calibri" w:hAnsi="Calibri" w:cs="Calibri"/>
          <w:color w:val="1A1A1A"/>
        </w:rPr>
        <w:t xml:space="preserve">) et l’ouverture nationale (loi de 2026) fait apparaître la </w:t>
      </w:r>
      <w:r>
        <w:rPr>
          <w:rFonts w:ascii="Calibri" w:eastAsia="Calibri" w:hAnsi="Calibri" w:cs="Calibri"/>
          <w:b/>
          <w:bCs/>
          <w:color w:val="1A1A1A"/>
        </w:rPr>
        <w:t>marge nationale d’appréciation</w:t>
      </w:r>
      <w:r>
        <w:rPr>
          <w:rFonts w:ascii="Calibri" w:eastAsia="Calibri" w:hAnsi="Calibri" w:cs="Calibri"/>
          <w:color w:val="1A1A1A"/>
        </w:rPr>
        <w:t xml:space="preserve"> comme la clef du sujet. C’est un angle que personne d’autre n’a pris.</w:t>
      </w:r>
    </w:p>
    <w:p w14:paraId="479BCE7A"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Le I-B nomme l’obligation positive, ce qui suppose de connaître </w:t>
      </w:r>
      <w:r>
        <w:rPr>
          <w:rFonts w:ascii="Calibri" w:eastAsia="Calibri" w:hAnsi="Calibri" w:cs="Calibri"/>
          <w:color w:val="E91E63"/>
        </w:rPr>
        <w:t>Osman c. Royaume-Uni, 1998</w:t>
      </w:r>
      <w:r>
        <w:rPr>
          <w:rFonts w:ascii="Calibri" w:eastAsia="Calibri" w:hAnsi="Calibri" w:cs="Calibri"/>
          <w:color w:val="1A1A1A"/>
        </w:rPr>
        <w:t xml:space="preserve"> et </w:t>
      </w:r>
      <w:r>
        <w:rPr>
          <w:rFonts w:ascii="Calibri" w:eastAsia="Calibri" w:hAnsi="Calibri" w:cs="Calibri"/>
          <w:color w:val="E91E63"/>
        </w:rPr>
        <w:t>Öneryıldız c. Turquie, 2004</w:t>
      </w:r>
      <w:r>
        <w:rPr>
          <w:rFonts w:ascii="Calibri" w:eastAsia="Calibri" w:hAnsi="Calibri" w:cs="Calibri"/>
          <w:color w:val="1A1A1A"/>
        </w:rPr>
        <w:t>.</w:t>
      </w:r>
    </w:p>
    <w:p w14:paraId="3F4CEBB9" w14:textId="77777777" w:rsidR="00B13F99" w:rsidRDefault="00000000">
      <w:pPr>
        <w:spacing w:before="170" w:after="70"/>
      </w:pPr>
      <w:r>
        <w:rPr>
          <w:rFonts w:ascii="Calibri" w:eastAsia="Calibri" w:hAnsi="Calibri" w:cs="Calibri"/>
          <w:b/>
          <w:bCs/>
          <w:color w:val="1A1A1A"/>
        </w:rPr>
        <w:t>Ce qui ne tient pas</w:t>
      </w:r>
    </w:p>
    <w:p w14:paraId="04FBE40A"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 L’appréciation de la fin de vie » ne veut rien dire</w:t>
      </w:r>
      <w:r>
        <w:rPr>
          <w:rFonts w:ascii="Calibri" w:eastAsia="Calibri" w:hAnsi="Calibri" w:cs="Calibri"/>
          <w:color w:val="1A1A1A"/>
        </w:rPr>
        <w:t xml:space="preserve"> isolément. Le candidat veut dire « la marge d’appréciation » : qu’il l’écrive, l’expression est consacrée et elle porte.</w:t>
      </w:r>
    </w:p>
    <w:p w14:paraId="4E680037"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 est le sujet n° 2</w:t>
      </w:r>
      <w:r>
        <w:rPr>
          <w:rFonts w:ascii="Calibri" w:eastAsia="Calibri" w:hAnsi="Calibri" w:cs="Calibri"/>
          <w:color w:val="1A1A1A"/>
        </w:rPr>
        <w:t>, encore une fois : les atteintes à la vie et l’obligation positive relèvent du droit à la vie, pas du régime de la fin de vie.</w:t>
      </w:r>
    </w:p>
    <w:p w14:paraId="06DD1ABF"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I-A est obscur</w:t>
      </w:r>
      <w:r>
        <w:rPr>
          <w:rFonts w:ascii="Calibri" w:eastAsia="Calibri" w:hAnsi="Calibri" w:cs="Calibri"/>
          <w:color w:val="1A1A1A"/>
        </w:rPr>
        <w:t xml:space="preserve"> : « les atteintes à la dignité provoquant la fin de vie ». La dignité ne provoque pas la fin de vie ; c’est l’atteinte à la vie qui met en cause la dignité.</w:t>
      </w:r>
    </w:p>
    <w:p w14:paraId="6B57BFEA" w14:textId="77777777" w:rsidR="00B13F99" w:rsidRDefault="00000000">
      <w:pPr>
        <w:spacing w:before="170" w:after="70"/>
      </w:pPr>
      <w:r>
        <w:rPr>
          <w:rFonts w:ascii="Calibri" w:eastAsia="Calibri" w:hAnsi="Calibri" w:cs="Calibri"/>
          <w:b/>
          <w:bCs/>
          <w:color w:val="1A1A1A"/>
        </w:rPr>
        <w:t>Le rattrapage</w:t>
      </w:r>
    </w:p>
    <w:p w14:paraId="206A6C7F" w14:textId="77777777" w:rsidR="00B13F99" w:rsidRDefault="00000000">
      <w:pPr>
        <w:spacing w:after="90" w:line="264" w:lineRule="auto"/>
        <w:jc w:val="both"/>
      </w:pPr>
      <w:r>
        <w:rPr>
          <w:rFonts w:ascii="Calibri" w:eastAsia="Calibri" w:hAnsi="Calibri" w:cs="Calibri"/>
          <w:color w:val="1A1A1A"/>
        </w:rPr>
        <w:t>Rebaptiser le II « Une fin de vie renvoyée à la marge nationale d’appréciation », le scinder en deux parties — le refus européen d’imposer, la liberté nationale d’autoriser — et faire du I un simple rappel introductif. L’angle vaut mieux que la copie ne le laisse paraître.</w:t>
      </w:r>
    </w:p>
    <w:p w14:paraId="2DD0FA9C" w14:textId="77777777" w:rsidR="00B13F99" w:rsidRDefault="00000000">
      <w:pPr>
        <w:spacing w:after="160"/>
      </w:pPr>
      <w:r>
        <w:rPr>
          <w:rFonts w:ascii="Calibri" w:eastAsia="Calibri" w:hAnsi="Calibri" w:cs="Calibri"/>
          <w:i/>
          <w:iCs/>
          <w:color w:val="5A5A5A"/>
          <w:sz w:val="18"/>
          <w:szCs w:val="18"/>
        </w:rPr>
        <w:t>Note indicative : 9,5 / 20</w:t>
      </w:r>
    </w:p>
    <w:p w14:paraId="452B0E89" w14:textId="77777777" w:rsidR="00B13F99" w:rsidRDefault="00000000">
      <w:pPr>
        <w:pStyle w:val="Titre2"/>
        <w:spacing w:before="260" w:after="110"/>
      </w:pPr>
      <w:r>
        <w:rPr>
          <w:rFonts w:ascii="Calibri" w:eastAsia="Calibri" w:hAnsi="Calibri" w:cs="Calibri"/>
          <w:b/>
          <w:bCs/>
          <w:color w:val="1A1A1A"/>
          <w:spacing w:val="16"/>
          <w:sz w:val="23"/>
          <w:szCs w:val="23"/>
        </w:rPr>
        <w:t>Plan n° 14 — Sacralisation puis consécration encadrée</w:t>
      </w:r>
    </w:p>
    <w:p w14:paraId="1FD96BC6"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 Une « sacralisation » juridique du droit à la vie — A. La prohibition de la mise à mort intentionnelle. B. Un droit à la vie considéré indisponible en droit français.</w:t>
      </w:r>
    </w:p>
    <w:p w14:paraId="730841C6"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II. Une consécration inédite et encadrée sur le droit à mourir — A. Le consentement et la dignité de la personne au cœur du processus de fin de vie. B. Un droit à l’aide active à mourir conditionnée.</w:t>
      </w:r>
    </w:p>
    <w:p w14:paraId="1ED047A3" w14:textId="77777777" w:rsidR="00B13F99" w:rsidRDefault="00000000">
      <w:pPr>
        <w:spacing w:before="170" w:after="70"/>
      </w:pPr>
      <w:r>
        <w:rPr>
          <w:rFonts w:ascii="Calibri" w:eastAsia="Calibri" w:hAnsi="Calibri" w:cs="Calibri"/>
          <w:b/>
          <w:bCs/>
          <w:color w:val="1A1A1A"/>
        </w:rPr>
        <w:t>Ce qui tient</w:t>
      </w:r>
    </w:p>
    <w:p w14:paraId="3758F1B0"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Le I-B contient le mot juste : « indisponible ».</w:t>
      </w:r>
      <w:r>
        <w:rPr>
          <w:rFonts w:ascii="Calibri" w:eastAsia="Calibri" w:hAnsi="Calibri" w:cs="Calibri"/>
          <w:color w:val="1A1A1A"/>
        </w:rPr>
        <w:t xml:space="preserve"> C’est le terme exact, celui de l’indisponibilité du corps humain (</w:t>
      </w:r>
      <w:r>
        <w:rPr>
          <w:rFonts w:ascii="Calibri" w:eastAsia="Calibri" w:hAnsi="Calibri" w:cs="Calibri"/>
          <w:color w:val="1E88E5"/>
        </w:rPr>
        <w:t>art. 16 à 16-9 du code civil</w:t>
      </w:r>
      <w:r>
        <w:rPr>
          <w:rFonts w:ascii="Calibri" w:eastAsia="Calibri" w:hAnsi="Calibri" w:cs="Calibri"/>
          <w:color w:val="1A1A1A"/>
        </w:rPr>
        <w:t>) et de l’indifférence du consentement (</w:t>
      </w:r>
      <w:r>
        <w:rPr>
          <w:rFonts w:ascii="Calibri" w:eastAsia="Calibri" w:hAnsi="Calibri" w:cs="Calibri"/>
          <w:color w:val="E91E63"/>
        </w:rPr>
        <w:t>Morsang-sur-Orge</w:t>
      </w:r>
      <w:r>
        <w:rPr>
          <w:rFonts w:ascii="Calibri" w:eastAsia="Calibri" w:hAnsi="Calibri" w:cs="Calibri"/>
          <w:color w:val="1A1A1A"/>
        </w:rPr>
        <w:t>). Personne d’autre ne l’emploie, et il fait basculer le I d’un rappel de cadre à une thèse.</w:t>
      </w:r>
    </w:p>
    <w:p w14:paraId="6A3CACA0"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 devient donc pertinent</w:t>
      </w:r>
      <w:r>
        <w:rPr>
          <w:rFonts w:ascii="Calibri" w:eastAsia="Calibri" w:hAnsi="Calibri" w:cs="Calibri"/>
          <w:color w:val="1A1A1A"/>
        </w:rPr>
        <w:t>, à la différence des autres copies qui ouvrent sur le droit à la vie : ici il ne sert pas de portique, il pose l’obstacle que le II va lever.</w:t>
      </w:r>
    </w:p>
    <w:p w14:paraId="34B75F1A"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Le II-A place le consentement et la dignité ensemble, ce qui est juste : ce sont les deux notions que la décision de 2026 a articulées.</w:t>
      </w:r>
    </w:p>
    <w:p w14:paraId="79C82E46" w14:textId="77777777" w:rsidR="00B13F99" w:rsidRDefault="00000000">
      <w:pPr>
        <w:spacing w:before="170" w:after="70"/>
      </w:pPr>
      <w:r>
        <w:rPr>
          <w:rFonts w:ascii="Calibri" w:eastAsia="Calibri" w:hAnsi="Calibri" w:cs="Calibri"/>
          <w:b/>
          <w:bCs/>
          <w:color w:val="1A1A1A"/>
        </w:rPr>
        <w:t>Ce qui ne tient pas</w:t>
      </w:r>
    </w:p>
    <w:p w14:paraId="0FA43EBA"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 Sacralisation » entre guillemets est un pari.</w:t>
      </w:r>
      <w:r>
        <w:rPr>
          <w:rFonts w:ascii="Calibri" w:eastAsia="Calibri" w:hAnsi="Calibri" w:cs="Calibri"/>
          <w:color w:val="1A1A1A"/>
        </w:rPr>
        <w:t xml:space="preserve"> Le mot est théologique et il sera relevé. Il se défend si l’on explique dès le chapeau qu’il désigne le caractère indisponible du droit — mais il ne se défend pas tout seul.</w:t>
      </w:r>
    </w:p>
    <w:p w14:paraId="2B070C76"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 Consécration [...] sur le droit à mourir »</w:t>
      </w:r>
      <w:r>
        <w:rPr>
          <w:rFonts w:ascii="Calibri" w:eastAsia="Calibri" w:hAnsi="Calibri" w:cs="Calibri"/>
          <w:color w:val="1A1A1A"/>
        </w:rPr>
        <w:t xml:space="preserve"> : la préposition est fautive, on consacre un droit, on ne consacre pas sur un droit.</w:t>
      </w:r>
    </w:p>
    <w:p w14:paraId="4875C8C2"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 Un droit à l’aide active à mourir conditionnée »</w:t>
      </w:r>
      <w:r>
        <w:rPr>
          <w:rFonts w:ascii="Calibri" w:eastAsia="Calibri" w:hAnsi="Calibri" w:cs="Calibri"/>
          <w:color w:val="1A1A1A"/>
        </w:rPr>
        <w:t xml:space="preserve"> : accord fautif — c’est le droit qui est conditionné, non l’aide. Écrit au tableau ou lu au jury, cela se voit.</w:t>
      </w:r>
    </w:p>
    <w:p w14:paraId="69A395A9"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Aucune référence n’est placée</w:t>
      </w:r>
      <w:r>
        <w:rPr>
          <w:rFonts w:ascii="Calibri" w:eastAsia="Calibri" w:hAnsi="Calibri" w:cs="Calibri"/>
          <w:color w:val="1A1A1A"/>
        </w:rPr>
        <w:t>, alors que le vocabulaire montre que le candidat les connaît.</w:t>
      </w:r>
    </w:p>
    <w:p w14:paraId="43B176C5" w14:textId="77777777" w:rsidR="00B13F99" w:rsidRDefault="00000000">
      <w:pPr>
        <w:spacing w:before="170" w:after="70"/>
      </w:pPr>
      <w:r>
        <w:rPr>
          <w:rFonts w:ascii="Calibri" w:eastAsia="Calibri" w:hAnsi="Calibri" w:cs="Calibri"/>
          <w:b/>
          <w:bCs/>
          <w:color w:val="1A1A1A"/>
        </w:rPr>
        <w:t>Le rattrapage</w:t>
      </w:r>
    </w:p>
    <w:p w14:paraId="0A263F82" w14:textId="77777777" w:rsidR="00B13F99" w:rsidRDefault="00000000">
      <w:pPr>
        <w:spacing w:after="90" w:line="264" w:lineRule="auto"/>
        <w:jc w:val="both"/>
      </w:pPr>
      <w:r>
        <w:rPr>
          <w:rFonts w:ascii="Calibri" w:eastAsia="Calibri" w:hAnsi="Calibri" w:cs="Calibri"/>
          <w:color w:val="1A1A1A"/>
        </w:rPr>
        <w:t>Remplacer « sacralisation » par « indisponibilité », qui dit la même chose en langue juridique, corriger les deux fautes de syntaxe et placer trois arrêts. Le plan est alors solide : il pose l’obstacle, puis il montre comment le législateur l’a contourné sans le supprimer.</w:t>
      </w:r>
    </w:p>
    <w:p w14:paraId="785F0CD4" w14:textId="77777777" w:rsidR="00B13F99" w:rsidRDefault="00000000">
      <w:pPr>
        <w:spacing w:after="160"/>
      </w:pPr>
      <w:r>
        <w:rPr>
          <w:rFonts w:ascii="Calibri" w:eastAsia="Calibri" w:hAnsi="Calibri" w:cs="Calibri"/>
          <w:i/>
          <w:iCs/>
          <w:color w:val="5A5A5A"/>
          <w:sz w:val="18"/>
          <w:szCs w:val="18"/>
        </w:rPr>
        <w:t>Note indicative : 12 / 20</w:t>
      </w:r>
    </w:p>
    <w:p w14:paraId="717C2077"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B. LES CINQ PLANS SUR « SOUTENEZ QUE L’EUTHANASIE EST CONTRAIRE… »</w:t>
      </w:r>
    </w:p>
    <w:p w14:paraId="41F67462" w14:textId="77777777" w:rsidR="00B13F99"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b/>
          <w:bCs/>
          <w:color w:val="1A1A1A"/>
          <w:sz w:val="19"/>
          <w:szCs w:val="19"/>
        </w:rPr>
        <w:t>Le critère propre à cet exercice.</w:t>
      </w:r>
      <w:r>
        <w:rPr>
          <w:rFonts w:ascii="Calibri" w:eastAsia="Calibri" w:hAnsi="Calibri" w:cs="Calibri"/>
          <w:color w:val="1A1A1A"/>
          <w:sz w:val="19"/>
          <w:szCs w:val="19"/>
        </w:rPr>
        <w:t xml:space="preserve"> On ne note pas ici la richesse de la réflexion mais la </w:t>
      </w:r>
      <w:r>
        <w:rPr>
          <w:rFonts w:ascii="Calibri" w:eastAsia="Calibri" w:hAnsi="Calibri" w:cs="Calibri"/>
          <w:b/>
          <w:bCs/>
          <w:color w:val="1A1A1A"/>
          <w:sz w:val="19"/>
          <w:szCs w:val="19"/>
        </w:rPr>
        <w:t>tenue de la thèse</w:t>
      </w:r>
      <w:r>
        <w:rPr>
          <w:rFonts w:ascii="Calibri" w:eastAsia="Calibri" w:hAnsi="Calibri" w:cs="Calibri"/>
          <w:color w:val="1A1A1A"/>
          <w:sz w:val="19"/>
          <w:szCs w:val="19"/>
        </w:rPr>
        <w:t>. Un plan dont la seconde partie concède, nuance ou atténue perd d’emblée plusieurs points, quelle que soit la qualité de ses références. La nuance a une place, et une seule : l’ouverture.</w:t>
      </w:r>
    </w:p>
    <w:p w14:paraId="26DBB6E2" w14:textId="77777777" w:rsidR="00B13F99" w:rsidRDefault="00000000">
      <w:pPr>
        <w:pStyle w:val="Titre2"/>
        <w:spacing w:before="260" w:after="110"/>
      </w:pPr>
      <w:r>
        <w:rPr>
          <w:rFonts w:ascii="Calibri" w:eastAsia="Calibri" w:hAnsi="Calibri" w:cs="Calibri"/>
          <w:b/>
          <w:bCs/>
          <w:color w:val="1A1A1A"/>
          <w:spacing w:val="16"/>
          <w:sz w:val="23"/>
          <w:szCs w:val="23"/>
        </w:rPr>
        <w:t>Plan n° 15 — Obligation de l’État puis impossibilité d’imposer</w:t>
      </w:r>
    </w:p>
    <w:p w14:paraId="5603C96D"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Accroche : la loi sur l’aide active à mourir du 18 août 2026. Définitions : droit à la vie (art. 2 CEDH) ; euthanasie (donner volontairement la mort à une personne physique à l’aide d’un produit létal), distinguée de l’aide active à mourir.</w:t>
      </w:r>
    </w:p>
    <w:p w14:paraId="6A5345D1"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Problématique : « la question est de savoir si l’euthanasie est conforme au respect du droit à la vie ».</w:t>
      </w:r>
    </w:p>
    <w:p w14:paraId="17AA605C"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 L’obligation pour l’État de protéger la vie humaine — A. Le droit à la vie comme droit primordial (art. 2 CEDH ; CEDH, 27 sept. 1995, McCann c. RU ; art. 3 DUDH ; art. 6 PIDCP ; corollaire français : art. 66-1 C., loi Badinter du 9 octobre 1981). B. L’interdiction d’attenter à la vie d’autrui (ordre public ; art. 34 C. ; homicide volontaire, art. 221-1 et s. C. pén. ; empoisonnement ; art. 7 CEDH).</w:t>
      </w:r>
    </w:p>
    <w:p w14:paraId="7E3F5F71"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II. L’impossibilité pour la personne d’imposer l’euthanasie à l’État — A. L’absence de droit à mourir (le suicide n’est pas pénalisé ; droit à une fin de vie digne et soins palliatifs, mais pas de droit à mourir : CEDH, Pretty c. RU). B. Le contrôle de proportionnalité avec le droit à la vie privée (art. 8 CEDH ; CEDH, 13 juin 2024, Karsai c. Hongrie).</w:t>
      </w:r>
    </w:p>
    <w:p w14:paraId="603D70D4"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Conclusion et ouverture sur la loi du 18 août 2026, l’auto-administration et la dignité.</w:t>
      </w:r>
    </w:p>
    <w:p w14:paraId="301E5BBE" w14:textId="77777777" w:rsidR="00B13F99" w:rsidRDefault="00000000">
      <w:pPr>
        <w:spacing w:before="170" w:after="70"/>
      </w:pPr>
      <w:r>
        <w:rPr>
          <w:rFonts w:ascii="Calibri" w:eastAsia="Calibri" w:hAnsi="Calibri" w:cs="Calibri"/>
          <w:b/>
          <w:bCs/>
          <w:color w:val="1A1A1A"/>
        </w:rPr>
        <w:t>Ce qui tient</w:t>
      </w:r>
    </w:p>
    <w:p w14:paraId="17B262FD"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C’est le meilleur travail du séminaire sur ce sujet, et il est proche du corrigé.</w:t>
      </w:r>
      <w:r>
        <w:rPr>
          <w:rFonts w:ascii="Calibri" w:eastAsia="Calibri" w:hAnsi="Calibri" w:cs="Calibri"/>
          <w:color w:val="1A1A1A"/>
        </w:rPr>
        <w:t xml:space="preserve"> La structure obligation de l’État / absence de titre du particulier est exactement celle qu’appelle la thèse assignée.</w:t>
      </w:r>
    </w:p>
    <w:p w14:paraId="318C4B05"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distinction euthanasie / aide active à mourir est posée dès l’introduction.</w:t>
      </w:r>
      <w:r>
        <w:rPr>
          <w:rFonts w:ascii="Calibri" w:eastAsia="Calibri" w:hAnsi="Calibri" w:cs="Calibri"/>
          <w:color w:val="1A1A1A"/>
        </w:rPr>
        <w:t xml:space="preserve"> C’est le geste décisif, celui qui rend la thèse tenable en 2026, et une seule copie l’accomplit.</w:t>
      </w:r>
    </w:p>
    <w:p w14:paraId="6E26C0C0"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Les références sont nombreuses, exactes et variées</w:t>
      </w:r>
      <w:r>
        <w:rPr>
          <w:rFonts w:ascii="Calibri" w:eastAsia="Calibri" w:hAnsi="Calibri" w:cs="Calibri"/>
          <w:color w:val="1A1A1A"/>
        </w:rPr>
        <w:t xml:space="preserve"> : conventionnelles, onusiennes, constitutionnelles et pénales. Le corollaire de l’abolition de la peine de mort (</w:t>
      </w:r>
      <w:r>
        <w:rPr>
          <w:rFonts w:ascii="Calibri" w:eastAsia="Calibri" w:hAnsi="Calibri" w:cs="Calibri"/>
          <w:color w:val="1E88E5"/>
        </w:rPr>
        <w:t>art. 66-1 C.</w:t>
      </w:r>
      <w:r>
        <w:rPr>
          <w:rFonts w:ascii="Calibri" w:eastAsia="Calibri" w:hAnsi="Calibri" w:cs="Calibri"/>
          <w:color w:val="1A1A1A"/>
        </w:rPr>
        <w:t xml:space="preserve"> et </w:t>
      </w:r>
      <w:r>
        <w:rPr>
          <w:rFonts w:ascii="Calibri" w:eastAsia="Calibri" w:hAnsi="Calibri" w:cs="Calibri"/>
          <w:color w:val="1E88E5"/>
        </w:rPr>
        <w:t>loi du 9 octobre 1981</w:t>
      </w:r>
      <w:r>
        <w:rPr>
          <w:rFonts w:ascii="Calibri" w:eastAsia="Calibri" w:hAnsi="Calibri" w:cs="Calibri"/>
          <w:color w:val="1A1A1A"/>
        </w:rPr>
        <w:t>) est particulièrement bien vu : il montre que l’État lui-même s’est interdit de donner la mort.</w:t>
      </w:r>
    </w:p>
    <w:p w14:paraId="5FBD7FF5"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L’ouverture est la bonne</w:t>
      </w:r>
      <w:r>
        <w:rPr>
          <w:rFonts w:ascii="Calibri" w:eastAsia="Calibri" w:hAnsi="Calibri" w:cs="Calibri"/>
          <w:color w:val="1A1A1A"/>
        </w:rPr>
        <w:t xml:space="preserve"> : elle nuance au dernier moment en montrant que la loi de 2026, fondée sur l’auto-administration, échappe partiellement à la critique. C’est exactement là que la nuance doit se loger.</w:t>
      </w:r>
    </w:p>
    <w:p w14:paraId="03E2BDBD"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Le II-B — la vie privée s’efface devant le droit à la vie, </w:t>
      </w:r>
      <w:r>
        <w:rPr>
          <w:rFonts w:ascii="Calibri" w:eastAsia="Calibri" w:hAnsi="Calibri" w:cs="Calibri"/>
          <w:color w:val="E91E63"/>
        </w:rPr>
        <w:t>Karsai</w:t>
      </w:r>
      <w:r>
        <w:rPr>
          <w:rFonts w:ascii="Calibri" w:eastAsia="Calibri" w:hAnsi="Calibri" w:cs="Calibri"/>
          <w:color w:val="1A1A1A"/>
        </w:rPr>
        <w:t xml:space="preserve"> à l’appui — est un raisonnement de contrôle de proportionnalité correctement conduit.</w:t>
      </w:r>
    </w:p>
    <w:p w14:paraId="2C95A612" w14:textId="77777777" w:rsidR="00B13F99" w:rsidRDefault="00000000">
      <w:pPr>
        <w:spacing w:before="170" w:after="70"/>
      </w:pPr>
      <w:r>
        <w:rPr>
          <w:rFonts w:ascii="Calibri" w:eastAsia="Calibri" w:hAnsi="Calibri" w:cs="Calibri"/>
          <w:b/>
          <w:bCs/>
          <w:color w:val="1A1A1A"/>
        </w:rPr>
        <w:t>Ce qui ne tient pas</w:t>
      </w:r>
    </w:p>
    <w:p w14:paraId="0410D30A"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problématique est neutre alors que l’exercice impose une thèse.</w:t>
      </w:r>
      <w:r>
        <w:rPr>
          <w:rFonts w:ascii="Calibri" w:eastAsia="Calibri" w:hAnsi="Calibri" w:cs="Calibri"/>
          <w:color w:val="1A1A1A"/>
        </w:rPr>
        <w:t xml:space="preserve"> « Savoir si l’euthanasie est conforme » est la question d’une dissertation ; il fallait « La volonté d’une personne peut-elle délier l’État de l’obligation de protéger sa vie ? » — une question dont la réponse est déjà orientée par la thèse assignée.</w:t>
      </w:r>
    </w:p>
    <w:p w14:paraId="147CD996"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L’article 7 de la Convention est hors de propos</w:t>
      </w:r>
      <w:r>
        <w:rPr>
          <w:rFonts w:ascii="Calibri" w:eastAsia="Calibri" w:hAnsi="Calibri" w:cs="Calibri"/>
          <w:color w:val="1A1A1A"/>
        </w:rPr>
        <w:t xml:space="preserve"> : il consacre la légalité des délits et des peines et la non-rétroactivité. Il ne soutient pas l’argument tiré de l’empoisonnement. Le visa juste, si l’on veut invoquer la légalité criminelle, est l’</w:t>
      </w:r>
      <w:r>
        <w:rPr>
          <w:rFonts w:ascii="Calibri" w:eastAsia="Calibri" w:hAnsi="Calibri" w:cs="Calibri"/>
          <w:color w:val="1E88E5"/>
        </w:rPr>
        <w:t>article 111-3 du code pénal</w:t>
      </w:r>
      <w:r>
        <w:rPr>
          <w:rFonts w:ascii="Calibri" w:eastAsia="Calibri" w:hAnsi="Calibri" w:cs="Calibri"/>
          <w:color w:val="1A1A1A"/>
        </w:rPr>
        <w:t xml:space="preserve"> — mais l’argument n’est de toute façon pas utile ici.</w:t>
      </w:r>
    </w:p>
    <w:p w14:paraId="14B416C1"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L’article 34 de la Constitution est faible</w:t>
      </w:r>
      <w:r>
        <w:rPr>
          <w:rFonts w:ascii="Calibri" w:eastAsia="Calibri" w:hAnsi="Calibri" w:cs="Calibri"/>
          <w:color w:val="1A1A1A"/>
        </w:rPr>
        <w:t xml:space="preserve"> : il fixe le domaine de la loi, il ne dit rien du fond de l’interdiction. À supprimer.</w:t>
      </w:r>
    </w:p>
    <w:p w14:paraId="5BD9939F"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Pretty est mal daté</w:t>
      </w:r>
      <w:r>
        <w:rPr>
          <w:rFonts w:ascii="Calibri" w:eastAsia="Calibri" w:hAnsi="Calibri" w:cs="Calibri"/>
          <w:color w:val="1A1A1A"/>
        </w:rPr>
        <w:t xml:space="preserve"> : l’arrêt est du </w:t>
      </w:r>
      <w:r>
        <w:rPr>
          <w:rFonts w:ascii="Calibri" w:eastAsia="Calibri" w:hAnsi="Calibri" w:cs="Calibri"/>
          <w:b/>
          <w:bCs/>
          <w:color w:val="1A1A1A"/>
        </w:rPr>
        <w:t>29 avril 2002</w:t>
      </w:r>
      <w:r>
        <w:rPr>
          <w:rFonts w:ascii="Calibri" w:eastAsia="Calibri" w:hAnsi="Calibri" w:cs="Calibri"/>
          <w:color w:val="1A1A1A"/>
        </w:rPr>
        <w:t>, non du 29 juillet. Une première version des notes portait même « 29 juillet 2992 ».</w:t>
      </w:r>
    </w:p>
    <w:p w14:paraId="45012CBA"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Il manque l’obligation positive</w:t>
      </w:r>
      <w:r>
        <w:rPr>
          <w:rFonts w:ascii="Calibri" w:eastAsia="Calibri" w:hAnsi="Calibri" w:cs="Calibri"/>
          <w:color w:val="1A1A1A"/>
        </w:rPr>
        <w:t xml:space="preserve"> — </w:t>
      </w:r>
      <w:r>
        <w:rPr>
          <w:rFonts w:ascii="Calibri" w:eastAsia="Calibri" w:hAnsi="Calibri" w:cs="Calibri"/>
          <w:color w:val="E91E63"/>
        </w:rPr>
        <w:t>Osman c. Royaume-Uni, 1998</w:t>
      </w:r>
      <w:r>
        <w:rPr>
          <w:rFonts w:ascii="Calibri" w:eastAsia="Calibri" w:hAnsi="Calibri" w:cs="Calibri"/>
          <w:color w:val="1A1A1A"/>
        </w:rPr>
        <w:t xml:space="preserve"> — qui est pourtant l’argument le plus puissant de la thèse : l’État doit protéger la personne contre le risque qu’elle représente pour elle-même.</w:t>
      </w:r>
    </w:p>
    <w:p w14:paraId="591DBFF9"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 xml:space="preserve">Il manque </w:t>
      </w:r>
      <w:r>
        <w:rPr>
          <w:rFonts w:ascii="Calibri" w:eastAsia="Calibri" w:hAnsi="Calibri" w:cs="Calibri"/>
          <w:b/>
          <w:bCs/>
          <w:color w:val="E91E63"/>
        </w:rPr>
        <w:t>Mortier c. Belgique</w:t>
      </w:r>
      <w:r>
        <w:rPr>
          <w:rFonts w:ascii="Calibri" w:eastAsia="Calibri" w:hAnsi="Calibri" w:cs="Calibri"/>
          <w:color w:val="1A1A1A"/>
        </w:rPr>
        <w:t>, qui est la pièce décisive : le contrôle a posteriori ne rattrape rien puisque l’acte est irréversible.</w:t>
      </w:r>
    </w:p>
    <w:p w14:paraId="655A9C94" w14:textId="77777777" w:rsidR="00B13F99" w:rsidRDefault="00000000">
      <w:pPr>
        <w:spacing w:before="170" w:after="70"/>
      </w:pPr>
      <w:r>
        <w:rPr>
          <w:rFonts w:ascii="Calibri" w:eastAsia="Calibri" w:hAnsi="Calibri" w:cs="Calibri"/>
          <w:b/>
          <w:bCs/>
          <w:color w:val="1A1A1A"/>
        </w:rPr>
        <w:t>Le rattrapage</w:t>
      </w:r>
    </w:p>
    <w:p w14:paraId="6035D3E6" w14:textId="77777777" w:rsidR="00B13F99" w:rsidRDefault="00000000">
      <w:pPr>
        <w:spacing w:after="90" w:line="264" w:lineRule="auto"/>
        <w:jc w:val="both"/>
      </w:pPr>
      <w:r>
        <w:rPr>
          <w:rFonts w:ascii="Calibri" w:eastAsia="Calibri" w:hAnsi="Calibri" w:cs="Calibri"/>
          <w:color w:val="1A1A1A"/>
        </w:rPr>
        <w:t xml:space="preserve">Quatre gestes suffisent : retourner la problématique, supprimer l’article 7 de la Convention et l’article 34 de la Constitution, ajouter </w:t>
      </w:r>
      <w:r>
        <w:rPr>
          <w:rFonts w:ascii="Calibri" w:eastAsia="Calibri" w:hAnsi="Calibri" w:cs="Calibri"/>
          <w:color w:val="E91E63"/>
        </w:rPr>
        <w:t>Osman</w:t>
      </w:r>
      <w:r>
        <w:rPr>
          <w:rFonts w:ascii="Calibri" w:eastAsia="Calibri" w:hAnsi="Calibri" w:cs="Calibri"/>
          <w:color w:val="1A1A1A"/>
        </w:rPr>
        <w:t xml:space="preserve"> au I-A et </w:t>
      </w:r>
      <w:r>
        <w:rPr>
          <w:rFonts w:ascii="Calibri" w:eastAsia="Calibri" w:hAnsi="Calibri" w:cs="Calibri"/>
          <w:color w:val="E91E63"/>
        </w:rPr>
        <w:t>Mortier</w:t>
      </w:r>
      <w:r>
        <w:rPr>
          <w:rFonts w:ascii="Calibri" w:eastAsia="Calibri" w:hAnsi="Calibri" w:cs="Calibri"/>
          <w:color w:val="1A1A1A"/>
        </w:rPr>
        <w:t xml:space="preserve"> au II-B, et corriger la date de </w:t>
      </w:r>
      <w:r>
        <w:rPr>
          <w:rFonts w:ascii="Calibri" w:eastAsia="Calibri" w:hAnsi="Calibri" w:cs="Calibri"/>
          <w:color w:val="E91E63"/>
        </w:rPr>
        <w:t>Pretty</w:t>
      </w:r>
      <w:r>
        <w:rPr>
          <w:rFonts w:ascii="Calibri" w:eastAsia="Calibri" w:hAnsi="Calibri" w:cs="Calibri"/>
          <w:color w:val="1A1A1A"/>
        </w:rPr>
        <w:t>. La copie passe alors dans la tranche haute.</w:t>
      </w:r>
    </w:p>
    <w:p w14:paraId="0C0EFB3F" w14:textId="77777777" w:rsidR="00B13F99" w:rsidRDefault="00000000">
      <w:pPr>
        <w:spacing w:after="160"/>
      </w:pPr>
      <w:r>
        <w:rPr>
          <w:rFonts w:ascii="Calibri" w:eastAsia="Calibri" w:hAnsi="Calibri" w:cs="Calibri"/>
          <w:i/>
          <w:iCs/>
          <w:color w:val="5A5A5A"/>
          <w:sz w:val="18"/>
          <w:szCs w:val="18"/>
        </w:rPr>
        <w:t>Note indicative : 14,5 / 20</w:t>
      </w:r>
    </w:p>
    <w:p w14:paraId="35C94773" w14:textId="77777777" w:rsidR="00B13F99" w:rsidRDefault="00000000">
      <w:pPr>
        <w:spacing w:before="170" w:after="70"/>
      </w:pPr>
      <w:r>
        <w:rPr>
          <w:rFonts w:ascii="Calibri" w:eastAsia="Calibri" w:hAnsi="Calibri" w:cs="Calibri"/>
          <w:b/>
          <w:bCs/>
          <w:color w:val="1A1A1A"/>
        </w:rPr>
        <w:t>Réponse à la question posée en séminaire</w:t>
      </w:r>
    </w:p>
    <w:p w14:paraId="05C6DD06" w14:textId="77777777" w:rsidR="00B13F99"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b/>
          <w:bCs/>
          <w:color w:val="1A1A1A"/>
          <w:sz w:val="19"/>
          <w:szCs w:val="19"/>
        </w:rPr>
        <w:t>« 45 minutes pour faire le plan : est-ce trop long ? »</w:t>
      </w:r>
      <w:r>
        <w:rPr>
          <w:rFonts w:ascii="Calibri" w:eastAsia="Calibri" w:hAnsi="Calibri" w:cs="Calibri"/>
          <w:color w:val="1A1A1A"/>
          <w:sz w:val="19"/>
          <w:szCs w:val="19"/>
        </w:rPr>
        <w:t xml:space="preserve"> Oui. L’épreuve donne une heure pour préparer quinze minutes d’exposé </w:t>
      </w:r>
      <w:r>
        <w:rPr>
          <w:rFonts w:ascii="Calibri" w:eastAsia="Calibri" w:hAnsi="Calibri" w:cs="Calibri"/>
          <w:b/>
          <w:bCs/>
          <w:color w:val="1A1A1A"/>
          <w:sz w:val="19"/>
          <w:szCs w:val="19"/>
        </w:rPr>
        <w:t>et</w:t>
      </w:r>
      <w:r>
        <w:rPr>
          <w:rFonts w:ascii="Calibri" w:eastAsia="Calibri" w:hAnsi="Calibri" w:cs="Calibri"/>
          <w:color w:val="1A1A1A"/>
          <w:sz w:val="19"/>
          <w:szCs w:val="19"/>
        </w:rPr>
        <w:t xml:space="preserve"> trente minutes d’entretien. Quarante-cinq minutes sur le seul plan laissent un quart d’heure pour rédiger l’introduction, rédiger la conclusion, nourrir quatre sous-parties et relire — c’est intenable. Le plan doit être arrêté vers la quarantième minute au plus tard. Le tableau de répartition figure en partie II, section 2.</w:t>
      </w:r>
    </w:p>
    <w:p w14:paraId="3919E547" w14:textId="77777777" w:rsidR="00B13F99" w:rsidRDefault="00000000">
      <w:pPr>
        <w:pStyle w:val="Titre2"/>
        <w:spacing w:before="260" w:after="110"/>
      </w:pPr>
      <w:r>
        <w:rPr>
          <w:rFonts w:ascii="Calibri" w:eastAsia="Calibri" w:hAnsi="Calibri" w:cs="Calibri"/>
          <w:b/>
          <w:bCs/>
          <w:color w:val="1A1A1A"/>
          <w:spacing w:val="16"/>
          <w:sz w:val="23"/>
          <w:szCs w:val="23"/>
        </w:rPr>
        <w:t>Plan n° 16 — Contradiction avec les fondements puis avec l’autonomie</w:t>
      </w:r>
    </w:p>
    <w:p w14:paraId="317DB42E"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Accroche : un artiste a eu recours à l’euthanasie en Belgique. Définition de l’euthanasie, précision sur l’euthanasie active et passive en France, définition du droit à la vie et de ses fondements textuels, contexte de la loi récente sur le droit à l’aide à mourir.</w:t>
      </w:r>
    </w:p>
    <w:p w14:paraId="3E7604F4"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 L’euthanasie est en contradiction avec le droit à la vie au regard de ses fondements et des obligations positives imposées à l’État de garantir la vie ; le droit à mourir n’est pas reconnu.</w:t>
      </w:r>
    </w:p>
    <w:p w14:paraId="50A8DFFA"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II. L’euthanasie contredit l’autonomie personnelle : même si l’euthanasie passive repose en principe sur la volonté du patient, le corps médical peut ne pas tenir compte des directives anticipées, et les décisions collégiales peuvent avoir le dernier mot sur la volonté du patient.</w:t>
      </w:r>
    </w:p>
    <w:p w14:paraId="79A563C4" w14:textId="77777777" w:rsidR="00B13F99" w:rsidRDefault="00000000">
      <w:pPr>
        <w:spacing w:before="170" w:after="70"/>
      </w:pPr>
      <w:r>
        <w:rPr>
          <w:rFonts w:ascii="Calibri" w:eastAsia="Calibri" w:hAnsi="Calibri" w:cs="Calibri"/>
          <w:b/>
          <w:bCs/>
          <w:color w:val="1A1A1A"/>
        </w:rPr>
        <w:t>Ce qui tient</w:t>
      </w:r>
    </w:p>
    <w:p w14:paraId="58F15043"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L’accroche est la meilleure du séminaire</w:t>
      </w:r>
      <w:r>
        <w:rPr>
          <w:rFonts w:ascii="Calibri" w:eastAsia="Calibri" w:hAnsi="Calibri" w:cs="Calibri"/>
          <w:color w:val="1A1A1A"/>
        </w:rPr>
        <w:t>, tous sujets confondus : concrète, datée, incarnée, et elle place immédiatement le jury dans le sujet. C’est exactement ce qu’on attend des quinze premières secondes — à condition de pouvoir citer le nom et la date.</w:t>
      </w:r>
    </w:p>
    <w:p w14:paraId="3CA0F022"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 est juste et complet</w:t>
      </w:r>
      <w:r>
        <w:rPr>
          <w:rFonts w:ascii="Calibri" w:eastAsia="Calibri" w:hAnsi="Calibri" w:cs="Calibri"/>
          <w:color w:val="1A1A1A"/>
        </w:rPr>
        <w:t xml:space="preserve"> : il combine les fondements textuels, les obligations positives et l’absence de droit à mourir. Trois arguments, trois angles.</w:t>
      </w:r>
    </w:p>
    <w:p w14:paraId="0529215F"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Le candidat a pensé à distinguer euthanasie active et passive dès l’introduction, ce qui est un bon réflexe.</w:t>
      </w:r>
    </w:p>
    <w:p w14:paraId="15F1E4E6" w14:textId="77777777" w:rsidR="00B13F99" w:rsidRDefault="00000000">
      <w:pPr>
        <w:spacing w:before="170" w:after="70"/>
      </w:pPr>
      <w:r>
        <w:rPr>
          <w:rFonts w:ascii="Calibri" w:eastAsia="Calibri" w:hAnsi="Calibri" w:cs="Calibri"/>
          <w:b/>
          <w:bCs/>
          <w:color w:val="1A1A1A"/>
        </w:rPr>
        <w:t>Ce qui ne tient pas</w:t>
      </w:r>
    </w:p>
    <w:p w14:paraId="7BE7058C"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Le II se retourne contre la thèse.</w:t>
      </w:r>
      <w:r>
        <w:rPr>
          <w:rFonts w:ascii="Calibri" w:eastAsia="Calibri" w:hAnsi="Calibri" w:cs="Calibri"/>
          <w:color w:val="1A1A1A"/>
        </w:rPr>
        <w:t xml:space="preserve"> Soutenir que l’euthanasie contredit l’autonomie parce que le corps médical peut passer outre les directives anticipées, c’est critiquer le fonctionnement du système français d’arrêt des traitements — pas démontrer que l’euthanasie porte atteinte au droit à la vie. L’argument est même à double tranchant : il suggère qu’un dispositif plus respectueux de la volonté serait préférable, ce qui est l’inverse de ce qu’on vous demande de soutenir.</w:t>
      </w:r>
    </w:p>
    <w:p w14:paraId="68CCBC53"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Confusion entre euthanasie passive et arrêt des traitements.</w:t>
      </w:r>
      <w:r>
        <w:rPr>
          <w:rFonts w:ascii="Calibri" w:eastAsia="Calibri" w:hAnsi="Calibri" w:cs="Calibri"/>
          <w:color w:val="1A1A1A"/>
        </w:rPr>
        <w:t xml:space="preserve"> Le refus de directives anticipées manifestement inappropriées (</w:t>
      </w:r>
      <w:r>
        <w:rPr>
          <w:rFonts w:ascii="Calibri" w:eastAsia="Calibri" w:hAnsi="Calibri" w:cs="Calibri"/>
          <w:color w:val="1E88E5"/>
        </w:rPr>
        <w:t>art. L. 1111-11 CSP</w:t>
      </w:r>
      <w:r>
        <w:rPr>
          <w:rFonts w:ascii="Calibri" w:eastAsia="Calibri" w:hAnsi="Calibri" w:cs="Calibri"/>
          <w:color w:val="1A1A1A"/>
        </w:rPr>
        <w:t>) n’est pas une euthanasie, passive ou non : c’est une décision de soin encadrée par une procédure collégiale.</w:t>
      </w:r>
    </w:p>
    <w:p w14:paraId="1161AEB9"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plan n’est pas formulé en intitulés</w:t>
      </w:r>
      <w:r>
        <w:rPr>
          <w:rFonts w:ascii="Calibri" w:eastAsia="Calibri" w:hAnsi="Calibri" w:cs="Calibri"/>
          <w:color w:val="1A1A1A"/>
        </w:rPr>
        <w:t xml:space="preserve"> mais en phrases de paragraphe. À l’oral, il faut pouvoir annoncer deux titres brefs, audibles et mémorisables.</w:t>
      </w:r>
    </w:p>
    <w:p w14:paraId="6B789844"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L’accroche est invérifiable en l’état</w:t>
      </w:r>
      <w:r>
        <w:rPr>
          <w:rFonts w:ascii="Calibri" w:eastAsia="Calibri" w:hAnsi="Calibri" w:cs="Calibri"/>
          <w:color w:val="1A1A1A"/>
        </w:rPr>
        <w:t xml:space="preserve"> : sans nom ni date, un membre du jury qui la connaît vous demandera les deux.</w:t>
      </w:r>
    </w:p>
    <w:p w14:paraId="0C76573A" w14:textId="77777777" w:rsidR="00B13F99" w:rsidRDefault="00000000">
      <w:pPr>
        <w:spacing w:before="170" w:after="70"/>
      </w:pPr>
      <w:r>
        <w:rPr>
          <w:rFonts w:ascii="Calibri" w:eastAsia="Calibri" w:hAnsi="Calibri" w:cs="Calibri"/>
          <w:b/>
          <w:bCs/>
          <w:color w:val="1A1A1A"/>
        </w:rPr>
        <w:t>Le rattrapage</w:t>
      </w:r>
    </w:p>
    <w:p w14:paraId="32FCFC8D" w14:textId="77777777" w:rsidR="00B13F99" w:rsidRDefault="00000000">
      <w:pPr>
        <w:spacing w:after="90" w:line="264" w:lineRule="auto"/>
        <w:jc w:val="both"/>
      </w:pPr>
      <w:r>
        <w:rPr>
          <w:rFonts w:ascii="Calibri" w:eastAsia="Calibri" w:hAnsi="Calibri" w:cs="Calibri"/>
          <w:color w:val="1A1A1A"/>
        </w:rPr>
        <w:t>Conserver l’accroche et le I. Remplacer intégralement le II par « L’absence de tout droit qui la fonde » : pas de pendant négatif au droit à la vie (</w:t>
      </w:r>
      <w:r>
        <w:rPr>
          <w:rFonts w:ascii="Calibri" w:eastAsia="Calibri" w:hAnsi="Calibri" w:cs="Calibri"/>
          <w:color w:val="E91E63"/>
        </w:rPr>
        <w:t>Pretty</w:t>
      </w:r>
      <w:r>
        <w:rPr>
          <w:rFonts w:ascii="Calibri" w:eastAsia="Calibri" w:hAnsi="Calibri" w:cs="Calibri"/>
          <w:color w:val="1A1A1A"/>
        </w:rPr>
        <w:t xml:space="preserve">, </w:t>
      </w:r>
      <w:r>
        <w:rPr>
          <w:rFonts w:ascii="Calibri" w:eastAsia="Calibri" w:hAnsi="Calibri" w:cs="Calibri"/>
          <w:color w:val="E91E63"/>
        </w:rPr>
        <w:t>Karsai</w:t>
      </w:r>
      <w:r>
        <w:rPr>
          <w:rFonts w:ascii="Calibri" w:eastAsia="Calibri" w:hAnsi="Calibri" w:cs="Calibri"/>
          <w:color w:val="1A1A1A"/>
        </w:rPr>
        <w:t xml:space="preserve">), et une autonomie qui ne résiste pas à l’épreuve des faits (vulnérabilité, absence d’alternative palliative, contrôle a posteriori déficient — </w:t>
      </w:r>
      <w:r>
        <w:rPr>
          <w:rFonts w:ascii="Calibri" w:eastAsia="Calibri" w:hAnsi="Calibri" w:cs="Calibri"/>
          <w:color w:val="E91E63"/>
        </w:rPr>
        <w:t>Mortier</w:t>
      </w:r>
      <w:r>
        <w:rPr>
          <w:rFonts w:ascii="Calibri" w:eastAsia="Calibri" w:hAnsi="Calibri" w:cs="Calibri"/>
          <w:color w:val="1A1A1A"/>
        </w:rPr>
        <w:t>). La critique de la collégialité se replace alors comme un argument de ce nouveau II-B, et elle cesse d’être autodestructrice.</w:t>
      </w:r>
    </w:p>
    <w:p w14:paraId="2E7174B5" w14:textId="77777777" w:rsidR="00B13F99" w:rsidRDefault="00000000">
      <w:pPr>
        <w:spacing w:after="160"/>
      </w:pPr>
      <w:r>
        <w:rPr>
          <w:rFonts w:ascii="Calibri" w:eastAsia="Calibri" w:hAnsi="Calibri" w:cs="Calibri"/>
          <w:i/>
          <w:iCs/>
          <w:color w:val="5A5A5A"/>
          <w:sz w:val="18"/>
          <w:szCs w:val="18"/>
        </w:rPr>
        <w:t>Note indicative : 9,5 / 20</w:t>
      </w:r>
    </w:p>
    <w:p w14:paraId="5197022B" w14:textId="77777777" w:rsidR="00B13F99" w:rsidRDefault="00000000">
      <w:pPr>
        <w:pStyle w:val="Titre2"/>
        <w:spacing w:before="260" w:after="110"/>
      </w:pPr>
      <w:r>
        <w:rPr>
          <w:rFonts w:ascii="Calibri" w:eastAsia="Calibri" w:hAnsi="Calibri" w:cs="Calibri"/>
          <w:b/>
          <w:bCs/>
          <w:color w:val="1A1A1A"/>
          <w:spacing w:val="16"/>
          <w:sz w:val="23"/>
          <w:szCs w:val="23"/>
        </w:rPr>
        <w:t>Plan n° 17 — Droit matriciel puis atteinte</w:t>
      </w:r>
    </w:p>
    <w:p w14:paraId="293B113A"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 xml:space="preserve">I. Le droit à la vie, un droit matriciel à valeur fondamentale — A. Le droit positif du droit à la vie. B. Un droit inaliénable, en ce sens qu’on ne peut y renoncer (CEDH, </w:t>
      </w:r>
      <w:proofErr w:type="spellStart"/>
      <w:r>
        <w:rPr>
          <w:rFonts w:ascii="Calibri" w:eastAsia="Calibri" w:hAnsi="Calibri" w:cs="Calibri"/>
          <w:color w:val="1A1A1A"/>
        </w:rPr>
        <w:t>Streletz</w:t>
      </w:r>
      <w:proofErr w:type="spellEnd"/>
      <w:r>
        <w:rPr>
          <w:rFonts w:ascii="Calibri" w:eastAsia="Calibri" w:hAnsi="Calibri" w:cs="Calibri"/>
          <w:color w:val="1A1A1A"/>
        </w:rPr>
        <w:t xml:space="preserve"> c. Allemagne, 2001).</w:t>
      </w:r>
    </w:p>
    <w:p w14:paraId="5A109D3C"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II. L’euthanasie, une atteinte au droit à la vie — A. L’admission de l’euthanasie passive strictement conditionnée : preuve de la nécessaire protection du droit à la vie. B. Le constat d’une dichotomie entre la consécration légale d’un droit à mourir et le droit à la vie.</w:t>
      </w:r>
    </w:p>
    <w:p w14:paraId="4A6CE55B" w14:textId="77777777" w:rsidR="00B13F99" w:rsidRDefault="00000000">
      <w:pPr>
        <w:spacing w:before="170" w:after="70"/>
      </w:pPr>
      <w:r>
        <w:rPr>
          <w:rFonts w:ascii="Calibri" w:eastAsia="Calibri" w:hAnsi="Calibri" w:cs="Calibri"/>
          <w:b/>
          <w:bCs/>
          <w:color w:val="1A1A1A"/>
        </w:rPr>
        <w:t>Ce qui tient</w:t>
      </w:r>
    </w:p>
    <w:p w14:paraId="4EA7B6BD"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I-B est le meilleur argument produit dans tout le séminaire, tous sujets confondus.</w:t>
      </w:r>
      <w:r>
        <w:rPr>
          <w:rFonts w:ascii="Calibri" w:eastAsia="Calibri" w:hAnsi="Calibri" w:cs="Calibri"/>
          <w:color w:val="1A1A1A"/>
        </w:rPr>
        <w:t xml:space="preserve"> Fonder la thèse sur l’</w:t>
      </w:r>
      <w:r>
        <w:rPr>
          <w:rFonts w:ascii="Calibri" w:eastAsia="Calibri" w:hAnsi="Calibri" w:cs="Calibri"/>
          <w:b/>
          <w:bCs/>
          <w:color w:val="1A1A1A"/>
        </w:rPr>
        <w:t>inaliénabilité</w:t>
      </w:r>
      <w:r>
        <w:rPr>
          <w:rFonts w:ascii="Calibri" w:eastAsia="Calibri" w:hAnsi="Calibri" w:cs="Calibri"/>
          <w:color w:val="1A1A1A"/>
        </w:rPr>
        <w:t xml:space="preserve"> — on ne peut renoncer à ce dont on ne peut disposer — et l’adosser à </w:t>
      </w:r>
      <w:proofErr w:type="spellStart"/>
      <w:r>
        <w:rPr>
          <w:rFonts w:ascii="Calibri" w:eastAsia="Calibri" w:hAnsi="Calibri" w:cs="Calibri"/>
          <w:color w:val="E91E63"/>
        </w:rPr>
        <w:t>Streletz</w:t>
      </w:r>
      <w:proofErr w:type="spellEnd"/>
      <w:r>
        <w:rPr>
          <w:rFonts w:ascii="Calibri" w:eastAsia="Calibri" w:hAnsi="Calibri" w:cs="Calibri"/>
          <w:color w:val="E91E63"/>
        </w:rPr>
        <w:t>, Kessler et Krenz c. Allemagne, 2001</w:t>
      </w:r>
      <w:r>
        <w:rPr>
          <w:rFonts w:ascii="Calibri" w:eastAsia="Calibri" w:hAnsi="Calibri" w:cs="Calibri"/>
          <w:color w:val="1A1A1A"/>
        </w:rPr>
        <w:t xml:space="preserve"> est un raisonnement de très bon niveau. C’est un argument que peu de candidats connaissent et qu’aucun jury ne pourra écarter d’un revers de main.</w:t>
      </w:r>
    </w:p>
    <w:p w14:paraId="131A52F8"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II-A est une figure d’argumentation remarquable</w:t>
      </w:r>
      <w:r>
        <w:rPr>
          <w:rFonts w:ascii="Calibri" w:eastAsia="Calibri" w:hAnsi="Calibri" w:cs="Calibri"/>
          <w:color w:val="1A1A1A"/>
        </w:rPr>
        <w:t xml:space="preserve"> : retourner la rigueur des conditions légales en preuve de la nécessité de protéger. Si le législateur a dû poser cinq conditions cumulatives, c’est que l’acte n’est pas anodin. C’est le réflexe argumentatif exact de l’exercice.</w:t>
      </w:r>
    </w:p>
    <w:p w14:paraId="73EDB38E"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La structure principe / atteinte est la plus simple et la plus lisible pour ce type de sujet.</w:t>
      </w:r>
    </w:p>
    <w:p w14:paraId="010E4906" w14:textId="77777777" w:rsidR="00B13F99" w:rsidRDefault="00000000">
      <w:pPr>
        <w:spacing w:before="170" w:after="70"/>
      </w:pPr>
      <w:r>
        <w:rPr>
          <w:rFonts w:ascii="Calibri" w:eastAsia="Calibri" w:hAnsi="Calibri" w:cs="Calibri"/>
          <w:b/>
          <w:bCs/>
          <w:color w:val="1A1A1A"/>
        </w:rPr>
        <w:t>Ce qui ne tient pas</w:t>
      </w:r>
    </w:p>
    <w:p w14:paraId="1C141704"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 Matriciel » est mal employé.</w:t>
      </w:r>
      <w:r>
        <w:rPr>
          <w:rFonts w:ascii="Calibri" w:eastAsia="Calibri" w:hAnsi="Calibri" w:cs="Calibri"/>
          <w:color w:val="1A1A1A"/>
        </w:rPr>
        <w:t xml:space="preserve"> L’adjectif est réservé, en droit des libertés, à la </w:t>
      </w:r>
      <w:r>
        <w:rPr>
          <w:rFonts w:ascii="Calibri" w:eastAsia="Calibri" w:hAnsi="Calibri" w:cs="Calibri"/>
          <w:b/>
          <w:bCs/>
          <w:color w:val="1A1A1A"/>
        </w:rPr>
        <w:t>dignité</w:t>
      </w:r>
      <w:r>
        <w:rPr>
          <w:rFonts w:ascii="Calibri" w:eastAsia="Calibri" w:hAnsi="Calibri" w:cs="Calibri"/>
          <w:color w:val="1A1A1A"/>
        </w:rPr>
        <w:t xml:space="preserve">, qualifiée de valeur matricielle parce qu’elle irrigue les autres droits. Appliqué au droit à la vie, il est contestable et sera discuté : le droit à la vie est la </w:t>
      </w:r>
      <w:r>
        <w:rPr>
          <w:rFonts w:ascii="Calibri" w:eastAsia="Calibri" w:hAnsi="Calibri" w:cs="Calibri"/>
          <w:i/>
          <w:iCs/>
          <w:color w:val="1A1A1A"/>
        </w:rPr>
        <w:t>condition</w:t>
      </w:r>
      <w:r>
        <w:rPr>
          <w:rFonts w:ascii="Calibri" w:eastAsia="Calibri" w:hAnsi="Calibri" w:cs="Calibri"/>
          <w:color w:val="1A1A1A"/>
        </w:rPr>
        <w:t xml:space="preserve"> d’exercice des autres droits, non leur matrice.</w:t>
      </w:r>
    </w:p>
    <w:p w14:paraId="49C3B1E5"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 La consécration légale d’un droit à mourir » est inexacte.</w:t>
      </w:r>
      <w:r>
        <w:rPr>
          <w:rFonts w:ascii="Calibri" w:eastAsia="Calibri" w:hAnsi="Calibri" w:cs="Calibri"/>
          <w:color w:val="1A1A1A"/>
        </w:rPr>
        <w:t xml:space="preserve"> La loi du 18 août 2026 ne consacre pas un droit à mourir mais un droit à l’aide à mourir, enfermé dans cinq conditions, et fondé sur l’auto-administration. La différence est celle qui sépare une faculté générale d’un dispositif d’exception.</w:t>
      </w:r>
    </w:p>
    <w:p w14:paraId="738C816E"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mot « dichotomie » est impropre</w:t>
      </w:r>
      <w:r>
        <w:rPr>
          <w:rFonts w:ascii="Calibri" w:eastAsia="Calibri" w:hAnsi="Calibri" w:cs="Calibri"/>
          <w:color w:val="1A1A1A"/>
        </w:rPr>
        <w:t>, ici encore : le candidat veut dire tension ou contradiction.</w:t>
      </w:r>
    </w:p>
    <w:p w14:paraId="704E5C62"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L’intitulé du travail — « qu’en pensez-vous » — trahit une mauvaise lecture de la consigne.</w:t>
      </w:r>
      <w:r>
        <w:rPr>
          <w:rFonts w:ascii="Calibri" w:eastAsia="Calibri" w:hAnsi="Calibri" w:cs="Calibri"/>
          <w:color w:val="1A1A1A"/>
        </w:rPr>
        <w:t xml:space="preserve"> Le sujet ne demande pas un avis, il assigne une thèse. Ce n’est pas anodin : la posture commande tout le vocabulaire de l’exposé.</w:t>
      </w:r>
    </w:p>
    <w:p w14:paraId="093B0C5F" w14:textId="77777777" w:rsidR="00B13F99" w:rsidRDefault="00000000">
      <w:pPr>
        <w:spacing w:before="170" w:after="70"/>
      </w:pPr>
      <w:r>
        <w:rPr>
          <w:rFonts w:ascii="Calibri" w:eastAsia="Calibri" w:hAnsi="Calibri" w:cs="Calibri"/>
          <w:b/>
          <w:bCs/>
          <w:color w:val="1A1A1A"/>
        </w:rPr>
        <w:t>Le rattrapage</w:t>
      </w:r>
    </w:p>
    <w:p w14:paraId="39565A39" w14:textId="77777777" w:rsidR="00B13F99" w:rsidRDefault="00000000">
      <w:pPr>
        <w:spacing w:after="90" w:line="264" w:lineRule="auto"/>
        <w:jc w:val="both"/>
      </w:pPr>
      <w:r>
        <w:rPr>
          <w:rFonts w:ascii="Calibri" w:eastAsia="Calibri" w:hAnsi="Calibri" w:cs="Calibri"/>
          <w:color w:val="1A1A1A"/>
        </w:rPr>
        <w:t>Remplacer « matriciel » par « indisponible » ou « inaliénable », rectifier la qualification de la loi de 2026, et assumer la posture de l’argumentation imposée dès la première phrase. Le I-B et le II-A méritent d’être développés : ce sont deux arguments de très bon niveau qui, correctement exposés, portent la copie loin.</w:t>
      </w:r>
    </w:p>
    <w:p w14:paraId="40D02203" w14:textId="77777777" w:rsidR="00B13F99" w:rsidRDefault="00000000">
      <w:pPr>
        <w:spacing w:after="160"/>
      </w:pPr>
      <w:r>
        <w:rPr>
          <w:rFonts w:ascii="Calibri" w:eastAsia="Calibri" w:hAnsi="Calibri" w:cs="Calibri"/>
          <w:i/>
          <w:iCs/>
          <w:color w:val="5A5A5A"/>
          <w:sz w:val="18"/>
          <w:szCs w:val="18"/>
        </w:rPr>
        <w:t>Note indicative : 13 / 20</w:t>
      </w:r>
    </w:p>
    <w:p w14:paraId="0BB596BF" w14:textId="77777777" w:rsidR="00B13F99" w:rsidRDefault="00000000">
      <w:pPr>
        <w:pStyle w:val="Titre2"/>
        <w:spacing w:before="260" w:after="110"/>
      </w:pPr>
      <w:r>
        <w:rPr>
          <w:rFonts w:ascii="Calibri" w:eastAsia="Calibri" w:hAnsi="Calibri" w:cs="Calibri"/>
          <w:b/>
          <w:bCs/>
          <w:color w:val="1A1A1A"/>
          <w:spacing w:val="16"/>
          <w:sz w:val="23"/>
          <w:szCs w:val="23"/>
        </w:rPr>
        <w:lastRenderedPageBreak/>
        <w:t>Plan n° 18 — Interdiction absolue puis atténuation</w:t>
      </w:r>
    </w:p>
    <w:p w14:paraId="5064E611"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 Le principe d’interdiction absolue de donner la mort à autrui — A. Interdiction de donner la mort intentionnellement (code pénal). B. Rapprochement avec l’abolition de la peine de mort (Robert Badinter, Pacte international, arrêts CEDH).</w:t>
      </w:r>
    </w:p>
    <w:p w14:paraId="49DAFB5C"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II. L’atténuation de ce principe au titre d’un droit à la fin de vie digne — A. Inexistence d’un pendant négatif au droit à la vie (CEDH, Pretty c. RU, 2002 : pas de droit à mourir ; atténuation par l’interdiction de l’obstination déraisonnable, affaire Lambert). B. L’effet contraire provoqué par l’aide active à mourir, entraînant un risque de choisir la mort plutôt que la vie (entrave aux soins palliatifs, loi Claeys-Leonetti, sédation profonde).</w:t>
      </w:r>
    </w:p>
    <w:p w14:paraId="70E9C273"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Ouverture : interdiction faite aux médecins de donner délibérément la mort (code de la santé publique) et compatibilité de la loi du 18 août 2026 avec le serment d’Hippocrate.</w:t>
      </w:r>
    </w:p>
    <w:p w14:paraId="52D5A14C" w14:textId="77777777" w:rsidR="00B13F99" w:rsidRDefault="00000000">
      <w:pPr>
        <w:spacing w:before="170" w:after="70"/>
      </w:pPr>
      <w:r>
        <w:rPr>
          <w:rFonts w:ascii="Calibri" w:eastAsia="Calibri" w:hAnsi="Calibri" w:cs="Calibri"/>
          <w:b/>
          <w:bCs/>
          <w:color w:val="1A1A1A"/>
        </w:rPr>
        <w:t>Ce qui tient</w:t>
      </w:r>
    </w:p>
    <w:p w14:paraId="6899D39F"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contenu du II est excellent et sert parfaitement la thèse.</w:t>
      </w:r>
      <w:r>
        <w:rPr>
          <w:rFonts w:ascii="Calibri" w:eastAsia="Calibri" w:hAnsi="Calibri" w:cs="Calibri"/>
          <w:color w:val="1A1A1A"/>
        </w:rPr>
        <w:t xml:space="preserve"> « Le risque de choisir la mort plutôt que la vie » reprend presque mot pour mot la formule de </w:t>
      </w:r>
      <w:r>
        <w:rPr>
          <w:rFonts w:ascii="Calibri" w:eastAsia="Calibri" w:hAnsi="Calibri" w:cs="Calibri"/>
          <w:color w:val="E91E63"/>
        </w:rPr>
        <w:t>Pretty</w:t>
      </w:r>
      <w:r>
        <w:rPr>
          <w:rFonts w:ascii="Calibri" w:eastAsia="Calibri" w:hAnsi="Calibri" w:cs="Calibri"/>
          <w:color w:val="1A1A1A"/>
        </w:rPr>
        <w:t xml:space="preserve"> — la Cour y refuse que l’article 2 confère « le droit de choisir la mort plutôt que la vie ». Citer sans le savoir la formule exacte de l’arrêt est un bon signe.</w:t>
      </w:r>
    </w:p>
    <w:p w14:paraId="705873FE"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L’argument de l’entrave aux soins palliatifs est le plus fort de la copie</w:t>
      </w:r>
      <w:r>
        <w:rPr>
          <w:rFonts w:ascii="Calibri" w:eastAsia="Calibri" w:hAnsi="Calibri" w:cs="Calibri"/>
          <w:color w:val="1A1A1A"/>
        </w:rPr>
        <w:t xml:space="preserve"> : il prépare l’idée qu’un consentement sans alternative n’est pas un consentement libre.</w:t>
      </w:r>
    </w:p>
    <w:p w14:paraId="0C66D36F"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L’ouverture est la meilleure du séminaire</w:t>
      </w:r>
      <w:r>
        <w:rPr>
          <w:rFonts w:ascii="Calibri" w:eastAsia="Calibri" w:hAnsi="Calibri" w:cs="Calibri"/>
          <w:color w:val="1A1A1A"/>
        </w:rPr>
        <w:t xml:space="preserve"> : l’</w:t>
      </w:r>
      <w:r>
        <w:rPr>
          <w:rFonts w:ascii="Calibri" w:eastAsia="Calibri" w:hAnsi="Calibri" w:cs="Calibri"/>
          <w:color w:val="1E88E5"/>
        </w:rPr>
        <w:t>article R. 4127-38 du code de la santé publique</w:t>
      </w:r>
      <w:r>
        <w:rPr>
          <w:rFonts w:ascii="Calibri" w:eastAsia="Calibri" w:hAnsi="Calibri" w:cs="Calibri"/>
          <w:color w:val="1A1A1A"/>
        </w:rPr>
        <w:t xml:space="preserve"> — le médecin « n’a pas le droit de provoquer délibérément la mort » — n’a pas été abrogé, et son articulation avec la loi de 2026 est une vraie question. C’est exactement le type d’ouverture qui appelle une bonne question du jury.</w:t>
      </w:r>
    </w:p>
    <w:p w14:paraId="5FC9FC0D"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Le rapprochement avec l’abolition de la peine de mort est pertinent : l’État qui s’interdit de donner la mort au pire criminel peut difficilement l’administrer au malade.</w:t>
      </w:r>
    </w:p>
    <w:p w14:paraId="62D75770" w14:textId="77777777" w:rsidR="00B13F99" w:rsidRDefault="00000000">
      <w:pPr>
        <w:spacing w:before="170" w:after="70"/>
      </w:pPr>
      <w:r>
        <w:rPr>
          <w:rFonts w:ascii="Calibri" w:eastAsia="Calibri" w:hAnsi="Calibri" w:cs="Calibri"/>
          <w:b/>
          <w:bCs/>
          <w:color w:val="1A1A1A"/>
        </w:rPr>
        <w:t>Ce qui ne tient pas</w:t>
      </w:r>
    </w:p>
    <w:p w14:paraId="7A423FEC"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titre du II ruine la démonstration.</w:t>
      </w:r>
      <w:r>
        <w:rPr>
          <w:rFonts w:ascii="Calibri" w:eastAsia="Calibri" w:hAnsi="Calibri" w:cs="Calibri"/>
          <w:color w:val="1A1A1A"/>
        </w:rPr>
        <w:t xml:space="preserve"> « L’atténuation de ce principe » annonce au jury que vous allez affaiblir votre propre thèse. Dans un exercice d’argumentation imposée, c’est la faute la plus coûteuse — et elle est d’autant plus rageante que le </w:t>
      </w:r>
      <w:r>
        <w:rPr>
          <w:rFonts w:ascii="Calibri" w:eastAsia="Calibri" w:hAnsi="Calibri" w:cs="Calibri"/>
          <w:i/>
          <w:iCs/>
          <w:color w:val="1A1A1A"/>
        </w:rPr>
        <w:t>contenu</w:t>
      </w:r>
      <w:r>
        <w:rPr>
          <w:rFonts w:ascii="Calibri" w:eastAsia="Calibri" w:hAnsi="Calibri" w:cs="Calibri"/>
          <w:color w:val="1A1A1A"/>
        </w:rPr>
        <w:t xml:space="preserve"> du II soutient la thèse sans faiblir. Le mal est purement dans l’étiquette.</w:t>
      </w:r>
    </w:p>
    <w:p w14:paraId="5A9B3193"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II-A est bâti sur un contresens interne</w:t>
      </w:r>
      <w:r>
        <w:rPr>
          <w:rFonts w:ascii="Calibri" w:eastAsia="Calibri" w:hAnsi="Calibri" w:cs="Calibri"/>
          <w:color w:val="1A1A1A"/>
        </w:rPr>
        <w:t xml:space="preserve"> : on y annonce l’« inexistence d’un pendant négatif » — donc un argument </w:t>
      </w:r>
      <w:r>
        <w:rPr>
          <w:rFonts w:ascii="Calibri" w:eastAsia="Calibri" w:hAnsi="Calibri" w:cs="Calibri"/>
          <w:i/>
          <w:iCs/>
          <w:color w:val="1A1A1A"/>
        </w:rPr>
        <w:t>pour</w:t>
      </w:r>
      <w:r>
        <w:rPr>
          <w:rFonts w:ascii="Calibri" w:eastAsia="Calibri" w:hAnsi="Calibri" w:cs="Calibri"/>
          <w:color w:val="1A1A1A"/>
        </w:rPr>
        <w:t xml:space="preserve"> la thèse — sous un titre de partie qui annonce une atténuation. Le jury ne saura plus ce que vous soutenez.</w:t>
      </w:r>
    </w:p>
    <w:p w14:paraId="0EC9C360"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 xml:space="preserve">« Pacte PIDCD » </w:t>
      </w:r>
      <w:r>
        <w:rPr>
          <w:rFonts w:ascii="Calibri" w:eastAsia="Calibri" w:hAnsi="Calibri" w:cs="Calibri"/>
          <w:color w:val="1A1A1A"/>
        </w:rPr>
        <w:t xml:space="preserve"> : lire </w:t>
      </w:r>
      <w:r>
        <w:rPr>
          <w:rFonts w:ascii="Calibri" w:eastAsia="Calibri" w:hAnsi="Calibri" w:cs="Calibri"/>
          <w:color w:val="1E88E5"/>
        </w:rPr>
        <w:t>PIDCP</w:t>
      </w:r>
      <w:r>
        <w:rPr>
          <w:rFonts w:ascii="Calibri" w:eastAsia="Calibri" w:hAnsi="Calibri" w:cs="Calibri"/>
          <w:color w:val="1A1A1A"/>
        </w:rPr>
        <w:t>, Pacte international relatif aux droits civils et politiques.</w:t>
      </w:r>
    </w:p>
    <w:p w14:paraId="6D58EDB9"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I-A se réduit au code pénal</w:t>
      </w:r>
      <w:r>
        <w:rPr>
          <w:rFonts w:ascii="Calibri" w:eastAsia="Calibri" w:hAnsi="Calibri" w:cs="Calibri"/>
          <w:color w:val="1A1A1A"/>
        </w:rPr>
        <w:t xml:space="preserve"> : il manque le fondement conventionnel, l’</w:t>
      </w:r>
      <w:r>
        <w:rPr>
          <w:rFonts w:ascii="Calibri" w:eastAsia="Calibri" w:hAnsi="Calibri" w:cs="Calibri"/>
          <w:color w:val="1E88E5"/>
        </w:rPr>
        <w:t>article 2 § 1 de la Convention</w:t>
      </w:r>
      <w:r>
        <w:rPr>
          <w:rFonts w:ascii="Calibri" w:eastAsia="Calibri" w:hAnsi="Calibri" w:cs="Calibri"/>
          <w:color w:val="1A1A1A"/>
        </w:rPr>
        <w:t xml:space="preserve"> et le caractère limitatif des exceptions du § 2.</w:t>
      </w:r>
    </w:p>
    <w:p w14:paraId="07A4C6B9" w14:textId="77777777" w:rsidR="00B13F99" w:rsidRDefault="00000000">
      <w:pPr>
        <w:spacing w:before="170" w:after="70"/>
      </w:pPr>
      <w:r>
        <w:rPr>
          <w:rFonts w:ascii="Calibri" w:eastAsia="Calibri" w:hAnsi="Calibri" w:cs="Calibri"/>
          <w:b/>
          <w:bCs/>
          <w:color w:val="1A1A1A"/>
        </w:rPr>
        <w:t>Le rattrapage</w:t>
      </w:r>
    </w:p>
    <w:p w14:paraId="57686C11" w14:textId="77777777" w:rsidR="00B13F99" w:rsidRDefault="00000000">
      <w:pPr>
        <w:spacing w:after="90" w:line="264" w:lineRule="auto"/>
        <w:jc w:val="both"/>
      </w:pPr>
      <w:r>
        <w:rPr>
          <w:rFonts w:ascii="Calibri" w:eastAsia="Calibri" w:hAnsi="Calibri" w:cs="Calibri"/>
          <w:color w:val="1A1A1A"/>
        </w:rPr>
        <w:t>Une seule correction change tout : rebaptiser le II « L’absence de tout droit qui viendrait fonder cette pratique ». Le contenu reste identique, la thèse redevient tenue, et la copie gagne deux points sans qu’une ligne de fond soit modifiée. Ajouter ensuite l’</w:t>
      </w:r>
      <w:r>
        <w:rPr>
          <w:rFonts w:ascii="Calibri" w:eastAsia="Calibri" w:hAnsi="Calibri" w:cs="Calibri"/>
          <w:color w:val="1E88E5"/>
        </w:rPr>
        <w:t>article 2 de la Convention</w:t>
      </w:r>
      <w:r>
        <w:rPr>
          <w:rFonts w:ascii="Calibri" w:eastAsia="Calibri" w:hAnsi="Calibri" w:cs="Calibri"/>
          <w:color w:val="1A1A1A"/>
        </w:rPr>
        <w:t xml:space="preserve"> au I-A.</w:t>
      </w:r>
    </w:p>
    <w:p w14:paraId="5C069F3E" w14:textId="77777777" w:rsidR="00B13F99" w:rsidRDefault="00000000">
      <w:pPr>
        <w:spacing w:after="160"/>
      </w:pPr>
      <w:r>
        <w:rPr>
          <w:rFonts w:ascii="Calibri" w:eastAsia="Calibri" w:hAnsi="Calibri" w:cs="Calibri"/>
          <w:i/>
          <w:iCs/>
          <w:color w:val="5A5A5A"/>
          <w:sz w:val="18"/>
          <w:szCs w:val="18"/>
        </w:rPr>
        <w:t>Note indicative : 11 / 20</w:t>
      </w:r>
    </w:p>
    <w:p w14:paraId="0517E9EA" w14:textId="77777777" w:rsidR="00B13F99" w:rsidRDefault="00000000">
      <w:pPr>
        <w:pStyle w:val="Titre2"/>
        <w:spacing w:before="260" w:after="110"/>
      </w:pPr>
      <w:r>
        <w:rPr>
          <w:rFonts w:ascii="Calibri" w:eastAsia="Calibri" w:hAnsi="Calibri" w:cs="Calibri"/>
          <w:b/>
          <w:bCs/>
          <w:color w:val="1A1A1A"/>
          <w:spacing w:val="16"/>
          <w:sz w:val="23"/>
          <w:szCs w:val="23"/>
        </w:rPr>
        <w:t>Plan n° 19 — Principe indisponible puis fragilisation des vulnérables</w:t>
      </w:r>
    </w:p>
    <w:p w14:paraId="01756810"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 Un droit à la vie comme principe supérieur et indisponible dans notre ordre juridique — A. L’inviolabilité du droit à la vie et le rôle protecteur de l’État (droit fondamental inaliénable garanti au niveau constitutionnel ; obligation positive de protection). B. L’étanchéité de l’interdiction pénale de donner la mort (universalité de l’incrimination ; brèche irréversible ; rupture d’égalité devant la loi pénale).</w:t>
      </w:r>
    </w:p>
    <w:p w14:paraId="1025EE2E" w14:textId="77777777" w:rsidR="00B13F99" w:rsidRDefault="00000000">
      <w:pPr>
        <w:pBdr>
          <w:left w:val="single" w:sz="12" w:space="10" w:color="8C1C2B"/>
        </w:pBdr>
        <w:spacing w:after="90" w:line="264" w:lineRule="auto"/>
        <w:ind w:left="260"/>
        <w:jc w:val="both"/>
      </w:pPr>
      <w:r>
        <w:rPr>
          <w:rFonts w:ascii="Calibri" w:eastAsia="Calibri" w:hAnsi="Calibri" w:cs="Calibri"/>
          <w:color w:val="1A1A1A"/>
        </w:rPr>
        <w:t>II. L’euthanasie fragilise les personnes les plus vulnérables tout en dévoyant la mission fondamentale de la médecine — A. Le risque sociétal pour les personnes fragiles (pression insidieuse ; extension inéluctable des critères). B. La préservation du cadre de déontologie médicale et la voie des soins palliatifs (serment d’Hippocrate ; clause de conscience maintenue dans la loi du 18 août 2026).</w:t>
      </w:r>
    </w:p>
    <w:p w14:paraId="1A2F0F50" w14:textId="77777777" w:rsidR="00B13F99" w:rsidRDefault="00000000">
      <w:pPr>
        <w:spacing w:before="170" w:after="70"/>
      </w:pPr>
      <w:r>
        <w:rPr>
          <w:rFonts w:ascii="Calibri" w:eastAsia="Calibri" w:hAnsi="Calibri" w:cs="Calibri"/>
          <w:b/>
          <w:bCs/>
          <w:color w:val="1A1A1A"/>
        </w:rPr>
        <w:t>Ce qui tient</w:t>
      </w:r>
    </w:p>
    <w:p w14:paraId="1A6B42AC"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 est le plus solide de tous les I du séminaire.</w:t>
      </w:r>
      <w:r>
        <w:rPr>
          <w:rFonts w:ascii="Calibri" w:eastAsia="Calibri" w:hAnsi="Calibri" w:cs="Calibri"/>
          <w:color w:val="1A1A1A"/>
        </w:rPr>
        <w:t xml:space="preserve"> Trois mots le portent : « indisponible », « inviolabilité », « étanchéité ». Le vocabulaire est celui d’un juriste, et il </w:t>
      </w:r>
      <w:proofErr w:type="gramStart"/>
      <w:r>
        <w:rPr>
          <w:rFonts w:ascii="Calibri" w:eastAsia="Calibri" w:hAnsi="Calibri" w:cs="Calibri"/>
          <w:color w:val="1A1A1A"/>
        </w:rPr>
        <w:t>fait</w:t>
      </w:r>
      <w:proofErr w:type="gramEnd"/>
      <w:r>
        <w:rPr>
          <w:rFonts w:ascii="Calibri" w:eastAsia="Calibri" w:hAnsi="Calibri" w:cs="Calibri"/>
          <w:color w:val="1A1A1A"/>
        </w:rPr>
        <w:t xml:space="preserve"> le travail.</w:t>
      </w:r>
    </w:p>
    <w:p w14:paraId="1FE99112"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La rupture d’égalité devant la loi pénale est un argument constitutionnel inattendu et réellement exploitable</w:t>
      </w:r>
      <w:r>
        <w:rPr>
          <w:rFonts w:ascii="Calibri" w:eastAsia="Calibri" w:hAnsi="Calibri" w:cs="Calibri"/>
          <w:color w:val="1A1A1A"/>
        </w:rPr>
        <w:t xml:space="preserve"> : si le meurtre est réprimé pour tous sauf dans une hypothèse définie par l’état de santé de la victime, la différence de traitement doit être justifiée par une différence de situation en rapport avec l’objet de la loi. C’est un argument que personne d’autre n’a produit.</w:t>
      </w:r>
    </w:p>
    <w:p w14:paraId="5E6F33CB"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Le II-B est juste : la clause de conscience figure bien dans la loi, et le Conseil constitutionnel l’a même étendue au pharmacien par voie de réserve.</w:t>
      </w:r>
    </w:p>
    <w:p w14:paraId="6B22E98B"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L’expression « brèche irréversible » est efficace à l’oral, à condition d’être étayée.</w:t>
      </w:r>
    </w:p>
    <w:p w14:paraId="35666638" w14:textId="77777777" w:rsidR="00B13F99" w:rsidRDefault="00000000">
      <w:pPr>
        <w:spacing w:before="170" w:after="70"/>
      </w:pPr>
      <w:r>
        <w:rPr>
          <w:rFonts w:ascii="Calibri" w:eastAsia="Calibri" w:hAnsi="Calibri" w:cs="Calibri"/>
          <w:b/>
          <w:bCs/>
          <w:color w:val="1A1A1A"/>
        </w:rPr>
        <w:t>Ce qui ne tient pas</w:t>
      </w:r>
    </w:p>
    <w:p w14:paraId="346C3B66"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Erreur de fond : le droit à la vie n’est pas garanti « au niveau constitutionnel » en droit français.</w:t>
      </w:r>
      <w:r>
        <w:rPr>
          <w:rFonts w:ascii="Calibri" w:eastAsia="Calibri" w:hAnsi="Calibri" w:cs="Calibri"/>
          <w:color w:val="1A1A1A"/>
        </w:rPr>
        <w:t xml:space="preserve"> La Constitution ne le consacre pas expressément — c’est même un point que les jurys aiment faire dire. Il se rattache indirectement au principe de sauvegarde de la dignité (</w:t>
      </w:r>
      <w:r>
        <w:rPr>
          <w:rFonts w:ascii="Calibri" w:eastAsia="Calibri" w:hAnsi="Calibri" w:cs="Calibri"/>
          <w:color w:val="E91E63"/>
        </w:rPr>
        <w:t>Cons. const., 27 juillet 1994, n° 94-343/344 DC</w:t>
      </w:r>
      <w:r>
        <w:rPr>
          <w:rFonts w:ascii="Calibri" w:eastAsia="Calibri" w:hAnsi="Calibri" w:cs="Calibri"/>
          <w:color w:val="1A1A1A"/>
        </w:rPr>
        <w:t>), et l’</w:t>
      </w:r>
      <w:r>
        <w:rPr>
          <w:rFonts w:ascii="Calibri" w:eastAsia="Calibri" w:hAnsi="Calibri" w:cs="Calibri"/>
          <w:color w:val="1E88E5"/>
        </w:rPr>
        <w:t>article 66-1</w:t>
      </w:r>
      <w:r>
        <w:rPr>
          <w:rFonts w:ascii="Calibri" w:eastAsia="Calibri" w:hAnsi="Calibri" w:cs="Calibri"/>
          <w:color w:val="1A1A1A"/>
        </w:rPr>
        <w:t xml:space="preserve"> ne vise que la peine de mort.</w:t>
      </w:r>
    </w:p>
    <w:p w14:paraId="372F95B7"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II est extra-juridique et il est fragile.</w:t>
      </w:r>
      <w:r>
        <w:rPr>
          <w:rFonts w:ascii="Calibri" w:eastAsia="Calibri" w:hAnsi="Calibri" w:cs="Calibri"/>
          <w:color w:val="1A1A1A"/>
        </w:rPr>
        <w:t xml:space="preserve"> « Pression insidieuse », « extension inéluctable des critères », « verrou éthique levé », « la fin de vie s’ouvre aux mineurs ou aux personnes se lassant simplement de vivre » : c’est l’argument de la pente glissante. Devant trois juristes, il appelle une réplique immédiate — sur quelles données ? dans quel pays ? avec quelle méthode ? — et la copie n’a rien à répondre.</w:t>
      </w:r>
    </w:p>
    <w:p w14:paraId="378F6945"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serment d’Hippocrate n’est pas une source du droit.</w:t>
      </w:r>
      <w:r>
        <w:rPr>
          <w:rFonts w:ascii="Calibri" w:eastAsia="Calibri" w:hAnsi="Calibri" w:cs="Calibri"/>
          <w:color w:val="1A1A1A"/>
        </w:rPr>
        <w:t xml:space="preserve"> Le visa juridique est l’</w:t>
      </w:r>
      <w:r>
        <w:rPr>
          <w:rFonts w:ascii="Calibri" w:eastAsia="Calibri" w:hAnsi="Calibri" w:cs="Calibri"/>
          <w:color w:val="1E88E5"/>
        </w:rPr>
        <w:t>article R. 4127-38 du code de la santé publique</w:t>
      </w:r>
      <w:r>
        <w:rPr>
          <w:rFonts w:ascii="Calibri" w:eastAsia="Calibri" w:hAnsi="Calibri" w:cs="Calibri"/>
          <w:color w:val="1A1A1A"/>
        </w:rPr>
        <w:t>, qui a valeur réglementaire. L’invoquer sous sa forme juridique double la force de l’argument et supprime la réplique.</w:t>
      </w:r>
    </w:p>
    <w:p w14:paraId="13C6431A"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texte du plan est collé deux fois</w:t>
      </w:r>
      <w:r>
        <w:rPr>
          <w:rFonts w:ascii="Calibri" w:eastAsia="Calibri" w:hAnsi="Calibri" w:cs="Calibri"/>
          <w:color w:val="1A1A1A"/>
        </w:rPr>
        <w:t xml:space="preserve"> dans les notes : vérifier le brouillon avant de le remettre ou de l’exposer.</w:t>
      </w:r>
    </w:p>
    <w:p w14:paraId="3808F76A" w14:textId="77777777" w:rsidR="00B13F99" w:rsidRDefault="00000000">
      <w:pPr>
        <w:spacing w:before="170" w:after="70"/>
      </w:pPr>
      <w:r>
        <w:rPr>
          <w:rFonts w:ascii="Calibri" w:eastAsia="Calibri" w:hAnsi="Calibri" w:cs="Calibri"/>
          <w:b/>
          <w:bCs/>
          <w:color w:val="1A1A1A"/>
        </w:rPr>
        <w:t>Le rattrapage</w:t>
      </w:r>
    </w:p>
    <w:p w14:paraId="4B087579" w14:textId="77777777" w:rsidR="00B13F99" w:rsidRDefault="00000000">
      <w:pPr>
        <w:spacing w:after="90" w:line="264" w:lineRule="auto"/>
        <w:jc w:val="both"/>
      </w:pPr>
      <w:r>
        <w:rPr>
          <w:rFonts w:ascii="Calibri" w:eastAsia="Calibri" w:hAnsi="Calibri" w:cs="Calibri"/>
          <w:color w:val="1A1A1A"/>
        </w:rPr>
        <w:t>Garder le I intégralement en corrigeant le fondement constitutionnel. Réécrire le II sur des bases juridiques : en A, l’absence de pendant négatif au droit à la vie (</w:t>
      </w:r>
      <w:r>
        <w:rPr>
          <w:rFonts w:ascii="Calibri" w:eastAsia="Calibri" w:hAnsi="Calibri" w:cs="Calibri"/>
          <w:color w:val="E91E63"/>
        </w:rPr>
        <w:t>Pretty</w:t>
      </w:r>
      <w:r>
        <w:rPr>
          <w:rFonts w:ascii="Calibri" w:eastAsia="Calibri" w:hAnsi="Calibri" w:cs="Calibri"/>
          <w:color w:val="1A1A1A"/>
        </w:rPr>
        <w:t xml:space="preserve">, </w:t>
      </w:r>
      <w:r>
        <w:rPr>
          <w:rFonts w:ascii="Calibri" w:eastAsia="Calibri" w:hAnsi="Calibri" w:cs="Calibri"/>
          <w:color w:val="E91E63"/>
        </w:rPr>
        <w:t>Karsai</w:t>
      </w:r>
      <w:r>
        <w:rPr>
          <w:rFonts w:ascii="Calibri" w:eastAsia="Calibri" w:hAnsi="Calibri" w:cs="Calibri"/>
          <w:color w:val="1A1A1A"/>
        </w:rPr>
        <w:t>) ; en B, la défaillance du contrôle a posteriori (</w:t>
      </w:r>
      <w:r>
        <w:rPr>
          <w:rFonts w:ascii="Calibri" w:eastAsia="Calibri" w:hAnsi="Calibri" w:cs="Calibri"/>
          <w:color w:val="E91E63"/>
        </w:rPr>
        <w:t>Mortier c. Belgique</w:t>
      </w:r>
      <w:r>
        <w:rPr>
          <w:rFonts w:ascii="Calibri" w:eastAsia="Calibri" w:hAnsi="Calibri" w:cs="Calibri"/>
          <w:color w:val="1A1A1A"/>
        </w:rPr>
        <w:t xml:space="preserve">). L’argument de la vulnérabilité ne disparaît pas — il se replace là où il a une assise juridique, puisque c’est le motif que la Cour a elle-même retenu dans </w:t>
      </w:r>
      <w:r>
        <w:rPr>
          <w:rFonts w:ascii="Calibri" w:eastAsia="Calibri" w:hAnsi="Calibri" w:cs="Calibri"/>
          <w:color w:val="E91E63"/>
        </w:rPr>
        <w:t>Pretty</w:t>
      </w:r>
      <w:r>
        <w:rPr>
          <w:rFonts w:ascii="Calibri" w:eastAsia="Calibri" w:hAnsi="Calibri" w:cs="Calibri"/>
          <w:color w:val="1A1A1A"/>
        </w:rPr>
        <w:t xml:space="preserve"> pour valider l’interdiction britannique.</w:t>
      </w:r>
    </w:p>
    <w:p w14:paraId="1E8F863D" w14:textId="77777777" w:rsidR="00B13F99" w:rsidRDefault="00000000">
      <w:pPr>
        <w:spacing w:after="160"/>
      </w:pPr>
      <w:r>
        <w:rPr>
          <w:rFonts w:ascii="Calibri" w:eastAsia="Calibri" w:hAnsi="Calibri" w:cs="Calibri"/>
          <w:i/>
          <w:iCs/>
          <w:color w:val="5A5A5A"/>
          <w:sz w:val="18"/>
          <w:szCs w:val="18"/>
        </w:rPr>
        <w:t>Note indicative : 11 / 20</w:t>
      </w:r>
    </w:p>
    <w:p w14:paraId="031D9F7D"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C. SYNTHÈSE — LES SIX FAUTES RÉCURRENTES</w:t>
      </w:r>
    </w:p>
    <w:tbl>
      <w:tblPr>
        <w:tblW w:w="5000" w:type="pct"/>
        <w:tblBorders>
          <w:top w:val="single" w:sz="2" w:space="0" w:color="C9C0B6"/>
          <w:left w:val="single" w:sz="2" w:space="0" w:color="C9C0B6"/>
          <w:bottom w:val="single" w:sz="2" w:space="0" w:color="C9C0B6"/>
          <w:right w:val="single" w:sz="2" w:space="0" w:color="C9C0B6"/>
          <w:insideH w:val="single" w:sz="2" w:space="0" w:color="DCD5CC"/>
          <w:insideV w:val="single" w:sz="2" w:space="0" w:color="DCD5CC"/>
        </w:tblBorders>
        <w:tblCellMar>
          <w:left w:w="10" w:type="dxa"/>
          <w:right w:w="10" w:type="dxa"/>
        </w:tblCellMar>
        <w:tblLook w:val="04A0" w:firstRow="1" w:lastRow="0" w:firstColumn="1" w:lastColumn="0" w:noHBand="0" w:noVBand="1"/>
      </w:tblPr>
      <w:tblGrid>
        <w:gridCol w:w="3248"/>
        <w:gridCol w:w="3249"/>
        <w:gridCol w:w="3249"/>
      </w:tblGrid>
      <w:tr w:rsidR="00B13F99" w14:paraId="4C47B45F" w14:textId="77777777">
        <w:tblPrEx>
          <w:tblCellMar>
            <w:top w:w="0" w:type="dxa"/>
            <w:bottom w:w="0" w:type="dxa"/>
          </w:tblCellMar>
        </w:tblPrEx>
        <w:trPr>
          <w:tblHeader/>
        </w:trPr>
        <w:tc>
          <w:tcPr>
            <w:tcW w:w="1650" w:type="pct"/>
            <w:shd w:val="clear" w:color="auto" w:fill="F2E9EA"/>
            <w:tcMar>
              <w:top w:w="60" w:type="dxa"/>
              <w:left w:w="90" w:type="dxa"/>
              <w:bottom w:w="60" w:type="dxa"/>
              <w:right w:w="90" w:type="dxa"/>
            </w:tcMar>
          </w:tcPr>
          <w:p w14:paraId="227C4345" w14:textId="77777777" w:rsidR="00B13F99" w:rsidRDefault="00000000">
            <w:r>
              <w:rPr>
                <w:rFonts w:ascii="Calibri" w:eastAsia="Calibri" w:hAnsi="Calibri" w:cs="Calibri"/>
                <w:b/>
                <w:bCs/>
                <w:color w:val="1A1A1A"/>
                <w:sz w:val="17"/>
                <w:szCs w:val="17"/>
              </w:rPr>
              <w:t>Faute</w:t>
            </w:r>
          </w:p>
        </w:tc>
        <w:tc>
          <w:tcPr>
            <w:tcW w:w="1650" w:type="pct"/>
            <w:shd w:val="clear" w:color="auto" w:fill="F2E9EA"/>
            <w:tcMar>
              <w:top w:w="60" w:type="dxa"/>
              <w:left w:w="90" w:type="dxa"/>
              <w:bottom w:w="60" w:type="dxa"/>
              <w:right w:w="90" w:type="dxa"/>
            </w:tcMar>
          </w:tcPr>
          <w:p w14:paraId="142D8523" w14:textId="77777777" w:rsidR="00B13F99" w:rsidRDefault="00000000">
            <w:r>
              <w:rPr>
                <w:rFonts w:ascii="Calibri" w:eastAsia="Calibri" w:hAnsi="Calibri" w:cs="Calibri"/>
                <w:b/>
                <w:bCs/>
                <w:color w:val="1A1A1A"/>
                <w:sz w:val="17"/>
                <w:szCs w:val="17"/>
              </w:rPr>
              <w:t>Fréquence</w:t>
            </w:r>
          </w:p>
        </w:tc>
        <w:tc>
          <w:tcPr>
            <w:tcW w:w="1650" w:type="pct"/>
            <w:shd w:val="clear" w:color="auto" w:fill="F2E9EA"/>
            <w:tcMar>
              <w:top w:w="60" w:type="dxa"/>
              <w:left w:w="90" w:type="dxa"/>
              <w:bottom w:w="60" w:type="dxa"/>
              <w:right w:w="90" w:type="dxa"/>
            </w:tcMar>
          </w:tcPr>
          <w:p w14:paraId="31595CBE" w14:textId="77777777" w:rsidR="00B13F99" w:rsidRDefault="00000000">
            <w:r>
              <w:rPr>
                <w:rFonts w:ascii="Calibri" w:eastAsia="Calibri" w:hAnsi="Calibri" w:cs="Calibri"/>
                <w:b/>
                <w:bCs/>
                <w:color w:val="1A1A1A"/>
                <w:sz w:val="17"/>
                <w:szCs w:val="17"/>
              </w:rPr>
              <w:t>Correction</w:t>
            </w:r>
          </w:p>
        </w:tc>
      </w:tr>
      <w:tr w:rsidR="00B13F99" w14:paraId="26DF2456" w14:textId="77777777">
        <w:tblPrEx>
          <w:tblCellMar>
            <w:top w:w="0" w:type="dxa"/>
            <w:bottom w:w="0" w:type="dxa"/>
          </w:tblCellMar>
        </w:tblPrEx>
        <w:tc>
          <w:tcPr>
            <w:tcW w:w="1650" w:type="pct"/>
            <w:tcMar>
              <w:top w:w="60" w:type="dxa"/>
              <w:left w:w="90" w:type="dxa"/>
              <w:bottom w:w="60" w:type="dxa"/>
              <w:right w:w="90" w:type="dxa"/>
            </w:tcMar>
          </w:tcPr>
          <w:p w14:paraId="75DF880F" w14:textId="77777777" w:rsidR="00B13F99" w:rsidRDefault="00000000">
            <w:r>
              <w:rPr>
                <w:rFonts w:ascii="Calibri" w:eastAsia="Calibri" w:hAnsi="Calibri" w:cs="Calibri"/>
                <w:color w:val="1A1A1A"/>
                <w:sz w:val="17"/>
                <w:szCs w:val="17"/>
              </w:rPr>
              <w:t>Ouvrir le grand I sur « le droit à la vie » alors que le sujet est « la fin de vie »</w:t>
            </w:r>
          </w:p>
        </w:tc>
        <w:tc>
          <w:tcPr>
            <w:tcW w:w="1650" w:type="pct"/>
            <w:tcMar>
              <w:top w:w="60" w:type="dxa"/>
              <w:left w:w="90" w:type="dxa"/>
              <w:bottom w:w="60" w:type="dxa"/>
              <w:right w:w="90" w:type="dxa"/>
            </w:tcMar>
          </w:tcPr>
          <w:p w14:paraId="1B73A8B4" w14:textId="77777777" w:rsidR="00B13F99" w:rsidRDefault="00000000">
            <w:r>
              <w:rPr>
                <w:rFonts w:ascii="Calibri" w:eastAsia="Calibri" w:hAnsi="Calibri" w:cs="Calibri"/>
                <w:color w:val="1A1A1A"/>
                <w:sz w:val="17"/>
                <w:szCs w:val="17"/>
              </w:rPr>
              <w:t>8 plans sur 14</w:t>
            </w:r>
          </w:p>
        </w:tc>
        <w:tc>
          <w:tcPr>
            <w:tcW w:w="1650" w:type="pct"/>
            <w:tcMar>
              <w:top w:w="60" w:type="dxa"/>
              <w:left w:w="90" w:type="dxa"/>
              <w:bottom w:w="60" w:type="dxa"/>
              <w:right w:w="90" w:type="dxa"/>
            </w:tcMar>
          </w:tcPr>
          <w:p w14:paraId="3F1BC19B" w14:textId="77777777" w:rsidR="00B13F99" w:rsidRDefault="00000000">
            <w:r>
              <w:rPr>
                <w:rFonts w:ascii="Calibri" w:eastAsia="Calibri" w:hAnsi="Calibri" w:cs="Calibri"/>
                <w:color w:val="1A1A1A"/>
                <w:sz w:val="17"/>
                <w:szCs w:val="17"/>
              </w:rPr>
              <w:t>Le cadre se pose en introduction, en quatre phrases. Les deux parties doivent porter sur l’objet, non sur son décor.</w:t>
            </w:r>
          </w:p>
        </w:tc>
      </w:tr>
      <w:tr w:rsidR="00B13F99" w14:paraId="03A1DCA1" w14:textId="77777777">
        <w:tblPrEx>
          <w:tblCellMar>
            <w:top w:w="0" w:type="dxa"/>
            <w:bottom w:w="0" w:type="dxa"/>
          </w:tblCellMar>
        </w:tblPrEx>
        <w:tc>
          <w:tcPr>
            <w:tcW w:w="1650" w:type="pct"/>
            <w:tcMar>
              <w:top w:w="60" w:type="dxa"/>
              <w:left w:w="90" w:type="dxa"/>
              <w:bottom w:w="60" w:type="dxa"/>
              <w:right w:w="90" w:type="dxa"/>
            </w:tcMar>
          </w:tcPr>
          <w:p w14:paraId="5981C697" w14:textId="77777777" w:rsidR="00B13F99" w:rsidRDefault="00000000">
            <w:r>
              <w:rPr>
                <w:rFonts w:ascii="Calibri" w:eastAsia="Calibri" w:hAnsi="Calibri" w:cs="Calibri"/>
                <w:color w:val="1A1A1A"/>
                <w:sz w:val="17"/>
                <w:szCs w:val="17"/>
              </w:rPr>
              <w:t>Plan descriptif : le II ajoute au lieu de déplacer</w:t>
            </w:r>
          </w:p>
        </w:tc>
        <w:tc>
          <w:tcPr>
            <w:tcW w:w="1650" w:type="pct"/>
            <w:tcMar>
              <w:top w:w="60" w:type="dxa"/>
              <w:left w:w="90" w:type="dxa"/>
              <w:bottom w:w="60" w:type="dxa"/>
              <w:right w:w="90" w:type="dxa"/>
            </w:tcMar>
          </w:tcPr>
          <w:p w14:paraId="62AC7668" w14:textId="77777777" w:rsidR="00B13F99" w:rsidRDefault="00000000">
            <w:r>
              <w:rPr>
                <w:rFonts w:ascii="Calibri" w:eastAsia="Calibri" w:hAnsi="Calibri" w:cs="Calibri"/>
                <w:color w:val="1A1A1A"/>
                <w:sz w:val="17"/>
                <w:szCs w:val="17"/>
              </w:rPr>
              <w:t>9 plans sur 19</w:t>
            </w:r>
          </w:p>
        </w:tc>
        <w:tc>
          <w:tcPr>
            <w:tcW w:w="1650" w:type="pct"/>
            <w:tcMar>
              <w:top w:w="60" w:type="dxa"/>
              <w:left w:w="90" w:type="dxa"/>
              <w:bottom w:w="60" w:type="dxa"/>
              <w:right w:w="90" w:type="dxa"/>
            </w:tcMar>
          </w:tcPr>
          <w:p w14:paraId="0D474EAC" w14:textId="77777777" w:rsidR="00B13F99" w:rsidRDefault="00000000">
            <w:r>
              <w:rPr>
                <w:rFonts w:ascii="Calibri" w:eastAsia="Calibri" w:hAnsi="Calibri" w:cs="Calibri"/>
                <w:color w:val="1A1A1A"/>
                <w:sz w:val="17"/>
                <w:szCs w:val="17"/>
              </w:rPr>
              <w:t>Tester son plan en une phrase : « Le II corrige-t-il, précise-t-il ou renverse-t-il le I ? » Si la réponse est non, le plan est une table des matières.</w:t>
            </w:r>
          </w:p>
        </w:tc>
      </w:tr>
      <w:tr w:rsidR="00B13F99" w14:paraId="1C093DE6" w14:textId="77777777">
        <w:tblPrEx>
          <w:tblCellMar>
            <w:top w:w="0" w:type="dxa"/>
            <w:bottom w:w="0" w:type="dxa"/>
          </w:tblCellMar>
        </w:tblPrEx>
        <w:tc>
          <w:tcPr>
            <w:tcW w:w="1650" w:type="pct"/>
            <w:tcMar>
              <w:top w:w="60" w:type="dxa"/>
              <w:left w:w="90" w:type="dxa"/>
              <w:bottom w:w="60" w:type="dxa"/>
              <w:right w:w="90" w:type="dxa"/>
            </w:tcMar>
          </w:tcPr>
          <w:p w14:paraId="7399AC2E" w14:textId="77777777" w:rsidR="00B13F99" w:rsidRDefault="00000000">
            <w:r>
              <w:rPr>
                <w:rFonts w:ascii="Calibri" w:eastAsia="Calibri" w:hAnsi="Calibri" w:cs="Calibri"/>
                <w:color w:val="1A1A1A"/>
                <w:sz w:val="17"/>
                <w:szCs w:val="17"/>
              </w:rPr>
              <w:t>Vocabulaire médiatique au lieu du vocabulaire du code</w:t>
            </w:r>
          </w:p>
        </w:tc>
        <w:tc>
          <w:tcPr>
            <w:tcW w:w="1650" w:type="pct"/>
            <w:tcMar>
              <w:top w:w="60" w:type="dxa"/>
              <w:left w:w="90" w:type="dxa"/>
              <w:bottom w:w="60" w:type="dxa"/>
              <w:right w:w="90" w:type="dxa"/>
            </w:tcMar>
          </w:tcPr>
          <w:p w14:paraId="696F5A8B" w14:textId="77777777" w:rsidR="00B13F99" w:rsidRDefault="00000000">
            <w:r>
              <w:rPr>
                <w:rFonts w:ascii="Calibri" w:eastAsia="Calibri" w:hAnsi="Calibri" w:cs="Calibri"/>
                <w:color w:val="1A1A1A"/>
                <w:sz w:val="17"/>
                <w:szCs w:val="17"/>
              </w:rPr>
              <w:t>11 plans sur 19</w:t>
            </w:r>
          </w:p>
        </w:tc>
        <w:tc>
          <w:tcPr>
            <w:tcW w:w="1650" w:type="pct"/>
            <w:tcMar>
              <w:top w:w="60" w:type="dxa"/>
              <w:left w:w="90" w:type="dxa"/>
              <w:bottom w:w="60" w:type="dxa"/>
              <w:right w:w="90" w:type="dxa"/>
            </w:tcMar>
          </w:tcPr>
          <w:p w14:paraId="6FF16DAB" w14:textId="77777777" w:rsidR="00B13F99" w:rsidRDefault="00000000">
            <w:r>
              <w:rPr>
                <w:rFonts w:ascii="Calibri" w:eastAsia="Calibri" w:hAnsi="Calibri" w:cs="Calibri"/>
                <w:color w:val="1A1A1A"/>
                <w:sz w:val="17"/>
                <w:szCs w:val="17"/>
              </w:rPr>
              <w:t>« Obstination déraisonnable » et non « acharnement thérapeutique » ; « aide à mourir » et non « aide active à mourir » ; « arrêt des traitements » et non « euthanasie passive ».</w:t>
            </w:r>
          </w:p>
        </w:tc>
      </w:tr>
      <w:tr w:rsidR="00B13F99" w14:paraId="6A1FD1F7" w14:textId="77777777">
        <w:tblPrEx>
          <w:tblCellMar>
            <w:top w:w="0" w:type="dxa"/>
            <w:bottom w:w="0" w:type="dxa"/>
          </w:tblCellMar>
        </w:tblPrEx>
        <w:tc>
          <w:tcPr>
            <w:tcW w:w="1650" w:type="pct"/>
            <w:tcMar>
              <w:top w:w="60" w:type="dxa"/>
              <w:left w:w="90" w:type="dxa"/>
              <w:bottom w:w="60" w:type="dxa"/>
              <w:right w:w="90" w:type="dxa"/>
            </w:tcMar>
          </w:tcPr>
          <w:p w14:paraId="29984EF0" w14:textId="77777777" w:rsidR="00B13F99" w:rsidRDefault="00000000">
            <w:r>
              <w:rPr>
                <w:rFonts w:ascii="Calibri" w:eastAsia="Calibri" w:hAnsi="Calibri" w:cs="Calibri"/>
                <w:color w:val="1A1A1A"/>
                <w:sz w:val="17"/>
                <w:szCs w:val="17"/>
              </w:rPr>
              <w:t>Qualifier la loi de 2026 d’euthanasie</w:t>
            </w:r>
          </w:p>
        </w:tc>
        <w:tc>
          <w:tcPr>
            <w:tcW w:w="1650" w:type="pct"/>
            <w:tcMar>
              <w:top w:w="60" w:type="dxa"/>
              <w:left w:w="90" w:type="dxa"/>
              <w:bottom w:w="60" w:type="dxa"/>
              <w:right w:w="90" w:type="dxa"/>
            </w:tcMar>
          </w:tcPr>
          <w:p w14:paraId="5319115F" w14:textId="77777777" w:rsidR="00B13F99" w:rsidRDefault="00000000">
            <w:r>
              <w:rPr>
                <w:rFonts w:ascii="Calibri" w:eastAsia="Calibri" w:hAnsi="Calibri" w:cs="Calibri"/>
                <w:color w:val="1A1A1A"/>
                <w:sz w:val="17"/>
                <w:szCs w:val="17"/>
              </w:rPr>
              <w:t>5 plans</w:t>
            </w:r>
          </w:p>
        </w:tc>
        <w:tc>
          <w:tcPr>
            <w:tcW w:w="1650" w:type="pct"/>
            <w:tcMar>
              <w:top w:w="60" w:type="dxa"/>
              <w:left w:w="90" w:type="dxa"/>
              <w:bottom w:w="60" w:type="dxa"/>
              <w:right w:w="90" w:type="dxa"/>
            </w:tcMar>
          </w:tcPr>
          <w:p w14:paraId="03BC4E98" w14:textId="77777777" w:rsidR="00B13F99" w:rsidRDefault="00000000">
            <w:r>
              <w:rPr>
                <w:rFonts w:ascii="Calibri" w:eastAsia="Calibri" w:hAnsi="Calibri" w:cs="Calibri"/>
                <w:color w:val="1A1A1A"/>
                <w:sz w:val="17"/>
                <w:szCs w:val="17"/>
              </w:rPr>
              <w:t>Le principe légal est l’auto-administration ; l’administration par un tiers est subsidiaire. C’est d’abord un suicide médicalement assisté.</w:t>
            </w:r>
          </w:p>
        </w:tc>
      </w:tr>
      <w:tr w:rsidR="00B13F99" w14:paraId="21339B4B" w14:textId="77777777">
        <w:tblPrEx>
          <w:tblCellMar>
            <w:top w:w="0" w:type="dxa"/>
            <w:bottom w:w="0" w:type="dxa"/>
          </w:tblCellMar>
        </w:tblPrEx>
        <w:tc>
          <w:tcPr>
            <w:tcW w:w="1650" w:type="pct"/>
            <w:tcMar>
              <w:top w:w="60" w:type="dxa"/>
              <w:left w:w="90" w:type="dxa"/>
              <w:bottom w:w="60" w:type="dxa"/>
              <w:right w:w="90" w:type="dxa"/>
            </w:tcMar>
          </w:tcPr>
          <w:p w14:paraId="61C6EC23" w14:textId="77777777" w:rsidR="00B13F99" w:rsidRDefault="00000000">
            <w:r>
              <w:rPr>
                <w:rFonts w:ascii="Calibri" w:eastAsia="Calibri" w:hAnsi="Calibri" w:cs="Calibri"/>
                <w:color w:val="1A1A1A"/>
                <w:sz w:val="17"/>
                <w:szCs w:val="17"/>
              </w:rPr>
              <w:t>Argument extra-juridique en ossature de sous-partie</w:t>
            </w:r>
          </w:p>
        </w:tc>
        <w:tc>
          <w:tcPr>
            <w:tcW w:w="1650" w:type="pct"/>
            <w:tcMar>
              <w:top w:w="60" w:type="dxa"/>
              <w:left w:w="90" w:type="dxa"/>
              <w:bottom w:w="60" w:type="dxa"/>
              <w:right w:w="90" w:type="dxa"/>
            </w:tcMar>
          </w:tcPr>
          <w:p w14:paraId="275DDAC6" w14:textId="77777777" w:rsidR="00B13F99" w:rsidRDefault="00000000">
            <w:r>
              <w:rPr>
                <w:rFonts w:ascii="Calibri" w:eastAsia="Calibri" w:hAnsi="Calibri" w:cs="Calibri"/>
                <w:color w:val="1A1A1A"/>
                <w:sz w:val="17"/>
                <w:szCs w:val="17"/>
              </w:rPr>
              <w:t>4 plans</w:t>
            </w:r>
          </w:p>
        </w:tc>
        <w:tc>
          <w:tcPr>
            <w:tcW w:w="1650" w:type="pct"/>
            <w:tcMar>
              <w:top w:w="60" w:type="dxa"/>
              <w:left w:w="90" w:type="dxa"/>
              <w:bottom w:w="60" w:type="dxa"/>
              <w:right w:w="90" w:type="dxa"/>
            </w:tcMar>
          </w:tcPr>
          <w:p w14:paraId="569EB286" w14:textId="77777777" w:rsidR="00B13F99" w:rsidRDefault="00000000">
            <w:r>
              <w:rPr>
                <w:rFonts w:ascii="Calibri" w:eastAsia="Calibri" w:hAnsi="Calibri" w:cs="Calibri"/>
                <w:color w:val="1A1A1A"/>
                <w:sz w:val="17"/>
                <w:szCs w:val="17"/>
              </w:rPr>
              <w:t>Pente glissante, demande sociétale, serment d’Hippocrate : à convertir en visas. Le serment devient l’art. R. 4127-38 CSP ; la vulnérabilité devient le motif retenu dans Pretty.</w:t>
            </w:r>
          </w:p>
        </w:tc>
      </w:tr>
      <w:tr w:rsidR="00B13F99" w14:paraId="3E3076EF" w14:textId="77777777">
        <w:tblPrEx>
          <w:tblCellMar>
            <w:top w:w="0" w:type="dxa"/>
            <w:bottom w:w="0" w:type="dxa"/>
          </w:tblCellMar>
        </w:tblPrEx>
        <w:tc>
          <w:tcPr>
            <w:tcW w:w="1650" w:type="pct"/>
            <w:tcMar>
              <w:top w:w="60" w:type="dxa"/>
              <w:left w:w="90" w:type="dxa"/>
              <w:bottom w:w="60" w:type="dxa"/>
              <w:right w:w="90" w:type="dxa"/>
            </w:tcMar>
          </w:tcPr>
          <w:p w14:paraId="53D95334" w14:textId="77777777" w:rsidR="00B13F99" w:rsidRDefault="00000000">
            <w:r>
              <w:rPr>
                <w:rFonts w:ascii="Calibri" w:eastAsia="Calibri" w:hAnsi="Calibri" w:cs="Calibri"/>
                <w:color w:val="1A1A1A"/>
                <w:sz w:val="17"/>
                <w:szCs w:val="17"/>
              </w:rPr>
              <w:t>Dans l’argumentation imposée, un II qui concède</w:t>
            </w:r>
          </w:p>
        </w:tc>
        <w:tc>
          <w:tcPr>
            <w:tcW w:w="1650" w:type="pct"/>
            <w:tcMar>
              <w:top w:w="60" w:type="dxa"/>
              <w:left w:w="90" w:type="dxa"/>
              <w:bottom w:w="60" w:type="dxa"/>
              <w:right w:w="90" w:type="dxa"/>
            </w:tcMar>
          </w:tcPr>
          <w:p w14:paraId="5359CC41" w14:textId="77777777" w:rsidR="00B13F99" w:rsidRDefault="00000000">
            <w:r>
              <w:rPr>
                <w:rFonts w:ascii="Calibri" w:eastAsia="Calibri" w:hAnsi="Calibri" w:cs="Calibri"/>
                <w:color w:val="1A1A1A"/>
                <w:sz w:val="17"/>
                <w:szCs w:val="17"/>
              </w:rPr>
              <w:t>2 plans sur 5</w:t>
            </w:r>
          </w:p>
        </w:tc>
        <w:tc>
          <w:tcPr>
            <w:tcW w:w="1650" w:type="pct"/>
            <w:tcMar>
              <w:top w:w="60" w:type="dxa"/>
              <w:left w:w="90" w:type="dxa"/>
              <w:bottom w:w="60" w:type="dxa"/>
              <w:right w:w="90" w:type="dxa"/>
            </w:tcMar>
          </w:tcPr>
          <w:p w14:paraId="36FDB5B3" w14:textId="77777777" w:rsidR="00B13F99" w:rsidRDefault="00000000">
            <w:r>
              <w:rPr>
                <w:rFonts w:ascii="Calibri" w:eastAsia="Calibri" w:hAnsi="Calibri" w:cs="Calibri"/>
                <w:color w:val="1A1A1A"/>
                <w:sz w:val="17"/>
                <w:szCs w:val="17"/>
              </w:rPr>
              <w:t>La concession n’a qu’une place : l’ouverture. Relire chaque intitulé en se demandant s’il soutient ou s’il affaiblit la thèse assignée.</w:t>
            </w:r>
          </w:p>
        </w:tc>
      </w:tr>
    </w:tbl>
    <w:p w14:paraId="644F7FAC" w14:textId="77777777" w:rsidR="00B13F99" w:rsidRDefault="00B13F99">
      <w:pPr>
        <w:spacing w:after="120"/>
      </w:pPr>
    </w:p>
    <w:p w14:paraId="6800B978" w14:textId="43ACA4B5" w:rsidR="00B13F99" w:rsidRDefault="00000000" w:rsidP="009618F4">
      <w:r>
        <w:rPr>
          <w:rFonts w:ascii="Calibri" w:eastAsia="Calibri" w:hAnsi="Calibri" w:cs="Calibri"/>
          <w:b/>
          <w:bCs/>
          <w:color w:val="8C1C2B"/>
          <w:spacing w:val="30"/>
          <w:sz w:val="26"/>
          <w:szCs w:val="26"/>
        </w:rPr>
        <w:t>PARTIE V. ANNEXES</w:t>
      </w:r>
    </w:p>
    <w:p w14:paraId="7ED81E96"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1. LES RÉFÉRENCES À CORRIGER</w:t>
      </w:r>
    </w:p>
    <w:p w14:paraId="441A5335" w14:textId="77777777" w:rsidR="00B13F99" w:rsidRDefault="00000000">
      <w:pPr>
        <w:pStyle w:val="Titre2"/>
        <w:spacing w:before="260" w:after="110"/>
      </w:pPr>
      <w:r>
        <w:rPr>
          <w:rFonts w:ascii="Calibri" w:eastAsia="Calibri" w:hAnsi="Calibri" w:cs="Calibri"/>
          <w:b/>
          <w:bCs/>
          <w:color w:val="1A1A1A"/>
          <w:spacing w:val="16"/>
          <w:sz w:val="23"/>
          <w:szCs w:val="23"/>
        </w:rPr>
        <w:t>1.1. Dans les notes du séminaire</w:t>
      </w:r>
    </w:p>
    <w:tbl>
      <w:tblPr>
        <w:tblW w:w="5000" w:type="pct"/>
        <w:tblBorders>
          <w:top w:val="single" w:sz="2" w:space="0" w:color="C9C0B6"/>
          <w:left w:val="single" w:sz="2" w:space="0" w:color="C9C0B6"/>
          <w:bottom w:val="single" w:sz="2" w:space="0" w:color="C9C0B6"/>
          <w:right w:val="single" w:sz="2" w:space="0" w:color="C9C0B6"/>
          <w:insideH w:val="single" w:sz="2" w:space="0" w:color="DCD5CC"/>
          <w:insideV w:val="single" w:sz="2" w:space="0" w:color="DCD5CC"/>
        </w:tblBorders>
        <w:tblCellMar>
          <w:left w:w="10" w:type="dxa"/>
          <w:right w:w="10" w:type="dxa"/>
        </w:tblCellMar>
        <w:tblLook w:val="04A0" w:firstRow="1" w:lastRow="0" w:firstColumn="1" w:lastColumn="0" w:noHBand="0" w:noVBand="1"/>
      </w:tblPr>
      <w:tblGrid>
        <w:gridCol w:w="4873"/>
        <w:gridCol w:w="4873"/>
      </w:tblGrid>
      <w:tr w:rsidR="00B13F99" w14:paraId="6D903478" w14:textId="77777777">
        <w:tblPrEx>
          <w:tblCellMar>
            <w:top w:w="0" w:type="dxa"/>
            <w:bottom w:w="0" w:type="dxa"/>
          </w:tblCellMar>
        </w:tblPrEx>
        <w:trPr>
          <w:tblHeader/>
        </w:trPr>
        <w:tc>
          <w:tcPr>
            <w:tcW w:w="2500" w:type="pct"/>
            <w:shd w:val="clear" w:color="auto" w:fill="F2E9EA"/>
            <w:tcMar>
              <w:top w:w="60" w:type="dxa"/>
              <w:left w:w="90" w:type="dxa"/>
              <w:bottom w:w="60" w:type="dxa"/>
              <w:right w:w="90" w:type="dxa"/>
            </w:tcMar>
          </w:tcPr>
          <w:p w14:paraId="40F6F5B1" w14:textId="77777777" w:rsidR="00B13F99" w:rsidRDefault="00000000">
            <w:r>
              <w:rPr>
                <w:rFonts w:ascii="Calibri" w:eastAsia="Calibri" w:hAnsi="Calibri" w:cs="Calibri"/>
                <w:b/>
                <w:bCs/>
                <w:color w:val="1A1A1A"/>
                <w:sz w:val="17"/>
                <w:szCs w:val="17"/>
              </w:rPr>
              <w:t>Ce qui a été noté</w:t>
            </w:r>
          </w:p>
        </w:tc>
        <w:tc>
          <w:tcPr>
            <w:tcW w:w="2500" w:type="pct"/>
            <w:shd w:val="clear" w:color="auto" w:fill="F2E9EA"/>
            <w:tcMar>
              <w:top w:w="60" w:type="dxa"/>
              <w:left w:w="90" w:type="dxa"/>
              <w:bottom w:w="60" w:type="dxa"/>
              <w:right w:w="90" w:type="dxa"/>
            </w:tcMar>
          </w:tcPr>
          <w:p w14:paraId="5D3C4E2E" w14:textId="77777777" w:rsidR="00B13F99" w:rsidRDefault="00000000">
            <w:r>
              <w:rPr>
                <w:rFonts w:ascii="Calibri" w:eastAsia="Calibri" w:hAnsi="Calibri" w:cs="Calibri"/>
                <w:b/>
                <w:bCs/>
                <w:color w:val="1A1A1A"/>
                <w:sz w:val="17"/>
                <w:szCs w:val="17"/>
              </w:rPr>
              <w:t>Ce qu’il faut retenir</w:t>
            </w:r>
          </w:p>
        </w:tc>
      </w:tr>
      <w:tr w:rsidR="00B13F99" w14:paraId="134040BC" w14:textId="77777777">
        <w:tblPrEx>
          <w:tblCellMar>
            <w:top w:w="0" w:type="dxa"/>
            <w:bottom w:w="0" w:type="dxa"/>
          </w:tblCellMar>
        </w:tblPrEx>
        <w:tc>
          <w:tcPr>
            <w:tcW w:w="2500" w:type="pct"/>
            <w:tcMar>
              <w:top w:w="60" w:type="dxa"/>
              <w:left w:w="90" w:type="dxa"/>
              <w:bottom w:w="60" w:type="dxa"/>
              <w:right w:w="90" w:type="dxa"/>
            </w:tcMar>
          </w:tcPr>
          <w:p w14:paraId="5039BFCD" w14:textId="77777777" w:rsidR="00B13F99" w:rsidRDefault="00000000">
            <w:r>
              <w:rPr>
                <w:rFonts w:ascii="Calibri" w:eastAsia="Calibri" w:hAnsi="Calibri" w:cs="Calibri"/>
                <w:color w:val="1A1A1A"/>
                <w:sz w:val="17"/>
                <w:szCs w:val="17"/>
              </w:rPr>
              <w:t>« Décisions CEDH Macan contre Royaume-Uni de 1995 »</w:t>
            </w:r>
          </w:p>
        </w:tc>
        <w:tc>
          <w:tcPr>
            <w:tcW w:w="2500" w:type="pct"/>
            <w:tcMar>
              <w:top w:w="60" w:type="dxa"/>
              <w:left w:w="90" w:type="dxa"/>
              <w:bottom w:w="60" w:type="dxa"/>
              <w:right w:w="90" w:type="dxa"/>
            </w:tcMar>
          </w:tcPr>
          <w:p w14:paraId="527FFE01" w14:textId="77777777" w:rsidR="00B13F99" w:rsidRDefault="00000000">
            <w:r>
              <w:rPr>
                <w:rFonts w:ascii="Calibri" w:eastAsia="Calibri" w:hAnsi="Calibri" w:cs="Calibri"/>
                <w:color w:val="1A1A1A"/>
                <w:sz w:val="17"/>
                <w:szCs w:val="17"/>
              </w:rPr>
              <w:t xml:space="preserve">CEDH [GC], 27 septembre 1995, </w:t>
            </w:r>
            <w:proofErr w:type="spellStart"/>
            <w:r>
              <w:rPr>
                <w:rFonts w:ascii="Calibri" w:eastAsia="Calibri" w:hAnsi="Calibri" w:cs="Calibri"/>
                <w:color w:val="1A1A1A"/>
                <w:sz w:val="17"/>
                <w:szCs w:val="17"/>
              </w:rPr>
              <w:t>McCANN</w:t>
            </w:r>
            <w:proofErr w:type="spellEnd"/>
            <w:r>
              <w:rPr>
                <w:rFonts w:ascii="Calibri" w:eastAsia="Calibri" w:hAnsi="Calibri" w:cs="Calibri"/>
                <w:color w:val="1A1A1A"/>
                <w:sz w:val="17"/>
                <w:szCs w:val="17"/>
              </w:rPr>
              <w:t xml:space="preserve"> et autres c. Royaume-Uni, n° 18984/91. Premier constat de violation de l’article 2 ; l’arrêt dégage le volet procédural.</w:t>
            </w:r>
          </w:p>
        </w:tc>
      </w:tr>
      <w:tr w:rsidR="00B13F99" w14:paraId="49605BD0" w14:textId="77777777">
        <w:tblPrEx>
          <w:tblCellMar>
            <w:top w:w="0" w:type="dxa"/>
            <w:bottom w:w="0" w:type="dxa"/>
          </w:tblCellMar>
        </w:tblPrEx>
        <w:tc>
          <w:tcPr>
            <w:tcW w:w="2500" w:type="pct"/>
            <w:tcMar>
              <w:top w:w="60" w:type="dxa"/>
              <w:left w:w="90" w:type="dxa"/>
              <w:bottom w:w="60" w:type="dxa"/>
              <w:right w:w="90" w:type="dxa"/>
            </w:tcMar>
          </w:tcPr>
          <w:p w14:paraId="23003401" w14:textId="77777777" w:rsidR="00B13F99" w:rsidRDefault="00000000">
            <w:r>
              <w:rPr>
                <w:rFonts w:ascii="Calibri" w:eastAsia="Calibri" w:hAnsi="Calibri" w:cs="Calibri"/>
                <w:color w:val="1A1A1A"/>
                <w:sz w:val="17"/>
                <w:szCs w:val="17"/>
              </w:rPr>
              <w:t>« CEDH, 29 juillet 2992, Pretty c/ RU », puis « 29 juillet 2002 »</w:t>
            </w:r>
          </w:p>
        </w:tc>
        <w:tc>
          <w:tcPr>
            <w:tcW w:w="2500" w:type="pct"/>
            <w:tcMar>
              <w:top w:w="60" w:type="dxa"/>
              <w:left w:w="90" w:type="dxa"/>
              <w:bottom w:w="60" w:type="dxa"/>
              <w:right w:w="90" w:type="dxa"/>
            </w:tcMar>
          </w:tcPr>
          <w:p w14:paraId="59D7DDAF" w14:textId="77777777" w:rsidR="00B13F99" w:rsidRDefault="00000000">
            <w:r>
              <w:rPr>
                <w:rFonts w:ascii="Calibri" w:eastAsia="Calibri" w:hAnsi="Calibri" w:cs="Calibri"/>
                <w:color w:val="1A1A1A"/>
                <w:sz w:val="17"/>
                <w:szCs w:val="17"/>
              </w:rPr>
              <w:t>CEDH, 29 avril 2002, Pretty c. Royaume-Uni, n° 2346/02. La date d’avril est celle qu’attend un jury.</w:t>
            </w:r>
          </w:p>
        </w:tc>
      </w:tr>
      <w:tr w:rsidR="00B13F99" w14:paraId="163D580D" w14:textId="77777777">
        <w:tblPrEx>
          <w:tblCellMar>
            <w:top w:w="0" w:type="dxa"/>
            <w:bottom w:w="0" w:type="dxa"/>
          </w:tblCellMar>
        </w:tblPrEx>
        <w:tc>
          <w:tcPr>
            <w:tcW w:w="2500" w:type="pct"/>
            <w:tcMar>
              <w:top w:w="60" w:type="dxa"/>
              <w:left w:w="90" w:type="dxa"/>
              <w:bottom w:w="60" w:type="dxa"/>
              <w:right w:w="90" w:type="dxa"/>
            </w:tcMar>
          </w:tcPr>
          <w:p w14:paraId="10AF2138" w14:textId="77777777" w:rsidR="00B13F99" w:rsidRDefault="00000000">
            <w:r>
              <w:rPr>
                <w:rFonts w:ascii="Calibri" w:eastAsia="Calibri" w:hAnsi="Calibri" w:cs="Calibri"/>
                <w:color w:val="1A1A1A"/>
                <w:sz w:val="17"/>
                <w:szCs w:val="17"/>
              </w:rPr>
              <w:t>« loi sur l’aide active à mourir adoptée le 19 août 2025 »</w:t>
            </w:r>
          </w:p>
        </w:tc>
        <w:tc>
          <w:tcPr>
            <w:tcW w:w="2500" w:type="pct"/>
            <w:tcMar>
              <w:top w:w="60" w:type="dxa"/>
              <w:left w:w="90" w:type="dxa"/>
              <w:bottom w:w="60" w:type="dxa"/>
              <w:right w:w="90" w:type="dxa"/>
            </w:tcMar>
          </w:tcPr>
          <w:p w14:paraId="299A0EFA" w14:textId="77777777" w:rsidR="00B13F99" w:rsidRDefault="00000000">
            <w:r>
              <w:rPr>
                <w:rFonts w:ascii="Calibri" w:eastAsia="Calibri" w:hAnsi="Calibri" w:cs="Calibri"/>
                <w:color w:val="1A1A1A"/>
                <w:sz w:val="17"/>
                <w:szCs w:val="17"/>
              </w:rPr>
              <w:t>Loi n° 2026-794 du 18 août 2026 relative au droit à l’aide à mourir, publiée au Journal officiel le 19 août 2026.</w:t>
            </w:r>
          </w:p>
        </w:tc>
      </w:tr>
      <w:tr w:rsidR="00B13F99" w14:paraId="43BE2D5D" w14:textId="77777777">
        <w:tblPrEx>
          <w:tblCellMar>
            <w:top w:w="0" w:type="dxa"/>
            <w:bottom w:w="0" w:type="dxa"/>
          </w:tblCellMar>
        </w:tblPrEx>
        <w:tc>
          <w:tcPr>
            <w:tcW w:w="2500" w:type="pct"/>
            <w:tcMar>
              <w:top w:w="60" w:type="dxa"/>
              <w:left w:w="90" w:type="dxa"/>
              <w:bottom w:w="60" w:type="dxa"/>
              <w:right w:w="90" w:type="dxa"/>
            </w:tcMar>
          </w:tcPr>
          <w:p w14:paraId="4A67AC49" w14:textId="77777777" w:rsidR="00B13F99" w:rsidRDefault="00000000">
            <w:r>
              <w:rPr>
                <w:rFonts w:ascii="Calibri" w:eastAsia="Calibri" w:hAnsi="Calibri" w:cs="Calibri"/>
                <w:color w:val="1A1A1A"/>
                <w:sz w:val="17"/>
                <w:szCs w:val="17"/>
              </w:rPr>
              <w:t>« dignité humaine article 6 DDHC 1789 »</w:t>
            </w:r>
          </w:p>
        </w:tc>
        <w:tc>
          <w:tcPr>
            <w:tcW w:w="2500" w:type="pct"/>
            <w:tcMar>
              <w:top w:w="60" w:type="dxa"/>
              <w:left w:w="90" w:type="dxa"/>
              <w:bottom w:w="60" w:type="dxa"/>
              <w:right w:w="90" w:type="dxa"/>
            </w:tcMar>
          </w:tcPr>
          <w:p w14:paraId="064943E4" w14:textId="77777777" w:rsidR="00B13F99" w:rsidRDefault="00000000">
            <w:r>
              <w:rPr>
                <w:rFonts w:ascii="Calibri" w:eastAsia="Calibri" w:hAnsi="Calibri" w:cs="Calibri"/>
                <w:color w:val="1A1A1A"/>
                <w:sz w:val="17"/>
                <w:szCs w:val="17"/>
              </w:rPr>
              <w:t>La dignité procède du premier alinéa du Préambule de 1946, telle que dégagée par Cons. const., 27 juillet 1994, n° 94-343/344 DC. L’article 6 de la Déclaration de 1789 traite de la loi comme expression de la volonté générale et de l’égalité devant elle.</w:t>
            </w:r>
          </w:p>
        </w:tc>
      </w:tr>
      <w:tr w:rsidR="00B13F99" w14:paraId="7C3A00B4" w14:textId="77777777">
        <w:tblPrEx>
          <w:tblCellMar>
            <w:top w:w="0" w:type="dxa"/>
            <w:bottom w:w="0" w:type="dxa"/>
          </w:tblCellMar>
        </w:tblPrEx>
        <w:tc>
          <w:tcPr>
            <w:tcW w:w="2500" w:type="pct"/>
            <w:tcMar>
              <w:top w:w="60" w:type="dxa"/>
              <w:left w:w="90" w:type="dxa"/>
              <w:bottom w:w="60" w:type="dxa"/>
              <w:right w:w="90" w:type="dxa"/>
            </w:tcMar>
          </w:tcPr>
          <w:p w14:paraId="71DF10B7" w14:textId="77777777" w:rsidR="00B13F99" w:rsidRDefault="00000000">
            <w:r>
              <w:rPr>
                <w:rFonts w:ascii="Calibri" w:eastAsia="Calibri" w:hAnsi="Calibri" w:cs="Calibri"/>
                <w:color w:val="1A1A1A"/>
                <w:sz w:val="17"/>
                <w:szCs w:val="17"/>
              </w:rPr>
              <w:t>« art. 7 CEDH » au soutien de l’incrimination d’empoisonnement</w:t>
            </w:r>
          </w:p>
        </w:tc>
        <w:tc>
          <w:tcPr>
            <w:tcW w:w="2500" w:type="pct"/>
            <w:tcMar>
              <w:top w:w="60" w:type="dxa"/>
              <w:left w:w="90" w:type="dxa"/>
              <w:bottom w:w="60" w:type="dxa"/>
              <w:right w:w="90" w:type="dxa"/>
            </w:tcMar>
          </w:tcPr>
          <w:p w14:paraId="159124B5" w14:textId="77777777" w:rsidR="00B13F99" w:rsidRDefault="00000000">
            <w:r>
              <w:rPr>
                <w:rFonts w:ascii="Calibri" w:eastAsia="Calibri" w:hAnsi="Calibri" w:cs="Calibri"/>
                <w:color w:val="1A1A1A"/>
                <w:sz w:val="17"/>
                <w:szCs w:val="17"/>
              </w:rPr>
              <w:t>L’article 7 consacre la légalité des délits et des peines et la non-rétroactivité. Il ne fonde pas l’incrimination. Le visa pertinent est l’article 221-5 du code pénal.</w:t>
            </w:r>
          </w:p>
        </w:tc>
      </w:tr>
      <w:tr w:rsidR="00B13F99" w14:paraId="3AF05CB2" w14:textId="77777777">
        <w:tblPrEx>
          <w:tblCellMar>
            <w:top w:w="0" w:type="dxa"/>
            <w:bottom w:w="0" w:type="dxa"/>
          </w:tblCellMar>
        </w:tblPrEx>
        <w:tc>
          <w:tcPr>
            <w:tcW w:w="2500" w:type="pct"/>
            <w:tcMar>
              <w:top w:w="60" w:type="dxa"/>
              <w:left w:w="90" w:type="dxa"/>
              <w:bottom w:w="60" w:type="dxa"/>
              <w:right w:w="90" w:type="dxa"/>
            </w:tcMar>
          </w:tcPr>
          <w:p w14:paraId="5839E822" w14:textId="77777777" w:rsidR="00B13F99" w:rsidRDefault="00000000">
            <w:r>
              <w:rPr>
                <w:rFonts w:ascii="Calibri" w:eastAsia="Calibri" w:hAnsi="Calibri" w:cs="Calibri"/>
                <w:color w:val="1A1A1A"/>
                <w:sz w:val="17"/>
                <w:szCs w:val="17"/>
              </w:rPr>
              <w:t>« Pacte PIDCD »</w:t>
            </w:r>
          </w:p>
        </w:tc>
        <w:tc>
          <w:tcPr>
            <w:tcW w:w="2500" w:type="pct"/>
            <w:tcMar>
              <w:top w:w="60" w:type="dxa"/>
              <w:left w:w="90" w:type="dxa"/>
              <w:bottom w:w="60" w:type="dxa"/>
              <w:right w:w="90" w:type="dxa"/>
            </w:tcMar>
          </w:tcPr>
          <w:p w14:paraId="408B4C06" w14:textId="77777777" w:rsidR="00B13F99" w:rsidRDefault="00000000">
            <w:r>
              <w:rPr>
                <w:rFonts w:ascii="Calibri" w:eastAsia="Calibri" w:hAnsi="Calibri" w:cs="Calibri"/>
                <w:color w:val="1A1A1A"/>
                <w:sz w:val="17"/>
                <w:szCs w:val="17"/>
              </w:rPr>
              <w:t>PIDCP — Pacte international relatif aux droits civils et politiques (1966), article 6-1 pour le droit à la vie.</w:t>
            </w:r>
          </w:p>
        </w:tc>
      </w:tr>
      <w:tr w:rsidR="00B13F99" w14:paraId="7690C185" w14:textId="77777777">
        <w:tblPrEx>
          <w:tblCellMar>
            <w:top w:w="0" w:type="dxa"/>
            <w:bottom w:w="0" w:type="dxa"/>
          </w:tblCellMar>
        </w:tblPrEx>
        <w:tc>
          <w:tcPr>
            <w:tcW w:w="2500" w:type="pct"/>
            <w:tcMar>
              <w:top w:w="60" w:type="dxa"/>
              <w:left w:w="90" w:type="dxa"/>
              <w:bottom w:w="60" w:type="dxa"/>
              <w:right w:w="90" w:type="dxa"/>
            </w:tcMar>
          </w:tcPr>
          <w:p w14:paraId="3220DC53" w14:textId="77777777" w:rsidR="00B13F99" w:rsidRDefault="00000000">
            <w:r>
              <w:rPr>
                <w:rFonts w:ascii="Calibri" w:eastAsia="Calibri" w:hAnsi="Calibri" w:cs="Calibri"/>
                <w:color w:val="1A1A1A"/>
                <w:sz w:val="17"/>
                <w:szCs w:val="17"/>
              </w:rPr>
              <w:t>« clause de conscience = droit au respect de la vie privée »</w:t>
            </w:r>
          </w:p>
        </w:tc>
        <w:tc>
          <w:tcPr>
            <w:tcW w:w="2500" w:type="pct"/>
            <w:tcMar>
              <w:top w:w="60" w:type="dxa"/>
              <w:left w:w="90" w:type="dxa"/>
              <w:bottom w:w="60" w:type="dxa"/>
              <w:right w:w="90" w:type="dxa"/>
            </w:tcMar>
          </w:tcPr>
          <w:p w14:paraId="31B136D1" w14:textId="77777777" w:rsidR="00B13F99" w:rsidRDefault="00000000">
            <w:r>
              <w:rPr>
                <w:rFonts w:ascii="Calibri" w:eastAsia="Calibri" w:hAnsi="Calibri" w:cs="Calibri"/>
                <w:color w:val="1A1A1A"/>
                <w:sz w:val="17"/>
                <w:szCs w:val="17"/>
              </w:rPr>
              <w:t>Liberté de conscience : article 10 de la Déclaration de 1789 et article 9 de la Convention. L’article 8 n’est pas le bon fondement.</w:t>
            </w:r>
          </w:p>
        </w:tc>
      </w:tr>
      <w:tr w:rsidR="00B13F99" w14:paraId="5663D61F" w14:textId="77777777">
        <w:tblPrEx>
          <w:tblCellMar>
            <w:top w:w="0" w:type="dxa"/>
            <w:bottom w:w="0" w:type="dxa"/>
          </w:tblCellMar>
        </w:tblPrEx>
        <w:tc>
          <w:tcPr>
            <w:tcW w:w="2500" w:type="pct"/>
            <w:tcMar>
              <w:top w:w="60" w:type="dxa"/>
              <w:left w:w="90" w:type="dxa"/>
              <w:bottom w:w="60" w:type="dxa"/>
              <w:right w:w="90" w:type="dxa"/>
            </w:tcMar>
          </w:tcPr>
          <w:p w14:paraId="2A5D041A" w14:textId="77777777" w:rsidR="00B13F99" w:rsidRDefault="00000000">
            <w:r>
              <w:rPr>
                <w:rFonts w:ascii="Calibri" w:eastAsia="Calibri" w:hAnsi="Calibri" w:cs="Calibri"/>
                <w:color w:val="1A1A1A"/>
                <w:sz w:val="17"/>
                <w:szCs w:val="17"/>
              </w:rPr>
              <w:t>« le droit à la vie garanti au niveau constitutionnel »</w:t>
            </w:r>
          </w:p>
        </w:tc>
        <w:tc>
          <w:tcPr>
            <w:tcW w:w="2500" w:type="pct"/>
            <w:tcMar>
              <w:top w:w="60" w:type="dxa"/>
              <w:left w:w="90" w:type="dxa"/>
              <w:bottom w:w="60" w:type="dxa"/>
              <w:right w:w="90" w:type="dxa"/>
            </w:tcMar>
          </w:tcPr>
          <w:p w14:paraId="4D732BCA" w14:textId="77777777" w:rsidR="00B13F99" w:rsidRDefault="00000000">
            <w:r>
              <w:rPr>
                <w:rFonts w:ascii="Calibri" w:eastAsia="Calibri" w:hAnsi="Calibri" w:cs="Calibri"/>
                <w:color w:val="1A1A1A"/>
                <w:sz w:val="17"/>
                <w:szCs w:val="17"/>
              </w:rPr>
              <w:t>La Constitution ne consacre pas expressément le droit à la vie. Il se rattache au principe de sauvegarde de la dignité. L’article 66-1 ne vise que la peine de mort.</w:t>
            </w:r>
          </w:p>
        </w:tc>
      </w:tr>
      <w:tr w:rsidR="00B13F99" w14:paraId="03CF6B66" w14:textId="77777777">
        <w:tblPrEx>
          <w:tblCellMar>
            <w:top w:w="0" w:type="dxa"/>
            <w:bottom w:w="0" w:type="dxa"/>
          </w:tblCellMar>
        </w:tblPrEx>
        <w:tc>
          <w:tcPr>
            <w:tcW w:w="2500" w:type="pct"/>
            <w:tcMar>
              <w:top w:w="60" w:type="dxa"/>
              <w:left w:w="90" w:type="dxa"/>
              <w:bottom w:w="60" w:type="dxa"/>
              <w:right w:w="90" w:type="dxa"/>
            </w:tcMar>
          </w:tcPr>
          <w:p w14:paraId="4F1A5920" w14:textId="77777777" w:rsidR="00B13F99" w:rsidRDefault="00000000">
            <w:r>
              <w:rPr>
                <w:rFonts w:ascii="Calibri" w:eastAsia="Calibri" w:hAnsi="Calibri" w:cs="Calibri"/>
                <w:color w:val="1A1A1A"/>
                <w:sz w:val="17"/>
                <w:szCs w:val="17"/>
              </w:rPr>
              <w:t>« Cour de cassation, 3 juillet 2026 » (culture juridique, sans précision)</w:t>
            </w:r>
          </w:p>
        </w:tc>
        <w:tc>
          <w:tcPr>
            <w:tcW w:w="2500" w:type="pct"/>
            <w:tcMar>
              <w:top w:w="60" w:type="dxa"/>
              <w:left w:w="90" w:type="dxa"/>
              <w:bottom w:w="60" w:type="dxa"/>
              <w:right w:w="90" w:type="dxa"/>
            </w:tcMar>
          </w:tcPr>
          <w:p w14:paraId="40D9EFC0" w14:textId="77777777" w:rsidR="00B13F99" w:rsidRDefault="00000000">
            <w:r>
              <w:rPr>
                <w:rFonts w:ascii="Calibri" w:eastAsia="Calibri" w:hAnsi="Calibri" w:cs="Calibri"/>
                <w:color w:val="1A1A1A"/>
                <w:sz w:val="17"/>
                <w:szCs w:val="17"/>
              </w:rPr>
              <w:t>Cass., ass. plén., 3 juillet 2026, nos 24-50.028 et 24-50.029 : reconnaissance en France d’une filiation établie à l’étranger après gestation pour autrui, sous réserve de garanties suffisantes et de l’intérêt supérieur de l’enfant.</w:t>
            </w:r>
          </w:p>
        </w:tc>
      </w:tr>
      <w:tr w:rsidR="00B13F99" w14:paraId="44975D15" w14:textId="77777777">
        <w:tblPrEx>
          <w:tblCellMar>
            <w:top w:w="0" w:type="dxa"/>
            <w:bottom w:w="0" w:type="dxa"/>
          </w:tblCellMar>
        </w:tblPrEx>
        <w:tc>
          <w:tcPr>
            <w:tcW w:w="2500" w:type="pct"/>
            <w:tcMar>
              <w:top w:w="60" w:type="dxa"/>
              <w:left w:w="90" w:type="dxa"/>
              <w:bottom w:w="60" w:type="dxa"/>
              <w:right w:w="90" w:type="dxa"/>
            </w:tcMar>
          </w:tcPr>
          <w:p w14:paraId="4757E8F1" w14:textId="77777777" w:rsidR="00B13F99" w:rsidRDefault="00000000">
            <w:r>
              <w:rPr>
                <w:rFonts w:ascii="Calibri" w:eastAsia="Calibri" w:hAnsi="Calibri" w:cs="Calibri"/>
                <w:color w:val="1A1A1A"/>
                <w:sz w:val="17"/>
                <w:szCs w:val="17"/>
              </w:rPr>
              <w:t>« lois Leonetti et Claeys de 2016 »</w:t>
            </w:r>
          </w:p>
        </w:tc>
        <w:tc>
          <w:tcPr>
            <w:tcW w:w="2500" w:type="pct"/>
            <w:tcMar>
              <w:top w:w="60" w:type="dxa"/>
              <w:left w:w="90" w:type="dxa"/>
              <w:bottom w:w="60" w:type="dxa"/>
              <w:right w:w="90" w:type="dxa"/>
            </w:tcMar>
          </w:tcPr>
          <w:p w14:paraId="12904AEF" w14:textId="77777777" w:rsidR="00B13F99" w:rsidRDefault="00000000">
            <w:r>
              <w:rPr>
                <w:rFonts w:ascii="Calibri" w:eastAsia="Calibri" w:hAnsi="Calibri" w:cs="Calibri"/>
                <w:color w:val="1A1A1A"/>
                <w:sz w:val="17"/>
                <w:szCs w:val="17"/>
              </w:rPr>
              <w:t>Deux textes distincts : loi n° 2005-370 du 22 avril 2005 (Leonetti) et loi n° 2016-87 du 2 février 2016 (Claeys-Leonetti).</w:t>
            </w:r>
          </w:p>
        </w:tc>
      </w:tr>
    </w:tbl>
    <w:p w14:paraId="7DDAD98C" w14:textId="77777777" w:rsidR="00B13F99" w:rsidRDefault="00B13F99">
      <w:pPr>
        <w:spacing w:after="120"/>
      </w:pPr>
    </w:p>
    <w:p w14:paraId="4FD8D7C7" w14:textId="77777777" w:rsidR="00B13F99" w:rsidRDefault="00000000">
      <w:pPr>
        <w:pStyle w:val="Titre2"/>
        <w:spacing w:before="260" w:after="110"/>
      </w:pPr>
      <w:r>
        <w:rPr>
          <w:rFonts w:ascii="Calibri" w:eastAsia="Calibri" w:hAnsi="Calibri" w:cs="Calibri"/>
          <w:b/>
          <w:bCs/>
          <w:color w:val="1A1A1A"/>
          <w:spacing w:val="16"/>
          <w:sz w:val="23"/>
          <w:szCs w:val="23"/>
        </w:rPr>
        <w:t>1.2. Dans le fascicule Objectif Barreau lui-même</w:t>
      </w:r>
    </w:p>
    <w:p w14:paraId="4CDADA2A"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Fiche 26, deux occurrences</w:t>
      </w:r>
      <w:r>
        <w:rPr>
          <w:rFonts w:ascii="Calibri" w:eastAsia="Calibri" w:hAnsi="Calibri" w:cs="Calibri"/>
          <w:color w:val="1A1A1A"/>
        </w:rPr>
        <w:t xml:space="preserve"> : l’arrêt </w:t>
      </w:r>
      <w:r>
        <w:rPr>
          <w:rFonts w:ascii="Calibri" w:eastAsia="Calibri" w:hAnsi="Calibri" w:cs="Calibri"/>
          <w:color w:val="E91E63"/>
        </w:rPr>
        <w:t>McCann c. Royaume-Uni</w:t>
      </w:r>
      <w:r>
        <w:rPr>
          <w:rFonts w:ascii="Calibri" w:eastAsia="Calibri" w:hAnsi="Calibri" w:cs="Calibri"/>
          <w:color w:val="1A1A1A"/>
        </w:rPr>
        <w:t xml:space="preserve"> y est daté du « 17 septembre 1995 ». La date exacte est le </w:t>
      </w:r>
      <w:r>
        <w:rPr>
          <w:rFonts w:ascii="Calibri" w:eastAsia="Calibri" w:hAnsi="Calibri" w:cs="Calibri"/>
          <w:b/>
          <w:bCs/>
          <w:color w:val="1A1A1A"/>
        </w:rPr>
        <w:t>27 septembre 1995</w:t>
      </w:r>
      <w:r>
        <w:rPr>
          <w:rFonts w:ascii="Calibri" w:eastAsia="Calibri" w:hAnsi="Calibri" w:cs="Calibri"/>
          <w:color w:val="1A1A1A"/>
        </w:rPr>
        <w:t>. La proposition d’élève était juste, le fascicule non.</w:t>
      </w:r>
    </w:p>
    <w:p w14:paraId="02F0542E"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Fiche 26</w:t>
      </w:r>
      <w:r>
        <w:rPr>
          <w:rFonts w:ascii="Calibri" w:eastAsia="Calibri" w:hAnsi="Calibri" w:cs="Calibri"/>
          <w:color w:val="1A1A1A"/>
        </w:rPr>
        <w:t xml:space="preserve"> : l’arrêt </w:t>
      </w:r>
      <w:r>
        <w:rPr>
          <w:rFonts w:ascii="Calibri" w:eastAsia="Calibri" w:hAnsi="Calibri" w:cs="Calibri"/>
          <w:color w:val="E91E63"/>
        </w:rPr>
        <w:t>Armani Da Silva</w:t>
      </w:r>
      <w:r>
        <w:rPr>
          <w:rFonts w:ascii="Calibri" w:eastAsia="Calibri" w:hAnsi="Calibri" w:cs="Calibri"/>
          <w:color w:val="1A1A1A"/>
        </w:rPr>
        <w:t xml:space="preserve"> est indiqué « c. Portugal ». Il est rendu </w:t>
      </w:r>
      <w:r>
        <w:rPr>
          <w:rFonts w:ascii="Calibri" w:eastAsia="Calibri" w:hAnsi="Calibri" w:cs="Calibri"/>
          <w:b/>
          <w:bCs/>
          <w:color w:val="1A1A1A"/>
        </w:rPr>
        <w:t>contre le Royaume-Uni</w:t>
      </w:r>
      <w:r>
        <w:rPr>
          <w:rFonts w:ascii="Calibri" w:eastAsia="Calibri" w:hAnsi="Calibri" w:cs="Calibri"/>
          <w:color w:val="1A1A1A"/>
        </w:rPr>
        <w:t xml:space="preserve"> — CEDH [GC], 30 mars 2016, n° 5878/08.</w:t>
      </w:r>
    </w:p>
    <w:p w14:paraId="58DA10CC"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Fiche 26</w:t>
      </w:r>
      <w:r>
        <w:rPr>
          <w:rFonts w:ascii="Calibri" w:eastAsia="Calibri" w:hAnsi="Calibri" w:cs="Calibri"/>
          <w:color w:val="1A1A1A"/>
        </w:rPr>
        <w:t xml:space="preserve"> : la loi Claeys-Leonetti est orthographiée « </w:t>
      </w:r>
      <w:proofErr w:type="spellStart"/>
      <w:r>
        <w:rPr>
          <w:rFonts w:ascii="Calibri" w:eastAsia="Calibri" w:hAnsi="Calibri" w:cs="Calibri"/>
          <w:color w:val="1A1A1A"/>
        </w:rPr>
        <w:t>Clayes-Leonett</w:t>
      </w:r>
      <w:proofErr w:type="spellEnd"/>
      <w:r>
        <w:rPr>
          <w:rFonts w:ascii="Calibri" w:eastAsia="Calibri" w:hAnsi="Calibri" w:cs="Calibri"/>
          <w:color w:val="1A1A1A"/>
        </w:rPr>
        <w:t xml:space="preserve"> » et « </w:t>
      </w:r>
      <w:proofErr w:type="spellStart"/>
      <w:r>
        <w:rPr>
          <w:rFonts w:ascii="Calibri" w:eastAsia="Calibri" w:hAnsi="Calibri" w:cs="Calibri"/>
          <w:color w:val="1A1A1A"/>
        </w:rPr>
        <w:t>Clayes-Leonetti</w:t>
      </w:r>
      <w:proofErr w:type="spellEnd"/>
      <w:r>
        <w:rPr>
          <w:rFonts w:ascii="Calibri" w:eastAsia="Calibri" w:hAnsi="Calibri" w:cs="Calibri"/>
          <w:color w:val="1A1A1A"/>
        </w:rPr>
        <w:t xml:space="preserve"> » selon les passages. Lire </w:t>
      </w:r>
      <w:r>
        <w:rPr>
          <w:rFonts w:ascii="Calibri" w:eastAsia="Calibri" w:hAnsi="Calibri" w:cs="Calibri"/>
          <w:b/>
          <w:bCs/>
          <w:color w:val="1A1A1A"/>
        </w:rPr>
        <w:t>Claeys-Leonetti</w:t>
      </w:r>
      <w:r>
        <w:rPr>
          <w:rFonts w:ascii="Calibri" w:eastAsia="Calibri" w:hAnsi="Calibri" w:cs="Calibri"/>
          <w:color w:val="1A1A1A"/>
        </w:rPr>
        <w:t>.</w:t>
      </w:r>
    </w:p>
    <w:p w14:paraId="40C342C5"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Fiche 26</w:t>
      </w:r>
      <w:r>
        <w:rPr>
          <w:rFonts w:ascii="Calibri" w:eastAsia="Calibri" w:hAnsi="Calibri" w:cs="Calibri"/>
          <w:color w:val="1A1A1A"/>
        </w:rPr>
        <w:t xml:space="preserve"> : le fascicule indique que le Parlement a adopté un droit à l’aide à mourir « le 27 mai 2025 ». L’adoption définitive est intervenue en </w:t>
      </w:r>
      <w:r>
        <w:rPr>
          <w:rFonts w:ascii="Calibri" w:eastAsia="Calibri" w:hAnsi="Calibri" w:cs="Calibri"/>
          <w:b/>
          <w:bCs/>
          <w:color w:val="1A1A1A"/>
        </w:rPr>
        <w:t>juillet 2026</w:t>
      </w:r>
      <w:r>
        <w:rPr>
          <w:rFonts w:ascii="Calibri" w:eastAsia="Calibri" w:hAnsi="Calibri" w:cs="Calibri"/>
          <w:color w:val="1A1A1A"/>
        </w:rPr>
        <w:t xml:space="preserve"> et la promulgation le </w:t>
      </w:r>
      <w:r>
        <w:rPr>
          <w:rFonts w:ascii="Calibri" w:eastAsia="Calibri" w:hAnsi="Calibri" w:cs="Calibri"/>
          <w:b/>
          <w:bCs/>
          <w:color w:val="1A1A1A"/>
        </w:rPr>
        <w:t>18 août 2026</w:t>
      </w:r>
      <w:r>
        <w:rPr>
          <w:rFonts w:ascii="Calibri" w:eastAsia="Calibri" w:hAnsi="Calibri" w:cs="Calibri"/>
          <w:color w:val="1A1A1A"/>
        </w:rPr>
        <w:t>. Le fascicule a été bouclé avant le vote final.</w:t>
      </w:r>
    </w:p>
    <w:p w14:paraId="1DE55630"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Fiche 26</w:t>
      </w:r>
      <w:r>
        <w:rPr>
          <w:rFonts w:ascii="Calibri" w:eastAsia="Calibri" w:hAnsi="Calibri" w:cs="Calibri"/>
          <w:color w:val="1A1A1A"/>
        </w:rPr>
        <w:t xml:space="preserve"> : la décision </w:t>
      </w:r>
      <w:r>
        <w:rPr>
          <w:rFonts w:ascii="Calibri" w:eastAsia="Calibri" w:hAnsi="Calibri" w:cs="Calibri"/>
          <w:color w:val="E91E63"/>
        </w:rPr>
        <w:t>Cons. const., 15 janvier 1975</w:t>
      </w:r>
      <w:r>
        <w:rPr>
          <w:rFonts w:ascii="Calibri" w:eastAsia="Calibri" w:hAnsi="Calibri" w:cs="Calibri"/>
          <w:color w:val="1A1A1A"/>
        </w:rPr>
        <w:t xml:space="preserve"> est citée « n° 74/54 DC ». La forme d’usage est </w:t>
      </w:r>
      <w:r>
        <w:rPr>
          <w:rFonts w:ascii="Calibri" w:eastAsia="Calibri" w:hAnsi="Calibri" w:cs="Calibri"/>
          <w:b/>
          <w:bCs/>
          <w:color w:val="1A1A1A"/>
        </w:rPr>
        <w:t>n° 74-54 DC</w:t>
      </w:r>
      <w:r>
        <w:rPr>
          <w:rFonts w:ascii="Calibri" w:eastAsia="Calibri" w:hAnsi="Calibri" w:cs="Calibri"/>
          <w:color w:val="1A1A1A"/>
        </w:rPr>
        <w:t>.</w:t>
      </w:r>
    </w:p>
    <w:p w14:paraId="58FB2C03" w14:textId="77777777" w:rsidR="009618F4" w:rsidRDefault="009618F4">
      <w:pPr>
        <w:pStyle w:val="Titre1"/>
        <w:pBdr>
          <w:bottom w:val="single" w:sz="12" w:space="6" w:color="8C1C2B"/>
        </w:pBdr>
        <w:spacing w:before="260" w:after="90"/>
        <w:rPr>
          <w:rFonts w:ascii="Calibri" w:eastAsia="Calibri" w:hAnsi="Calibri" w:cs="Calibri"/>
          <w:b/>
          <w:bCs/>
          <w:color w:val="8C1C2B"/>
          <w:sz w:val="28"/>
          <w:szCs w:val="28"/>
        </w:rPr>
      </w:pPr>
    </w:p>
    <w:p w14:paraId="0CF2769D" w14:textId="77777777" w:rsidR="009618F4" w:rsidRDefault="009618F4">
      <w:pPr>
        <w:pStyle w:val="Titre1"/>
        <w:pBdr>
          <w:bottom w:val="single" w:sz="12" w:space="6" w:color="8C1C2B"/>
        </w:pBdr>
        <w:spacing w:before="260" w:after="90"/>
        <w:rPr>
          <w:rFonts w:ascii="Calibri" w:eastAsia="Calibri" w:hAnsi="Calibri" w:cs="Calibri"/>
          <w:b/>
          <w:bCs/>
          <w:color w:val="8C1C2B"/>
          <w:sz w:val="28"/>
          <w:szCs w:val="28"/>
        </w:rPr>
      </w:pPr>
    </w:p>
    <w:p w14:paraId="02282205" w14:textId="36D4634E"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lastRenderedPageBreak/>
        <w:t>2. KIT ORAL</w:t>
      </w:r>
    </w:p>
    <w:p w14:paraId="58ADBE3B" w14:textId="77777777" w:rsidR="00B13F99" w:rsidRDefault="00000000">
      <w:pPr>
        <w:pStyle w:val="Titre2"/>
        <w:spacing w:before="260" w:after="110"/>
      </w:pPr>
      <w:r>
        <w:rPr>
          <w:rFonts w:ascii="Calibri" w:eastAsia="Calibri" w:hAnsi="Calibri" w:cs="Calibri"/>
          <w:b/>
          <w:bCs/>
          <w:color w:val="1A1A1A"/>
          <w:spacing w:val="16"/>
          <w:sz w:val="23"/>
          <w:szCs w:val="23"/>
        </w:rPr>
        <w:t>2.1. Cinq accroches utilisables</w:t>
      </w:r>
    </w:p>
    <w:p w14:paraId="1C67C1EB"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diptyque du 14 août.</w:t>
      </w:r>
      <w:r>
        <w:rPr>
          <w:rFonts w:ascii="Calibri" w:eastAsia="Calibri" w:hAnsi="Calibri" w:cs="Calibri"/>
          <w:color w:val="1A1A1A"/>
        </w:rPr>
        <w:t xml:space="preserve"> « Le 14 août 2026, le Conseil constitutionnel a rendu deux décisions. Il a censuré une loi qui protégeait les mineurs, et validé une loi qui autorise à mourir. Dans les deux cas, il n’a jugé ni le but ni la valeur : il a jugé la mesure. »</w:t>
      </w:r>
    </w:p>
    <w:p w14:paraId="53870EBD"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renversement de la dignité.</w:t>
      </w:r>
      <w:r>
        <w:rPr>
          <w:rFonts w:ascii="Calibri" w:eastAsia="Calibri" w:hAnsi="Calibri" w:cs="Calibri"/>
          <w:color w:val="1A1A1A"/>
        </w:rPr>
        <w:t xml:space="preserve"> « En 2002, la Cour de Strasbourg refusait à Diane Pretty un droit de mourir. En 2026, le Conseil constitutionnel valide une loi qui l’organise. Entre les deux, aucun texte n’a changé : c’est la dignité qui a changé de camp. »</w:t>
      </w:r>
    </w:p>
    <w:p w14:paraId="7F4D559A"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L’asymétrie des deux lois.</w:t>
      </w:r>
      <w:r>
        <w:rPr>
          <w:rFonts w:ascii="Calibri" w:eastAsia="Calibri" w:hAnsi="Calibri" w:cs="Calibri"/>
          <w:color w:val="1A1A1A"/>
        </w:rPr>
        <w:t xml:space="preserve"> « Le 18 août 2026, le législateur a rendu exigible la liberté de mourir. Trois mois plus tôt, il avait refusé de rendre opposable le droit d’être soulagé. »</w:t>
      </w:r>
    </w:p>
    <w:p w14:paraId="54D9F931"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Le contrôle plutôt que le principe.</w:t>
      </w:r>
      <w:r>
        <w:rPr>
          <w:rFonts w:ascii="Calibri" w:eastAsia="Calibri" w:hAnsi="Calibri" w:cs="Calibri"/>
          <w:color w:val="1A1A1A"/>
        </w:rPr>
        <w:t xml:space="preserve"> « Le 4 octobre 2022, la Cour européenne a condamné la Belgique. Non pour avoir autorisé l’euthanasie, mais pour ne pas l’avoir contrôlée. »</w:t>
      </w:r>
    </w:p>
    <w:p w14:paraId="4939BD91"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La loi inapplicable.</w:t>
      </w:r>
      <w:r>
        <w:rPr>
          <w:rFonts w:ascii="Calibri" w:eastAsia="Calibri" w:hAnsi="Calibri" w:cs="Calibri"/>
          <w:color w:val="1A1A1A"/>
        </w:rPr>
        <w:t xml:space="preserve"> « Il existe en France, depuis le 19 août 2026, un droit à l’aide à mourir. Personne ne peut encore l’exercer : les décrets ne sont pas parus. »</w:t>
      </w:r>
    </w:p>
    <w:p w14:paraId="472A4BAD" w14:textId="77777777" w:rsidR="00B13F99" w:rsidRDefault="00000000">
      <w:pPr>
        <w:pStyle w:val="Titre2"/>
        <w:spacing w:before="260" w:after="110"/>
      </w:pPr>
      <w:r>
        <w:rPr>
          <w:rFonts w:ascii="Calibri" w:eastAsia="Calibri" w:hAnsi="Calibri" w:cs="Calibri"/>
          <w:b/>
          <w:bCs/>
          <w:color w:val="1A1A1A"/>
          <w:spacing w:val="16"/>
          <w:sz w:val="23"/>
          <w:szCs w:val="23"/>
        </w:rPr>
        <w:t>2.2. Cinq citations à savoir restituer</w:t>
      </w:r>
    </w:p>
    <w:p w14:paraId="3CA60A2F" w14:textId="77777777" w:rsidR="00B13F99" w:rsidRDefault="00000000">
      <w:pPr>
        <w:spacing w:before="90" w:after="90" w:line="264" w:lineRule="auto"/>
        <w:ind w:left="400" w:right="200"/>
        <w:jc w:val="both"/>
      </w:pPr>
      <w:r>
        <w:rPr>
          <w:rFonts w:ascii="Calibri" w:eastAsia="Calibri" w:hAnsi="Calibri" w:cs="Calibri"/>
          <w:i/>
          <w:iCs/>
          <w:color w:val="1A1A1A"/>
          <w:sz w:val="19"/>
          <w:szCs w:val="19"/>
        </w:rPr>
        <w:t xml:space="preserve">« Le droit de toute personne à la vie est protégé par la loi. » — </w:t>
      </w:r>
      <w:r>
        <w:rPr>
          <w:rFonts w:ascii="Calibri" w:eastAsia="Calibri" w:hAnsi="Calibri" w:cs="Calibri"/>
          <w:i/>
          <w:iCs/>
          <w:color w:val="1E88E5"/>
          <w:sz w:val="19"/>
          <w:szCs w:val="19"/>
        </w:rPr>
        <w:t>Article 2 § 1 de la Convention européenne des droits de l’homme</w:t>
      </w:r>
    </w:p>
    <w:p w14:paraId="48E17AD9" w14:textId="77777777" w:rsidR="00B13F99" w:rsidRDefault="00000000">
      <w:pPr>
        <w:spacing w:before="90" w:after="90" w:line="264" w:lineRule="auto"/>
        <w:ind w:left="400" w:right="200"/>
        <w:jc w:val="both"/>
      </w:pPr>
      <w:r>
        <w:rPr>
          <w:rFonts w:ascii="Calibri" w:eastAsia="Calibri" w:hAnsi="Calibri" w:cs="Calibri"/>
          <w:i/>
          <w:iCs/>
          <w:color w:val="1A1A1A"/>
          <w:sz w:val="19"/>
          <w:szCs w:val="19"/>
        </w:rPr>
        <w:t xml:space="preserve">L’article 2 « ne saurait, sans distorsion de langage, être interprété comme conférant un droit diamétralement opposé, à savoir un droit à mourir ». — </w:t>
      </w:r>
      <w:r>
        <w:rPr>
          <w:rFonts w:ascii="Calibri" w:eastAsia="Calibri" w:hAnsi="Calibri" w:cs="Calibri"/>
          <w:i/>
          <w:iCs/>
          <w:color w:val="E91E63"/>
          <w:sz w:val="19"/>
          <w:szCs w:val="19"/>
        </w:rPr>
        <w:t>CEDH, 29 avril 2002, Pretty c. Royaume-Uni, n° 2346/02</w:t>
      </w:r>
    </w:p>
    <w:p w14:paraId="0D32C581" w14:textId="77777777" w:rsidR="00B13F99" w:rsidRDefault="00000000">
      <w:pPr>
        <w:spacing w:before="90" w:after="90" w:line="264" w:lineRule="auto"/>
        <w:ind w:left="400" w:right="200"/>
        <w:jc w:val="both"/>
      </w:pPr>
      <w:r>
        <w:rPr>
          <w:rFonts w:ascii="Calibri" w:eastAsia="Calibri" w:hAnsi="Calibri" w:cs="Calibri"/>
          <w:i/>
          <w:iCs/>
          <w:color w:val="1A1A1A"/>
          <w:sz w:val="19"/>
          <w:szCs w:val="19"/>
        </w:rPr>
        <w:t xml:space="preserve">Le droit à la vie « constitue un attribut inaliénable de la personne humaine » et « forme la valeur suprême dans l’échelle des droits de l’homme ». — </w:t>
      </w:r>
      <w:r>
        <w:rPr>
          <w:rFonts w:ascii="Calibri" w:eastAsia="Calibri" w:hAnsi="Calibri" w:cs="Calibri"/>
          <w:i/>
          <w:iCs/>
          <w:color w:val="E91E63"/>
          <w:sz w:val="19"/>
          <w:szCs w:val="19"/>
        </w:rPr>
        <w:t xml:space="preserve">CEDH [GC], 22 mars 2001, </w:t>
      </w:r>
      <w:proofErr w:type="spellStart"/>
      <w:r>
        <w:rPr>
          <w:rFonts w:ascii="Calibri" w:eastAsia="Calibri" w:hAnsi="Calibri" w:cs="Calibri"/>
          <w:i/>
          <w:iCs/>
          <w:color w:val="E91E63"/>
          <w:sz w:val="19"/>
          <w:szCs w:val="19"/>
        </w:rPr>
        <w:t>Streletz</w:t>
      </w:r>
      <w:proofErr w:type="spellEnd"/>
      <w:r>
        <w:rPr>
          <w:rFonts w:ascii="Calibri" w:eastAsia="Calibri" w:hAnsi="Calibri" w:cs="Calibri"/>
          <w:i/>
          <w:iCs/>
          <w:color w:val="E91E63"/>
          <w:sz w:val="19"/>
          <w:szCs w:val="19"/>
        </w:rPr>
        <w:t>, Kessler et Krenz c. Allemagne, n° 34044/96</w:t>
      </w:r>
    </w:p>
    <w:p w14:paraId="6FCFA433" w14:textId="77777777" w:rsidR="00B13F99" w:rsidRDefault="00000000">
      <w:pPr>
        <w:spacing w:before="90" w:after="90" w:line="264" w:lineRule="auto"/>
        <w:ind w:left="400" w:right="200"/>
        <w:jc w:val="both"/>
      </w:pPr>
      <w:r>
        <w:rPr>
          <w:rFonts w:ascii="Calibri" w:eastAsia="Calibri" w:hAnsi="Calibri" w:cs="Calibri"/>
          <w:i/>
          <w:iCs/>
          <w:color w:val="1A1A1A"/>
          <w:sz w:val="19"/>
          <w:szCs w:val="19"/>
        </w:rPr>
        <w:t xml:space="preserve">« Toute personne a le droit d’avoir une fin de vie digne et accompagnée du meilleur apaisement possible de la souffrance. » — </w:t>
      </w:r>
      <w:r>
        <w:rPr>
          <w:rFonts w:ascii="Calibri" w:eastAsia="Calibri" w:hAnsi="Calibri" w:cs="Calibri"/>
          <w:i/>
          <w:iCs/>
          <w:color w:val="1E88E5"/>
          <w:sz w:val="19"/>
          <w:szCs w:val="19"/>
        </w:rPr>
        <w:t>Article L. 1110-5 du code de la santé publique</w:t>
      </w:r>
    </w:p>
    <w:p w14:paraId="0BDB3D87" w14:textId="77777777" w:rsidR="00B13F99" w:rsidRDefault="00000000">
      <w:pPr>
        <w:spacing w:before="90" w:after="90" w:line="264" w:lineRule="auto"/>
        <w:ind w:left="400" w:right="200"/>
        <w:jc w:val="both"/>
      </w:pPr>
      <w:r>
        <w:rPr>
          <w:rFonts w:ascii="Calibri" w:eastAsia="Calibri" w:hAnsi="Calibri" w:cs="Calibri"/>
          <w:i/>
          <w:iCs/>
          <w:color w:val="1A1A1A"/>
          <w:sz w:val="19"/>
          <w:szCs w:val="19"/>
        </w:rPr>
        <w:t xml:space="preserve">« Il n’appartient pas au Conseil constitutionnel, qui ne dispose pas d’un pouvoir général d’appréciation et de décision de même nature que celui du Parlement, de substituer son appréciation à celle du législateur. » — </w:t>
      </w:r>
      <w:r>
        <w:rPr>
          <w:rFonts w:ascii="Calibri" w:eastAsia="Calibri" w:hAnsi="Calibri" w:cs="Calibri"/>
          <w:i/>
          <w:iCs/>
          <w:color w:val="E91E63"/>
          <w:sz w:val="19"/>
          <w:szCs w:val="19"/>
        </w:rPr>
        <w:t>Cons. const., 14 août 2026, n° 2026-910 DC</w:t>
      </w:r>
      <w:r>
        <w:rPr>
          <w:rFonts w:ascii="Calibri" w:eastAsia="Calibri" w:hAnsi="Calibri" w:cs="Calibri"/>
          <w:i/>
          <w:iCs/>
          <w:color w:val="1A1A1A"/>
          <w:sz w:val="19"/>
          <w:szCs w:val="19"/>
        </w:rPr>
        <w:t xml:space="preserve">, reprenant </w:t>
      </w:r>
      <w:r>
        <w:rPr>
          <w:rFonts w:ascii="Calibri" w:eastAsia="Calibri" w:hAnsi="Calibri" w:cs="Calibri"/>
          <w:i/>
          <w:iCs/>
          <w:color w:val="E91E63"/>
          <w:sz w:val="19"/>
          <w:szCs w:val="19"/>
        </w:rPr>
        <w:t>Cons. const., 15 janvier 1975, n° 74-54 DC</w:t>
      </w:r>
    </w:p>
    <w:p w14:paraId="74D42767" w14:textId="77777777" w:rsidR="00B13F99" w:rsidRDefault="00000000">
      <w:pPr>
        <w:pStyle w:val="Titre2"/>
        <w:spacing w:before="260" w:after="110"/>
      </w:pPr>
      <w:r>
        <w:rPr>
          <w:rFonts w:ascii="Calibri" w:eastAsia="Calibri" w:hAnsi="Calibri" w:cs="Calibri"/>
          <w:b/>
          <w:bCs/>
          <w:color w:val="1A1A1A"/>
          <w:spacing w:val="16"/>
          <w:sz w:val="23"/>
          <w:szCs w:val="23"/>
        </w:rPr>
        <w:t>2.3. Les chiffres</w:t>
      </w:r>
    </w:p>
    <w:p w14:paraId="09F87F93"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380 000</w:t>
      </w:r>
      <w:r>
        <w:rPr>
          <w:rFonts w:ascii="Calibri" w:eastAsia="Calibri" w:hAnsi="Calibri" w:cs="Calibri"/>
          <w:color w:val="1A1A1A"/>
        </w:rPr>
        <w:t xml:space="preserve"> personnes environ susceptibles de relever de soins palliatifs en France chaque année, pour </w:t>
      </w:r>
      <w:r>
        <w:rPr>
          <w:rFonts w:ascii="Calibri" w:eastAsia="Calibri" w:hAnsi="Calibri" w:cs="Calibri"/>
          <w:b/>
          <w:bCs/>
          <w:color w:val="1A1A1A"/>
        </w:rPr>
        <w:t>environ la moitié des besoins couverts</w:t>
      </w:r>
      <w:r>
        <w:rPr>
          <w:rFonts w:ascii="Calibri" w:eastAsia="Calibri" w:hAnsi="Calibri" w:cs="Calibri"/>
          <w:color w:val="1A1A1A"/>
        </w:rPr>
        <w:t xml:space="preserve"> — rapport de la Cour des comptes, 2023.</w:t>
      </w:r>
    </w:p>
    <w:p w14:paraId="1D42E61F"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1,1 milliard d’euros sur dix ans</w:t>
      </w:r>
      <w:r>
        <w:rPr>
          <w:rFonts w:ascii="Calibri" w:eastAsia="Calibri" w:hAnsi="Calibri" w:cs="Calibri"/>
          <w:color w:val="1A1A1A"/>
        </w:rPr>
        <w:t>, soit environ 100 millions par an : stratégie décennale 2024-2034 annoncée en avril 2024, incluant la résorption des vingt départements alors dépourvus d’unité de soins palliatifs.</w:t>
      </w:r>
    </w:p>
    <w:p w14:paraId="2A830430"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Cinq</w:t>
      </w:r>
      <w:r>
        <w:rPr>
          <w:rFonts w:ascii="Calibri" w:eastAsia="Calibri" w:hAnsi="Calibri" w:cs="Calibri"/>
          <w:color w:val="1A1A1A"/>
        </w:rPr>
        <w:t xml:space="preserve"> conditions cumulatives d’accès ; </w:t>
      </w:r>
      <w:r>
        <w:rPr>
          <w:rFonts w:ascii="Calibri" w:eastAsia="Calibri" w:hAnsi="Calibri" w:cs="Calibri"/>
          <w:b/>
          <w:bCs/>
          <w:color w:val="1A1A1A"/>
        </w:rPr>
        <w:t>quinze</w:t>
      </w:r>
      <w:r>
        <w:rPr>
          <w:rFonts w:ascii="Calibri" w:eastAsia="Calibri" w:hAnsi="Calibri" w:cs="Calibri"/>
          <w:color w:val="1A1A1A"/>
        </w:rPr>
        <w:t xml:space="preserve"> jours pour la décision du médecin ; </w:t>
      </w:r>
      <w:r>
        <w:rPr>
          <w:rFonts w:ascii="Calibri" w:eastAsia="Calibri" w:hAnsi="Calibri" w:cs="Calibri"/>
          <w:b/>
          <w:bCs/>
          <w:color w:val="1A1A1A"/>
        </w:rPr>
        <w:t>deux</w:t>
      </w:r>
      <w:r>
        <w:rPr>
          <w:rFonts w:ascii="Calibri" w:eastAsia="Calibri" w:hAnsi="Calibri" w:cs="Calibri"/>
          <w:color w:val="1A1A1A"/>
        </w:rPr>
        <w:t xml:space="preserve"> jours de réflexion minimale ; </w:t>
      </w:r>
      <w:r>
        <w:rPr>
          <w:rFonts w:ascii="Calibri" w:eastAsia="Calibri" w:hAnsi="Calibri" w:cs="Calibri"/>
          <w:b/>
          <w:bCs/>
          <w:color w:val="1A1A1A"/>
        </w:rPr>
        <w:t>trois</w:t>
      </w:r>
      <w:r>
        <w:rPr>
          <w:rFonts w:ascii="Calibri" w:eastAsia="Calibri" w:hAnsi="Calibri" w:cs="Calibri"/>
          <w:color w:val="1A1A1A"/>
        </w:rPr>
        <w:t xml:space="preserve"> mois au-delà desquels la demande doit être réévaluée ; </w:t>
      </w:r>
      <w:r>
        <w:rPr>
          <w:rFonts w:ascii="Calibri" w:eastAsia="Calibri" w:hAnsi="Calibri" w:cs="Calibri"/>
          <w:b/>
          <w:bCs/>
          <w:color w:val="1A1A1A"/>
        </w:rPr>
        <w:t>trois</w:t>
      </w:r>
      <w:r>
        <w:rPr>
          <w:rFonts w:ascii="Calibri" w:eastAsia="Calibri" w:hAnsi="Calibri" w:cs="Calibri"/>
          <w:color w:val="1A1A1A"/>
        </w:rPr>
        <w:t xml:space="preserve"> réserves d’interprétation.</w:t>
      </w:r>
    </w:p>
    <w:p w14:paraId="7F445F81"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Vingt-sept</w:t>
      </w:r>
      <w:r>
        <w:rPr>
          <w:rFonts w:ascii="Calibri" w:eastAsia="Calibri" w:hAnsi="Calibri" w:cs="Calibri"/>
          <w:color w:val="1A1A1A"/>
        </w:rPr>
        <w:t xml:space="preserve"> ans entre la loi du 9 juin 1999 sur les soins palliatifs et la loi du 18 août 2026 sur l’aide à mourir.</w:t>
      </w:r>
    </w:p>
    <w:p w14:paraId="7D10CF4C" w14:textId="77777777" w:rsidR="00B13F99" w:rsidRDefault="00000000">
      <w:pPr>
        <w:spacing w:after="160"/>
      </w:pPr>
      <w:r>
        <w:rPr>
          <w:rFonts w:ascii="Calibri" w:eastAsia="Calibri" w:hAnsi="Calibri" w:cs="Calibri"/>
          <w:i/>
          <w:iCs/>
          <w:color w:val="5A5A5A"/>
          <w:sz w:val="18"/>
          <w:szCs w:val="18"/>
        </w:rPr>
        <w:t>Les chiffres du premier point proviennent des notes de veille et doivent être revérifiés avant citation littérale devant un jury.</w:t>
      </w:r>
    </w:p>
    <w:p w14:paraId="08ED84FC"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3. LA FILIATION PHILOSOPHIQUE, EN TROIS PHRASES</w:t>
      </w:r>
    </w:p>
    <w:p w14:paraId="1B135A17" w14:textId="77777777" w:rsidR="00B13F99" w:rsidRDefault="00000000">
      <w:pPr>
        <w:spacing w:after="90" w:line="264" w:lineRule="auto"/>
        <w:jc w:val="both"/>
      </w:pPr>
      <w:r>
        <w:rPr>
          <w:rFonts w:ascii="Calibri" w:eastAsia="Calibri" w:hAnsi="Calibri" w:cs="Calibri"/>
          <w:color w:val="1A1A1A"/>
        </w:rPr>
        <w:t>Le débat oppose deux traditions qui ne parlent pas de la même liberté. Il est utile d’en disposer pour une relance, jamais pour un développement.</w:t>
      </w:r>
    </w:p>
    <w:p w14:paraId="5073F414" w14:textId="77777777" w:rsidR="00B13F99" w:rsidRDefault="00000000">
      <w:pPr>
        <w:spacing w:before="90" w:after="90" w:line="264" w:lineRule="auto"/>
        <w:ind w:left="400" w:right="200"/>
        <w:jc w:val="both"/>
      </w:pPr>
      <w:r>
        <w:rPr>
          <w:rFonts w:ascii="Calibri" w:eastAsia="Calibri" w:hAnsi="Calibri" w:cs="Calibri"/>
          <w:i/>
          <w:iCs/>
          <w:color w:val="1A1A1A"/>
          <w:sz w:val="19"/>
          <w:szCs w:val="19"/>
        </w:rPr>
        <w:t xml:space="preserve">« Sur lui-même, sur son propre corps et son propre esprit, l’individu est souverain. » — </w:t>
      </w:r>
      <w:r>
        <w:rPr>
          <w:rFonts w:ascii="Calibri" w:eastAsia="Calibri" w:hAnsi="Calibri" w:cs="Calibri"/>
          <w:i/>
          <w:iCs/>
          <w:color w:val="2E7D32"/>
          <w:sz w:val="19"/>
          <w:szCs w:val="19"/>
        </w:rPr>
        <w:t>John Stuart Mill, De la liberté, 1859, chapitre I</w:t>
      </w:r>
    </w:p>
    <w:p w14:paraId="0B67874C" w14:textId="77777777" w:rsidR="00B13F99" w:rsidRDefault="00000000">
      <w:pPr>
        <w:pStyle w:val="Paragraphedeliste"/>
        <w:numPr>
          <w:ilvl w:val="0"/>
          <w:numId w:val="2"/>
        </w:numPr>
        <w:spacing w:after="70" w:line="264" w:lineRule="auto"/>
        <w:jc w:val="both"/>
      </w:pPr>
      <w:r>
        <w:rPr>
          <w:rFonts w:ascii="Calibri" w:eastAsia="Calibri" w:hAnsi="Calibri" w:cs="Calibri"/>
          <w:color w:val="2E7D32"/>
        </w:rPr>
        <w:t>Mill</w:t>
      </w:r>
      <w:r>
        <w:rPr>
          <w:rFonts w:ascii="Calibri" w:eastAsia="Calibri" w:hAnsi="Calibri" w:cs="Calibri"/>
          <w:color w:val="1A1A1A"/>
        </w:rPr>
        <w:t xml:space="preserve"> fournit la matrice de la thèse de l’autonomie : l’État n’a pas à protéger une personne contre elle-même, et le seul fondement légitime d’une contrainte est le dommage causé à autrui.</w:t>
      </w:r>
    </w:p>
    <w:p w14:paraId="1DBE34E5" w14:textId="77777777" w:rsidR="00B13F99" w:rsidRDefault="00000000">
      <w:pPr>
        <w:pStyle w:val="Paragraphedeliste"/>
        <w:numPr>
          <w:ilvl w:val="0"/>
          <w:numId w:val="2"/>
        </w:numPr>
        <w:spacing w:after="70" w:line="264" w:lineRule="auto"/>
        <w:jc w:val="both"/>
      </w:pPr>
      <w:r>
        <w:rPr>
          <w:rFonts w:ascii="Calibri" w:eastAsia="Calibri" w:hAnsi="Calibri" w:cs="Calibri"/>
          <w:color w:val="2E7D32"/>
        </w:rPr>
        <w:t>Kant</w:t>
      </w:r>
      <w:r>
        <w:rPr>
          <w:rFonts w:ascii="Calibri" w:eastAsia="Calibri" w:hAnsi="Calibri" w:cs="Calibri"/>
          <w:color w:val="1A1A1A"/>
        </w:rPr>
        <w:t xml:space="preserve">, dans la </w:t>
      </w:r>
      <w:r>
        <w:rPr>
          <w:rFonts w:ascii="Calibri" w:eastAsia="Calibri" w:hAnsi="Calibri" w:cs="Calibri"/>
          <w:i/>
          <w:iCs/>
          <w:color w:val="1A1A1A"/>
        </w:rPr>
        <w:t>Doctrine de la vertu</w:t>
      </w:r>
      <w:r>
        <w:rPr>
          <w:rFonts w:ascii="Calibri" w:eastAsia="Calibri" w:hAnsi="Calibri" w:cs="Calibri"/>
          <w:color w:val="1A1A1A"/>
        </w:rPr>
        <w:t>, oppose que disposer de soi comme d’une chose contredit la dignité dont on prétend se réclamer : on ne peut fonder sur la liberté un acte qui supprime le sujet de la liberté.</w:t>
      </w:r>
    </w:p>
    <w:p w14:paraId="24FFF735"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Le Conseil constitutionnel n’arbitre pas entre les deux</w:t>
      </w:r>
      <w:r>
        <w:rPr>
          <w:rFonts w:ascii="Calibri" w:eastAsia="Calibri" w:hAnsi="Calibri" w:cs="Calibri"/>
          <w:color w:val="1A1A1A"/>
        </w:rPr>
        <w:t xml:space="preserve"> : il dit que l’arbitrage appartient au Parlement. C’est le sens exact du refus de substituer son appréciation à celle du législateur — et c’est ainsi qu’une décision de conformité peut être, en même temps, une décision de retrait.</w:t>
      </w:r>
    </w:p>
    <w:p w14:paraId="0ABB60B5" w14:textId="77777777" w:rsidR="00B13F99" w:rsidRDefault="00000000">
      <w:pPr>
        <w:pStyle w:val="Titre1"/>
        <w:pBdr>
          <w:bottom w:val="single" w:sz="12" w:space="6" w:color="8C1C2B"/>
        </w:pBdr>
        <w:spacing w:before="260" w:after="90"/>
      </w:pPr>
      <w:r>
        <w:rPr>
          <w:rFonts w:ascii="Calibri" w:eastAsia="Calibri" w:hAnsi="Calibri" w:cs="Calibri"/>
          <w:b/>
          <w:bCs/>
          <w:color w:val="8C1C2B"/>
          <w:sz w:val="28"/>
          <w:szCs w:val="28"/>
        </w:rPr>
        <w:t>4. MÉMO DE MÉTHODE — UNE PAGE À RELIRE AVANT CHAQUE ORAL BLANC</w:t>
      </w:r>
    </w:p>
    <w:p w14:paraId="5179B8EC" w14:textId="77777777" w:rsidR="00B13F99" w:rsidRDefault="00000000">
      <w:pPr>
        <w:pStyle w:val="Titre3"/>
        <w:spacing w:before="200" w:after="80"/>
      </w:pPr>
      <w:r>
        <w:rPr>
          <w:rFonts w:ascii="Calibri" w:eastAsia="Calibri" w:hAnsi="Calibri" w:cs="Calibri"/>
          <w:b/>
          <w:bCs/>
          <w:i/>
          <w:iCs/>
          <w:color w:val="1A1A1A"/>
          <w:sz w:val="21"/>
          <w:szCs w:val="21"/>
        </w:rPr>
        <w:t>L’épreuve</w:t>
      </w:r>
    </w:p>
    <w:p w14:paraId="45B82647"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1 heure</w:t>
      </w:r>
      <w:r>
        <w:rPr>
          <w:rFonts w:ascii="Calibri" w:eastAsia="Calibri" w:hAnsi="Calibri" w:cs="Calibri"/>
          <w:color w:val="1A1A1A"/>
        </w:rPr>
        <w:t xml:space="preserve"> de préparation, </w:t>
      </w:r>
      <w:r>
        <w:rPr>
          <w:rFonts w:ascii="Calibri" w:eastAsia="Calibri" w:hAnsi="Calibri" w:cs="Calibri"/>
          <w:b/>
          <w:bCs/>
          <w:color w:val="1A1A1A"/>
        </w:rPr>
        <w:t>45 minutes</w:t>
      </w:r>
      <w:r>
        <w:rPr>
          <w:rFonts w:ascii="Calibri" w:eastAsia="Calibri" w:hAnsi="Calibri" w:cs="Calibri"/>
          <w:color w:val="1A1A1A"/>
        </w:rPr>
        <w:t xml:space="preserve"> devant le jury : </w:t>
      </w:r>
      <w:r>
        <w:rPr>
          <w:rFonts w:ascii="Calibri" w:eastAsia="Calibri" w:hAnsi="Calibri" w:cs="Calibri"/>
          <w:b/>
          <w:bCs/>
          <w:color w:val="1A1A1A"/>
        </w:rPr>
        <w:t>15 minutes</w:t>
      </w:r>
      <w:r>
        <w:rPr>
          <w:rFonts w:ascii="Calibri" w:eastAsia="Calibri" w:hAnsi="Calibri" w:cs="Calibri"/>
          <w:color w:val="1A1A1A"/>
        </w:rPr>
        <w:t xml:space="preserve"> d’exposé, </w:t>
      </w:r>
      <w:r>
        <w:rPr>
          <w:rFonts w:ascii="Calibri" w:eastAsia="Calibri" w:hAnsi="Calibri" w:cs="Calibri"/>
          <w:b/>
          <w:bCs/>
          <w:color w:val="1A1A1A"/>
        </w:rPr>
        <w:t>30 minutes</w:t>
      </w:r>
      <w:r>
        <w:rPr>
          <w:rFonts w:ascii="Calibri" w:eastAsia="Calibri" w:hAnsi="Calibri" w:cs="Calibri"/>
          <w:color w:val="1A1A1A"/>
        </w:rPr>
        <w:t xml:space="preserve"> d’entretien.</w:t>
      </w:r>
    </w:p>
    <w:p w14:paraId="44A144E3"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Jury de </w:t>
      </w:r>
      <w:r>
        <w:rPr>
          <w:rFonts w:ascii="Calibri" w:eastAsia="Calibri" w:hAnsi="Calibri" w:cs="Calibri"/>
          <w:b/>
          <w:bCs/>
          <w:color w:val="1A1A1A"/>
        </w:rPr>
        <w:t>trois</w:t>
      </w:r>
      <w:r>
        <w:rPr>
          <w:rFonts w:ascii="Calibri" w:eastAsia="Calibri" w:hAnsi="Calibri" w:cs="Calibri"/>
          <w:color w:val="1A1A1A"/>
        </w:rPr>
        <w:t xml:space="preserve"> personnes : un avocat, un magistrat, un universitaire — ce dernier préside le plus souvent.</w:t>
      </w:r>
    </w:p>
    <w:p w14:paraId="79DCA329"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Programme : la protection des libertés et droits fondamentaux, et la culture juridique. Nul ne peut le maîtriser entièrement, et le jury le sait.</w:t>
      </w:r>
    </w:p>
    <w:p w14:paraId="206C4EE9" w14:textId="77777777" w:rsidR="00B13F99" w:rsidRDefault="00000000">
      <w:pPr>
        <w:pStyle w:val="Titre3"/>
        <w:spacing w:before="200" w:after="80"/>
      </w:pPr>
      <w:r>
        <w:rPr>
          <w:rFonts w:ascii="Calibri" w:eastAsia="Calibri" w:hAnsi="Calibri" w:cs="Calibri"/>
          <w:b/>
          <w:bCs/>
          <w:i/>
          <w:iCs/>
          <w:color w:val="1A1A1A"/>
          <w:sz w:val="21"/>
          <w:szCs w:val="21"/>
        </w:rPr>
        <w:t>Les cinq commandements de l’heure de préparation</w:t>
      </w:r>
    </w:p>
    <w:p w14:paraId="761C1396"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Garder son sang-froid.</w:t>
      </w:r>
      <w:r>
        <w:rPr>
          <w:rFonts w:ascii="Calibri" w:eastAsia="Calibri" w:hAnsi="Calibri" w:cs="Calibri"/>
          <w:color w:val="1A1A1A"/>
        </w:rPr>
        <w:t xml:space="preserve"> Lire, relire, relire le sujet. Définir les termes même lorsqu’ils paraissent évidents. Un contresens est irrattrapable.</w:t>
      </w:r>
    </w:p>
    <w:p w14:paraId="2E28649E"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Recenser</w:t>
      </w:r>
      <w:r>
        <w:rPr>
          <w:rFonts w:ascii="Calibri" w:eastAsia="Calibri" w:hAnsi="Calibri" w:cs="Calibri"/>
          <w:color w:val="1A1A1A"/>
        </w:rPr>
        <w:t xml:space="preserve"> au brouillon tous les droits, libertés et notions liés au sujet, directement ou indirectement. Relire la liste, ajouter, élaguer. Puis problématiser : « Pourquoi le jury m’a-t-il donné ce sujet ? »</w:t>
      </w:r>
    </w:p>
    <w:p w14:paraId="5EA8D64A"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Utiliser les ressources pour compléter, jamais pour découvrir.</w:t>
      </w:r>
      <w:r>
        <w:rPr>
          <w:rFonts w:ascii="Calibri" w:eastAsia="Calibri" w:hAnsi="Calibri" w:cs="Calibri"/>
          <w:color w:val="1A1A1A"/>
        </w:rPr>
        <w:t xml:space="preserve"> Emporter peu de codes, mais des codes que l’on sait manipuler.</w:t>
      </w:r>
    </w:p>
    <w:p w14:paraId="0E31CD5F"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Préparer un brouillon très structuré, détaillé mais non rédigé.</w:t>
      </w:r>
      <w:r>
        <w:rPr>
          <w:rFonts w:ascii="Calibri" w:eastAsia="Calibri" w:hAnsi="Calibri" w:cs="Calibri"/>
          <w:color w:val="1A1A1A"/>
        </w:rPr>
        <w:t xml:space="preserve"> Pages numérotées, recto seulement, écriture lisible en un coup d’œil, textes et arrêts mis en évidence pour dispenser la mémoire.</w:t>
      </w:r>
    </w:p>
    <w:p w14:paraId="27A06BFD"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Rédiger intégralement le début et la fin.</w:t>
      </w:r>
      <w:r>
        <w:rPr>
          <w:rFonts w:ascii="Calibri" w:eastAsia="Calibri" w:hAnsi="Calibri" w:cs="Calibri"/>
          <w:color w:val="1A1A1A"/>
        </w:rPr>
        <w:t xml:space="preserve"> Les premiers et les derniers mots marquent le jury, et un blanc dans les dix premières secondes coûte très cher.</w:t>
      </w:r>
    </w:p>
    <w:p w14:paraId="505B7E69" w14:textId="77777777" w:rsidR="00B13F99" w:rsidRDefault="00000000">
      <w:pPr>
        <w:pStyle w:val="Titre3"/>
        <w:spacing w:before="200" w:after="80"/>
      </w:pPr>
      <w:r>
        <w:rPr>
          <w:rFonts w:ascii="Calibri" w:eastAsia="Calibri" w:hAnsi="Calibri" w:cs="Calibri"/>
          <w:b/>
          <w:bCs/>
          <w:i/>
          <w:iCs/>
          <w:color w:val="1A1A1A"/>
          <w:sz w:val="21"/>
          <w:szCs w:val="21"/>
        </w:rPr>
        <w:t>Pendant l’exposé</w:t>
      </w:r>
    </w:p>
    <w:p w14:paraId="610D5025"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 xml:space="preserve">S’appuyer sur ses notes </w:t>
      </w:r>
      <w:r>
        <w:rPr>
          <w:rFonts w:ascii="Calibri" w:eastAsia="Calibri" w:hAnsi="Calibri" w:cs="Calibri"/>
          <w:b/>
          <w:bCs/>
          <w:color w:val="1A1A1A"/>
        </w:rPr>
        <w:t>sans lire</w:t>
      </w:r>
      <w:r>
        <w:rPr>
          <w:rFonts w:ascii="Calibri" w:eastAsia="Calibri" w:hAnsi="Calibri" w:cs="Calibri"/>
          <w:color w:val="1A1A1A"/>
        </w:rPr>
        <w:t>. Voix audible, rythme calme, pauses aux moments importants pour laisser le jury noter.</w:t>
      </w:r>
    </w:p>
    <w:p w14:paraId="56C878A7"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Contrôler la durée : une montre posée sur la table. Délayer un peu si l’on est court, accélérer sans exagération si l’on est long.</w:t>
      </w:r>
    </w:p>
    <w:p w14:paraId="63C97702"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Démontrer, ne pas réciter.</w:t>
      </w:r>
      <w:r>
        <w:rPr>
          <w:rFonts w:ascii="Calibri" w:eastAsia="Calibri" w:hAnsi="Calibri" w:cs="Calibri"/>
          <w:color w:val="1A1A1A"/>
        </w:rPr>
        <w:t xml:space="preserve"> Le jury sera déçu par un candidat qui déverse des connaissances trouvées dans les codes pendant l’heure de préparation.</w:t>
      </w:r>
    </w:p>
    <w:p w14:paraId="42E7677C" w14:textId="77777777" w:rsidR="00B13F99" w:rsidRDefault="00000000">
      <w:pPr>
        <w:pStyle w:val="Paragraphedeliste"/>
        <w:numPr>
          <w:ilvl w:val="0"/>
          <w:numId w:val="2"/>
        </w:numPr>
        <w:spacing w:after="70" w:line="264" w:lineRule="auto"/>
        <w:jc w:val="both"/>
      </w:pPr>
      <w:r>
        <w:rPr>
          <w:rFonts w:ascii="Calibri" w:eastAsia="Calibri" w:hAnsi="Calibri" w:cs="Calibri"/>
          <w:color w:val="1A1A1A"/>
        </w:rPr>
        <w:t>Rester sur le terrain des libertés et droits fondamentaux, même — surtout — si le sujet touche à une matière que l’on maîtrise par ailleurs.</w:t>
      </w:r>
    </w:p>
    <w:p w14:paraId="4279DF22"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Conclure clairement, puis se taire.</w:t>
      </w:r>
      <w:r>
        <w:rPr>
          <w:rFonts w:ascii="Calibri" w:eastAsia="Calibri" w:hAnsi="Calibri" w:cs="Calibri"/>
          <w:color w:val="1A1A1A"/>
        </w:rPr>
        <w:t xml:space="preserve"> Pas de « Voilà ! », pas de « J’ai terminé ». Le silence après une dernière phrase suffit.</w:t>
      </w:r>
    </w:p>
    <w:p w14:paraId="5871E215" w14:textId="77777777" w:rsidR="00B13F99" w:rsidRDefault="00000000">
      <w:pPr>
        <w:pStyle w:val="Titre3"/>
        <w:spacing w:before="200" w:after="80"/>
      </w:pPr>
      <w:r>
        <w:rPr>
          <w:rFonts w:ascii="Calibri" w:eastAsia="Calibri" w:hAnsi="Calibri" w:cs="Calibri"/>
          <w:b/>
          <w:bCs/>
          <w:i/>
          <w:iCs/>
          <w:color w:val="1A1A1A"/>
          <w:sz w:val="21"/>
          <w:szCs w:val="21"/>
        </w:rPr>
        <w:t>Pendant l’entretien</w:t>
      </w:r>
    </w:p>
    <w:p w14:paraId="23FB2B74"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Trois à cinq secondes de silence</w:t>
      </w:r>
      <w:r>
        <w:rPr>
          <w:rFonts w:ascii="Calibri" w:eastAsia="Calibri" w:hAnsi="Calibri" w:cs="Calibri"/>
          <w:color w:val="1A1A1A"/>
        </w:rPr>
        <w:t xml:space="preserve"> avant de répondre. Cela donne de la solennité à la question et du temps pour construire.</w:t>
      </w:r>
    </w:p>
    <w:p w14:paraId="75BEC339"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Répondre en syllogisme</w:t>
      </w:r>
      <w:r>
        <w:rPr>
          <w:rFonts w:ascii="Calibri" w:eastAsia="Calibri" w:hAnsi="Calibri" w:cs="Calibri"/>
          <w:color w:val="1A1A1A"/>
        </w:rPr>
        <w:t xml:space="preserve"> : une majeure textuelle, une illustration jurisprudentielle ou d’actualité, puis la conclusion. Une réponse construite prend du temps et évite la mitraille de questions.</w:t>
      </w:r>
    </w:p>
    <w:p w14:paraId="325469DA"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Ne jamais traiter le jury en adversaire.</w:t>
      </w:r>
      <w:r>
        <w:rPr>
          <w:rFonts w:ascii="Calibri" w:eastAsia="Calibri" w:hAnsi="Calibri" w:cs="Calibri"/>
          <w:color w:val="1A1A1A"/>
        </w:rPr>
        <w:t xml:space="preserve"> Le membre qui signale une erreur offre le plus souvent l’occasion de se reprendre. S’obstiner sans expliquer est une faute ; reconnaître et argumenter n’en est pas une.</w:t>
      </w:r>
    </w:p>
    <w:p w14:paraId="6B6DABAE" w14:textId="77777777" w:rsidR="00B13F99" w:rsidRDefault="00000000">
      <w:pPr>
        <w:pStyle w:val="Paragraphedeliste"/>
        <w:numPr>
          <w:ilvl w:val="0"/>
          <w:numId w:val="2"/>
        </w:numPr>
        <w:spacing w:after="70" w:line="264" w:lineRule="auto"/>
        <w:jc w:val="both"/>
      </w:pPr>
      <w:r>
        <w:rPr>
          <w:rFonts w:ascii="Calibri" w:eastAsia="Calibri" w:hAnsi="Calibri" w:cs="Calibri"/>
          <w:b/>
          <w:bCs/>
          <w:color w:val="1A1A1A"/>
        </w:rPr>
        <w:t>Analyser, ne pas opiner.</w:t>
      </w:r>
      <w:r>
        <w:rPr>
          <w:rFonts w:ascii="Calibri" w:eastAsia="Calibri" w:hAnsi="Calibri" w:cs="Calibri"/>
          <w:color w:val="1A1A1A"/>
        </w:rPr>
        <w:t xml:space="preserve"> Sur les questions de société, on expose les positions en présence et le droit applicable — on ne livre pas son opinion personnelle.</w:t>
      </w:r>
    </w:p>
    <w:p w14:paraId="69602A18" w14:textId="77777777" w:rsidR="00B13F99"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b/>
          <w:bCs/>
          <w:color w:val="1A1A1A"/>
          <w:sz w:val="19"/>
          <w:szCs w:val="19"/>
        </w:rPr>
        <w:t>Et pour finir.</w:t>
      </w:r>
      <w:r>
        <w:rPr>
          <w:rFonts w:ascii="Calibri" w:eastAsia="Calibri" w:hAnsi="Calibri" w:cs="Calibri"/>
          <w:color w:val="1A1A1A"/>
          <w:sz w:val="19"/>
          <w:szCs w:val="19"/>
        </w:rPr>
        <w:t xml:space="preserve"> Le jour de l’épreuve, tout candidat sain d’esprit se dira « je ne suis pas prêt ». L’épreuve est faite ainsi. Ce qui se juge n’est pas l’étendue du savoir, mais la capacité à raisonner sur du droit à partir de bases solides.</w:t>
      </w:r>
    </w:p>
    <w:sectPr w:rsidR="00B13F99">
      <w:footerReference w:type="default" r:id="rId7"/>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CD5DD0" w14:textId="77777777" w:rsidR="00634B68" w:rsidRDefault="00634B68">
      <w:r>
        <w:separator/>
      </w:r>
    </w:p>
  </w:endnote>
  <w:endnote w:type="continuationSeparator" w:id="0">
    <w:p w14:paraId="4FF7BAF4" w14:textId="77777777" w:rsidR="00634B68" w:rsidRDefault="00634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B3BECA" w14:textId="77777777" w:rsidR="00B13F99" w:rsidRDefault="00000000">
    <w:pPr>
      <w:jc w:val="center"/>
    </w:pPr>
    <w:r>
      <w:rPr>
        <w:rFonts w:ascii="Calibri" w:eastAsia="Calibri" w:hAnsi="Calibri" w:cs="Calibri"/>
        <w:color w:val="5A5A5A"/>
        <w:sz w:val="15"/>
        <w:szCs w:val="15"/>
      </w:rPr>
      <w:t xml:space="preserve">Grand Oral CRFPA — Entraînement n° 1 — Le droit à la vie   |   </w:t>
    </w:r>
    <w:r>
      <w:rPr>
        <w:rFonts w:ascii="Calibri" w:eastAsia="Calibri" w:hAnsi="Calibri" w:cs="Calibri"/>
        <w:color w:val="5A5A5A"/>
        <w:sz w:val="15"/>
        <w:szCs w:val="15"/>
      </w:rPr>
      <w:fldChar w:fldCharType="begin"/>
    </w:r>
    <w:r>
      <w:rPr>
        <w:rFonts w:ascii="Calibri" w:eastAsia="Calibri" w:hAnsi="Calibri" w:cs="Calibri"/>
        <w:color w:val="5A5A5A"/>
        <w:sz w:val="15"/>
        <w:szCs w:val="15"/>
      </w:rPr>
      <w:instrText>PAGE</w:instrText>
    </w:r>
    <w:r>
      <w:rPr>
        <w:rFonts w:ascii="Calibri" w:eastAsia="Calibri" w:hAnsi="Calibri" w:cs="Calibri"/>
        <w:color w:val="5A5A5A"/>
        <w:sz w:val="15"/>
        <w:szCs w:val="15"/>
      </w:rPr>
      <w:fldChar w:fldCharType="separate"/>
    </w:r>
    <w:r w:rsidR="000151DD">
      <w:rPr>
        <w:rFonts w:ascii="Calibri" w:eastAsia="Calibri" w:hAnsi="Calibri" w:cs="Calibri"/>
        <w:noProof/>
        <w:color w:val="5A5A5A"/>
        <w:sz w:val="15"/>
        <w:szCs w:val="15"/>
      </w:rPr>
      <w:t>1</w:t>
    </w:r>
    <w:r>
      <w:rPr>
        <w:rFonts w:ascii="Calibri" w:eastAsia="Calibri" w:hAnsi="Calibri" w:cs="Calibri"/>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9447A1" w14:textId="77777777" w:rsidR="00634B68" w:rsidRDefault="00634B68">
      <w:r>
        <w:separator/>
      </w:r>
    </w:p>
  </w:footnote>
  <w:footnote w:type="continuationSeparator" w:id="0">
    <w:p w14:paraId="4FB29BCA" w14:textId="77777777" w:rsidR="00634B68" w:rsidRDefault="00634B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D2AA0"/>
    <w:multiLevelType w:val="hybridMultilevel"/>
    <w:tmpl w:val="F2E62B04"/>
    <w:lvl w:ilvl="0" w:tplc="C2A4C9C4">
      <w:start w:val="1"/>
      <w:numFmt w:val="bullet"/>
      <w:lvlText w:val="●"/>
      <w:lvlJc w:val="left"/>
      <w:pPr>
        <w:ind w:left="720" w:hanging="360"/>
      </w:pPr>
    </w:lvl>
    <w:lvl w:ilvl="1" w:tplc="E3DC1DE4">
      <w:start w:val="1"/>
      <w:numFmt w:val="bullet"/>
      <w:lvlText w:val="○"/>
      <w:lvlJc w:val="left"/>
      <w:pPr>
        <w:ind w:left="1440" w:hanging="360"/>
      </w:pPr>
    </w:lvl>
    <w:lvl w:ilvl="2" w:tplc="1BA4AB8C">
      <w:start w:val="1"/>
      <w:numFmt w:val="bullet"/>
      <w:lvlText w:val="■"/>
      <w:lvlJc w:val="left"/>
      <w:pPr>
        <w:ind w:left="2160" w:hanging="360"/>
      </w:pPr>
    </w:lvl>
    <w:lvl w:ilvl="3" w:tplc="BDAC04CC">
      <w:start w:val="1"/>
      <w:numFmt w:val="bullet"/>
      <w:lvlText w:val="●"/>
      <w:lvlJc w:val="left"/>
      <w:pPr>
        <w:ind w:left="2880" w:hanging="360"/>
      </w:pPr>
    </w:lvl>
    <w:lvl w:ilvl="4" w:tplc="7B06FAD4">
      <w:start w:val="1"/>
      <w:numFmt w:val="bullet"/>
      <w:lvlText w:val="○"/>
      <w:lvlJc w:val="left"/>
      <w:pPr>
        <w:ind w:left="3600" w:hanging="360"/>
      </w:pPr>
    </w:lvl>
    <w:lvl w:ilvl="5" w:tplc="5680F56C">
      <w:start w:val="1"/>
      <w:numFmt w:val="bullet"/>
      <w:lvlText w:val="■"/>
      <w:lvlJc w:val="left"/>
      <w:pPr>
        <w:ind w:left="4320" w:hanging="360"/>
      </w:pPr>
    </w:lvl>
    <w:lvl w:ilvl="6" w:tplc="EC5C0DBA">
      <w:start w:val="1"/>
      <w:numFmt w:val="bullet"/>
      <w:lvlText w:val="●"/>
      <w:lvlJc w:val="left"/>
      <w:pPr>
        <w:ind w:left="5040" w:hanging="360"/>
      </w:pPr>
    </w:lvl>
    <w:lvl w:ilvl="7" w:tplc="0386AE9A">
      <w:start w:val="1"/>
      <w:numFmt w:val="bullet"/>
      <w:lvlText w:val="●"/>
      <w:lvlJc w:val="left"/>
      <w:pPr>
        <w:ind w:left="5760" w:hanging="360"/>
      </w:pPr>
    </w:lvl>
    <w:lvl w:ilvl="8" w:tplc="F522E096">
      <w:start w:val="1"/>
      <w:numFmt w:val="bullet"/>
      <w:lvlText w:val="●"/>
      <w:lvlJc w:val="left"/>
      <w:pPr>
        <w:ind w:left="6480" w:hanging="360"/>
      </w:pPr>
    </w:lvl>
  </w:abstractNum>
  <w:abstractNum w:abstractNumId="1" w15:restartNumberingAfterBreak="0">
    <w:nsid w:val="0E340389"/>
    <w:multiLevelType w:val="hybridMultilevel"/>
    <w:tmpl w:val="94FE6C64"/>
    <w:lvl w:ilvl="0" w:tplc="95789788">
      <w:start w:val="1"/>
      <w:numFmt w:val="bullet"/>
      <w:lvlText w:val="▪"/>
      <w:lvlJc w:val="left"/>
      <w:pPr>
        <w:ind w:left="340" w:hanging="200"/>
      </w:pPr>
    </w:lvl>
    <w:lvl w:ilvl="1" w:tplc="DD30345A">
      <w:start w:val="1"/>
      <w:numFmt w:val="bullet"/>
      <w:lvlText w:val="–"/>
      <w:lvlJc w:val="left"/>
      <w:pPr>
        <w:ind w:left="700" w:hanging="200"/>
      </w:pPr>
    </w:lvl>
    <w:lvl w:ilvl="2" w:tplc="E7D8096C">
      <w:start w:val="1"/>
      <w:numFmt w:val="bullet"/>
      <w:lvlText w:val="·"/>
      <w:lvlJc w:val="left"/>
      <w:pPr>
        <w:ind w:left="1060" w:hanging="200"/>
      </w:pPr>
    </w:lvl>
    <w:lvl w:ilvl="3" w:tplc="D37AA214">
      <w:numFmt w:val="decimal"/>
      <w:lvlText w:val=""/>
      <w:lvlJc w:val="left"/>
    </w:lvl>
    <w:lvl w:ilvl="4" w:tplc="5992AC5E">
      <w:numFmt w:val="decimal"/>
      <w:lvlText w:val=""/>
      <w:lvlJc w:val="left"/>
    </w:lvl>
    <w:lvl w:ilvl="5" w:tplc="47F041C6">
      <w:numFmt w:val="decimal"/>
      <w:lvlText w:val=""/>
      <w:lvlJc w:val="left"/>
    </w:lvl>
    <w:lvl w:ilvl="6" w:tplc="CEFC40FA">
      <w:numFmt w:val="decimal"/>
      <w:lvlText w:val=""/>
      <w:lvlJc w:val="left"/>
    </w:lvl>
    <w:lvl w:ilvl="7" w:tplc="24BA3896">
      <w:numFmt w:val="decimal"/>
      <w:lvlText w:val=""/>
      <w:lvlJc w:val="left"/>
    </w:lvl>
    <w:lvl w:ilvl="8" w:tplc="4194166A">
      <w:numFmt w:val="decimal"/>
      <w:lvlText w:val=""/>
      <w:lvlJc w:val="left"/>
    </w:lvl>
  </w:abstractNum>
  <w:num w:numId="1" w16cid:durableId="1798378990">
    <w:abstractNumId w:val="0"/>
    <w:lvlOverride w:ilvl="0">
      <w:startOverride w:val="1"/>
    </w:lvlOverride>
  </w:num>
  <w:num w:numId="2" w16cid:durableId="18892957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F99"/>
    <w:rsid w:val="000151DD"/>
    <w:rsid w:val="0016629D"/>
    <w:rsid w:val="0033742F"/>
    <w:rsid w:val="00517A04"/>
    <w:rsid w:val="005F2876"/>
    <w:rsid w:val="00634B68"/>
    <w:rsid w:val="007259E7"/>
    <w:rsid w:val="00767761"/>
    <w:rsid w:val="00960E94"/>
    <w:rsid w:val="009618F4"/>
    <w:rsid w:val="00B13F99"/>
    <w:rsid w:val="00FB5E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E1C338A"/>
  <w15:docId w15:val="{35B0B84D-4F6B-8D41-BDB1-F0AA64E14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38</Pages>
  <Words>20028</Words>
  <Characters>110155</Characters>
  <Application>Microsoft Office Word</Application>
  <DocSecurity>0</DocSecurity>
  <Lines>917</Lines>
  <Paragraphs>259</Paragraphs>
  <ScaleCrop>false</ScaleCrop>
  <HeadingPairs>
    <vt:vector size="2" baseType="variant">
      <vt:variant>
        <vt:lpstr>Titre</vt:lpstr>
      </vt:variant>
      <vt:variant>
        <vt:i4>1</vt:i4>
      </vt:variant>
    </vt:vector>
  </HeadingPairs>
  <TitlesOfParts>
    <vt:vector size="1" baseType="lpstr">
      <vt:lpstr>Grand Oral CRFPA — Correction enrichie — Entraînement n° 1 — Le droit à la vie</vt:lpstr>
    </vt:vector>
  </TitlesOfParts>
  <Company/>
  <LinksUpToDate>false</LinksUpToDate>
  <CharactersWithSpaces>129924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Oral CRFPA — Correction enrichie — Entraînement n° 1 — Le droit à la vie</dc:title>
  <dc:creator>Simon</dc:creator>
  <dc:description>Correction reprise et enrichie du premier entraînement Objectif Barreau</dc:description>
  <cp:lastModifiedBy>Simon BERNINES</cp:lastModifiedBy>
  <cp:revision>3</cp:revision>
  <dcterms:created xsi:type="dcterms:W3CDTF">2026-09-27T17:33:00Z</dcterms:created>
  <dcterms:modified xsi:type="dcterms:W3CDTF">2026-09-29T10:19:00Z</dcterms:modified>
</cp:coreProperties>
</file>