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9C94C7" w14:textId="77777777" w:rsidR="006A28CF" w:rsidRDefault="00000000">
      <w:pPr>
        <w:spacing w:before="1200" w:after="140"/>
        <w:jc w:val="center"/>
      </w:pPr>
      <w:r>
        <w:rPr>
          <w:rFonts w:ascii="Calibri" w:eastAsia="Calibri" w:hAnsi="Calibri" w:cs="Calibri"/>
          <w:b/>
          <w:bCs/>
          <w:color w:val="8C1C2B"/>
          <w:sz w:val="40"/>
          <w:szCs w:val="40"/>
        </w:rPr>
        <w:t>ENTRAÎNEMENT N° 2 — CORRECTION ENRICHIE</w:t>
      </w:r>
    </w:p>
    <w:p w14:paraId="2E046B30" w14:textId="77777777" w:rsidR="006A28CF" w:rsidRDefault="00000000">
      <w:pPr>
        <w:spacing w:after="100"/>
        <w:jc w:val="center"/>
      </w:pPr>
      <w:r>
        <w:rPr>
          <w:rFonts w:ascii="Calibri" w:eastAsia="Calibri" w:hAnsi="Calibri" w:cs="Calibri"/>
          <w:b/>
          <w:bCs/>
          <w:color w:val="1A1A1A"/>
          <w:sz w:val="24"/>
          <w:szCs w:val="24"/>
        </w:rPr>
        <w:t>La dignité, le consentement et la police administrative</w:t>
      </w:r>
      <w:r>
        <w:rPr>
          <w:rFonts w:ascii="Calibri" w:eastAsia="Calibri" w:hAnsi="Calibri" w:cs="Calibri"/>
          <w:color w:val="1A1A1A"/>
          <w:sz w:val="24"/>
          <w:szCs w:val="24"/>
        </w:rPr>
        <w:t xml:space="preserve"> — Objectif Barreau, Grand Oral du CRFPA</w:t>
      </w:r>
    </w:p>
    <w:p w14:paraId="7A90E28E" w14:textId="77777777" w:rsidR="006A28CF" w:rsidRDefault="00000000">
      <w:pPr>
        <w:spacing w:after="100"/>
        <w:jc w:val="center"/>
      </w:pPr>
      <w:r>
        <w:rPr>
          <w:rFonts w:ascii="Calibri" w:eastAsia="Calibri" w:hAnsi="Calibri" w:cs="Calibri"/>
          <w:color w:val="1A1A1A"/>
          <w:sz w:val="24"/>
          <w:szCs w:val="24"/>
        </w:rPr>
        <w:t xml:space="preserve">Commentaire : </w:t>
      </w:r>
      <w:r>
        <w:rPr>
          <w:rFonts w:ascii="Calibri" w:eastAsia="Calibri" w:hAnsi="Calibri" w:cs="Calibri"/>
          <w:color w:val="E91E63"/>
          <w:sz w:val="24"/>
          <w:szCs w:val="24"/>
        </w:rPr>
        <w:t>CE, 5e et 6e chambres réunies, 15 juillet 2026, Préfet de police et ministre de l’intérieur c/ Société Z Machine, n° 513080</w:t>
      </w:r>
    </w:p>
    <w:p w14:paraId="235064CA" w14:textId="77777777" w:rsidR="006A28CF" w:rsidRDefault="00000000">
      <w:pPr>
        <w:spacing w:after="100"/>
        <w:jc w:val="center"/>
      </w:pPr>
      <w:r>
        <w:rPr>
          <w:rFonts w:ascii="Calibri" w:eastAsia="Calibri" w:hAnsi="Calibri" w:cs="Calibri"/>
          <w:color w:val="1A1A1A"/>
          <w:sz w:val="24"/>
          <w:szCs w:val="24"/>
        </w:rPr>
        <w:t>Mentionné aux tables du Recueil Lebon — séminaire de correction du 30 septembre 2026 (Michaël Poyet)</w:t>
      </w:r>
    </w:p>
    <w:p w14:paraId="5E374EF4" w14:textId="77777777" w:rsidR="006A28CF" w:rsidRDefault="00000000">
      <w:pPr>
        <w:spacing w:before="400" w:after="100"/>
        <w:jc w:val="center"/>
      </w:pPr>
      <w:r>
        <w:rPr>
          <w:rFonts w:ascii="Calibri" w:eastAsia="Calibri" w:hAnsi="Calibri" w:cs="Calibri"/>
          <w:color w:val="1A1A1A"/>
          <w:sz w:val="19"/>
          <w:szCs w:val="19"/>
        </w:rPr>
        <w:t xml:space="preserve">Code couleur : </w:t>
      </w:r>
      <w:r>
        <w:rPr>
          <w:rFonts w:ascii="Calibri" w:eastAsia="Calibri" w:hAnsi="Calibri" w:cs="Calibri"/>
          <w:color w:val="1E88E5"/>
          <w:sz w:val="19"/>
          <w:szCs w:val="19"/>
        </w:rPr>
        <w:t>textes normatifs</w:t>
      </w:r>
      <w:r>
        <w:rPr>
          <w:rFonts w:ascii="Calibri" w:eastAsia="Calibri" w:hAnsi="Calibri" w:cs="Calibri"/>
          <w:color w:val="1A1A1A"/>
          <w:sz w:val="19"/>
          <w:szCs w:val="19"/>
        </w:rPr>
        <w:t xml:space="preserve"> · </w:t>
      </w:r>
      <w:r>
        <w:rPr>
          <w:rFonts w:ascii="Calibri" w:eastAsia="Calibri" w:hAnsi="Calibri" w:cs="Calibri"/>
          <w:color w:val="E91E63"/>
          <w:sz w:val="19"/>
          <w:szCs w:val="19"/>
        </w:rPr>
        <w:t>jurisprudence</w:t>
      </w:r>
      <w:r>
        <w:rPr>
          <w:rFonts w:ascii="Calibri" w:eastAsia="Calibri" w:hAnsi="Calibri" w:cs="Calibri"/>
          <w:color w:val="1A1A1A"/>
          <w:sz w:val="19"/>
          <w:szCs w:val="19"/>
        </w:rPr>
        <w:t xml:space="preserve"> · </w:t>
      </w:r>
      <w:r>
        <w:rPr>
          <w:rFonts w:ascii="Calibri" w:eastAsia="Calibri" w:hAnsi="Calibri" w:cs="Calibri"/>
          <w:color w:val="2E7D32"/>
          <w:sz w:val="19"/>
          <w:szCs w:val="19"/>
        </w:rPr>
        <w:t>doctrine et institutions</w:t>
      </w:r>
      <w:r>
        <w:rPr>
          <w:rFonts w:ascii="Calibri" w:eastAsia="Calibri" w:hAnsi="Calibri" w:cs="Calibri"/>
          <w:color w:val="1A1A1A"/>
          <w:sz w:val="19"/>
          <w:szCs w:val="19"/>
        </w:rPr>
        <w:t xml:space="preserve"> · </w:t>
      </w:r>
      <w:r>
        <w:rPr>
          <w:rFonts w:ascii="Calibri" w:eastAsia="Calibri" w:hAnsi="Calibri" w:cs="Calibri"/>
          <w:b/>
          <w:bCs/>
          <w:color w:val="1A1A1A"/>
          <w:sz w:val="19"/>
          <w:szCs w:val="19"/>
        </w:rPr>
        <w:t>gras = apport à mémoriser</w:t>
      </w:r>
      <w:r>
        <w:rPr>
          <w:rFonts w:ascii="Calibri" w:eastAsia="Calibri" w:hAnsi="Calibri" w:cs="Calibri"/>
          <w:color w:val="1A1A1A"/>
          <w:sz w:val="19"/>
          <w:szCs w:val="19"/>
        </w:rPr>
        <w:t xml:space="preserve"> · ★ référence incontournable</w:t>
      </w:r>
    </w:p>
    <w:p w14:paraId="0ADCE1FA" w14:textId="77777777" w:rsidR="006A28CF" w:rsidRDefault="00000000">
      <w:r>
        <w:br w:type="page"/>
      </w:r>
    </w:p>
    <w:p w14:paraId="56D5E68C" w14:textId="77777777" w:rsidR="006A28CF" w:rsidRDefault="00000000">
      <w:pPr>
        <w:pStyle w:val="Titre1"/>
        <w:pBdr>
          <w:bottom w:val="single" w:sz="12" w:space="6" w:color="8C1C2B"/>
        </w:pBdr>
        <w:spacing w:before="260" w:after="90"/>
      </w:pPr>
      <w:r>
        <w:rPr>
          <w:rFonts w:ascii="Calibri" w:eastAsia="Calibri" w:hAnsi="Calibri" w:cs="Calibri"/>
          <w:b/>
          <w:bCs/>
          <w:color w:val="8C1C2B"/>
          <w:sz w:val="28"/>
          <w:szCs w:val="28"/>
        </w:rPr>
        <w:lastRenderedPageBreak/>
        <w:t>MODE D’EMPLOI</w:t>
      </w:r>
    </w:p>
    <w:p w14:paraId="66FA6193" w14:textId="77777777" w:rsidR="006A28CF" w:rsidRDefault="00000000">
      <w:pPr>
        <w:spacing w:after="90" w:line="264" w:lineRule="auto"/>
        <w:jc w:val="both"/>
      </w:pPr>
      <w:r>
        <w:rPr>
          <w:rFonts w:ascii="Calibri" w:eastAsia="Calibri" w:hAnsi="Calibri" w:cs="Calibri"/>
          <w:color w:val="1A1A1A"/>
        </w:rPr>
        <w:t>Ce document reprend le support et les échanges du séminaire de correction du 30 septembre 2026 et les transforme en dossier de travail. Le texte intégral de la décision a été relu sur Légifrance, ainsi que l’ordonnance du juge des référés du tribunal administratif de Paris qu’elle censure. Les citations entre guillemets sont donc littérales. Les références fautives relevées dans le support et dans les plans sont corrigées. L’état du droit est à jour au 7 octobre 2026.</w:t>
      </w:r>
    </w:p>
    <w:p w14:paraId="2E7E20A4" w14:textId="77777777" w:rsidR="006A28CF" w:rsidRDefault="00000000">
      <w:pPr>
        <w:pStyle w:val="Titre3"/>
        <w:spacing w:before="200" w:after="80"/>
      </w:pPr>
      <w:r>
        <w:rPr>
          <w:rFonts w:ascii="Calibri" w:eastAsia="Calibri" w:hAnsi="Calibri" w:cs="Calibri"/>
          <w:b/>
          <w:bCs/>
          <w:i/>
          <w:iCs/>
          <w:color w:val="1A1A1A"/>
          <w:sz w:val="21"/>
          <w:szCs w:val="21"/>
        </w:rPr>
        <w:t>Ce que contient le dossier</w:t>
      </w:r>
    </w:p>
    <w:p w14:paraId="37B6FE0F"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Partie I — Le dossier documentaire.</w:t>
      </w:r>
      <w:r>
        <w:rPr>
          <w:rFonts w:ascii="Calibri" w:eastAsia="Calibri" w:hAnsi="Calibri" w:cs="Calibri"/>
          <w:color w:val="1A1A1A"/>
        </w:rPr>
        <w:t xml:space="preserve"> La décision décodée paragraphe par paragraphe, les outils procéduraux sans lesquels on la commente mal (référé-suspension, cassation, erreur de droit, dénaturation, règlement de l’affaire), l’architecture textuelle et la ligne jurisprudentielle de la dignité.</w:t>
      </w:r>
    </w:p>
    <w:p w14:paraId="023D4E0F"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Partie II — Le commentaire.</w:t>
      </w:r>
      <w:r>
        <w:rPr>
          <w:rFonts w:ascii="Calibri" w:eastAsia="Calibri" w:hAnsi="Calibri" w:cs="Calibri"/>
          <w:color w:val="1A1A1A"/>
        </w:rPr>
        <w:t xml:space="preserve"> La gestion de l’heure, l’introduction rédigée mot à mot, le plan détaillé avec les développements, la conclusion, le plan du correcteur comparé </w:t>
      </w:r>
      <w:proofErr w:type="gramStart"/>
      <w:r>
        <w:rPr>
          <w:rFonts w:ascii="Calibri" w:eastAsia="Calibri" w:hAnsi="Calibri" w:cs="Calibri"/>
          <w:color w:val="1A1A1A"/>
        </w:rPr>
        <w:t>au</w:t>
      </w:r>
      <w:proofErr w:type="gramEnd"/>
      <w:r>
        <w:rPr>
          <w:rFonts w:ascii="Calibri" w:eastAsia="Calibri" w:hAnsi="Calibri" w:cs="Calibri"/>
          <w:color w:val="1A1A1A"/>
        </w:rPr>
        <w:t xml:space="preserve"> plan recommandé, les relances du jury.</w:t>
      </w:r>
    </w:p>
    <w:p w14:paraId="04E8494E"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Partie III — Correction des plans proposés en séminaire.</w:t>
      </w:r>
      <w:r>
        <w:rPr>
          <w:rFonts w:ascii="Calibri" w:eastAsia="Calibri" w:hAnsi="Calibri" w:cs="Calibri"/>
          <w:color w:val="1A1A1A"/>
        </w:rPr>
        <w:t xml:space="preserve"> Seize propositions reprises une par une : ce qui tient, ce qui ne tient pas, le rattrapage, une note indicative. Les plans très brefs sont traités ensemble.</w:t>
      </w:r>
    </w:p>
    <w:p w14:paraId="5E50DD20"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Partie IV — Les questions posées pendant le séminaire.</w:t>
      </w:r>
      <w:r>
        <w:rPr>
          <w:rFonts w:ascii="Calibri" w:eastAsia="Calibri" w:hAnsi="Calibri" w:cs="Calibri"/>
          <w:color w:val="1A1A1A"/>
        </w:rPr>
        <w:t xml:space="preserve"> Les douze questions du chat, avec une réponse tranchée.</w:t>
      </w:r>
    </w:p>
    <w:p w14:paraId="5F3FF068"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Partie V — Annexes.</w:t>
      </w:r>
      <w:r>
        <w:rPr>
          <w:rFonts w:ascii="Calibri" w:eastAsia="Calibri" w:hAnsi="Calibri" w:cs="Calibri"/>
          <w:color w:val="1A1A1A"/>
        </w:rPr>
        <w:t xml:space="preserve"> Les références à corriger, le kit oral, le mémo de méthode du commentaire de décision.</w:t>
      </w:r>
    </w:p>
    <w:p w14:paraId="32F6AB89" w14:textId="77777777" w:rsidR="006A28CF" w:rsidRDefault="00000000">
      <w:pPr>
        <w:pStyle w:val="Titre3"/>
        <w:spacing w:before="200" w:after="80"/>
      </w:pPr>
      <w:r>
        <w:rPr>
          <w:rFonts w:ascii="Calibri" w:eastAsia="Calibri" w:hAnsi="Calibri" w:cs="Calibri"/>
          <w:b/>
          <w:bCs/>
          <w:i/>
          <w:iCs/>
          <w:color w:val="1A1A1A"/>
          <w:sz w:val="21"/>
          <w:szCs w:val="21"/>
        </w:rPr>
        <w:t>Trois avertissements de méthode</w:t>
      </w:r>
    </w:p>
    <w:p w14:paraId="3C1F73DF"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C’est une décision de référé rendue en cassation.</w:t>
      </w:r>
      <w:r>
        <w:rPr>
          <w:rFonts w:ascii="Calibri" w:eastAsia="Calibri" w:hAnsi="Calibri" w:cs="Calibri"/>
          <w:color w:val="1A1A1A"/>
        </w:rPr>
        <w:t xml:space="preserve"> Le Conseil d’État ne juge pas la légalité de la fermeture. Il juge d’abord si le juge des référés a commis une erreur de droit ou dénaturé les pièces. Puis, réglant l’affaire, il juge si un moyen est « de nature à créer un doute sérieux ». Tout commentaire qui affirme que « le Conseil d’État valide définitivement la fermeture » commet un contresens sur la portée. Plus de la moitié des plans du séminaire oublient cette dimension.</w:t>
      </w:r>
    </w:p>
    <w:p w14:paraId="1DAD0855"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Le consentement joue deux rôles opposés dans la décision.</w:t>
      </w:r>
      <w:r>
        <w:rPr>
          <w:rFonts w:ascii="Calibri" w:eastAsia="Calibri" w:hAnsi="Calibri" w:cs="Calibri"/>
          <w:color w:val="1A1A1A"/>
        </w:rPr>
        <w:t xml:space="preserve"> Il est </w:t>
      </w:r>
      <w:r>
        <w:rPr>
          <w:rFonts w:ascii="Calibri" w:eastAsia="Calibri" w:hAnsi="Calibri" w:cs="Calibri"/>
          <w:b/>
          <w:bCs/>
          <w:color w:val="1A1A1A"/>
        </w:rPr>
        <w:t>indifférent</w:t>
      </w:r>
      <w:r>
        <w:rPr>
          <w:rFonts w:ascii="Calibri" w:eastAsia="Calibri" w:hAnsi="Calibri" w:cs="Calibri"/>
          <w:color w:val="1A1A1A"/>
        </w:rPr>
        <w:t xml:space="preserve"> à la caractérisation de l’atteinte à la dignité (point 7). Il est </w:t>
      </w:r>
      <w:r>
        <w:rPr>
          <w:rFonts w:ascii="Calibri" w:eastAsia="Calibri" w:hAnsi="Calibri" w:cs="Calibri"/>
          <w:b/>
          <w:bCs/>
          <w:color w:val="1A1A1A"/>
        </w:rPr>
        <w:t>exigé</w:t>
      </w:r>
      <w:r>
        <w:rPr>
          <w:rFonts w:ascii="Calibri" w:eastAsia="Calibri" w:hAnsi="Calibri" w:cs="Calibri"/>
          <w:color w:val="1A1A1A"/>
        </w:rPr>
        <w:t>, avec des garanties précises, pour écarter le risque d’infractions (point 8). C’est la clé de lecture de la décision, et la plupart des plans ne la voient qu’à moitié.</w:t>
      </w:r>
    </w:p>
    <w:p w14:paraId="122561F3"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Le Conseil d’État ne se prononce ni sur la tranquillité ni sur la moralité publiques.</w:t>
      </w:r>
      <w:r>
        <w:rPr>
          <w:rFonts w:ascii="Calibri" w:eastAsia="Calibri" w:hAnsi="Calibri" w:cs="Calibri"/>
          <w:color w:val="1A1A1A"/>
        </w:rPr>
        <w:t xml:space="preserve"> Il relève que le préfet aurait pris la même décision sur le seul fondement de la dignité ou du risque d’infractions. Les plans qui bâtissent une sous-partie sur la moralité publique ou sur l’arrêt Lutetia commentent une décision qui n’existe pas.</w:t>
      </w:r>
    </w:p>
    <w:p w14:paraId="3F2B5C2D" w14:textId="77777777" w:rsidR="006A28CF" w:rsidRDefault="00000000">
      <w:r>
        <w:br w:type="page"/>
      </w:r>
    </w:p>
    <w:p w14:paraId="7D7C0D53" w14:textId="77777777" w:rsidR="006A28CF" w:rsidRDefault="00000000">
      <w:pPr>
        <w:pStyle w:val="Titre1"/>
        <w:pBdr>
          <w:bottom w:val="single" w:sz="12" w:space="6" w:color="8C1C2B"/>
        </w:pBdr>
        <w:spacing w:before="260" w:after="90"/>
      </w:pPr>
      <w:r>
        <w:rPr>
          <w:rFonts w:ascii="Calibri" w:eastAsia="Calibri" w:hAnsi="Calibri" w:cs="Calibri"/>
          <w:b/>
          <w:bCs/>
          <w:color w:val="8C1C2B"/>
          <w:sz w:val="28"/>
          <w:szCs w:val="28"/>
        </w:rPr>
        <w:lastRenderedPageBreak/>
        <w:t>FICHE-MÉMOIRE — À RELIRE AVANT L’ÉPREUVE</w:t>
      </w:r>
    </w:p>
    <w:p w14:paraId="1B182756" w14:textId="77777777" w:rsidR="006A28CF" w:rsidRDefault="00000000">
      <w:pPr>
        <w:pStyle w:val="Titre3"/>
        <w:spacing w:before="200" w:after="80"/>
      </w:pPr>
      <w:r>
        <w:rPr>
          <w:rFonts w:ascii="Calibri" w:eastAsia="Calibri" w:hAnsi="Calibri" w:cs="Calibri"/>
          <w:b/>
          <w:bCs/>
          <w:i/>
          <w:iCs/>
          <w:color w:val="1A1A1A"/>
          <w:sz w:val="21"/>
          <w:szCs w:val="21"/>
        </w:rPr>
        <w:t>Accroche</w:t>
      </w:r>
    </w:p>
    <w:p w14:paraId="08A9BD3A" w14:textId="77777777" w:rsidR="006A28CF" w:rsidRDefault="00000000">
      <w:pPr>
        <w:pBdr>
          <w:top w:val="single" w:sz="4" w:space="8" w:color="D8CFC4"/>
          <w:left w:val="single" w:sz="4" w:space="8" w:color="D8CFC4"/>
          <w:bottom w:val="single" w:sz="4" w:space="8" w:color="D8CFC4"/>
          <w:right w:val="single" w:sz="4" w:space="8" w:color="D8CFC4"/>
        </w:pBdr>
        <w:shd w:val="clear" w:color="auto" w:fill="F7F4F0"/>
        <w:spacing w:before="120" w:after="120" w:line="264" w:lineRule="auto"/>
        <w:ind w:left="140" w:right="140"/>
        <w:jc w:val="both"/>
      </w:pPr>
      <w:r>
        <w:rPr>
          <w:rFonts w:ascii="Calibri" w:eastAsia="Calibri" w:hAnsi="Calibri" w:cs="Calibri"/>
          <w:color w:val="1A1A1A"/>
          <w:sz w:val="19"/>
          <w:szCs w:val="19"/>
        </w:rPr>
        <w:t>« En 1995, Manuel Wackenheim voulait continuer à être lancé ; en 2026, des femmes affirmaient consentir “à ne pas consentir”. Trente ans séparent le nain de Morsang-sur-Orge et les soirées de la rue d’Alleray. La réponse du Conseil d’État n’a pas changé : la dignité ne se négocie pas. Ce qui a changé, c’est qu’elle s’adosse désormais au droit pénal du consentement. »</w:t>
      </w:r>
    </w:p>
    <w:p w14:paraId="72CD0946" w14:textId="77777777" w:rsidR="006A28CF" w:rsidRDefault="00000000">
      <w:pPr>
        <w:pStyle w:val="Titre3"/>
        <w:spacing w:before="200" w:after="80"/>
      </w:pPr>
      <w:r>
        <w:rPr>
          <w:rFonts w:ascii="Calibri" w:eastAsia="Calibri" w:hAnsi="Calibri" w:cs="Calibri"/>
          <w:b/>
          <w:bCs/>
          <w:i/>
          <w:iCs/>
          <w:color w:val="1A1A1A"/>
          <w:sz w:val="21"/>
          <w:szCs w:val="21"/>
        </w:rPr>
        <w:t>Accroche alternative</w:t>
      </w:r>
    </w:p>
    <w:p w14:paraId="3EE9ACE7" w14:textId="77777777" w:rsidR="006A28CF" w:rsidRDefault="00000000">
      <w:pPr>
        <w:pBdr>
          <w:top w:val="single" w:sz="4" w:space="8" w:color="D8CFC4"/>
          <w:left w:val="single" w:sz="4" w:space="8" w:color="D8CFC4"/>
          <w:bottom w:val="single" w:sz="4" w:space="8" w:color="D8CFC4"/>
          <w:right w:val="single" w:sz="4" w:space="8" w:color="D8CFC4"/>
        </w:pBdr>
        <w:shd w:val="clear" w:color="auto" w:fill="F7F4F0"/>
        <w:spacing w:before="120" w:after="120" w:line="264" w:lineRule="auto"/>
        <w:ind w:left="140" w:right="140"/>
        <w:jc w:val="both"/>
      </w:pPr>
      <w:r>
        <w:rPr>
          <w:rFonts w:ascii="Calibri" w:eastAsia="Calibri" w:hAnsi="Calibri" w:cs="Calibri"/>
          <w:color w:val="1A1A1A"/>
          <w:sz w:val="19"/>
          <w:szCs w:val="19"/>
        </w:rPr>
        <w:t>« Le même mot, consentement, est à la fois écarté et exigé dans la même décision. Écarté pour juger de la dignité, exigé pour prévenir les infractions. Tout l’intérêt de l’arrêt Société Z Machine tient dans ce paradoxe. »</w:t>
      </w:r>
    </w:p>
    <w:p w14:paraId="259AF81B" w14:textId="77777777" w:rsidR="006A28CF" w:rsidRDefault="00000000">
      <w:pPr>
        <w:pStyle w:val="Titre3"/>
        <w:spacing w:before="200" w:after="80"/>
      </w:pPr>
      <w:r>
        <w:rPr>
          <w:rFonts w:ascii="Calibri" w:eastAsia="Calibri" w:hAnsi="Calibri" w:cs="Calibri"/>
          <w:b/>
          <w:bCs/>
          <w:i/>
          <w:iCs/>
          <w:color w:val="1A1A1A"/>
          <w:sz w:val="21"/>
          <w:szCs w:val="21"/>
        </w:rPr>
        <w:t>La décision en trois lignes</w:t>
      </w:r>
    </w:p>
    <w:p w14:paraId="452CE3A6" w14:textId="77777777" w:rsidR="006A28CF" w:rsidRDefault="00000000">
      <w:pPr>
        <w:spacing w:after="90" w:line="264" w:lineRule="auto"/>
        <w:jc w:val="both"/>
      </w:pPr>
      <w:r>
        <w:rPr>
          <w:rFonts w:ascii="Calibri" w:eastAsia="Calibri" w:hAnsi="Calibri" w:cs="Calibri"/>
          <w:color w:val="1A1A1A"/>
        </w:rPr>
        <w:t xml:space="preserve">Le respect de la dignité de la personne humaine, composante de l’ordre public, permet à l’autorité de police de fermer un établissement </w:t>
      </w:r>
      <w:r>
        <w:rPr>
          <w:rFonts w:ascii="Calibri" w:eastAsia="Calibri" w:hAnsi="Calibri" w:cs="Calibri"/>
          <w:b/>
          <w:bCs/>
          <w:color w:val="1A1A1A"/>
        </w:rPr>
        <w:t>même en l’absence de circonstances locales particulières</w:t>
      </w:r>
      <w:r>
        <w:rPr>
          <w:rFonts w:ascii="Calibri" w:eastAsia="Calibri" w:hAnsi="Calibri" w:cs="Calibri"/>
          <w:color w:val="1A1A1A"/>
        </w:rPr>
        <w:t xml:space="preserve"> et </w:t>
      </w:r>
      <w:r>
        <w:rPr>
          <w:rFonts w:ascii="Calibri" w:eastAsia="Calibri" w:hAnsi="Calibri" w:cs="Calibri"/>
          <w:b/>
          <w:bCs/>
          <w:color w:val="1A1A1A"/>
        </w:rPr>
        <w:t>quand bien même l’activité reposerait sur une mise en scène agréée</w:t>
      </w:r>
      <w:r>
        <w:rPr>
          <w:rFonts w:ascii="Calibri" w:eastAsia="Calibri" w:hAnsi="Calibri" w:cs="Calibri"/>
          <w:color w:val="1A1A1A"/>
        </w:rPr>
        <w:t xml:space="preserve"> par les participantes. L’atteinte s’apprécie au regard des </w:t>
      </w:r>
      <w:r>
        <w:rPr>
          <w:rFonts w:ascii="Calibri" w:eastAsia="Calibri" w:hAnsi="Calibri" w:cs="Calibri"/>
          <w:b/>
          <w:bCs/>
          <w:color w:val="1A1A1A"/>
        </w:rPr>
        <w:t>caractéristiques propres de l’activité et de ses conditions concrètes d’organisation</w:t>
      </w:r>
      <w:r>
        <w:rPr>
          <w:rFonts w:ascii="Calibri" w:eastAsia="Calibri" w:hAnsi="Calibri" w:cs="Calibri"/>
          <w:color w:val="1A1A1A"/>
        </w:rPr>
        <w:t xml:space="preserve">. Le risque d’infractions sexuelles s’apprécie au regard des </w:t>
      </w:r>
      <w:r>
        <w:rPr>
          <w:rFonts w:ascii="Calibri" w:eastAsia="Calibri" w:hAnsi="Calibri" w:cs="Calibri"/>
          <w:b/>
          <w:bCs/>
          <w:color w:val="1A1A1A"/>
        </w:rPr>
        <w:t>garanties d’un consentement libre, éclairé et révocable</w:t>
      </w:r>
      <w:r>
        <w:rPr>
          <w:rFonts w:ascii="Calibri" w:eastAsia="Calibri" w:hAnsi="Calibri" w:cs="Calibri"/>
          <w:color w:val="1A1A1A"/>
        </w:rPr>
        <w:t xml:space="preserve"> au sens du nouvel </w:t>
      </w:r>
      <w:r>
        <w:rPr>
          <w:rFonts w:ascii="Calibri" w:eastAsia="Calibri" w:hAnsi="Calibri" w:cs="Calibri"/>
          <w:color w:val="1E88E5"/>
        </w:rPr>
        <w:t>article 222-22 du code pénal</w:t>
      </w:r>
      <w:r>
        <w:rPr>
          <w:rFonts w:ascii="Calibri" w:eastAsia="Calibri" w:hAnsi="Calibri" w:cs="Calibri"/>
          <w:color w:val="1A1A1A"/>
        </w:rPr>
        <w:t>.</w:t>
      </w:r>
    </w:p>
    <w:p w14:paraId="662627DA" w14:textId="77777777" w:rsidR="006A28CF" w:rsidRDefault="00000000">
      <w:pPr>
        <w:pStyle w:val="Titre3"/>
        <w:spacing w:before="200" w:after="80"/>
      </w:pPr>
      <w:r>
        <w:rPr>
          <w:rFonts w:ascii="Calibri" w:eastAsia="Calibri" w:hAnsi="Calibri" w:cs="Calibri"/>
          <w:b/>
          <w:bCs/>
          <w:i/>
          <w:iCs/>
          <w:color w:val="1A1A1A"/>
          <w:sz w:val="21"/>
          <w:szCs w:val="21"/>
        </w:rPr>
        <w:t>Cinq références incontournables</w:t>
      </w:r>
    </w:p>
    <w:p w14:paraId="60D3BA26"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ass., 27 octobre 1995, Commune de Morsang-sur-Orge, n° 136727</w:t>
      </w:r>
      <w:r>
        <w:rPr>
          <w:rFonts w:ascii="Calibri" w:eastAsia="Calibri" w:hAnsi="Calibri" w:cs="Calibri"/>
          <w:color w:val="1A1A1A"/>
        </w:rPr>
        <w:t xml:space="preserve"> — « le respect de la dignité de la personne humaine est une des composantes de l’ordre public » ; l’autorité de police peut, « même en l’absence de circonstances locales particulières », interdire une attraction qui y porte atteinte, et le consentement de l’intéressé est indifférent.</w:t>
      </w:r>
    </w:p>
    <w:p w14:paraId="3599297C"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ord., 9 janvier 2014, Ministre de l’intérieur c/ Société Les Productions de la Plume et M. Dieudonné M’Bala M’Bala, n° 374508</w:t>
      </w:r>
      <w:r>
        <w:rPr>
          <w:rFonts w:ascii="Calibri" w:eastAsia="Calibri" w:hAnsi="Calibri" w:cs="Calibri"/>
          <w:color w:val="1A1A1A"/>
        </w:rPr>
        <w:t xml:space="preserve"> — dignité, et « il appartient en outre à l’autorité administrative de prendre les mesures de nature à éviter que des infractions pénales soient commises ». C’est la seconde phrase du point 4 de la décision commentée.</w:t>
      </w:r>
    </w:p>
    <w:p w14:paraId="4FD9402E"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1E88E5"/>
        </w:rPr>
        <w:t>Article 222-22 du code pénal</w:t>
      </w:r>
      <w:r>
        <w:rPr>
          <w:rFonts w:ascii="Calibri" w:eastAsia="Calibri" w:hAnsi="Calibri" w:cs="Calibri"/>
          <w:color w:val="1A1A1A"/>
        </w:rPr>
        <w:t xml:space="preserve">, dans sa rédaction issue de la </w:t>
      </w:r>
      <w:r>
        <w:rPr>
          <w:rFonts w:ascii="Calibri" w:eastAsia="Calibri" w:hAnsi="Calibri" w:cs="Calibri"/>
          <w:color w:val="1E88E5"/>
        </w:rPr>
        <w:t>loi n° 2025-1057 du 6 novembre 2025</w:t>
      </w:r>
      <w:r>
        <w:rPr>
          <w:rFonts w:ascii="Calibri" w:eastAsia="Calibri" w:hAnsi="Calibri" w:cs="Calibri"/>
          <w:color w:val="1A1A1A"/>
        </w:rPr>
        <w:t xml:space="preserve"> — le consentement est « libre et éclairé, spécifique, préalable et révocable » ; il ne peut être déduit du silence ; il n’y en a pas en cas de violence, contrainte, menace ou surprise.</w:t>
      </w:r>
    </w:p>
    <w:p w14:paraId="5C7FFF26"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27 juillet 1994, n° 94-343/344 DC</w:t>
      </w:r>
      <w:r>
        <w:rPr>
          <w:rFonts w:ascii="Calibri" w:eastAsia="Calibri" w:hAnsi="Calibri" w:cs="Calibri"/>
          <w:color w:val="1A1A1A"/>
        </w:rPr>
        <w:t xml:space="preserve"> — la sauvegarde de la dignité de la personne humaine contre toute forme d’asservissement et de dégradation est un principe à valeur constitutionnelle ; et </w:t>
      </w:r>
      <w:r>
        <w:rPr>
          <w:rFonts w:ascii="Calibri" w:eastAsia="Calibri" w:hAnsi="Calibri" w:cs="Calibri"/>
          <w:color w:val="E91E63"/>
        </w:rPr>
        <w:t>Cons. const., 1er février 2019, n° 2018-761 QPC, Association Médecins du monde et autres</w:t>
      </w:r>
      <w:r>
        <w:rPr>
          <w:rFonts w:ascii="Calibri" w:eastAsia="Calibri" w:hAnsi="Calibri" w:cs="Calibri"/>
          <w:color w:val="1A1A1A"/>
        </w:rPr>
        <w:t xml:space="preserve"> — la pénalisation des clients de la prostitution concilie sans déséquilibre manifeste la liberté personnelle et la sauvegarde de la dignité.</w:t>
      </w:r>
    </w:p>
    <w:p w14:paraId="356C37DC"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17 février 2005, K.A. et A.D. c. Belgique, n° 42758/98 et 45558/99</w:t>
      </w:r>
      <w:r>
        <w:rPr>
          <w:rFonts w:ascii="Calibri" w:eastAsia="Calibri" w:hAnsi="Calibri" w:cs="Calibri"/>
          <w:color w:val="1A1A1A"/>
        </w:rPr>
        <w:t xml:space="preserve"> — le droit d’entretenir des relations sexuelles découle du droit de disposer de son corps, mais l’État peut réprimer des pratiques sadomasochistes lorsque la volonté de la victime de les arrêter n’est plus respectée. L’arrêt ne contredit pas la décision : il fonde son exigence de révocabilité.</w:t>
      </w:r>
    </w:p>
    <w:p w14:paraId="13A7D1B6" w14:textId="77777777" w:rsidR="006A28CF" w:rsidRDefault="00000000">
      <w:pPr>
        <w:pStyle w:val="Titre3"/>
        <w:spacing w:before="200" w:after="80"/>
      </w:pPr>
      <w:r>
        <w:rPr>
          <w:rFonts w:ascii="Calibri" w:eastAsia="Calibri" w:hAnsi="Calibri" w:cs="Calibri"/>
          <w:b/>
          <w:bCs/>
          <w:i/>
          <w:iCs/>
          <w:color w:val="1A1A1A"/>
          <w:sz w:val="21"/>
          <w:szCs w:val="21"/>
        </w:rPr>
        <w:t>Matrice de plan recommandée</w:t>
      </w:r>
    </w:p>
    <w:tbl>
      <w:tblPr>
        <w:tblW w:w="5000" w:type="pct"/>
        <w:tblBorders>
          <w:top w:val="single" w:sz="2" w:space="0" w:color="C9C0B6"/>
          <w:left w:val="single" w:sz="2" w:space="0" w:color="C9C0B6"/>
          <w:bottom w:val="single" w:sz="2" w:space="0" w:color="C9C0B6"/>
          <w:right w:val="single" w:sz="2" w:space="0" w:color="C9C0B6"/>
          <w:insideH w:val="single" w:sz="2" w:space="0" w:color="DCD5CC"/>
          <w:insideV w:val="single" w:sz="2" w:space="0" w:color="DCD5CC"/>
        </w:tblBorders>
        <w:tblCellMar>
          <w:left w:w="10" w:type="dxa"/>
          <w:right w:w="10" w:type="dxa"/>
        </w:tblCellMar>
        <w:tblLook w:val="04A0" w:firstRow="1" w:lastRow="0" w:firstColumn="1" w:lastColumn="0" w:noHBand="0" w:noVBand="1"/>
      </w:tblPr>
      <w:tblGrid>
        <w:gridCol w:w="3248"/>
        <w:gridCol w:w="3249"/>
        <w:gridCol w:w="3249"/>
      </w:tblGrid>
      <w:tr w:rsidR="006A28CF" w14:paraId="270C7541" w14:textId="77777777">
        <w:trPr>
          <w:tblHeader/>
        </w:trPr>
        <w:tc>
          <w:tcPr>
            <w:tcW w:w="1650" w:type="pct"/>
            <w:shd w:val="clear" w:color="auto" w:fill="F2E9EA"/>
            <w:tcMar>
              <w:top w:w="60" w:type="dxa"/>
              <w:left w:w="90" w:type="dxa"/>
              <w:bottom w:w="60" w:type="dxa"/>
              <w:right w:w="90" w:type="dxa"/>
            </w:tcMar>
          </w:tcPr>
          <w:p w14:paraId="2824DDFA" w14:textId="77777777" w:rsidR="006A28CF" w:rsidRDefault="006A28CF"/>
        </w:tc>
        <w:tc>
          <w:tcPr>
            <w:tcW w:w="1650" w:type="pct"/>
            <w:shd w:val="clear" w:color="auto" w:fill="F2E9EA"/>
            <w:tcMar>
              <w:top w:w="60" w:type="dxa"/>
              <w:left w:w="90" w:type="dxa"/>
              <w:bottom w:w="60" w:type="dxa"/>
              <w:right w:w="90" w:type="dxa"/>
            </w:tcMar>
          </w:tcPr>
          <w:p w14:paraId="296495C4" w14:textId="77777777" w:rsidR="006A28CF" w:rsidRDefault="00000000">
            <w:r>
              <w:rPr>
                <w:rFonts w:ascii="Calibri" w:eastAsia="Calibri" w:hAnsi="Calibri" w:cs="Calibri"/>
                <w:b/>
                <w:bCs/>
                <w:color w:val="1A1A1A"/>
                <w:sz w:val="17"/>
                <w:szCs w:val="17"/>
              </w:rPr>
              <w:t>I. Le consentement indifférent : la dignité, limite objective de l’activité</w:t>
            </w:r>
          </w:p>
        </w:tc>
        <w:tc>
          <w:tcPr>
            <w:tcW w:w="1650" w:type="pct"/>
            <w:shd w:val="clear" w:color="auto" w:fill="F2E9EA"/>
            <w:tcMar>
              <w:top w:w="60" w:type="dxa"/>
              <w:left w:w="90" w:type="dxa"/>
              <w:bottom w:w="60" w:type="dxa"/>
              <w:right w:w="90" w:type="dxa"/>
            </w:tcMar>
          </w:tcPr>
          <w:p w14:paraId="12D240CB" w14:textId="77777777" w:rsidR="006A28CF" w:rsidRDefault="00000000">
            <w:r>
              <w:rPr>
                <w:rFonts w:ascii="Calibri" w:eastAsia="Calibri" w:hAnsi="Calibri" w:cs="Calibri"/>
                <w:b/>
                <w:bCs/>
                <w:color w:val="1A1A1A"/>
                <w:sz w:val="17"/>
                <w:szCs w:val="17"/>
              </w:rPr>
              <w:t>II. Le consentement exigé : la prévention des infractions sexuelles</w:t>
            </w:r>
          </w:p>
        </w:tc>
      </w:tr>
      <w:tr w:rsidR="006A28CF" w14:paraId="741551B7" w14:textId="77777777">
        <w:tc>
          <w:tcPr>
            <w:tcW w:w="1650" w:type="pct"/>
            <w:tcMar>
              <w:top w:w="60" w:type="dxa"/>
              <w:left w:w="90" w:type="dxa"/>
              <w:bottom w:w="60" w:type="dxa"/>
              <w:right w:w="90" w:type="dxa"/>
            </w:tcMar>
          </w:tcPr>
          <w:p w14:paraId="23FAF95C" w14:textId="77777777" w:rsidR="006A28CF" w:rsidRDefault="00000000">
            <w:r>
              <w:rPr>
                <w:rFonts w:ascii="Calibri" w:eastAsia="Calibri" w:hAnsi="Calibri" w:cs="Calibri"/>
                <w:color w:val="1A1A1A"/>
                <w:sz w:val="17"/>
                <w:szCs w:val="17"/>
              </w:rPr>
              <w:t>A</w:t>
            </w:r>
          </w:p>
        </w:tc>
        <w:tc>
          <w:tcPr>
            <w:tcW w:w="1650" w:type="pct"/>
            <w:tcMar>
              <w:top w:w="60" w:type="dxa"/>
              <w:left w:w="90" w:type="dxa"/>
              <w:bottom w:w="60" w:type="dxa"/>
              <w:right w:w="90" w:type="dxa"/>
            </w:tcMar>
          </w:tcPr>
          <w:p w14:paraId="6E3D017B" w14:textId="77777777" w:rsidR="006A28CF" w:rsidRDefault="00000000">
            <w:r>
              <w:rPr>
                <w:rFonts w:ascii="Calibri" w:eastAsia="Calibri" w:hAnsi="Calibri" w:cs="Calibri"/>
                <w:color w:val="1A1A1A"/>
                <w:sz w:val="17"/>
                <w:szCs w:val="17"/>
              </w:rPr>
              <w:t>La dignité, composante autonome de l’ordre public — point 4 ; Morsang-sur-Orge transposé d’une attraction à l’activité d’un établissement ; dignité substituée à la moralité (Lutetia contourné)</w:t>
            </w:r>
          </w:p>
        </w:tc>
        <w:tc>
          <w:tcPr>
            <w:tcW w:w="1650" w:type="pct"/>
            <w:tcMar>
              <w:top w:w="60" w:type="dxa"/>
              <w:left w:w="90" w:type="dxa"/>
              <w:bottom w:w="60" w:type="dxa"/>
              <w:right w:w="90" w:type="dxa"/>
            </w:tcMar>
          </w:tcPr>
          <w:p w14:paraId="356EBB54" w14:textId="77777777" w:rsidR="006A28CF" w:rsidRDefault="00000000">
            <w:r>
              <w:rPr>
                <w:rFonts w:ascii="Calibri" w:eastAsia="Calibri" w:hAnsi="Calibri" w:cs="Calibri"/>
                <w:color w:val="1A1A1A"/>
                <w:sz w:val="17"/>
                <w:szCs w:val="17"/>
              </w:rPr>
              <w:t>L’importation de la définition pénale du consentement — points 5 et 8 ; art. 222-22 C. pén. (loi du 6 nov. 2025) ; garanties absentes ; alcool « plus que de raison »</w:t>
            </w:r>
          </w:p>
        </w:tc>
      </w:tr>
      <w:tr w:rsidR="006A28CF" w14:paraId="69AE87B4" w14:textId="77777777">
        <w:tc>
          <w:tcPr>
            <w:tcW w:w="1650" w:type="pct"/>
            <w:tcMar>
              <w:top w:w="60" w:type="dxa"/>
              <w:left w:w="90" w:type="dxa"/>
              <w:bottom w:w="60" w:type="dxa"/>
              <w:right w:w="90" w:type="dxa"/>
            </w:tcMar>
          </w:tcPr>
          <w:p w14:paraId="70ECCF44" w14:textId="77777777" w:rsidR="006A28CF" w:rsidRDefault="00000000">
            <w:r>
              <w:rPr>
                <w:rFonts w:ascii="Calibri" w:eastAsia="Calibri" w:hAnsi="Calibri" w:cs="Calibri"/>
                <w:color w:val="1A1A1A"/>
                <w:sz w:val="17"/>
                <w:szCs w:val="17"/>
              </w:rPr>
              <w:t>B</w:t>
            </w:r>
          </w:p>
        </w:tc>
        <w:tc>
          <w:tcPr>
            <w:tcW w:w="1650" w:type="pct"/>
            <w:tcMar>
              <w:top w:w="60" w:type="dxa"/>
              <w:left w:w="90" w:type="dxa"/>
              <w:bottom w:w="60" w:type="dxa"/>
              <w:right w:w="90" w:type="dxa"/>
            </w:tcMar>
          </w:tcPr>
          <w:p w14:paraId="47D85239" w14:textId="77777777" w:rsidR="006A28CF" w:rsidRDefault="00000000">
            <w:r>
              <w:rPr>
                <w:rFonts w:ascii="Calibri" w:eastAsia="Calibri" w:hAnsi="Calibri" w:cs="Calibri"/>
                <w:color w:val="1A1A1A"/>
                <w:sz w:val="17"/>
                <w:szCs w:val="17"/>
              </w:rPr>
              <w:t>Une atteinte appréciée dans la nature de l’activité, non dans la volonté des participantes — points 7 et 13 ; « par lui-</w:t>
            </w:r>
            <w:r>
              <w:rPr>
                <w:rFonts w:ascii="Calibri" w:eastAsia="Calibri" w:hAnsi="Calibri" w:cs="Calibri"/>
                <w:color w:val="1A1A1A"/>
                <w:sz w:val="17"/>
                <w:szCs w:val="17"/>
              </w:rPr>
              <w:lastRenderedPageBreak/>
              <w:t>même » ; « quand bien même » ; réification ; erreur de droit du juge des référés</w:t>
            </w:r>
          </w:p>
        </w:tc>
        <w:tc>
          <w:tcPr>
            <w:tcW w:w="1650" w:type="pct"/>
            <w:tcMar>
              <w:top w:w="60" w:type="dxa"/>
              <w:left w:w="90" w:type="dxa"/>
              <w:bottom w:w="60" w:type="dxa"/>
              <w:right w:w="90" w:type="dxa"/>
            </w:tcMar>
          </w:tcPr>
          <w:p w14:paraId="50D72B8C" w14:textId="77777777" w:rsidR="006A28CF" w:rsidRDefault="00000000">
            <w:r>
              <w:rPr>
                <w:rFonts w:ascii="Calibri" w:eastAsia="Calibri" w:hAnsi="Calibri" w:cs="Calibri"/>
                <w:color w:val="1A1A1A"/>
                <w:sz w:val="17"/>
                <w:szCs w:val="17"/>
              </w:rPr>
              <w:lastRenderedPageBreak/>
              <w:t xml:space="preserve">Une police préventive au contrôle allégé — dénaturation, absence de poursuites inopérante ; motifs alternatifs (Perrot) ; proportionnalité en une phrase ; portée </w:t>
            </w:r>
            <w:r>
              <w:rPr>
                <w:rFonts w:ascii="Calibri" w:eastAsia="Calibri" w:hAnsi="Calibri" w:cs="Calibri"/>
                <w:color w:val="1A1A1A"/>
                <w:sz w:val="17"/>
                <w:szCs w:val="17"/>
              </w:rPr>
              <w:lastRenderedPageBreak/>
              <w:t>d’une décision de référé mentionnée aux tables</w:t>
            </w:r>
          </w:p>
        </w:tc>
      </w:tr>
    </w:tbl>
    <w:p w14:paraId="6798E92B" w14:textId="77777777" w:rsidR="006A28CF" w:rsidRDefault="006A28CF">
      <w:pPr>
        <w:spacing w:after="120"/>
      </w:pPr>
    </w:p>
    <w:p w14:paraId="7035FC39" w14:textId="77777777" w:rsidR="006A28CF" w:rsidRDefault="00000000">
      <w:pPr>
        <w:pStyle w:val="Titre3"/>
        <w:spacing w:before="200" w:after="80"/>
      </w:pPr>
      <w:r>
        <w:rPr>
          <w:rFonts w:ascii="Calibri" w:eastAsia="Calibri" w:hAnsi="Calibri" w:cs="Calibri"/>
          <w:b/>
          <w:bCs/>
          <w:i/>
          <w:iCs/>
          <w:color w:val="1A1A1A"/>
          <w:sz w:val="21"/>
          <w:szCs w:val="21"/>
        </w:rPr>
        <w:t>Trois pièges</w:t>
      </w:r>
    </w:p>
    <w:p w14:paraId="6219FC3C"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Piège n° 1 — parler de prostitution ou de proxénétisme.</w:t>
      </w:r>
      <w:r>
        <w:rPr>
          <w:rFonts w:ascii="Calibri" w:eastAsia="Calibri" w:hAnsi="Calibri" w:cs="Calibri"/>
          <w:color w:val="1A1A1A"/>
        </w:rPr>
        <w:t xml:space="preserve"> Les femmes participantes « ne seraient pas rémunérées » (point 7) ; ce sont les hommes qui paient l’établissement. La qualification de prostitution suppose une rémunération de la personne qui se livre aux actes sexuels. La décision ne repose ni sur le proxénétisme ni sur le recours à la prostitution (</w:t>
      </w:r>
      <w:r>
        <w:rPr>
          <w:rFonts w:ascii="Calibri" w:eastAsia="Calibri" w:hAnsi="Calibri" w:cs="Calibri"/>
          <w:color w:val="1E88E5"/>
        </w:rPr>
        <w:t>art. 611-1 C. pén.</w:t>
      </w:r>
      <w:r>
        <w:rPr>
          <w:rFonts w:ascii="Calibri" w:eastAsia="Calibri" w:hAnsi="Calibri" w:cs="Calibri"/>
          <w:color w:val="1A1A1A"/>
        </w:rPr>
        <w:t>), mais sur la dignité et le risque d’agressions sexuelles.</w:t>
      </w:r>
    </w:p>
    <w:p w14:paraId="19EE686F"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Piège n° 2 — affirmer que la Cour européenne « fait primer le consentement ».</w:t>
      </w:r>
      <w:r>
        <w:rPr>
          <w:rFonts w:ascii="Calibri" w:eastAsia="Calibri" w:hAnsi="Calibri" w:cs="Calibri"/>
          <w:color w:val="1A1A1A"/>
        </w:rPr>
        <w:t xml:space="preserve"> Dans </w:t>
      </w:r>
      <w:r>
        <w:rPr>
          <w:rFonts w:ascii="Calibri" w:eastAsia="Calibri" w:hAnsi="Calibri" w:cs="Calibri"/>
          <w:color w:val="E91E63"/>
        </w:rPr>
        <w:t>Laskey, Jaggard et Brown c. Royaume-Uni</w:t>
      </w:r>
      <w:r>
        <w:rPr>
          <w:rFonts w:ascii="Calibri" w:eastAsia="Calibri" w:hAnsi="Calibri" w:cs="Calibri"/>
          <w:color w:val="1A1A1A"/>
        </w:rPr>
        <w:t xml:space="preserve"> (19 février 1997) comme dans </w:t>
      </w:r>
      <w:r>
        <w:rPr>
          <w:rFonts w:ascii="Calibri" w:eastAsia="Calibri" w:hAnsi="Calibri" w:cs="Calibri"/>
          <w:color w:val="E91E63"/>
        </w:rPr>
        <w:t>K.A. et A.D. c. Belgique</w:t>
      </w:r>
      <w:r>
        <w:rPr>
          <w:rFonts w:ascii="Calibri" w:eastAsia="Calibri" w:hAnsi="Calibri" w:cs="Calibri"/>
          <w:color w:val="1A1A1A"/>
        </w:rPr>
        <w:t xml:space="preserve"> (2005), la Cour conclut à la </w:t>
      </w:r>
      <w:r>
        <w:rPr>
          <w:rFonts w:ascii="Calibri" w:eastAsia="Calibri" w:hAnsi="Calibri" w:cs="Calibri"/>
          <w:b/>
          <w:bCs/>
          <w:color w:val="1A1A1A"/>
        </w:rPr>
        <w:t>non-violation</w:t>
      </w:r>
      <w:r>
        <w:rPr>
          <w:rFonts w:ascii="Calibri" w:eastAsia="Calibri" w:hAnsi="Calibri" w:cs="Calibri"/>
          <w:color w:val="1A1A1A"/>
        </w:rPr>
        <w:t xml:space="preserve"> de l’</w:t>
      </w:r>
      <w:r>
        <w:rPr>
          <w:rFonts w:ascii="Calibri" w:eastAsia="Calibri" w:hAnsi="Calibri" w:cs="Calibri"/>
          <w:color w:val="1E88E5"/>
        </w:rPr>
        <w:t>article 8</w:t>
      </w:r>
      <w:r>
        <w:rPr>
          <w:rFonts w:ascii="Calibri" w:eastAsia="Calibri" w:hAnsi="Calibri" w:cs="Calibri"/>
          <w:color w:val="1A1A1A"/>
        </w:rPr>
        <w:t>. La seconde affaire reconnaît une liberté sexuelle très large, mais admet la répression dès lors que le consentement a cessé d’être respecté. Opposer frontalement Strasbourg au Conseil d’État est inexact.</w:t>
      </w:r>
    </w:p>
    <w:p w14:paraId="6A292D9C"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Piège n° 3 — confondre les deux contrôles.</w:t>
      </w:r>
      <w:r>
        <w:rPr>
          <w:rFonts w:ascii="Calibri" w:eastAsia="Calibri" w:hAnsi="Calibri" w:cs="Calibri"/>
          <w:color w:val="1A1A1A"/>
        </w:rPr>
        <w:t xml:space="preserve"> Sur la dignité, le juge des référés a commis une </w:t>
      </w:r>
      <w:r>
        <w:rPr>
          <w:rFonts w:ascii="Calibri" w:eastAsia="Calibri" w:hAnsi="Calibri" w:cs="Calibri"/>
          <w:b/>
          <w:bCs/>
          <w:color w:val="1A1A1A"/>
        </w:rPr>
        <w:t>erreur de droit</w:t>
      </w:r>
      <w:r>
        <w:rPr>
          <w:rFonts w:ascii="Calibri" w:eastAsia="Calibri" w:hAnsi="Calibri" w:cs="Calibri"/>
          <w:color w:val="1A1A1A"/>
        </w:rPr>
        <w:t xml:space="preserve"> (il n’a pas recherché ce qu’il devait rechercher). Sur le risque pénal, il a </w:t>
      </w:r>
      <w:r>
        <w:rPr>
          <w:rFonts w:ascii="Calibri" w:eastAsia="Calibri" w:hAnsi="Calibri" w:cs="Calibri"/>
          <w:b/>
          <w:bCs/>
          <w:color w:val="1A1A1A"/>
        </w:rPr>
        <w:t>dénaturé les pièces</w:t>
      </w:r>
      <w:r>
        <w:rPr>
          <w:rFonts w:ascii="Calibri" w:eastAsia="Calibri" w:hAnsi="Calibri" w:cs="Calibri"/>
          <w:color w:val="1A1A1A"/>
        </w:rPr>
        <w:t xml:space="preserve"> (il leur a fait dire ce qu’elles ne disaient pas). Ce sont deux degrés différents du contrôle de cassation, et le jury pose la question.</w:t>
      </w:r>
    </w:p>
    <w:p w14:paraId="48C797DB" w14:textId="77777777" w:rsidR="006A28CF" w:rsidRDefault="00000000">
      <w:r>
        <w:br w:type="page"/>
      </w:r>
    </w:p>
    <w:p w14:paraId="2C1992C3" w14:textId="77777777" w:rsidR="006A28CF" w:rsidRDefault="00000000">
      <w:pPr>
        <w:shd w:val="clear" w:color="auto" w:fill="F2E9EA"/>
        <w:spacing w:before="200" w:after="220"/>
        <w:jc w:val="center"/>
      </w:pPr>
      <w:r>
        <w:rPr>
          <w:rFonts w:ascii="Calibri" w:eastAsia="Calibri" w:hAnsi="Calibri" w:cs="Calibri"/>
          <w:b/>
          <w:bCs/>
          <w:color w:val="8C1C2B"/>
          <w:spacing w:val="30"/>
          <w:sz w:val="26"/>
          <w:szCs w:val="26"/>
        </w:rPr>
        <w:lastRenderedPageBreak/>
        <w:t>PARTIE I. LE DOSSIER DOCUMENTAIRE</w:t>
      </w:r>
    </w:p>
    <w:p w14:paraId="6C201363" w14:textId="77777777" w:rsidR="006A28CF" w:rsidRDefault="00000000">
      <w:pPr>
        <w:pStyle w:val="Titre1"/>
        <w:pBdr>
          <w:bottom w:val="single" w:sz="12" w:space="6" w:color="8C1C2B"/>
        </w:pBdr>
        <w:spacing w:before="260" w:after="90"/>
      </w:pPr>
      <w:r>
        <w:rPr>
          <w:rFonts w:ascii="Calibri" w:eastAsia="Calibri" w:hAnsi="Calibri" w:cs="Calibri"/>
          <w:b/>
          <w:bCs/>
          <w:color w:val="8C1C2B"/>
          <w:sz w:val="28"/>
          <w:szCs w:val="28"/>
        </w:rPr>
        <w:t>1. LA DÉCISION DÉCODÉE</w:t>
      </w:r>
    </w:p>
    <w:p w14:paraId="2594A0EC" w14:textId="77777777" w:rsidR="006A28CF" w:rsidRDefault="00000000">
      <w:pPr>
        <w:pStyle w:val="Titre2"/>
        <w:spacing w:before="260" w:after="110"/>
      </w:pPr>
      <w:r>
        <w:rPr>
          <w:rFonts w:ascii="Calibri" w:eastAsia="Calibri" w:hAnsi="Calibri" w:cs="Calibri"/>
          <w:b/>
          <w:bCs/>
          <w:color w:val="1A1A1A"/>
          <w:spacing w:val="16"/>
          <w:sz w:val="23"/>
          <w:szCs w:val="23"/>
        </w:rPr>
        <w:t>1.1. La fiche d’identité</w:t>
      </w:r>
    </w:p>
    <w:tbl>
      <w:tblPr>
        <w:tblW w:w="5000" w:type="pct"/>
        <w:tblBorders>
          <w:top w:val="single" w:sz="2" w:space="0" w:color="C9C0B6"/>
          <w:left w:val="single" w:sz="2" w:space="0" w:color="C9C0B6"/>
          <w:bottom w:val="single" w:sz="2" w:space="0" w:color="C9C0B6"/>
          <w:right w:val="single" w:sz="2" w:space="0" w:color="C9C0B6"/>
          <w:insideH w:val="single" w:sz="2" w:space="0" w:color="DCD5CC"/>
          <w:insideV w:val="single" w:sz="2" w:space="0" w:color="DCD5CC"/>
        </w:tblBorders>
        <w:tblCellMar>
          <w:left w:w="10" w:type="dxa"/>
          <w:right w:w="10" w:type="dxa"/>
        </w:tblCellMar>
        <w:tblLook w:val="04A0" w:firstRow="1" w:lastRow="0" w:firstColumn="1" w:lastColumn="0" w:noHBand="0" w:noVBand="1"/>
      </w:tblPr>
      <w:tblGrid>
        <w:gridCol w:w="4873"/>
        <w:gridCol w:w="4873"/>
      </w:tblGrid>
      <w:tr w:rsidR="006A28CF" w14:paraId="58ED68FF" w14:textId="77777777">
        <w:trPr>
          <w:tblHeader/>
        </w:trPr>
        <w:tc>
          <w:tcPr>
            <w:tcW w:w="2500" w:type="pct"/>
            <w:shd w:val="clear" w:color="auto" w:fill="F2E9EA"/>
            <w:tcMar>
              <w:top w:w="60" w:type="dxa"/>
              <w:left w:w="90" w:type="dxa"/>
              <w:bottom w:w="60" w:type="dxa"/>
              <w:right w:w="90" w:type="dxa"/>
            </w:tcMar>
          </w:tcPr>
          <w:p w14:paraId="51EE3D0C" w14:textId="77777777" w:rsidR="006A28CF" w:rsidRDefault="00000000">
            <w:r>
              <w:rPr>
                <w:rFonts w:ascii="Calibri" w:eastAsia="Calibri" w:hAnsi="Calibri" w:cs="Calibri"/>
                <w:b/>
                <w:bCs/>
                <w:color w:val="1A1A1A"/>
                <w:sz w:val="17"/>
                <w:szCs w:val="17"/>
              </w:rPr>
              <w:t>Élément</w:t>
            </w:r>
          </w:p>
        </w:tc>
        <w:tc>
          <w:tcPr>
            <w:tcW w:w="2500" w:type="pct"/>
            <w:shd w:val="clear" w:color="auto" w:fill="F2E9EA"/>
            <w:tcMar>
              <w:top w:w="60" w:type="dxa"/>
              <w:left w:w="90" w:type="dxa"/>
              <w:bottom w:w="60" w:type="dxa"/>
              <w:right w:w="90" w:type="dxa"/>
            </w:tcMar>
          </w:tcPr>
          <w:p w14:paraId="3BA8E1DB" w14:textId="77777777" w:rsidR="006A28CF" w:rsidRDefault="00000000">
            <w:r>
              <w:rPr>
                <w:rFonts w:ascii="Calibri" w:eastAsia="Calibri" w:hAnsi="Calibri" w:cs="Calibri"/>
                <w:b/>
                <w:bCs/>
                <w:color w:val="1A1A1A"/>
                <w:sz w:val="17"/>
                <w:szCs w:val="17"/>
              </w:rPr>
              <w:t>Ce qu’il faut savoir et dire</w:t>
            </w:r>
          </w:p>
        </w:tc>
      </w:tr>
      <w:tr w:rsidR="006A28CF" w14:paraId="7AD47736" w14:textId="77777777">
        <w:tc>
          <w:tcPr>
            <w:tcW w:w="2500" w:type="pct"/>
            <w:tcMar>
              <w:top w:w="60" w:type="dxa"/>
              <w:left w:w="90" w:type="dxa"/>
              <w:bottom w:w="60" w:type="dxa"/>
              <w:right w:w="90" w:type="dxa"/>
            </w:tcMar>
          </w:tcPr>
          <w:p w14:paraId="26E1E1B2" w14:textId="77777777" w:rsidR="006A28CF" w:rsidRDefault="00000000">
            <w:r>
              <w:rPr>
                <w:rFonts w:ascii="Calibri" w:eastAsia="Calibri" w:hAnsi="Calibri" w:cs="Calibri"/>
                <w:color w:val="1A1A1A"/>
                <w:sz w:val="17"/>
                <w:szCs w:val="17"/>
              </w:rPr>
              <w:t>Formation</w:t>
            </w:r>
          </w:p>
        </w:tc>
        <w:tc>
          <w:tcPr>
            <w:tcW w:w="2500" w:type="pct"/>
            <w:tcMar>
              <w:top w:w="60" w:type="dxa"/>
              <w:left w:w="90" w:type="dxa"/>
              <w:bottom w:w="60" w:type="dxa"/>
              <w:right w:w="90" w:type="dxa"/>
            </w:tcMar>
          </w:tcPr>
          <w:p w14:paraId="429C2216" w14:textId="77777777" w:rsidR="006A28CF" w:rsidRDefault="00000000">
            <w:r>
              <w:rPr>
                <w:rFonts w:ascii="Calibri" w:eastAsia="Calibri" w:hAnsi="Calibri" w:cs="Calibri"/>
                <w:color w:val="1A1A1A"/>
                <w:sz w:val="17"/>
                <w:szCs w:val="17"/>
              </w:rPr>
              <w:t xml:space="preserve">5e et 6e chambres réunies, présidées par </w:t>
            </w:r>
            <w:r>
              <w:rPr>
                <w:rFonts w:ascii="Calibri" w:eastAsia="Calibri" w:hAnsi="Calibri" w:cs="Calibri"/>
                <w:color w:val="2E7D32"/>
                <w:sz w:val="17"/>
                <w:szCs w:val="17"/>
              </w:rPr>
              <w:t>Christophe Chantepy</w:t>
            </w:r>
            <w:r>
              <w:rPr>
                <w:rFonts w:ascii="Calibri" w:eastAsia="Calibri" w:hAnsi="Calibri" w:cs="Calibri"/>
                <w:color w:val="1A1A1A"/>
                <w:sz w:val="17"/>
                <w:szCs w:val="17"/>
              </w:rPr>
              <w:t>, président de la section du contentieux. Une formation solennelle pour un référé : c’est un signal sur l’importance de la question.</w:t>
            </w:r>
          </w:p>
        </w:tc>
      </w:tr>
      <w:tr w:rsidR="006A28CF" w14:paraId="1D7BFB51" w14:textId="77777777">
        <w:tc>
          <w:tcPr>
            <w:tcW w:w="2500" w:type="pct"/>
            <w:tcMar>
              <w:top w:w="60" w:type="dxa"/>
              <w:left w:w="90" w:type="dxa"/>
              <w:bottom w:w="60" w:type="dxa"/>
              <w:right w:w="90" w:type="dxa"/>
            </w:tcMar>
          </w:tcPr>
          <w:p w14:paraId="43EE4EEC" w14:textId="77777777" w:rsidR="006A28CF" w:rsidRDefault="00000000">
            <w:r>
              <w:rPr>
                <w:rFonts w:ascii="Calibri" w:eastAsia="Calibri" w:hAnsi="Calibri" w:cs="Calibri"/>
                <w:color w:val="1A1A1A"/>
                <w:sz w:val="17"/>
                <w:szCs w:val="17"/>
              </w:rPr>
              <w:t>Publication</w:t>
            </w:r>
          </w:p>
        </w:tc>
        <w:tc>
          <w:tcPr>
            <w:tcW w:w="2500" w:type="pct"/>
            <w:tcMar>
              <w:top w:w="60" w:type="dxa"/>
              <w:left w:w="90" w:type="dxa"/>
              <w:bottom w:w="60" w:type="dxa"/>
              <w:right w:w="90" w:type="dxa"/>
            </w:tcMar>
          </w:tcPr>
          <w:p w14:paraId="28569AC3" w14:textId="77777777" w:rsidR="006A28CF" w:rsidRDefault="00000000">
            <w:r>
              <w:rPr>
                <w:rFonts w:ascii="Calibri" w:eastAsia="Calibri" w:hAnsi="Calibri" w:cs="Calibri"/>
                <w:color w:val="1A1A1A"/>
                <w:sz w:val="17"/>
                <w:szCs w:val="17"/>
              </w:rPr>
              <w:t>Mentionnée aux tables du Recueil Lebon : la décision apporte un élément de jurisprudence nouveau. Elle n’est pas publiée au Recueil lui-même (ce n’est pas une décision d’assemblée ou de section).</w:t>
            </w:r>
          </w:p>
        </w:tc>
      </w:tr>
      <w:tr w:rsidR="006A28CF" w14:paraId="346819A7" w14:textId="77777777">
        <w:tc>
          <w:tcPr>
            <w:tcW w:w="2500" w:type="pct"/>
            <w:tcMar>
              <w:top w:w="60" w:type="dxa"/>
              <w:left w:w="90" w:type="dxa"/>
              <w:bottom w:w="60" w:type="dxa"/>
              <w:right w:w="90" w:type="dxa"/>
            </w:tcMar>
          </w:tcPr>
          <w:p w14:paraId="3865090D" w14:textId="77777777" w:rsidR="006A28CF" w:rsidRDefault="00000000">
            <w:r>
              <w:rPr>
                <w:rFonts w:ascii="Calibri" w:eastAsia="Calibri" w:hAnsi="Calibri" w:cs="Calibri"/>
                <w:color w:val="1A1A1A"/>
                <w:sz w:val="17"/>
                <w:szCs w:val="17"/>
              </w:rPr>
              <w:t>Rapporteur public</w:t>
            </w:r>
          </w:p>
        </w:tc>
        <w:tc>
          <w:tcPr>
            <w:tcW w:w="2500" w:type="pct"/>
            <w:tcMar>
              <w:top w:w="60" w:type="dxa"/>
              <w:left w:w="90" w:type="dxa"/>
              <w:bottom w:w="60" w:type="dxa"/>
              <w:right w:w="90" w:type="dxa"/>
            </w:tcMar>
          </w:tcPr>
          <w:p w14:paraId="1718FB29" w14:textId="77777777" w:rsidR="006A28CF" w:rsidRDefault="00000000">
            <w:r>
              <w:rPr>
                <w:rFonts w:ascii="Calibri" w:eastAsia="Calibri" w:hAnsi="Calibri" w:cs="Calibri"/>
                <w:color w:val="2E7D32"/>
                <w:sz w:val="17"/>
                <w:szCs w:val="17"/>
              </w:rPr>
              <w:t>Maxime Boutron</w:t>
            </w:r>
            <w:r>
              <w:rPr>
                <w:rFonts w:ascii="Calibri" w:eastAsia="Calibri" w:hAnsi="Calibri" w:cs="Calibri"/>
                <w:color w:val="1A1A1A"/>
                <w:sz w:val="17"/>
                <w:szCs w:val="17"/>
              </w:rPr>
              <w:t xml:space="preserve"> ; rapporteur : </w:t>
            </w:r>
            <w:r>
              <w:rPr>
                <w:rFonts w:ascii="Calibri" w:eastAsia="Calibri" w:hAnsi="Calibri" w:cs="Calibri"/>
                <w:color w:val="2E7D32"/>
                <w:sz w:val="17"/>
                <w:szCs w:val="17"/>
              </w:rPr>
              <w:t>Marc Touillier</w:t>
            </w:r>
            <w:r>
              <w:rPr>
                <w:rFonts w:ascii="Calibri" w:eastAsia="Calibri" w:hAnsi="Calibri" w:cs="Calibri"/>
                <w:color w:val="1A1A1A"/>
                <w:sz w:val="17"/>
                <w:szCs w:val="17"/>
              </w:rPr>
              <w:t>. Séance du 24 juin 2026, lecture le 15 juillet 2026.</w:t>
            </w:r>
          </w:p>
        </w:tc>
      </w:tr>
      <w:tr w:rsidR="006A28CF" w14:paraId="4E0109EE" w14:textId="77777777">
        <w:tc>
          <w:tcPr>
            <w:tcW w:w="2500" w:type="pct"/>
            <w:tcMar>
              <w:top w:w="60" w:type="dxa"/>
              <w:left w:w="90" w:type="dxa"/>
              <w:bottom w:w="60" w:type="dxa"/>
              <w:right w:w="90" w:type="dxa"/>
            </w:tcMar>
          </w:tcPr>
          <w:p w14:paraId="18ACF9A1" w14:textId="77777777" w:rsidR="006A28CF" w:rsidRDefault="00000000">
            <w:r>
              <w:rPr>
                <w:rFonts w:ascii="Calibri" w:eastAsia="Calibri" w:hAnsi="Calibri" w:cs="Calibri"/>
                <w:color w:val="1A1A1A"/>
                <w:sz w:val="17"/>
                <w:szCs w:val="17"/>
              </w:rPr>
              <w:t>Parties</w:t>
            </w:r>
          </w:p>
        </w:tc>
        <w:tc>
          <w:tcPr>
            <w:tcW w:w="2500" w:type="pct"/>
            <w:tcMar>
              <w:top w:w="60" w:type="dxa"/>
              <w:left w:w="90" w:type="dxa"/>
              <w:bottom w:w="60" w:type="dxa"/>
              <w:right w:w="90" w:type="dxa"/>
            </w:tcMar>
          </w:tcPr>
          <w:p w14:paraId="3EF166C9" w14:textId="67719B20" w:rsidR="006A28CF" w:rsidRDefault="00000000">
            <w:r>
              <w:rPr>
                <w:rFonts w:ascii="Calibri" w:eastAsia="Calibri" w:hAnsi="Calibri" w:cs="Calibri"/>
                <w:color w:val="1A1A1A"/>
                <w:sz w:val="17"/>
                <w:szCs w:val="17"/>
              </w:rPr>
              <w:t xml:space="preserve">Requérants en cassation : le préfet de police, agissant en qualité d’autorité municipale de la Ville de Paris, et le ministre de </w:t>
            </w:r>
            <w:r w:rsidR="008844FD">
              <w:rPr>
                <w:rFonts w:ascii="Calibri" w:eastAsia="Calibri" w:hAnsi="Calibri" w:cs="Calibri"/>
                <w:color w:val="1A1A1A"/>
                <w:sz w:val="17"/>
                <w:szCs w:val="17"/>
              </w:rPr>
              <w:t>l’Intérieur</w:t>
            </w:r>
            <w:r>
              <w:rPr>
                <w:rFonts w:ascii="Calibri" w:eastAsia="Calibri" w:hAnsi="Calibri" w:cs="Calibri"/>
                <w:color w:val="1A1A1A"/>
                <w:sz w:val="17"/>
                <w:szCs w:val="17"/>
              </w:rPr>
              <w:t>. Défenderesse : la société Z Machine, qui exploite l’établissement dit « La Factory », au 22/24 rue d’Alleray (Paris 15e).</w:t>
            </w:r>
          </w:p>
        </w:tc>
      </w:tr>
      <w:tr w:rsidR="006A28CF" w14:paraId="281B1636" w14:textId="77777777">
        <w:tc>
          <w:tcPr>
            <w:tcW w:w="2500" w:type="pct"/>
            <w:tcMar>
              <w:top w:w="60" w:type="dxa"/>
              <w:left w:w="90" w:type="dxa"/>
              <w:bottom w:w="60" w:type="dxa"/>
              <w:right w:w="90" w:type="dxa"/>
            </w:tcMar>
          </w:tcPr>
          <w:p w14:paraId="18E6D24B" w14:textId="77777777" w:rsidR="006A28CF" w:rsidRDefault="00000000">
            <w:r>
              <w:rPr>
                <w:rFonts w:ascii="Calibri" w:eastAsia="Calibri" w:hAnsi="Calibri" w:cs="Calibri"/>
                <w:color w:val="1A1A1A"/>
                <w:sz w:val="17"/>
                <w:szCs w:val="17"/>
              </w:rPr>
              <w:t>Intervenants</w:t>
            </w:r>
          </w:p>
        </w:tc>
        <w:tc>
          <w:tcPr>
            <w:tcW w:w="2500" w:type="pct"/>
            <w:tcMar>
              <w:top w:w="60" w:type="dxa"/>
              <w:left w:w="90" w:type="dxa"/>
              <w:bottom w:w="60" w:type="dxa"/>
              <w:right w:w="90" w:type="dxa"/>
            </w:tcMar>
          </w:tcPr>
          <w:p w14:paraId="6A1E5120" w14:textId="77777777" w:rsidR="006A28CF" w:rsidRDefault="00000000">
            <w:r>
              <w:rPr>
                <w:rFonts w:ascii="Calibri" w:eastAsia="Calibri" w:hAnsi="Calibri" w:cs="Calibri"/>
                <w:color w:val="1A1A1A"/>
                <w:sz w:val="17"/>
                <w:szCs w:val="17"/>
              </w:rPr>
              <w:t>La Ville de Paris ; les associations « Les Effronté-es », « La Fondation des Femmes » et « Osez le Féminisme ! ». Interventions admises (point 2 ; art. 1er du dispositif).</w:t>
            </w:r>
          </w:p>
        </w:tc>
      </w:tr>
      <w:tr w:rsidR="006A28CF" w14:paraId="361E3A10" w14:textId="77777777">
        <w:tc>
          <w:tcPr>
            <w:tcW w:w="2500" w:type="pct"/>
            <w:tcMar>
              <w:top w:w="60" w:type="dxa"/>
              <w:left w:w="90" w:type="dxa"/>
              <w:bottom w:w="60" w:type="dxa"/>
              <w:right w:w="90" w:type="dxa"/>
            </w:tcMar>
          </w:tcPr>
          <w:p w14:paraId="322FEA70" w14:textId="77777777" w:rsidR="006A28CF" w:rsidRDefault="00000000">
            <w:r>
              <w:rPr>
                <w:rFonts w:ascii="Calibri" w:eastAsia="Calibri" w:hAnsi="Calibri" w:cs="Calibri"/>
                <w:color w:val="1A1A1A"/>
                <w:sz w:val="17"/>
                <w:szCs w:val="17"/>
              </w:rPr>
              <w:t>Décision attaquée</w:t>
            </w:r>
          </w:p>
        </w:tc>
        <w:tc>
          <w:tcPr>
            <w:tcW w:w="2500" w:type="pct"/>
            <w:tcMar>
              <w:top w:w="60" w:type="dxa"/>
              <w:left w:w="90" w:type="dxa"/>
              <w:bottom w:w="60" w:type="dxa"/>
              <w:right w:w="90" w:type="dxa"/>
            </w:tcMar>
          </w:tcPr>
          <w:p w14:paraId="734195D6" w14:textId="77777777" w:rsidR="006A28CF" w:rsidRDefault="00000000">
            <w:r>
              <w:rPr>
                <w:rFonts w:ascii="Calibri" w:eastAsia="Calibri" w:hAnsi="Calibri" w:cs="Calibri"/>
                <w:color w:val="1A1A1A"/>
                <w:sz w:val="17"/>
                <w:szCs w:val="17"/>
              </w:rPr>
              <w:t>Ordonnance du juge des référés du tribunal administratif de Paris, n° 2602318, du 9 février 2026, qui avait suspendu l’arrêté de fermeture.</w:t>
            </w:r>
          </w:p>
        </w:tc>
      </w:tr>
      <w:tr w:rsidR="006A28CF" w14:paraId="0B590D98" w14:textId="77777777">
        <w:tc>
          <w:tcPr>
            <w:tcW w:w="2500" w:type="pct"/>
            <w:tcMar>
              <w:top w:w="60" w:type="dxa"/>
              <w:left w:w="90" w:type="dxa"/>
              <w:bottom w:w="60" w:type="dxa"/>
              <w:right w:w="90" w:type="dxa"/>
            </w:tcMar>
          </w:tcPr>
          <w:p w14:paraId="40A6534D" w14:textId="77777777" w:rsidR="006A28CF" w:rsidRDefault="00000000">
            <w:r>
              <w:rPr>
                <w:rFonts w:ascii="Calibri" w:eastAsia="Calibri" w:hAnsi="Calibri" w:cs="Calibri"/>
                <w:color w:val="1A1A1A"/>
                <w:sz w:val="17"/>
                <w:szCs w:val="17"/>
              </w:rPr>
              <w:t>Acte de police</w:t>
            </w:r>
          </w:p>
        </w:tc>
        <w:tc>
          <w:tcPr>
            <w:tcW w:w="2500" w:type="pct"/>
            <w:tcMar>
              <w:top w:w="60" w:type="dxa"/>
              <w:left w:w="90" w:type="dxa"/>
              <w:bottom w:w="60" w:type="dxa"/>
              <w:right w:w="90" w:type="dxa"/>
            </w:tcMar>
          </w:tcPr>
          <w:p w14:paraId="47D6827F" w14:textId="77777777" w:rsidR="006A28CF" w:rsidRDefault="00000000">
            <w:r>
              <w:rPr>
                <w:rFonts w:ascii="Calibri" w:eastAsia="Calibri" w:hAnsi="Calibri" w:cs="Calibri"/>
                <w:color w:val="1A1A1A"/>
                <w:sz w:val="17"/>
                <w:szCs w:val="17"/>
              </w:rPr>
              <w:t>Arrêté du préfet de police du 21 janvier 2026 prononçant la fermeture administrative de l’établissement, fondé sur trois motifs : tranquillité et moralité publiques, dignité de la personne humaine, risque de commission d’infractions.</w:t>
            </w:r>
          </w:p>
        </w:tc>
      </w:tr>
      <w:tr w:rsidR="006A28CF" w14:paraId="7A97F0A0" w14:textId="77777777">
        <w:tc>
          <w:tcPr>
            <w:tcW w:w="2500" w:type="pct"/>
            <w:tcMar>
              <w:top w:w="60" w:type="dxa"/>
              <w:left w:w="90" w:type="dxa"/>
              <w:bottom w:w="60" w:type="dxa"/>
              <w:right w:w="90" w:type="dxa"/>
            </w:tcMar>
          </w:tcPr>
          <w:p w14:paraId="726B3052" w14:textId="77777777" w:rsidR="006A28CF" w:rsidRDefault="00000000">
            <w:r>
              <w:rPr>
                <w:rFonts w:ascii="Calibri" w:eastAsia="Calibri" w:hAnsi="Calibri" w:cs="Calibri"/>
                <w:color w:val="1A1A1A"/>
                <w:sz w:val="17"/>
                <w:szCs w:val="17"/>
              </w:rPr>
              <w:t>Dispositif</w:t>
            </w:r>
          </w:p>
        </w:tc>
        <w:tc>
          <w:tcPr>
            <w:tcW w:w="2500" w:type="pct"/>
            <w:tcMar>
              <w:top w:w="60" w:type="dxa"/>
              <w:left w:w="90" w:type="dxa"/>
              <w:bottom w:w="60" w:type="dxa"/>
              <w:right w:w="90" w:type="dxa"/>
            </w:tcMar>
          </w:tcPr>
          <w:p w14:paraId="1529AB29" w14:textId="77777777" w:rsidR="006A28CF" w:rsidRDefault="00000000">
            <w:r>
              <w:rPr>
                <w:rFonts w:ascii="Calibri" w:eastAsia="Calibri" w:hAnsi="Calibri" w:cs="Calibri"/>
                <w:color w:val="1A1A1A"/>
                <w:sz w:val="17"/>
                <w:szCs w:val="17"/>
              </w:rPr>
              <w:t>Interventions admises ; ordonnance annulée ; demande de suspension rejetée ; 3 000 euros à la charge de la société au titre de l’</w:t>
            </w:r>
            <w:r>
              <w:rPr>
                <w:rFonts w:ascii="Calibri" w:eastAsia="Calibri" w:hAnsi="Calibri" w:cs="Calibri"/>
                <w:color w:val="1E88E5"/>
                <w:sz w:val="17"/>
                <w:szCs w:val="17"/>
              </w:rPr>
              <w:t>art. L. 761-1 CJA</w:t>
            </w:r>
            <w:r>
              <w:rPr>
                <w:rFonts w:ascii="Calibri" w:eastAsia="Calibri" w:hAnsi="Calibri" w:cs="Calibri"/>
                <w:color w:val="1A1A1A"/>
                <w:sz w:val="17"/>
                <w:szCs w:val="17"/>
              </w:rPr>
              <w:t>.</w:t>
            </w:r>
          </w:p>
        </w:tc>
      </w:tr>
    </w:tbl>
    <w:p w14:paraId="31F714D3" w14:textId="77777777" w:rsidR="006A28CF" w:rsidRDefault="006A28CF">
      <w:pPr>
        <w:spacing w:after="120"/>
      </w:pPr>
    </w:p>
    <w:p w14:paraId="6EE6AF4D" w14:textId="77777777" w:rsidR="006A28CF" w:rsidRDefault="00000000">
      <w:pPr>
        <w:pStyle w:val="Titre2"/>
        <w:spacing w:before="260" w:after="110"/>
      </w:pPr>
      <w:r>
        <w:rPr>
          <w:rFonts w:ascii="Calibri" w:eastAsia="Calibri" w:hAnsi="Calibri" w:cs="Calibri"/>
          <w:b/>
          <w:bCs/>
          <w:color w:val="1A1A1A"/>
          <w:spacing w:val="16"/>
          <w:sz w:val="23"/>
          <w:szCs w:val="23"/>
        </w:rPr>
        <w:t>1.2. Le plan de la décision, point par point</w:t>
      </w:r>
    </w:p>
    <w:tbl>
      <w:tblPr>
        <w:tblW w:w="5000" w:type="pct"/>
        <w:tblBorders>
          <w:top w:val="single" w:sz="2" w:space="0" w:color="C9C0B6"/>
          <w:left w:val="single" w:sz="2" w:space="0" w:color="C9C0B6"/>
          <w:bottom w:val="single" w:sz="2" w:space="0" w:color="C9C0B6"/>
          <w:right w:val="single" w:sz="2" w:space="0" w:color="C9C0B6"/>
          <w:insideH w:val="single" w:sz="2" w:space="0" w:color="DCD5CC"/>
          <w:insideV w:val="single" w:sz="2" w:space="0" w:color="DCD5CC"/>
        </w:tblBorders>
        <w:tblCellMar>
          <w:left w:w="10" w:type="dxa"/>
          <w:right w:w="10" w:type="dxa"/>
        </w:tblCellMar>
        <w:tblLook w:val="04A0" w:firstRow="1" w:lastRow="0" w:firstColumn="1" w:lastColumn="0" w:noHBand="0" w:noVBand="1"/>
      </w:tblPr>
      <w:tblGrid>
        <w:gridCol w:w="3248"/>
        <w:gridCol w:w="3249"/>
        <w:gridCol w:w="3249"/>
      </w:tblGrid>
      <w:tr w:rsidR="006A28CF" w14:paraId="10B6D2A0" w14:textId="77777777">
        <w:trPr>
          <w:tblHeader/>
        </w:trPr>
        <w:tc>
          <w:tcPr>
            <w:tcW w:w="1650" w:type="pct"/>
            <w:shd w:val="clear" w:color="auto" w:fill="F2E9EA"/>
            <w:tcMar>
              <w:top w:w="60" w:type="dxa"/>
              <w:left w:w="90" w:type="dxa"/>
              <w:bottom w:w="60" w:type="dxa"/>
              <w:right w:w="90" w:type="dxa"/>
            </w:tcMar>
          </w:tcPr>
          <w:p w14:paraId="22E01635" w14:textId="77777777" w:rsidR="006A28CF" w:rsidRDefault="00000000">
            <w:r>
              <w:rPr>
                <w:rFonts w:ascii="Calibri" w:eastAsia="Calibri" w:hAnsi="Calibri" w:cs="Calibri"/>
                <w:b/>
                <w:bCs/>
                <w:color w:val="1A1A1A"/>
                <w:sz w:val="17"/>
                <w:szCs w:val="17"/>
              </w:rPr>
              <w:t>Point</w:t>
            </w:r>
          </w:p>
        </w:tc>
        <w:tc>
          <w:tcPr>
            <w:tcW w:w="1650" w:type="pct"/>
            <w:shd w:val="clear" w:color="auto" w:fill="F2E9EA"/>
            <w:tcMar>
              <w:top w:w="60" w:type="dxa"/>
              <w:left w:w="90" w:type="dxa"/>
              <w:bottom w:w="60" w:type="dxa"/>
              <w:right w:w="90" w:type="dxa"/>
            </w:tcMar>
          </w:tcPr>
          <w:p w14:paraId="09C0C50D" w14:textId="77777777" w:rsidR="006A28CF" w:rsidRDefault="00000000">
            <w:r>
              <w:rPr>
                <w:rFonts w:ascii="Calibri" w:eastAsia="Calibri" w:hAnsi="Calibri" w:cs="Calibri"/>
                <w:b/>
                <w:bCs/>
                <w:color w:val="1A1A1A"/>
                <w:sz w:val="17"/>
                <w:szCs w:val="17"/>
              </w:rPr>
              <w:t>Contenu</w:t>
            </w:r>
          </w:p>
        </w:tc>
        <w:tc>
          <w:tcPr>
            <w:tcW w:w="1650" w:type="pct"/>
            <w:shd w:val="clear" w:color="auto" w:fill="F2E9EA"/>
            <w:tcMar>
              <w:top w:w="60" w:type="dxa"/>
              <w:left w:w="90" w:type="dxa"/>
              <w:bottom w:w="60" w:type="dxa"/>
              <w:right w:w="90" w:type="dxa"/>
            </w:tcMar>
          </w:tcPr>
          <w:p w14:paraId="43543660" w14:textId="77777777" w:rsidR="006A28CF" w:rsidRDefault="00000000">
            <w:r>
              <w:rPr>
                <w:rFonts w:ascii="Calibri" w:eastAsia="Calibri" w:hAnsi="Calibri" w:cs="Calibri"/>
                <w:b/>
                <w:bCs/>
                <w:color w:val="1A1A1A"/>
                <w:sz w:val="17"/>
                <w:szCs w:val="17"/>
              </w:rPr>
              <w:t>Ce qu’il faut en tirer</w:t>
            </w:r>
          </w:p>
        </w:tc>
      </w:tr>
      <w:tr w:rsidR="006A28CF" w14:paraId="6621A33F" w14:textId="77777777">
        <w:tc>
          <w:tcPr>
            <w:tcW w:w="1650" w:type="pct"/>
            <w:tcMar>
              <w:top w:w="60" w:type="dxa"/>
              <w:left w:w="90" w:type="dxa"/>
              <w:bottom w:w="60" w:type="dxa"/>
              <w:right w:w="90" w:type="dxa"/>
            </w:tcMar>
          </w:tcPr>
          <w:p w14:paraId="50BAFE1E" w14:textId="77777777" w:rsidR="006A28CF" w:rsidRDefault="00000000">
            <w:r>
              <w:rPr>
                <w:rFonts w:ascii="Calibri" w:eastAsia="Calibri" w:hAnsi="Calibri" w:cs="Calibri"/>
                <w:color w:val="1A1A1A"/>
                <w:sz w:val="17"/>
                <w:szCs w:val="17"/>
              </w:rPr>
              <w:t>1</w:t>
            </w:r>
          </w:p>
        </w:tc>
        <w:tc>
          <w:tcPr>
            <w:tcW w:w="1650" w:type="pct"/>
            <w:tcMar>
              <w:top w:w="60" w:type="dxa"/>
              <w:left w:w="90" w:type="dxa"/>
              <w:bottom w:w="60" w:type="dxa"/>
              <w:right w:w="90" w:type="dxa"/>
            </w:tcMar>
          </w:tcPr>
          <w:p w14:paraId="30B3B55E" w14:textId="77777777" w:rsidR="006A28CF" w:rsidRDefault="00000000">
            <w:r>
              <w:rPr>
                <w:rFonts w:ascii="Calibri" w:eastAsia="Calibri" w:hAnsi="Calibri" w:cs="Calibri"/>
                <w:color w:val="1A1A1A"/>
                <w:sz w:val="17"/>
                <w:szCs w:val="17"/>
              </w:rPr>
              <w:t>Faits et procédure : arrêté du 21 janvier 2026, ordonnance du 9 février 2026, pourvoi.</w:t>
            </w:r>
          </w:p>
        </w:tc>
        <w:tc>
          <w:tcPr>
            <w:tcW w:w="1650" w:type="pct"/>
            <w:tcMar>
              <w:top w:w="60" w:type="dxa"/>
              <w:left w:w="90" w:type="dxa"/>
              <w:bottom w:w="60" w:type="dxa"/>
              <w:right w:w="90" w:type="dxa"/>
            </w:tcMar>
          </w:tcPr>
          <w:p w14:paraId="7941A346" w14:textId="77777777" w:rsidR="006A28CF" w:rsidRDefault="00000000">
            <w:r>
              <w:rPr>
                <w:rFonts w:ascii="Calibri" w:eastAsia="Calibri" w:hAnsi="Calibri" w:cs="Calibri"/>
                <w:color w:val="1A1A1A"/>
                <w:sz w:val="17"/>
                <w:szCs w:val="17"/>
              </w:rPr>
              <w:t>L’arrêté vise des « troubles à l’ordre public résultant de l’organisation […] d’activités sexuelles collectives désignées sous l’appellation de “gang bangs” ».</w:t>
            </w:r>
          </w:p>
        </w:tc>
      </w:tr>
      <w:tr w:rsidR="006A28CF" w14:paraId="284F178E" w14:textId="77777777">
        <w:tc>
          <w:tcPr>
            <w:tcW w:w="1650" w:type="pct"/>
            <w:tcMar>
              <w:top w:w="60" w:type="dxa"/>
              <w:left w:w="90" w:type="dxa"/>
              <w:bottom w:w="60" w:type="dxa"/>
              <w:right w:w="90" w:type="dxa"/>
            </w:tcMar>
          </w:tcPr>
          <w:p w14:paraId="33809A9A" w14:textId="77777777" w:rsidR="006A28CF" w:rsidRDefault="00000000">
            <w:r>
              <w:rPr>
                <w:rFonts w:ascii="Calibri" w:eastAsia="Calibri" w:hAnsi="Calibri" w:cs="Calibri"/>
                <w:color w:val="1A1A1A"/>
                <w:sz w:val="17"/>
                <w:szCs w:val="17"/>
              </w:rPr>
              <w:t>2</w:t>
            </w:r>
          </w:p>
        </w:tc>
        <w:tc>
          <w:tcPr>
            <w:tcW w:w="1650" w:type="pct"/>
            <w:tcMar>
              <w:top w:w="60" w:type="dxa"/>
              <w:left w:w="90" w:type="dxa"/>
              <w:bottom w:w="60" w:type="dxa"/>
              <w:right w:w="90" w:type="dxa"/>
            </w:tcMar>
          </w:tcPr>
          <w:p w14:paraId="67B7E34E" w14:textId="77777777" w:rsidR="006A28CF" w:rsidRDefault="00000000">
            <w:r>
              <w:rPr>
                <w:rFonts w:ascii="Calibri" w:eastAsia="Calibri" w:hAnsi="Calibri" w:cs="Calibri"/>
                <w:color w:val="1A1A1A"/>
                <w:sz w:val="17"/>
                <w:szCs w:val="17"/>
              </w:rPr>
              <w:t>Recevabilité des interventions.</w:t>
            </w:r>
          </w:p>
        </w:tc>
        <w:tc>
          <w:tcPr>
            <w:tcW w:w="1650" w:type="pct"/>
            <w:tcMar>
              <w:top w:w="60" w:type="dxa"/>
              <w:left w:w="90" w:type="dxa"/>
              <w:bottom w:w="60" w:type="dxa"/>
              <w:right w:w="90" w:type="dxa"/>
            </w:tcMar>
          </w:tcPr>
          <w:p w14:paraId="14980D9E" w14:textId="77777777" w:rsidR="006A28CF" w:rsidRDefault="00000000">
            <w:r>
              <w:rPr>
                <w:rFonts w:ascii="Calibri" w:eastAsia="Calibri" w:hAnsi="Calibri" w:cs="Calibri"/>
                <w:color w:val="1A1A1A"/>
                <w:sz w:val="17"/>
                <w:szCs w:val="17"/>
              </w:rPr>
              <w:t>Intérêt suffisant « eu égard à la nature et à l’objet du litige » : les associations féministes sont admises.</w:t>
            </w:r>
          </w:p>
        </w:tc>
      </w:tr>
      <w:tr w:rsidR="006A28CF" w14:paraId="3AD77A22" w14:textId="77777777">
        <w:tc>
          <w:tcPr>
            <w:tcW w:w="1650" w:type="pct"/>
            <w:tcMar>
              <w:top w:w="60" w:type="dxa"/>
              <w:left w:w="90" w:type="dxa"/>
              <w:bottom w:w="60" w:type="dxa"/>
              <w:right w:w="90" w:type="dxa"/>
            </w:tcMar>
          </w:tcPr>
          <w:p w14:paraId="7D475C0D" w14:textId="77777777" w:rsidR="006A28CF" w:rsidRDefault="00000000">
            <w:r>
              <w:rPr>
                <w:rFonts w:ascii="Calibri" w:eastAsia="Calibri" w:hAnsi="Calibri" w:cs="Calibri"/>
                <w:color w:val="1A1A1A"/>
                <w:sz w:val="17"/>
                <w:szCs w:val="17"/>
              </w:rPr>
              <w:t>3</w:t>
            </w:r>
          </w:p>
        </w:tc>
        <w:tc>
          <w:tcPr>
            <w:tcW w:w="1650" w:type="pct"/>
            <w:tcMar>
              <w:top w:w="60" w:type="dxa"/>
              <w:left w:w="90" w:type="dxa"/>
              <w:bottom w:w="60" w:type="dxa"/>
              <w:right w:w="90" w:type="dxa"/>
            </w:tcMar>
          </w:tcPr>
          <w:p w14:paraId="35A36B24" w14:textId="77777777" w:rsidR="006A28CF" w:rsidRDefault="00000000">
            <w:r>
              <w:rPr>
                <w:rFonts w:ascii="Calibri" w:eastAsia="Calibri" w:hAnsi="Calibri" w:cs="Calibri"/>
                <w:color w:val="1A1A1A"/>
                <w:sz w:val="17"/>
                <w:szCs w:val="17"/>
              </w:rPr>
              <w:t>Texte de l’</w:t>
            </w:r>
            <w:r>
              <w:rPr>
                <w:rFonts w:ascii="Calibri" w:eastAsia="Calibri" w:hAnsi="Calibri" w:cs="Calibri"/>
                <w:color w:val="1E88E5"/>
                <w:sz w:val="17"/>
                <w:szCs w:val="17"/>
              </w:rPr>
              <w:t>art. L. 521-1 CJA</w:t>
            </w:r>
            <w:r>
              <w:rPr>
                <w:rFonts w:ascii="Calibri" w:eastAsia="Calibri" w:hAnsi="Calibri" w:cs="Calibri"/>
                <w:color w:val="1A1A1A"/>
                <w:sz w:val="17"/>
                <w:szCs w:val="17"/>
              </w:rPr>
              <w:t>.</w:t>
            </w:r>
          </w:p>
        </w:tc>
        <w:tc>
          <w:tcPr>
            <w:tcW w:w="1650" w:type="pct"/>
            <w:tcMar>
              <w:top w:w="60" w:type="dxa"/>
              <w:left w:w="90" w:type="dxa"/>
              <w:bottom w:w="60" w:type="dxa"/>
              <w:right w:w="90" w:type="dxa"/>
            </w:tcMar>
          </w:tcPr>
          <w:p w14:paraId="595206B0" w14:textId="77777777" w:rsidR="006A28CF" w:rsidRDefault="00000000">
            <w:r>
              <w:rPr>
                <w:rFonts w:ascii="Calibri" w:eastAsia="Calibri" w:hAnsi="Calibri" w:cs="Calibri"/>
                <w:color w:val="1A1A1A"/>
                <w:sz w:val="17"/>
                <w:szCs w:val="17"/>
              </w:rPr>
              <w:t>Deux conditions cumulatives : l’urgence et un moyen propre à créer un doute sérieux.</w:t>
            </w:r>
          </w:p>
        </w:tc>
      </w:tr>
      <w:tr w:rsidR="006A28CF" w14:paraId="313F3691" w14:textId="77777777">
        <w:tc>
          <w:tcPr>
            <w:tcW w:w="1650" w:type="pct"/>
            <w:tcMar>
              <w:top w:w="60" w:type="dxa"/>
              <w:left w:w="90" w:type="dxa"/>
              <w:bottom w:w="60" w:type="dxa"/>
              <w:right w:w="90" w:type="dxa"/>
            </w:tcMar>
          </w:tcPr>
          <w:p w14:paraId="77754F47" w14:textId="77777777" w:rsidR="006A28CF" w:rsidRDefault="00000000">
            <w:r>
              <w:rPr>
                <w:rFonts w:ascii="Calibri" w:eastAsia="Calibri" w:hAnsi="Calibri" w:cs="Calibri"/>
                <w:color w:val="1A1A1A"/>
                <w:sz w:val="17"/>
                <w:szCs w:val="17"/>
              </w:rPr>
              <w:t>4</w:t>
            </w:r>
          </w:p>
        </w:tc>
        <w:tc>
          <w:tcPr>
            <w:tcW w:w="1650" w:type="pct"/>
            <w:tcMar>
              <w:top w:w="60" w:type="dxa"/>
              <w:left w:w="90" w:type="dxa"/>
              <w:bottom w:w="60" w:type="dxa"/>
              <w:right w:w="90" w:type="dxa"/>
            </w:tcMar>
          </w:tcPr>
          <w:p w14:paraId="6A6F4A55" w14:textId="77777777" w:rsidR="006A28CF" w:rsidRDefault="00000000">
            <w:r>
              <w:rPr>
                <w:rFonts w:ascii="Calibri" w:eastAsia="Calibri" w:hAnsi="Calibri" w:cs="Calibri"/>
                <w:color w:val="1A1A1A"/>
                <w:sz w:val="17"/>
                <w:szCs w:val="17"/>
              </w:rPr>
              <w:t>Le considérant de principe.</w:t>
            </w:r>
          </w:p>
        </w:tc>
        <w:tc>
          <w:tcPr>
            <w:tcW w:w="1650" w:type="pct"/>
            <w:tcMar>
              <w:top w:w="60" w:type="dxa"/>
              <w:left w:w="90" w:type="dxa"/>
              <w:bottom w:w="60" w:type="dxa"/>
              <w:right w:w="90" w:type="dxa"/>
            </w:tcMar>
          </w:tcPr>
          <w:p w14:paraId="4A837C2A" w14:textId="77777777" w:rsidR="006A28CF" w:rsidRDefault="00000000">
            <w:r>
              <w:rPr>
                <w:rFonts w:ascii="Calibri" w:eastAsia="Calibri" w:hAnsi="Calibri" w:cs="Calibri"/>
                <w:color w:val="1A1A1A"/>
                <w:sz w:val="17"/>
                <w:szCs w:val="17"/>
              </w:rPr>
              <w:t>Ordre public ; dignité « une des composantes de l’ordre public » ; mesures possibles « même en l’absence de circonstances locales particulières » ; prévention des infractions pénales.</w:t>
            </w:r>
          </w:p>
        </w:tc>
      </w:tr>
      <w:tr w:rsidR="006A28CF" w14:paraId="2D29DD0C" w14:textId="77777777">
        <w:tc>
          <w:tcPr>
            <w:tcW w:w="1650" w:type="pct"/>
            <w:tcMar>
              <w:top w:w="60" w:type="dxa"/>
              <w:left w:w="90" w:type="dxa"/>
              <w:bottom w:w="60" w:type="dxa"/>
              <w:right w:w="90" w:type="dxa"/>
            </w:tcMar>
          </w:tcPr>
          <w:p w14:paraId="611D3450" w14:textId="77777777" w:rsidR="006A28CF" w:rsidRDefault="00000000">
            <w:r>
              <w:rPr>
                <w:rFonts w:ascii="Calibri" w:eastAsia="Calibri" w:hAnsi="Calibri" w:cs="Calibri"/>
                <w:color w:val="1A1A1A"/>
                <w:sz w:val="17"/>
                <w:szCs w:val="17"/>
              </w:rPr>
              <w:t>5</w:t>
            </w:r>
          </w:p>
        </w:tc>
        <w:tc>
          <w:tcPr>
            <w:tcW w:w="1650" w:type="pct"/>
            <w:tcMar>
              <w:top w:w="60" w:type="dxa"/>
              <w:left w:w="90" w:type="dxa"/>
              <w:bottom w:w="60" w:type="dxa"/>
              <w:right w:w="90" w:type="dxa"/>
            </w:tcMar>
          </w:tcPr>
          <w:p w14:paraId="386CC086" w14:textId="77777777" w:rsidR="006A28CF" w:rsidRDefault="00000000">
            <w:r>
              <w:rPr>
                <w:rFonts w:ascii="Calibri" w:eastAsia="Calibri" w:hAnsi="Calibri" w:cs="Calibri"/>
                <w:color w:val="1A1A1A"/>
                <w:sz w:val="17"/>
                <w:szCs w:val="17"/>
              </w:rPr>
              <w:t>Texte de l’</w:t>
            </w:r>
            <w:r>
              <w:rPr>
                <w:rFonts w:ascii="Calibri" w:eastAsia="Calibri" w:hAnsi="Calibri" w:cs="Calibri"/>
                <w:color w:val="1E88E5"/>
                <w:sz w:val="17"/>
                <w:szCs w:val="17"/>
              </w:rPr>
              <w:t>art. 222-22 C. pén.</w:t>
            </w:r>
            <w:r>
              <w:rPr>
                <w:rFonts w:ascii="Calibri" w:eastAsia="Calibri" w:hAnsi="Calibri" w:cs="Calibri"/>
                <w:color w:val="1A1A1A"/>
                <w:sz w:val="17"/>
                <w:szCs w:val="17"/>
              </w:rPr>
              <w:t xml:space="preserve"> issu de la loi du 6 novembre 2025.</w:t>
            </w:r>
          </w:p>
        </w:tc>
        <w:tc>
          <w:tcPr>
            <w:tcW w:w="1650" w:type="pct"/>
            <w:tcMar>
              <w:top w:w="60" w:type="dxa"/>
              <w:left w:w="90" w:type="dxa"/>
              <w:bottom w:w="60" w:type="dxa"/>
              <w:right w:w="90" w:type="dxa"/>
            </w:tcMar>
          </w:tcPr>
          <w:p w14:paraId="3F2297E4" w14:textId="77777777" w:rsidR="006A28CF" w:rsidRDefault="00000000">
            <w:r>
              <w:rPr>
                <w:rFonts w:ascii="Calibri" w:eastAsia="Calibri" w:hAnsi="Calibri" w:cs="Calibri"/>
                <w:color w:val="1A1A1A"/>
                <w:sz w:val="17"/>
                <w:szCs w:val="17"/>
              </w:rPr>
              <w:t>Le Conseil d’État cite intégralement la nouvelle définition pénale du consentement : c’est l’outil du point 8.</w:t>
            </w:r>
          </w:p>
        </w:tc>
      </w:tr>
      <w:tr w:rsidR="006A28CF" w14:paraId="43644463" w14:textId="77777777">
        <w:tc>
          <w:tcPr>
            <w:tcW w:w="1650" w:type="pct"/>
            <w:tcMar>
              <w:top w:w="60" w:type="dxa"/>
              <w:left w:w="90" w:type="dxa"/>
              <w:bottom w:w="60" w:type="dxa"/>
              <w:right w:w="90" w:type="dxa"/>
            </w:tcMar>
          </w:tcPr>
          <w:p w14:paraId="3A11D952" w14:textId="77777777" w:rsidR="006A28CF" w:rsidRDefault="00000000">
            <w:r>
              <w:rPr>
                <w:rFonts w:ascii="Calibri" w:eastAsia="Calibri" w:hAnsi="Calibri" w:cs="Calibri"/>
                <w:color w:val="1A1A1A"/>
                <w:sz w:val="17"/>
                <w:szCs w:val="17"/>
              </w:rPr>
              <w:t>6</w:t>
            </w:r>
          </w:p>
        </w:tc>
        <w:tc>
          <w:tcPr>
            <w:tcW w:w="1650" w:type="pct"/>
            <w:tcMar>
              <w:top w:w="60" w:type="dxa"/>
              <w:left w:w="90" w:type="dxa"/>
              <w:bottom w:w="60" w:type="dxa"/>
              <w:right w:w="90" w:type="dxa"/>
            </w:tcMar>
          </w:tcPr>
          <w:p w14:paraId="59CAEEF6" w14:textId="77777777" w:rsidR="006A28CF" w:rsidRDefault="00000000">
            <w:r>
              <w:rPr>
                <w:rFonts w:ascii="Calibri" w:eastAsia="Calibri" w:hAnsi="Calibri" w:cs="Calibri"/>
                <w:color w:val="1A1A1A"/>
                <w:sz w:val="17"/>
                <w:szCs w:val="17"/>
              </w:rPr>
              <w:t>Les trois motifs de l’arrêté, tous trois jugés douteux par le juge des référés.</w:t>
            </w:r>
          </w:p>
        </w:tc>
        <w:tc>
          <w:tcPr>
            <w:tcW w:w="1650" w:type="pct"/>
            <w:tcMar>
              <w:top w:w="60" w:type="dxa"/>
              <w:left w:w="90" w:type="dxa"/>
              <w:bottom w:w="60" w:type="dxa"/>
              <w:right w:w="90" w:type="dxa"/>
            </w:tcMar>
          </w:tcPr>
          <w:p w14:paraId="593E3AD8" w14:textId="77777777" w:rsidR="006A28CF" w:rsidRDefault="00000000">
            <w:r>
              <w:rPr>
                <w:rFonts w:ascii="Calibri" w:eastAsia="Calibri" w:hAnsi="Calibri" w:cs="Calibri"/>
                <w:color w:val="1A1A1A"/>
                <w:sz w:val="17"/>
                <w:szCs w:val="17"/>
              </w:rPr>
              <w:t>Tranquillité et moralité ; dignité ; risque d’infractions.</w:t>
            </w:r>
          </w:p>
        </w:tc>
      </w:tr>
      <w:tr w:rsidR="006A28CF" w14:paraId="4CD84C0B" w14:textId="77777777">
        <w:tc>
          <w:tcPr>
            <w:tcW w:w="1650" w:type="pct"/>
            <w:tcMar>
              <w:top w:w="60" w:type="dxa"/>
              <w:left w:w="90" w:type="dxa"/>
              <w:bottom w:w="60" w:type="dxa"/>
              <w:right w:w="90" w:type="dxa"/>
            </w:tcMar>
          </w:tcPr>
          <w:p w14:paraId="78A07496" w14:textId="77777777" w:rsidR="006A28CF" w:rsidRDefault="00000000">
            <w:r>
              <w:rPr>
                <w:rFonts w:ascii="Calibri" w:eastAsia="Calibri" w:hAnsi="Calibri" w:cs="Calibri"/>
                <w:color w:val="1A1A1A"/>
                <w:sz w:val="17"/>
                <w:szCs w:val="17"/>
              </w:rPr>
              <w:lastRenderedPageBreak/>
              <w:t>7</w:t>
            </w:r>
          </w:p>
        </w:tc>
        <w:tc>
          <w:tcPr>
            <w:tcW w:w="1650" w:type="pct"/>
            <w:tcMar>
              <w:top w:w="60" w:type="dxa"/>
              <w:left w:w="90" w:type="dxa"/>
              <w:bottom w:w="60" w:type="dxa"/>
              <w:right w:w="90" w:type="dxa"/>
            </w:tcMar>
          </w:tcPr>
          <w:p w14:paraId="3EA58A8A" w14:textId="77777777" w:rsidR="006A28CF" w:rsidRDefault="00000000">
            <w:r>
              <w:rPr>
                <w:rFonts w:ascii="Calibri" w:eastAsia="Calibri" w:hAnsi="Calibri" w:cs="Calibri"/>
                <w:color w:val="1A1A1A"/>
                <w:sz w:val="17"/>
                <w:szCs w:val="17"/>
              </w:rPr>
              <w:t>Premier moyen de cassation : la dignité.</w:t>
            </w:r>
          </w:p>
        </w:tc>
        <w:tc>
          <w:tcPr>
            <w:tcW w:w="1650" w:type="pct"/>
            <w:tcMar>
              <w:top w:w="60" w:type="dxa"/>
              <w:left w:w="90" w:type="dxa"/>
              <w:bottom w:w="60" w:type="dxa"/>
              <w:right w:w="90" w:type="dxa"/>
            </w:tcMar>
          </w:tcPr>
          <w:p w14:paraId="6FC0A71F" w14:textId="77777777" w:rsidR="006A28CF" w:rsidRDefault="00000000">
            <w:r>
              <w:rPr>
                <w:rFonts w:ascii="Calibri" w:eastAsia="Calibri" w:hAnsi="Calibri" w:cs="Calibri"/>
                <w:color w:val="1A1A1A"/>
                <w:sz w:val="17"/>
                <w:szCs w:val="17"/>
              </w:rPr>
              <w:t>Erreur de droit : le juge s’est borné à constater l’organisation du consentement et le caractère promotionnel des mentions du site, sans rechercher si l’activité était « par elle-même » attentatoire à la dignité.</w:t>
            </w:r>
          </w:p>
        </w:tc>
      </w:tr>
      <w:tr w:rsidR="006A28CF" w14:paraId="509C3E14" w14:textId="77777777">
        <w:tc>
          <w:tcPr>
            <w:tcW w:w="1650" w:type="pct"/>
            <w:tcMar>
              <w:top w:w="60" w:type="dxa"/>
              <w:left w:w="90" w:type="dxa"/>
              <w:bottom w:w="60" w:type="dxa"/>
              <w:right w:w="90" w:type="dxa"/>
            </w:tcMar>
          </w:tcPr>
          <w:p w14:paraId="20EA1E89" w14:textId="77777777" w:rsidR="006A28CF" w:rsidRDefault="00000000">
            <w:r>
              <w:rPr>
                <w:rFonts w:ascii="Calibri" w:eastAsia="Calibri" w:hAnsi="Calibri" w:cs="Calibri"/>
                <w:color w:val="1A1A1A"/>
                <w:sz w:val="17"/>
                <w:szCs w:val="17"/>
              </w:rPr>
              <w:t>8</w:t>
            </w:r>
          </w:p>
        </w:tc>
        <w:tc>
          <w:tcPr>
            <w:tcW w:w="1650" w:type="pct"/>
            <w:tcMar>
              <w:top w:w="60" w:type="dxa"/>
              <w:left w:w="90" w:type="dxa"/>
              <w:bottom w:w="60" w:type="dxa"/>
              <w:right w:w="90" w:type="dxa"/>
            </w:tcMar>
          </w:tcPr>
          <w:p w14:paraId="50A22DC2" w14:textId="77777777" w:rsidR="006A28CF" w:rsidRDefault="00000000">
            <w:r>
              <w:rPr>
                <w:rFonts w:ascii="Calibri" w:eastAsia="Calibri" w:hAnsi="Calibri" w:cs="Calibri"/>
                <w:color w:val="1A1A1A"/>
                <w:sz w:val="17"/>
                <w:szCs w:val="17"/>
              </w:rPr>
              <w:t>Second moyen de cassation : le risque pénal.</w:t>
            </w:r>
          </w:p>
        </w:tc>
        <w:tc>
          <w:tcPr>
            <w:tcW w:w="1650" w:type="pct"/>
            <w:tcMar>
              <w:top w:w="60" w:type="dxa"/>
              <w:left w:w="90" w:type="dxa"/>
              <w:bottom w:w="60" w:type="dxa"/>
              <w:right w:w="90" w:type="dxa"/>
            </w:tcMar>
          </w:tcPr>
          <w:p w14:paraId="78C249F5" w14:textId="77777777" w:rsidR="006A28CF" w:rsidRDefault="00000000">
            <w:r>
              <w:rPr>
                <w:rFonts w:ascii="Calibri" w:eastAsia="Calibri" w:hAnsi="Calibri" w:cs="Calibri"/>
                <w:color w:val="1A1A1A"/>
                <w:sz w:val="17"/>
                <w:szCs w:val="17"/>
              </w:rPr>
              <w:t>Dénaturation : les pièces montraient l’absence de garanties du consentement « libre, éclairé et révocable » ; l’absence de poursuites ne prouvait rien.</w:t>
            </w:r>
          </w:p>
        </w:tc>
      </w:tr>
      <w:tr w:rsidR="006A28CF" w14:paraId="0AEFD132" w14:textId="77777777">
        <w:tc>
          <w:tcPr>
            <w:tcW w:w="1650" w:type="pct"/>
            <w:tcMar>
              <w:top w:w="60" w:type="dxa"/>
              <w:left w:w="90" w:type="dxa"/>
              <w:bottom w:w="60" w:type="dxa"/>
              <w:right w:w="90" w:type="dxa"/>
            </w:tcMar>
          </w:tcPr>
          <w:p w14:paraId="15066BB2" w14:textId="77777777" w:rsidR="006A28CF" w:rsidRDefault="00000000">
            <w:r>
              <w:rPr>
                <w:rFonts w:ascii="Calibri" w:eastAsia="Calibri" w:hAnsi="Calibri" w:cs="Calibri"/>
                <w:color w:val="1A1A1A"/>
                <w:sz w:val="17"/>
                <w:szCs w:val="17"/>
              </w:rPr>
              <w:t>9-10</w:t>
            </w:r>
          </w:p>
        </w:tc>
        <w:tc>
          <w:tcPr>
            <w:tcW w:w="1650" w:type="pct"/>
            <w:tcMar>
              <w:top w:w="60" w:type="dxa"/>
              <w:left w:w="90" w:type="dxa"/>
              <w:bottom w:w="60" w:type="dxa"/>
              <w:right w:w="90" w:type="dxa"/>
            </w:tcMar>
          </w:tcPr>
          <w:p w14:paraId="325E4AC1" w14:textId="77777777" w:rsidR="006A28CF" w:rsidRDefault="00000000">
            <w:r>
              <w:rPr>
                <w:rFonts w:ascii="Calibri" w:eastAsia="Calibri" w:hAnsi="Calibri" w:cs="Calibri"/>
                <w:color w:val="1A1A1A"/>
                <w:sz w:val="17"/>
                <w:szCs w:val="17"/>
              </w:rPr>
              <w:t>Annulation ; règlement de l’affaire au titre du référé (</w:t>
            </w:r>
            <w:r>
              <w:rPr>
                <w:rFonts w:ascii="Calibri" w:eastAsia="Calibri" w:hAnsi="Calibri" w:cs="Calibri"/>
                <w:color w:val="1E88E5"/>
                <w:sz w:val="17"/>
                <w:szCs w:val="17"/>
              </w:rPr>
              <w:t>art. L. 821-2 CJA</w:t>
            </w:r>
            <w:r>
              <w:rPr>
                <w:rFonts w:ascii="Calibri" w:eastAsia="Calibri" w:hAnsi="Calibri" w:cs="Calibri"/>
                <w:color w:val="1A1A1A"/>
                <w:sz w:val="17"/>
                <w:szCs w:val="17"/>
              </w:rPr>
              <w:t>).</w:t>
            </w:r>
          </w:p>
        </w:tc>
        <w:tc>
          <w:tcPr>
            <w:tcW w:w="1650" w:type="pct"/>
            <w:tcMar>
              <w:top w:w="60" w:type="dxa"/>
              <w:left w:w="90" w:type="dxa"/>
              <w:bottom w:w="60" w:type="dxa"/>
              <w:right w:w="90" w:type="dxa"/>
            </w:tcMar>
          </w:tcPr>
          <w:p w14:paraId="6666A5B4" w14:textId="77777777" w:rsidR="006A28CF" w:rsidRDefault="00000000">
            <w:r>
              <w:rPr>
                <w:rFonts w:ascii="Calibri" w:eastAsia="Calibri" w:hAnsi="Calibri" w:cs="Calibri"/>
                <w:color w:val="1A1A1A"/>
                <w:sz w:val="17"/>
                <w:szCs w:val="17"/>
              </w:rPr>
              <w:t>Le Conseil d’État devient juge des référés à la place du tribunal.</w:t>
            </w:r>
          </w:p>
        </w:tc>
      </w:tr>
      <w:tr w:rsidR="006A28CF" w14:paraId="2D98CAB4" w14:textId="77777777">
        <w:tc>
          <w:tcPr>
            <w:tcW w:w="1650" w:type="pct"/>
            <w:tcMar>
              <w:top w:w="60" w:type="dxa"/>
              <w:left w:w="90" w:type="dxa"/>
              <w:bottom w:w="60" w:type="dxa"/>
              <w:right w:w="90" w:type="dxa"/>
            </w:tcMar>
          </w:tcPr>
          <w:p w14:paraId="2D3926BC" w14:textId="77777777" w:rsidR="006A28CF" w:rsidRDefault="00000000">
            <w:r>
              <w:rPr>
                <w:rFonts w:ascii="Calibri" w:eastAsia="Calibri" w:hAnsi="Calibri" w:cs="Calibri"/>
                <w:color w:val="1A1A1A"/>
                <w:sz w:val="17"/>
                <w:szCs w:val="17"/>
              </w:rPr>
              <w:t>11-12</w:t>
            </w:r>
          </w:p>
        </w:tc>
        <w:tc>
          <w:tcPr>
            <w:tcW w:w="1650" w:type="pct"/>
            <w:tcMar>
              <w:top w:w="60" w:type="dxa"/>
              <w:left w:w="90" w:type="dxa"/>
              <w:bottom w:w="60" w:type="dxa"/>
              <w:right w:w="90" w:type="dxa"/>
            </w:tcMar>
          </w:tcPr>
          <w:p w14:paraId="048FBD49" w14:textId="77777777" w:rsidR="006A28CF" w:rsidRDefault="00000000">
            <w:r>
              <w:rPr>
                <w:rFonts w:ascii="Calibri" w:eastAsia="Calibri" w:hAnsi="Calibri" w:cs="Calibri"/>
                <w:color w:val="1A1A1A"/>
                <w:sz w:val="17"/>
                <w:szCs w:val="17"/>
              </w:rPr>
              <w:t>Le contradictoire (</w:t>
            </w:r>
            <w:r>
              <w:rPr>
                <w:rFonts w:ascii="Calibri" w:eastAsia="Calibri" w:hAnsi="Calibri" w:cs="Calibri"/>
                <w:color w:val="1E88E5"/>
                <w:sz w:val="17"/>
                <w:szCs w:val="17"/>
              </w:rPr>
              <w:t>art. L. 121-1 et L. 122-1 CRPA</w:t>
            </w:r>
            <w:r>
              <w:rPr>
                <w:rFonts w:ascii="Calibri" w:eastAsia="Calibri" w:hAnsi="Calibri" w:cs="Calibri"/>
                <w:color w:val="1A1A1A"/>
                <w:sz w:val="17"/>
                <w:szCs w:val="17"/>
              </w:rPr>
              <w:t>).</w:t>
            </w:r>
          </w:p>
        </w:tc>
        <w:tc>
          <w:tcPr>
            <w:tcW w:w="1650" w:type="pct"/>
            <w:tcMar>
              <w:top w:w="60" w:type="dxa"/>
              <w:left w:w="90" w:type="dxa"/>
              <w:bottom w:w="60" w:type="dxa"/>
              <w:right w:w="90" w:type="dxa"/>
            </w:tcMar>
          </w:tcPr>
          <w:p w14:paraId="195D5BD5" w14:textId="77777777" w:rsidR="006A28CF" w:rsidRDefault="00000000">
            <w:r>
              <w:rPr>
                <w:rFonts w:ascii="Calibri" w:eastAsia="Calibri" w:hAnsi="Calibri" w:cs="Calibri"/>
                <w:color w:val="1A1A1A"/>
                <w:sz w:val="17"/>
                <w:szCs w:val="17"/>
              </w:rPr>
              <w:t>Courrier du 16 janvier 2026, observations possibles jusqu’au 19 janvier : pas de doute sérieux.</w:t>
            </w:r>
          </w:p>
        </w:tc>
      </w:tr>
      <w:tr w:rsidR="006A28CF" w14:paraId="70B1408D" w14:textId="77777777">
        <w:tc>
          <w:tcPr>
            <w:tcW w:w="1650" w:type="pct"/>
            <w:tcMar>
              <w:top w:w="60" w:type="dxa"/>
              <w:left w:w="90" w:type="dxa"/>
              <w:bottom w:w="60" w:type="dxa"/>
              <w:right w:w="90" w:type="dxa"/>
            </w:tcMar>
          </w:tcPr>
          <w:p w14:paraId="59A52A70" w14:textId="77777777" w:rsidR="006A28CF" w:rsidRDefault="00000000">
            <w:r>
              <w:rPr>
                <w:rFonts w:ascii="Calibri" w:eastAsia="Calibri" w:hAnsi="Calibri" w:cs="Calibri"/>
                <w:color w:val="1A1A1A"/>
                <w:sz w:val="17"/>
                <w:szCs w:val="17"/>
              </w:rPr>
              <w:t>13</w:t>
            </w:r>
          </w:p>
        </w:tc>
        <w:tc>
          <w:tcPr>
            <w:tcW w:w="1650" w:type="pct"/>
            <w:tcMar>
              <w:top w:w="60" w:type="dxa"/>
              <w:left w:w="90" w:type="dxa"/>
              <w:bottom w:w="60" w:type="dxa"/>
              <w:right w:w="90" w:type="dxa"/>
            </w:tcMar>
          </w:tcPr>
          <w:p w14:paraId="3059FCBB" w14:textId="77777777" w:rsidR="006A28CF" w:rsidRDefault="00000000">
            <w:r>
              <w:rPr>
                <w:rFonts w:ascii="Calibri" w:eastAsia="Calibri" w:hAnsi="Calibri" w:cs="Calibri"/>
                <w:color w:val="1A1A1A"/>
                <w:sz w:val="17"/>
                <w:szCs w:val="17"/>
              </w:rPr>
              <w:t>La dignité et le risque pénal confirmés ; les motifs alternatifs ; la proportionnalité.</w:t>
            </w:r>
          </w:p>
        </w:tc>
        <w:tc>
          <w:tcPr>
            <w:tcW w:w="1650" w:type="pct"/>
            <w:tcMar>
              <w:top w:w="60" w:type="dxa"/>
              <w:left w:w="90" w:type="dxa"/>
              <w:bottom w:w="60" w:type="dxa"/>
              <w:right w:w="90" w:type="dxa"/>
            </w:tcMar>
          </w:tcPr>
          <w:p w14:paraId="074156F2" w14:textId="77777777" w:rsidR="006A28CF" w:rsidRDefault="00000000">
            <w:r>
              <w:rPr>
                <w:rFonts w:ascii="Calibri" w:eastAsia="Calibri" w:hAnsi="Calibri" w:cs="Calibri"/>
                <w:color w:val="1A1A1A"/>
                <w:sz w:val="17"/>
                <w:szCs w:val="17"/>
              </w:rPr>
              <w:t>Les femmes « réduites à un rôle exclusif d’objet sexuel » ; le préfet « aurait pris la même décision » sur l’un ou l’autre motif ; proportionnalité admise ; condition d’urgence non examinée.</w:t>
            </w:r>
          </w:p>
        </w:tc>
      </w:tr>
      <w:tr w:rsidR="006A28CF" w14:paraId="75DFE535" w14:textId="77777777">
        <w:tc>
          <w:tcPr>
            <w:tcW w:w="1650" w:type="pct"/>
            <w:tcMar>
              <w:top w:w="60" w:type="dxa"/>
              <w:left w:w="90" w:type="dxa"/>
              <w:bottom w:w="60" w:type="dxa"/>
              <w:right w:w="90" w:type="dxa"/>
            </w:tcMar>
          </w:tcPr>
          <w:p w14:paraId="5B065BBB" w14:textId="77777777" w:rsidR="006A28CF" w:rsidRDefault="00000000">
            <w:r>
              <w:rPr>
                <w:rFonts w:ascii="Calibri" w:eastAsia="Calibri" w:hAnsi="Calibri" w:cs="Calibri"/>
                <w:color w:val="1A1A1A"/>
                <w:sz w:val="17"/>
                <w:szCs w:val="17"/>
              </w:rPr>
              <w:t>14</w:t>
            </w:r>
          </w:p>
        </w:tc>
        <w:tc>
          <w:tcPr>
            <w:tcW w:w="1650" w:type="pct"/>
            <w:tcMar>
              <w:top w:w="60" w:type="dxa"/>
              <w:left w:w="90" w:type="dxa"/>
              <w:bottom w:w="60" w:type="dxa"/>
              <w:right w:w="90" w:type="dxa"/>
            </w:tcMar>
          </w:tcPr>
          <w:p w14:paraId="1DF9EE2D" w14:textId="77777777" w:rsidR="006A28CF" w:rsidRDefault="00000000">
            <w:r>
              <w:rPr>
                <w:rFonts w:ascii="Calibri" w:eastAsia="Calibri" w:hAnsi="Calibri" w:cs="Calibri"/>
                <w:color w:val="1A1A1A"/>
                <w:sz w:val="17"/>
                <w:szCs w:val="17"/>
              </w:rPr>
              <w:t>Frais d’instance.</w:t>
            </w:r>
          </w:p>
        </w:tc>
        <w:tc>
          <w:tcPr>
            <w:tcW w:w="1650" w:type="pct"/>
            <w:tcMar>
              <w:top w:w="60" w:type="dxa"/>
              <w:left w:w="90" w:type="dxa"/>
              <w:bottom w:w="60" w:type="dxa"/>
              <w:right w:w="90" w:type="dxa"/>
            </w:tcMar>
          </w:tcPr>
          <w:p w14:paraId="1832F4A4" w14:textId="77777777" w:rsidR="006A28CF" w:rsidRDefault="00000000">
            <w:r>
              <w:rPr>
                <w:rFonts w:ascii="Calibri" w:eastAsia="Calibri" w:hAnsi="Calibri" w:cs="Calibri"/>
                <w:color w:val="1A1A1A"/>
                <w:sz w:val="17"/>
                <w:szCs w:val="17"/>
              </w:rPr>
              <w:t>3 000 euros mis à la charge de la société.</w:t>
            </w:r>
          </w:p>
        </w:tc>
      </w:tr>
    </w:tbl>
    <w:p w14:paraId="296913D9" w14:textId="77777777" w:rsidR="006A28CF" w:rsidRDefault="006A28CF">
      <w:pPr>
        <w:spacing w:after="120"/>
      </w:pPr>
    </w:p>
    <w:p w14:paraId="3F2B2D65" w14:textId="77777777" w:rsidR="006A28CF" w:rsidRDefault="00000000">
      <w:pPr>
        <w:pStyle w:val="Titre2"/>
        <w:spacing w:before="260" w:after="110"/>
      </w:pPr>
      <w:r>
        <w:rPr>
          <w:rFonts w:ascii="Calibri" w:eastAsia="Calibri" w:hAnsi="Calibri" w:cs="Calibri"/>
          <w:b/>
          <w:bCs/>
          <w:color w:val="1A1A1A"/>
          <w:spacing w:val="16"/>
          <w:sz w:val="23"/>
          <w:szCs w:val="23"/>
        </w:rPr>
        <w:t>1.3. Les formules à citer mot pour mot</w:t>
      </w:r>
    </w:p>
    <w:p w14:paraId="7679530E" w14:textId="77777777" w:rsidR="006A28CF" w:rsidRDefault="00000000">
      <w:pPr>
        <w:spacing w:before="90" w:after="90" w:line="264" w:lineRule="auto"/>
        <w:ind w:left="400" w:right="200"/>
        <w:jc w:val="both"/>
      </w:pPr>
      <w:r>
        <w:rPr>
          <w:rFonts w:ascii="Calibri" w:eastAsia="Calibri" w:hAnsi="Calibri" w:cs="Calibri"/>
          <w:i/>
          <w:iCs/>
          <w:color w:val="1A1A1A"/>
          <w:sz w:val="19"/>
          <w:szCs w:val="19"/>
        </w:rPr>
        <w:t>Point 4 : « Le respect de la dignité de la personne humaine constituant une des composantes de l’ordre public, cette autorité peut, même en l’absence de circonstances locales particulières, prendre les mesures qu’appelle l’exercice d’une activité par un établissement lorsqu’elle porte atteinte au respect de la dignité de la personne humaine. Il appartient également à l’autorité administrative de prendre les mesures de nature à éviter que des infractions pénales soient commises. »</w:t>
      </w:r>
    </w:p>
    <w:p w14:paraId="27743859" w14:textId="77777777" w:rsidR="006A28CF" w:rsidRDefault="00000000">
      <w:pPr>
        <w:spacing w:before="90" w:after="90" w:line="264" w:lineRule="auto"/>
        <w:ind w:left="400" w:right="200"/>
        <w:jc w:val="both"/>
      </w:pPr>
      <w:r>
        <w:rPr>
          <w:rFonts w:ascii="Calibri" w:eastAsia="Calibri" w:hAnsi="Calibri" w:cs="Calibri"/>
          <w:i/>
          <w:iCs/>
          <w:color w:val="1A1A1A"/>
          <w:sz w:val="19"/>
          <w:szCs w:val="19"/>
        </w:rPr>
        <w:t>Point 7 : le juge devait rechercher « si, compte tenu des caractéristiques propres des activités proposées par la société, consistant à offrir contre paiement à des groupes d’hommes des rencontres sexuelles simultanées avec une ou plusieurs femmes, les conditions concrètes d’organisation et de déroulement de ces activités, y compris le fait pour le gérant de l’établissement d’inviter les participants à certains événements à “utiliser le corps” d’une femme “de toutes les manières possibles”, au motif qu’elle consentirait “à ne pas consentir”, […] n’étaient pas, quand bien même de tels événements reposeraient sur une mise en scène agréée avec les participantes, qui ne seraient pas rémunérées, de nature à porter par lui-même atteinte, par le traitement qu’il est proposé de réserver aux femmes concernées, à la dignité de la personne humaine ».</w:t>
      </w:r>
    </w:p>
    <w:p w14:paraId="30A27657" w14:textId="77777777" w:rsidR="006A28CF" w:rsidRDefault="00000000">
      <w:pPr>
        <w:spacing w:before="90" w:after="90" w:line="264" w:lineRule="auto"/>
        <w:ind w:left="400" w:right="200"/>
        <w:jc w:val="both"/>
      </w:pPr>
      <w:r>
        <w:rPr>
          <w:rFonts w:ascii="Calibri" w:eastAsia="Calibri" w:hAnsi="Calibri" w:cs="Calibri"/>
          <w:i/>
          <w:iCs/>
          <w:color w:val="1A1A1A"/>
          <w:sz w:val="19"/>
          <w:szCs w:val="19"/>
        </w:rPr>
        <w:t>Point 8 : l’organisation des événements, « y compris en offrant aux femmes concernées “à boire plus que de raison”, n’était pas entourée des garanties propres à s’assurer du consentement libre, éclairé et révocable des participantes ».</w:t>
      </w:r>
    </w:p>
    <w:p w14:paraId="63A2B06F" w14:textId="77777777" w:rsidR="006A28CF" w:rsidRDefault="00000000">
      <w:pPr>
        <w:spacing w:before="90" w:after="90" w:line="264" w:lineRule="auto"/>
        <w:ind w:left="400" w:right="200"/>
        <w:jc w:val="both"/>
      </w:pPr>
      <w:r>
        <w:rPr>
          <w:rFonts w:ascii="Calibri" w:eastAsia="Calibri" w:hAnsi="Calibri" w:cs="Calibri"/>
          <w:i/>
          <w:iCs/>
          <w:color w:val="1A1A1A"/>
          <w:sz w:val="19"/>
          <w:szCs w:val="19"/>
        </w:rPr>
        <w:t>Point 13 : les femmes participantes sont « ainsi réduites à un rôle exclusif d’objet sexuel » ; « le préfet de police aurait pris la même décision en se fondant uniquement sur l’un de ces deux motifs ».</w:t>
      </w:r>
    </w:p>
    <w:p w14:paraId="73578171" w14:textId="77777777" w:rsidR="006A28CF" w:rsidRDefault="00000000">
      <w:pPr>
        <w:pStyle w:val="Titre2"/>
        <w:spacing w:before="260" w:after="110"/>
      </w:pPr>
      <w:r>
        <w:rPr>
          <w:rFonts w:ascii="Calibri" w:eastAsia="Calibri" w:hAnsi="Calibri" w:cs="Calibri"/>
          <w:b/>
          <w:bCs/>
          <w:color w:val="1A1A1A"/>
          <w:spacing w:val="16"/>
          <w:sz w:val="23"/>
          <w:szCs w:val="23"/>
        </w:rPr>
        <w:t>1.4. Ce que disait le juge des référés du tribunal administratif</w:t>
      </w:r>
    </w:p>
    <w:p w14:paraId="7F0DB433" w14:textId="77777777" w:rsidR="006A28CF" w:rsidRDefault="00000000">
      <w:pPr>
        <w:spacing w:after="90" w:line="264" w:lineRule="auto"/>
        <w:jc w:val="both"/>
      </w:pPr>
      <w:r>
        <w:rPr>
          <w:rFonts w:ascii="Calibri" w:eastAsia="Calibri" w:hAnsi="Calibri" w:cs="Calibri"/>
          <w:color w:val="1A1A1A"/>
        </w:rPr>
        <w:t>Il faut le connaître pour comprendre ce que le Conseil d’État censure. L’ordonnance du 9 février 2026 avait suspendu l’arrêté pour quatre raisons :</w:t>
      </w:r>
    </w:p>
    <w:p w14:paraId="4BC6F4CC"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Urgence</w:t>
      </w:r>
      <w:r>
        <w:rPr>
          <w:rFonts w:ascii="Calibri" w:eastAsia="Calibri" w:hAnsi="Calibri" w:cs="Calibri"/>
          <w:color w:val="1A1A1A"/>
        </w:rPr>
        <w:t xml:space="preserve"> : déficits de plus de 60 000 euros, commandement de payer une dette locative ; la fermeture plaçait la société « dans l’impossibilité d’assurer la pérennité de l’ensemble de ses activités ».</w:t>
      </w:r>
    </w:p>
    <w:p w14:paraId="2AAA2215"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Tranquillité et moralité</w:t>
      </w:r>
      <w:r>
        <w:rPr>
          <w:rFonts w:ascii="Calibri" w:eastAsia="Calibri" w:hAnsi="Calibri" w:cs="Calibri"/>
          <w:color w:val="1A1A1A"/>
        </w:rPr>
        <w:t xml:space="preserve"> : aucune infraction constatée par le commissariat, aucune signalisation extérieure ; l’atteinte à la moralité se fondait « essentiellement sur la réprobation par les riverains des pratiques sexuelles ». Sans circonstances locales objectives, le doute était sérieux. C’est l’application orthodoxe de l’arrêt </w:t>
      </w:r>
      <w:r>
        <w:rPr>
          <w:rFonts w:ascii="Calibri" w:eastAsia="Calibri" w:hAnsi="Calibri" w:cs="Calibri"/>
          <w:color w:val="E91E63"/>
        </w:rPr>
        <w:t>Lutetia</w:t>
      </w:r>
      <w:r>
        <w:rPr>
          <w:rFonts w:ascii="Calibri" w:eastAsia="Calibri" w:hAnsi="Calibri" w:cs="Calibri"/>
          <w:color w:val="1A1A1A"/>
        </w:rPr>
        <w:t>.</w:t>
      </w:r>
    </w:p>
    <w:p w14:paraId="5BEA4FA7"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Dignité</w:t>
      </w:r>
      <w:r>
        <w:rPr>
          <w:rFonts w:ascii="Calibri" w:eastAsia="Calibri" w:hAnsi="Calibri" w:cs="Calibri"/>
          <w:color w:val="1A1A1A"/>
        </w:rPr>
        <w:t xml:space="preserve"> : une composante de l’ordre public, mais l’organisation permettait aux femmes de déterminer le déroulement de l’événement et d’en demander l’arrêt à tout moment, et le préfet se fondait « essentiellement sur des mentions de nature promotionnelle ».</w:t>
      </w:r>
    </w:p>
    <w:p w14:paraId="46FE9335"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Infractions</w:t>
      </w:r>
      <w:r>
        <w:rPr>
          <w:rFonts w:ascii="Calibri" w:eastAsia="Calibri" w:hAnsi="Calibri" w:cs="Calibri"/>
          <w:color w:val="1A1A1A"/>
        </w:rPr>
        <w:t xml:space="preserve"> : un témoignage « au demeurant ambigu », une plainte non produite, et aucune poursuite « alors qu’elle mène ce type d’activités depuis 15 ans ».</w:t>
      </w:r>
    </w:p>
    <w:p w14:paraId="2F62346B" w14:textId="77777777" w:rsidR="006A28CF" w:rsidRDefault="00000000">
      <w:pPr>
        <w:pBdr>
          <w:top w:val="single" w:sz="4" w:space="8" w:color="D8CFC4"/>
          <w:left w:val="single" w:sz="4" w:space="8" w:color="D8CFC4"/>
          <w:bottom w:val="single" w:sz="4" w:space="8" w:color="D8CFC4"/>
          <w:right w:val="single" w:sz="4" w:space="8" w:color="D8CFC4"/>
        </w:pBdr>
        <w:shd w:val="clear" w:color="auto" w:fill="F7F4F0"/>
        <w:spacing w:before="120" w:after="120" w:line="264" w:lineRule="auto"/>
        <w:ind w:left="140" w:right="140"/>
        <w:jc w:val="both"/>
      </w:pPr>
      <w:r>
        <w:rPr>
          <w:rFonts w:ascii="Calibri" w:eastAsia="Calibri" w:hAnsi="Calibri" w:cs="Calibri"/>
          <w:b/>
          <w:bCs/>
          <w:color w:val="1A1A1A"/>
          <w:sz w:val="19"/>
          <w:szCs w:val="19"/>
        </w:rPr>
        <w:t>À retenir.</w:t>
      </w:r>
      <w:r>
        <w:rPr>
          <w:rFonts w:ascii="Calibri" w:eastAsia="Calibri" w:hAnsi="Calibri" w:cs="Calibri"/>
          <w:color w:val="1A1A1A"/>
          <w:sz w:val="19"/>
          <w:szCs w:val="19"/>
        </w:rPr>
        <w:t xml:space="preserve"> Le Conseil d’État ne touche pas au raisonnement du tribunal sur la moralité publique : il le contourne. Il ne dit pas que le juge des référés s’est trompé sur l’urgence : il ne l’examine pas. Il concentre la censure sur deux points, la dignité (point 7) et le risque pénal (point 8), et c’est sur eux seuls que repose la solution.</w:t>
      </w:r>
    </w:p>
    <w:p w14:paraId="6581B061" w14:textId="77777777" w:rsidR="006A28CF" w:rsidRDefault="00000000">
      <w:pPr>
        <w:pStyle w:val="Titre1"/>
        <w:pBdr>
          <w:bottom w:val="single" w:sz="12" w:space="6" w:color="8C1C2B"/>
        </w:pBdr>
        <w:spacing w:before="260" w:after="90"/>
      </w:pPr>
      <w:r>
        <w:rPr>
          <w:rFonts w:ascii="Calibri" w:eastAsia="Calibri" w:hAnsi="Calibri" w:cs="Calibri"/>
          <w:b/>
          <w:bCs/>
          <w:color w:val="8C1C2B"/>
          <w:sz w:val="28"/>
          <w:szCs w:val="28"/>
        </w:rPr>
        <w:t>2. LES OUTILS PROCÉDURAUX — À MAÎTRISER AVANT DE COMMENTER</w:t>
      </w:r>
    </w:p>
    <w:tbl>
      <w:tblPr>
        <w:tblW w:w="5000" w:type="pct"/>
        <w:tblBorders>
          <w:top w:val="single" w:sz="2" w:space="0" w:color="C9C0B6"/>
          <w:left w:val="single" w:sz="2" w:space="0" w:color="C9C0B6"/>
          <w:bottom w:val="single" w:sz="2" w:space="0" w:color="C9C0B6"/>
          <w:right w:val="single" w:sz="2" w:space="0" w:color="C9C0B6"/>
          <w:insideH w:val="single" w:sz="2" w:space="0" w:color="DCD5CC"/>
          <w:insideV w:val="single" w:sz="2" w:space="0" w:color="DCD5CC"/>
        </w:tblBorders>
        <w:tblCellMar>
          <w:left w:w="10" w:type="dxa"/>
          <w:right w:w="10" w:type="dxa"/>
        </w:tblCellMar>
        <w:tblLook w:val="04A0" w:firstRow="1" w:lastRow="0" w:firstColumn="1" w:lastColumn="0" w:noHBand="0" w:noVBand="1"/>
      </w:tblPr>
      <w:tblGrid>
        <w:gridCol w:w="4873"/>
        <w:gridCol w:w="4873"/>
      </w:tblGrid>
      <w:tr w:rsidR="006A28CF" w14:paraId="2E20F0BB" w14:textId="77777777">
        <w:trPr>
          <w:tblHeader/>
        </w:trPr>
        <w:tc>
          <w:tcPr>
            <w:tcW w:w="2500" w:type="pct"/>
            <w:shd w:val="clear" w:color="auto" w:fill="F2E9EA"/>
            <w:tcMar>
              <w:top w:w="60" w:type="dxa"/>
              <w:left w:w="90" w:type="dxa"/>
              <w:bottom w:w="60" w:type="dxa"/>
              <w:right w:w="90" w:type="dxa"/>
            </w:tcMar>
          </w:tcPr>
          <w:p w14:paraId="3B586C54" w14:textId="77777777" w:rsidR="006A28CF" w:rsidRDefault="00000000">
            <w:r>
              <w:rPr>
                <w:rFonts w:ascii="Calibri" w:eastAsia="Calibri" w:hAnsi="Calibri" w:cs="Calibri"/>
                <w:b/>
                <w:bCs/>
                <w:color w:val="1A1A1A"/>
                <w:sz w:val="17"/>
                <w:szCs w:val="17"/>
              </w:rPr>
              <w:t>Notion</w:t>
            </w:r>
          </w:p>
        </w:tc>
        <w:tc>
          <w:tcPr>
            <w:tcW w:w="2500" w:type="pct"/>
            <w:shd w:val="clear" w:color="auto" w:fill="F2E9EA"/>
            <w:tcMar>
              <w:top w:w="60" w:type="dxa"/>
              <w:left w:w="90" w:type="dxa"/>
              <w:bottom w:w="60" w:type="dxa"/>
              <w:right w:w="90" w:type="dxa"/>
            </w:tcMar>
          </w:tcPr>
          <w:p w14:paraId="4A40AC5B" w14:textId="77777777" w:rsidR="006A28CF" w:rsidRDefault="00000000">
            <w:r>
              <w:rPr>
                <w:rFonts w:ascii="Calibri" w:eastAsia="Calibri" w:hAnsi="Calibri" w:cs="Calibri"/>
                <w:b/>
                <w:bCs/>
                <w:color w:val="1A1A1A"/>
                <w:sz w:val="17"/>
                <w:szCs w:val="17"/>
              </w:rPr>
              <w:t>Définition utile pour l’oral</w:t>
            </w:r>
          </w:p>
        </w:tc>
      </w:tr>
      <w:tr w:rsidR="006A28CF" w14:paraId="0559A1FF" w14:textId="77777777">
        <w:tc>
          <w:tcPr>
            <w:tcW w:w="2500" w:type="pct"/>
            <w:tcMar>
              <w:top w:w="60" w:type="dxa"/>
              <w:left w:w="90" w:type="dxa"/>
              <w:bottom w:w="60" w:type="dxa"/>
              <w:right w:w="90" w:type="dxa"/>
            </w:tcMar>
          </w:tcPr>
          <w:p w14:paraId="40C00F53" w14:textId="77777777" w:rsidR="006A28CF" w:rsidRDefault="00000000">
            <w:r>
              <w:rPr>
                <w:rFonts w:ascii="Calibri" w:eastAsia="Calibri" w:hAnsi="Calibri" w:cs="Calibri"/>
                <w:color w:val="1A1A1A"/>
                <w:sz w:val="17"/>
                <w:szCs w:val="17"/>
              </w:rPr>
              <w:t>Référé-suspension (</w:t>
            </w:r>
            <w:r>
              <w:rPr>
                <w:rFonts w:ascii="Calibri" w:eastAsia="Calibri" w:hAnsi="Calibri" w:cs="Calibri"/>
                <w:color w:val="1E88E5"/>
                <w:sz w:val="17"/>
                <w:szCs w:val="17"/>
              </w:rPr>
              <w:t>art. L. 521-1 CJA</w:t>
            </w:r>
            <w:r>
              <w:rPr>
                <w:rFonts w:ascii="Calibri" w:eastAsia="Calibri" w:hAnsi="Calibri" w:cs="Calibri"/>
                <w:color w:val="1A1A1A"/>
                <w:sz w:val="17"/>
                <w:szCs w:val="17"/>
              </w:rPr>
              <w:t>)</w:t>
            </w:r>
          </w:p>
        </w:tc>
        <w:tc>
          <w:tcPr>
            <w:tcW w:w="2500" w:type="pct"/>
            <w:tcMar>
              <w:top w:w="60" w:type="dxa"/>
              <w:left w:w="90" w:type="dxa"/>
              <w:bottom w:w="60" w:type="dxa"/>
              <w:right w:w="90" w:type="dxa"/>
            </w:tcMar>
          </w:tcPr>
          <w:p w14:paraId="2318B161" w14:textId="77777777" w:rsidR="006A28CF" w:rsidRDefault="00000000">
            <w:r>
              <w:rPr>
                <w:rFonts w:ascii="Calibri" w:eastAsia="Calibri" w:hAnsi="Calibri" w:cs="Calibri"/>
                <w:color w:val="1A1A1A"/>
                <w:sz w:val="17"/>
                <w:szCs w:val="17"/>
              </w:rPr>
              <w:t>Accessoire d’un recours au fond ; deux conditions : urgence et moyen propre à créer un doute sérieux quant à la légalité. Le juge statue « en l’état de l’instruction » ; sa décision est provisoire. À ne pas confondre avec le référé-liberté (</w:t>
            </w:r>
            <w:r>
              <w:rPr>
                <w:rFonts w:ascii="Calibri" w:eastAsia="Calibri" w:hAnsi="Calibri" w:cs="Calibri"/>
                <w:color w:val="1E88E5"/>
                <w:sz w:val="17"/>
                <w:szCs w:val="17"/>
              </w:rPr>
              <w:t>art. L. 521-2</w:t>
            </w:r>
            <w:r>
              <w:rPr>
                <w:rFonts w:ascii="Calibri" w:eastAsia="Calibri" w:hAnsi="Calibri" w:cs="Calibri"/>
                <w:color w:val="1A1A1A"/>
                <w:sz w:val="17"/>
                <w:szCs w:val="17"/>
              </w:rPr>
              <w:t>), qui exige une atteinte grave et manifestement illégale à une liberté fondamentale et une urgence particulière (48 heures).</w:t>
            </w:r>
          </w:p>
        </w:tc>
      </w:tr>
      <w:tr w:rsidR="006A28CF" w14:paraId="26EE65DF" w14:textId="77777777">
        <w:tc>
          <w:tcPr>
            <w:tcW w:w="2500" w:type="pct"/>
            <w:tcMar>
              <w:top w:w="60" w:type="dxa"/>
              <w:left w:w="90" w:type="dxa"/>
              <w:bottom w:w="60" w:type="dxa"/>
              <w:right w:w="90" w:type="dxa"/>
            </w:tcMar>
          </w:tcPr>
          <w:p w14:paraId="5AA85940" w14:textId="77777777" w:rsidR="006A28CF" w:rsidRDefault="00000000">
            <w:r>
              <w:rPr>
                <w:rFonts w:ascii="Calibri" w:eastAsia="Calibri" w:hAnsi="Calibri" w:cs="Calibri"/>
                <w:color w:val="1A1A1A"/>
                <w:sz w:val="17"/>
                <w:szCs w:val="17"/>
              </w:rPr>
              <w:t>Voie de recours</w:t>
            </w:r>
          </w:p>
        </w:tc>
        <w:tc>
          <w:tcPr>
            <w:tcW w:w="2500" w:type="pct"/>
            <w:tcMar>
              <w:top w:w="60" w:type="dxa"/>
              <w:left w:w="90" w:type="dxa"/>
              <w:bottom w:w="60" w:type="dxa"/>
              <w:right w:w="90" w:type="dxa"/>
            </w:tcMar>
          </w:tcPr>
          <w:p w14:paraId="0774CD23" w14:textId="77777777" w:rsidR="006A28CF" w:rsidRDefault="00000000">
            <w:r>
              <w:rPr>
                <w:rFonts w:ascii="Calibri" w:eastAsia="Calibri" w:hAnsi="Calibri" w:cs="Calibri"/>
                <w:color w:val="1A1A1A"/>
                <w:sz w:val="17"/>
                <w:szCs w:val="17"/>
              </w:rPr>
              <w:t>Les ordonnances de référé-suspension sont rendues en dernier ressort : elles ne sont susceptibles que d’un pourvoi en cassation devant le Conseil d’État (</w:t>
            </w:r>
            <w:r>
              <w:rPr>
                <w:rFonts w:ascii="Calibri" w:eastAsia="Calibri" w:hAnsi="Calibri" w:cs="Calibri"/>
                <w:color w:val="1E88E5"/>
                <w:sz w:val="17"/>
                <w:szCs w:val="17"/>
              </w:rPr>
              <w:t>art. L. 523-1 CJA</w:t>
            </w:r>
            <w:r>
              <w:rPr>
                <w:rFonts w:ascii="Calibri" w:eastAsia="Calibri" w:hAnsi="Calibri" w:cs="Calibri"/>
                <w:color w:val="1A1A1A"/>
                <w:sz w:val="17"/>
                <w:szCs w:val="17"/>
              </w:rPr>
              <w:t>). Il n’y a pas d’appel.</w:t>
            </w:r>
          </w:p>
        </w:tc>
      </w:tr>
      <w:tr w:rsidR="006A28CF" w14:paraId="17CC5D2A" w14:textId="77777777">
        <w:tc>
          <w:tcPr>
            <w:tcW w:w="2500" w:type="pct"/>
            <w:tcMar>
              <w:top w:w="60" w:type="dxa"/>
              <w:left w:w="90" w:type="dxa"/>
              <w:bottom w:w="60" w:type="dxa"/>
              <w:right w:w="90" w:type="dxa"/>
            </w:tcMar>
          </w:tcPr>
          <w:p w14:paraId="22C6F1A8" w14:textId="77777777" w:rsidR="006A28CF" w:rsidRDefault="00000000">
            <w:r>
              <w:rPr>
                <w:rFonts w:ascii="Calibri" w:eastAsia="Calibri" w:hAnsi="Calibri" w:cs="Calibri"/>
                <w:color w:val="1A1A1A"/>
                <w:sz w:val="17"/>
                <w:szCs w:val="17"/>
              </w:rPr>
              <w:t>Erreur de droit</w:t>
            </w:r>
          </w:p>
        </w:tc>
        <w:tc>
          <w:tcPr>
            <w:tcW w:w="2500" w:type="pct"/>
            <w:tcMar>
              <w:top w:w="60" w:type="dxa"/>
              <w:left w:w="90" w:type="dxa"/>
              <w:bottom w:w="60" w:type="dxa"/>
              <w:right w:w="90" w:type="dxa"/>
            </w:tcMar>
          </w:tcPr>
          <w:p w14:paraId="4531851C" w14:textId="77777777" w:rsidR="006A28CF" w:rsidRDefault="00000000">
            <w:r>
              <w:rPr>
                <w:rFonts w:ascii="Calibri" w:eastAsia="Calibri" w:hAnsi="Calibri" w:cs="Calibri"/>
                <w:color w:val="1A1A1A"/>
                <w:sz w:val="17"/>
                <w:szCs w:val="17"/>
              </w:rPr>
              <w:t>Le juge a mal appliqué la règle ou n’a pas recherché ce que la règle lui imposait de rechercher. C’est le grief du point 7 : il fallait apprécier l’activité « par elle-même », pas seulement l’organisation du consentement.</w:t>
            </w:r>
          </w:p>
        </w:tc>
      </w:tr>
      <w:tr w:rsidR="006A28CF" w14:paraId="49E70510" w14:textId="77777777">
        <w:tc>
          <w:tcPr>
            <w:tcW w:w="2500" w:type="pct"/>
            <w:tcMar>
              <w:top w:w="60" w:type="dxa"/>
              <w:left w:w="90" w:type="dxa"/>
              <w:bottom w:w="60" w:type="dxa"/>
              <w:right w:w="90" w:type="dxa"/>
            </w:tcMar>
          </w:tcPr>
          <w:p w14:paraId="161ECD82" w14:textId="77777777" w:rsidR="006A28CF" w:rsidRDefault="00000000">
            <w:r>
              <w:rPr>
                <w:rFonts w:ascii="Calibri" w:eastAsia="Calibri" w:hAnsi="Calibri" w:cs="Calibri"/>
                <w:color w:val="1A1A1A"/>
                <w:sz w:val="17"/>
                <w:szCs w:val="17"/>
              </w:rPr>
              <w:t>Dénaturation des pièces</w:t>
            </w:r>
          </w:p>
        </w:tc>
        <w:tc>
          <w:tcPr>
            <w:tcW w:w="2500" w:type="pct"/>
            <w:tcMar>
              <w:top w:w="60" w:type="dxa"/>
              <w:left w:w="90" w:type="dxa"/>
              <w:bottom w:w="60" w:type="dxa"/>
              <w:right w:w="90" w:type="dxa"/>
            </w:tcMar>
          </w:tcPr>
          <w:p w14:paraId="36BE9F03" w14:textId="77777777" w:rsidR="006A28CF" w:rsidRDefault="00000000">
            <w:r>
              <w:rPr>
                <w:rFonts w:ascii="Calibri" w:eastAsia="Calibri" w:hAnsi="Calibri" w:cs="Calibri"/>
                <w:color w:val="1A1A1A"/>
                <w:sz w:val="17"/>
                <w:szCs w:val="17"/>
              </w:rPr>
              <w:t>Contrôle minimal du juge de cassation sur l’appréciation souveraine des faits : il ne censure que si le juge a donné aux pièces un sens manifestement contraire à leur contenu. C’est le grief du point 8.</w:t>
            </w:r>
          </w:p>
        </w:tc>
      </w:tr>
      <w:tr w:rsidR="006A28CF" w14:paraId="37130DD9" w14:textId="77777777">
        <w:tc>
          <w:tcPr>
            <w:tcW w:w="2500" w:type="pct"/>
            <w:tcMar>
              <w:top w:w="60" w:type="dxa"/>
              <w:left w:w="90" w:type="dxa"/>
              <w:bottom w:w="60" w:type="dxa"/>
              <w:right w:w="90" w:type="dxa"/>
            </w:tcMar>
          </w:tcPr>
          <w:p w14:paraId="3EBA21E3" w14:textId="77777777" w:rsidR="006A28CF" w:rsidRDefault="00000000">
            <w:r>
              <w:rPr>
                <w:rFonts w:ascii="Calibri" w:eastAsia="Calibri" w:hAnsi="Calibri" w:cs="Calibri"/>
                <w:color w:val="1A1A1A"/>
                <w:sz w:val="17"/>
                <w:szCs w:val="17"/>
              </w:rPr>
              <w:t>Règlement de l’affaire (</w:t>
            </w:r>
            <w:r>
              <w:rPr>
                <w:rFonts w:ascii="Calibri" w:eastAsia="Calibri" w:hAnsi="Calibri" w:cs="Calibri"/>
                <w:color w:val="1E88E5"/>
                <w:sz w:val="17"/>
                <w:szCs w:val="17"/>
              </w:rPr>
              <w:t>art. L. 821-2 CJA</w:t>
            </w:r>
            <w:r>
              <w:rPr>
                <w:rFonts w:ascii="Calibri" w:eastAsia="Calibri" w:hAnsi="Calibri" w:cs="Calibri"/>
                <w:color w:val="1A1A1A"/>
                <w:sz w:val="17"/>
                <w:szCs w:val="17"/>
              </w:rPr>
              <w:t>)</w:t>
            </w:r>
          </w:p>
        </w:tc>
        <w:tc>
          <w:tcPr>
            <w:tcW w:w="2500" w:type="pct"/>
            <w:tcMar>
              <w:top w:w="60" w:type="dxa"/>
              <w:left w:w="90" w:type="dxa"/>
              <w:bottom w:w="60" w:type="dxa"/>
              <w:right w:w="90" w:type="dxa"/>
            </w:tcMar>
          </w:tcPr>
          <w:p w14:paraId="05B2CA99" w14:textId="77777777" w:rsidR="006A28CF" w:rsidRDefault="00000000">
            <w:r>
              <w:rPr>
                <w:rFonts w:ascii="Calibri" w:eastAsia="Calibri" w:hAnsi="Calibri" w:cs="Calibri"/>
                <w:color w:val="1A1A1A"/>
                <w:sz w:val="17"/>
                <w:szCs w:val="17"/>
              </w:rPr>
              <w:t>Après cassation, le Conseil d’État peut juger lui-même l’affaire. En matière de référé, il le fait presque toujours : il statue alors comme juge des référés, sur l’urgence et le doute sérieux.</w:t>
            </w:r>
          </w:p>
        </w:tc>
      </w:tr>
      <w:tr w:rsidR="006A28CF" w14:paraId="583A202A" w14:textId="77777777">
        <w:tc>
          <w:tcPr>
            <w:tcW w:w="2500" w:type="pct"/>
            <w:tcMar>
              <w:top w:w="60" w:type="dxa"/>
              <w:left w:w="90" w:type="dxa"/>
              <w:bottom w:w="60" w:type="dxa"/>
              <w:right w:w="90" w:type="dxa"/>
            </w:tcMar>
          </w:tcPr>
          <w:p w14:paraId="7107157F" w14:textId="77777777" w:rsidR="006A28CF" w:rsidRDefault="00000000">
            <w:r>
              <w:rPr>
                <w:rFonts w:ascii="Calibri" w:eastAsia="Calibri" w:hAnsi="Calibri" w:cs="Calibri"/>
                <w:color w:val="1A1A1A"/>
                <w:sz w:val="17"/>
                <w:szCs w:val="17"/>
              </w:rPr>
              <w:t>Moyen relevé d’office (</w:t>
            </w:r>
            <w:r>
              <w:rPr>
                <w:rFonts w:ascii="Calibri" w:eastAsia="Calibri" w:hAnsi="Calibri" w:cs="Calibri"/>
                <w:color w:val="1E88E5"/>
                <w:sz w:val="17"/>
                <w:szCs w:val="17"/>
              </w:rPr>
              <w:t>art. R. 611-7 CJA</w:t>
            </w:r>
            <w:r>
              <w:rPr>
                <w:rFonts w:ascii="Calibri" w:eastAsia="Calibri" w:hAnsi="Calibri" w:cs="Calibri"/>
                <w:color w:val="1A1A1A"/>
                <w:sz w:val="17"/>
                <w:szCs w:val="17"/>
              </w:rPr>
              <w:t>)</w:t>
            </w:r>
          </w:p>
        </w:tc>
        <w:tc>
          <w:tcPr>
            <w:tcW w:w="2500" w:type="pct"/>
            <w:tcMar>
              <w:top w:w="60" w:type="dxa"/>
              <w:left w:w="90" w:type="dxa"/>
              <w:bottom w:w="60" w:type="dxa"/>
              <w:right w:w="90" w:type="dxa"/>
            </w:tcMar>
          </w:tcPr>
          <w:p w14:paraId="37D096E8" w14:textId="77777777" w:rsidR="006A28CF" w:rsidRDefault="00000000">
            <w:r>
              <w:rPr>
                <w:rFonts w:ascii="Calibri" w:eastAsia="Calibri" w:hAnsi="Calibri" w:cs="Calibri"/>
                <w:color w:val="1A1A1A"/>
                <w:sz w:val="17"/>
                <w:szCs w:val="17"/>
              </w:rPr>
              <w:t>Le Conseil d’État a informé les parties de l’irrecevabilité possible du pourvoi du ministre, faute d’intérêt pour agir contre un arrêté pris par le préfet comme autorité de la Ville de Paris. La suite de la décision ne retient que le préfet (« le préfet de police est fondé », point 9).</w:t>
            </w:r>
          </w:p>
        </w:tc>
      </w:tr>
      <w:tr w:rsidR="006A28CF" w14:paraId="48EDEB28" w14:textId="77777777">
        <w:tc>
          <w:tcPr>
            <w:tcW w:w="2500" w:type="pct"/>
            <w:tcMar>
              <w:top w:w="60" w:type="dxa"/>
              <w:left w:w="90" w:type="dxa"/>
              <w:bottom w:w="60" w:type="dxa"/>
              <w:right w:w="90" w:type="dxa"/>
            </w:tcMar>
          </w:tcPr>
          <w:p w14:paraId="48F0DBF3" w14:textId="77777777" w:rsidR="006A28CF" w:rsidRDefault="00000000">
            <w:r>
              <w:rPr>
                <w:rFonts w:ascii="Calibri" w:eastAsia="Calibri" w:hAnsi="Calibri" w:cs="Calibri"/>
                <w:color w:val="1A1A1A"/>
                <w:sz w:val="17"/>
                <w:szCs w:val="17"/>
              </w:rPr>
              <w:t>Pluralité de motifs (</w:t>
            </w:r>
            <w:r>
              <w:rPr>
                <w:rFonts w:ascii="Calibri" w:eastAsia="Calibri" w:hAnsi="Calibri" w:cs="Calibri"/>
                <w:color w:val="E91E63"/>
                <w:sz w:val="17"/>
                <w:szCs w:val="17"/>
              </w:rPr>
              <w:t>CE, ass., 12 janvier 1968, Ministre de l’économie et des finances c/ Dame Perrot, n° 70951</w:t>
            </w:r>
            <w:r>
              <w:rPr>
                <w:rFonts w:ascii="Calibri" w:eastAsia="Calibri" w:hAnsi="Calibri" w:cs="Calibri"/>
                <w:color w:val="1A1A1A"/>
                <w:sz w:val="17"/>
                <w:szCs w:val="17"/>
              </w:rPr>
              <w:t>)</w:t>
            </w:r>
          </w:p>
        </w:tc>
        <w:tc>
          <w:tcPr>
            <w:tcW w:w="2500" w:type="pct"/>
            <w:tcMar>
              <w:top w:w="60" w:type="dxa"/>
              <w:left w:w="90" w:type="dxa"/>
              <w:bottom w:w="60" w:type="dxa"/>
              <w:right w:w="90" w:type="dxa"/>
            </w:tcMar>
          </w:tcPr>
          <w:p w14:paraId="5B32DA4F" w14:textId="77777777" w:rsidR="006A28CF" w:rsidRDefault="00000000">
            <w:r>
              <w:rPr>
                <w:rFonts w:ascii="Calibri" w:eastAsia="Calibri" w:hAnsi="Calibri" w:cs="Calibri"/>
                <w:color w:val="1A1A1A"/>
                <w:sz w:val="17"/>
                <w:szCs w:val="17"/>
              </w:rPr>
              <w:t>Lorsqu’une décision repose sur plusieurs motifs, le juge la maintient si l’administration aurait pris la même décision sur le seul motif valable. Ici, le Conseil d’État s’en sert pour ne pas examiner le troisième motif (tranquillité et moralité).</w:t>
            </w:r>
          </w:p>
        </w:tc>
      </w:tr>
      <w:tr w:rsidR="006A28CF" w14:paraId="46D47F9D" w14:textId="77777777">
        <w:tc>
          <w:tcPr>
            <w:tcW w:w="2500" w:type="pct"/>
            <w:tcMar>
              <w:top w:w="60" w:type="dxa"/>
              <w:left w:w="90" w:type="dxa"/>
              <w:bottom w:w="60" w:type="dxa"/>
              <w:right w:w="90" w:type="dxa"/>
            </w:tcMar>
          </w:tcPr>
          <w:p w14:paraId="6A632AEE" w14:textId="77777777" w:rsidR="006A28CF" w:rsidRDefault="00000000">
            <w:r>
              <w:rPr>
                <w:rFonts w:ascii="Calibri" w:eastAsia="Calibri" w:hAnsi="Calibri" w:cs="Calibri"/>
                <w:color w:val="1A1A1A"/>
                <w:sz w:val="17"/>
                <w:szCs w:val="17"/>
              </w:rPr>
              <w:t>Police municipale à Paris</w:t>
            </w:r>
          </w:p>
        </w:tc>
        <w:tc>
          <w:tcPr>
            <w:tcW w:w="2500" w:type="pct"/>
            <w:tcMar>
              <w:top w:w="60" w:type="dxa"/>
              <w:left w:w="90" w:type="dxa"/>
              <w:bottom w:w="60" w:type="dxa"/>
              <w:right w:w="90" w:type="dxa"/>
            </w:tcMar>
          </w:tcPr>
          <w:p w14:paraId="7972DEA6" w14:textId="77777777" w:rsidR="006A28CF" w:rsidRDefault="00000000">
            <w:r>
              <w:rPr>
                <w:rFonts w:ascii="Calibri" w:eastAsia="Calibri" w:hAnsi="Calibri" w:cs="Calibri"/>
                <w:color w:val="1A1A1A"/>
                <w:sz w:val="17"/>
                <w:szCs w:val="17"/>
              </w:rPr>
              <w:t>Le préfet de police exerce à Paris l’essentiel des pouvoirs de police municipale (</w:t>
            </w:r>
            <w:r>
              <w:rPr>
                <w:rFonts w:ascii="Calibri" w:eastAsia="Calibri" w:hAnsi="Calibri" w:cs="Calibri"/>
                <w:color w:val="1E88E5"/>
                <w:sz w:val="17"/>
                <w:szCs w:val="17"/>
              </w:rPr>
              <w:t>art. L. 2512-13 CGCT</w:t>
            </w:r>
            <w:r>
              <w:rPr>
                <w:rFonts w:ascii="Calibri" w:eastAsia="Calibri" w:hAnsi="Calibri" w:cs="Calibri"/>
                <w:color w:val="1A1A1A"/>
                <w:sz w:val="17"/>
                <w:szCs w:val="17"/>
              </w:rPr>
              <w:t xml:space="preserve">), le maire n’en détenant qu’une partie depuis la </w:t>
            </w:r>
            <w:r>
              <w:rPr>
                <w:rFonts w:ascii="Calibri" w:eastAsia="Calibri" w:hAnsi="Calibri" w:cs="Calibri"/>
                <w:color w:val="1E88E5"/>
                <w:sz w:val="17"/>
                <w:szCs w:val="17"/>
              </w:rPr>
              <w:t>loi n° 2017-257 du 28 février 2017</w:t>
            </w:r>
            <w:r>
              <w:rPr>
                <w:rFonts w:ascii="Calibri" w:eastAsia="Calibri" w:hAnsi="Calibri" w:cs="Calibri"/>
                <w:color w:val="1A1A1A"/>
                <w:sz w:val="17"/>
                <w:szCs w:val="17"/>
              </w:rPr>
              <w:t>. La mesure relève de la police administrative générale : aucune police spéciale n’est visée, et il ne s’agit pas d’un déféré préfectoral.</w:t>
            </w:r>
          </w:p>
        </w:tc>
      </w:tr>
    </w:tbl>
    <w:p w14:paraId="613086DF" w14:textId="77777777" w:rsidR="006A28CF" w:rsidRDefault="006A28CF">
      <w:pPr>
        <w:spacing w:after="120"/>
      </w:pPr>
    </w:p>
    <w:p w14:paraId="1DB2F4E0" w14:textId="77777777" w:rsidR="006A28CF" w:rsidRDefault="00000000">
      <w:pPr>
        <w:pStyle w:val="Titre1"/>
        <w:pBdr>
          <w:bottom w:val="single" w:sz="12" w:space="6" w:color="8C1C2B"/>
        </w:pBdr>
        <w:spacing w:before="260" w:after="90"/>
      </w:pPr>
      <w:r>
        <w:rPr>
          <w:rFonts w:ascii="Calibri" w:eastAsia="Calibri" w:hAnsi="Calibri" w:cs="Calibri"/>
          <w:b/>
          <w:bCs/>
          <w:color w:val="8C1C2B"/>
          <w:sz w:val="28"/>
          <w:szCs w:val="28"/>
        </w:rPr>
        <w:t>3. L’ARCHITECTURE TEXTUELLE</w:t>
      </w:r>
    </w:p>
    <w:p w14:paraId="7569035F" w14:textId="77777777" w:rsidR="006A28CF" w:rsidRDefault="00000000">
      <w:pPr>
        <w:pStyle w:val="Titre2"/>
        <w:spacing w:before="260" w:after="110"/>
      </w:pPr>
      <w:r>
        <w:rPr>
          <w:rFonts w:ascii="Calibri" w:eastAsia="Calibri" w:hAnsi="Calibri" w:cs="Calibri"/>
          <w:b/>
          <w:bCs/>
          <w:color w:val="1A1A1A"/>
          <w:spacing w:val="16"/>
          <w:sz w:val="23"/>
          <w:szCs w:val="23"/>
        </w:rPr>
        <w:t>3.1. La dignité</w:t>
      </w:r>
    </w:p>
    <w:p w14:paraId="58B35716"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International et européen</w:t>
      </w:r>
      <w:r>
        <w:rPr>
          <w:rFonts w:ascii="Calibri" w:eastAsia="Calibri" w:hAnsi="Calibri" w:cs="Calibri"/>
          <w:color w:val="1A1A1A"/>
        </w:rPr>
        <w:t xml:space="preserve"> : </w:t>
      </w:r>
      <w:r>
        <w:rPr>
          <w:rFonts w:ascii="Calibri" w:eastAsia="Calibri" w:hAnsi="Calibri" w:cs="Calibri"/>
          <w:color w:val="1E88E5"/>
        </w:rPr>
        <w:t>préambule et art. 1er DUDH</w:t>
      </w:r>
      <w:r>
        <w:rPr>
          <w:rFonts w:ascii="Calibri" w:eastAsia="Calibri" w:hAnsi="Calibri" w:cs="Calibri"/>
          <w:color w:val="1A1A1A"/>
        </w:rPr>
        <w:t xml:space="preserve"> (« égaux en dignité et en droits ») ; </w:t>
      </w:r>
      <w:r>
        <w:rPr>
          <w:rFonts w:ascii="Calibri" w:eastAsia="Calibri" w:hAnsi="Calibri" w:cs="Calibri"/>
          <w:color w:val="1E88E5"/>
        </w:rPr>
        <w:t>art. 1er CDFUE</w:t>
      </w:r>
      <w:r>
        <w:rPr>
          <w:rFonts w:ascii="Calibri" w:eastAsia="Calibri" w:hAnsi="Calibri" w:cs="Calibri"/>
          <w:color w:val="1A1A1A"/>
        </w:rPr>
        <w:t xml:space="preserve"> (« La dignité humaine est inviolable. Elle doit être respectée et protégée ») ; </w:t>
      </w:r>
      <w:r>
        <w:rPr>
          <w:rFonts w:ascii="Calibri" w:eastAsia="Calibri" w:hAnsi="Calibri" w:cs="Calibri"/>
          <w:color w:val="1E88E5"/>
        </w:rPr>
        <w:t>art. 3 CDFUE</w:t>
      </w:r>
      <w:r>
        <w:rPr>
          <w:rFonts w:ascii="Calibri" w:eastAsia="Calibri" w:hAnsi="Calibri" w:cs="Calibri"/>
          <w:color w:val="1A1A1A"/>
        </w:rPr>
        <w:t xml:space="preserve"> (intégrité) ; </w:t>
      </w:r>
      <w:r>
        <w:rPr>
          <w:rFonts w:ascii="Calibri" w:eastAsia="Calibri" w:hAnsi="Calibri" w:cs="Calibri"/>
          <w:color w:val="1E88E5"/>
        </w:rPr>
        <w:t>art. 3 CEDH</w:t>
      </w:r>
      <w:r>
        <w:rPr>
          <w:rFonts w:ascii="Calibri" w:eastAsia="Calibri" w:hAnsi="Calibri" w:cs="Calibri"/>
          <w:color w:val="1A1A1A"/>
        </w:rPr>
        <w:t xml:space="preserve"> (traitements dégradants). La Convention européenne ne consacre pas la dignité dans un article propre ; la Cour en fait « l’essence même » de la Convention (</w:t>
      </w:r>
      <w:r>
        <w:rPr>
          <w:rFonts w:ascii="Calibri" w:eastAsia="Calibri" w:hAnsi="Calibri" w:cs="Calibri"/>
          <w:color w:val="E91E63"/>
        </w:rPr>
        <w:t>CEDH, 22 novembre 1995, S.W. c. Royaume-Uni</w:t>
      </w:r>
      <w:r>
        <w:rPr>
          <w:rFonts w:ascii="Calibri" w:eastAsia="Calibri" w:hAnsi="Calibri" w:cs="Calibri"/>
          <w:color w:val="1A1A1A"/>
        </w:rPr>
        <w:t>).</w:t>
      </w:r>
    </w:p>
    <w:p w14:paraId="7320BF54"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Constitutionnel</w:t>
      </w:r>
      <w:r>
        <w:rPr>
          <w:rFonts w:ascii="Calibri" w:eastAsia="Calibri" w:hAnsi="Calibri" w:cs="Calibri"/>
          <w:color w:val="1A1A1A"/>
        </w:rPr>
        <w:t xml:space="preserve"> : </w:t>
      </w:r>
      <w:r>
        <w:rPr>
          <w:rFonts w:ascii="Calibri" w:eastAsia="Calibri" w:hAnsi="Calibri" w:cs="Calibri"/>
          <w:color w:val="1E88E5"/>
        </w:rPr>
        <w:t>alinéa 1er du Préambule de 1946</w:t>
      </w:r>
      <w:r>
        <w:rPr>
          <w:rFonts w:ascii="Calibri" w:eastAsia="Calibri" w:hAnsi="Calibri" w:cs="Calibri"/>
          <w:color w:val="1A1A1A"/>
        </w:rPr>
        <w:t xml:space="preserve"> ; </w:t>
      </w:r>
      <w:r>
        <w:rPr>
          <w:rFonts w:ascii="Calibri" w:eastAsia="Calibri" w:hAnsi="Calibri" w:cs="Calibri"/>
          <w:color w:val="E91E63"/>
        </w:rPr>
        <w:t>94-343/344 DC</w:t>
      </w:r>
      <w:r>
        <w:rPr>
          <w:rFonts w:ascii="Calibri" w:eastAsia="Calibri" w:hAnsi="Calibri" w:cs="Calibri"/>
          <w:color w:val="1A1A1A"/>
        </w:rPr>
        <w:t xml:space="preserve"> (principe à valeur constitutionnelle) ; </w:t>
      </w:r>
      <w:r>
        <w:rPr>
          <w:rFonts w:ascii="Calibri" w:eastAsia="Calibri" w:hAnsi="Calibri" w:cs="Calibri"/>
          <w:color w:val="E91E63"/>
        </w:rPr>
        <w:t>2018-761 QPC</w:t>
      </w:r>
      <w:r>
        <w:rPr>
          <w:rFonts w:ascii="Calibri" w:eastAsia="Calibri" w:hAnsi="Calibri" w:cs="Calibri"/>
          <w:color w:val="1A1A1A"/>
        </w:rPr>
        <w:t xml:space="preserve"> (prostitution).</w:t>
      </w:r>
    </w:p>
    <w:p w14:paraId="4A58FFA3"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Législatif</w:t>
      </w:r>
      <w:r>
        <w:rPr>
          <w:rFonts w:ascii="Calibri" w:eastAsia="Calibri" w:hAnsi="Calibri" w:cs="Calibri"/>
          <w:color w:val="1A1A1A"/>
        </w:rPr>
        <w:t xml:space="preserve"> : </w:t>
      </w:r>
      <w:r>
        <w:rPr>
          <w:rFonts w:ascii="Calibri" w:eastAsia="Calibri" w:hAnsi="Calibri" w:cs="Calibri"/>
          <w:color w:val="1E88E5"/>
        </w:rPr>
        <w:t>art. 16 C. civ.</w:t>
      </w:r>
      <w:r>
        <w:rPr>
          <w:rFonts w:ascii="Calibri" w:eastAsia="Calibri" w:hAnsi="Calibri" w:cs="Calibri"/>
          <w:color w:val="1A1A1A"/>
        </w:rPr>
        <w:t xml:space="preserve"> (« La loi assure la primauté de la personne, interdit toute atteinte à la dignité de celle-ci ») ; </w:t>
      </w:r>
      <w:r>
        <w:rPr>
          <w:rFonts w:ascii="Calibri" w:eastAsia="Calibri" w:hAnsi="Calibri" w:cs="Calibri"/>
          <w:color w:val="1E88E5"/>
        </w:rPr>
        <w:t>art. 16-1 C. civ.</w:t>
      </w:r>
      <w:r>
        <w:rPr>
          <w:rFonts w:ascii="Calibri" w:eastAsia="Calibri" w:hAnsi="Calibri" w:cs="Calibri"/>
          <w:color w:val="1A1A1A"/>
        </w:rPr>
        <w:t xml:space="preserve"> (« Le corps humain est inviolable » ; non-patrimonialité) ; </w:t>
      </w:r>
      <w:r>
        <w:rPr>
          <w:rFonts w:ascii="Calibri" w:eastAsia="Calibri" w:hAnsi="Calibri" w:cs="Calibri"/>
          <w:color w:val="1E88E5"/>
        </w:rPr>
        <w:t>art. 225-14 C. pén.</w:t>
      </w:r>
      <w:r>
        <w:rPr>
          <w:rFonts w:ascii="Calibri" w:eastAsia="Calibri" w:hAnsi="Calibri" w:cs="Calibri"/>
          <w:color w:val="1A1A1A"/>
        </w:rPr>
        <w:t xml:space="preserve"> (conditions d’hébergement contraires à la dignité).</w:t>
      </w:r>
    </w:p>
    <w:p w14:paraId="5353EF4C" w14:textId="77777777" w:rsidR="006A28CF" w:rsidRDefault="00000000">
      <w:pPr>
        <w:pStyle w:val="Titre2"/>
        <w:spacing w:before="260" w:after="110"/>
      </w:pPr>
      <w:r>
        <w:rPr>
          <w:rFonts w:ascii="Calibri" w:eastAsia="Calibri" w:hAnsi="Calibri" w:cs="Calibri"/>
          <w:b/>
          <w:bCs/>
          <w:color w:val="1A1A1A"/>
          <w:spacing w:val="16"/>
          <w:sz w:val="23"/>
          <w:szCs w:val="23"/>
        </w:rPr>
        <w:t>3.2. L’ordre public et la police</w:t>
      </w:r>
    </w:p>
    <w:p w14:paraId="561023B4" w14:textId="77777777" w:rsidR="006A28CF" w:rsidRDefault="00000000">
      <w:pPr>
        <w:pStyle w:val="Paragraphedeliste"/>
        <w:numPr>
          <w:ilvl w:val="0"/>
          <w:numId w:val="2"/>
        </w:numPr>
        <w:spacing w:after="70" w:line="264" w:lineRule="auto"/>
        <w:jc w:val="both"/>
      </w:pPr>
      <w:r>
        <w:rPr>
          <w:rFonts w:ascii="Calibri" w:eastAsia="Calibri" w:hAnsi="Calibri" w:cs="Calibri"/>
          <w:color w:val="1E88E5"/>
        </w:rPr>
        <w:t>Art. L. 2212-2 CGCT</w:t>
      </w:r>
      <w:r>
        <w:rPr>
          <w:rFonts w:ascii="Calibri" w:eastAsia="Calibri" w:hAnsi="Calibri" w:cs="Calibri"/>
          <w:color w:val="1A1A1A"/>
        </w:rPr>
        <w:t xml:space="preserve"> : « bon ordre, sûreté, sécurité et salubrité publiques » ; </w:t>
      </w:r>
      <w:r>
        <w:rPr>
          <w:rFonts w:ascii="Calibri" w:eastAsia="Calibri" w:hAnsi="Calibri" w:cs="Calibri"/>
          <w:color w:val="1E88E5"/>
        </w:rPr>
        <w:t>art. L. 2512-13 CGCT</w:t>
      </w:r>
      <w:r>
        <w:rPr>
          <w:rFonts w:ascii="Calibri" w:eastAsia="Calibri" w:hAnsi="Calibri" w:cs="Calibri"/>
          <w:color w:val="1A1A1A"/>
        </w:rPr>
        <w:t xml:space="preserve"> pour Paris.</w:t>
      </w:r>
    </w:p>
    <w:p w14:paraId="44369C36"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L’ordre public immatériel est d’origine jurisprudentielle : moralité publique (</w:t>
      </w:r>
      <w:r>
        <w:rPr>
          <w:rFonts w:ascii="Calibri" w:eastAsia="Calibri" w:hAnsi="Calibri" w:cs="Calibri"/>
          <w:color w:val="E91E63"/>
        </w:rPr>
        <w:t>CE, sect., 18 décembre 1959, Société « Les films Lutetia », n° 36385</w:t>
      </w:r>
      <w:r>
        <w:rPr>
          <w:rFonts w:ascii="Calibri" w:eastAsia="Calibri" w:hAnsi="Calibri" w:cs="Calibri"/>
          <w:color w:val="1A1A1A"/>
        </w:rPr>
        <w:t>), dignité (</w:t>
      </w:r>
      <w:r>
        <w:rPr>
          <w:rFonts w:ascii="Calibri" w:eastAsia="Calibri" w:hAnsi="Calibri" w:cs="Calibri"/>
          <w:color w:val="E91E63"/>
        </w:rPr>
        <w:t>Morsang-sur-</w:t>
      </w:r>
      <w:r w:rsidRPr="00F11B6F">
        <w:rPr>
          <w:rFonts w:ascii="Calibri" w:eastAsia="Calibri" w:hAnsi="Calibri" w:cs="Calibri"/>
          <w:color w:val="E91D62"/>
        </w:rPr>
        <w:t>Orge, 1995</w:t>
      </w:r>
      <w:r>
        <w:rPr>
          <w:rFonts w:ascii="Calibri" w:eastAsia="Calibri" w:hAnsi="Calibri" w:cs="Calibri"/>
          <w:color w:val="1A1A1A"/>
        </w:rPr>
        <w:t xml:space="preserve">). Le Conseil constitutionnel parle d’un </w:t>
      </w:r>
      <w:r>
        <w:rPr>
          <w:rFonts w:ascii="Calibri" w:eastAsia="Calibri" w:hAnsi="Calibri" w:cs="Calibri"/>
          <w:b/>
          <w:bCs/>
          <w:color w:val="1A1A1A"/>
        </w:rPr>
        <w:t>objectif de valeur constitutionnelle de sauvegarde de l’ordre public</w:t>
      </w:r>
      <w:r>
        <w:rPr>
          <w:rFonts w:ascii="Calibri" w:eastAsia="Calibri" w:hAnsi="Calibri" w:cs="Calibri"/>
          <w:color w:val="1A1A1A"/>
        </w:rPr>
        <w:t>.</w:t>
      </w:r>
    </w:p>
    <w:p w14:paraId="7E13AC10" w14:textId="77777777" w:rsidR="006A28CF" w:rsidRDefault="00000000">
      <w:pPr>
        <w:pStyle w:val="Titre2"/>
        <w:spacing w:before="260" w:after="110"/>
      </w:pPr>
      <w:r>
        <w:rPr>
          <w:rFonts w:ascii="Calibri" w:eastAsia="Calibri" w:hAnsi="Calibri" w:cs="Calibri"/>
          <w:b/>
          <w:bCs/>
          <w:color w:val="1A1A1A"/>
          <w:spacing w:val="16"/>
          <w:sz w:val="23"/>
          <w:szCs w:val="23"/>
        </w:rPr>
        <w:t>3.3. Le consentement</w:t>
      </w:r>
    </w:p>
    <w:p w14:paraId="53BCE9F5" w14:textId="77777777" w:rsidR="006A28CF" w:rsidRDefault="00000000">
      <w:pPr>
        <w:pStyle w:val="Paragraphedeliste"/>
        <w:numPr>
          <w:ilvl w:val="0"/>
          <w:numId w:val="2"/>
        </w:numPr>
        <w:spacing w:after="70" w:line="264" w:lineRule="auto"/>
        <w:jc w:val="both"/>
      </w:pPr>
      <w:r>
        <w:rPr>
          <w:rFonts w:ascii="Calibri" w:eastAsia="Calibri" w:hAnsi="Calibri" w:cs="Calibri"/>
          <w:color w:val="1E88E5"/>
        </w:rPr>
        <w:t>Art. 222-22 C. pén.</w:t>
      </w:r>
      <w:r>
        <w:rPr>
          <w:rFonts w:ascii="Calibri" w:eastAsia="Calibri" w:hAnsi="Calibri" w:cs="Calibri"/>
          <w:color w:val="1A1A1A"/>
        </w:rPr>
        <w:t xml:space="preserve">, réécrit par la </w:t>
      </w:r>
      <w:r>
        <w:rPr>
          <w:rFonts w:ascii="Calibri" w:eastAsia="Calibri" w:hAnsi="Calibri" w:cs="Calibri"/>
          <w:color w:val="1E88E5"/>
        </w:rPr>
        <w:t>loi n° 2025-1057 du 6 novembre 2025</w:t>
      </w:r>
      <w:r>
        <w:rPr>
          <w:rFonts w:ascii="Calibri" w:eastAsia="Calibri" w:hAnsi="Calibri" w:cs="Calibri"/>
          <w:color w:val="1A1A1A"/>
        </w:rPr>
        <w:t xml:space="preserve"> : agression sexuelle = « tout acte sexuel non consenti » ; consentement « libre et éclairé, spécifique, préalable et révocable », « apprécié au regard des circonstances », non déductible « du seul silence ou de la seule absence de réaction » ; pas de consentement en cas de violence, contrainte, menace ou surprise.</w:t>
      </w:r>
    </w:p>
    <w:p w14:paraId="1168377F"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 xml:space="preserve">En droit pénal général, </w:t>
      </w:r>
      <w:r>
        <w:rPr>
          <w:rFonts w:ascii="Calibri" w:eastAsia="Calibri" w:hAnsi="Calibri" w:cs="Calibri"/>
          <w:b/>
          <w:bCs/>
          <w:color w:val="1A1A1A"/>
        </w:rPr>
        <w:t>le consentement de la victime n’est pas un fait justificatif</w:t>
      </w:r>
      <w:r>
        <w:rPr>
          <w:rFonts w:ascii="Calibri" w:eastAsia="Calibri" w:hAnsi="Calibri" w:cs="Calibri"/>
          <w:color w:val="1A1A1A"/>
        </w:rPr>
        <w:t>. Mais en matière sexuelle, son absence est un élément constitutif de l’infraction : c’est ce qui permet au Conseil d’État de s’en servir comme critère du risque.</w:t>
      </w:r>
    </w:p>
    <w:p w14:paraId="6625AE4B" w14:textId="77777777" w:rsidR="006A28CF" w:rsidRDefault="00000000">
      <w:pPr>
        <w:pStyle w:val="Titre2"/>
        <w:spacing w:before="260" w:after="110"/>
      </w:pPr>
      <w:r>
        <w:rPr>
          <w:rFonts w:ascii="Calibri" w:eastAsia="Calibri" w:hAnsi="Calibri" w:cs="Calibri"/>
          <w:b/>
          <w:bCs/>
          <w:color w:val="1A1A1A"/>
          <w:spacing w:val="16"/>
          <w:sz w:val="23"/>
          <w:szCs w:val="23"/>
        </w:rPr>
        <w:t>3.4. Les libertés en balance</w:t>
      </w:r>
    </w:p>
    <w:p w14:paraId="4E9C6510"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Liberté du commerce et de l’industrie, liberté d’entreprendre</w:t>
      </w:r>
      <w:r>
        <w:rPr>
          <w:rFonts w:ascii="Calibri" w:eastAsia="Calibri" w:hAnsi="Calibri" w:cs="Calibri"/>
          <w:color w:val="1A1A1A"/>
        </w:rPr>
        <w:t xml:space="preserve"> : décret d’Allarde des 2-17 mars 1791 ; </w:t>
      </w:r>
      <w:r>
        <w:rPr>
          <w:rFonts w:ascii="Calibri" w:eastAsia="Calibri" w:hAnsi="Calibri" w:cs="Calibri"/>
          <w:color w:val="1E88E5"/>
        </w:rPr>
        <w:t>art. 4 DDHC</w:t>
      </w:r>
      <w:r>
        <w:rPr>
          <w:rFonts w:ascii="Calibri" w:eastAsia="Calibri" w:hAnsi="Calibri" w:cs="Calibri"/>
          <w:color w:val="1A1A1A"/>
        </w:rPr>
        <w:t xml:space="preserve"> (</w:t>
      </w:r>
      <w:r>
        <w:rPr>
          <w:rFonts w:ascii="Calibri" w:eastAsia="Calibri" w:hAnsi="Calibri" w:cs="Calibri"/>
          <w:color w:val="E91E63"/>
        </w:rPr>
        <w:t xml:space="preserve">81-132 </w:t>
      </w:r>
      <w:r w:rsidRPr="00D0542A">
        <w:rPr>
          <w:rFonts w:ascii="Calibri" w:eastAsia="Calibri" w:hAnsi="Calibri" w:cs="Calibri"/>
          <w:color w:val="E91D62"/>
        </w:rPr>
        <w:t>DC, 16 janvier 1982</w:t>
      </w:r>
      <w:r>
        <w:rPr>
          <w:rFonts w:ascii="Calibri" w:eastAsia="Calibri" w:hAnsi="Calibri" w:cs="Calibri"/>
          <w:color w:val="1A1A1A"/>
        </w:rPr>
        <w:t>).</w:t>
      </w:r>
    </w:p>
    <w:p w14:paraId="60DDED47"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Liberté personnelle, vie privée, liberté sexuelle</w:t>
      </w:r>
      <w:r>
        <w:rPr>
          <w:rFonts w:ascii="Calibri" w:eastAsia="Calibri" w:hAnsi="Calibri" w:cs="Calibri"/>
          <w:color w:val="1A1A1A"/>
        </w:rPr>
        <w:t xml:space="preserve"> : </w:t>
      </w:r>
      <w:r>
        <w:rPr>
          <w:rFonts w:ascii="Calibri" w:eastAsia="Calibri" w:hAnsi="Calibri" w:cs="Calibri"/>
          <w:color w:val="1E88E5"/>
        </w:rPr>
        <w:t>art. 2 et 4 DDHC</w:t>
      </w:r>
      <w:r>
        <w:rPr>
          <w:rFonts w:ascii="Calibri" w:eastAsia="Calibri" w:hAnsi="Calibri" w:cs="Calibri"/>
          <w:color w:val="1A1A1A"/>
        </w:rPr>
        <w:t xml:space="preserve"> ; </w:t>
      </w:r>
      <w:r>
        <w:rPr>
          <w:rFonts w:ascii="Calibri" w:eastAsia="Calibri" w:hAnsi="Calibri" w:cs="Calibri"/>
          <w:color w:val="1E88E5"/>
        </w:rPr>
        <w:t>art. 8 CEDH</w:t>
      </w:r>
      <w:r>
        <w:rPr>
          <w:rFonts w:ascii="Calibri" w:eastAsia="Calibri" w:hAnsi="Calibri" w:cs="Calibri"/>
          <w:color w:val="1A1A1A"/>
        </w:rPr>
        <w:t xml:space="preserve"> ; </w:t>
      </w:r>
      <w:r>
        <w:rPr>
          <w:rFonts w:ascii="Calibri" w:eastAsia="Calibri" w:hAnsi="Calibri" w:cs="Calibri"/>
          <w:color w:val="1E88E5"/>
        </w:rPr>
        <w:t>art. 7 CDFUE</w:t>
      </w:r>
      <w:r>
        <w:rPr>
          <w:rFonts w:ascii="Calibri" w:eastAsia="Calibri" w:hAnsi="Calibri" w:cs="Calibri"/>
          <w:color w:val="1A1A1A"/>
        </w:rPr>
        <w:t>. Le droit français ne consacre pas un « droit de disposer de son corps » en tant que tel ; il pose au contraire l’inviolabilité et la non-patrimonialité du corps (</w:t>
      </w:r>
      <w:r>
        <w:rPr>
          <w:rFonts w:ascii="Calibri" w:eastAsia="Calibri" w:hAnsi="Calibri" w:cs="Calibri"/>
          <w:color w:val="1E88E5"/>
        </w:rPr>
        <w:t>art. 16-1 C. civ.</w:t>
      </w:r>
      <w:r>
        <w:rPr>
          <w:rFonts w:ascii="Calibri" w:eastAsia="Calibri" w:hAnsi="Calibri" w:cs="Calibri"/>
          <w:color w:val="1A1A1A"/>
        </w:rPr>
        <w:t>).</w:t>
      </w:r>
    </w:p>
    <w:p w14:paraId="3CE4AE29"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Garanties procédurales</w:t>
      </w:r>
      <w:r>
        <w:rPr>
          <w:rFonts w:ascii="Calibri" w:eastAsia="Calibri" w:hAnsi="Calibri" w:cs="Calibri"/>
          <w:color w:val="1A1A1A"/>
        </w:rPr>
        <w:t xml:space="preserve"> : contradictoire préalable (</w:t>
      </w:r>
      <w:r>
        <w:rPr>
          <w:rFonts w:ascii="Calibri" w:eastAsia="Calibri" w:hAnsi="Calibri" w:cs="Calibri"/>
          <w:color w:val="1E88E5"/>
        </w:rPr>
        <w:t>art. L. 121-1 et L. 122-1 CRPA</w:t>
      </w:r>
      <w:r>
        <w:rPr>
          <w:rFonts w:ascii="Calibri" w:eastAsia="Calibri" w:hAnsi="Calibri" w:cs="Calibri"/>
          <w:color w:val="1A1A1A"/>
        </w:rPr>
        <w:t>) ; motivation (</w:t>
      </w:r>
      <w:r>
        <w:rPr>
          <w:rFonts w:ascii="Calibri" w:eastAsia="Calibri" w:hAnsi="Calibri" w:cs="Calibri"/>
          <w:color w:val="1E88E5"/>
        </w:rPr>
        <w:t>art. L. 211-2 CRPA</w:t>
      </w:r>
      <w:r>
        <w:rPr>
          <w:rFonts w:ascii="Calibri" w:eastAsia="Calibri" w:hAnsi="Calibri" w:cs="Calibri"/>
          <w:color w:val="1A1A1A"/>
        </w:rPr>
        <w:t>).</w:t>
      </w:r>
    </w:p>
    <w:p w14:paraId="2BFA2DEB" w14:textId="77777777" w:rsidR="006A28CF" w:rsidRDefault="00000000">
      <w:pPr>
        <w:pStyle w:val="Titre1"/>
        <w:pBdr>
          <w:bottom w:val="single" w:sz="12" w:space="6" w:color="8C1C2B"/>
        </w:pBdr>
        <w:spacing w:before="260" w:after="90"/>
      </w:pPr>
      <w:r>
        <w:rPr>
          <w:rFonts w:ascii="Calibri" w:eastAsia="Calibri" w:hAnsi="Calibri" w:cs="Calibri"/>
          <w:b/>
          <w:bCs/>
          <w:color w:val="8C1C2B"/>
          <w:sz w:val="28"/>
          <w:szCs w:val="28"/>
        </w:rPr>
        <w:t>4. LA LIGNE JURISPRUDENTIELLE</w:t>
      </w:r>
    </w:p>
    <w:tbl>
      <w:tblPr>
        <w:tblW w:w="5000" w:type="pct"/>
        <w:tblBorders>
          <w:top w:val="single" w:sz="2" w:space="0" w:color="C9C0B6"/>
          <w:left w:val="single" w:sz="2" w:space="0" w:color="C9C0B6"/>
          <w:bottom w:val="single" w:sz="2" w:space="0" w:color="C9C0B6"/>
          <w:right w:val="single" w:sz="2" w:space="0" w:color="C9C0B6"/>
          <w:insideH w:val="single" w:sz="2" w:space="0" w:color="DCD5CC"/>
          <w:insideV w:val="single" w:sz="2" w:space="0" w:color="DCD5CC"/>
        </w:tblBorders>
        <w:tblCellMar>
          <w:left w:w="10" w:type="dxa"/>
          <w:right w:w="10" w:type="dxa"/>
        </w:tblCellMar>
        <w:tblLook w:val="04A0" w:firstRow="1" w:lastRow="0" w:firstColumn="1" w:lastColumn="0" w:noHBand="0" w:noVBand="1"/>
      </w:tblPr>
      <w:tblGrid>
        <w:gridCol w:w="3248"/>
        <w:gridCol w:w="3249"/>
        <w:gridCol w:w="3249"/>
      </w:tblGrid>
      <w:tr w:rsidR="006A28CF" w14:paraId="6D24719A" w14:textId="77777777">
        <w:trPr>
          <w:tblHeader/>
        </w:trPr>
        <w:tc>
          <w:tcPr>
            <w:tcW w:w="1650" w:type="pct"/>
            <w:shd w:val="clear" w:color="auto" w:fill="F2E9EA"/>
            <w:tcMar>
              <w:top w:w="60" w:type="dxa"/>
              <w:left w:w="90" w:type="dxa"/>
              <w:bottom w:w="60" w:type="dxa"/>
              <w:right w:w="90" w:type="dxa"/>
            </w:tcMar>
          </w:tcPr>
          <w:p w14:paraId="37C04DBD" w14:textId="77777777" w:rsidR="006A28CF" w:rsidRDefault="00000000">
            <w:r>
              <w:rPr>
                <w:rFonts w:ascii="Calibri" w:eastAsia="Calibri" w:hAnsi="Calibri" w:cs="Calibri"/>
                <w:b/>
                <w:bCs/>
                <w:color w:val="1A1A1A"/>
                <w:sz w:val="17"/>
                <w:szCs w:val="17"/>
              </w:rPr>
              <w:t>Décision</w:t>
            </w:r>
          </w:p>
        </w:tc>
        <w:tc>
          <w:tcPr>
            <w:tcW w:w="1650" w:type="pct"/>
            <w:shd w:val="clear" w:color="auto" w:fill="F2E9EA"/>
            <w:tcMar>
              <w:top w:w="60" w:type="dxa"/>
              <w:left w:w="90" w:type="dxa"/>
              <w:bottom w:w="60" w:type="dxa"/>
              <w:right w:w="90" w:type="dxa"/>
            </w:tcMar>
          </w:tcPr>
          <w:p w14:paraId="67731C6E" w14:textId="77777777" w:rsidR="006A28CF" w:rsidRDefault="00000000">
            <w:r>
              <w:rPr>
                <w:rFonts w:ascii="Calibri" w:eastAsia="Calibri" w:hAnsi="Calibri" w:cs="Calibri"/>
                <w:b/>
                <w:bCs/>
                <w:color w:val="1A1A1A"/>
                <w:sz w:val="17"/>
                <w:szCs w:val="17"/>
              </w:rPr>
              <w:t>Apport</w:t>
            </w:r>
          </w:p>
        </w:tc>
        <w:tc>
          <w:tcPr>
            <w:tcW w:w="1650" w:type="pct"/>
            <w:shd w:val="clear" w:color="auto" w:fill="F2E9EA"/>
            <w:tcMar>
              <w:top w:w="60" w:type="dxa"/>
              <w:left w:w="90" w:type="dxa"/>
              <w:bottom w:w="60" w:type="dxa"/>
              <w:right w:w="90" w:type="dxa"/>
            </w:tcMar>
          </w:tcPr>
          <w:p w14:paraId="4616A0D2" w14:textId="77777777" w:rsidR="006A28CF" w:rsidRDefault="00000000">
            <w:r>
              <w:rPr>
                <w:rFonts w:ascii="Calibri" w:eastAsia="Calibri" w:hAnsi="Calibri" w:cs="Calibri"/>
                <w:b/>
                <w:bCs/>
                <w:color w:val="1A1A1A"/>
                <w:sz w:val="17"/>
                <w:szCs w:val="17"/>
              </w:rPr>
              <w:t>Usage dans le commentaire</w:t>
            </w:r>
          </w:p>
        </w:tc>
      </w:tr>
      <w:tr w:rsidR="006A28CF" w14:paraId="118148F3" w14:textId="77777777">
        <w:tc>
          <w:tcPr>
            <w:tcW w:w="1650" w:type="pct"/>
            <w:tcMar>
              <w:top w:w="60" w:type="dxa"/>
              <w:left w:w="90" w:type="dxa"/>
              <w:bottom w:w="60" w:type="dxa"/>
              <w:right w:w="90" w:type="dxa"/>
            </w:tcMar>
          </w:tcPr>
          <w:p w14:paraId="2A270E91" w14:textId="77777777" w:rsidR="006A28CF" w:rsidRDefault="00000000">
            <w:r>
              <w:rPr>
                <w:rFonts w:ascii="Calibri" w:eastAsia="Calibri" w:hAnsi="Calibri" w:cs="Calibri"/>
                <w:color w:val="E91E63"/>
                <w:sz w:val="17"/>
                <w:szCs w:val="17"/>
              </w:rPr>
              <w:t>CE, 19 mai 1933, Benjamin</w:t>
            </w:r>
          </w:p>
        </w:tc>
        <w:tc>
          <w:tcPr>
            <w:tcW w:w="1650" w:type="pct"/>
            <w:tcMar>
              <w:top w:w="60" w:type="dxa"/>
              <w:left w:w="90" w:type="dxa"/>
              <w:bottom w:w="60" w:type="dxa"/>
              <w:right w:w="90" w:type="dxa"/>
            </w:tcMar>
          </w:tcPr>
          <w:p w14:paraId="3766A0A0" w14:textId="77777777" w:rsidR="006A28CF" w:rsidRDefault="00000000">
            <w:r>
              <w:rPr>
                <w:rFonts w:ascii="Calibri" w:eastAsia="Calibri" w:hAnsi="Calibri" w:cs="Calibri"/>
                <w:color w:val="1A1A1A"/>
                <w:sz w:val="17"/>
                <w:szCs w:val="17"/>
              </w:rPr>
              <w:t>La mesure de police doit être nécessaire ; la liberté est la règle, la restriction l’exception.</w:t>
            </w:r>
          </w:p>
        </w:tc>
        <w:tc>
          <w:tcPr>
            <w:tcW w:w="1650" w:type="pct"/>
            <w:tcMar>
              <w:top w:w="60" w:type="dxa"/>
              <w:left w:w="90" w:type="dxa"/>
              <w:bottom w:w="60" w:type="dxa"/>
              <w:right w:w="90" w:type="dxa"/>
            </w:tcMar>
          </w:tcPr>
          <w:p w14:paraId="772CECB1" w14:textId="77777777" w:rsidR="006A28CF" w:rsidRDefault="00000000">
            <w:r>
              <w:rPr>
                <w:rFonts w:ascii="Calibri" w:eastAsia="Calibri" w:hAnsi="Calibri" w:cs="Calibri"/>
                <w:color w:val="1A1A1A"/>
                <w:sz w:val="17"/>
                <w:szCs w:val="17"/>
              </w:rPr>
              <w:t xml:space="preserve">Proportionnalité (II B) ; triple test formalisé par </w:t>
            </w:r>
            <w:r>
              <w:rPr>
                <w:rFonts w:ascii="Calibri" w:eastAsia="Calibri" w:hAnsi="Calibri" w:cs="Calibri"/>
                <w:color w:val="E91E63"/>
                <w:sz w:val="17"/>
                <w:szCs w:val="17"/>
              </w:rPr>
              <w:t>CE, ass., 26 octobre 2011, Association pour la promotion de l’image, n° 317827</w:t>
            </w:r>
            <w:r>
              <w:rPr>
                <w:rFonts w:ascii="Calibri" w:eastAsia="Calibri" w:hAnsi="Calibri" w:cs="Calibri"/>
                <w:color w:val="1A1A1A"/>
                <w:sz w:val="17"/>
                <w:szCs w:val="17"/>
              </w:rPr>
              <w:t xml:space="preserve"> : adaptée, nécessaire, proportionnée.</w:t>
            </w:r>
          </w:p>
        </w:tc>
      </w:tr>
      <w:tr w:rsidR="006A28CF" w14:paraId="52922AF3" w14:textId="77777777">
        <w:tc>
          <w:tcPr>
            <w:tcW w:w="1650" w:type="pct"/>
            <w:tcMar>
              <w:top w:w="60" w:type="dxa"/>
              <w:left w:w="90" w:type="dxa"/>
              <w:bottom w:w="60" w:type="dxa"/>
              <w:right w:w="90" w:type="dxa"/>
            </w:tcMar>
          </w:tcPr>
          <w:p w14:paraId="27D8557D" w14:textId="77777777" w:rsidR="006A28CF" w:rsidRDefault="00000000">
            <w:r>
              <w:rPr>
                <w:rFonts w:ascii="Calibri" w:eastAsia="Calibri" w:hAnsi="Calibri" w:cs="Calibri"/>
                <w:color w:val="E91E63"/>
                <w:sz w:val="17"/>
                <w:szCs w:val="17"/>
              </w:rPr>
              <w:t>CE, sect., 18 décembre 1959, Société « Les films Lutetia »</w:t>
            </w:r>
          </w:p>
        </w:tc>
        <w:tc>
          <w:tcPr>
            <w:tcW w:w="1650" w:type="pct"/>
            <w:tcMar>
              <w:top w:w="60" w:type="dxa"/>
              <w:left w:w="90" w:type="dxa"/>
              <w:bottom w:w="60" w:type="dxa"/>
              <w:right w:w="90" w:type="dxa"/>
            </w:tcMar>
          </w:tcPr>
          <w:p w14:paraId="315473A1" w14:textId="77777777" w:rsidR="006A28CF" w:rsidRDefault="00000000">
            <w:r>
              <w:rPr>
                <w:rFonts w:ascii="Calibri" w:eastAsia="Calibri" w:hAnsi="Calibri" w:cs="Calibri"/>
                <w:color w:val="1A1A1A"/>
                <w:sz w:val="17"/>
                <w:szCs w:val="17"/>
              </w:rPr>
              <w:t>Moralité publique, à condition de circonstances locales particulières.</w:t>
            </w:r>
          </w:p>
        </w:tc>
        <w:tc>
          <w:tcPr>
            <w:tcW w:w="1650" w:type="pct"/>
            <w:tcMar>
              <w:top w:w="60" w:type="dxa"/>
              <w:left w:w="90" w:type="dxa"/>
              <w:bottom w:w="60" w:type="dxa"/>
              <w:right w:w="90" w:type="dxa"/>
            </w:tcMar>
          </w:tcPr>
          <w:p w14:paraId="0FE4AB74" w14:textId="77777777" w:rsidR="006A28CF" w:rsidRDefault="00000000">
            <w:r>
              <w:rPr>
                <w:rFonts w:ascii="Calibri" w:eastAsia="Calibri" w:hAnsi="Calibri" w:cs="Calibri"/>
                <w:color w:val="1A1A1A"/>
                <w:sz w:val="17"/>
                <w:szCs w:val="17"/>
              </w:rPr>
              <w:t>Le motif contourné : la dignité dispense des circonstances locales (I A).</w:t>
            </w:r>
          </w:p>
        </w:tc>
      </w:tr>
      <w:tr w:rsidR="006A28CF" w14:paraId="38904F17" w14:textId="77777777">
        <w:tc>
          <w:tcPr>
            <w:tcW w:w="1650" w:type="pct"/>
            <w:tcMar>
              <w:top w:w="60" w:type="dxa"/>
              <w:left w:w="90" w:type="dxa"/>
              <w:bottom w:w="60" w:type="dxa"/>
              <w:right w:w="90" w:type="dxa"/>
            </w:tcMar>
          </w:tcPr>
          <w:p w14:paraId="4C8693C1" w14:textId="77777777" w:rsidR="006A28CF" w:rsidRDefault="00000000">
            <w:r>
              <w:rPr>
                <w:rFonts w:ascii="Calibri" w:eastAsia="Calibri" w:hAnsi="Calibri" w:cs="Calibri"/>
                <w:color w:val="E91E63"/>
                <w:sz w:val="17"/>
                <w:szCs w:val="17"/>
              </w:rPr>
              <w:t>CE, ass., 27 octobre 1995, Commune de Morsang-sur-Orge</w:t>
            </w:r>
          </w:p>
        </w:tc>
        <w:tc>
          <w:tcPr>
            <w:tcW w:w="1650" w:type="pct"/>
            <w:tcMar>
              <w:top w:w="60" w:type="dxa"/>
              <w:left w:w="90" w:type="dxa"/>
              <w:bottom w:w="60" w:type="dxa"/>
              <w:right w:w="90" w:type="dxa"/>
            </w:tcMar>
          </w:tcPr>
          <w:p w14:paraId="61DF2708" w14:textId="77777777" w:rsidR="006A28CF" w:rsidRDefault="00000000">
            <w:r>
              <w:rPr>
                <w:rFonts w:ascii="Calibri" w:eastAsia="Calibri" w:hAnsi="Calibri" w:cs="Calibri"/>
                <w:color w:val="1A1A1A"/>
                <w:sz w:val="17"/>
                <w:szCs w:val="17"/>
              </w:rPr>
              <w:t>Dignité composante de l’ordre public ; pas de circonstances locales ; consentement indifférent ; rémunération du nain indifférente.</w:t>
            </w:r>
          </w:p>
        </w:tc>
        <w:tc>
          <w:tcPr>
            <w:tcW w:w="1650" w:type="pct"/>
            <w:tcMar>
              <w:top w:w="60" w:type="dxa"/>
              <w:left w:w="90" w:type="dxa"/>
              <w:bottom w:w="60" w:type="dxa"/>
              <w:right w:w="90" w:type="dxa"/>
            </w:tcMar>
          </w:tcPr>
          <w:p w14:paraId="48E94887" w14:textId="77777777" w:rsidR="006A28CF" w:rsidRDefault="00000000">
            <w:r>
              <w:rPr>
                <w:rFonts w:ascii="Calibri" w:eastAsia="Calibri" w:hAnsi="Calibri" w:cs="Calibri"/>
                <w:color w:val="1A1A1A"/>
                <w:sz w:val="17"/>
                <w:szCs w:val="17"/>
              </w:rPr>
              <w:t>La matrice (I A et I B).</w:t>
            </w:r>
          </w:p>
        </w:tc>
      </w:tr>
      <w:tr w:rsidR="006A28CF" w14:paraId="5E815FDF" w14:textId="77777777">
        <w:tc>
          <w:tcPr>
            <w:tcW w:w="1650" w:type="pct"/>
            <w:tcMar>
              <w:top w:w="60" w:type="dxa"/>
              <w:left w:w="90" w:type="dxa"/>
              <w:bottom w:w="60" w:type="dxa"/>
              <w:right w:w="90" w:type="dxa"/>
            </w:tcMar>
          </w:tcPr>
          <w:p w14:paraId="1336FC5A" w14:textId="77777777" w:rsidR="006A28CF" w:rsidRDefault="00000000">
            <w:r>
              <w:rPr>
                <w:rFonts w:ascii="Calibri" w:eastAsia="Calibri" w:hAnsi="Calibri" w:cs="Calibri"/>
                <w:color w:val="E91E63"/>
                <w:sz w:val="17"/>
                <w:szCs w:val="17"/>
              </w:rPr>
              <w:t>Comité des droits de l’homme, 15 juillet 2002, Wackenheim c. France</w:t>
            </w:r>
          </w:p>
        </w:tc>
        <w:tc>
          <w:tcPr>
            <w:tcW w:w="1650" w:type="pct"/>
            <w:tcMar>
              <w:top w:w="60" w:type="dxa"/>
              <w:left w:w="90" w:type="dxa"/>
              <w:bottom w:w="60" w:type="dxa"/>
              <w:right w:w="90" w:type="dxa"/>
            </w:tcMar>
          </w:tcPr>
          <w:p w14:paraId="3F7BB7C0" w14:textId="77777777" w:rsidR="006A28CF" w:rsidRDefault="00000000">
            <w:r>
              <w:rPr>
                <w:rFonts w:ascii="Calibri" w:eastAsia="Calibri" w:hAnsi="Calibri" w:cs="Calibri"/>
                <w:color w:val="1A1A1A"/>
                <w:sz w:val="17"/>
                <w:szCs w:val="17"/>
              </w:rPr>
              <w:t>L’interdiction du lancer de nain n’est pas discriminatoire : elle est fondée sur la dignité.</w:t>
            </w:r>
          </w:p>
        </w:tc>
        <w:tc>
          <w:tcPr>
            <w:tcW w:w="1650" w:type="pct"/>
            <w:tcMar>
              <w:top w:w="60" w:type="dxa"/>
              <w:left w:w="90" w:type="dxa"/>
              <w:bottom w:w="60" w:type="dxa"/>
              <w:right w:w="90" w:type="dxa"/>
            </w:tcMar>
          </w:tcPr>
          <w:p w14:paraId="08451D4A" w14:textId="77777777" w:rsidR="006A28CF" w:rsidRDefault="00000000">
            <w:r>
              <w:rPr>
                <w:rFonts w:ascii="Calibri" w:eastAsia="Calibri" w:hAnsi="Calibri" w:cs="Calibri"/>
                <w:color w:val="1A1A1A"/>
                <w:sz w:val="17"/>
                <w:szCs w:val="17"/>
              </w:rPr>
              <w:t>La validation internationale de Morsang (I B).</w:t>
            </w:r>
          </w:p>
        </w:tc>
      </w:tr>
      <w:tr w:rsidR="006A28CF" w14:paraId="5CDFDF81" w14:textId="77777777">
        <w:tc>
          <w:tcPr>
            <w:tcW w:w="1650" w:type="pct"/>
            <w:tcMar>
              <w:top w:w="60" w:type="dxa"/>
              <w:left w:w="90" w:type="dxa"/>
              <w:bottom w:w="60" w:type="dxa"/>
              <w:right w:w="90" w:type="dxa"/>
            </w:tcMar>
          </w:tcPr>
          <w:p w14:paraId="2447CC80" w14:textId="77777777" w:rsidR="006A28CF" w:rsidRDefault="00000000">
            <w:r>
              <w:rPr>
                <w:rFonts w:ascii="Calibri" w:eastAsia="Calibri" w:hAnsi="Calibri" w:cs="Calibri"/>
                <w:color w:val="E91E63"/>
                <w:sz w:val="17"/>
                <w:szCs w:val="17"/>
              </w:rPr>
              <w:t>CJCE, 14 octobre 2004, Omega, C-36/02</w:t>
            </w:r>
          </w:p>
        </w:tc>
        <w:tc>
          <w:tcPr>
            <w:tcW w:w="1650" w:type="pct"/>
            <w:tcMar>
              <w:top w:w="60" w:type="dxa"/>
              <w:left w:w="90" w:type="dxa"/>
              <w:bottom w:w="60" w:type="dxa"/>
              <w:right w:w="90" w:type="dxa"/>
            </w:tcMar>
          </w:tcPr>
          <w:p w14:paraId="717CFFD9" w14:textId="77777777" w:rsidR="006A28CF" w:rsidRDefault="00000000">
            <w:r>
              <w:rPr>
                <w:rFonts w:ascii="Calibri" w:eastAsia="Calibri" w:hAnsi="Calibri" w:cs="Calibri"/>
                <w:color w:val="1A1A1A"/>
                <w:sz w:val="17"/>
                <w:szCs w:val="17"/>
              </w:rPr>
              <w:t>La protection de la dignité peut justifier une restriction à la libre prestation de services (jeu de laser simulant des homicides, Bonn) ; la conception de la dignité peut varier d’un État à l’autre.</w:t>
            </w:r>
          </w:p>
        </w:tc>
        <w:tc>
          <w:tcPr>
            <w:tcW w:w="1650" w:type="pct"/>
            <w:tcMar>
              <w:top w:w="60" w:type="dxa"/>
              <w:left w:w="90" w:type="dxa"/>
              <w:bottom w:w="60" w:type="dxa"/>
              <w:right w:w="90" w:type="dxa"/>
            </w:tcMar>
          </w:tcPr>
          <w:p w14:paraId="63700E42" w14:textId="77777777" w:rsidR="006A28CF" w:rsidRDefault="00000000">
            <w:r>
              <w:rPr>
                <w:rFonts w:ascii="Calibri" w:eastAsia="Calibri" w:hAnsi="Calibri" w:cs="Calibri"/>
                <w:color w:val="1A1A1A"/>
                <w:sz w:val="17"/>
                <w:szCs w:val="17"/>
              </w:rPr>
              <w:t>La dignité limite les libertés économiques en droit de l’Union aussi (I A).</w:t>
            </w:r>
          </w:p>
        </w:tc>
      </w:tr>
      <w:tr w:rsidR="006A28CF" w14:paraId="05EC90E5" w14:textId="77777777">
        <w:tc>
          <w:tcPr>
            <w:tcW w:w="1650" w:type="pct"/>
            <w:tcMar>
              <w:top w:w="60" w:type="dxa"/>
              <w:left w:w="90" w:type="dxa"/>
              <w:bottom w:w="60" w:type="dxa"/>
              <w:right w:w="90" w:type="dxa"/>
            </w:tcMar>
          </w:tcPr>
          <w:p w14:paraId="138E366D" w14:textId="77777777" w:rsidR="006A28CF" w:rsidRDefault="00000000">
            <w:r>
              <w:rPr>
                <w:rFonts w:ascii="Calibri" w:eastAsia="Calibri" w:hAnsi="Calibri" w:cs="Calibri"/>
                <w:color w:val="E91E63"/>
                <w:sz w:val="17"/>
                <w:szCs w:val="17"/>
              </w:rPr>
              <w:t>CEDH, 19 février 1997, Laskey, Jaggard et Brown c. Royaume-Uni</w:t>
            </w:r>
          </w:p>
        </w:tc>
        <w:tc>
          <w:tcPr>
            <w:tcW w:w="1650" w:type="pct"/>
            <w:tcMar>
              <w:top w:w="60" w:type="dxa"/>
              <w:left w:w="90" w:type="dxa"/>
              <w:bottom w:w="60" w:type="dxa"/>
              <w:right w:w="90" w:type="dxa"/>
            </w:tcMar>
          </w:tcPr>
          <w:p w14:paraId="51CAAFEA" w14:textId="77777777" w:rsidR="006A28CF" w:rsidRDefault="00000000">
            <w:r>
              <w:rPr>
                <w:rFonts w:ascii="Calibri" w:eastAsia="Calibri" w:hAnsi="Calibri" w:cs="Calibri"/>
                <w:color w:val="1A1A1A"/>
                <w:sz w:val="17"/>
                <w:szCs w:val="17"/>
              </w:rPr>
              <w:t>Condamnation pénale de pratiques sadomasochistes consenties : non-violation de l’</w:t>
            </w:r>
            <w:r>
              <w:rPr>
                <w:rFonts w:ascii="Calibri" w:eastAsia="Calibri" w:hAnsi="Calibri" w:cs="Calibri"/>
                <w:color w:val="1E88E5"/>
                <w:sz w:val="17"/>
                <w:szCs w:val="17"/>
              </w:rPr>
              <w:t>art. 8</w:t>
            </w:r>
            <w:r>
              <w:rPr>
                <w:rFonts w:ascii="Calibri" w:eastAsia="Calibri" w:hAnsi="Calibri" w:cs="Calibri"/>
                <w:color w:val="1A1A1A"/>
                <w:sz w:val="17"/>
                <w:szCs w:val="17"/>
              </w:rPr>
              <w:t>.</w:t>
            </w:r>
          </w:p>
        </w:tc>
        <w:tc>
          <w:tcPr>
            <w:tcW w:w="1650" w:type="pct"/>
            <w:tcMar>
              <w:top w:w="60" w:type="dxa"/>
              <w:left w:w="90" w:type="dxa"/>
              <w:bottom w:w="60" w:type="dxa"/>
              <w:right w:w="90" w:type="dxa"/>
            </w:tcMar>
          </w:tcPr>
          <w:p w14:paraId="67CB8650" w14:textId="77777777" w:rsidR="006A28CF" w:rsidRDefault="00000000">
            <w:r>
              <w:rPr>
                <w:rFonts w:ascii="Calibri" w:eastAsia="Calibri" w:hAnsi="Calibri" w:cs="Calibri"/>
                <w:color w:val="1A1A1A"/>
                <w:sz w:val="17"/>
                <w:szCs w:val="17"/>
              </w:rPr>
              <w:t>Strasbourg n’impose pas la primauté du consentement (I B).</w:t>
            </w:r>
          </w:p>
        </w:tc>
      </w:tr>
      <w:tr w:rsidR="006A28CF" w14:paraId="7CCC5B53" w14:textId="77777777">
        <w:tc>
          <w:tcPr>
            <w:tcW w:w="1650" w:type="pct"/>
            <w:tcMar>
              <w:top w:w="60" w:type="dxa"/>
              <w:left w:w="90" w:type="dxa"/>
              <w:bottom w:w="60" w:type="dxa"/>
              <w:right w:w="90" w:type="dxa"/>
            </w:tcMar>
          </w:tcPr>
          <w:p w14:paraId="5F7F4EE5" w14:textId="77777777" w:rsidR="006A28CF" w:rsidRDefault="00000000">
            <w:r>
              <w:rPr>
                <w:rFonts w:ascii="Calibri" w:eastAsia="Calibri" w:hAnsi="Calibri" w:cs="Calibri"/>
                <w:color w:val="E91E63"/>
                <w:sz w:val="17"/>
                <w:szCs w:val="17"/>
              </w:rPr>
              <w:t>CEDH, 17 février 2005, K.A. et A.D. c. Belgique</w:t>
            </w:r>
          </w:p>
        </w:tc>
        <w:tc>
          <w:tcPr>
            <w:tcW w:w="1650" w:type="pct"/>
            <w:tcMar>
              <w:top w:w="60" w:type="dxa"/>
              <w:left w:w="90" w:type="dxa"/>
              <w:bottom w:w="60" w:type="dxa"/>
              <w:right w:w="90" w:type="dxa"/>
            </w:tcMar>
          </w:tcPr>
          <w:p w14:paraId="32029FC1" w14:textId="77777777" w:rsidR="006A28CF" w:rsidRDefault="00000000">
            <w:r>
              <w:rPr>
                <w:rFonts w:ascii="Calibri" w:eastAsia="Calibri" w:hAnsi="Calibri" w:cs="Calibri"/>
                <w:color w:val="1A1A1A"/>
                <w:sz w:val="17"/>
                <w:szCs w:val="17"/>
              </w:rPr>
              <w:t xml:space="preserve">Le droit d’entretenir des relations sexuelles découle du droit de disposer de son corps ; mais répression admise lorsque la victime </w:t>
            </w:r>
            <w:r>
              <w:rPr>
                <w:rFonts w:ascii="Calibri" w:eastAsia="Calibri" w:hAnsi="Calibri" w:cs="Calibri"/>
                <w:color w:val="1A1A1A"/>
                <w:sz w:val="17"/>
                <w:szCs w:val="17"/>
              </w:rPr>
              <w:lastRenderedPageBreak/>
              <w:t>ne pouvait plus arrêter les pratiques : non-violation.</w:t>
            </w:r>
          </w:p>
        </w:tc>
        <w:tc>
          <w:tcPr>
            <w:tcW w:w="1650" w:type="pct"/>
            <w:tcMar>
              <w:top w:w="60" w:type="dxa"/>
              <w:left w:w="90" w:type="dxa"/>
              <w:bottom w:w="60" w:type="dxa"/>
              <w:right w:w="90" w:type="dxa"/>
            </w:tcMar>
          </w:tcPr>
          <w:p w14:paraId="29B76C8E" w14:textId="77777777" w:rsidR="006A28CF" w:rsidRDefault="00000000">
            <w:r>
              <w:rPr>
                <w:rFonts w:ascii="Calibri" w:eastAsia="Calibri" w:hAnsi="Calibri" w:cs="Calibri"/>
                <w:color w:val="1A1A1A"/>
                <w:sz w:val="17"/>
                <w:szCs w:val="17"/>
              </w:rPr>
              <w:lastRenderedPageBreak/>
              <w:t>Le fondement européen de l’exigence de révocabilité (II A).</w:t>
            </w:r>
          </w:p>
        </w:tc>
      </w:tr>
      <w:tr w:rsidR="006A28CF" w14:paraId="1F4BE15B" w14:textId="77777777">
        <w:tc>
          <w:tcPr>
            <w:tcW w:w="1650" w:type="pct"/>
            <w:tcMar>
              <w:top w:w="60" w:type="dxa"/>
              <w:left w:w="90" w:type="dxa"/>
              <w:bottom w:w="60" w:type="dxa"/>
              <w:right w:w="90" w:type="dxa"/>
            </w:tcMar>
          </w:tcPr>
          <w:p w14:paraId="46D873E4" w14:textId="77777777" w:rsidR="006A28CF" w:rsidRDefault="00000000">
            <w:r>
              <w:rPr>
                <w:rFonts w:ascii="Calibri" w:eastAsia="Calibri" w:hAnsi="Calibri" w:cs="Calibri"/>
                <w:color w:val="E91E63"/>
                <w:sz w:val="17"/>
                <w:szCs w:val="17"/>
              </w:rPr>
              <w:t>CE, ord., 9 janvier 2014, Dieudonné</w:t>
            </w:r>
          </w:p>
        </w:tc>
        <w:tc>
          <w:tcPr>
            <w:tcW w:w="1650" w:type="pct"/>
            <w:tcMar>
              <w:top w:w="60" w:type="dxa"/>
              <w:left w:w="90" w:type="dxa"/>
              <w:bottom w:w="60" w:type="dxa"/>
              <w:right w:w="90" w:type="dxa"/>
            </w:tcMar>
          </w:tcPr>
          <w:p w14:paraId="78E2CB84" w14:textId="77777777" w:rsidR="006A28CF" w:rsidRDefault="00000000">
            <w:r>
              <w:rPr>
                <w:rFonts w:ascii="Calibri" w:eastAsia="Calibri" w:hAnsi="Calibri" w:cs="Calibri"/>
                <w:color w:val="1A1A1A"/>
                <w:sz w:val="17"/>
                <w:szCs w:val="17"/>
              </w:rPr>
              <w:t>Dignité et prévention des infractions pénales comme motifs d’interdiction préventive.</w:t>
            </w:r>
          </w:p>
        </w:tc>
        <w:tc>
          <w:tcPr>
            <w:tcW w:w="1650" w:type="pct"/>
            <w:tcMar>
              <w:top w:w="60" w:type="dxa"/>
              <w:left w:w="90" w:type="dxa"/>
              <w:bottom w:w="60" w:type="dxa"/>
              <w:right w:w="90" w:type="dxa"/>
            </w:tcMar>
          </w:tcPr>
          <w:p w14:paraId="2FA6710E" w14:textId="77777777" w:rsidR="006A28CF" w:rsidRDefault="00000000">
            <w:r>
              <w:rPr>
                <w:rFonts w:ascii="Calibri" w:eastAsia="Calibri" w:hAnsi="Calibri" w:cs="Calibri"/>
                <w:color w:val="1A1A1A"/>
                <w:sz w:val="17"/>
                <w:szCs w:val="17"/>
              </w:rPr>
              <w:t>La seconde phrase du point 4 (II A).</w:t>
            </w:r>
          </w:p>
        </w:tc>
      </w:tr>
      <w:tr w:rsidR="006A28CF" w14:paraId="5D215BA2" w14:textId="77777777">
        <w:tc>
          <w:tcPr>
            <w:tcW w:w="1650" w:type="pct"/>
            <w:tcMar>
              <w:top w:w="60" w:type="dxa"/>
              <w:left w:w="90" w:type="dxa"/>
              <w:bottom w:w="60" w:type="dxa"/>
              <w:right w:w="90" w:type="dxa"/>
            </w:tcMar>
          </w:tcPr>
          <w:p w14:paraId="3D112D89" w14:textId="77777777" w:rsidR="006A28CF" w:rsidRDefault="00000000">
            <w:r>
              <w:rPr>
                <w:rFonts w:ascii="Calibri" w:eastAsia="Calibri" w:hAnsi="Calibri" w:cs="Calibri"/>
                <w:color w:val="E91E63"/>
                <w:sz w:val="17"/>
                <w:szCs w:val="17"/>
              </w:rPr>
              <w:t>CE, ord., 6 février 2015, Commune de Cournon-d’Auvergne, n° 387726</w:t>
            </w:r>
          </w:p>
        </w:tc>
        <w:tc>
          <w:tcPr>
            <w:tcW w:w="1650" w:type="pct"/>
            <w:tcMar>
              <w:top w:w="60" w:type="dxa"/>
              <w:left w:w="90" w:type="dxa"/>
              <w:bottom w:w="60" w:type="dxa"/>
              <w:right w:w="90" w:type="dxa"/>
            </w:tcMar>
          </w:tcPr>
          <w:p w14:paraId="570CB390" w14:textId="77777777" w:rsidR="006A28CF" w:rsidRDefault="00000000">
            <w:r>
              <w:rPr>
                <w:rFonts w:ascii="Calibri" w:eastAsia="Calibri" w:hAnsi="Calibri" w:cs="Calibri"/>
                <w:color w:val="1A1A1A"/>
                <w:sz w:val="17"/>
                <w:szCs w:val="17"/>
              </w:rPr>
              <w:t>Interdiction d’un spectacle annulée faute d’éléments établissant le risque.</w:t>
            </w:r>
          </w:p>
        </w:tc>
        <w:tc>
          <w:tcPr>
            <w:tcW w:w="1650" w:type="pct"/>
            <w:tcMar>
              <w:top w:w="60" w:type="dxa"/>
              <w:left w:w="90" w:type="dxa"/>
              <w:bottom w:w="60" w:type="dxa"/>
              <w:right w:w="90" w:type="dxa"/>
            </w:tcMar>
          </w:tcPr>
          <w:p w14:paraId="1D519081" w14:textId="77777777" w:rsidR="006A28CF" w:rsidRDefault="00000000">
            <w:r>
              <w:rPr>
                <w:rFonts w:ascii="Calibri" w:eastAsia="Calibri" w:hAnsi="Calibri" w:cs="Calibri"/>
                <w:color w:val="1A1A1A"/>
                <w:sz w:val="17"/>
                <w:szCs w:val="17"/>
              </w:rPr>
              <w:t>La limite : le risque doit être établi par les pièces (II B).</w:t>
            </w:r>
          </w:p>
        </w:tc>
      </w:tr>
      <w:tr w:rsidR="006A28CF" w14:paraId="151D72F7" w14:textId="77777777">
        <w:tc>
          <w:tcPr>
            <w:tcW w:w="1650" w:type="pct"/>
            <w:tcMar>
              <w:top w:w="60" w:type="dxa"/>
              <w:left w:w="90" w:type="dxa"/>
              <w:bottom w:w="60" w:type="dxa"/>
              <w:right w:w="90" w:type="dxa"/>
            </w:tcMar>
          </w:tcPr>
          <w:p w14:paraId="63C54D96" w14:textId="77777777" w:rsidR="006A28CF" w:rsidRDefault="00000000">
            <w:r>
              <w:rPr>
                <w:rFonts w:ascii="Calibri" w:eastAsia="Calibri" w:hAnsi="Calibri" w:cs="Calibri"/>
                <w:color w:val="E91E63"/>
                <w:sz w:val="17"/>
                <w:szCs w:val="17"/>
              </w:rPr>
              <w:t>CE, ord., 26 août 2016, Ligue des droits de l’homme et autres, n° 402742</w:t>
            </w:r>
          </w:p>
        </w:tc>
        <w:tc>
          <w:tcPr>
            <w:tcW w:w="1650" w:type="pct"/>
            <w:tcMar>
              <w:top w:w="60" w:type="dxa"/>
              <w:left w:w="90" w:type="dxa"/>
              <w:bottom w:w="60" w:type="dxa"/>
              <w:right w:w="90" w:type="dxa"/>
            </w:tcMar>
          </w:tcPr>
          <w:p w14:paraId="233E5760" w14:textId="77777777" w:rsidR="006A28CF" w:rsidRDefault="00000000">
            <w:r>
              <w:rPr>
                <w:rFonts w:ascii="Calibri" w:eastAsia="Calibri" w:hAnsi="Calibri" w:cs="Calibri"/>
                <w:color w:val="1A1A1A"/>
                <w:sz w:val="17"/>
                <w:szCs w:val="17"/>
              </w:rPr>
              <w:t>Arrêté « anti-burkini » suspendu : faute de risque avéré, « l’émotion et les inquiétudes » ne suffisent pas à justifier une atteinte grave aux libertés.</w:t>
            </w:r>
          </w:p>
        </w:tc>
        <w:tc>
          <w:tcPr>
            <w:tcW w:w="1650" w:type="pct"/>
            <w:tcMar>
              <w:top w:w="60" w:type="dxa"/>
              <w:left w:w="90" w:type="dxa"/>
              <w:bottom w:w="60" w:type="dxa"/>
              <w:right w:w="90" w:type="dxa"/>
            </w:tcMar>
          </w:tcPr>
          <w:p w14:paraId="29AAB639" w14:textId="77777777" w:rsidR="006A28CF" w:rsidRDefault="00000000">
            <w:r>
              <w:rPr>
                <w:rFonts w:ascii="Calibri" w:eastAsia="Calibri" w:hAnsi="Calibri" w:cs="Calibri"/>
                <w:color w:val="1A1A1A"/>
                <w:sz w:val="17"/>
                <w:szCs w:val="17"/>
              </w:rPr>
              <w:t>Contrepoint : la dignité n’est pas un joker (II B).</w:t>
            </w:r>
          </w:p>
        </w:tc>
      </w:tr>
      <w:tr w:rsidR="006A28CF" w14:paraId="11C33A3F" w14:textId="77777777">
        <w:tc>
          <w:tcPr>
            <w:tcW w:w="1650" w:type="pct"/>
            <w:tcMar>
              <w:top w:w="60" w:type="dxa"/>
              <w:left w:w="90" w:type="dxa"/>
              <w:bottom w:w="60" w:type="dxa"/>
              <w:right w:w="90" w:type="dxa"/>
            </w:tcMar>
          </w:tcPr>
          <w:p w14:paraId="25D0216F" w14:textId="77777777" w:rsidR="006A28CF" w:rsidRDefault="00000000">
            <w:r>
              <w:rPr>
                <w:rFonts w:ascii="Calibri" w:eastAsia="Calibri" w:hAnsi="Calibri" w:cs="Calibri"/>
                <w:color w:val="E91E63"/>
                <w:sz w:val="17"/>
                <w:szCs w:val="17"/>
              </w:rPr>
              <w:t>Cons. const., 1er février 2019, n° 2018-761 QPC</w:t>
            </w:r>
          </w:p>
        </w:tc>
        <w:tc>
          <w:tcPr>
            <w:tcW w:w="1650" w:type="pct"/>
            <w:tcMar>
              <w:top w:w="60" w:type="dxa"/>
              <w:left w:w="90" w:type="dxa"/>
              <w:bottom w:w="60" w:type="dxa"/>
              <w:right w:w="90" w:type="dxa"/>
            </w:tcMar>
          </w:tcPr>
          <w:p w14:paraId="3C9F5F8A" w14:textId="77777777" w:rsidR="006A28CF" w:rsidRDefault="00000000">
            <w:r>
              <w:rPr>
                <w:rFonts w:ascii="Calibri" w:eastAsia="Calibri" w:hAnsi="Calibri" w:cs="Calibri"/>
                <w:color w:val="1A1A1A"/>
                <w:sz w:val="17"/>
                <w:szCs w:val="17"/>
              </w:rPr>
              <w:t>Pénalisation des clients de la prostitution conforme : dignité, ordre public et prévention des infractions concilient la liberté personnelle.</w:t>
            </w:r>
          </w:p>
        </w:tc>
        <w:tc>
          <w:tcPr>
            <w:tcW w:w="1650" w:type="pct"/>
            <w:tcMar>
              <w:top w:w="60" w:type="dxa"/>
              <w:left w:w="90" w:type="dxa"/>
              <w:bottom w:w="60" w:type="dxa"/>
              <w:right w:w="90" w:type="dxa"/>
            </w:tcMar>
          </w:tcPr>
          <w:p w14:paraId="4920FE29" w14:textId="77777777" w:rsidR="006A28CF" w:rsidRDefault="00000000">
            <w:r>
              <w:rPr>
                <w:rFonts w:ascii="Calibri" w:eastAsia="Calibri" w:hAnsi="Calibri" w:cs="Calibri"/>
                <w:color w:val="1A1A1A"/>
                <w:sz w:val="17"/>
                <w:szCs w:val="17"/>
              </w:rPr>
              <w:t>Même trilogie dignité / ordre public / infractions (I A ; II A).</w:t>
            </w:r>
          </w:p>
        </w:tc>
      </w:tr>
      <w:tr w:rsidR="006A28CF" w14:paraId="26F14886" w14:textId="77777777">
        <w:tc>
          <w:tcPr>
            <w:tcW w:w="1650" w:type="pct"/>
            <w:tcMar>
              <w:top w:w="60" w:type="dxa"/>
              <w:left w:w="90" w:type="dxa"/>
              <w:bottom w:w="60" w:type="dxa"/>
              <w:right w:w="90" w:type="dxa"/>
            </w:tcMar>
          </w:tcPr>
          <w:p w14:paraId="099E4414" w14:textId="77777777" w:rsidR="006A28CF" w:rsidRDefault="00000000">
            <w:r>
              <w:rPr>
                <w:rFonts w:ascii="Calibri" w:eastAsia="Calibri" w:hAnsi="Calibri" w:cs="Calibri"/>
                <w:color w:val="E91E63"/>
                <w:sz w:val="17"/>
                <w:szCs w:val="17"/>
              </w:rPr>
              <w:t>CEDH, 25 juillet 2024, M.A. et autres c. France, n° 63664/19</w:t>
            </w:r>
          </w:p>
        </w:tc>
        <w:tc>
          <w:tcPr>
            <w:tcW w:w="1650" w:type="pct"/>
            <w:tcMar>
              <w:top w:w="60" w:type="dxa"/>
              <w:left w:w="90" w:type="dxa"/>
              <w:bottom w:w="60" w:type="dxa"/>
              <w:right w:w="90" w:type="dxa"/>
            </w:tcMar>
          </w:tcPr>
          <w:p w14:paraId="17A667CB" w14:textId="77777777" w:rsidR="006A28CF" w:rsidRDefault="00000000">
            <w:r>
              <w:rPr>
                <w:rFonts w:ascii="Calibri" w:eastAsia="Calibri" w:hAnsi="Calibri" w:cs="Calibri"/>
                <w:color w:val="1A1A1A"/>
                <w:sz w:val="17"/>
                <w:szCs w:val="17"/>
              </w:rPr>
              <w:t>Même dispositif : non-violation de l’</w:t>
            </w:r>
            <w:r>
              <w:rPr>
                <w:rFonts w:ascii="Calibri" w:eastAsia="Calibri" w:hAnsi="Calibri" w:cs="Calibri"/>
                <w:color w:val="1E88E5"/>
                <w:sz w:val="17"/>
                <w:szCs w:val="17"/>
              </w:rPr>
              <w:t>art. 8</w:t>
            </w:r>
            <w:r>
              <w:rPr>
                <w:rFonts w:ascii="Calibri" w:eastAsia="Calibri" w:hAnsi="Calibri" w:cs="Calibri"/>
                <w:color w:val="1A1A1A"/>
                <w:sz w:val="17"/>
                <w:szCs w:val="17"/>
              </w:rPr>
              <w:t>, large marge d’appréciation.</w:t>
            </w:r>
          </w:p>
        </w:tc>
        <w:tc>
          <w:tcPr>
            <w:tcW w:w="1650" w:type="pct"/>
            <w:tcMar>
              <w:top w:w="60" w:type="dxa"/>
              <w:left w:w="90" w:type="dxa"/>
              <w:bottom w:w="60" w:type="dxa"/>
              <w:right w:w="90" w:type="dxa"/>
            </w:tcMar>
          </w:tcPr>
          <w:p w14:paraId="65E896E2" w14:textId="77777777" w:rsidR="006A28CF" w:rsidRDefault="00000000">
            <w:r>
              <w:rPr>
                <w:rFonts w:ascii="Calibri" w:eastAsia="Calibri" w:hAnsi="Calibri" w:cs="Calibri"/>
                <w:color w:val="1A1A1A"/>
                <w:sz w:val="17"/>
                <w:szCs w:val="17"/>
              </w:rPr>
              <w:t>Strasbourg accepte le modèle abolitionniste français (II B).</w:t>
            </w:r>
          </w:p>
        </w:tc>
      </w:tr>
    </w:tbl>
    <w:p w14:paraId="11781027" w14:textId="77777777" w:rsidR="006A28CF" w:rsidRDefault="006A28CF">
      <w:pPr>
        <w:spacing w:after="120"/>
      </w:pPr>
    </w:p>
    <w:p w14:paraId="461068FB" w14:textId="77777777" w:rsidR="006A28CF" w:rsidRDefault="00000000">
      <w:pPr>
        <w:pStyle w:val="Titre1"/>
        <w:pBdr>
          <w:bottom w:val="single" w:sz="12" w:space="6" w:color="8C1C2B"/>
        </w:pBdr>
        <w:spacing w:before="260" w:after="90"/>
      </w:pPr>
      <w:r>
        <w:rPr>
          <w:rFonts w:ascii="Calibri" w:eastAsia="Calibri" w:hAnsi="Calibri" w:cs="Calibri"/>
          <w:b/>
          <w:bCs/>
          <w:color w:val="8C1C2B"/>
          <w:sz w:val="28"/>
          <w:szCs w:val="28"/>
        </w:rPr>
        <w:t>5. L’ACTUALITÉ DÉTERMINANTE</w:t>
      </w:r>
    </w:p>
    <w:p w14:paraId="7E984397"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La loi n° 2025-1057 du 6 novembre 2025</w:t>
      </w:r>
      <w:r>
        <w:rPr>
          <w:rFonts w:ascii="Calibri" w:eastAsia="Calibri" w:hAnsi="Calibri" w:cs="Calibri"/>
          <w:color w:val="1A1A1A"/>
        </w:rPr>
        <w:t xml:space="preserve"> réécrit la définition pénale du viol et des agressions sexuelles autour du consentement. La décision commentée est l’une des premières à l’utiliser hors du prétoire pénal, pour fonder une mesure de police administrative.</w:t>
      </w:r>
    </w:p>
    <w:p w14:paraId="3265F2F7"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Le contexte</w:t>
      </w:r>
      <w:r>
        <w:rPr>
          <w:rFonts w:ascii="Calibri" w:eastAsia="Calibri" w:hAnsi="Calibri" w:cs="Calibri"/>
          <w:color w:val="1A1A1A"/>
        </w:rPr>
        <w:t xml:space="preserve"> : le procès de Mazan (verdict du 19 décembre 2024) a placé la soumission chimique et le consentement au cœur du débat public ; la décision relève l’incitation des femmes à « boire plus que de raison ».</w:t>
      </w:r>
    </w:p>
    <w:p w14:paraId="0C26B1FE"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La proposition de loi « intégrale » contre les violences sexistes et sexuelles</w:t>
      </w:r>
      <w:r>
        <w:rPr>
          <w:rFonts w:ascii="Calibri" w:eastAsia="Calibri" w:hAnsi="Calibri" w:cs="Calibri"/>
          <w:color w:val="1A1A1A"/>
        </w:rPr>
        <w:t>, en séance à l’Assemblée nationale depuis le 1er octobre 2026 : juridictions spécialisées, protocoles d’enquête, inceste autonome. C’est l’ouverture naturelle de la conclusion.</w:t>
      </w:r>
    </w:p>
    <w:p w14:paraId="438722F5"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Le fond n’est pas jugé</w:t>
      </w:r>
      <w:r>
        <w:rPr>
          <w:rFonts w:ascii="Calibri" w:eastAsia="Calibri" w:hAnsi="Calibri" w:cs="Calibri"/>
          <w:color w:val="1A1A1A"/>
        </w:rPr>
        <w:t xml:space="preserve"> : la requête en annulation de l’arrêté reste pendante devant le tribunal administratif de Paris. Une décision au fond pourrait, en théorie, conclure autrement, même si la mention aux tables rend cette hypothèse peu probable.</w:t>
      </w:r>
    </w:p>
    <w:p w14:paraId="3254E7FF" w14:textId="77777777" w:rsidR="006A28CF" w:rsidRDefault="00000000">
      <w:r>
        <w:br w:type="page"/>
      </w:r>
    </w:p>
    <w:p w14:paraId="7E54F70D" w14:textId="77777777" w:rsidR="006A28CF" w:rsidRDefault="00000000">
      <w:pPr>
        <w:shd w:val="clear" w:color="auto" w:fill="F2E9EA"/>
        <w:spacing w:before="200" w:after="220"/>
        <w:jc w:val="center"/>
      </w:pPr>
      <w:r>
        <w:rPr>
          <w:rFonts w:ascii="Calibri" w:eastAsia="Calibri" w:hAnsi="Calibri" w:cs="Calibri"/>
          <w:b/>
          <w:bCs/>
          <w:color w:val="8C1C2B"/>
          <w:spacing w:val="30"/>
          <w:sz w:val="26"/>
          <w:szCs w:val="26"/>
        </w:rPr>
        <w:lastRenderedPageBreak/>
        <w:t>PARTIE II. LE COMMENTAIRE</w:t>
      </w:r>
    </w:p>
    <w:p w14:paraId="1C96B0A0" w14:textId="77777777" w:rsidR="006A28CF" w:rsidRDefault="00000000">
      <w:pPr>
        <w:pStyle w:val="Titre1"/>
        <w:pBdr>
          <w:bottom w:val="single" w:sz="12" w:space="6" w:color="8C1C2B"/>
        </w:pBdr>
        <w:spacing w:before="260" w:after="90"/>
      </w:pPr>
      <w:r>
        <w:rPr>
          <w:rFonts w:ascii="Calibri" w:eastAsia="Calibri" w:hAnsi="Calibri" w:cs="Calibri"/>
          <w:b/>
          <w:bCs/>
          <w:color w:val="8C1C2B"/>
          <w:sz w:val="28"/>
          <w:szCs w:val="28"/>
        </w:rPr>
        <w:t>1. LIRE LA DÉCISION AVANT DE LA COMMENTER</w:t>
      </w:r>
    </w:p>
    <w:p w14:paraId="5C02AA30" w14:textId="77777777" w:rsidR="006A28CF" w:rsidRDefault="00000000">
      <w:pPr>
        <w:pStyle w:val="Titre2"/>
        <w:spacing w:before="260" w:after="110"/>
      </w:pPr>
      <w:r>
        <w:rPr>
          <w:rFonts w:ascii="Calibri" w:eastAsia="Calibri" w:hAnsi="Calibri" w:cs="Calibri"/>
          <w:b/>
          <w:bCs/>
          <w:color w:val="1A1A1A"/>
          <w:spacing w:val="16"/>
          <w:sz w:val="23"/>
          <w:szCs w:val="23"/>
        </w:rPr>
        <w:t>1.1. Ce que le jury attend d’un commentaire de décision</w:t>
      </w:r>
    </w:p>
    <w:p w14:paraId="6D47D8E3" w14:textId="77777777" w:rsidR="006A28CF" w:rsidRDefault="00000000">
      <w:pPr>
        <w:spacing w:after="90" w:line="264" w:lineRule="auto"/>
        <w:jc w:val="both"/>
      </w:pPr>
      <w:r>
        <w:rPr>
          <w:rFonts w:ascii="Calibri" w:eastAsia="Calibri" w:hAnsi="Calibri" w:cs="Calibri"/>
          <w:color w:val="1A1A1A"/>
        </w:rPr>
        <w:t xml:space="preserve">Le commentaire n’est pas une dissertation sur la dignité. Le jury veut voir trois choses : que vous avez compris </w:t>
      </w:r>
      <w:r>
        <w:rPr>
          <w:rFonts w:ascii="Calibri" w:eastAsia="Calibri" w:hAnsi="Calibri" w:cs="Calibri"/>
          <w:b/>
          <w:bCs/>
          <w:color w:val="1A1A1A"/>
        </w:rPr>
        <w:t>ce que le juge a jugé</w:t>
      </w:r>
      <w:r>
        <w:rPr>
          <w:rFonts w:ascii="Calibri" w:eastAsia="Calibri" w:hAnsi="Calibri" w:cs="Calibri"/>
          <w:color w:val="1A1A1A"/>
        </w:rPr>
        <w:t xml:space="preserve">, dans le cadre procédural où il l’a jugé ; que vous savez </w:t>
      </w:r>
      <w:r>
        <w:rPr>
          <w:rFonts w:ascii="Calibri" w:eastAsia="Calibri" w:hAnsi="Calibri" w:cs="Calibri"/>
          <w:b/>
          <w:bCs/>
          <w:color w:val="1A1A1A"/>
        </w:rPr>
        <w:t>situer la solution</w:t>
      </w:r>
      <w:r>
        <w:rPr>
          <w:rFonts w:ascii="Calibri" w:eastAsia="Calibri" w:hAnsi="Calibri" w:cs="Calibri"/>
          <w:color w:val="1A1A1A"/>
        </w:rPr>
        <w:t xml:space="preserve"> dans une ligne jurisprudentielle ; que vous savez en </w:t>
      </w:r>
      <w:r>
        <w:rPr>
          <w:rFonts w:ascii="Calibri" w:eastAsia="Calibri" w:hAnsi="Calibri" w:cs="Calibri"/>
          <w:b/>
          <w:bCs/>
          <w:color w:val="1A1A1A"/>
        </w:rPr>
        <w:t>mesurer la portée</w:t>
      </w:r>
      <w:r>
        <w:rPr>
          <w:rFonts w:ascii="Calibri" w:eastAsia="Calibri" w:hAnsi="Calibri" w:cs="Calibri"/>
          <w:color w:val="1A1A1A"/>
        </w:rPr>
        <w:t>, avec un regard critique argumenté. Chaque sous-partie doit partir d’une phrase de la décision, citée, puis s’en éloigner pour l’expliquer, la situer et l’apprécier.</w:t>
      </w:r>
    </w:p>
    <w:p w14:paraId="78587A6B" w14:textId="77777777" w:rsidR="006A28CF" w:rsidRDefault="00000000">
      <w:pPr>
        <w:pStyle w:val="Titre2"/>
        <w:spacing w:before="260" w:after="110"/>
      </w:pPr>
      <w:r>
        <w:rPr>
          <w:rFonts w:ascii="Calibri" w:eastAsia="Calibri" w:hAnsi="Calibri" w:cs="Calibri"/>
          <w:b/>
          <w:bCs/>
          <w:color w:val="1A1A1A"/>
          <w:spacing w:val="16"/>
          <w:sz w:val="23"/>
          <w:szCs w:val="23"/>
        </w:rPr>
        <w:t>1.2. Les quatre questions à se poser en lisant</w:t>
      </w:r>
    </w:p>
    <w:p w14:paraId="755D41BF"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Qui juge, et en quelle qualité ?</w:t>
      </w:r>
      <w:r>
        <w:rPr>
          <w:rFonts w:ascii="Calibri" w:eastAsia="Calibri" w:hAnsi="Calibri" w:cs="Calibri"/>
          <w:color w:val="1A1A1A"/>
        </w:rPr>
        <w:t xml:space="preserve"> Le Conseil d’État juge de cassation d’un référé, puis juge des référés après règlement de l’affaire. Conséquence : le standard est le « doute sérieux », pas la légalité.</w:t>
      </w:r>
    </w:p>
    <w:p w14:paraId="15B0255D"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Qu’est-ce qui est censuré, et pour quel vice ?</w:t>
      </w:r>
      <w:r>
        <w:rPr>
          <w:rFonts w:ascii="Calibri" w:eastAsia="Calibri" w:hAnsi="Calibri" w:cs="Calibri"/>
          <w:color w:val="1A1A1A"/>
        </w:rPr>
        <w:t xml:space="preserve"> Deux motifs de l’ordonnance : la dignité (erreur de droit) et le risque pénal (dénaturation).</w:t>
      </w:r>
    </w:p>
    <w:p w14:paraId="219626B2"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Qu’est-ce qui n’est pas jugé ?</w:t>
      </w:r>
      <w:r>
        <w:rPr>
          <w:rFonts w:ascii="Calibri" w:eastAsia="Calibri" w:hAnsi="Calibri" w:cs="Calibri"/>
          <w:color w:val="1A1A1A"/>
        </w:rPr>
        <w:t xml:space="preserve"> La tranquillité, la moralité, l’urgence. Ce silence fait partie du commentaire.</w:t>
      </w:r>
    </w:p>
    <w:p w14:paraId="18574033"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Quelle phrase est nouvelle ?</w:t>
      </w:r>
      <w:r>
        <w:rPr>
          <w:rFonts w:ascii="Calibri" w:eastAsia="Calibri" w:hAnsi="Calibri" w:cs="Calibri"/>
          <w:color w:val="1A1A1A"/>
        </w:rPr>
        <w:t xml:space="preserve"> La transposition de Morsang à « l’exercice d’une activité par un établissement » et l’usage de l’</w:t>
      </w:r>
      <w:r>
        <w:rPr>
          <w:rFonts w:ascii="Calibri" w:eastAsia="Calibri" w:hAnsi="Calibri" w:cs="Calibri"/>
          <w:color w:val="1E88E5"/>
        </w:rPr>
        <w:t>article 222-22 C. pén.</w:t>
      </w:r>
      <w:r>
        <w:rPr>
          <w:rFonts w:ascii="Calibri" w:eastAsia="Calibri" w:hAnsi="Calibri" w:cs="Calibri"/>
          <w:color w:val="1A1A1A"/>
        </w:rPr>
        <w:t xml:space="preserve"> comme instrument de la police administrative. C’est ce qui justifie la mention aux tables.</w:t>
      </w:r>
    </w:p>
    <w:p w14:paraId="6646AD95" w14:textId="77777777" w:rsidR="006A28CF" w:rsidRDefault="00000000">
      <w:pPr>
        <w:pStyle w:val="Titre1"/>
        <w:pBdr>
          <w:bottom w:val="single" w:sz="12" w:space="6" w:color="8C1C2B"/>
        </w:pBdr>
        <w:spacing w:before="260" w:after="90"/>
      </w:pPr>
      <w:r>
        <w:rPr>
          <w:rFonts w:ascii="Calibri" w:eastAsia="Calibri" w:hAnsi="Calibri" w:cs="Calibri"/>
          <w:b/>
          <w:bCs/>
          <w:color w:val="8C1C2B"/>
          <w:sz w:val="28"/>
          <w:szCs w:val="28"/>
        </w:rPr>
        <w:t>2. L’HEURE DE PRÉPARATION</w:t>
      </w:r>
    </w:p>
    <w:tbl>
      <w:tblPr>
        <w:tblW w:w="5000" w:type="pct"/>
        <w:tblBorders>
          <w:top w:val="single" w:sz="2" w:space="0" w:color="C9C0B6"/>
          <w:left w:val="single" w:sz="2" w:space="0" w:color="C9C0B6"/>
          <w:bottom w:val="single" w:sz="2" w:space="0" w:color="C9C0B6"/>
          <w:right w:val="single" w:sz="2" w:space="0" w:color="C9C0B6"/>
          <w:insideH w:val="single" w:sz="2" w:space="0" w:color="DCD5CC"/>
          <w:insideV w:val="single" w:sz="2" w:space="0" w:color="DCD5CC"/>
        </w:tblBorders>
        <w:tblCellMar>
          <w:left w:w="10" w:type="dxa"/>
          <w:right w:w="10" w:type="dxa"/>
        </w:tblCellMar>
        <w:tblLook w:val="04A0" w:firstRow="1" w:lastRow="0" w:firstColumn="1" w:lastColumn="0" w:noHBand="0" w:noVBand="1"/>
      </w:tblPr>
      <w:tblGrid>
        <w:gridCol w:w="3248"/>
        <w:gridCol w:w="3249"/>
        <w:gridCol w:w="3249"/>
      </w:tblGrid>
      <w:tr w:rsidR="006A28CF" w14:paraId="14B118CA" w14:textId="77777777">
        <w:trPr>
          <w:tblHeader/>
        </w:trPr>
        <w:tc>
          <w:tcPr>
            <w:tcW w:w="1650" w:type="pct"/>
            <w:shd w:val="clear" w:color="auto" w:fill="F2E9EA"/>
            <w:tcMar>
              <w:top w:w="60" w:type="dxa"/>
              <w:left w:w="90" w:type="dxa"/>
              <w:bottom w:w="60" w:type="dxa"/>
              <w:right w:w="90" w:type="dxa"/>
            </w:tcMar>
          </w:tcPr>
          <w:p w14:paraId="407E0ACA" w14:textId="77777777" w:rsidR="006A28CF" w:rsidRDefault="00000000">
            <w:r>
              <w:rPr>
                <w:rFonts w:ascii="Calibri" w:eastAsia="Calibri" w:hAnsi="Calibri" w:cs="Calibri"/>
                <w:b/>
                <w:bCs/>
                <w:color w:val="1A1A1A"/>
                <w:sz w:val="17"/>
                <w:szCs w:val="17"/>
              </w:rPr>
              <w:t>Temps</w:t>
            </w:r>
          </w:p>
        </w:tc>
        <w:tc>
          <w:tcPr>
            <w:tcW w:w="1650" w:type="pct"/>
            <w:shd w:val="clear" w:color="auto" w:fill="F2E9EA"/>
            <w:tcMar>
              <w:top w:w="60" w:type="dxa"/>
              <w:left w:w="90" w:type="dxa"/>
              <w:bottom w:w="60" w:type="dxa"/>
              <w:right w:w="90" w:type="dxa"/>
            </w:tcMar>
          </w:tcPr>
          <w:p w14:paraId="3E70C32C" w14:textId="77777777" w:rsidR="006A28CF" w:rsidRDefault="00000000">
            <w:r>
              <w:rPr>
                <w:rFonts w:ascii="Calibri" w:eastAsia="Calibri" w:hAnsi="Calibri" w:cs="Calibri"/>
                <w:b/>
                <w:bCs/>
                <w:color w:val="1A1A1A"/>
                <w:sz w:val="17"/>
                <w:szCs w:val="17"/>
              </w:rPr>
              <w:t>Tâche</w:t>
            </w:r>
          </w:p>
        </w:tc>
        <w:tc>
          <w:tcPr>
            <w:tcW w:w="1650" w:type="pct"/>
            <w:shd w:val="clear" w:color="auto" w:fill="F2E9EA"/>
            <w:tcMar>
              <w:top w:w="60" w:type="dxa"/>
              <w:left w:w="90" w:type="dxa"/>
              <w:bottom w:w="60" w:type="dxa"/>
              <w:right w:w="90" w:type="dxa"/>
            </w:tcMar>
          </w:tcPr>
          <w:p w14:paraId="06FC3605" w14:textId="77777777" w:rsidR="006A28CF" w:rsidRDefault="00000000">
            <w:r>
              <w:rPr>
                <w:rFonts w:ascii="Calibri" w:eastAsia="Calibri" w:hAnsi="Calibri" w:cs="Calibri"/>
                <w:b/>
                <w:bCs/>
                <w:color w:val="1A1A1A"/>
                <w:sz w:val="17"/>
                <w:szCs w:val="17"/>
              </w:rPr>
              <w:t>Produit</w:t>
            </w:r>
          </w:p>
        </w:tc>
      </w:tr>
      <w:tr w:rsidR="006A28CF" w14:paraId="308CBAD4" w14:textId="77777777">
        <w:tc>
          <w:tcPr>
            <w:tcW w:w="1650" w:type="pct"/>
            <w:tcMar>
              <w:top w:w="60" w:type="dxa"/>
              <w:left w:w="90" w:type="dxa"/>
              <w:bottom w:w="60" w:type="dxa"/>
              <w:right w:w="90" w:type="dxa"/>
            </w:tcMar>
          </w:tcPr>
          <w:p w14:paraId="6910AEFC" w14:textId="77777777" w:rsidR="006A28CF" w:rsidRDefault="00000000">
            <w:r>
              <w:rPr>
                <w:rFonts w:ascii="Calibri" w:eastAsia="Calibri" w:hAnsi="Calibri" w:cs="Calibri"/>
                <w:color w:val="1A1A1A"/>
                <w:sz w:val="17"/>
                <w:szCs w:val="17"/>
              </w:rPr>
              <w:t>0-12 min</w:t>
            </w:r>
          </w:p>
        </w:tc>
        <w:tc>
          <w:tcPr>
            <w:tcW w:w="1650" w:type="pct"/>
            <w:tcMar>
              <w:top w:w="60" w:type="dxa"/>
              <w:left w:w="90" w:type="dxa"/>
              <w:bottom w:w="60" w:type="dxa"/>
              <w:right w:w="90" w:type="dxa"/>
            </w:tcMar>
          </w:tcPr>
          <w:p w14:paraId="4015DCD4" w14:textId="77777777" w:rsidR="006A28CF" w:rsidRDefault="00000000">
            <w:r>
              <w:rPr>
                <w:rFonts w:ascii="Calibri" w:eastAsia="Calibri" w:hAnsi="Calibri" w:cs="Calibri"/>
                <w:color w:val="1A1A1A"/>
                <w:sz w:val="17"/>
                <w:szCs w:val="17"/>
              </w:rPr>
              <w:t>Deux lectures : la première pour l’histoire, la seconde crayon en main (numéroter les points, souligner les formules, encadrer le dispositif).</w:t>
            </w:r>
          </w:p>
        </w:tc>
        <w:tc>
          <w:tcPr>
            <w:tcW w:w="1650" w:type="pct"/>
            <w:tcMar>
              <w:top w:w="60" w:type="dxa"/>
              <w:left w:w="90" w:type="dxa"/>
              <w:bottom w:w="60" w:type="dxa"/>
              <w:right w:w="90" w:type="dxa"/>
            </w:tcMar>
          </w:tcPr>
          <w:p w14:paraId="21C57E58" w14:textId="77777777" w:rsidR="006A28CF" w:rsidRDefault="00000000">
            <w:r>
              <w:rPr>
                <w:rFonts w:ascii="Calibri" w:eastAsia="Calibri" w:hAnsi="Calibri" w:cs="Calibri"/>
                <w:color w:val="1A1A1A"/>
                <w:sz w:val="17"/>
                <w:szCs w:val="17"/>
              </w:rPr>
              <w:t>Le texte annoté.</w:t>
            </w:r>
          </w:p>
        </w:tc>
      </w:tr>
      <w:tr w:rsidR="006A28CF" w14:paraId="745AB05F" w14:textId="77777777">
        <w:tc>
          <w:tcPr>
            <w:tcW w:w="1650" w:type="pct"/>
            <w:tcMar>
              <w:top w:w="60" w:type="dxa"/>
              <w:left w:w="90" w:type="dxa"/>
              <w:bottom w:w="60" w:type="dxa"/>
              <w:right w:w="90" w:type="dxa"/>
            </w:tcMar>
          </w:tcPr>
          <w:p w14:paraId="21E82E16" w14:textId="77777777" w:rsidR="006A28CF" w:rsidRDefault="00000000">
            <w:r>
              <w:rPr>
                <w:rFonts w:ascii="Calibri" w:eastAsia="Calibri" w:hAnsi="Calibri" w:cs="Calibri"/>
                <w:color w:val="1A1A1A"/>
                <w:sz w:val="17"/>
                <w:szCs w:val="17"/>
              </w:rPr>
              <w:t>12-20 min</w:t>
            </w:r>
          </w:p>
        </w:tc>
        <w:tc>
          <w:tcPr>
            <w:tcW w:w="1650" w:type="pct"/>
            <w:tcMar>
              <w:top w:w="60" w:type="dxa"/>
              <w:left w:w="90" w:type="dxa"/>
              <w:bottom w:w="60" w:type="dxa"/>
              <w:right w:w="90" w:type="dxa"/>
            </w:tcMar>
          </w:tcPr>
          <w:p w14:paraId="633CB803" w14:textId="77777777" w:rsidR="006A28CF" w:rsidRDefault="00000000">
            <w:r>
              <w:rPr>
                <w:rFonts w:ascii="Calibri" w:eastAsia="Calibri" w:hAnsi="Calibri" w:cs="Calibri"/>
                <w:color w:val="1A1A1A"/>
                <w:sz w:val="17"/>
                <w:szCs w:val="17"/>
              </w:rPr>
              <w:t>Fiche de décision : faits, procédure, prétentions, problème de droit, solution.</w:t>
            </w:r>
          </w:p>
        </w:tc>
        <w:tc>
          <w:tcPr>
            <w:tcW w:w="1650" w:type="pct"/>
            <w:tcMar>
              <w:top w:w="60" w:type="dxa"/>
              <w:left w:w="90" w:type="dxa"/>
              <w:bottom w:w="60" w:type="dxa"/>
              <w:right w:w="90" w:type="dxa"/>
            </w:tcMar>
          </w:tcPr>
          <w:p w14:paraId="2B6C49DF" w14:textId="77777777" w:rsidR="006A28CF" w:rsidRDefault="00000000">
            <w:r>
              <w:rPr>
                <w:rFonts w:ascii="Calibri" w:eastAsia="Calibri" w:hAnsi="Calibri" w:cs="Calibri"/>
                <w:color w:val="1A1A1A"/>
                <w:sz w:val="17"/>
                <w:szCs w:val="17"/>
              </w:rPr>
              <w:t>La matière de l’introduction.</w:t>
            </w:r>
          </w:p>
        </w:tc>
      </w:tr>
      <w:tr w:rsidR="006A28CF" w14:paraId="704BC637" w14:textId="77777777">
        <w:tc>
          <w:tcPr>
            <w:tcW w:w="1650" w:type="pct"/>
            <w:tcMar>
              <w:top w:w="60" w:type="dxa"/>
              <w:left w:w="90" w:type="dxa"/>
              <w:bottom w:w="60" w:type="dxa"/>
              <w:right w:w="90" w:type="dxa"/>
            </w:tcMar>
          </w:tcPr>
          <w:p w14:paraId="562D2DD6" w14:textId="77777777" w:rsidR="006A28CF" w:rsidRDefault="00000000">
            <w:r>
              <w:rPr>
                <w:rFonts w:ascii="Calibri" w:eastAsia="Calibri" w:hAnsi="Calibri" w:cs="Calibri"/>
                <w:color w:val="1A1A1A"/>
                <w:sz w:val="17"/>
                <w:szCs w:val="17"/>
              </w:rPr>
              <w:t>20-35 min</w:t>
            </w:r>
          </w:p>
        </w:tc>
        <w:tc>
          <w:tcPr>
            <w:tcW w:w="1650" w:type="pct"/>
            <w:tcMar>
              <w:top w:w="60" w:type="dxa"/>
              <w:left w:w="90" w:type="dxa"/>
              <w:bottom w:w="60" w:type="dxa"/>
              <w:right w:w="90" w:type="dxa"/>
            </w:tcMar>
          </w:tcPr>
          <w:p w14:paraId="1E445837" w14:textId="77777777" w:rsidR="006A28CF" w:rsidRDefault="00000000">
            <w:r>
              <w:rPr>
                <w:rFonts w:ascii="Calibri" w:eastAsia="Calibri" w:hAnsi="Calibri" w:cs="Calibri"/>
                <w:color w:val="1A1A1A"/>
                <w:sz w:val="17"/>
                <w:szCs w:val="17"/>
              </w:rPr>
              <w:t>Recherche de l’axe et du plan : à quoi sert le consentement dans la décision ? Deux parties, deux sous-parties, chacune ancrée sur un point de la décision.</w:t>
            </w:r>
          </w:p>
        </w:tc>
        <w:tc>
          <w:tcPr>
            <w:tcW w:w="1650" w:type="pct"/>
            <w:tcMar>
              <w:top w:w="60" w:type="dxa"/>
              <w:left w:w="90" w:type="dxa"/>
              <w:bottom w:w="60" w:type="dxa"/>
              <w:right w:w="90" w:type="dxa"/>
            </w:tcMar>
          </w:tcPr>
          <w:p w14:paraId="3EF8F7EB" w14:textId="77777777" w:rsidR="006A28CF" w:rsidRDefault="00000000">
            <w:r>
              <w:rPr>
                <w:rFonts w:ascii="Calibri" w:eastAsia="Calibri" w:hAnsi="Calibri" w:cs="Calibri"/>
                <w:color w:val="1A1A1A"/>
                <w:sz w:val="17"/>
                <w:szCs w:val="17"/>
              </w:rPr>
              <w:t>Le plan, intitulés rédigés.</w:t>
            </w:r>
          </w:p>
        </w:tc>
      </w:tr>
      <w:tr w:rsidR="006A28CF" w14:paraId="6CDC7343" w14:textId="77777777">
        <w:tc>
          <w:tcPr>
            <w:tcW w:w="1650" w:type="pct"/>
            <w:tcMar>
              <w:top w:w="60" w:type="dxa"/>
              <w:left w:w="90" w:type="dxa"/>
              <w:bottom w:w="60" w:type="dxa"/>
              <w:right w:w="90" w:type="dxa"/>
            </w:tcMar>
          </w:tcPr>
          <w:p w14:paraId="26000FA3" w14:textId="77777777" w:rsidR="006A28CF" w:rsidRDefault="00000000">
            <w:r>
              <w:rPr>
                <w:rFonts w:ascii="Calibri" w:eastAsia="Calibri" w:hAnsi="Calibri" w:cs="Calibri"/>
                <w:color w:val="1A1A1A"/>
                <w:sz w:val="17"/>
                <w:szCs w:val="17"/>
              </w:rPr>
              <w:t>35-50 min</w:t>
            </w:r>
          </w:p>
        </w:tc>
        <w:tc>
          <w:tcPr>
            <w:tcW w:w="1650" w:type="pct"/>
            <w:tcMar>
              <w:top w:w="60" w:type="dxa"/>
              <w:left w:w="90" w:type="dxa"/>
              <w:bottom w:w="60" w:type="dxa"/>
              <w:right w:w="90" w:type="dxa"/>
            </w:tcMar>
          </w:tcPr>
          <w:p w14:paraId="6B64AA04" w14:textId="77777777" w:rsidR="006A28CF" w:rsidRDefault="00000000">
            <w:r>
              <w:rPr>
                <w:rFonts w:ascii="Calibri" w:eastAsia="Calibri" w:hAnsi="Calibri" w:cs="Calibri"/>
                <w:color w:val="1A1A1A"/>
                <w:sz w:val="17"/>
                <w:szCs w:val="17"/>
              </w:rPr>
              <w:t>Placement des références : une jurisprudence et un texte par sous-partie au minimum ; une critique dans chaque II B.</w:t>
            </w:r>
          </w:p>
        </w:tc>
        <w:tc>
          <w:tcPr>
            <w:tcW w:w="1650" w:type="pct"/>
            <w:tcMar>
              <w:top w:w="60" w:type="dxa"/>
              <w:left w:w="90" w:type="dxa"/>
              <w:bottom w:w="60" w:type="dxa"/>
              <w:right w:w="90" w:type="dxa"/>
            </w:tcMar>
          </w:tcPr>
          <w:p w14:paraId="0FDB5870" w14:textId="77777777" w:rsidR="006A28CF" w:rsidRDefault="00000000">
            <w:r>
              <w:rPr>
                <w:rFonts w:ascii="Calibri" w:eastAsia="Calibri" w:hAnsi="Calibri" w:cs="Calibri"/>
                <w:color w:val="1A1A1A"/>
                <w:sz w:val="17"/>
                <w:szCs w:val="17"/>
              </w:rPr>
              <w:t>Le plan détaillé.</w:t>
            </w:r>
          </w:p>
        </w:tc>
      </w:tr>
      <w:tr w:rsidR="006A28CF" w14:paraId="6DC1F28E" w14:textId="77777777">
        <w:tc>
          <w:tcPr>
            <w:tcW w:w="1650" w:type="pct"/>
            <w:tcMar>
              <w:top w:w="60" w:type="dxa"/>
              <w:left w:w="90" w:type="dxa"/>
              <w:bottom w:w="60" w:type="dxa"/>
              <w:right w:w="90" w:type="dxa"/>
            </w:tcMar>
          </w:tcPr>
          <w:p w14:paraId="603EC27B" w14:textId="77777777" w:rsidR="006A28CF" w:rsidRDefault="00000000">
            <w:r>
              <w:rPr>
                <w:rFonts w:ascii="Calibri" w:eastAsia="Calibri" w:hAnsi="Calibri" w:cs="Calibri"/>
                <w:color w:val="1A1A1A"/>
                <w:sz w:val="17"/>
                <w:szCs w:val="17"/>
              </w:rPr>
              <w:t>50-60 min</w:t>
            </w:r>
          </w:p>
        </w:tc>
        <w:tc>
          <w:tcPr>
            <w:tcW w:w="1650" w:type="pct"/>
            <w:tcMar>
              <w:top w:w="60" w:type="dxa"/>
              <w:left w:w="90" w:type="dxa"/>
              <w:bottom w:w="60" w:type="dxa"/>
              <w:right w:w="90" w:type="dxa"/>
            </w:tcMar>
          </w:tcPr>
          <w:p w14:paraId="62B7CD29" w14:textId="77777777" w:rsidR="006A28CF" w:rsidRDefault="00000000">
            <w:r>
              <w:rPr>
                <w:rFonts w:ascii="Calibri" w:eastAsia="Calibri" w:hAnsi="Calibri" w:cs="Calibri"/>
                <w:color w:val="1A1A1A"/>
                <w:sz w:val="17"/>
                <w:szCs w:val="17"/>
              </w:rPr>
              <w:t>Rédaction intégrale de l’accroche, du problème de droit, de l’annonce et de la conclusion.</w:t>
            </w:r>
          </w:p>
        </w:tc>
        <w:tc>
          <w:tcPr>
            <w:tcW w:w="1650" w:type="pct"/>
            <w:tcMar>
              <w:top w:w="60" w:type="dxa"/>
              <w:left w:w="90" w:type="dxa"/>
              <w:bottom w:w="60" w:type="dxa"/>
              <w:right w:w="90" w:type="dxa"/>
            </w:tcMar>
          </w:tcPr>
          <w:p w14:paraId="40468DFD" w14:textId="77777777" w:rsidR="006A28CF" w:rsidRDefault="00000000">
            <w:r>
              <w:rPr>
                <w:rFonts w:ascii="Calibri" w:eastAsia="Calibri" w:hAnsi="Calibri" w:cs="Calibri"/>
                <w:color w:val="1A1A1A"/>
                <w:sz w:val="17"/>
                <w:szCs w:val="17"/>
              </w:rPr>
              <w:t>Les quatre phrases qu’on ne doit pas improviser.</w:t>
            </w:r>
          </w:p>
        </w:tc>
      </w:tr>
    </w:tbl>
    <w:p w14:paraId="44833503" w14:textId="77777777" w:rsidR="006A28CF" w:rsidRDefault="006A28CF">
      <w:pPr>
        <w:spacing w:after="120"/>
      </w:pPr>
    </w:p>
    <w:p w14:paraId="78957E7E" w14:textId="77777777" w:rsidR="006A28CF" w:rsidRDefault="00000000">
      <w:pPr>
        <w:spacing w:after="90" w:line="264" w:lineRule="auto"/>
        <w:jc w:val="both"/>
      </w:pPr>
      <w:r>
        <w:rPr>
          <w:rFonts w:ascii="Calibri" w:eastAsia="Calibri" w:hAnsi="Calibri" w:cs="Calibri"/>
          <w:b/>
          <w:bCs/>
          <w:color w:val="1A1A1A"/>
        </w:rPr>
        <w:t>À l’oral</w:t>
      </w:r>
      <w:r>
        <w:rPr>
          <w:rFonts w:ascii="Calibri" w:eastAsia="Calibri" w:hAnsi="Calibri" w:cs="Calibri"/>
          <w:color w:val="1A1A1A"/>
        </w:rPr>
        <w:t xml:space="preserve"> (repère donné en séminaire) : environ 4 minutes d’introduction, 5 minutes par partie, 1 minute de conclusion. L’introduction d’un commentaire est plus longue que celle d’une dissertation parce qu’elle porte les faits et la procédure.</w:t>
      </w:r>
    </w:p>
    <w:p w14:paraId="1A228FC7" w14:textId="77777777" w:rsidR="006A28CF" w:rsidRDefault="00000000">
      <w:pPr>
        <w:pStyle w:val="Titre1"/>
        <w:pBdr>
          <w:bottom w:val="single" w:sz="12" w:space="6" w:color="8C1C2B"/>
        </w:pBdr>
        <w:spacing w:before="260" w:after="90"/>
      </w:pPr>
      <w:r>
        <w:rPr>
          <w:rFonts w:ascii="Calibri" w:eastAsia="Calibri" w:hAnsi="Calibri" w:cs="Calibri"/>
          <w:b/>
          <w:bCs/>
          <w:color w:val="8C1C2B"/>
          <w:sz w:val="28"/>
          <w:szCs w:val="28"/>
        </w:rPr>
        <w:t>3. L’INTRODUCTION, RÉDIGÉE MOT À MOT</w:t>
      </w:r>
    </w:p>
    <w:p w14:paraId="3AF27D44" w14:textId="77777777" w:rsidR="006A28CF" w:rsidRDefault="00000000">
      <w:pPr>
        <w:spacing w:after="90" w:line="264" w:lineRule="auto"/>
        <w:jc w:val="both"/>
      </w:pPr>
      <w:r>
        <w:rPr>
          <w:rFonts w:ascii="Calibri" w:eastAsia="Calibri" w:hAnsi="Calibri" w:cs="Calibri"/>
          <w:color w:val="1A1A1A"/>
        </w:rPr>
        <w:t>À apprendre dans sa structure, non par cœur. Durée à l’oral : environ quatre minutes.</w:t>
      </w:r>
    </w:p>
    <w:p w14:paraId="03BC677C" w14:textId="77777777" w:rsidR="006A28CF" w:rsidRDefault="00000000">
      <w:pPr>
        <w:pStyle w:val="Titre3"/>
        <w:spacing w:before="200" w:after="80"/>
      </w:pPr>
      <w:r>
        <w:rPr>
          <w:rFonts w:ascii="Calibri" w:eastAsia="Calibri" w:hAnsi="Calibri" w:cs="Calibri"/>
          <w:b/>
          <w:bCs/>
          <w:i/>
          <w:iCs/>
          <w:color w:val="1A1A1A"/>
          <w:sz w:val="21"/>
          <w:szCs w:val="21"/>
        </w:rPr>
        <w:t>Accroche</w:t>
      </w:r>
    </w:p>
    <w:p w14:paraId="6DDAA1FD" w14:textId="77777777" w:rsidR="006A28CF" w:rsidRDefault="00000000">
      <w:pPr>
        <w:spacing w:after="110" w:line="288" w:lineRule="auto"/>
        <w:ind w:left="180" w:right="180"/>
        <w:jc w:val="both"/>
      </w:pPr>
      <w:r>
        <w:rPr>
          <w:rFonts w:ascii="Calibri" w:eastAsia="Calibri" w:hAnsi="Calibri" w:cs="Calibri"/>
          <w:color w:val="1A1A1A"/>
        </w:rPr>
        <w:t>« En 1995, le Conseil d’État jugeait que Manuel Wackenheim ne pouvait pas consentir à être lancé comme un projectile, même rémunéré, même protégé. Trente ans plus tard, il était saisi d’une autre forme de consentement, celui de femmes qui auraient accepté de “consentir à ne pas consentir”. La réponse est la même ; le chemin pour y parvenir ne l’est plus. »</w:t>
      </w:r>
    </w:p>
    <w:p w14:paraId="77854B9C" w14:textId="77777777" w:rsidR="006A28CF" w:rsidRDefault="00000000">
      <w:pPr>
        <w:pStyle w:val="Titre3"/>
        <w:spacing w:before="200" w:after="80"/>
      </w:pPr>
      <w:r>
        <w:rPr>
          <w:rFonts w:ascii="Calibri" w:eastAsia="Calibri" w:hAnsi="Calibri" w:cs="Calibri"/>
          <w:b/>
          <w:bCs/>
          <w:i/>
          <w:iCs/>
          <w:color w:val="1A1A1A"/>
          <w:sz w:val="21"/>
          <w:szCs w:val="21"/>
        </w:rPr>
        <w:lastRenderedPageBreak/>
        <w:t>Présentation de la décision</w:t>
      </w:r>
    </w:p>
    <w:p w14:paraId="4FB2A4AB" w14:textId="77777777" w:rsidR="006A28CF" w:rsidRDefault="00000000">
      <w:pPr>
        <w:spacing w:after="110" w:line="288" w:lineRule="auto"/>
        <w:ind w:left="180" w:right="180"/>
        <w:jc w:val="both"/>
      </w:pPr>
      <w:r>
        <w:rPr>
          <w:rFonts w:ascii="Calibri" w:eastAsia="Calibri" w:hAnsi="Calibri" w:cs="Calibri"/>
          <w:color w:val="1A1A1A"/>
        </w:rPr>
        <w:t>« C’est l’objet de la décision rendue le 15 juillet 2026 par le Conseil d’État, en 5e et 6e chambres réunies, Préfet de police et ministre de l’intérieur contre Société Z Machine, mentionnée aux tables du Recueil Lebon. »</w:t>
      </w:r>
    </w:p>
    <w:p w14:paraId="13641DD9" w14:textId="77777777" w:rsidR="006A28CF" w:rsidRDefault="00000000">
      <w:pPr>
        <w:pStyle w:val="Titre3"/>
        <w:spacing w:before="200" w:after="80"/>
      </w:pPr>
      <w:r>
        <w:rPr>
          <w:rFonts w:ascii="Calibri" w:eastAsia="Calibri" w:hAnsi="Calibri" w:cs="Calibri"/>
          <w:b/>
          <w:bCs/>
          <w:i/>
          <w:iCs/>
          <w:color w:val="1A1A1A"/>
          <w:sz w:val="21"/>
          <w:szCs w:val="21"/>
        </w:rPr>
        <w:t>Les faits</w:t>
      </w:r>
    </w:p>
    <w:p w14:paraId="02D9CCA0" w14:textId="77777777" w:rsidR="006A28CF" w:rsidRDefault="00000000">
      <w:pPr>
        <w:spacing w:after="110" w:line="288" w:lineRule="auto"/>
        <w:ind w:left="180" w:right="180"/>
        <w:jc w:val="both"/>
      </w:pPr>
      <w:r>
        <w:rPr>
          <w:rFonts w:ascii="Calibri" w:eastAsia="Calibri" w:hAnsi="Calibri" w:cs="Calibri"/>
          <w:color w:val="1A1A1A"/>
        </w:rPr>
        <w:t>« La société Z Machine exploitait à Paris, rue d’Alleray, un établissement organisant contre paiement des rencontres sexuelles collectives entre un groupe d’hommes et une ou plusieurs femmes, dites “gang bangs”, sur la base de scénarios mettant en scène agressions, violences, séquestrations ou enlèvements. Par un arrêté du 21 janvier 2026, le préfet de police, agissant comme autorité de police municipale de la Ville de Paris, en a prononcé la fermeture administrative, en invoquant l’atteinte à la tranquillité et à la moralité publiques, l’atteinte à la dignité de la personne humaine et le risque de commission d’infractions pénales. »</w:t>
      </w:r>
    </w:p>
    <w:p w14:paraId="788BD1D7" w14:textId="77777777" w:rsidR="006A28CF" w:rsidRDefault="00000000">
      <w:pPr>
        <w:pStyle w:val="Titre3"/>
        <w:spacing w:before="200" w:after="80"/>
      </w:pPr>
      <w:r>
        <w:rPr>
          <w:rFonts w:ascii="Calibri" w:eastAsia="Calibri" w:hAnsi="Calibri" w:cs="Calibri"/>
          <w:b/>
          <w:bCs/>
          <w:i/>
          <w:iCs/>
          <w:color w:val="1A1A1A"/>
          <w:sz w:val="21"/>
          <w:szCs w:val="21"/>
        </w:rPr>
        <w:t>La procédure</w:t>
      </w:r>
    </w:p>
    <w:p w14:paraId="26FE1C65" w14:textId="77777777" w:rsidR="006A28CF" w:rsidRDefault="00000000">
      <w:pPr>
        <w:spacing w:after="110" w:line="288" w:lineRule="auto"/>
        <w:ind w:left="180" w:right="180"/>
        <w:jc w:val="both"/>
      </w:pPr>
      <w:r>
        <w:rPr>
          <w:rFonts w:ascii="Calibri" w:eastAsia="Calibri" w:hAnsi="Calibri" w:cs="Calibri"/>
          <w:color w:val="1A1A1A"/>
        </w:rPr>
        <w:t>« Saisi par la société sur le fondement de l’article L. 521-1 du code de justice administrative, le juge des référés du tribunal administratif de Paris a suspendu l’exécution de l’arrêté par une ordonnance du 9 février 2026 : l’urgence était caractérisée, et chacun des trois motifs faisait naître un doute sérieux. Le préfet de police et le ministre de l’intérieur se sont pourvus en cassation, soutenus par la Ville de Paris et par trois associations féministes. »</w:t>
      </w:r>
    </w:p>
    <w:p w14:paraId="7D941FAF" w14:textId="77777777" w:rsidR="006A28CF" w:rsidRDefault="00000000">
      <w:pPr>
        <w:pStyle w:val="Titre3"/>
        <w:spacing w:before="200" w:after="80"/>
      </w:pPr>
      <w:r>
        <w:rPr>
          <w:rFonts w:ascii="Calibri" w:eastAsia="Calibri" w:hAnsi="Calibri" w:cs="Calibri"/>
          <w:b/>
          <w:bCs/>
          <w:i/>
          <w:iCs/>
          <w:color w:val="1A1A1A"/>
          <w:sz w:val="21"/>
          <w:szCs w:val="21"/>
        </w:rPr>
        <w:t>Les prétentions</w:t>
      </w:r>
    </w:p>
    <w:p w14:paraId="36908A57" w14:textId="77777777" w:rsidR="006A28CF" w:rsidRDefault="00000000">
      <w:pPr>
        <w:spacing w:after="110" w:line="288" w:lineRule="auto"/>
        <w:ind w:left="180" w:right="180"/>
        <w:jc w:val="both"/>
      </w:pPr>
      <w:r>
        <w:rPr>
          <w:rFonts w:ascii="Calibri" w:eastAsia="Calibri" w:hAnsi="Calibri" w:cs="Calibri"/>
          <w:color w:val="1A1A1A"/>
        </w:rPr>
        <w:t>« Pour la société, les participantes déterminaient elles-mêmes le déroulement des événements et pouvaient les interrompre à tout moment : leur consentement excluait toute atteinte à la dignité, et quinze années d’activité sans poursuites excluaient tout risque pénal. Pour l’administration, le consentement était inopérant face à la dignité, et les pièces établissaient un risque d’agressions sexuelles. »</w:t>
      </w:r>
    </w:p>
    <w:p w14:paraId="6217F88E" w14:textId="77777777" w:rsidR="006A28CF" w:rsidRDefault="00000000">
      <w:pPr>
        <w:pStyle w:val="Titre3"/>
        <w:spacing w:before="200" w:after="80"/>
      </w:pPr>
      <w:r>
        <w:rPr>
          <w:rFonts w:ascii="Calibri" w:eastAsia="Calibri" w:hAnsi="Calibri" w:cs="Calibri"/>
          <w:b/>
          <w:bCs/>
          <w:i/>
          <w:iCs/>
          <w:color w:val="1A1A1A"/>
          <w:sz w:val="21"/>
          <w:szCs w:val="21"/>
        </w:rPr>
        <w:t>Le problème de droit</w:t>
      </w:r>
    </w:p>
    <w:p w14:paraId="4CA74E54" w14:textId="77777777" w:rsidR="006A28CF" w:rsidRDefault="00000000">
      <w:pPr>
        <w:spacing w:after="110" w:line="288" w:lineRule="auto"/>
        <w:ind w:left="180" w:right="180"/>
        <w:jc w:val="both"/>
      </w:pPr>
      <w:r>
        <w:rPr>
          <w:rFonts w:ascii="Calibri" w:eastAsia="Calibri" w:hAnsi="Calibri" w:cs="Calibri"/>
          <w:color w:val="1A1A1A"/>
        </w:rPr>
        <w:t>« La question posée au Conseil d’État était donc la suivante : le consentement organisé des participantes fait-il obstacle à ce que l’autorité de police retienne, pour fermer un établissement, une atteinte à la dignité de la personne humaine et un risque de commission d’infractions sexuelles ? »</w:t>
      </w:r>
    </w:p>
    <w:p w14:paraId="4974D830" w14:textId="77777777" w:rsidR="006A28CF" w:rsidRDefault="00000000">
      <w:pPr>
        <w:pStyle w:val="Titre3"/>
        <w:spacing w:before="200" w:after="80"/>
      </w:pPr>
      <w:r>
        <w:rPr>
          <w:rFonts w:ascii="Calibri" w:eastAsia="Calibri" w:hAnsi="Calibri" w:cs="Calibri"/>
          <w:b/>
          <w:bCs/>
          <w:i/>
          <w:iCs/>
          <w:color w:val="1A1A1A"/>
          <w:sz w:val="21"/>
          <w:szCs w:val="21"/>
        </w:rPr>
        <w:t>La solution</w:t>
      </w:r>
    </w:p>
    <w:p w14:paraId="229683F4" w14:textId="77777777" w:rsidR="006A28CF" w:rsidRDefault="00000000">
      <w:pPr>
        <w:spacing w:after="110" w:line="288" w:lineRule="auto"/>
        <w:ind w:left="180" w:right="180"/>
        <w:jc w:val="both"/>
      </w:pPr>
      <w:r>
        <w:rPr>
          <w:rFonts w:ascii="Calibri" w:eastAsia="Calibri" w:hAnsi="Calibri" w:cs="Calibri"/>
          <w:color w:val="1A1A1A"/>
        </w:rPr>
        <w:t>« Le Conseil d’État répond par la négative. Il annule l’ordonnance pour erreur de droit, le juge des référés n’ayant pas recherché si l’activité portait “par elle-même” atteinte à la dignité, et pour dénaturation, les pièces révélant l’absence de garanties d’un consentement “libre, éclairé et révocable”. Réglant l’affaire, il rejette la demande de suspension. »</w:t>
      </w:r>
    </w:p>
    <w:p w14:paraId="0350EB4E" w14:textId="77777777" w:rsidR="006A28CF" w:rsidRDefault="00000000">
      <w:pPr>
        <w:pStyle w:val="Titre3"/>
        <w:spacing w:before="200" w:after="80"/>
      </w:pPr>
      <w:r>
        <w:rPr>
          <w:rFonts w:ascii="Calibri" w:eastAsia="Calibri" w:hAnsi="Calibri" w:cs="Calibri"/>
          <w:b/>
          <w:bCs/>
          <w:i/>
          <w:iCs/>
          <w:color w:val="1A1A1A"/>
          <w:sz w:val="21"/>
          <w:szCs w:val="21"/>
        </w:rPr>
        <w:t>L’intérêt</w:t>
      </w:r>
    </w:p>
    <w:p w14:paraId="525FC3A3" w14:textId="77777777" w:rsidR="006A28CF" w:rsidRDefault="00000000">
      <w:pPr>
        <w:spacing w:after="110" w:line="288" w:lineRule="auto"/>
        <w:ind w:left="180" w:right="180"/>
        <w:jc w:val="both"/>
      </w:pPr>
      <w:r>
        <w:rPr>
          <w:rFonts w:ascii="Calibri" w:eastAsia="Calibri" w:hAnsi="Calibri" w:cs="Calibri"/>
          <w:color w:val="1A1A1A"/>
        </w:rPr>
        <w:t>« L’intérêt de la décision tient dans un paradoxe : le consentement y est à la fois indifférent et exigé. Indifférent pour caractériser l’atteinte à la dignité, que le juge apprécie dans la nature même de l’activité ; exigé, avec les garanties nouvelles que lui donne le code pénal depuis la loi du 6 novembre 2025, pour écarter le risque d’infractions. Le Conseil d’État prolonge ainsi Morsang-sur-Orge tout en adossant, pour la première fois aussi nettement, la police administrative au droit pénal du consentement. »</w:t>
      </w:r>
    </w:p>
    <w:p w14:paraId="3EE115D1" w14:textId="77777777" w:rsidR="006A28CF" w:rsidRDefault="00000000">
      <w:pPr>
        <w:pStyle w:val="Titre3"/>
        <w:spacing w:before="200" w:after="80"/>
      </w:pPr>
      <w:r>
        <w:rPr>
          <w:rFonts w:ascii="Calibri" w:eastAsia="Calibri" w:hAnsi="Calibri" w:cs="Calibri"/>
          <w:b/>
          <w:bCs/>
          <w:i/>
          <w:iCs/>
          <w:color w:val="1A1A1A"/>
          <w:sz w:val="21"/>
          <w:szCs w:val="21"/>
        </w:rPr>
        <w:t>L’annonce du plan</w:t>
      </w:r>
    </w:p>
    <w:p w14:paraId="5C0EB5FC" w14:textId="77777777" w:rsidR="006A28CF" w:rsidRDefault="00000000">
      <w:pPr>
        <w:spacing w:after="110" w:line="288" w:lineRule="auto"/>
        <w:ind w:left="180" w:right="180"/>
        <w:jc w:val="both"/>
      </w:pPr>
      <w:r>
        <w:rPr>
          <w:rFonts w:ascii="Calibri" w:eastAsia="Calibri" w:hAnsi="Calibri" w:cs="Calibri"/>
          <w:color w:val="1A1A1A"/>
        </w:rPr>
        <w:t>« Nous verrons donc que le consentement est d’abord tenu pour indifférent, la dignité constituant une limite objective de l’activité (I), avant d’être exigé, comme critère de la prévention des infractions sexuelles (II). »</w:t>
      </w:r>
    </w:p>
    <w:p w14:paraId="3B687431" w14:textId="77777777" w:rsidR="006A28CF" w:rsidRDefault="00000000">
      <w:pPr>
        <w:pStyle w:val="Titre1"/>
        <w:pBdr>
          <w:bottom w:val="single" w:sz="12" w:space="6" w:color="8C1C2B"/>
        </w:pBdr>
        <w:spacing w:before="260" w:after="90"/>
      </w:pPr>
      <w:r>
        <w:rPr>
          <w:rFonts w:ascii="Calibri" w:eastAsia="Calibri" w:hAnsi="Calibri" w:cs="Calibri"/>
          <w:b/>
          <w:bCs/>
          <w:color w:val="8C1C2B"/>
          <w:sz w:val="28"/>
          <w:szCs w:val="28"/>
        </w:rPr>
        <w:t>4. LE PLAN DÉTAILLÉ</w:t>
      </w:r>
    </w:p>
    <w:p w14:paraId="313E4801" w14:textId="77777777" w:rsidR="006A28CF" w:rsidRDefault="00000000">
      <w:pPr>
        <w:pStyle w:val="Titre2"/>
        <w:spacing w:before="260" w:after="110"/>
      </w:pPr>
      <w:r>
        <w:rPr>
          <w:rFonts w:ascii="Calibri" w:eastAsia="Calibri" w:hAnsi="Calibri" w:cs="Calibri"/>
          <w:b/>
          <w:bCs/>
          <w:color w:val="1A1A1A"/>
          <w:spacing w:val="16"/>
          <w:sz w:val="23"/>
          <w:szCs w:val="23"/>
        </w:rPr>
        <w:t>I. Le consentement indifférent : la dignité, limite objective de l’activité</w:t>
      </w:r>
    </w:p>
    <w:p w14:paraId="3D5D1DCA" w14:textId="77777777" w:rsidR="006A28CF" w:rsidRDefault="00000000">
      <w:pPr>
        <w:spacing w:after="90" w:line="264" w:lineRule="auto"/>
        <w:jc w:val="both"/>
      </w:pPr>
      <w:r>
        <w:rPr>
          <w:rFonts w:ascii="Calibri" w:eastAsia="Calibri" w:hAnsi="Calibri" w:cs="Calibri"/>
          <w:i/>
          <w:iCs/>
          <w:color w:val="1A1A1A"/>
        </w:rPr>
        <w:t>Chapeau à dire à l’oral.</w:t>
      </w:r>
      <w:r>
        <w:rPr>
          <w:rFonts w:ascii="Calibri" w:eastAsia="Calibri" w:hAnsi="Calibri" w:cs="Calibri"/>
          <w:color w:val="1A1A1A"/>
        </w:rPr>
        <w:t xml:space="preserve"> Le Conseil d’État reprend le principe posé en 1995 (A), mais il en précise la méthode : l’atteinte se lit dans l’activité elle-même, non dans la volonté de celles qui y participent (B).</w:t>
      </w:r>
    </w:p>
    <w:p w14:paraId="384C968A" w14:textId="77777777" w:rsidR="006A28CF" w:rsidRDefault="00000000">
      <w:pPr>
        <w:pStyle w:val="Titre3"/>
        <w:spacing w:before="200" w:after="80"/>
      </w:pPr>
      <w:r>
        <w:rPr>
          <w:rFonts w:ascii="Calibri" w:eastAsia="Calibri" w:hAnsi="Calibri" w:cs="Calibri"/>
          <w:b/>
          <w:bCs/>
          <w:i/>
          <w:iCs/>
          <w:color w:val="1A1A1A"/>
          <w:sz w:val="21"/>
          <w:szCs w:val="21"/>
        </w:rPr>
        <w:lastRenderedPageBreak/>
        <w:t>A. La dignité, composante autonome de l’ordre public</w:t>
      </w:r>
    </w:p>
    <w:p w14:paraId="6D3802E6"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Point d’ancrage</w:t>
      </w:r>
      <w:r>
        <w:rPr>
          <w:rFonts w:ascii="Calibri" w:eastAsia="Calibri" w:hAnsi="Calibri" w:cs="Calibri"/>
          <w:color w:val="1A1A1A"/>
        </w:rPr>
        <w:t xml:space="preserve"> : le point 4, qui reprend presque mot pour mot </w:t>
      </w:r>
      <w:r>
        <w:rPr>
          <w:rFonts w:ascii="Calibri" w:eastAsia="Calibri" w:hAnsi="Calibri" w:cs="Calibri"/>
          <w:color w:val="E91E63"/>
        </w:rPr>
        <w:t>Morsang-sur-Orge</w:t>
      </w:r>
      <w:r>
        <w:rPr>
          <w:rFonts w:ascii="Calibri" w:eastAsia="Calibri" w:hAnsi="Calibri" w:cs="Calibri"/>
          <w:color w:val="1A1A1A"/>
        </w:rPr>
        <w:t xml:space="preserve"> (« une des composantes de l’ordre public » ; « même en l’absence de circonstances locales particulières »).</w:t>
      </w:r>
    </w:p>
    <w:p w14:paraId="18D4186F"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L’extension</w:t>
      </w:r>
      <w:r>
        <w:rPr>
          <w:rFonts w:ascii="Calibri" w:eastAsia="Calibri" w:hAnsi="Calibri" w:cs="Calibri"/>
          <w:color w:val="1A1A1A"/>
        </w:rPr>
        <w:t xml:space="preserve"> : 1995 visait une « attraction » ; 2026 vise « l’exercice d’une activité par un établissement ». La dignité devient le fondement d’une </w:t>
      </w:r>
      <w:r>
        <w:rPr>
          <w:rFonts w:ascii="Calibri" w:eastAsia="Calibri" w:hAnsi="Calibri" w:cs="Calibri"/>
          <w:b/>
          <w:bCs/>
          <w:color w:val="1A1A1A"/>
        </w:rPr>
        <w:t>fermeture</w:t>
      </w:r>
      <w:r>
        <w:rPr>
          <w:rFonts w:ascii="Calibri" w:eastAsia="Calibri" w:hAnsi="Calibri" w:cs="Calibri"/>
          <w:color w:val="1A1A1A"/>
        </w:rPr>
        <w:t xml:space="preserve">, mesure plus grave qu’une interdiction de spectacle, qui atteint directement la liberté du commerce et de l’industrie (décret d’Allarde ; </w:t>
      </w:r>
      <w:r>
        <w:rPr>
          <w:rFonts w:ascii="Calibri" w:eastAsia="Calibri" w:hAnsi="Calibri" w:cs="Calibri"/>
          <w:color w:val="1E88E5"/>
        </w:rPr>
        <w:t>art. 4 DDHC</w:t>
      </w:r>
      <w:r>
        <w:rPr>
          <w:rFonts w:ascii="Calibri" w:eastAsia="Calibri" w:hAnsi="Calibri" w:cs="Calibri"/>
          <w:color w:val="1A1A1A"/>
        </w:rPr>
        <w:t>).</w:t>
      </w:r>
    </w:p>
    <w:p w14:paraId="1BBA1CF0"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La substitution à la moralité</w:t>
      </w:r>
      <w:r>
        <w:rPr>
          <w:rFonts w:ascii="Calibri" w:eastAsia="Calibri" w:hAnsi="Calibri" w:cs="Calibri"/>
          <w:color w:val="1A1A1A"/>
        </w:rPr>
        <w:t xml:space="preserve"> : le juge des référés avait appliqué </w:t>
      </w:r>
      <w:r>
        <w:rPr>
          <w:rFonts w:ascii="Calibri" w:eastAsia="Calibri" w:hAnsi="Calibri" w:cs="Calibri"/>
          <w:color w:val="E91E63"/>
        </w:rPr>
        <w:t>Lutetia</w:t>
      </w:r>
      <w:r>
        <w:rPr>
          <w:rFonts w:ascii="Calibri" w:eastAsia="Calibri" w:hAnsi="Calibri" w:cs="Calibri"/>
          <w:color w:val="1A1A1A"/>
        </w:rPr>
        <w:t xml:space="preserve"> (moralité publique, à condition de circonstances locales) et constaté l’absence de troubles. Le Conseil d’État ne le contredit pas : il passe par la dignité, qui </w:t>
      </w:r>
      <w:r>
        <w:rPr>
          <w:rFonts w:ascii="Calibri" w:eastAsia="Calibri" w:hAnsi="Calibri" w:cs="Calibri"/>
          <w:b/>
          <w:bCs/>
          <w:color w:val="1A1A1A"/>
        </w:rPr>
        <w:t>dispense de toute circonstance locale</w:t>
      </w:r>
      <w:r>
        <w:rPr>
          <w:rFonts w:ascii="Calibri" w:eastAsia="Calibri" w:hAnsi="Calibri" w:cs="Calibri"/>
          <w:color w:val="1A1A1A"/>
        </w:rPr>
        <w:t xml:space="preserve">, et neutralise le motif de moralité par la technique de </w:t>
      </w:r>
      <w:r>
        <w:rPr>
          <w:rFonts w:ascii="Calibri" w:eastAsia="Calibri" w:hAnsi="Calibri" w:cs="Calibri"/>
          <w:color w:val="E91E63"/>
        </w:rPr>
        <w:t>Dame Perrot</w:t>
      </w:r>
      <w:r>
        <w:rPr>
          <w:rFonts w:ascii="Calibri" w:eastAsia="Calibri" w:hAnsi="Calibri" w:cs="Calibri"/>
          <w:color w:val="1A1A1A"/>
        </w:rPr>
        <w:t xml:space="preserve"> </w:t>
      </w:r>
      <w:r w:rsidRPr="00C162EB">
        <w:rPr>
          <w:rFonts w:ascii="Calibri" w:eastAsia="Calibri" w:hAnsi="Calibri" w:cs="Calibri"/>
          <w:color w:val="E91D62"/>
        </w:rPr>
        <w:t>(1968)</w:t>
      </w:r>
      <w:r>
        <w:rPr>
          <w:rFonts w:ascii="Calibri" w:eastAsia="Calibri" w:hAnsi="Calibri" w:cs="Calibri"/>
          <w:color w:val="1A1A1A"/>
        </w:rPr>
        <w:t>. C’est le cœur de la critique doctrinale : la dignité, « version contemporaine » de la moralité ?</w:t>
      </w:r>
    </w:p>
    <w:p w14:paraId="4DF4E905"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La légitimité du fondement</w:t>
      </w:r>
      <w:r>
        <w:rPr>
          <w:rFonts w:ascii="Calibri" w:eastAsia="Calibri" w:hAnsi="Calibri" w:cs="Calibri"/>
          <w:color w:val="1A1A1A"/>
        </w:rPr>
        <w:t xml:space="preserve"> : principe à valeur constitutionnelle (</w:t>
      </w:r>
      <w:r>
        <w:rPr>
          <w:rFonts w:ascii="Calibri" w:eastAsia="Calibri" w:hAnsi="Calibri" w:cs="Calibri"/>
          <w:color w:val="E91E63"/>
        </w:rPr>
        <w:t>94-343/344 DC</w:t>
      </w:r>
      <w:r>
        <w:rPr>
          <w:rFonts w:ascii="Calibri" w:eastAsia="Calibri" w:hAnsi="Calibri" w:cs="Calibri"/>
          <w:color w:val="1A1A1A"/>
        </w:rPr>
        <w:t xml:space="preserve">) ; </w:t>
      </w:r>
      <w:r>
        <w:rPr>
          <w:rFonts w:ascii="Calibri" w:eastAsia="Calibri" w:hAnsi="Calibri" w:cs="Calibri"/>
          <w:color w:val="1E88E5"/>
        </w:rPr>
        <w:t>art. 1er CDFUE</w:t>
      </w:r>
      <w:r>
        <w:rPr>
          <w:rFonts w:ascii="Calibri" w:eastAsia="Calibri" w:hAnsi="Calibri" w:cs="Calibri"/>
          <w:color w:val="1A1A1A"/>
        </w:rPr>
        <w:t xml:space="preserve"> ; en droit de l’Union, </w:t>
      </w:r>
      <w:r w:rsidRPr="00C162EB">
        <w:rPr>
          <w:rFonts w:ascii="Calibri" w:eastAsia="Calibri" w:hAnsi="Calibri" w:cs="Calibri"/>
          <w:color w:val="E91D62"/>
        </w:rPr>
        <w:t xml:space="preserve">Omega (2004) </w:t>
      </w:r>
      <w:r>
        <w:rPr>
          <w:rFonts w:ascii="Calibri" w:eastAsia="Calibri" w:hAnsi="Calibri" w:cs="Calibri"/>
          <w:color w:val="1A1A1A"/>
        </w:rPr>
        <w:t>admet qu’un État restreigne une liberté économique au nom de sa propre conception de la dignité.</w:t>
      </w:r>
    </w:p>
    <w:p w14:paraId="479C49BF" w14:textId="77777777" w:rsidR="006A28CF" w:rsidRDefault="00000000">
      <w:pPr>
        <w:pStyle w:val="Titre3"/>
        <w:spacing w:before="200" w:after="80"/>
      </w:pPr>
      <w:r>
        <w:rPr>
          <w:rFonts w:ascii="Calibri" w:eastAsia="Calibri" w:hAnsi="Calibri" w:cs="Calibri"/>
          <w:b/>
          <w:bCs/>
          <w:i/>
          <w:iCs/>
          <w:color w:val="1A1A1A"/>
          <w:sz w:val="21"/>
          <w:szCs w:val="21"/>
        </w:rPr>
        <w:t>B. Une atteinte appréciée dans la nature de l’activité, non dans la volonté des participantes</w:t>
      </w:r>
    </w:p>
    <w:p w14:paraId="51C5F190"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Point d’ancrage</w:t>
      </w:r>
      <w:r>
        <w:rPr>
          <w:rFonts w:ascii="Calibri" w:eastAsia="Calibri" w:hAnsi="Calibri" w:cs="Calibri"/>
          <w:color w:val="1A1A1A"/>
        </w:rPr>
        <w:t xml:space="preserve"> : le point 7 et son erreur de droit. Le juge des référés s’était « borné » à constater que les femmes déterminaient le déroulement et pouvaient l’interrompre. Il devait rechercher si l’activité était « </w:t>
      </w:r>
      <w:r>
        <w:rPr>
          <w:rFonts w:ascii="Calibri" w:eastAsia="Calibri" w:hAnsi="Calibri" w:cs="Calibri"/>
          <w:b/>
          <w:bCs/>
          <w:color w:val="1A1A1A"/>
        </w:rPr>
        <w:t>par elle-même</w:t>
      </w:r>
      <w:r>
        <w:rPr>
          <w:rFonts w:ascii="Calibri" w:eastAsia="Calibri" w:hAnsi="Calibri" w:cs="Calibri"/>
          <w:color w:val="1A1A1A"/>
        </w:rPr>
        <w:t xml:space="preserve"> » attentatoire à la dignité.</w:t>
      </w:r>
    </w:p>
    <w:p w14:paraId="31D0FE99"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La méthode in concreto</w:t>
      </w:r>
      <w:r>
        <w:rPr>
          <w:rFonts w:ascii="Calibri" w:eastAsia="Calibri" w:hAnsi="Calibri" w:cs="Calibri"/>
          <w:color w:val="1A1A1A"/>
        </w:rPr>
        <w:t xml:space="preserve"> : « caractéristiques propres des activités », « conditions concrètes d’organisation et de déroulement ». Ce ne sont pas les pratiques sexuelles collectives en tant que telles qui sont visées, mais un dispositif commercial précis : paiement par les hommes, invitation à « utiliser le corps » d’une femme « de toutes les manières possibles », scénarios d’agression, hommes « invités à se montrer injurieux et virulents ».</w:t>
      </w:r>
    </w:p>
    <w:p w14:paraId="39C412E4"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L’indifférence du consentement</w:t>
      </w:r>
      <w:r>
        <w:rPr>
          <w:rFonts w:ascii="Calibri" w:eastAsia="Calibri" w:hAnsi="Calibri" w:cs="Calibri"/>
          <w:color w:val="1A1A1A"/>
        </w:rPr>
        <w:t xml:space="preserve"> : « quand bien même » la mise en scène serait agréée et les femmes non rémunérées. Comme en 1995, la dignité est une notion </w:t>
      </w:r>
      <w:r>
        <w:rPr>
          <w:rFonts w:ascii="Calibri" w:eastAsia="Calibri" w:hAnsi="Calibri" w:cs="Calibri"/>
          <w:b/>
          <w:bCs/>
          <w:color w:val="1A1A1A"/>
        </w:rPr>
        <w:t>objective</w:t>
      </w:r>
      <w:r>
        <w:rPr>
          <w:rFonts w:ascii="Calibri" w:eastAsia="Calibri" w:hAnsi="Calibri" w:cs="Calibri"/>
          <w:color w:val="1A1A1A"/>
        </w:rPr>
        <w:t xml:space="preserve">, qui protège la personne humaine en tant que telle, au besoin contre elle-même. La qualification finale, « réduites à un rôle exclusif d’objet sexuel » (point 13), est celle de la </w:t>
      </w:r>
      <w:r>
        <w:rPr>
          <w:rFonts w:ascii="Calibri" w:eastAsia="Calibri" w:hAnsi="Calibri" w:cs="Calibri"/>
          <w:b/>
          <w:bCs/>
          <w:color w:val="1A1A1A"/>
        </w:rPr>
        <w:t>réification</w:t>
      </w:r>
      <w:r>
        <w:rPr>
          <w:rFonts w:ascii="Calibri" w:eastAsia="Calibri" w:hAnsi="Calibri" w:cs="Calibri"/>
          <w:color w:val="1A1A1A"/>
        </w:rPr>
        <w:t>.</w:t>
      </w:r>
    </w:p>
    <w:p w14:paraId="32159077"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Le contrepoint européen</w:t>
      </w:r>
      <w:r>
        <w:rPr>
          <w:rFonts w:ascii="Calibri" w:eastAsia="Calibri" w:hAnsi="Calibri" w:cs="Calibri"/>
          <w:color w:val="1A1A1A"/>
        </w:rPr>
        <w:t xml:space="preserve"> : la Cour reconnaît une liberté sexuelle très large (</w:t>
      </w:r>
      <w:r>
        <w:rPr>
          <w:rFonts w:ascii="Calibri" w:eastAsia="Calibri" w:hAnsi="Calibri" w:cs="Calibri"/>
          <w:color w:val="E91E63"/>
        </w:rPr>
        <w:t>K.A. et A.D</w:t>
      </w:r>
      <w:r w:rsidRPr="00A91B4C">
        <w:rPr>
          <w:rFonts w:ascii="Calibri" w:eastAsia="Calibri" w:hAnsi="Calibri" w:cs="Calibri"/>
          <w:color w:val="E91D62"/>
        </w:rPr>
        <w:t>., 2005</w:t>
      </w:r>
      <w:r>
        <w:rPr>
          <w:rFonts w:ascii="Calibri" w:eastAsia="Calibri" w:hAnsi="Calibri" w:cs="Calibri"/>
          <w:color w:val="1A1A1A"/>
        </w:rPr>
        <w:t>), mais n’a jamais condamné un État pour avoir restreint des pratiques sexuelles violentes (</w:t>
      </w:r>
      <w:r w:rsidRPr="00A91B4C">
        <w:rPr>
          <w:rFonts w:ascii="Calibri" w:eastAsia="Calibri" w:hAnsi="Calibri" w:cs="Calibri"/>
          <w:color w:val="E91D62"/>
        </w:rPr>
        <w:t>Laskey, 1997</w:t>
      </w:r>
      <w:r>
        <w:rPr>
          <w:rFonts w:ascii="Calibri" w:eastAsia="Calibri" w:hAnsi="Calibri" w:cs="Calibri"/>
          <w:color w:val="1A1A1A"/>
        </w:rPr>
        <w:t>). La décision reste dans la marge nationale d’appréciation.</w:t>
      </w:r>
    </w:p>
    <w:p w14:paraId="005404B1" w14:textId="77777777" w:rsidR="006A28CF" w:rsidRDefault="00000000">
      <w:pPr>
        <w:spacing w:after="90" w:line="264" w:lineRule="auto"/>
        <w:jc w:val="both"/>
      </w:pPr>
      <w:r>
        <w:rPr>
          <w:rFonts w:ascii="Calibri" w:eastAsia="Calibri" w:hAnsi="Calibri" w:cs="Calibri"/>
          <w:i/>
          <w:iCs/>
          <w:color w:val="1A1A1A"/>
        </w:rPr>
        <w:t>Transition.</w:t>
      </w:r>
      <w:r>
        <w:rPr>
          <w:rFonts w:ascii="Calibri" w:eastAsia="Calibri" w:hAnsi="Calibri" w:cs="Calibri"/>
          <w:color w:val="1A1A1A"/>
        </w:rPr>
        <w:t xml:space="preserve"> Si le consentement ne suffit pas à écarter l’atteinte à la dignité, le Conseil d’État ne l’abandonne pas pour autant : il le retrouve, sous une forme exigeante, dans le second motif.</w:t>
      </w:r>
    </w:p>
    <w:p w14:paraId="3244BD83" w14:textId="77777777" w:rsidR="006A28CF" w:rsidRDefault="00000000">
      <w:pPr>
        <w:pStyle w:val="Titre2"/>
        <w:spacing w:before="260" w:after="110"/>
      </w:pPr>
      <w:r>
        <w:rPr>
          <w:rFonts w:ascii="Calibri" w:eastAsia="Calibri" w:hAnsi="Calibri" w:cs="Calibri"/>
          <w:b/>
          <w:bCs/>
          <w:color w:val="1A1A1A"/>
          <w:spacing w:val="16"/>
          <w:sz w:val="23"/>
          <w:szCs w:val="23"/>
        </w:rPr>
        <w:t>II. Le consentement exigé : la prévention des infractions sexuelles</w:t>
      </w:r>
    </w:p>
    <w:p w14:paraId="122721D0" w14:textId="77777777" w:rsidR="006A28CF" w:rsidRDefault="00000000">
      <w:pPr>
        <w:spacing w:after="90" w:line="264" w:lineRule="auto"/>
        <w:jc w:val="both"/>
      </w:pPr>
      <w:r>
        <w:rPr>
          <w:rFonts w:ascii="Calibri" w:eastAsia="Calibri" w:hAnsi="Calibri" w:cs="Calibri"/>
          <w:i/>
          <w:iCs/>
          <w:color w:val="1A1A1A"/>
        </w:rPr>
        <w:t>Chapeau.</w:t>
      </w:r>
      <w:r>
        <w:rPr>
          <w:rFonts w:ascii="Calibri" w:eastAsia="Calibri" w:hAnsi="Calibri" w:cs="Calibri"/>
          <w:color w:val="1A1A1A"/>
        </w:rPr>
        <w:t xml:space="preserve"> Le second motif emprunte au droit pénal sa nouvelle définition du consentement (A), au prix d’une police préventive dont le contrôle reste allégé et dont la portée doit être mesurée (B).</w:t>
      </w:r>
    </w:p>
    <w:p w14:paraId="0248D48D" w14:textId="77777777" w:rsidR="006A28CF" w:rsidRDefault="00000000">
      <w:pPr>
        <w:pStyle w:val="Titre3"/>
        <w:spacing w:before="200" w:after="80"/>
      </w:pPr>
      <w:r>
        <w:rPr>
          <w:rFonts w:ascii="Calibri" w:eastAsia="Calibri" w:hAnsi="Calibri" w:cs="Calibri"/>
          <w:b/>
          <w:bCs/>
          <w:i/>
          <w:iCs/>
          <w:color w:val="1A1A1A"/>
          <w:sz w:val="21"/>
          <w:szCs w:val="21"/>
        </w:rPr>
        <w:t>A. L’importation de la définition pénale du consentement</w:t>
      </w:r>
    </w:p>
    <w:p w14:paraId="3F0ECA3D"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Point d’ancrage</w:t>
      </w:r>
      <w:r>
        <w:rPr>
          <w:rFonts w:ascii="Calibri" w:eastAsia="Calibri" w:hAnsi="Calibri" w:cs="Calibri"/>
          <w:color w:val="1A1A1A"/>
        </w:rPr>
        <w:t xml:space="preserve"> : la seconde phrase du point 4 (formule de l’ordonnance </w:t>
      </w:r>
      <w:r>
        <w:rPr>
          <w:rFonts w:ascii="Calibri" w:eastAsia="Calibri" w:hAnsi="Calibri" w:cs="Calibri"/>
          <w:color w:val="E91E63"/>
        </w:rPr>
        <w:t>Dieudonné</w:t>
      </w:r>
      <w:r>
        <w:rPr>
          <w:rFonts w:ascii="Calibri" w:eastAsia="Calibri" w:hAnsi="Calibri" w:cs="Calibri"/>
          <w:color w:val="1A1A1A"/>
        </w:rPr>
        <w:t xml:space="preserve"> </w:t>
      </w:r>
      <w:r w:rsidRPr="0093501B">
        <w:rPr>
          <w:rFonts w:ascii="Calibri" w:eastAsia="Calibri" w:hAnsi="Calibri" w:cs="Calibri"/>
          <w:color w:val="E91D62"/>
        </w:rPr>
        <w:t>de 2014</w:t>
      </w:r>
      <w:r>
        <w:rPr>
          <w:rFonts w:ascii="Calibri" w:eastAsia="Calibri" w:hAnsi="Calibri" w:cs="Calibri"/>
          <w:color w:val="1A1A1A"/>
        </w:rPr>
        <w:t xml:space="preserve"> : prévenir la commission d’infractions pénales) et le point 5, qui cite intégralement l’</w:t>
      </w:r>
      <w:r>
        <w:rPr>
          <w:rFonts w:ascii="Calibri" w:eastAsia="Calibri" w:hAnsi="Calibri" w:cs="Calibri"/>
          <w:color w:val="1E88E5"/>
        </w:rPr>
        <w:t>article 222-22 C. pén.</w:t>
      </w:r>
      <w:r>
        <w:rPr>
          <w:rFonts w:ascii="Calibri" w:eastAsia="Calibri" w:hAnsi="Calibri" w:cs="Calibri"/>
          <w:color w:val="1A1A1A"/>
        </w:rPr>
        <w:t xml:space="preserve"> issu de la </w:t>
      </w:r>
      <w:r>
        <w:rPr>
          <w:rFonts w:ascii="Calibri" w:eastAsia="Calibri" w:hAnsi="Calibri" w:cs="Calibri"/>
          <w:color w:val="1E88E5"/>
        </w:rPr>
        <w:t>loi du 6 novembre 2025</w:t>
      </w:r>
      <w:r>
        <w:rPr>
          <w:rFonts w:ascii="Calibri" w:eastAsia="Calibri" w:hAnsi="Calibri" w:cs="Calibri"/>
          <w:color w:val="1A1A1A"/>
        </w:rPr>
        <w:t>.</w:t>
      </w:r>
    </w:p>
    <w:p w14:paraId="357155AA"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Le renversement</w:t>
      </w:r>
      <w:r>
        <w:rPr>
          <w:rFonts w:ascii="Calibri" w:eastAsia="Calibri" w:hAnsi="Calibri" w:cs="Calibri"/>
          <w:color w:val="1A1A1A"/>
        </w:rPr>
        <w:t xml:space="preserve"> : la question n’est plus de savoir si les femmes ont consenti, mais si l’organisation est </w:t>
      </w:r>
      <w:r>
        <w:rPr>
          <w:rFonts w:ascii="Calibri" w:eastAsia="Calibri" w:hAnsi="Calibri" w:cs="Calibri"/>
          <w:b/>
          <w:bCs/>
          <w:color w:val="1A1A1A"/>
        </w:rPr>
        <w:t>entourée des garanties</w:t>
      </w:r>
      <w:r>
        <w:rPr>
          <w:rFonts w:ascii="Calibri" w:eastAsia="Calibri" w:hAnsi="Calibri" w:cs="Calibri"/>
          <w:color w:val="1A1A1A"/>
        </w:rPr>
        <w:t xml:space="preserve"> d’un consentement « libre, éclairé et révocable ». Les éléments relevés : des groupes « parfois importants » d’hommes, des organisateurs susceptibles de se joindre aux participants, des scénarios « invitant à exercer une contrainte physique et sexuelle », l’offre de boire « plus que de raison ».</w:t>
      </w:r>
    </w:p>
    <w:p w14:paraId="57F01A85"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Une cohérence avec Strasbourg</w:t>
      </w:r>
      <w:r>
        <w:rPr>
          <w:rFonts w:ascii="Calibri" w:eastAsia="Calibri" w:hAnsi="Calibri" w:cs="Calibri"/>
          <w:color w:val="1A1A1A"/>
        </w:rPr>
        <w:t xml:space="preserve"> : dans </w:t>
      </w:r>
      <w:r>
        <w:rPr>
          <w:rFonts w:ascii="Calibri" w:eastAsia="Calibri" w:hAnsi="Calibri" w:cs="Calibri"/>
          <w:color w:val="E91E63"/>
        </w:rPr>
        <w:t>K.A. et A.D.</w:t>
      </w:r>
      <w:r>
        <w:rPr>
          <w:rFonts w:ascii="Calibri" w:eastAsia="Calibri" w:hAnsi="Calibri" w:cs="Calibri"/>
          <w:color w:val="1A1A1A"/>
        </w:rPr>
        <w:t>, la Cour admet la répression parce que les victimes ne pouvaient plus faire cesser les pratiques. La révocabilité est le critère commun.</w:t>
      </w:r>
    </w:p>
    <w:p w14:paraId="31365043"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L’absence de poursuites est inopérante</w:t>
      </w:r>
      <w:r>
        <w:rPr>
          <w:rFonts w:ascii="Calibri" w:eastAsia="Calibri" w:hAnsi="Calibri" w:cs="Calibri"/>
          <w:color w:val="1A1A1A"/>
        </w:rPr>
        <w:t xml:space="preserve"> : quinze ans d’activité sans plainte n’établissent pas l’absence de risque. C’est la logique de la police administrative, préventive par nature, distincte de la police judiciaire.</w:t>
      </w:r>
    </w:p>
    <w:p w14:paraId="0BB1DC0E" w14:textId="77777777" w:rsidR="006A28CF" w:rsidRDefault="00000000">
      <w:pPr>
        <w:pStyle w:val="Titre3"/>
        <w:spacing w:before="200" w:after="80"/>
      </w:pPr>
      <w:r>
        <w:rPr>
          <w:rFonts w:ascii="Calibri" w:eastAsia="Calibri" w:hAnsi="Calibri" w:cs="Calibri"/>
          <w:b/>
          <w:bCs/>
          <w:i/>
          <w:iCs/>
          <w:color w:val="1A1A1A"/>
          <w:sz w:val="21"/>
          <w:szCs w:val="21"/>
        </w:rPr>
        <w:t>B. Une police préventive au contrôle allégé, une portée à mesurer</w:t>
      </w:r>
    </w:p>
    <w:p w14:paraId="4153C407"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Un contrôle de cassation léger</w:t>
      </w:r>
      <w:r>
        <w:rPr>
          <w:rFonts w:ascii="Calibri" w:eastAsia="Calibri" w:hAnsi="Calibri" w:cs="Calibri"/>
          <w:color w:val="1A1A1A"/>
        </w:rPr>
        <w:t xml:space="preserve"> : sur ce motif, le Conseil d’État ne relève qu’une </w:t>
      </w:r>
      <w:r>
        <w:rPr>
          <w:rFonts w:ascii="Calibri" w:eastAsia="Calibri" w:hAnsi="Calibri" w:cs="Calibri"/>
          <w:b/>
          <w:bCs/>
          <w:color w:val="1A1A1A"/>
        </w:rPr>
        <w:t>dénaturation</w:t>
      </w:r>
      <w:r>
        <w:rPr>
          <w:rFonts w:ascii="Calibri" w:eastAsia="Calibri" w:hAnsi="Calibri" w:cs="Calibri"/>
          <w:color w:val="1A1A1A"/>
        </w:rPr>
        <w:t>. Il impose sa lecture des pièces, alors même que le juge des référés avait jugé le témoignage produit « ambigu ».</w:t>
      </w:r>
    </w:p>
    <w:p w14:paraId="45940A33"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Une proportionnalité expédiée</w:t>
      </w:r>
      <w:r>
        <w:rPr>
          <w:rFonts w:ascii="Calibri" w:eastAsia="Calibri" w:hAnsi="Calibri" w:cs="Calibri"/>
          <w:color w:val="1A1A1A"/>
        </w:rPr>
        <w:t xml:space="preserve"> : une seule phrase, « eu égard à l’ensemble des circonstances de l’espèce ». Aucune mesure moins attentatoire (fermeture temporaire, prescriptions d’organisation) n’est discutée, alors que le triple test (</w:t>
      </w:r>
      <w:r w:rsidRPr="004F21AB">
        <w:rPr>
          <w:rFonts w:ascii="Calibri" w:eastAsia="Calibri" w:hAnsi="Calibri" w:cs="Calibri"/>
          <w:color w:val="E91D62"/>
        </w:rPr>
        <w:t xml:space="preserve">Benjamin, 1933 </w:t>
      </w:r>
      <w:r>
        <w:rPr>
          <w:rFonts w:ascii="Calibri" w:eastAsia="Calibri" w:hAnsi="Calibri" w:cs="Calibri"/>
          <w:color w:val="1A1A1A"/>
        </w:rPr>
        <w:t xml:space="preserve">; </w:t>
      </w:r>
      <w:r>
        <w:rPr>
          <w:rFonts w:ascii="Calibri" w:eastAsia="Calibri" w:hAnsi="Calibri" w:cs="Calibri"/>
          <w:color w:val="E91E63"/>
        </w:rPr>
        <w:t xml:space="preserve">Association pour la promotion de </w:t>
      </w:r>
      <w:r w:rsidRPr="004F21AB">
        <w:rPr>
          <w:rFonts w:ascii="Calibri" w:eastAsia="Calibri" w:hAnsi="Calibri" w:cs="Calibri"/>
          <w:color w:val="E91D62"/>
        </w:rPr>
        <w:t>l’image, 2011</w:t>
      </w:r>
      <w:r>
        <w:rPr>
          <w:rFonts w:ascii="Calibri" w:eastAsia="Calibri" w:hAnsi="Calibri" w:cs="Calibri"/>
          <w:color w:val="1A1A1A"/>
        </w:rPr>
        <w:t>) l’impose en principe.</w:t>
      </w:r>
    </w:p>
    <w:p w14:paraId="5B580F35"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Les critiques doctrinales</w:t>
      </w:r>
      <w:r>
        <w:rPr>
          <w:rFonts w:ascii="Calibri" w:eastAsia="Calibri" w:hAnsi="Calibri" w:cs="Calibri"/>
          <w:color w:val="1A1A1A"/>
        </w:rPr>
        <w:t xml:space="preserve"> : le retour d’un « ordre moral » et d’un paternalisme qui infantilise les femmes (</w:t>
      </w:r>
      <w:r>
        <w:rPr>
          <w:rFonts w:ascii="Calibri" w:eastAsia="Calibri" w:hAnsi="Calibri" w:cs="Calibri"/>
          <w:color w:val="2E7D32"/>
        </w:rPr>
        <w:t>Y. Boudinar</w:t>
      </w:r>
      <w:r>
        <w:rPr>
          <w:rFonts w:ascii="Calibri" w:eastAsia="Calibri" w:hAnsi="Calibri" w:cs="Calibri"/>
          <w:color w:val="1A1A1A"/>
        </w:rPr>
        <w:t xml:space="preserve">, </w:t>
      </w:r>
      <w:r w:rsidRPr="004F21AB">
        <w:rPr>
          <w:rFonts w:ascii="Calibri" w:eastAsia="Calibri" w:hAnsi="Calibri" w:cs="Calibri"/>
          <w:color w:val="3A7C22" w:themeColor="accent6" w:themeShade="BF"/>
        </w:rPr>
        <w:t>Village de la Justice</w:t>
      </w:r>
      <w:r>
        <w:rPr>
          <w:rFonts w:ascii="Calibri" w:eastAsia="Calibri" w:hAnsi="Calibri" w:cs="Calibri"/>
          <w:color w:val="1A1A1A"/>
        </w:rPr>
        <w:t xml:space="preserve">) ; une police fondée sur un risque hypothétique, à la manière de « </w:t>
      </w:r>
      <w:proofErr w:type="spellStart"/>
      <w:r>
        <w:rPr>
          <w:rFonts w:ascii="Calibri" w:eastAsia="Calibri" w:hAnsi="Calibri" w:cs="Calibri"/>
          <w:color w:val="1A1A1A"/>
        </w:rPr>
        <w:t>Minority</w:t>
      </w:r>
      <w:proofErr w:type="spellEnd"/>
      <w:r>
        <w:rPr>
          <w:rFonts w:ascii="Calibri" w:eastAsia="Calibri" w:hAnsi="Calibri" w:cs="Calibri"/>
          <w:color w:val="1A1A1A"/>
        </w:rPr>
        <w:t xml:space="preserve"> Report » (</w:t>
      </w:r>
      <w:r>
        <w:rPr>
          <w:rFonts w:ascii="Calibri" w:eastAsia="Calibri" w:hAnsi="Calibri" w:cs="Calibri"/>
          <w:color w:val="2E7D32"/>
        </w:rPr>
        <w:t>J.-C. Boyer</w:t>
      </w:r>
      <w:r>
        <w:rPr>
          <w:rFonts w:ascii="Calibri" w:eastAsia="Calibri" w:hAnsi="Calibri" w:cs="Calibri"/>
          <w:color w:val="1A1A1A"/>
        </w:rPr>
        <w:t>) ; la confusion entre le discours promotionnel du site et la réalité des soirées. À l’inverse, les associations intervenantes y voient la reconnaissance du continuum des violences.</w:t>
      </w:r>
    </w:p>
    <w:p w14:paraId="5C4C456F"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La portée réelle</w:t>
      </w:r>
      <w:r>
        <w:rPr>
          <w:rFonts w:ascii="Calibri" w:eastAsia="Calibri" w:hAnsi="Calibri" w:cs="Calibri"/>
          <w:color w:val="1A1A1A"/>
        </w:rPr>
        <w:t xml:space="preserve"> : une décision de référé, rendue « en l’état de l’instruction », le fond restant pendant ; mais une formation solennelle et une mention aux tables. On peut y lire la naissance d’une </w:t>
      </w:r>
      <w:r>
        <w:rPr>
          <w:rFonts w:ascii="Calibri" w:eastAsia="Calibri" w:hAnsi="Calibri" w:cs="Calibri"/>
          <w:b/>
          <w:bCs/>
          <w:color w:val="1A1A1A"/>
        </w:rPr>
        <w:t>police administrative du consentement</w:t>
      </w:r>
      <w:r>
        <w:rPr>
          <w:rFonts w:ascii="Calibri" w:eastAsia="Calibri" w:hAnsi="Calibri" w:cs="Calibri"/>
          <w:color w:val="1A1A1A"/>
        </w:rPr>
        <w:t>, dont les contours (quel nombre de participants ? quelles garanties suffisent ?) restent à fixer.</w:t>
      </w:r>
    </w:p>
    <w:p w14:paraId="7510A3B7" w14:textId="77777777" w:rsidR="006A28CF" w:rsidRDefault="00000000">
      <w:pPr>
        <w:pStyle w:val="Titre1"/>
        <w:pBdr>
          <w:bottom w:val="single" w:sz="12" w:space="6" w:color="8C1C2B"/>
        </w:pBdr>
        <w:spacing w:before="260" w:after="90"/>
      </w:pPr>
      <w:r>
        <w:rPr>
          <w:rFonts w:ascii="Calibri" w:eastAsia="Calibri" w:hAnsi="Calibri" w:cs="Calibri"/>
          <w:b/>
          <w:bCs/>
          <w:color w:val="8C1C2B"/>
          <w:sz w:val="28"/>
          <w:szCs w:val="28"/>
        </w:rPr>
        <w:t>5. LA CONCLUSION, RÉDIGÉE MOT À MOT</w:t>
      </w:r>
    </w:p>
    <w:p w14:paraId="1A658F01" w14:textId="77777777" w:rsidR="006A28CF" w:rsidRDefault="00000000">
      <w:pPr>
        <w:spacing w:after="110" w:line="288" w:lineRule="auto"/>
        <w:ind w:left="180" w:right="180"/>
        <w:jc w:val="both"/>
      </w:pPr>
      <w:r>
        <w:rPr>
          <w:rFonts w:ascii="Calibri" w:eastAsia="Calibri" w:hAnsi="Calibri" w:cs="Calibri"/>
          <w:color w:val="1A1A1A"/>
        </w:rPr>
        <w:t>« En définitive, la décision Société Z Machine confirme que la dignité est, en droit administratif français, une limite objective que le consentement ne lève pas. Mais elle montre aussi que le consentement n’a pas disparu du raisonnement : rendu exigeant par la loi du 6 novembre 2025, il devient l’instrument d’une police préventive. Le juge protège les participantes deux fois : contre ce qu’on leur fait jouer, et contre ce qu’on pourrait leur faire subir. »</w:t>
      </w:r>
    </w:p>
    <w:p w14:paraId="452BE604" w14:textId="77777777" w:rsidR="006A28CF" w:rsidRDefault="00000000">
      <w:pPr>
        <w:pStyle w:val="Titre3"/>
        <w:spacing w:before="200" w:after="80"/>
      </w:pPr>
      <w:r>
        <w:rPr>
          <w:rFonts w:ascii="Calibri" w:eastAsia="Calibri" w:hAnsi="Calibri" w:cs="Calibri"/>
          <w:b/>
          <w:bCs/>
          <w:i/>
          <w:iCs/>
          <w:color w:val="1A1A1A"/>
          <w:sz w:val="21"/>
          <w:szCs w:val="21"/>
        </w:rPr>
        <w:t>Ouverture</w:t>
      </w:r>
    </w:p>
    <w:p w14:paraId="4023FA53" w14:textId="77777777" w:rsidR="006A28CF" w:rsidRDefault="00000000">
      <w:pPr>
        <w:spacing w:after="110" w:line="288" w:lineRule="auto"/>
        <w:ind w:left="180" w:right="180"/>
        <w:jc w:val="both"/>
      </w:pPr>
      <w:r>
        <w:rPr>
          <w:rFonts w:ascii="Calibri" w:eastAsia="Calibri" w:hAnsi="Calibri" w:cs="Calibri"/>
          <w:color w:val="1A1A1A"/>
        </w:rPr>
        <w:t>« Reste une question que la décision ne tranche pas : celle du “consentement à ne pas consentir”. Si la dignité peut l’emporter sur la volonté, jusqu’où l’État peut-il protéger une personne contre ses propres choix sexuels sans glisser vers une police des mœurs ? C’est le débat qui accompagne aujourd’hui la proposition de loi “intégrale” contre les violences sexistes et sexuelles, et que la Cour européenne pourrait un jour être appelée à arbitrer. »</w:t>
      </w:r>
    </w:p>
    <w:p w14:paraId="3F4717F2" w14:textId="77777777" w:rsidR="006A28CF" w:rsidRDefault="00000000">
      <w:pPr>
        <w:pStyle w:val="Titre1"/>
        <w:pBdr>
          <w:bottom w:val="single" w:sz="12" w:space="6" w:color="8C1C2B"/>
        </w:pBdr>
        <w:spacing w:before="260" w:after="90"/>
      </w:pPr>
      <w:r>
        <w:rPr>
          <w:rFonts w:ascii="Calibri" w:eastAsia="Calibri" w:hAnsi="Calibri" w:cs="Calibri"/>
          <w:b/>
          <w:bCs/>
          <w:color w:val="8C1C2B"/>
          <w:sz w:val="28"/>
          <w:szCs w:val="28"/>
        </w:rPr>
        <w:t>6. LE PLAN DU CORRECTEUR ET UN PLAN ALTERNATIF</w:t>
      </w:r>
    </w:p>
    <w:p w14:paraId="256E77EE" w14:textId="77777777" w:rsidR="006A28CF" w:rsidRDefault="00000000">
      <w:pPr>
        <w:pStyle w:val="Titre2"/>
        <w:spacing w:before="260" w:after="110"/>
      </w:pPr>
      <w:r>
        <w:rPr>
          <w:rFonts w:ascii="Calibri" w:eastAsia="Calibri" w:hAnsi="Calibri" w:cs="Calibri"/>
          <w:b/>
          <w:bCs/>
          <w:color w:val="1A1A1A"/>
          <w:spacing w:val="16"/>
          <w:sz w:val="23"/>
          <w:szCs w:val="23"/>
        </w:rPr>
        <w:t>6.1. Le plan présenté en séminaire</w:t>
      </w:r>
    </w:p>
    <w:p w14:paraId="1701A35E" w14:textId="77777777" w:rsidR="004F21AB" w:rsidRDefault="00000000">
      <w:pPr>
        <w:pBdr>
          <w:left w:val="single" w:sz="12" w:space="10" w:color="8C1C2B"/>
        </w:pBdr>
        <w:spacing w:after="90" w:line="264" w:lineRule="auto"/>
        <w:ind w:left="260"/>
        <w:jc w:val="both"/>
        <w:rPr>
          <w:rFonts w:ascii="Calibri" w:eastAsia="Calibri" w:hAnsi="Calibri" w:cs="Calibri"/>
          <w:color w:val="1A1A1A"/>
        </w:rPr>
      </w:pPr>
      <w:r>
        <w:rPr>
          <w:rFonts w:ascii="Calibri" w:eastAsia="Calibri" w:hAnsi="Calibri" w:cs="Calibri"/>
          <w:color w:val="1A1A1A"/>
        </w:rPr>
        <w:t xml:space="preserve">I. La dignité, composante de l’ordre public, prime sur le consentement mais s’apprécie concrètement — </w:t>
      </w:r>
    </w:p>
    <w:p w14:paraId="71ECBC35" w14:textId="77777777" w:rsidR="004F21AB" w:rsidRDefault="00000000">
      <w:pPr>
        <w:pBdr>
          <w:left w:val="single" w:sz="12" w:space="10" w:color="8C1C2B"/>
        </w:pBdr>
        <w:spacing w:after="90" w:line="264" w:lineRule="auto"/>
        <w:ind w:left="260"/>
        <w:jc w:val="both"/>
        <w:rPr>
          <w:rFonts w:ascii="Calibri" w:eastAsia="Calibri" w:hAnsi="Calibri" w:cs="Calibri"/>
          <w:color w:val="1A1A1A"/>
        </w:rPr>
      </w:pPr>
      <w:r>
        <w:rPr>
          <w:rFonts w:ascii="Calibri" w:eastAsia="Calibri" w:hAnsi="Calibri" w:cs="Calibri"/>
          <w:color w:val="1A1A1A"/>
        </w:rPr>
        <w:t xml:space="preserve">A. Une transposition de la jurisprudence Morsang-sur-Orge aux activités sexuelles tarifées. </w:t>
      </w:r>
    </w:p>
    <w:p w14:paraId="19FBB736" w14:textId="4666D456" w:rsidR="006A28CF" w:rsidRDefault="00000000">
      <w:pPr>
        <w:pBdr>
          <w:left w:val="single" w:sz="12" w:space="10" w:color="8C1C2B"/>
        </w:pBdr>
        <w:spacing w:after="90" w:line="264" w:lineRule="auto"/>
        <w:ind w:left="260"/>
        <w:jc w:val="both"/>
      </w:pPr>
      <w:r>
        <w:rPr>
          <w:rFonts w:ascii="Calibri" w:eastAsia="Calibri" w:hAnsi="Calibri" w:cs="Calibri"/>
          <w:color w:val="1A1A1A"/>
        </w:rPr>
        <w:t>B. Une dignité appréciée in concreto.</w:t>
      </w:r>
    </w:p>
    <w:p w14:paraId="0B0EC48C" w14:textId="77777777" w:rsidR="004F21AB" w:rsidRDefault="00000000">
      <w:pPr>
        <w:pBdr>
          <w:left w:val="single" w:sz="12" w:space="10" w:color="8C1C2B"/>
        </w:pBdr>
        <w:spacing w:after="90" w:line="264" w:lineRule="auto"/>
        <w:ind w:left="260"/>
        <w:jc w:val="both"/>
        <w:rPr>
          <w:rFonts w:ascii="Calibri" w:eastAsia="Calibri" w:hAnsi="Calibri" w:cs="Calibri"/>
          <w:color w:val="1A1A1A"/>
        </w:rPr>
      </w:pPr>
      <w:r>
        <w:rPr>
          <w:rFonts w:ascii="Calibri" w:eastAsia="Calibri" w:hAnsi="Calibri" w:cs="Calibri"/>
          <w:color w:val="1A1A1A"/>
        </w:rPr>
        <w:t xml:space="preserve">II. Une police administrative adossée au droit pénal du consentement, aux contours encore incertains — </w:t>
      </w:r>
    </w:p>
    <w:p w14:paraId="48DD1EC0" w14:textId="77777777" w:rsidR="004F21AB" w:rsidRDefault="00000000">
      <w:pPr>
        <w:pBdr>
          <w:left w:val="single" w:sz="12" w:space="10" w:color="8C1C2B"/>
        </w:pBdr>
        <w:spacing w:after="90" w:line="264" w:lineRule="auto"/>
        <w:ind w:left="260"/>
        <w:jc w:val="both"/>
        <w:rPr>
          <w:rFonts w:ascii="Calibri" w:eastAsia="Calibri" w:hAnsi="Calibri" w:cs="Calibri"/>
          <w:color w:val="1A1A1A"/>
        </w:rPr>
      </w:pPr>
      <w:r>
        <w:rPr>
          <w:rFonts w:ascii="Calibri" w:eastAsia="Calibri" w:hAnsi="Calibri" w:cs="Calibri"/>
          <w:color w:val="1A1A1A"/>
        </w:rPr>
        <w:t xml:space="preserve">A. La prévention des infractions, appréciée à l’aune de la définition renouvelée du consentement. </w:t>
      </w:r>
    </w:p>
    <w:p w14:paraId="68B04C9C" w14:textId="5096EBB3" w:rsidR="006A28CF" w:rsidRDefault="00000000">
      <w:pPr>
        <w:pBdr>
          <w:left w:val="single" w:sz="12" w:space="10" w:color="8C1C2B"/>
        </w:pBdr>
        <w:spacing w:after="90" w:line="264" w:lineRule="auto"/>
        <w:ind w:left="260"/>
        <w:jc w:val="both"/>
      </w:pPr>
      <w:r>
        <w:rPr>
          <w:rFonts w:ascii="Calibri" w:eastAsia="Calibri" w:hAnsi="Calibri" w:cs="Calibri"/>
          <w:color w:val="1A1A1A"/>
        </w:rPr>
        <w:t>B. Une portée à mesurer, une décision discutée.</w:t>
      </w:r>
    </w:p>
    <w:p w14:paraId="4E77ED24" w14:textId="77777777" w:rsidR="006A28CF" w:rsidRDefault="00000000" w:rsidP="004F21AB">
      <w:pPr>
        <w:spacing w:before="240" w:after="90" w:line="264" w:lineRule="auto"/>
        <w:jc w:val="both"/>
      </w:pPr>
      <w:r>
        <w:rPr>
          <w:rFonts w:ascii="Calibri" w:eastAsia="Calibri" w:hAnsi="Calibri" w:cs="Calibri"/>
          <w:b/>
          <w:bCs/>
          <w:color w:val="1A1A1A"/>
        </w:rPr>
        <w:t>Comparaison.</w:t>
      </w:r>
      <w:r>
        <w:rPr>
          <w:rFonts w:ascii="Calibri" w:eastAsia="Calibri" w:hAnsi="Calibri" w:cs="Calibri"/>
          <w:color w:val="1A1A1A"/>
        </w:rPr>
        <w:t xml:space="preserve"> Le plan du correcteur et le plan recommandé suivent la même structure : la dignité en I, le droit pénal du consentement en II, la portée en II B. La différence est dans l’axe. Le plan recommandé fait du </w:t>
      </w:r>
      <w:r>
        <w:rPr>
          <w:rFonts w:ascii="Calibri" w:eastAsia="Calibri" w:hAnsi="Calibri" w:cs="Calibri"/>
          <w:b/>
          <w:bCs/>
          <w:color w:val="1A1A1A"/>
        </w:rPr>
        <w:t>consentement</w:t>
      </w:r>
      <w:r>
        <w:rPr>
          <w:rFonts w:ascii="Calibri" w:eastAsia="Calibri" w:hAnsi="Calibri" w:cs="Calibri"/>
          <w:color w:val="1A1A1A"/>
        </w:rPr>
        <w:t xml:space="preserve"> le fil rouge des deux parties, ce qui rend visible le paradoxe et donne au jury une problématique mémorisable. Une réserve sur le plan du correcteur : l’expression « activités sexuelles tarifées » peut suggérer une prostitution, alors que les femmes n’étaient pas rémunérées ; préférez « activité commerciale » ou « activités sexuelles payantes pour les participants ».</w:t>
      </w:r>
    </w:p>
    <w:p w14:paraId="69D14A34" w14:textId="77777777" w:rsidR="006A28CF" w:rsidRDefault="00000000">
      <w:pPr>
        <w:pStyle w:val="Titre2"/>
        <w:spacing w:before="260" w:after="110"/>
      </w:pPr>
      <w:r>
        <w:rPr>
          <w:rFonts w:ascii="Calibri" w:eastAsia="Calibri" w:hAnsi="Calibri" w:cs="Calibri"/>
          <w:b/>
          <w:bCs/>
          <w:color w:val="1A1A1A"/>
          <w:spacing w:val="16"/>
          <w:sz w:val="23"/>
          <w:szCs w:val="23"/>
        </w:rPr>
        <w:t>6.2. Un plan alternatif, plus procédural</w:t>
      </w:r>
    </w:p>
    <w:p w14:paraId="1D189BB6"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I. La censure d’une ordonnance trop attachée au consentement — A. L’erreur de droit sur la dignité (point 7). B. La dénaturation sur le risque pénal (point 8).</w:t>
      </w:r>
    </w:p>
    <w:p w14:paraId="541A6165"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II. La consolidation d’une police de la dignité et du consentement — A. Une fermeture justifiée par deux motifs autonomes (point 13, Perrot). B. Une proportionnalité présumée et une portée discutée.</w:t>
      </w:r>
    </w:p>
    <w:p w14:paraId="13173616" w14:textId="77777777" w:rsidR="006A28CF" w:rsidRDefault="00000000" w:rsidP="004F21AB">
      <w:pPr>
        <w:spacing w:before="240" w:after="90" w:line="264" w:lineRule="auto"/>
        <w:jc w:val="both"/>
      </w:pPr>
      <w:r>
        <w:rPr>
          <w:rFonts w:ascii="Calibri" w:eastAsia="Calibri" w:hAnsi="Calibri" w:cs="Calibri"/>
          <w:b/>
          <w:bCs/>
          <w:color w:val="1A1A1A"/>
        </w:rPr>
        <w:t>Son intérêt</w:t>
      </w:r>
      <w:r>
        <w:rPr>
          <w:rFonts w:ascii="Calibri" w:eastAsia="Calibri" w:hAnsi="Calibri" w:cs="Calibri"/>
          <w:color w:val="1A1A1A"/>
        </w:rPr>
        <w:t xml:space="preserve"> : il colle à la structure de la décision et valorise la maîtrise du contentieux administratif. </w:t>
      </w:r>
      <w:r>
        <w:rPr>
          <w:rFonts w:ascii="Calibri" w:eastAsia="Calibri" w:hAnsi="Calibri" w:cs="Calibri"/>
          <w:b/>
          <w:bCs/>
          <w:color w:val="1A1A1A"/>
        </w:rPr>
        <w:t>Son défaut</w:t>
      </w:r>
      <w:r>
        <w:rPr>
          <w:rFonts w:ascii="Calibri" w:eastAsia="Calibri" w:hAnsi="Calibri" w:cs="Calibri"/>
          <w:color w:val="1A1A1A"/>
        </w:rPr>
        <w:t xml:space="preserve"> : le I risque de devenir une paraphrase des points 7 et 8. À ne choisir que si l’on maîtrise parfaitement les notions d’erreur de droit et de dénaturation.</w:t>
      </w:r>
    </w:p>
    <w:p w14:paraId="7C82AE06" w14:textId="77777777" w:rsidR="006A28CF" w:rsidRDefault="00000000">
      <w:pPr>
        <w:pStyle w:val="Titre1"/>
        <w:pBdr>
          <w:bottom w:val="single" w:sz="12" w:space="6" w:color="8C1C2B"/>
        </w:pBdr>
        <w:spacing w:before="260" w:after="90"/>
      </w:pPr>
      <w:r>
        <w:rPr>
          <w:rFonts w:ascii="Calibri" w:eastAsia="Calibri" w:hAnsi="Calibri" w:cs="Calibri"/>
          <w:b/>
          <w:bCs/>
          <w:color w:val="8C1C2B"/>
          <w:sz w:val="28"/>
          <w:szCs w:val="28"/>
        </w:rPr>
        <w:lastRenderedPageBreak/>
        <w:t>7. LES RELANCES PROBABLES DU JURY</w:t>
      </w:r>
    </w:p>
    <w:p w14:paraId="3C5B19AF" w14:textId="77777777" w:rsidR="006A28CF" w:rsidRDefault="00000000">
      <w:pPr>
        <w:spacing w:after="90" w:line="264" w:lineRule="auto"/>
        <w:jc w:val="both"/>
      </w:pPr>
      <w:r>
        <w:rPr>
          <w:rFonts w:ascii="Calibri" w:eastAsia="Calibri" w:hAnsi="Calibri" w:cs="Calibri"/>
          <w:color w:val="1A1A1A"/>
        </w:rPr>
        <w:t>Réponses construites en syllogisme : règle, application, nuance. Chacune doit tenir en trente secondes.</w:t>
      </w:r>
    </w:p>
    <w:p w14:paraId="0DF53202"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 Quelle différence entre la moralité publique et la dignité ? »</w:t>
      </w:r>
      <w:r>
        <w:rPr>
          <w:rFonts w:ascii="Calibri" w:eastAsia="Calibri" w:hAnsi="Calibri" w:cs="Calibri"/>
          <w:color w:val="1A1A1A"/>
        </w:rPr>
        <w:t xml:space="preserve"> — La moralité est relative et locale : elle n’autorise une mesure de police qu’en présence de circonstances locales particulières (</w:t>
      </w:r>
      <w:r>
        <w:rPr>
          <w:rFonts w:ascii="Calibri" w:eastAsia="Calibri" w:hAnsi="Calibri" w:cs="Calibri"/>
          <w:color w:val="E91E63"/>
        </w:rPr>
        <w:t>Lutetia</w:t>
      </w:r>
      <w:r w:rsidRPr="008A5445">
        <w:rPr>
          <w:rFonts w:ascii="Calibri" w:eastAsia="Calibri" w:hAnsi="Calibri" w:cs="Calibri"/>
          <w:color w:val="E91D62"/>
        </w:rPr>
        <w:t>, 1959</w:t>
      </w:r>
      <w:r>
        <w:rPr>
          <w:rFonts w:ascii="Calibri" w:eastAsia="Calibri" w:hAnsi="Calibri" w:cs="Calibri"/>
          <w:color w:val="1A1A1A"/>
        </w:rPr>
        <w:t>). La dignité est universelle et objective : elle permet d’agir « même en l’absence de circonstances locales » (</w:t>
      </w:r>
      <w:r w:rsidRPr="008A5445">
        <w:rPr>
          <w:rFonts w:ascii="Calibri" w:eastAsia="Calibri" w:hAnsi="Calibri" w:cs="Calibri"/>
          <w:color w:val="E91D62"/>
        </w:rPr>
        <w:t>Morsang, 1995</w:t>
      </w:r>
      <w:r>
        <w:rPr>
          <w:rFonts w:ascii="Calibri" w:eastAsia="Calibri" w:hAnsi="Calibri" w:cs="Calibri"/>
          <w:color w:val="1A1A1A"/>
        </w:rPr>
        <w:t>). C’est pourquoi le Conseil d’État s’appuie sur la seconde et laisse de côté la première.</w:t>
      </w:r>
    </w:p>
    <w:p w14:paraId="128C2BA1"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 Le Conseil d’État juge-t-il la fermeture légale ? »</w:t>
      </w:r>
      <w:r>
        <w:rPr>
          <w:rFonts w:ascii="Calibri" w:eastAsia="Calibri" w:hAnsi="Calibri" w:cs="Calibri"/>
          <w:color w:val="1A1A1A"/>
        </w:rPr>
        <w:t xml:space="preserve"> — Non. Il juge qu’aucun moyen n’est de nature à créer un doute sérieux, en l’état de l’instruction. Le fond reste à juger par le tribunal administratif.</w:t>
      </w:r>
    </w:p>
    <w:p w14:paraId="26727C1B"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 Pourquoi le préfet de police, et non le maire de Paris ? »</w:t>
      </w:r>
      <w:r>
        <w:rPr>
          <w:rFonts w:ascii="Calibri" w:eastAsia="Calibri" w:hAnsi="Calibri" w:cs="Calibri"/>
          <w:color w:val="1A1A1A"/>
        </w:rPr>
        <w:t xml:space="preserve"> — Parce qu’à Paris, le préfet de police exerce l’essentiel des pouvoirs de police municipale (</w:t>
      </w:r>
      <w:r>
        <w:rPr>
          <w:rFonts w:ascii="Calibri" w:eastAsia="Calibri" w:hAnsi="Calibri" w:cs="Calibri"/>
          <w:color w:val="1E88E5"/>
        </w:rPr>
        <w:t>art. L. 2512-13 CGCT</w:t>
      </w:r>
      <w:r>
        <w:rPr>
          <w:rFonts w:ascii="Calibri" w:eastAsia="Calibri" w:hAnsi="Calibri" w:cs="Calibri"/>
          <w:color w:val="1A1A1A"/>
        </w:rPr>
        <w:t>). Il agit ici comme autorité de la Ville de Paris, ce qui explique le moyen relevé d’office sur l’intérêt pour agir du ministre.</w:t>
      </w:r>
    </w:p>
    <w:p w14:paraId="110FEFA1"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 Ces soirées relèvent-elles de la prostitution ? »</w:t>
      </w:r>
      <w:r>
        <w:rPr>
          <w:rFonts w:ascii="Calibri" w:eastAsia="Calibri" w:hAnsi="Calibri" w:cs="Calibri"/>
          <w:color w:val="1A1A1A"/>
        </w:rPr>
        <w:t xml:space="preserve"> — Non, en l’état des faits : les femmes ne sont pas rémunérées. Le recours à la prostitution (</w:t>
      </w:r>
      <w:r>
        <w:rPr>
          <w:rFonts w:ascii="Calibri" w:eastAsia="Calibri" w:hAnsi="Calibri" w:cs="Calibri"/>
          <w:color w:val="1E88E5"/>
        </w:rPr>
        <w:t>art. 611-1 C. pén.</w:t>
      </w:r>
      <w:r>
        <w:rPr>
          <w:rFonts w:ascii="Calibri" w:eastAsia="Calibri" w:hAnsi="Calibri" w:cs="Calibri"/>
          <w:color w:val="1A1A1A"/>
        </w:rPr>
        <w:t>) et le proxénétisme (</w:t>
      </w:r>
      <w:r>
        <w:rPr>
          <w:rFonts w:ascii="Calibri" w:eastAsia="Calibri" w:hAnsi="Calibri" w:cs="Calibri"/>
          <w:color w:val="1E88E5"/>
        </w:rPr>
        <w:t>art. 225-5 C. pén.</w:t>
      </w:r>
      <w:r>
        <w:rPr>
          <w:rFonts w:ascii="Calibri" w:eastAsia="Calibri" w:hAnsi="Calibri" w:cs="Calibri"/>
          <w:color w:val="1A1A1A"/>
        </w:rPr>
        <w:t>) supposent une rémunération de la personne. C’est d’ailleurs pour cela que la décision passe par la dignité et l’agression sexuelle.</w:t>
      </w:r>
    </w:p>
    <w:p w14:paraId="2B68A278"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 Un maire pourrait-il fermer un club libertin ou une soirée BDSM sur ce fondement ? »</w:t>
      </w:r>
      <w:r>
        <w:rPr>
          <w:rFonts w:ascii="Calibri" w:eastAsia="Calibri" w:hAnsi="Calibri" w:cs="Calibri"/>
          <w:color w:val="1A1A1A"/>
        </w:rPr>
        <w:t xml:space="preserve"> — Pas automatiquement. La décision exige une appréciation concrète de l’activité : réification, scénarios de violence, absence de garanties du consentement. Une pratique sexuelle collective entre adultes, entourée de garanties, ne porte pas « par elle-même » atteinte à la dignité. Le juge contrôlera aussi la proportionnalité.</w:t>
      </w:r>
    </w:p>
    <w:p w14:paraId="682DAB29"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 La décision est-elle compatible avec la Convention européenne ? »</w:t>
      </w:r>
      <w:r>
        <w:rPr>
          <w:rFonts w:ascii="Calibri" w:eastAsia="Calibri" w:hAnsi="Calibri" w:cs="Calibri"/>
          <w:color w:val="1A1A1A"/>
        </w:rPr>
        <w:t xml:space="preserve"> — Très probablement. La Cour laisse une large marge en matière de morale sexuelle et de protection des personnes (</w:t>
      </w:r>
      <w:r w:rsidRPr="008A5445">
        <w:rPr>
          <w:rFonts w:ascii="Calibri" w:eastAsia="Calibri" w:hAnsi="Calibri" w:cs="Calibri"/>
          <w:color w:val="E91D62"/>
        </w:rPr>
        <w:t>Laskey, K.A. et A.D., M.A. et autres c. France, 2024</w:t>
      </w:r>
      <w:r>
        <w:rPr>
          <w:rFonts w:ascii="Calibri" w:eastAsia="Calibri" w:hAnsi="Calibri" w:cs="Calibri"/>
          <w:color w:val="1A1A1A"/>
        </w:rPr>
        <w:t>). Le point fragile serait la proportionnalité d’une fermeture totale, si la société saisissait la Cour sur le terrain de l’</w:t>
      </w:r>
      <w:r>
        <w:rPr>
          <w:rFonts w:ascii="Calibri" w:eastAsia="Calibri" w:hAnsi="Calibri" w:cs="Calibri"/>
          <w:color w:val="1E88E5"/>
        </w:rPr>
        <w:t>article 1er du Protocole n° 1</w:t>
      </w:r>
      <w:r>
        <w:rPr>
          <w:rFonts w:ascii="Calibri" w:eastAsia="Calibri" w:hAnsi="Calibri" w:cs="Calibri"/>
          <w:color w:val="1A1A1A"/>
        </w:rPr>
        <w:t xml:space="preserve"> ou de l’</w:t>
      </w:r>
      <w:r>
        <w:rPr>
          <w:rFonts w:ascii="Calibri" w:eastAsia="Calibri" w:hAnsi="Calibri" w:cs="Calibri"/>
          <w:color w:val="1E88E5"/>
        </w:rPr>
        <w:t>article 8</w:t>
      </w:r>
      <w:r>
        <w:rPr>
          <w:rFonts w:ascii="Calibri" w:eastAsia="Calibri" w:hAnsi="Calibri" w:cs="Calibri"/>
          <w:color w:val="1A1A1A"/>
        </w:rPr>
        <w:t>.</w:t>
      </w:r>
    </w:p>
    <w:p w14:paraId="3B0C2E5E"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 Quelle différence entre erreur de droit et dénaturation ? »</w:t>
      </w:r>
      <w:r>
        <w:rPr>
          <w:rFonts w:ascii="Calibri" w:eastAsia="Calibri" w:hAnsi="Calibri" w:cs="Calibri"/>
          <w:color w:val="1A1A1A"/>
        </w:rPr>
        <w:t xml:space="preserve"> — L’erreur de droit porte sur le raisonnement : le juge n’a pas recherché ce qu’il devait rechercher. La dénaturation porte sur les faits : il a donné aux pièces un sens manifestement contraire à leur contenu. C’est le contrôle minimum du juge de cassation sur l’appréciation souveraine des juges du fond.</w:t>
      </w:r>
    </w:p>
    <w:p w14:paraId="5D5BAA42"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 Le consentement est-il un fait justificatif en droit pénal ? »</w:t>
      </w:r>
      <w:r>
        <w:rPr>
          <w:rFonts w:ascii="Calibri" w:eastAsia="Calibri" w:hAnsi="Calibri" w:cs="Calibri"/>
          <w:color w:val="1A1A1A"/>
        </w:rPr>
        <w:t xml:space="preserve"> — En principe non : on ne peut consentir à des violences. Mais en matière sexuelle, l’absence de consentement est un élément constitutif de l’infraction ; c’est ce qui permet à la police de raisonner sur les garanties du consentement.</w:t>
      </w:r>
    </w:p>
    <w:p w14:paraId="209F8536"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 À titre personnel, approuvez-vous la décision ? »</w:t>
      </w:r>
      <w:r>
        <w:rPr>
          <w:rFonts w:ascii="Calibri" w:eastAsia="Calibri" w:hAnsi="Calibri" w:cs="Calibri"/>
          <w:color w:val="1A1A1A"/>
        </w:rPr>
        <w:t xml:space="preserve"> — Une réponse nuancée et assumée : « J’approuve la méthode, qui part des conditions concrètes et non d’un jugement moral sur la sexualité. Je suis plus réservé sur le contrôle de proportionnalité, expédié en une phrase : une mesure moins attentatoire aurait au moins dû être discutée. »</w:t>
      </w:r>
    </w:p>
    <w:p w14:paraId="22C63D4A"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 Qu’apporte la mention aux tables ? »</w:t>
      </w:r>
      <w:r>
        <w:rPr>
          <w:rFonts w:ascii="Calibri" w:eastAsia="Calibri" w:hAnsi="Calibri" w:cs="Calibri"/>
          <w:color w:val="1A1A1A"/>
        </w:rPr>
        <w:t xml:space="preserve"> — Elle signale un apport jurisprudentiel : ici, la transposition de Morsang à l’activité d’un établissement et l’usage de l’</w:t>
      </w:r>
      <w:r>
        <w:rPr>
          <w:rFonts w:ascii="Calibri" w:eastAsia="Calibri" w:hAnsi="Calibri" w:cs="Calibri"/>
          <w:color w:val="1E88E5"/>
        </w:rPr>
        <w:t>article 222-22 C. pén.</w:t>
      </w:r>
      <w:r>
        <w:rPr>
          <w:rFonts w:ascii="Calibri" w:eastAsia="Calibri" w:hAnsi="Calibri" w:cs="Calibri"/>
          <w:color w:val="1A1A1A"/>
        </w:rPr>
        <w:t xml:space="preserve"> comme critère du risque d’infractions. Une décision fichée sera citée par les juges du fond.</w:t>
      </w:r>
    </w:p>
    <w:p w14:paraId="2A29FD1A" w14:textId="77777777" w:rsidR="006A28CF" w:rsidRDefault="00000000">
      <w:r>
        <w:br w:type="page"/>
      </w:r>
    </w:p>
    <w:p w14:paraId="27DF9148" w14:textId="77777777" w:rsidR="006A28CF" w:rsidRDefault="00000000">
      <w:pPr>
        <w:shd w:val="clear" w:color="auto" w:fill="F2E9EA"/>
        <w:spacing w:before="200" w:after="220"/>
        <w:jc w:val="center"/>
      </w:pPr>
      <w:r>
        <w:rPr>
          <w:rFonts w:ascii="Calibri" w:eastAsia="Calibri" w:hAnsi="Calibri" w:cs="Calibri"/>
          <w:b/>
          <w:bCs/>
          <w:color w:val="8C1C2B"/>
          <w:spacing w:val="30"/>
          <w:sz w:val="26"/>
          <w:szCs w:val="26"/>
        </w:rPr>
        <w:lastRenderedPageBreak/>
        <w:t>PARTIE III. CORRECTION DES PLANS PROPOSÉS EN SÉMINAIRE</w:t>
      </w:r>
    </w:p>
    <w:p w14:paraId="46D551E5" w14:textId="77777777" w:rsidR="006A28CF" w:rsidRDefault="00000000">
      <w:pPr>
        <w:pStyle w:val="Titre1"/>
        <w:pBdr>
          <w:bottom w:val="single" w:sz="12" w:space="6" w:color="8C1C2B"/>
        </w:pBdr>
        <w:spacing w:before="260" w:after="90"/>
      </w:pPr>
      <w:r>
        <w:rPr>
          <w:rFonts w:ascii="Calibri" w:eastAsia="Calibri" w:hAnsi="Calibri" w:cs="Calibri"/>
          <w:b/>
          <w:bCs/>
          <w:color w:val="8C1C2B"/>
          <w:sz w:val="28"/>
          <w:szCs w:val="28"/>
        </w:rPr>
        <w:t>AVERTISSEMENT</w:t>
      </w:r>
    </w:p>
    <w:p w14:paraId="00B396C3" w14:textId="77777777" w:rsidR="006A28CF" w:rsidRDefault="00000000">
      <w:pPr>
        <w:spacing w:after="90" w:line="264" w:lineRule="auto"/>
        <w:jc w:val="both"/>
      </w:pPr>
      <w:r>
        <w:rPr>
          <w:rFonts w:ascii="Calibri" w:eastAsia="Calibri" w:hAnsi="Calibri" w:cs="Calibri"/>
          <w:color w:val="1A1A1A"/>
        </w:rPr>
        <w:t>Vingt-cinq propositions ont été postées dans le chat du séminaire. Seize sont reprises une par une ; les neuf autres, trop brèves pour une correction détaillée, sont traitées ensemble. Les notes sont indicatives et données avec la latitude d’un correcteur réel : on sanctionne ce qui empêche la démonstration d’aboutir, pas une maladresse de formulation.</w:t>
      </w:r>
    </w:p>
    <w:p w14:paraId="04AB5EC8" w14:textId="77777777" w:rsidR="006A28CF" w:rsidRDefault="00000000">
      <w:pPr>
        <w:pBdr>
          <w:top w:val="single" w:sz="4" w:space="8" w:color="D8CFC4"/>
          <w:left w:val="single" w:sz="4" w:space="8" w:color="D8CFC4"/>
          <w:bottom w:val="single" w:sz="4" w:space="8" w:color="D8CFC4"/>
          <w:right w:val="single" w:sz="4" w:space="8" w:color="D8CFC4"/>
        </w:pBdr>
        <w:shd w:val="clear" w:color="auto" w:fill="F7F4F0"/>
        <w:spacing w:before="120" w:after="120" w:line="264" w:lineRule="auto"/>
        <w:ind w:left="140" w:right="140"/>
        <w:jc w:val="both"/>
      </w:pPr>
      <w:r>
        <w:rPr>
          <w:rFonts w:ascii="Calibri" w:eastAsia="Calibri" w:hAnsi="Calibri" w:cs="Calibri"/>
          <w:b/>
          <w:bCs/>
          <w:color w:val="1A1A1A"/>
          <w:sz w:val="19"/>
          <w:szCs w:val="19"/>
        </w:rPr>
        <w:t>Le critère qui départage tout.</w:t>
      </w:r>
      <w:r>
        <w:rPr>
          <w:rFonts w:ascii="Calibri" w:eastAsia="Calibri" w:hAnsi="Calibri" w:cs="Calibri"/>
          <w:color w:val="1A1A1A"/>
          <w:sz w:val="19"/>
          <w:szCs w:val="19"/>
        </w:rPr>
        <w:t xml:space="preserve"> Un commentaire réussi fait apparaître ce que la décision a de propre. Ici, c’est le double rôle du consentement : indifférent pour la dignité, exigé pour le risque pénal. Les plans qui le voient (n° 1, 2 et 3) dépassent 14 ; ceux qui traitent le consentement d’un seul bloc, ou qui commentent une dissertation sur la dignité, plafonnent autour de 11-12.</w:t>
      </w:r>
    </w:p>
    <w:p w14:paraId="3D5FCB04" w14:textId="77777777" w:rsidR="006A28CF" w:rsidRDefault="00000000">
      <w:pPr>
        <w:pStyle w:val="Titre1"/>
        <w:pBdr>
          <w:bottom w:val="single" w:sz="12" w:space="6" w:color="8C1C2B"/>
        </w:pBdr>
        <w:spacing w:before="260" w:after="90"/>
      </w:pPr>
      <w:r>
        <w:rPr>
          <w:rFonts w:ascii="Calibri" w:eastAsia="Calibri" w:hAnsi="Calibri" w:cs="Calibri"/>
          <w:b/>
          <w:bCs/>
          <w:color w:val="8C1C2B"/>
          <w:sz w:val="28"/>
          <w:szCs w:val="28"/>
        </w:rPr>
        <w:t>A. LES SEIZE PLANS COMMENTÉS</w:t>
      </w:r>
    </w:p>
    <w:p w14:paraId="1EFC2BD0" w14:textId="77777777" w:rsidR="006A28CF" w:rsidRDefault="00000000">
      <w:pPr>
        <w:pStyle w:val="Titre2"/>
        <w:spacing w:before="260" w:after="110"/>
      </w:pPr>
      <w:r>
        <w:rPr>
          <w:rFonts w:ascii="Calibri" w:eastAsia="Calibri" w:hAnsi="Calibri" w:cs="Calibri"/>
          <w:b/>
          <w:bCs/>
          <w:color w:val="1A1A1A"/>
          <w:spacing w:val="16"/>
          <w:sz w:val="23"/>
          <w:szCs w:val="23"/>
        </w:rPr>
        <w:t>Plan n° 1 — Esther M — la dignité fondement, puis l’encadrement de l’intervention</w:t>
      </w:r>
    </w:p>
    <w:p w14:paraId="4B299424"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I. La dignité humaine comme fondement de l’intervention de la police — A. Une composante de l’ordre public. B. Le consentement invoqué, insuffisant pour neutraliser une atteinte à la dignité.</w:t>
      </w:r>
    </w:p>
    <w:p w14:paraId="15251128"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II. L’encadrement de l’intervention de police par la prévention des infractions et le contrôle du juge — A. La protection de l’intégrité par l’exigence d’un consentement effectif. B. Le contrôle juridictionnel de la restriction des libertés.</w:t>
      </w:r>
    </w:p>
    <w:p w14:paraId="4A0FEA79"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Problématique : « Dans quelle mesure la protection de la dignité humaine peut-elle justifier une restriction des libertés malgré le consentement invoqué des personnes concernées ? »</w:t>
      </w:r>
    </w:p>
    <w:p w14:paraId="5FA2ED9C" w14:textId="77777777" w:rsidR="006A28CF" w:rsidRDefault="00000000">
      <w:pPr>
        <w:spacing w:before="170" w:after="70"/>
      </w:pPr>
      <w:r>
        <w:rPr>
          <w:rFonts w:ascii="Calibri" w:eastAsia="Calibri" w:hAnsi="Calibri" w:cs="Calibri"/>
          <w:b/>
          <w:bCs/>
          <w:color w:val="1A1A1A"/>
        </w:rPr>
        <w:t>Ce qui tient</w:t>
      </w:r>
    </w:p>
    <w:p w14:paraId="088268B8"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La meilleure introduction du séminaire</w:t>
      </w:r>
      <w:r>
        <w:rPr>
          <w:rFonts w:ascii="Calibri" w:eastAsia="Calibri" w:hAnsi="Calibri" w:cs="Calibri"/>
          <w:color w:val="1A1A1A"/>
        </w:rPr>
        <w:t xml:space="preserve"> : définition de la dignité, fondements (</w:t>
      </w:r>
      <w:r>
        <w:rPr>
          <w:rFonts w:ascii="Calibri" w:eastAsia="Calibri" w:hAnsi="Calibri" w:cs="Calibri"/>
          <w:color w:val="1E88E5"/>
        </w:rPr>
        <w:t>art. 16 C. civ.</w:t>
      </w:r>
      <w:r>
        <w:rPr>
          <w:rFonts w:ascii="Calibri" w:eastAsia="Calibri" w:hAnsi="Calibri" w:cs="Calibri"/>
          <w:color w:val="1A1A1A"/>
        </w:rPr>
        <w:t xml:space="preserve">, </w:t>
      </w:r>
      <w:r>
        <w:rPr>
          <w:rFonts w:ascii="Calibri" w:eastAsia="Calibri" w:hAnsi="Calibri" w:cs="Calibri"/>
          <w:color w:val="E91E63"/>
        </w:rPr>
        <w:t>94-343/344 DC</w:t>
      </w:r>
      <w:r>
        <w:rPr>
          <w:rFonts w:ascii="Calibri" w:eastAsia="Calibri" w:hAnsi="Calibri" w:cs="Calibri"/>
          <w:color w:val="1A1A1A"/>
        </w:rPr>
        <w:t xml:space="preserve">, </w:t>
      </w:r>
      <w:r>
        <w:rPr>
          <w:rFonts w:ascii="Calibri" w:eastAsia="Calibri" w:hAnsi="Calibri" w:cs="Calibri"/>
          <w:color w:val="E91E63"/>
        </w:rPr>
        <w:t>Morsang</w:t>
      </w:r>
      <w:r>
        <w:rPr>
          <w:rFonts w:ascii="Calibri" w:eastAsia="Calibri" w:hAnsi="Calibri" w:cs="Calibri"/>
          <w:color w:val="1A1A1A"/>
        </w:rPr>
        <w:t>), rôle de la police, contexte, enjeu, problématique, annonce.</w:t>
      </w:r>
    </w:p>
    <w:p w14:paraId="0DF815AA"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L’enjeu identifie le paradoxe</w:t>
      </w:r>
      <w:r>
        <w:rPr>
          <w:rFonts w:ascii="Calibri" w:eastAsia="Calibri" w:hAnsi="Calibri" w:cs="Calibri"/>
          <w:color w:val="1A1A1A"/>
        </w:rPr>
        <w:t xml:space="preserve"> : le consentement « ne suffit pas toujours à écarter une atteinte à la dignité » et « doit être réellement garanti ». C’est exactement la clé de la décision.</w:t>
      </w:r>
    </w:p>
    <w:p w14:paraId="0163E4CB"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La seule copie à voir la portée procédurale</w:t>
      </w:r>
      <w:r>
        <w:rPr>
          <w:rFonts w:ascii="Calibri" w:eastAsia="Calibri" w:hAnsi="Calibri" w:cs="Calibri"/>
          <w:color w:val="1A1A1A"/>
        </w:rPr>
        <w:t xml:space="preserve"> : le Conseil d’État rejette la suspension « sans trancher définitivement la légalité de la fermeture au fond ».</w:t>
      </w:r>
    </w:p>
    <w:p w14:paraId="704CDE8A" w14:textId="77777777" w:rsidR="006A28CF" w:rsidRDefault="00000000">
      <w:pPr>
        <w:spacing w:before="170" w:after="70"/>
      </w:pPr>
      <w:r>
        <w:rPr>
          <w:rFonts w:ascii="Calibri" w:eastAsia="Calibri" w:hAnsi="Calibri" w:cs="Calibri"/>
          <w:b/>
          <w:bCs/>
          <w:color w:val="1A1A1A"/>
        </w:rPr>
        <w:t>Ce qui ne tient pas</w:t>
      </w:r>
    </w:p>
    <w:p w14:paraId="50024713"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L’accroche est une question</w:t>
      </w:r>
      <w:r>
        <w:rPr>
          <w:rFonts w:ascii="Calibri" w:eastAsia="Calibri" w:hAnsi="Calibri" w:cs="Calibri"/>
          <w:color w:val="1A1A1A"/>
        </w:rPr>
        <w:t>, la plus faible des accroches : elle annonce le sujet sans rien en dire.</w:t>
      </w:r>
    </w:p>
    <w:p w14:paraId="026D7B59"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Le II B « contrôle juridictionnel » reste descriptif : il dit que le juge contrôle, pas comment (dénaturation, motifs alternatifs, proportionnalité expédiée).</w:t>
      </w:r>
    </w:p>
    <w:p w14:paraId="3D21B7D6"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 xml:space="preserve">Ni </w:t>
      </w:r>
      <w:r>
        <w:rPr>
          <w:rFonts w:ascii="Calibri" w:eastAsia="Calibri" w:hAnsi="Calibri" w:cs="Calibri"/>
          <w:color w:val="E91E63"/>
        </w:rPr>
        <w:t>Dieudonné</w:t>
      </w:r>
      <w:r>
        <w:rPr>
          <w:rFonts w:ascii="Calibri" w:eastAsia="Calibri" w:hAnsi="Calibri" w:cs="Calibri"/>
          <w:color w:val="1A1A1A"/>
        </w:rPr>
        <w:t xml:space="preserve"> (source de la seconde phrase du point 4), ni la référence européenne.</w:t>
      </w:r>
    </w:p>
    <w:p w14:paraId="5196508E" w14:textId="77777777" w:rsidR="006A28CF" w:rsidRDefault="00000000">
      <w:pPr>
        <w:spacing w:before="170" w:after="70"/>
      </w:pPr>
      <w:r>
        <w:rPr>
          <w:rFonts w:ascii="Calibri" w:eastAsia="Calibri" w:hAnsi="Calibri" w:cs="Calibri"/>
          <w:b/>
          <w:bCs/>
          <w:color w:val="1A1A1A"/>
        </w:rPr>
        <w:t>Le rattrapage</w:t>
      </w:r>
    </w:p>
    <w:p w14:paraId="0E9D30D4" w14:textId="77777777" w:rsidR="006A28CF" w:rsidRDefault="00000000">
      <w:pPr>
        <w:spacing w:after="90" w:line="264" w:lineRule="auto"/>
        <w:jc w:val="both"/>
      </w:pPr>
      <w:r>
        <w:rPr>
          <w:rFonts w:ascii="Calibri" w:eastAsia="Calibri" w:hAnsi="Calibri" w:cs="Calibri"/>
          <w:color w:val="1A1A1A"/>
        </w:rPr>
        <w:t>Remplacer l’accroche par une image (Morsang, le nain consentant). Renommer le II B « Un contrôle allégé, une portée à mesurer » et y mettre la dénaturation, la technique Perrot et la proportionnalité en une phrase.</w:t>
      </w:r>
    </w:p>
    <w:p w14:paraId="3F66F54E" w14:textId="77777777" w:rsidR="006A28CF" w:rsidRDefault="00000000">
      <w:pPr>
        <w:spacing w:after="160"/>
      </w:pPr>
      <w:r>
        <w:rPr>
          <w:rFonts w:ascii="Calibri" w:eastAsia="Calibri" w:hAnsi="Calibri" w:cs="Calibri"/>
          <w:i/>
          <w:iCs/>
          <w:color w:val="5A5A5A"/>
          <w:sz w:val="18"/>
          <w:szCs w:val="18"/>
        </w:rPr>
        <w:t>Note indicative : 15,5/20.</w:t>
      </w:r>
    </w:p>
    <w:p w14:paraId="6BDD8554" w14:textId="77777777" w:rsidR="006A28CF" w:rsidRDefault="00000000">
      <w:pPr>
        <w:pStyle w:val="Titre2"/>
        <w:spacing w:before="260" w:after="110"/>
      </w:pPr>
      <w:r>
        <w:rPr>
          <w:rFonts w:ascii="Calibri" w:eastAsia="Calibri" w:hAnsi="Calibri" w:cs="Calibri"/>
          <w:b/>
          <w:bCs/>
          <w:color w:val="1A1A1A"/>
          <w:spacing w:val="16"/>
          <w:sz w:val="23"/>
          <w:szCs w:val="23"/>
        </w:rPr>
        <w:t>Plan n° 2 — Sarah F — la dignité indépendamment du consentement, puis l’effectivité du consentement</w:t>
      </w:r>
    </w:p>
    <w:p w14:paraId="2C50D91C"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I. La protection de la dignité de la personne humaine indépendamment du consentement — A. La réaffirmation de la dignité comme composante de l’ordre public. B. L’indifférence du consentement face à une atteinte intrinsèque à la dignité.</w:t>
      </w:r>
    </w:p>
    <w:p w14:paraId="34A5C8BC"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II. La protection de l’effectivité du consentement face au risque d’infractions pénales — A. L’exigence d’un consentement libre, éclairé et révocable. B. L’appréciation concrète du consentement au regard des conditions d’organisation.</w:t>
      </w:r>
    </w:p>
    <w:p w14:paraId="5712ABAA"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lastRenderedPageBreak/>
        <w:t>Problématique : « Dans quelle mesure le consentement à des pratiques sexuelles peut-il céder devant les exigences de protection de la dignité de la personne humaine et de prévention des infractions pénales dans l’exercice du pouvoir de police administrative ? »</w:t>
      </w:r>
    </w:p>
    <w:p w14:paraId="02506AA9" w14:textId="77777777" w:rsidR="006A28CF" w:rsidRDefault="00000000">
      <w:pPr>
        <w:spacing w:before="170" w:after="70"/>
      </w:pPr>
      <w:r>
        <w:rPr>
          <w:rFonts w:ascii="Calibri" w:eastAsia="Calibri" w:hAnsi="Calibri" w:cs="Calibri"/>
          <w:b/>
          <w:bCs/>
          <w:color w:val="1A1A1A"/>
        </w:rPr>
        <w:t>Ce qui tient</w:t>
      </w:r>
    </w:p>
    <w:p w14:paraId="621876F6"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C’est, à la formulation près, le plan recommandé.</w:t>
      </w:r>
      <w:r>
        <w:rPr>
          <w:rFonts w:ascii="Calibri" w:eastAsia="Calibri" w:hAnsi="Calibri" w:cs="Calibri"/>
          <w:color w:val="1A1A1A"/>
        </w:rPr>
        <w:t xml:space="preserve"> L’axe est le consentement, traité dans ses deux rôles : I indifférent, II exigé. La démonstration avance d’une partie à l’autre.</w:t>
      </w:r>
    </w:p>
    <w:p w14:paraId="5F98A398"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La problématique mentionne la police administrative : elle situe l’enjeu dans le bon cadre.</w:t>
      </w:r>
    </w:p>
    <w:p w14:paraId="7DC8E218"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 Atteinte intrinsèque » traduit fidèlement le « par lui-même » du point 7.</w:t>
      </w:r>
    </w:p>
    <w:p w14:paraId="1E96B7CB" w14:textId="77777777" w:rsidR="006A28CF" w:rsidRDefault="00000000">
      <w:pPr>
        <w:spacing w:before="170" w:after="70"/>
      </w:pPr>
      <w:r>
        <w:rPr>
          <w:rFonts w:ascii="Calibri" w:eastAsia="Calibri" w:hAnsi="Calibri" w:cs="Calibri"/>
          <w:b/>
          <w:bCs/>
          <w:color w:val="1A1A1A"/>
        </w:rPr>
        <w:t>Ce qui ne tient pas</w:t>
      </w:r>
    </w:p>
    <w:p w14:paraId="1715B101"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Aucune sous-partie critique ni de portée.</w:t>
      </w:r>
      <w:r>
        <w:rPr>
          <w:rFonts w:ascii="Calibri" w:eastAsia="Calibri" w:hAnsi="Calibri" w:cs="Calibri"/>
          <w:color w:val="1A1A1A"/>
        </w:rPr>
        <w:t xml:space="preserve"> Le II B répète l’idée du II A sous un autre angle. Le jury attend une appréciation.</w:t>
      </w:r>
    </w:p>
    <w:p w14:paraId="36342711"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L’appréciation concrète n’est pas propre au risque pénal : elle commande aussi la dignité (point 7). La placer en II B prive le I B de sa méthode.</w:t>
      </w:r>
    </w:p>
    <w:p w14:paraId="09CB7765" w14:textId="77777777" w:rsidR="006A28CF" w:rsidRDefault="00000000">
      <w:pPr>
        <w:spacing w:before="170" w:after="70"/>
      </w:pPr>
      <w:r>
        <w:rPr>
          <w:rFonts w:ascii="Calibri" w:eastAsia="Calibri" w:hAnsi="Calibri" w:cs="Calibri"/>
          <w:b/>
          <w:bCs/>
          <w:color w:val="1A1A1A"/>
        </w:rPr>
        <w:t>Le rattrapage</w:t>
      </w:r>
    </w:p>
    <w:p w14:paraId="5DB0045A" w14:textId="77777777" w:rsidR="006A28CF" w:rsidRDefault="00000000">
      <w:pPr>
        <w:spacing w:after="90" w:line="264" w:lineRule="auto"/>
        <w:jc w:val="both"/>
      </w:pPr>
      <w:r>
        <w:rPr>
          <w:rFonts w:ascii="Calibri" w:eastAsia="Calibri" w:hAnsi="Calibri" w:cs="Calibri"/>
          <w:color w:val="1A1A1A"/>
        </w:rPr>
        <w:t>Fusionner II A et II B en un « A. L’importation des garanties pénales du consentement » et créer un « B. Une police préventive au contrôle allégé ». Déplacer « in concreto » dans le I B.</w:t>
      </w:r>
    </w:p>
    <w:p w14:paraId="44A3E668" w14:textId="77777777" w:rsidR="006A28CF" w:rsidRDefault="00000000">
      <w:pPr>
        <w:spacing w:after="160"/>
      </w:pPr>
      <w:r>
        <w:rPr>
          <w:rFonts w:ascii="Calibri" w:eastAsia="Calibri" w:hAnsi="Calibri" w:cs="Calibri"/>
          <w:i/>
          <w:iCs/>
          <w:color w:val="5A5A5A"/>
          <w:sz w:val="18"/>
          <w:szCs w:val="18"/>
        </w:rPr>
        <w:t>Note indicative : 15/20.</w:t>
      </w:r>
    </w:p>
    <w:p w14:paraId="5ECB0B55" w14:textId="77777777" w:rsidR="006A28CF" w:rsidRDefault="00000000">
      <w:pPr>
        <w:pStyle w:val="Titre2"/>
        <w:spacing w:before="260" w:after="110"/>
      </w:pPr>
      <w:r>
        <w:rPr>
          <w:rFonts w:ascii="Calibri" w:eastAsia="Calibri" w:hAnsi="Calibri" w:cs="Calibri"/>
          <w:b/>
          <w:bCs/>
          <w:color w:val="1A1A1A"/>
          <w:spacing w:val="16"/>
          <w:sz w:val="23"/>
          <w:szCs w:val="23"/>
        </w:rPr>
        <w:t>Plan n° 3 — Alicia C — l’atteinte à la dignité, puis la prévention des infractions</w:t>
      </w:r>
    </w:p>
    <w:p w14:paraId="2E7E96C5"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I. L’atteinte à la dignité humaine justifiant l’intervention de l’autorité administrative — A. La notion de dignité, composante de l’ordre public immatériel. B. Une protection objective de la personne pouvant limiter son consentement.</w:t>
      </w:r>
    </w:p>
    <w:p w14:paraId="496AC3B4"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II. La prévention des infractions sexuelles comme limite à l’autonomie individuelle — A. Le consentement au cœur de la définition des infractions sexuelles depuis novembre 2025. B. Les conditions d’organisation d’activités sexuelles collectives justifiant la fermeture administrative d’un établissement.</w:t>
      </w:r>
    </w:p>
    <w:p w14:paraId="1FE2BCD0"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Problématique : « Le consentement à une pratique sexuelle suffit-il à exclure toute intervention de l’autorité de police administrative au nom de la dignité de la personne humaine et de la prévention des infractions ? »</w:t>
      </w:r>
    </w:p>
    <w:p w14:paraId="58724B08" w14:textId="77777777" w:rsidR="006A28CF" w:rsidRDefault="00000000">
      <w:pPr>
        <w:spacing w:before="170" w:after="70"/>
      </w:pPr>
      <w:r>
        <w:rPr>
          <w:rFonts w:ascii="Calibri" w:eastAsia="Calibri" w:hAnsi="Calibri" w:cs="Calibri"/>
          <w:b/>
          <w:bCs/>
          <w:color w:val="1A1A1A"/>
        </w:rPr>
        <w:t>Ce qui tient</w:t>
      </w:r>
    </w:p>
    <w:p w14:paraId="33B55915"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Plan fidèle aux deux motifs de la décision, intitulés précis, problématique correcte.</w:t>
      </w:r>
    </w:p>
    <w:p w14:paraId="4F27590A"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 Protection objective de la personne » est le mot juste pour la dignité selon Morsang.</w:t>
      </w:r>
    </w:p>
    <w:p w14:paraId="338FA961" w14:textId="77777777" w:rsidR="006A28CF" w:rsidRDefault="00000000">
      <w:pPr>
        <w:spacing w:before="170" w:after="70"/>
      </w:pPr>
      <w:r>
        <w:rPr>
          <w:rFonts w:ascii="Calibri" w:eastAsia="Calibri" w:hAnsi="Calibri" w:cs="Calibri"/>
          <w:b/>
          <w:bCs/>
          <w:color w:val="1A1A1A"/>
        </w:rPr>
        <w:t>Ce qui ne tient pas</w:t>
      </w:r>
    </w:p>
    <w:p w14:paraId="2961B26D"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L’intitulé du II contredit le contenu</w:t>
      </w:r>
      <w:r>
        <w:rPr>
          <w:rFonts w:ascii="Calibri" w:eastAsia="Calibri" w:hAnsi="Calibri" w:cs="Calibri"/>
          <w:color w:val="1A1A1A"/>
        </w:rPr>
        <w:t xml:space="preserve"> : la prévention des infractions ne limite pas l’autonomie, elle protège l’effectivité du consentement. C’est presque l’inverse.</w:t>
      </w:r>
    </w:p>
    <w:p w14:paraId="2406BE51"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Pas de portée, pas de critique ; pas de référence à la proportionnalité ni au cadre du référé.</w:t>
      </w:r>
    </w:p>
    <w:p w14:paraId="31BFDE2D" w14:textId="77777777" w:rsidR="006A28CF" w:rsidRDefault="00000000">
      <w:pPr>
        <w:spacing w:before="170" w:after="70"/>
      </w:pPr>
      <w:r>
        <w:rPr>
          <w:rFonts w:ascii="Calibri" w:eastAsia="Calibri" w:hAnsi="Calibri" w:cs="Calibri"/>
          <w:b/>
          <w:bCs/>
          <w:color w:val="1A1A1A"/>
        </w:rPr>
        <w:t>Le rattrapage</w:t>
      </w:r>
    </w:p>
    <w:p w14:paraId="28BB3965" w14:textId="77777777" w:rsidR="006A28CF" w:rsidRDefault="00000000">
      <w:pPr>
        <w:spacing w:after="90" w:line="264" w:lineRule="auto"/>
        <w:jc w:val="both"/>
      </w:pPr>
      <w:proofErr w:type="spellStart"/>
      <w:r>
        <w:rPr>
          <w:rFonts w:ascii="Calibri" w:eastAsia="Calibri" w:hAnsi="Calibri" w:cs="Calibri"/>
          <w:color w:val="1A1A1A"/>
        </w:rPr>
        <w:t>Retitrer</w:t>
      </w:r>
      <w:proofErr w:type="spellEnd"/>
      <w:r>
        <w:rPr>
          <w:rFonts w:ascii="Calibri" w:eastAsia="Calibri" w:hAnsi="Calibri" w:cs="Calibri"/>
          <w:color w:val="1A1A1A"/>
        </w:rPr>
        <w:t xml:space="preserve"> le II « Le consentement exigé : la prévention des infractions sexuelles » et faire du II B une sous-partie de portée (contrôle allégé, critiques, mention aux tables).</w:t>
      </w:r>
    </w:p>
    <w:p w14:paraId="31959163" w14:textId="77777777" w:rsidR="006A28CF" w:rsidRDefault="00000000">
      <w:pPr>
        <w:spacing w:after="160"/>
      </w:pPr>
      <w:r>
        <w:rPr>
          <w:rFonts w:ascii="Calibri" w:eastAsia="Calibri" w:hAnsi="Calibri" w:cs="Calibri"/>
          <w:i/>
          <w:iCs/>
          <w:color w:val="5A5A5A"/>
          <w:sz w:val="18"/>
          <w:szCs w:val="18"/>
        </w:rPr>
        <w:t>Note indicative : 14,5/20.</w:t>
      </w:r>
    </w:p>
    <w:p w14:paraId="51F7578F" w14:textId="77777777" w:rsidR="006A28CF" w:rsidRDefault="00000000">
      <w:pPr>
        <w:pStyle w:val="Titre2"/>
        <w:spacing w:before="260" w:after="110"/>
      </w:pPr>
      <w:r>
        <w:rPr>
          <w:rFonts w:ascii="Calibri" w:eastAsia="Calibri" w:hAnsi="Calibri" w:cs="Calibri"/>
          <w:b/>
          <w:bCs/>
          <w:color w:val="1A1A1A"/>
          <w:spacing w:val="16"/>
          <w:sz w:val="23"/>
          <w:szCs w:val="23"/>
        </w:rPr>
        <w:t>Plan n° 4 — Sophie G — un arrêt autoritaire, un arrêt protecteur</w:t>
      </w:r>
    </w:p>
    <w:p w14:paraId="18E6E590"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Accroche : la proposition de loi sur les violences sexistes et sexuelles en discussion à l’Assemblée.</w:t>
      </w:r>
    </w:p>
    <w:p w14:paraId="6D018C44"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I. Un arrêt autoritaire — A. Un arrêt réaffirmant des décisions d’autorité (Morsang ; Dieudonné). B. Un arrêt expédiant la question de la proportionnalité de la mesure (Benjamin ; liberté du commerce ; vie privée).</w:t>
      </w:r>
    </w:p>
    <w:p w14:paraId="6F6F0D6D"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II. Un arrêt protecteur des femmes — A. L’absence de recherche d’un trouble matériel (Lutetia ; Commune de Houilles). B. L’application effective de la réforme sur le consentement.</w:t>
      </w:r>
    </w:p>
    <w:p w14:paraId="1263110D"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lastRenderedPageBreak/>
        <w:t>Ouverture : « consentir à ne pas consentir » — la dignité doit-elle venir au secours d’une renonciation à sa propre autonomie ?</w:t>
      </w:r>
    </w:p>
    <w:p w14:paraId="7D91DC56" w14:textId="77777777" w:rsidR="006A28CF" w:rsidRDefault="00000000">
      <w:pPr>
        <w:spacing w:before="170" w:after="70"/>
      </w:pPr>
      <w:r>
        <w:rPr>
          <w:rFonts w:ascii="Calibri" w:eastAsia="Calibri" w:hAnsi="Calibri" w:cs="Calibri"/>
          <w:b/>
          <w:bCs/>
          <w:color w:val="1A1A1A"/>
        </w:rPr>
        <w:t>Ce qui tient</w:t>
      </w:r>
    </w:p>
    <w:p w14:paraId="5FBECD6B"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La copie la plus fine sur le fond.</w:t>
      </w:r>
      <w:r>
        <w:rPr>
          <w:rFonts w:ascii="Calibri" w:eastAsia="Calibri" w:hAnsi="Calibri" w:cs="Calibri"/>
          <w:color w:val="1A1A1A"/>
        </w:rPr>
        <w:t xml:space="preserve"> Elle est l’une des seules à identifier </w:t>
      </w:r>
      <w:r>
        <w:rPr>
          <w:rFonts w:ascii="Calibri" w:eastAsia="Calibri" w:hAnsi="Calibri" w:cs="Calibri"/>
          <w:color w:val="E91E63"/>
        </w:rPr>
        <w:t>Dieudonné</w:t>
      </w:r>
      <w:r>
        <w:rPr>
          <w:rFonts w:ascii="Calibri" w:eastAsia="Calibri" w:hAnsi="Calibri" w:cs="Calibri"/>
          <w:color w:val="1A1A1A"/>
        </w:rPr>
        <w:t xml:space="preserve"> comme source de la prévention des infractions, à remarquer que la proportionnalité est expédiée, et à voir que le Conseil d’État ne reprend pas la moralité.</w:t>
      </w:r>
    </w:p>
    <w:p w14:paraId="35DB7D94"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Accroche d’actualité et ouverture sur le « consentir à ne pas consentir » : excellentes.</w:t>
      </w:r>
    </w:p>
    <w:p w14:paraId="406D6C56" w14:textId="77777777" w:rsidR="006A28CF" w:rsidRDefault="00000000">
      <w:pPr>
        <w:spacing w:before="170" w:after="70"/>
      </w:pPr>
      <w:r>
        <w:rPr>
          <w:rFonts w:ascii="Calibri" w:eastAsia="Calibri" w:hAnsi="Calibri" w:cs="Calibri"/>
          <w:b/>
          <w:bCs/>
          <w:color w:val="1A1A1A"/>
        </w:rPr>
        <w:t>Ce qui ne tient pas</w:t>
      </w:r>
    </w:p>
    <w:p w14:paraId="40E1E35A"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Les intitulés sont des jugements de valeur</w:t>
      </w:r>
      <w:r>
        <w:rPr>
          <w:rFonts w:ascii="Calibri" w:eastAsia="Calibri" w:hAnsi="Calibri" w:cs="Calibri"/>
          <w:color w:val="1A1A1A"/>
        </w:rPr>
        <w:t xml:space="preserve"> (« autoritaire », « protecteur ») : le plan est construit sur l’appréciation, pas sur la solution. Le jury cherche d’abord ce que la décision juge.</w:t>
      </w:r>
    </w:p>
    <w:p w14:paraId="34DBD1CE"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La critique arrive dès le I B, avant même d’avoir expliqué le raisonnement : l’ordre est inversé.</w:t>
      </w:r>
    </w:p>
    <w:p w14:paraId="700CAB11"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 Commune de Houilles » n’a rien à faire ici. Et le Conseil d’État ne résout pas un « doute » « en faveur des femmes » : il constate l’absence de garanties du consentement.</w:t>
      </w:r>
    </w:p>
    <w:p w14:paraId="310BA636" w14:textId="77777777" w:rsidR="006A28CF" w:rsidRDefault="00000000">
      <w:pPr>
        <w:spacing w:before="170" w:after="70"/>
      </w:pPr>
      <w:r>
        <w:rPr>
          <w:rFonts w:ascii="Calibri" w:eastAsia="Calibri" w:hAnsi="Calibri" w:cs="Calibri"/>
          <w:b/>
          <w:bCs/>
          <w:color w:val="1A1A1A"/>
        </w:rPr>
        <w:t>Le rattrapage</w:t>
      </w:r>
    </w:p>
    <w:p w14:paraId="26F422D6" w14:textId="77777777" w:rsidR="006A28CF" w:rsidRDefault="00000000">
      <w:pPr>
        <w:spacing w:after="90" w:line="264" w:lineRule="auto"/>
        <w:jc w:val="both"/>
      </w:pPr>
      <w:r>
        <w:rPr>
          <w:rFonts w:ascii="Calibri" w:eastAsia="Calibri" w:hAnsi="Calibri" w:cs="Calibri"/>
          <w:color w:val="1A1A1A"/>
        </w:rPr>
        <w:t>Garder toute la matière, mais la redistribuer : I. la dignité (Morsang, absence de circonstances locales, moralité contournée) ; II. le consentement pénal (réforme de 2025, Dieudonné), avec en II B la critique de la proportionnalité. Les qualificatifs « autoritaire » et « protecteur » peuvent nourrir l’intérêt de l’introduction.</w:t>
      </w:r>
    </w:p>
    <w:p w14:paraId="7EE92E93" w14:textId="77777777" w:rsidR="006A28CF" w:rsidRDefault="00000000">
      <w:pPr>
        <w:spacing w:after="160"/>
      </w:pPr>
      <w:r>
        <w:rPr>
          <w:rFonts w:ascii="Calibri" w:eastAsia="Calibri" w:hAnsi="Calibri" w:cs="Calibri"/>
          <w:i/>
          <w:iCs/>
          <w:color w:val="5A5A5A"/>
          <w:sz w:val="18"/>
          <w:szCs w:val="18"/>
        </w:rPr>
        <w:t>Note indicative : 14/20 (16 avec les intitulés corrigés).</w:t>
      </w:r>
    </w:p>
    <w:p w14:paraId="52ACBE81" w14:textId="77777777" w:rsidR="006A28CF" w:rsidRDefault="00000000">
      <w:pPr>
        <w:pStyle w:val="Titre2"/>
        <w:spacing w:before="260" w:after="110"/>
      </w:pPr>
      <w:r>
        <w:rPr>
          <w:rFonts w:ascii="Calibri" w:eastAsia="Calibri" w:hAnsi="Calibri" w:cs="Calibri"/>
          <w:b/>
          <w:bCs/>
          <w:color w:val="1A1A1A"/>
          <w:spacing w:val="16"/>
          <w:sz w:val="23"/>
          <w:szCs w:val="23"/>
        </w:rPr>
        <w:t>Plan n° 5 — Chahinez B / Loeiza C — plan relevé à 20 h 14, vraisemblablement dicté pendant la correction</w:t>
      </w:r>
    </w:p>
    <w:p w14:paraId="48153381"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I. La réaffirmation de la dignité comme composante autonome et absolue de l’ordre public — A. Le prolongement de la jurisprudence Morsang-sur-Orge à l’ère contemporaine. B. La saisie juridique du continuum des violences et la chosification commerciale.</w:t>
      </w:r>
    </w:p>
    <w:p w14:paraId="7065B121"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II. Un consentement individuel qui s’incline face à la sauvegarde de l’intérêt général — A. L’inefficacité du consentement face à l’ordre public indisponible. B. La portée opérationnelle pour le juge du référé : l’articulation police / justice.</w:t>
      </w:r>
    </w:p>
    <w:p w14:paraId="084933F4" w14:textId="77777777" w:rsidR="006A28CF" w:rsidRDefault="00000000">
      <w:pPr>
        <w:spacing w:before="170" w:after="70"/>
      </w:pPr>
      <w:r>
        <w:rPr>
          <w:rFonts w:ascii="Calibri" w:eastAsia="Calibri" w:hAnsi="Calibri" w:cs="Calibri"/>
          <w:b/>
          <w:bCs/>
          <w:color w:val="1A1A1A"/>
        </w:rPr>
        <w:t>Ce qui tient</w:t>
      </w:r>
    </w:p>
    <w:p w14:paraId="7B5ADFF1"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Le II B sur l’articulation entre police administrative et justice pénale est le bon terrain de la portée.</w:t>
      </w:r>
    </w:p>
    <w:p w14:paraId="684E2B9E"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 Chosification commerciale » saisit bien la réification relevée au point 13.</w:t>
      </w:r>
    </w:p>
    <w:p w14:paraId="19EC2B09" w14:textId="77777777" w:rsidR="006A28CF" w:rsidRDefault="00000000">
      <w:pPr>
        <w:spacing w:before="170" w:after="70"/>
      </w:pPr>
      <w:r>
        <w:rPr>
          <w:rFonts w:ascii="Calibri" w:eastAsia="Calibri" w:hAnsi="Calibri" w:cs="Calibri"/>
          <w:b/>
          <w:bCs/>
          <w:color w:val="1A1A1A"/>
        </w:rPr>
        <w:t>Ce qui ne tient pas</w:t>
      </w:r>
    </w:p>
    <w:p w14:paraId="143BBB8F"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 Absolue » est excessif</w:t>
      </w:r>
      <w:r>
        <w:rPr>
          <w:rFonts w:ascii="Calibri" w:eastAsia="Calibri" w:hAnsi="Calibri" w:cs="Calibri"/>
          <w:color w:val="1A1A1A"/>
        </w:rPr>
        <w:t xml:space="preserve"> : la dignité est appréciée in concreto et la proportionnalité est (brièvement) contrôlée. Une notion absolue n’aurait pas besoin de l’une ni de l’autre.</w:t>
      </w:r>
    </w:p>
    <w:p w14:paraId="529714C5"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Le II A répète le I</w:t>
      </w:r>
      <w:r>
        <w:rPr>
          <w:rFonts w:ascii="Calibri" w:eastAsia="Calibri" w:hAnsi="Calibri" w:cs="Calibri"/>
          <w:color w:val="1A1A1A"/>
        </w:rPr>
        <w:t xml:space="preserve"> : l’indifférence du consentement à la dignité est déjà au cœur du I. Le second rôle du consentement (exigé pour prévenir les infractions) disparaît.</w:t>
      </w:r>
    </w:p>
    <w:p w14:paraId="0904AFC6" w14:textId="77777777" w:rsidR="006A28CF" w:rsidRDefault="00000000">
      <w:pPr>
        <w:spacing w:before="170" w:after="70"/>
      </w:pPr>
      <w:r>
        <w:rPr>
          <w:rFonts w:ascii="Calibri" w:eastAsia="Calibri" w:hAnsi="Calibri" w:cs="Calibri"/>
          <w:b/>
          <w:bCs/>
          <w:color w:val="1A1A1A"/>
        </w:rPr>
        <w:t>Le rattrapage</w:t>
      </w:r>
    </w:p>
    <w:p w14:paraId="13D7E91E" w14:textId="77777777" w:rsidR="006A28CF" w:rsidRDefault="00000000">
      <w:pPr>
        <w:spacing w:after="90" w:line="264" w:lineRule="auto"/>
        <w:jc w:val="both"/>
      </w:pPr>
      <w:r>
        <w:rPr>
          <w:rFonts w:ascii="Calibri" w:eastAsia="Calibri" w:hAnsi="Calibri" w:cs="Calibri"/>
          <w:color w:val="1A1A1A"/>
        </w:rPr>
        <w:t>Remplacer le II A par « Le consentement exigé : l’importation de l’article 222-22 du code pénal » ; retirer « absolue » du I.</w:t>
      </w:r>
    </w:p>
    <w:p w14:paraId="5D16E17D" w14:textId="77777777" w:rsidR="006A28CF" w:rsidRDefault="00000000">
      <w:pPr>
        <w:spacing w:after="160"/>
      </w:pPr>
      <w:r>
        <w:rPr>
          <w:rFonts w:ascii="Calibri" w:eastAsia="Calibri" w:hAnsi="Calibri" w:cs="Calibri"/>
          <w:i/>
          <w:iCs/>
          <w:color w:val="5A5A5A"/>
          <w:sz w:val="18"/>
          <w:szCs w:val="18"/>
        </w:rPr>
        <w:t>Note indicative : 14/20.</w:t>
      </w:r>
    </w:p>
    <w:p w14:paraId="51D55E16" w14:textId="77777777" w:rsidR="006A28CF" w:rsidRDefault="00000000">
      <w:pPr>
        <w:pStyle w:val="Titre2"/>
        <w:spacing w:before="260" w:after="110"/>
      </w:pPr>
      <w:r>
        <w:rPr>
          <w:rFonts w:ascii="Calibri" w:eastAsia="Calibri" w:hAnsi="Calibri" w:cs="Calibri"/>
          <w:b/>
          <w:bCs/>
          <w:color w:val="1A1A1A"/>
          <w:spacing w:val="16"/>
          <w:sz w:val="23"/>
          <w:szCs w:val="23"/>
        </w:rPr>
        <w:t>Plan n° 6 — Emma L (seconde proposition) — la dignité, puis l’appréciation du consentement</w:t>
      </w:r>
    </w:p>
    <w:p w14:paraId="01875E7E"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I. La protection de la dignité de la personne humaine — A. La dignité en tant que composante de l’ordre public (Morsang ; valeur constitutionnelle). B. L’appréciation concrète du juge.</w:t>
      </w:r>
    </w:p>
    <w:p w14:paraId="4140BBD9"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II. L’appréciation du consentement dans l’atteinte à la dignité — A. La nécessité d’un consentement caractérisé (art. 222-22 ; Morsang). B. La primauté en droit français de la dignité humaine (Pretty ; art. 16 C. civ.).</w:t>
      </w:r>
    </w:p>
    <w:p w14:paraId="6B7356E3" w14:textId="77777777" w:rsidR="006A28CF" w:rsidRDefault="00000000">
      <w:pPr>
        <w:spacing w:before="170" w:after="70"/>
      </w:pPr>
      <w:r>
        <w:rPr>
          <w:rFonts w:ascii="Calibri" w:eastAsia="Calibri" w:hAnsi="Calibri" w:cs="Calibri"/>
          <w:b/>
          <w:bCs/>
          <w:color w:val="1A1A1A"/>
        </w:rPr>
        <w:lastRenderedPageBreak/>
        <w:t>Ce qui tient</w:t>
      </w:r>
    </w:p>
    <w:p w14:paraId="42D92CB7"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Le I B voit la méthode du point 7 : le juge doit vérifier « les caractéristiques de l’acte » et « les conditions concrètes ».</w:t>
      </w:r>
    </w:p>
    <w:p w14:paraId="209531B0"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Les cinq critères de l’</w:t>
      </w:r>
      <w:r>
        <w:rPr>
          <w:rFonts w:ascii="Calibri" w:eastAsia="Calibri" w:hAnsi="Calibri" w:cs="Calibri"/>
          <w:color w:val="1E88E5"/>
        </w:rPr>
        <w:t>article 222-22</w:t>
      </w:r>
      <w:r>
        <w:rPr>
          <w:rFonts w:ascii="Calibri" w:eastAsia="Calibri" w:hAnsi="Calibri" w:cs="Calibri"/>
          <w:color w:val="1A1A1A"/>
        </w:rPr>
        <w:t xml:space="preserve"> sont restitués.</w:t>
      </w:r>
    </w:p>
    <w:p w14:paraId="169FF22D" w14:textId="77777777" w:rsidR="006A28CF" w:rsidRDefault="00000000">
      <w:pPr>
        <w:spacing w:before="170" w:after="70"/>
      </w:pPr>
      <w:r>
        <w:rPr>
          <w:rFonts w:ascii="Calibri" w:eastAsia="Calibri" w:hAnsi="Calibri" w:cs="Calibri"/>
          <w:b/>
          <w:bCs/>
          <w:color w:val="1A1A1A"/>
        </w:rPr>
        <w:t>Ce qui ne tient pas</w:t>
      </w:r>
    </w:p>
    <w:p w14:paraId="111A5588"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Le II mélange les deux rôles du consentement</w:t>
      </w:r>
      <w:r>
        <w:rPr>
          <w:rFonts w:ascii="Calibri" w:eastAsia="Calibri" w:hAnsi="Calibri" w:cs="Calibri"/>
          <w:color w:val="1A1A1A"/>
        </w:rPr>
        <w:t xml:space="preserve"> : Morsang (consentement indifférent) est placé dans la sous-partie sur le consentement exigé. Le II B répète le I.</w:t>
      </w:r>
    </w:p>
    <w:p w14:paraId="3A500A30"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 xml:space="preserve">« Préambule de 1956 » : lire </w:t>
      </w:r>
      <w:r>
        <w:rPr>
          <w:rFonts w:ascii="Calibri" w:eastAsia="Calibri" w:hAnsi="Calibri" w:cs="Calibri"/>
          <w:color w:val="1E88E5"/>
        </w:rPr>
        <w:t>1946</w:t>
      </w:r>
      <w:r>
        <w:rPr>
          <w:rFonts w:ascii="Calibri" w:eastAsia="Calibri" w:hAnsi="Calibri" w:cs="Calibri"/>
          <w:color w:val="1A1A1A"/>
        </w:rPr>
        <w:t>.</w:t>
      </w:r>
    </w:p>
    <w:p w14:paraId="2BA3ADBA" w14:textId="77777777" w:rsidR="006A28CF" w:rsidRDefault="00000000">
      <w:pPr>
        <w:spacing w:before="170" w:after="70"/>
      </w:pPr>
      <w:r>
        <w:rPr>
          <w:rFonts w:ascii="Calibri" w:eastAsia="Calibri" w:hAnsi="Calibri" w:cs="Calibri"/>
          <w:b/>
          <w:bCs/>
          <w:color w:val="1A1A1A"/>
        </w:rPr>
        <w:t>Le rattrapage</w:t>
      </w:r>
    </w:p>
    <w:p w14:paraId="414C8DB0" w14:textId="77777777" w:rsidR="006A28CF" w:rsidRDefault="00000000">
      <w:pPr>
        <w:spacing w:after="90" w:line="264" w:lineRule="auto"/>
        <w:jc w:val="both"/>
      </w:pPr>
      <w:r>
        <w:rPr>
          <w:rFonts w:ascii="Calibri" w:eastAsia="Calibri" w:hAnsi="Calibri" w:cs="Calibri"/>
          <w:color w:val="1A1A1A"/>
        </w:rPr>
        <w:t>Faire du II une partie sur le risque pénal, sans revenir sur la dignité.</w:t>
      </w:r>
    </w:p>
    <w:p w14:paraId="30E47FF7" w14:textId="77777777" w:rsidR="006A28CF" w:rsidRDefault="00000000">
      <w:pPr>
        <w:spacing w:after="160"/>
      </w:pPr>
      <w:r>
        <w:rPr>
          <w:rFonts w:ascii="Calibri" w:eastAsia="Calibri" w:hAnsi="Calibri" w:cs="Calibri"/>
          <w:i/>
          <w:iCs/>
          <w:color w:val="5A5A5A"/>
          <w:sz w:val="18"/>
          <w:szCs w:val="18"/>
        </w:rPr>
        <w:t>Note indicative : 13/20.</w:t>
      </w:r>
    </w:p>
    <w:p w14:paraId="490DF734" w14:textId="77777777" w:rsidR="006A28CF" w:rsidRDefault="00000000">
      <w:pPr>
        <w:pStyle w:val="Titre2"/>
        <w:spacing w:before="260" w:after="110"/>
      </w:pPr>
      <w:r>
        <w:rPr>
          <w:rFonts w:ascii="Calibri" w:eastAsia="Calibri" w:hAnsi="Calibri" w:cs="Calibri"/>
          <w:b/>
          <w:bCs/>
          <w:color w:val="1A1A1A"/>
          <w:spacing w:val="16"/>
          <w:sz w:val="23"/>
          <w:szCs w:val="23"/>
        </w:rPr>
        <w:t>Plan n° 7 — Justine D — la caractérisation de l’atteinte, puis la justification de l’intervention</w:t>
      </w:r>
    </w:p>
    <w:p w14:paraId="37D162E1"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I. La caractérisation de l’atteinte à la dignité — A. La prise en compte de la nature même des traitements. B. L’indifférence du consentement (Morsang ; le Conseil d’État s’éloigne de Pretty).</w:t>
      </w:r>
    </w:p>
    <w:p w14:paraId="76CB152C"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II. La justification de l’intervention de l’autorité de police — A. L’atteinte à la dignité constitutive d’un trouble à l’ordre public. B. Le risque de commission d’une infraction (art. 222-22).</w:t>
      </w:r>
    </w:p>
    <w:p w14:paraId="67F8251B" w14:textId="77777777" w:rsidR="006A28CF" w:rsidRDefault="00000000">
      <w:pPr>
        <w:spacing w:before="170" w:after="70"/>
      </w:pPr>
      <w:r>
        <w:rPr>
          <w:rFonts w:ascii="Calibri" w:eastAsia="Calibri" w:hAnsi="Calibri" w:cs="Calibri"/>
          <w:b/>
          <w:bCs/>
          <w:color w:val="1A1A1A"/>
        </w:rPr>
        <w:t>Ce qui tient</w:t>
      </w:r>
    </w:p>
    <w:p w14:paraId="35B45AD8"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Le I est très bien vu : réification, conditions concrètes, indifférence du consentement.</w:t>
      </w:r>
    </w:p>
    <w:p w14:paraId="630DE8BC"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Le II B identifie le second motif avec la bonne référence.</w:t>
      </w:r>
    </w:p>
    <w:p w14:paraId="27A64D17" w14:textId="77777777" w:rsidR="006A28CF" w:rsidRDefault="00000000">
      <w:pPr>
        <w:spacing w:before="170" w:after="70"/>
      </w:pPr>
      <w:r>
        <w:rPr>
          <w:rFonts w:ascii="Calibri" w:eastAsia="Calibri" w:hAnsi="Calibri" w:cs="Calibri"/>
          <w:b/>
          <w:bCs/>
          <w:color w:val="1A1A1A"/>
        </w:rPr>
        <w:t>Ce qui ne tient pas</w:t>
      </w:r>
    </w:p>
    <w:p w14:paraId="31E82833"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L’ordre logique est inversé</w:t>
      </w:r>
      <w:r>
        <w:rPr>
          <w:rFonts w:ascii="Calibri" w:eastAsia="Calibri" w:hAnsi="Calibri" w:cs="Calibri"/>
          <w:color w:val="1A1A1A"/>
        </w:rPr>
        <w:t xml:space="preserve"> : on ne peut caractériser une atteinte à l’ordre public (I) avant d’avoir posé que la dignité en est une composante (II A). Le II A répète le I.</w:t>
      </w:r>
    </w:p>
    <w:p w14:paraId="325AF2E3" w14:textId="77777777" w:rsidR="006A28CF" w:rsidRDefault="00000000">
      <w:pPr>
        <w:pStyle w:val="Paragraphedeliste"/>
        <w:numPr>
          <w:ilvl w:val="0"/>
          <w:numId w:val="2"/>
        </w:numPr>
        <w:spacing w:after="70" w:line="264" w:lineRule="auto"/>
        <w:jc w:val="both"/>
      </w:pPr>
      <w:r>
        <w:rPr>
          <w:rFonts w:ascii="Calibri" w:eastAsia="Calibri" w:hAnsi="Calibri" w:cs="Calibri"/>
          <w:color w:val="E91E63"/>
        </w:rPr>
        <w:t>Pretty</w:t>
      </w:r>
      <w:r>
        <w:rPr>
          <w:rFonts w:ascii="Calibri" w:eastAsia="Calibri" w:hAnsi="Calibri" w:cs="Calibri"/>
          <w:color w:val="1A1A1A"/>
        </w:rPr>
        <w:t xml:space="preserve"> est de 2002, pas de 2001, et concerne la fin de vie : l’invoquer pour une pratique sexuelle est un rapprochement lâche. </w:t>
      </w:r>
      <w:r>
        <w:rPr>
          <w:rFonts w:ascii="Calibri" w:eastAsia="Calibri" w:hAnsi="Calibri" w:cs="Calibri"/>
          <w:color w:val="E91E63"/>
        </w:rPr>
        <w:t>K.A. et A.D.</w:t>
      </w:r>
      <w:r>
        <w:rPr>
          <w:rFonts w:ascii="Calibri" w:eastAsia="Calibri" w:hAnsi="Calibri" w:cs="Calibri"/>
          <w:color w:val="1A1A1A"/>
        </w:rPr>
        <w:t xml:space="preserve"> était la bonne référence.</w:t>
      </w:r>
    </w:p>
    <w:p w14:paraId="6624B771" w14:textId="77777777" w:rsidR="006A28CF" w:rsidRDefault="00000000">
      <w:pPr>
        <w:spacing w:before="170" w:after="70"/>
      </w:pPr>
      <w:r>
        <w:rPr>
          <w:rFonts w:ascii="Calibri" w:eastAsia="Calibri" w:hAnsi="Calibri" w:cs="Calibri"/>
          <w:b/>
          <w:bCs/>
          <w:color w:val="1A1A1A"/>
        </w:rPr>
        <w:t>Le rattrapage</w:t>
      </w:r>
    </w:p>
    <w:p w14:paraId="299E671C" w14:textId="77777777" w:rsidR="006A28CF" w:rsidRDefault="00000000">
      <w:pPr>
        <w:spacing w:after="90" w:line="264" w:lineRule="auto"/>
        <w:jc w:val="both"/>
      </w:pPr>
      <w:r>
        <w:rPr>
          <w:rFonts w:ascii="Calibri" w:eastAsia="Calibri" w:hAnsi="Calibri" w:cs="Calibri"/>
          <w:color w:val="1A1A1A"/>
        </w:rPr>
        <w:t>Remonter le II A en tête du I (A. la dignité composante de l’ordre public ; B. une atteinte caractérisée par la nature de l’activité) et consacrer tout le II au risque pénal.</w:t>
      </w:r>
    </w:p>
    <w:p w14:paraId="3CE656B8" w14:textId="77777777" w:rsidR="006A28CF" w:rsidRDefault="00000000">
      <w:pPr>
        <w:spacing w:after="160"/>
      </w:pPr>
      <w:r>
        <w:rPr>
          <w:rFonts w:ascii="Calibri" w:eastAsia="Calibri" w:hAnsi="Calibri" w:cs="Calibri"/>
          <w:i/>
          <w:iCs/>
          <w:color w:val="5A5A5A"/>
          <w:sz w:val="18"/>
          <w:szCs w:val="18"/>
        </w:rPr>
        <w:t>Note indicative : 13/20.</w:t>
      </w:r>
    </w:p>
    <w:p w14:paraId="6B999780" w14:textId="77777777" w:rsidR="006A28CF" w:rsidRDefault="00000000">
      <w:pPr>
        <w:pStyle w:val="Titre2"/>
        <w:spacing w:before="260" w:after="110"/>
      </w:pPr>
      <w:r>
        <w:rPr>
          <w:rFonts w:ascii="Calibri" w:eastAsia="Calibri" w:hAnsi="Calibri" w:cs="Calibri"/>
          <w:b/>
          <w:bCs/>
          <w:color w:val="1A1A1A"/>
          <w:spacing w:val="16"/>
          <w:sz w:val="23"/>
          <w:szCs w:val="23"/>
        </w:rPr>
        <w:t>Plan n° 8 — Najwa C — le pouvoir de police garant de l’ordre public, puis la dignité au-delà du consentement</w:t>
      </w:r>
    </w:p>
    <w:p w14:paraId="7E55EE5A"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I. Le principe du pouvoir administratif garant de l’ordre public — A. La protection de la dignité humaine, composante de l’ordre public. B. La prévention des infractions, compétence de l’autorité administrative.</w:t>
      </w:r>
    </w:p>
    <w:p w14:paraId="41A5DF44"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II. La protection de la dignité humaine au-delà du consentement — A. La dignité, limite aux libertés individuelles (K.A. et A.D.). B. Un conditionnement strict du consentement (art. 222-22 ; réforme de novembre 2025).</w:t>
      </w:r>
    </w:p>
    <w:p w14:paraId="13731530" w14:textId="77777777" w:rsidR="006A28CF" w:rsidRDefault="00000000">
      <w:pPr>
        <w:spacing w:before="170" w:after="70"/>
      </w:pPr>
      <w:r>
        <w:rPr>
          <w:rFonts w:ascii="Calibri" w:eastAsia="Calibri" w:hAnsi="Calibri" w:cs="Calibri"/>
          <w:b/>
          <w:bCs/>
          <w:color w:val="1A1A1A"/>
        </w:rPr>
        <w:t>Ce qui tient</w:t>
      </w:r>
    </w:p>
    <w:p w14:paraId="410091FA"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Excellente utilisation des citations de la décision</w:t>
      </w:r>
      <w:r>
        <w:rPr>
          <w:rFonts w:ascii="Calibri" w:eastAsia="Calibri" w:hAnsi="Calibri" w:cs="Calibri"/>
          <w:color w:val="1A1A1A"/>
        </w:rPr>
        <w:t xml:space="preserve"> : chaque sous-partie part d’une phrase du texte.</w:t>
      </w:r>
    </w:p>
    <w:p w14:paraId="4DECFEDC"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Le II B saisit le « conditionnement strict » du consentement.</w:t>
      </w:r>
    </w:p>
    <w:p w14:paraId="17FA0C00" w14:textId="77777777" w:rsidR="006A28CF" w:rsidRDefault="00000000">
      <w:pPr>
        <w:spacing w:before="170" w:after="70"/>
      </w:pPr>
      <w:r>
        <w:rPr>
          <w:rFonts w:ascii="Calibri" w:eastAsia="Calibri" w:hAnsi="Calibri" w:cs="Calibri"/>
          <w:b/>
          <w:bCs/>
          <w:color w:val="1A1A1A"/>
        </w:rPr>
        <w:t>Ce qui ne tient pas</w:t>
      </w:r>
    </w:p>
    <w:p w14:paraId="6EAB19D0"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Plan « principe / application »</w:t>
      </w:r>
      <w:r>
        <w:rPr>
          <w:rFonts w:ascii="Calibri" w:eastAsia="Calibri" w:hAnsi="Calibri" w:cs="Calibri"/>
          <w:color w:val="1A1A1A"/>
        </w:rPr>
        <w:t xml:space="preserve"> : le I énonce les règles du point 4, le II les applique. Le jury y voit un plan descriptif.</w:t>
      </w:r>
    </w:p>
    <w:p w14:paraId="350A3B25"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 xml:space="preserve">La prévention des infractions n’est pas tirée de </w:t>
      </w:r>
      <w:r>
        <w:rPr>
          <w:rFonts w:ascii="Calibri" w:eastAsia="Calibri" w:hAnsi="Calibri" w:cs="Calibri"/>
          <w:color w:val="E91E63"/>
        </w:rPr>
        <w:t>Morsang</w:t>
      </w:r>
      <w:r>
        <w:rPr>
          <w:rFonts w:ascii="Calibri" w:eastAsia="Calibri" w:hAnsi="Calibri" w:cs="Calibri"/>
          <w:color w:val="1A1A1A"/>
        </w:rPr>
        <w:t xml:space="preserve"> mais de </w:t>
      </w:r>
      <w:r>
        <w:rPr>
          <w:rFonts w:ascii="Calibri" w:eastAsia="Calibri" w:hAnsi="Calibri" w:cs="Calibri"/>
          <w:color w:val="E91E63"/>
        </w:rPr>
        <w:t>Dieudonné</w:t>
      </w:r>
      <w:r>
        <w:rPr>
          <w:rFonts w:ascii="Calibri" w:eastAsia="Calibri" w:hAnsi="Calibri" w:cs="Calibri"/>
          <w:color w:val="1A1A1A"/>
        </w:rPr>
        <w:t xml:space="preserve"> (2014).</w:t>
      </w:r>
    </w:p>
    <w:p w14:paraId="648BDA93" w14:textId="77777777" w:rsidR="006A28CF" w:rsidRDefault="00000000">
      <w:pPr>
        <w:spacing w:before="170" w:after="70"/>
      </w:pPr>
      <w:r>
        <w:rPr>
          <w:rFonts w:ascii="Calibri" w:eastAsia="Calibri" w:hAnsi="Calibri" w:cs="Calibri"/>
          <w:b/>
          <w:bCs/>
          <w:color w:val="1A1A1A"/>
        </w:rPr>
        <w:t>Le rattrapage</w:t>
      </w:r>
    </w:p>
    <w:p w14:paraId="644D14F6" w14:textId="77777777" w:rsidR="006A28CF" w:rsidRDefault="00000000">
      <w:pPr>
        <w:spacing w:after="90" w:line="264" w:lineRule="auto"/>
        <w:jc w:val="both"/>
      </w:pPr>
      <w:r>
        <w:rPr>
          <w:rFonts w:ascii="Calibri" w:eastAsia="Calibri" w:hAnsi="Calibri" w:cs="Calibri"/>
          <w:color w:val="1A1A1A"/>
        </w:rPr>
        <w:t>Croiser au lieu de juxtaposer : I. la dignité (règle + application) ; II. le risque pénal (règle + application).</w:t>
      </w:r>
    </w:p>
    <w:p w14:paraId="7C2A2038" w14:textId="77777777" w:rsidR="006A28CF" w:rsidRDefault="00000000">
      <w:pPr>
        <w:spacing w:after="160"/>
      </w:pPr>
      <w:r>
        <w:rPr>
          <w:rFonts w:ascii="Calibri" w:eastAsia="Calibri" w:hAnsi="Calibri" w:cs="Calibri"/>
          <w:i/>
          <w:iCs/>
          <w:color w:val="5A5A5A"/>
          <w:sz w:val="18"/>
          <w:szCs w:val="18"/>
        </w:rPr>
        <w:lastRenderedPageBreak/>
        <w:t>Note indicative : 13/20.</w:t>
      </w:r>
    </w:p>
    <w:p w14:paraId="7722F209" w14:textId="77777777" w:rsidR="006A28CF" w:rsidRDefault="00000000">
      <w:pPr>
        <w:pStyle w:val="Titre2"/>
        <w:spacing w:before="260" w:after="110"/>
      </w:pPr>
      <w:r>
        <w:rPr>
          <w:rFonts w:ascii="Calibri" w:eastAsia="Calibri" w:hAnsi="Calibri" w:cs="Calibri"/>
          <w:b/>
          <w:bCs/>
          <w:color w:val="1A1A1A"/>
          <w:spacing w:val="16"/>
          <w:sz w:val="23"/>
          <w:szCs w:val="23"/>
        </w:rPr>
        <w:t>Plan n° 9 — Marie M — la libre disposition de son corps limitée par la dignité, puis par la prévention</w:t>
      </w:r>
    </w:p>
    <w:p w14:paraId="12AC407A"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Introduction : rôle du Conseil d’État juge de cassation, référé-suspension, « déféré préfectoral », « police spéciale du préfet en matière de fermeture ».</w:t>
      </w:r>
    </w:p>
    <w:p w14:paraId="75324FE0"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I. La libre disposition de son corps a pour limite la non-atteinte à la dignité qui lui est inhérente — A. Le principe de dignité, matrice de l’inaliénabilité et de l’inviolabilité du corps humain. B. La protection de la dignité en tant que composante de l’ordre public, limite à l’autonomie personnelle.</w:t>
      </w:r>
    </w:p>
    <w:p w14:paraId="262F3020"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II. La libre disposition de son corps a pour limite la prévention des atteintes à l’ordre public — A. La prévention de l’ordre public, objectif à valeur constitutionnelle. B. La prévention des atteintes à l’intégrité physique par la recherche d’un consentement libre, éclairé et « révocable à tout moment ».</w:t>
      </w:r>
    </w:p>
    <w:p w14:paraId="7B55F6BD" w14:textId="77777777" w:rsidR="006A28CF" w:rsidRDefault="00000000">
      <w:pPr>
        <w:spacing w:before="170" w:after="70"/>
      </w:pPr>
      <w:r>
        <w:rPr>
          <w:rFonts w:ascii="Calibri" w:eastAsia="Calibri" w:hAnsi="Calibri" w:cs="Calibri"/>
          <w:b/>
          <w:bCs/>
          <w:color w:val="1A1A1A"/>
        </w:rPr>
        <w:t>Ce qui tient</w:t>
      </w:r>
    </w:p>
    <w:p w14:paraId="2BE7BCED"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Le meilleur parallélisme des intitulés</w:t>
      </w:r>
      <w:r>
        <w:rPr>
          <w:rFonts w:ascii="Calibri" w:eastAsia="Calibri" w:hAnsi="Calibri" w:cs="Calibri"/>
          <w:color w:val="1A1A1A"/>
        </w:rPr>
        <w:t xml:space="preserve"> : « a pour limite… / a pour limite… » ; les deux motifs de la décision structurent le plan.</w:t>
      </w:r>
    </w:p>
    <w:p w14:paraId="7447AB22"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L’introduction pense au cadre procédural (cassation, référé) : rare et apprécié.</w:t>
      </w:r>
    </w:p>
    <w:p w14:paraId="7C7D2BC9" w14:textId="77777777" w:rsidR="006A28CF" w:rsidRDefault="00000000">
      <w:pPr>
        <w:spacing w:before="170" w:after="70"/>
      </w:pPr>
      <w:r>
        <w:rPr>
          <w:rFonts w:ascii="Calibri" w:eastAsia="Calibri" w:hAnsi="Calibri" w:cs="Calibri"/>
          <w:b/>
          <w:bCs/>
          <w:color w:val="1A1A1A"/>
        </w:rPr>
        <w:t>Ce qui ne tient pas</w:t>
      </w:r>
    </w:p>
    <w:p w14:paraId="6905C88F"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Deux erreurs de qualification dans l’introduction</w:t>
      </w:r>
      <w:r>
        <w:rPr>
          <w:rFonts w:ascii="Calibri" w:eastAsia="Calibri" w:hAnsi="Calibri" w:cs="Calibri"/>
          <w:color w:val="1A1A1A"/>
        </w:rPr>
        <w:t xml:space="preserve"> : il n’y a pas de déféré préfectoral (le préfet de police agit comme autorité municipale, il n’attaque pas un acte d’une collectivité) et la mesure ne relève pas d’une police spéciale mais de la police générale.</w:t>
      </w:r>
    </w:p>
    <w:p w14:paraId="1DEC109C"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Le I A s’égare dans le droit civil du corps humain, que la décision ne mobilise pas.</w:t>
      </w:r>
    </w:p>
    <w:p w14:paraId="0445F16A"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 Révocable à tout moment » n’est pas dans la décision ; le texte dit « révocable ».</w:t>
      </w:r>
    </w:p>
    <w:p w14:paraId="0A4B2097" w14:textId="77777777" w:rsidR="006A28CF" w:rsidRDefault="00000000">
      <w:pPr>
        <w:spacing w:before="170" w:after="70"/>
      </w:pPr>
      <w:r>
        <w:rPr>
          <w:rFonts w:ascii="Calibri" w:eastAsia="Calibri" w:hAnsi="Calibri" w:cs="Calibri"/>
          <w:b/>
          <w:bCs/>
          <w:color w:val="1A1A1A"/>
        </w:rPr>
        <w:t>Le rattrapage</w:t>
      </w:r>
    </w:p>
    <w:p w14:paraId="7F2DF35B" w14:textId="77777777" w:rsidR="006A28CF" w:rsidRDefault="00000000">
      <w:pPr>
        <w:spacing w:after="90" w:line="264" w:lineRule="auto"/>
        <w:jc w:val="both"/>
      </w:pPr>
      <w:r>
        <w:rPr>
          <w:rFonts w:ascii="Calibri" w:eastAsia="Calibri" w:hAnsi="Calibri" w:cs="Calibri"/>
          <w:color w:val="1A1A1A"/>
        </w:rPr>
        <w:t>Supprimer le déféré et la police spéciale ; remplacer le I A par la transposition de Morsang à l’activité d’un établissement.</w:t>
      </w:r>
    </w:p>
    <w:p w14:paraId="20DDD43C" w14:textId="77777777" w:rsidR="006A28CF" w:rsidRDefault="00000000">
      <w:pPr>
        <w:spacing w:after="160"/>
      </w:pPr>
      <w:r>
        <w:rPr>
          <w:rFonts w:ascii="Calibri" w:eastAsia="Calibri" w:hAnsi="Calibri" w:cs="Calibri"/>
          <w:i/>
          <w:iCs/>
          <w:color w:val="5A5A5A"/>
          <w:sz w:val="18"/>
          <w:szCs w:val="18"/>
        </w:rPr>
        <w:t>Note indicative : 13/20.</w:t>
      </w:r>
    </w:p>
    <w:p w14:paraId="7923C41B" w14:textId="77777777" w:rsidR="006A28CF" w:rsidRDefault="00000000">
      <w:pPr>
        <w:pStyle w:val="Titre2"/>
        <w:spacing w:before="260" w:after="110"/>
      </w:pPr>
      <w:r>
        <w:rPr>
          <w:rFonts w:ascii="Calibri" w:eastAsia="Calibri" w:hAnsi="Calibri" w:cs="Calibri"/>
          <w:b/>
          <w:bCs/>
          <w:color w:val="1A1A1A"/>
          <w:spacing w:val="16"/>
          <w:sz w:val="23"/>
          <w:szCs w:val="23"/>
        </w:rPr>
        <w:t>Plan n° 10 — Baptiste P — une activité attentatoire à la dignité, puis le consentement inenvisageable</w:t>
      </w:r>
    </w:p>
    <w:p w14:paraId="6C27367E"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Accroche : K.A. et A.D. c. Belgique, « le droit d’entretenir des relations sexuelles découle du droit de disposer de son corps ».</w:t>
      </w:r>
    </w:p>
    <w:p w14:paraId="37627530"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I. Une activité attentatoire à la dignité de la personne humaine — A. La dignité, composante de l’ordre public (ordre public matériel et immatériel ; textes ; 94-343/344 DC). B. Des actes jugés contraires à la dignité (Morsang ; contrôle de proportionnalité, Benjamin).</w:t>
      </w:r>
    </w:p>
    <w:p w14:paraId="57367E30"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II. Le consentement, un argument inenvisageable pour le Conseil d’État — A. La primauté de la dignité sur l’autonomie personnelle (Morsang ; K.A. et A.D. « fait primer la liberté individuelle »). B. Le risque d’un consentement non libre, non éclairé et non révocable (art. 222-22 ; loi du 6 novembre 2025).</w:t>
      </w:r>
    </w:p>
    <w:p w14:paraId="6093E9C7" w14:textId="77777777" w:rsidR="006A28CF" w:rsidRDefault="00000000">
      <w:pPr>
        <w:spacing w:before="170" w:after="70"/>
      </w:pPr>
      <w:r>
        <w:rPr>
          <w:rFonts w:ascii="Calibri" w:eastAsia="Calibri" w:hAnsi="Calibri" w:cs="Calibri"/>
          <w:b/>
          <w:bCs/>
          <w:color w:val="1A1A1A"/>
        </w:rPr>
        <w:t>Ce qui tient</w:t>
      </w:r>
    </w:p>
    <w:p w14:paraId="257C582D"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Introduction complète et bien conduite ; accroche européenne pertinente ; définitions de l’ordre public.</w:t>
      </w:r>
    </w:p>
    <w:p w14:paraId="2E4F8ADE"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Le II B identifie bien le second motif et la loi de 2025.</w:t>
      </w:r>
    </w:p>
    <w:p w14:paraId="3C8F3C4B" w14:textId="77777777" w:rsidR="006A28CF" w:rsidRDefault="00000000">
      <w:pPr>
        <w:spacing w:before="170" w:after="70"/>
      </w:pPr>
      <w:r>
        <w:rPr>
          <w:rFonts w:ascii="Calibri" w:eastAsia="Calibri" w:hAnsi="Calibri" w:cs="Calibri"/>
          <w:b/>
          <w:bCs/>
          <w:color w:val="1A1A1A"/>
        </w:rPr>
        <w:t>Ce qui ne tient pas</w:t>
      </w:r>
    </w:p>
    <w:p w14:paraId="5E08D453"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Contresens sur K.A. et A.D.</w:t>
      </w:r>
      <w:r>
        <w:rPr>
          <w:rFonts w:ascii="Calibri" w:eastAsia="Calibri" w:hAnsi="Calibri" w:cs="Calibri"/>
          <w:color w:val="1A1A1A"/>
        </w:rPr>
        <w:t xml:space="preserve"> : la Cour conclut à la non-violation et admet la répression lorsque le consentement n’est plus respecté. Elle ne « fait pas primer la liberté individuelle » sur l’intervention de l’État.</w:t>
      </w:r>
    </w:p>
    <w:p w14:paraId="13C64E25"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Le II A répète le I B</w:t>
      </w:r>
      <w:r>
        <w:rPr>
          <w:rFonts w:ascii="Calibri" w:eastAsia="Calibri" w:hAnsi="Calibri" w:cs="Calibri"/>
          <w:color w:val="1A1A1A"/>
        </w:rPr>
        <w:t xml:space="preserve"> (Morsang et l’indifférence du consentement apparaissent deux fois).</w:t>
      </w:r>
    </w:p>
    <w:p w14:paraId="39B09AB0"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 Inenvisageable » est faux pour le II B, où le consentement est au contraire au centre du raisonnement.</w:t>
      </w:r>
    </w:p>
    <w:p w14:paraId="472B2316" w14:textId="77777777" w:rsidR="006A28CF" w:rsidRDefault="00000000">
      <w:pPr>
        <w:spacing w:before="170" w:after="70"/>
      </w:pPr>
      <w:r>
        <w:rPr>
          <w:rFonts w:ascii="Calibri" w:eastAsia="Calibri" w:hAnsi="Calibri" w:cs="Calibri"/>
          <w:b/>
          <w:bCs/>
          <w:color w:val="1A1A1A"/>
        </w:rPr>
        <w:t>Le rattrapage</w:t>
      </w:r>
    </w:p>
    <w:p w14:paraId="5CEDD1F7" w14:textId="77777777" w:rsidR="006A28CF" w:rsidRDefault="00000000">
      <w:pPr>
        <w:spacing w:after="90" w:line="264" w:lineRule="auto"/>
        <w:jc w:val="both"/>
      </w:pPr>
      <w:proofErr w:type="spellStart"/>
      <w:r>
        <w:rPr>
          <w:rFonts w:ascii="Calibri" w:eastAsia="Calibri" w:hAnsi="Calibri" w:cs="Calibri"/>
          <w:color w:val="1A1A1A"/>
        </w:rPr>
        <w:lastRenderedPageBreak/>
        <w:t>Retitrer</w:t>
      </w:r>
      <w:proofErr w:type="spellEnd"/>
      <w:r>
        <w:rPr>
          <w:rFonts w:ascii="Calibri" w:eastAsia="Calibri" w:hAnsi="Calibri" w:cs="Calibri"/>
          <w:color w:val="1A1A1A"/>
        </w:rPr>
        <w:t xml:space="preserve"> le II « Le consentement exigé » et utiliser K.A. et A.D. dans le bon sens : comme fondement européen de l’exigence de révocabilité.</w:t>
      </w:r>
    </w:p>
    <w:p w14:paraId="2A9CDBCE" w14:textId="77777777" w:rsidR="006A28CF" w:rsidRDefault="00000000">
      <w:pPr>
        <w:spacing w:after="160"/>
      </w:pPr>
      <w:r>
        <w:rPr>
          <w:rFonts w:ascii="Calibri" w:eastAsia="Calibri" w:hAnsi="Calibri" w:cs="Calibri"/>
          <w:i/>
          <w:iCs/>
          <w:color w:val="5A5A5A"/>
          <w:sz w:val="18"/>
          <w:szCs w:val="18"/>
        </w:rPr>
        <w:t>Note indicative : 12/20.</w:t>
      </w:r>
    </w:p>
    <w:p w14:paraId="5EA936F7" w14:textId="77777777" w:rsidR="006A28CF" w:rsidRDefault="00000000">
      <w:pPr>
        <w:pStyle w:val="Titre2"/>
        <w:spacing w:before="260" w:after="110"/>
      </w:pPr>
      <w:r>
        <w:rPr>
          <w:rFonts w:ascii="Calibri" w:eastAsia="Calibri" w:hAnsi="Calibri" w:cs="Calibri"/>
          <w:b/>
          <w:bCs/>
          <w:color w:val="1A1A1A"/>
          <w:spacing w:val="16"/>
          <w:sz w:val="23"/>
          <w:szCs w:val="23"/>
        </w:rPr>
        <w:t>Plan n° 11 — Jasmin B — la liberté du commerce protégée, puis restreinte</w:t>
      </w:r>
    </w:p>
    <w:p w14:paraId="1CAE865D"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Introduction très détaillée : faits, procédure, prétentions de la société et du préfet.</w:t>
      </w:r>
    </w:p>
    <w:p w14:paraId="6E654F16"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I. Une protection effective de la liberté du commerce — A. Un droit protégé mais pas absolu (décret d’Allarde ; art. 4 DDHC ; Benjamin). B. La suspension illégale de l’arrêté par le juge des référés (L. 521-1 ; erreur sur la dignité ; dénaturation sur le risque pénal).</w:t>
      </w:r>
    </w:p>
    <w:p w14:paraId="3F97ECC3"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II. La restriction de la liberté du commerce au nom de l’ordre public — A. La protection absolue de la dignité (art. 16 s. C. civ. ; Morsang ; « les femmes ne sont même pas payées, à la différence du nain »). B. La réponse du Conseil d’État (consentement non libre et éclairé ; contradictoire ; proportionnalité ; pas besoin de la moralité).</w:t>
      </w:r>
    </w:p>
    <w:p w14:paraId="4262D2BA" w14:textId="77777777" w:rsidR="006A28CF" w:rsidRDefault="00000000">
      <w:pPr>
        <w:spacing w:before="170" w:after="70"/>
      </w:pPr>
      <w:r>
        <w:rPr>
          <w:rFonts w:ascii="Calibri" w:eastAsia="Calibri" w:hAnsi="Calibri" w:cs="Calibri"/>
          <w:b/>
          <w:bCs/>
          <w:color w:val="1A1A1A"/>
        </w:rPr>
        <w:t>Ce qui tient</w:t>
      </w:r>
    </w:p>
    <w:p w14:paraId="643AF3E6"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La seule copie à intégrer toute la mécanique contentieuse</w:t>
      </w:r>
      <w:r>
        <w:rPr>
          <w:rFonts w:ascii="Calibri" w:eastAsia="Calibri" w:hAnsi="Calibri" w:cs="Calibri"/>
          <w:color w:val="1A1A1A"/>
        </w:rPr>
        <w:t xml:space="preserve"> : erreur de droit, dénaturation, contradictoire, motifs suffisants sans la moralité.</w:t>
      </w:r>
    </w:p>
    <w:p w14:paraId="44AB9F96"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L’observation sur la non-rémunération des femmes, comparée au nain rémunéré de 1995, est très juste.</w:t>
      </w:r>
    </w:p>
    <w:p w14:paraId="07161FF4" w14:textId="77777777" w:rsidR="006A28CF" w:rsidRDefault="00000000">
      <w:pPr>
        <w:spacing w:before="170" w:after="70"/>
      </w:pPr>
      <w:r>
        <w:rPr>
          <w:rFonts w:ascii="Calibri" w:eastAsia="Calibri" w:hAnsi="Calibri" w:cs="Calibri"/>
          <w:b/>
          <w:bCs/>
          <w:color w:val="1A1A1A"/>
        </w:rPr>
        <w:t>Ce qui ne tient pas</w:t>
      </w:r>
    </w:p>
    <w:p w14:paraId="76D47AAD"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L’intitulé du I contredit la décision</w:t>
      </w:r>
      <w:r>
        <w:rPr>
          <w:rFonts w:ascii="Calibri" w:eastAsia="Calibri" w:hAnsi="Calibri" w:cs="Calibri"/>
          <w:color w:val="1A1A1A"/>
        </w:rPr>
        <w:t xml:space="preserve"> : il n’y a aucune « protection effective de la liberté du commerce » ; la décision la restreint. Le jury retiendra le contresens apparent.</w:t>
      </w:r>
    </w:p>
    <w:p w14:paraId="5073310A"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Le problème de droit fait de la dignité le « principe de respect du corps humain » : ce sont deux notions distinctes.</w:t>
      </w:r>
    </w:p>
    <w:p w14:paraId="6E2D1F93"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Le II B est un catalogue.</w:t>
      </w:r>
    </w:p>
    <w:p w14:paraId="54214D87" w14:textId="77777777" w:rsidR="006A28CF" w:rsidRDefault="00000000">
      <w:pPr>
        <w:spacing w:before="170" w:after="70"/>
      </w:pPr>
      <w:r>
        <w:rPr>
          <w:rFonts w:ascii="Calibri" w:eastAsia="Calibri" w:hAnsi="Calibri" w:cs="Calibri"/>
          <w:b/>
          <w:bCs/>
          <w:color w:val="1A1A1A"/>
        </w:rPr>
        <w:t>Le rattrapage</w:t>
      </w:r>
    </w:p>
    <w:p w14:paraId="1CA808F0" w14:textId="77777777" w:rsidR="006A28CF" w:rsidRDefault="00000000">
      <w:pPr>
        <w:spacing w:after="90" w:line="264" w:lineRule="auto"/>
        <w:jc w:val="both"/>
      </w:pPr>
      <w:r>
        <w:rPr>
          <w:rFonts w:ascii="Calibri" w:eastAsia="Calibri" w:hAnsi="Calibri" w:cs="Calibri"/>
          <w:color w:val="1A1A1A"/>
        </w:rPr>
        <w:t>Prendre la liberté du commerce comme fil rouge, mais dans le bon sens : I. La liberté du commerce face à la dignité ; II. La liberté du commerce face au risque pénal.</w:t>
      </w:r>
    </w:p>
    <w:p w14:paraId="756BB14E" w14:textId="77777777" w:rsidR="006A28CF" w:rsidRDefault="00000000">
      <w:pPr>
        <w:spacing w:after="160"/>
      </w:pPr>
      <w:r>
        <w:rPr>
          <w:rFonts w:ascii="Calibri" w:eastAsia="Calibri" w:hAnsi="Calibri" w:cs="Calibri"/>
          <w:i/>
          <w:iCs/>
          <w:color w:val="5A5A5A"/>
          <w:sz w:val="18"/>
          <w:szCs w:val="18"/>
        </w:rPr>
        <w:t>Note indicative : 12,5/20.</w:t>
      </w:r>
    </w:p>
    <w:p w14:paraId="3F7E0089" w14:textId="77777777" w:rsidR="006A28CF" w:rsidRDefault="00000000">
      <w:pPr>
        <w:pStyle w:val="Titre2"/>
        <w:spacing w:before="260" w:after="110"/>
      </w:pPr>
      <w:r>
        <w:rPr>
          <w:rFonts w:ascii="Calibri" w:eastAsia="Calibri" w:hAnsi="Calibri" w:cs="Calibri"/>
          <w:b/>
          <w:bCs/>
          <w:color w:val="1A1A1A"/>
          <w:spacing w:val="16"/>
          <w:sz w:val="23"/>
          <w:szCs w:val="23"/>
        </w:rPr>
        <w:t>Plan n° 12 — Henri M — la caractérisation de l’atteinte, puis la primauté de la dignité</w:t>
      </w:r>
    </w:p>
    <w:p w14:paraId="5FE763B4"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I. La caractérisation d’une atteinte à la dignité des participantes — A. La constitution d’un trouble à l’ordre public. B. Le risque d’infraction pénale justifiant la mesure de fermeture.</w:t>
      </w:r>
    </w:p>
    <w:p w14:paraId="4AE8EBB9"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II. La primauté de la dignité humaine, un droit attaché à la personne — A. Le consentement, source de conflit avec le droit européen. B. Les difficultés de caractérisation objective de l’atteinte à la dignité.</w:t>
      </w:r>
    </w:p>
    <w:p w14:paraId="64A7F14B" w14:textId="77777777" w:rsidR="006A28CF" w:rsidRDefault="00000000">
      <w:pPr>
        <w:spacing w:before="170" w:after="70"/>
      </w:pPr>
      <w:r>
        <w:rPr>
          <w:rFonts w:ascii="Calibri" w:eastAsia="Calibri" w:hAnsi="Calibri" w:cs="Calibri"/>
          <w:b/>
          <w:bCs/>
          <w:color w:val="1A1A1A"/>
        </w:rPr>
        <w:t>Ce qui tient</w:t>
      </w:r>
    </w:p>
    <w:p w14:paraId="19E0C954"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Le II B ouvre une vraie discussion critique : comment caractériser objectivement une atteinte à la dignité ?</w:t>
      </w:r>
    </w:p>
    <w:p w14:paraId="5F985163" w14:textId="77777777" w:rsidR="006A28CF" w:rsidRDefault="00000000">
      <w:pPr>
        <w:spacing w:before="170" w:after="70"/>
      </w:pPr>
      <w:r>
        <w:rPr>
          <w:rFonts w:ascii="Calibri" w:eastAsia="Calibri" w:hAnsi="Calibri" w:cs="Calibri"/>
          <w:b/>
          <w:bCs/>
          <w:color w:val="1A1A1A"/>
        </w:rPr>
        <w:t>Ce qui ne tient pas</w:t>
      </w:r>
    </w:p>
    <w:p w14:paraId="717733CE"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Le risque pénal (I B) n’est pas une modalité de l’atteinte à la dignité : c’est un motif autonome.</w:t>
      </w:r>
    </w:p>
    <w:p w14:paraId="050B54CF"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Le « conflit avec le droit européen » est surestimé (voir plan n° 10).</w:t>
      </w:r>
    </w:p>
    <w:p w14:paraId="1EC13D20"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La dignité n’est pas « un droit attaché à la personne » au sens du Conseil d’État, mais une composante de l’ordre public, opposable à la personne elle-même.</w:t>
      </w:r>
    </w:p>
    <w:p w14:paraId="7652C9BE" w14:textId="77777777" w:rsidR="006A28CF" w:rsidRDefault="00000000">
      <w:pPr>
        <w:spacing w:before="170" w:after="70"/>
      </w:pPr>
      <w:r>
        <w:rPr>
          <w:rFonts w:ascii="Calibri" w:eastAsia="Calibri" w:hAnsi="Calibri" w:cs="Calibri"/>
          <w:b/>
          <w:bCs/>
          <w:color w:val="1A1A1A"/>
        </w:rPr>
        <w:t>Le rattrapage</w:t>
      </w:r>
    </w:p>
    <w:p w14:paraId="6112650C" w14:textId="77777777" w:rsidR="006A28CF" w:rsidRDefault="00000000">
      <w:pPr>
        <w:spacing w:after="90" w:line="264" w:lineRule="auto"/>
        <w:jc w:val="both"/>
      </w:pPr>
      <w:r>
        <w:rPr>
          <w:rFonts w:ascii="Calibri" w:eastAsia="Calibri" w:hAnsi="Calibri" w:cs="Calibri"/>
          <w:color w:val="1A1A1A"/>
        </w:rPr>
        <w:t>Remplacer le I B par l’appréciation concrète de l’atteinte ; faire du II le risque pénal ; garder la critique de l’objectivité de la dignité comme II B.</w:t>
      </w:r>
    </w:p>
    <w:p w14:paraId="19BB7446" w14:textId="77777777" w:rsidR="006A28CF" w:rsidRDefault="00000000">
      <w:pPr>
        <w:spacing w:after="160"/>
      </w:pPr>
      <w:r>
        <w:rPr>
          <w:rFonts w:ascii="Calibri" w:eastAsia="Calibri" w:hAnsi="Calibri" w:cs="Calibri"/>
          <w:i/>
          <w:iCs/>
          <w:color w:val="5A5A5A"/>
          <w:sz w:val="18"/>
          <w:szCs w:val="18"/>
        </w:rPr>
        <w:t>Note indicative : 12/20.</w:t>
      </w:r>
    </w:p>
    <w:p w14:paraId="47685F05" w14:textId="77777777" w:rsidR="006A28CF" w:rsidRDefault="00000000">
      <w:pPr>
        <w:pStyle w:val="Titre2"/>
        <w:spacing w:before="260" w:after="110"/>
      </w:pPr>
      <w:r>
        <w:rPr>
          <w:rFonts w:ascii="Calibri" w:eastAsia="Calibri" w:hAnsi="Calibri" w:cs="Calibri"/>
          <w:b/>
          <w:bCs/>
          <w:color w:val="1A1A1A"/>
          <w:spacing w:val="16"/>
          <w:sz w:val="23"/>
          <w:szCs w:val="23"/>
        </w:rPr>
        <w:t>Plan n° 13 — Luna P — la liberté sexuelle et ses limites, puis son encadrement</w:t>
      </w:r>
    </w:p>
    <w:p w14:paraId="0A12287F"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I. La liberté de consentir à sa vie sexuelle et ses limites — A. La reconnaissance d’une liberté individuelle de pratiquer sa vie sexuelle. B. La dignité comme limite à la liberté sexuelle (Morsang).</w:t>
      </w:r>
    </w:p>
    <w:p w14:paraId="75A85644"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lastRenderedPageBreak/>
        <w:t>II. L’encadrement de la liberté sexuelle au nom de la dignité et de l’ordre public — A. La protection par la prévention du risque d’infraction. B. La conciliation entre libertés individuelles et ordre public.</w:t>
      </w:r>
    </w:p>
    <w:p w14:paraId="56026F81" w14:textId="77777777" w:rsidR="006A28CF" w:rsidRDefault="00000000">
      <w:pPr>
        <w:spacing w:before="170" w:after="70"/>
      </w:pPr>
      <w:r>
        <w:rPr>
          <w:rFonts w:ascii="Calibri" w:eastAsia="Calibri" w:hAnsi="Calibri" w:cs="Calibri"/>
          <w:b/>
          <w:bCs/>
          <w:color w:val="1A1A1A"/>
        </w:rPr>
        <w:t>Ce qui tient</w:t>
      </w:r>
    </w:p>
    <w:p w14:paraId="367C8AFF"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Le II A est bien construit : garanties du consentement, conditions concrètes, risque d’infractions sexuelles.</w:t>
      </w:r>
    </w:p>
    <w:p w14:paraId="62ED1806" w14:textId="77777777" w:rsidR="006A28CF" w:rsidRDefault="00000000">
      <w:pPr>
        <w:spacing w:before="170" w:after="70"/>
      </w:pPr>
      <w:r>
        <w:rPr>
          <w:rFonts w:ascii="Calibri" w:eastAsia="Calibri" w:hAnsi="Calibri" w:cs="Calibri"/>
          <w:b/>
          <w:bCs/>
          <w:color w:val="1A1A1A"/>
        </w:rPr>
        <w:t>Ce qui ne tient pas</w:t>
      </w:r>
    </w:p>
    <w:p w14:paraId="3CBF91A5"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 xml:space="preserve">Le I A </w:t>
      </w:r>
      <w:proofErr w:type="spellStart"/>
      <w:r>
        <w:rPr>
          <w:rFonts w:ascii="Calibri" w:eastAsia="Calibri" w:hAnsi="Calibri" w:cs="Calibri"/>
          <w:b/>
          <w:bCs/>
          <w:color w:val="1A1A1A"/>
        </w:rPr>
        <w:t>commente</w:t>
      </w:r>
      <w:proofErr w:type="spellEnd"/>
      <w:r>
        <w:rPr>
          <w:rFonts w:ascii="Calibri" w:eastAsia="Calibri" w:hAnsi="Calibri" w:cs="Calibri"/>
          <w:b/>
          <w:bCs/>
          <w:color w:val="1A1A1A"/>
        </w:rPr>
        <w:t xml:space="preserve"> ce que la décision ne dit pas</w:t>
      </w:r>
      <w:r>
        <w:rPr>
          <w:rFonts w:ascii="Calibri" w:eastAsia="Calibri" w:hAnsi="Calibri" w:cs="Calibri"/>
          <w:color w:val="1A1A1A"/>
        </w:rPr>
        <w:t xml:space="preserve"> : elle ne reconnaît nulle part une liberté sexuelle. Un commentaire part du texte.</w:t>
      </w:r>
    </w:p>
    <w:p w14:paraId="1C433D43"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Le II B, « conciliation entre libertés et ordre public », pourrait s’appliquer à n’importe quelle décision de police.</w:t>
      </w:r>
    </w:p>
    <w:p w14:paraId="5A91F068"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Pas de problématique formulée.</w:t>
      </w:r>
    </w:p>
    <w:p w14:paraId="2BC0A10C" w14:textId="77777777" w:rsidR="006A28CF" w:rsidRDefault="00000000">
      <w:pPr>
        <w:spacing w:before="170" w:after="70"/>
      </w:pPr>
      <w:r>
        <w:rPr>
          <w:rFonts w:ascii="Calibri" w:eastAsia="Calibri" w:hAnsi="Calibri" w:cs="Calibri"/>
          <w:b/>
          <w:bCs/>
          <w:color w:val="1A1A1A"/>
        </w:rPr>
        <w:t>Le rattrapage</w:t>
      </w:r>
    </w:p>
    <w:p w14:paraId="17EF05FB" w14:textId="77777777" w:rsidR="006A28CF" w:rsidRDefault="00000000">
      <w:pPr>
        <w:spacing w:after="90" w:line="264" w:lineRule="auto"/>
        <w:jc w:val="both"/>
      </w:pPr>
      <w:r>
        <w:rPr>
          <w:rFonts w:ascii="Calibri" w:eastAsia="Calibri" w:hAnsi="Calibri" w:cs="Calibri"/>
          <w:color w:val="1A1A1A"/>
        </w:rPr>
        <w:t>Partir de la phrase du point 4 et du point 7 pour le I ; transformer le II B en sous-partie de portée.</w:t>
      </w:r>
    </w:p>
    <w:p w14:paraId="47C51FA3" w14:textId="77777777" w:rsidR="006A28CF" w:rsidRDefault="00000000">
      <w:pPr>
        <w:spacing w:after="160"/>
      </w:pPr>
      <w:r>
        <w:rPr>
          <w:rFonts w:ascii="Calibri" w:eastAsia="Calibri" w:hAnsi="Calibri" w:cs="Calibri"/>
          <w:i/>
          <w:iCs/>
          <w:color w:val="5A5A5A"/>
          <w:sz w:val="18"/>
          <w:szCs w:val="18"/>
        </w:rPr>
        <w:t>Note indicative : 11,5/20.</w:t>
      </w:r>
    </w:p>
    <w:p w14:paraId="705B858E" w14:textId="77777777" w:rsidR="006A28CF" w:rsidRDefault="00000000">
      <w:pPr>
        <w:pStyle w:val="Titre2"/>
        <w:spacing w:before="260" w:after="110"/>
      </w:pPr>
      <w:r>
        <w:rPr>
          <w:rFonts w:ascii="Calibri" w:eastAsia="Calibri" w:hAnsi="Calibri" w:cs="Calibri"/>
          <w:b/>
          <w:bCs/>
          <w:color w:val="1A1A1A"/>
          <w:spacing w:val="16"/>
          <w:sz w:val="23"/>
          <w:szCs w:val="23"/>
        </w:rPr>
        <w:t xml:space="preserve">Plan n° 14 — </w:t>
      </w:r>
      <w:proofErr w:type="spellStart"/>
      <w:r>
        <w:rPr>
          <w:rFonts w:ascii="Calibri" w:eastAsia="Calibri" w:hAnsi="Calibri" w:cs="Calibri"/>
          <w:b/>
          <w:bCs/>
          <w:color w:val="1A1A1A"/>
          <w:spacing w:val="16"/>
          <w:sz w:val="23"/>
          <w:szCs w:val="23"/>
        </w:rPr>
        <w:t>Selwyne</w:t>
      </w:r>
      <w:proofErr w:type="spellEnd"/>
      <w:r>
        <w:rPr>
          <w:rFonts w:ascii="Calibri" w:eastAsia="Calibri" w:hAnsi="Calibri" w:cs="Calibri"/>
          <w:b/>
          <w:bCs/>
          <w:color w:val="1A1A1A"/>
          <w:spacing w:val="16"/>
          <w:sz w:val="23"/>
          <w:szCs w:val="23"/>
        </w:rPr>
        <w:t xml:space="preserve"> G — la nature des activités, puis l’insuffisance des garanties</w:t>
      </w:r>
    </w:p>
    <w:p w14:paraId="021F9485"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Problématique : « La dignité peut-elle être suspendue sous couvert du consentement ? »</w:t>
      </w:r>
    </w:p>
    <w:p w14:paraId="1091766E"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I. L’atteinte à la dignité résultant de la nature des activités sexuelles — A. L’objectivisation du corps de la femme (indisponibilité ; non-patrimonialité). B. Des activités sous emprise de violence (art. 3 CEDH ; inviolabilité).</w:t>
      </w:r>
    </w:p>
    <w:p w14:paraId="377911B6"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II. L’insuffisance de garanties propres à assurer le consentement — A. L’altération du consentement par une offre de consommation déraisonnable d’alcool (art. 222-22). B. L’indifférence d’un consentement préalable (Pretty ; Morsang).</w:t>
      </w:r>
    </w:p>
    <w:p w14:paraId="3AA942FE" w14:textId="77777777" w:rsidR="006A28CF" w:rsidRDefault="00000000">
      <w:pPr>
        <w:spacing w:before="170" w:after="70"/>
      </w:pPr>
      <w:r>
        <w:rPr>
          <w:rFonts w:ascii="Calibri" w:eastAsia="Calibri" w:hAnsi="Calibri" w:cs="Calibri"/>
          <w:b/>
          <w:bCs/>
          <w:color w:val="1A1A1A"/>
        </w:rPr>
        <w:t>Ce qui tient</w:t>
      </w:r>
    </w:p>
    <w:p w14:paraId="0A7BD5E1"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Problématique élégante ; le I voit que l’atteinte résulte de « la nature des activités » ; le II A relève le détail de l’alcool.</w:t>
      </w:r>
    </w:p>
    <w:p w14:paraId="4BC8D6C7" w14:textId="77777777" w:rsidR="006A28CF" w:rsidRDefault="00000000">
      <w:pPr>
        <w:spacing w:before="170" w:after="70"/>
      </w:pPr>
      <w:r>
        <w:rPr>
          <w:rFonts w:ascii="Calibri" w:eastAsia="Calibri" w:hAnsi="Calibri" w:cs="Calibri"/>
          <w:b/>
          <w:bCs/>
          <w:color w:val="1A1A1A"/>
        </w:rPr>
        <w:t>Ce qui ne tient pas</w:t>
      </w:r>
    </w:p>
    <w:p w14:paraId="72E4796A"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Aucun cadre de police administrative</w:t>
      </w:r>
      <w:r>
        <w:rPr>
          <w:rFonts w:ascii="Calibri" w:eastAsia="Calibri" w:hAnsi="Calibri" w:cs="Calibri"/>
          <w:color w:val="1A1A1A"/>
        </w:rPr>
        <w:t xml:space="preserve"> : ni ordre public, ni pouvoir de police, ni référé. On lit une dissertation sur la dignité sexuelle.</w:t>
      </w:r>
    </w:p>
    <w:p w14:paraId="4212D1A4"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La non-patrimonialité ne s’applique pas : les femmes ne vendent rien. L’</w:t>
      </w:r>
      <w:r>
        <w:rPr>
          <w:rFonts w:ascii="Calibri" w:eastAsia="Calibri" w:hAnsi="Calibri" w:cs="Calibri"/>
          <w:color w:val="1E88E5"/>
        </w:rPr>
        <w:t>art. 3 CEDH</w:t>
      </w:r>
      <w:r>
        <w:rPr>
          <w:rFonts w:ascii="Calibri" w:eastAsia="Calibri" w:hAnsi="Calibri" w:cs="Calibri"/>
          <w:color w:val="1A1A1A"/>
        </w:rPr>
        <w:t xml:space="preserve"> vise des traitements imputables à l’État.</w:t>
      </w:r>
    </w:p>
    <w:p w14:paraId="67015D43"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 xml:space="preserve">Le II B (consentement indifférent) appartient au I : il mélange les deux rôles du consentement. </w:t>
      </w:r>
      <w:r>
        <w:rPr>
          <w:rFonts w:ascii="Calibri" w:eastAsia="Calibri" w:hAnsi="Calibri" w:cs="Calibri"/>
          <w:color w:val="E91E63"/>
        </w:rPr>
        <w:t>Pretty</w:t>
      </w:r>
      <w:r>
        <w:rPr>
          <w:rFonts w:ascii="Calibri" w:eastAsia="Calibri" w:hAnsi="Calibri" w:cs="Calibri"/>
          <w:color w:val="1A1A1A"/>
        </w:rPr>
        <w:t xml:space="preserve"> reconnaît au contraire l’autonomie personnelle sous l’</w:t>
      </w:r>
      <w:r>
        <w:rPr>
          <w:rFonts w:ascii="Calibri" w:eastAsia="Calibri" w:hAnsi="Calibri" w:cs="Calibri"/>
          <w:color w:val="1E88E5"/>
        </w:rPr>
        <w:t>article 8</w:t>
      </w:r>
      <w:r>
        <w:rPr>
          <w:rFonts w:ascii="Calibri" w:eastAsia="Calibri" w:hAnsi="Calibri" w:cs="Calibri"/>
          <w:color w:val="1A1A1A"/>
        </w:rPr>
        <w:t>.</w:t>
      </w:r>
    </w:p>
    <w:p w14:paraId="3A63C7A1" w14:textId="77777777" w:rsidR="006A28CF" w:rsidRDefault="00000000">
      <w:pPr>
        <w:spacing w:before="170" w:after="70"/>
      </w:pPr>
      <w:r>
        <w:rPr>
          <w:rFonts w:ascii="Calibri" w:eastAsia="Calibri" w:hAnsi="Calibri" w:cs="Calibri"/>
          <w:b/>
          <w:bCs/>
          <w:color w:val="1A1A1A"/>
        </w:rPr>
        <w:t>Le rattrapage</w:t>
      </w:r>
    </w:p>
    <w:p w14:paraId="20EE41BC" w14:textId="77777777" w:rsidR="006A28CF" w:rsidRDefault="00000000">
      <w:pPr>
        <w:spacing w:after="90" w:line="264" w:lineRule="auto"/>
        <w:jc w:val="both"/>
      </w:pPr>
      <w:r>
        <w:rPr>
          <w:rFonts w:ascii="Calibri" w:eastAsia="Calibri" w:hAnsi="Calibri" w:cs="Calibri"/>
          <w:color w:val="1A1A1A"/>
        </w:rPr>
        <w:t>Introduire le point 4 en I A (dignité composante de l’ordre public) et déplacer l’indifférence du consentement en I B.</w:t>
      </w:r>
    </w:p>
    <w:p w14:paraId="6F5C7F64" w14:textId="77777777" w:rsidR="006A28CF" w:rsidRDefault="00000000">
      <w:pPr>
        <w:spacing w:after="160"/>
      </w:pPr>
      <w:r>
        <w:rPr>
          <w:rFonts w:ascii="Calibri" w:eastAsia="Calibri" w:hAnsi="Calibri" w:cs="Calibri"/>
          <w:i/>
          <w:iCs/>
          <w:color w:val="5A5A5A"/>
          <w:sz w:val="18"/>
          <w:szCs w:val="18"/>
        </w:rPr>
        <w:t>Note indicative : 11/20.</w:t>
      </w:r>
    </w:p>
    <w:p w14:paraId="4A902513" w14:textId="77777777" w:rsidR="006A28CF" w:rsidRDefault="00000000">
      <w:pPr>
        <w:pStyle w:val="Titre2"/>
        <w:spacing w:before="260" w:after="110"/>
      </w:pPr>
      <w:r>
        <w:rPr>
          <w:rFonts w:ascii="Calibri" w:eastAsia="Calibri" w:hAnsi="Calibri" w:cs="Calibri"/>
          <w:b/>
          <w:bCs/>
          <w:color w:val="1A1A1A"/>
          <w:spacing w:val="16"/>
          <w:sz w:val="23"/>
          <w:szCs w:val="23"/>
        </w:rPr>
        <w:t>Plan n° 15 — Marine B — la primauté de la dignité, puis l’</w:t>
      </w:r>
      <w:proofErr w:type="spellStart"/>
      <w:r>
        <w:rPr>
          <w:rFonts w:ascii="Calibri" w:eastAsia="Calibri" w:hAnsi="Calibri" w:cs="Calibri"/>
          <w:b/>
          <w:bCs/>
          <w:color w:val="1A1A1A"/>
          <w:spacing w:val="16"/>
          <w:sz w:val="23"/>
          <w:szCs w:val="23"/>
        </w:rPr>
        <w:t>inopérance</w:t>
      </w:r>
      <w:proofErr w:type="spellEnd"/>
      <w:r>
        <w:rPr>
          <w:rFonts w:ascii="Calibri" w:eastAsia="Calibri" w:hAnsi="Calibri" w:cs="Calibri"/>
          <w:b/>
          <w:bCs/>
          <w:color w:val="1A1A1A"/>
          <w:spacing w:val="16"/>
          <w:sz w:val="23"/>
          <w:szCs w:val="23"/>
        </w:rPr>
        <w:t xml:space="preserve"> des conditions du recours</w:t>
      </w:r>
    </w:p>
    <w:p w14:paraId="16EB2C96"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I. La réaffirmation de la primauté de la dignité humaine — A. Protection de la dignité et ordre public (textes ; Morsang ; tranquillité et moralité, Lutetia ; absence de circonstances locales). B. La lutte contre les atteintes à l’intégrité physique et morale (art. 3 CDFUE ; art. 7 PIDCP ; art. 611-1 C. pén.).</w:t>
      </w:r>
    </w:p>
    <w:p w14:paraId="571A326F"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II. L’</w:t>
      </w:r>
      <w:proofErr w:type="spellStart"/>
      <w:r>
        <w:rPr>
          <w:rFonts w:ascii="Calibri" w:eastAsia="Calibri" w:hAnsi="Calibri" w:cs="Calibri"/>
          <w:color w:val="1A1A1A"/>
        </w:rPr>
        <w:t>inopérance</w:t>
      </w:r>
      <w:proofErr w:type="spellEnd"/>
      <w:r>
        <w:rPr>
          <w:rFonts w:ascii="Calibri" w:eastAsia="Calibri" w:hAnsi="Calibri" w:cs="Calibri"/>
          <w:color w:val="1A1A1A"/>
        </w:rPr>
        <w:t xml:space="preserve"> des conditions d’exercice du recours — A. L’absence de prise en compte du consentement des participantes (art. 222-22 ; K.A. et A.D.). B. L’absence de doute sérieux permettant la suspension (référé ; contradictoire, art. 6 CEDH).</w:t>
      </w:r>
    </w:p>
    <w:p w14:paraId="230DB227" w14:textId="77777777" w:rsidR="006A28CF" w:rsidRDefault="00000000">
      <w:pPr>
        <w:spacing w:before="170" w:after="70"/>
      </w:pPr>
      <w:r>
        <w:rPr>
          <w:rFonts w:ascii="Calibri" w:eastAsia="Calibri" w:hAnsi="Calibri" w:cs="Calibri"/>
          <w:b/>
          <w:bCs/>
          <w:color w:val="1A1A1A"/>
        </w:rPr>
        <w:t>Ce qui tient</w:t>
      </w:r>
    </w:p>
    <w:p w14:paraId="5F78563C"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Le II B voit le cœur procédural : l’absence de doute sérieux et le contradictoire.</w:t>
      </w:r>
    </w:p>
    <w:p w14:paraId="2691345C" w14:textId="77777777" w:rsidR="006A28CF" w:rsidRDefault="00000000">
      <w:pPr>
        <w:spacing w:before="170" w:after="70"/>
      </w:pPr>
      <w:r>
        <w:rPr>
          <w:rFonts w:ascii="Calibri" w:eastAsia="Calibri" w:hAnsi="Calibri" w:cs="Calibri"/>
          <w:b/>
          <w:bCs/>
          <w:color w:val="1A1A1A"/>
        </w:rPr>
        <w:t>Ce qui ne tient pas</w:t>
      </w:r>
    </w:p>
    <w:p w14:paraId="2B926ADD"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 xml:space="preserve">Le Conseil d’État ne se prononce pas sur la tranquillité ni la moralité : la référence à </w:t>
      </w:r>
      <w:r>
        <w:rPr>
          <w:rFonts w:ascii="Calibri" w:eastAsia="Calibri" w:hAnsi="Calibri" w:cs="Calibri"/>
          <w:color w:val="E91E63"/>
        </w:rPr>
        <w:t>Lutetia</w:t>
      </w:r>
      <w:r>
        <w:rPr>
          <w:rFonts w:ascii="Calibri" w:eastAsia="Calibri" w:hAnsi="Calibri" w:cs="Calibri"/>
          <w:color w:val="1A1A1A"/>
        </w:rPr>
        <w:t xml:space="preserve"> commente un motif écarté.</w:t>
      </w:r>
    </w:p>
    <w:p w14:paraId="2B1A7807"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Le recours à la prostitution (</w:t>
      </w:r>
      <w:r>
        <w:rPr>
          <w:rFonts w:ascii="Calibri" w:eastAsia="Calibri" w:hAnsi="Calibri" w:cs="Calibri"/>
          <w:b/>
          <w:bCs/>
          <w:color w:val="1E88E5"/>
        </w:rPr>
        <w:t>art. 611-1 C. pén.</w:t>
      </w:r>
      <w:r>
        <w:rPr>
          <w:rFonts w:ascii="Calibri" w:eastAsia="Calibri" w:hAnsi="Calibri" w:cs="Calibri"/>
          <w:b/>
          <w:bCs/>
          <w:color w:val="1A1A1A"/>
        </w:rPr>
        <w:t>) est hors sujet</w:t>
      </w:r>
      <w:r>
        <w:rPr>
          <w:rFonts w:ascii="Calibri" w:eastAsia="Calibri" w:hAnsi="Calibri" w:cs="Calibri"/>
          <w:color w:val="1A1A1A"/>
        </w:rPr>
        <w:t xml:space="preserve"> : les femmes ne sont pas rémunérées.</w:t>
      </w:r>
    </w:p>
    <w:p w14:paraId="317B72EB"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 xml:space="preserve">Le contradictoire préalable relève des </w:t>
      </w:r>
      <w:r>
        <w:rPr>
          <w:rFonts w:ascii="Calibri" w:eastAsia="Calibri" w:hAnsi="Calibri" w:cs="Calibri"/>
          <w:color w:val="1E88E5"/>
        </w:rPr>
        <w:t>articles L. 121-1 et L. 122-1 CRPA</w:t>
      </w:r>
      <w:r>
        <w:rPr>
          <w:rFonts w:ascii="Calibri" w:eastAsia="Calibri" w:hAnsi="Calibri" w:cs="Calibri"/>
          <w:color w:val="1A1A1A"/>
        </w:rPr>
        <w:t>, pas de l’</w:t>
      </w:r>
      <w:r>
        <w:rPr>
          <w:rFonts w:ascii="Calibri" w:eastAsia="Calibri" w:hAnsi="Calibri" w:cs="Calibri"/>
          <w:color w:val="1E88E5"/>
        </w:rPr>
        <w:t>article 6 CEDH</w:t>
      </w:r>
      <w:r>
        <w:rPr>
          <w:rFonts w:ascii="Calibri" w:eastAsia="Calibri" w:hAnsi="Calibri" w:cs="Calibri"/>
          <w:color w:val="1A1A1A"/>
        </w:rPr>
        <w:t>, qui vise les tribunaux. Et le consentement n’est pas « non pris en compte » : il est au centre du second motif.</w:t>
      </w:r>
    </w:p>
    <w:p w14:paraId="67F47B0F" w14:textId="77777777" w:rsidR="006A28CF" w:rsidRDefault="00000000">
      <w:pPr>
        <w:spacing w:before="170" w:after="70"/>
      </w:pPr>
      <w:r>
        <w:rPr>
          <w:rFonts w:ascii="Calibri" w:eastAsia="Calibri" w:hAnsi="Calibri" w:cs="Calibri"/>
          <w:b/>
          <w:bCs/>
          <w:color w:val="1A1A1A"/>
        </w:rPr>
        <w:t>Le rattrapage</w:t>
      </w:r>
    </w:p>
    <w:p w14:paraId="2921D88D" w14:textId="77777777" w:rsidR="006A28CF" w:rsidRDefault="00000000">
      <w:pPr>
        <w:spacing w:after="90" w:line="264" w:lineRule="auto"/>
        <w:jc w:val="both"/>
      </w:pPr>
      <w:proofErr w:type="spellStart"/>
      <w:r>
        <w:rPr>
          <w:rFonts w:ascii="Calibri" w:eastAsia="Calibri" w:hAnsi="Calibri" w:cs="Calibri"/>
          <w:color w:val="1A1A1A"/>
        </w:rPr>
        <w:t>Retitrer</w:t>
      </w:r>
      <w:proofErr w:type="spellEnd"/>
      <w:r>
        <w:rPr>
          <w:rFonts w:ascii="Calibri" w:eastAsia="Calibri" w:hAnsi="Calibri" w:cs="Calibri"/>
          <w:color w:val="1A1A1A"/>
        </w:rPr>
        <w:t xml:space="preserve"> le II « Le consentement exigé » et faire du II B une sous-partie sur le contrôle allégé du juge.</w:t>
      </w:r>
    </w:p>
    <w:p w14:paraId="127D547E" w14:textId="77777777" w:rsidR="006A28CF" w:rsidRDefault="00000000">
      <w:pPr>
        <w:spacing w:after="160"/>
      </w:pPr>
      <w:r>
        <w:rPr>
          <w:rFonts w:ascii="Calibri" w:eastAsia="Calibri" w:hAnsi="Calibri" w:cs="Calibri"/>
          <w:i/>
          <w:iCs/>
          <w:color w:val="5A5A5A"/>
          <w:sz w:val="18"/>
          <w:szCs w:val="18"/>
        </w:rPr>
        <w:t>Note indicative : 11/20.</w:t>
      </w:r>
    </w:p>
    <w:p w14:paraId="6D1F333F" w14:textId="77777777" w:rsidR="006A28CF" w:rsidRDefault="00000000">
      <w:pPr>
        <w:pStyle w:val="Titre2"/>
        <w:spacing w:before="260" w:after="110"/>
      </w:pPr>
      <w:r>
        <w:rPr>
          <w:rFonts w:ascii="Calibri" w:eastAsia="Calibri" w:hAnsi="Calibri" w:cs="Calibri"/>
          <w:b/>
          <w:bCs/>
          <w:color w:val="1A1A1A"/>
          <w:spacing w:val="16"/>
          <w:sz w:val="23"/>
          <w:szCs w:val="23"/>
        </w:rPr>
        <w:t>Plan n° 16 — Mélina L — la protection des droits et libertés, puis la conciliation avec l’ordre public</w:t>
      </w:r>
    </w:p>
    <w:p w14:paraId="60FDF10B"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 xml:space="preserve">Accroche : les conclusions Corneille sur </w:t>
      </w:r>
      <w:r>
        <w:rPr>
          <w:rFonts w:ascii="Calibri" w:eastAsia="Calibri" w:hAnsi="Calibri" w:cs="Calibri"/>
          <w:color w:val="E91E63"/>
        </w:rPr>
        <w:t>CE, 10 août 1917, Baldy</w:t>
      </w:r>
      <w:r>
        <w:rPr>
          <w:rFonts w:ascii="Calibri" w:eastAsia="Calibri" w:hAnsi="Calibri" w:cs="Calibri"/>
          <w:color w:val="1A1A1A"/>
        </w:rPr>
        <w:t xml:space="preserve"> — « la liberté est la règle, la restriction de police l’exception ».</w:t>
      </w:r>
    </w:p>
    <w:p w14:paraId="09152843"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I. La protection des droits et libertés en droit français — A. La protection de la vie privée. B. Le droit à un procès équitable (contradictoire).</w:t>
      </w:r>
    </w:p>
    <w:p w14:paraId="0BB65016" w14:textId="77777777" w:rsidR="006A28CF" w:rsidRDefault="00000000">
      <w:pPr>
        <w:pBdr>
          <w:left w:val="single" w:sz="12" w:space="10" w:color="8C1C2B"/>
        </w:pBdr>
        <w:spacing w:after="90" w:line="264" w:lineRule="auto"/>
        <w:ind w:left="260"/>
        <w:jc w:val="both"/>
      </w:pPr>
      <w:r>
        <w:rPr>
          <w:rFonts w:ascii="Calibri" w:eastAsia="Calibri" w:hAnsi="Calibri" w:cs="Calibri"/>
          <w:color w:val="1A1A1A"/>
        </w:rPr>
        <w:t>II. La nécessaire conciliation avec l’ordre public — A. La sûreté, condition de toutes les libertés (contrat social ; Hobbes ; Beccaria). B. L’extension de la notion d’ordre public (Morsang « 1996 »).</w:t>
      </w:r>
    </w:p>
    <w:p w14:paraId="6C2B02E1" w14:textId="77777777" w:rsidR="006A28CF" w:rsidRDefault="00000000">
      <w:pPr>
        <w:spacing w:before="170" w:after="70"/>
      </w:pPr>
      <w:r>
        <w:rPr>
          <w:rFonts w:ascii="Calibri" w:eastAsia="Calibri" w:hAnsi="Calibri" w:cs="Calibri"/>
          <w:b/>
          <w:bCs/>
          <w:color w:val="1A1A1A"/>
        </w:rPr>
        <w:t>Ce qui tient</w:t>
      </w:r>
    </w:p>
    <w:p w14:paraId="491A55FE"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L’accroche est excellente</w:t>
      </w:r>
      <w:r>
        <w:rPr>
          <w:rFonts w:ascii="Calibri" w:eastAsia="Calibri" w:hAnsi="Calibri" w:cs="Calibri"/>
          <w:color w:val="1A1A1A"/>
        </w:rPr>
        <w:t xml:space="preserve"> et exacte : elle pose d’emblée le contrepoint libéral de la décision.</w:t>
      </w:r>
    </w:p>
    <w:p w14:paraId="1261CC77" w14:textId="77777777" w:rsidR="006A28CF" w:rsidRDefault="00000000">
      <w:pPr>
        <w:spacing w:before="170" w:after="70"/>
      </w:pPr>
      <w:r>
        <w:rPr>
          <w:rFonts w:ascii="Calibri" w:eastAsia="Calibri" w:hAnsi="Calibri" w:cs="Calibri"/>
          <w:b/>
          <w:bCs/>
          <w:color w:val="1A1A1A"/>
        </w:rPr>
        <w:t>Ce qui ne tient pas</w:t>
      </w:r>
    </w:p>
    <w:p w14:paraId="4CEDA6E1"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C’est une dissertation sur les libertés, pas un commentaire</w:t>
      </w:r>
      <w:r>
        <w:rPr>
          <w:rFonts w:ascii="Calibri" w:eastAsia="Calibri" w:hAnsi="Calibri" w:cs="Calibri"/>
          <w:color w:val="1A1A1A"/>
        </w:rPr>
        <w:t xml:space="preserve"> : le I ne contient aucune phrase de la décision.</w:t>
      </w:r>
    </w:p>
    <w:p w14:paraId="5427E1AD"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La « sûreté » de l’</w:t>
      </w:r>
      <w:r>
        <w:rPr>
          <w:rFonts w:ascii="Calibri" w:eastAsia="Calibri" w:hAnsi="Calibri" w:cs="Calibri"/>
          <w:color w:val="1E88E5"/>
        </w:rPr>
        <w:t>article 2 DDHC</w:t>
      </w:r>
      <w:r>
        <w:rPr>
          <w:rFonts w:ascii="Calibri" w:eastAsia="Calibri" w:hAnsi="Calibri" w:cs="Calibri"/>
          <w:color w:val="1A1A1A"/>
        </w:rPr>
        <w:t xml:space="preserve"> est la protection contre l’arbitraire, pas la sécurité publique. Le contradictoire administratif n’est pas le procès équitable. </w:t>
      </w:r>
      <w:r>
        <w:rPr>
          <w:rFonts w:ascii="Calibri" w:eastAsia="Calibri" w:hAnsi="Calibri" w:cs="Calibri"/>
          <w:color w:val="E91E63"/>
        </w:rPr>
        <w:t>Morsang</w:t>
      </w:r>
      <w:r>
        <w:rPr>
          <w:rFonts w:ascii="Calibri" w:eastAsia="Calibri" w:hAnsi="Calibri" w:cs="Calibri"/>
          <w:color w:val="1A1A1A"/>
        </w:rPr>
        <w:t xml:space="preserve"> est de 1995.</w:t>
      </w:r>
    </w:p>
    <w:p w14:paraId="19097ED2" w14:textId="77777777" w:rsidR="006A28CF" w:rsidRDefault="00000000">
      <w:pPr>
        <w:spacing w:before="170" w:after="70"/>
      </w:pPr>
      <w:r>
        <w:rPr>
          <w:rFonts w:ascii="Calibri" w:eastAsia="Calibri" w:hAnsi="Calibri" w:cs="Calibri"/>
          <w:b/>
          <w:bCs/>
          <w:color w:val="1A1A1A"/>
        </w:rPr>
        <w:t>Le rattrapage</w:t>
      </w:r>
    </w:p>
    <w:p w14:paraId="1C52F105" w14:textId="77777777" w:rsidR="006A28CF" w:rsidRDefault="00000000">
      <w:pPr>
        <w:spacing w:after="90" w:line="264" w:lineRule="auto"/>
        <w:jc w:val="both"/>
      </w:pPr>
      <w:r>
        <w:rPr>
          <w:rFonts w:ascii="Calibri" w:eastAsia="Calibri" w:hAnsi="Calibri" w:cs="Calibri"/>
          <w:color w:val="1A1A1A"/>
        </w:rPr>
        <w:t>Garder l’accroche ; reconstruire le plan sur les deux motifs de la décision.</w:t>
      </w:r>
    </w:p>
    <w:p w14:paraId="34F4FF2B" w14:textId="77777777" w:rsidR="006A28CF" w:rsidRDefault="00000000">
      <w:pPr>
        <w:spacing w:after="160"/>
      </w:pPr>
      <w:r>
        <w:rPr>
          <w:rFonts w:ascii="Calibri" w:eastAsia="Calibri" w:hAnsi="Calibri" w:cs="Calibri"/>
          <w:i/>
          <w:iCs/>
          <w:color w:val="5A5A5A"/>
          <w:sz w:val="18"/>
          <w:szCs w:val="18"/>
        </w:rPr>
        <w:t>Note indicative : 9/20.</w:t>
      </w:r>
    </w:p>
    <w:p w14:paraId="35EDF0DC" w14:textId="77777777" w:rsidR="006A28CF" w:rsidRDefault="00000000">
      <w:pPr>
        <w:pStyle w:val="Titre1"/>
        <w:pBdr>
          <w:bottom w:val="single" w:sz="12" w:space="6" w:color="8C1C2B"/>
        </w:pBdr>
        <w:spacing w:before="260" w:after="90"/>
      </w:pPr>
      <w:r>
        <w:rPr>
          <w:rFonts w:ascii="Calibri" w:eastAsia="Calibri" w:hAnsi="Calibri" w:cs="Calibri"/>
          <w:b/>
          <w:bCs/>
          <w:color w:val="8C1C2B"/>
          <w:sz w:val="28"/>
          <w:szCs w:val="28"/>
        </w:rPr>
        <w:t>B. LES PROPOSITIONS BRÈVES</w:t>
      </w:r>
    </w:p>
    <w:tbl>
      <w:tblPr>
        <w:tblW w:w="5000" w:type="pct"/>
        <w:tblBorders>
          <w:top w:val="single" w:sz="2" w:space="0" w:color="C9C0B6"/>
          <w:left w:val="single" w:sz="2" w:space="0" w:color="C9C0B6"/>
          <w:bottom w:val="single" w:sz="2" w:space="0" w:color="C9C0B6"/>
          <w:right w:val="single" w:sz="2" w:space="0" w:color="C9C0B6"/>
          <w:insideH w:val="single" w:sz="2" w:space="0" w:color="DCD5CC"/>
          <w:insideV w:val="single" w:sz="2" w:space="0" w:color="DCD5CC"/>
        </w:tblBorders>
        <w:tblCellMar>
          <w:left w:w="10" w:type="dxa"/>
          <w:right w:w="10" w:type="dxa"/>
        </w:tblCellMar>
        <w:tblLook w:val="04A0" w:firstRow="1" w:lastRow="0" w:firstColumn="1" w:lastColumn="0" w:noHBand="0" w:noVBand="1"/>
      </w:tblPr>
      <w:tblGrid>
        <w:gridCol w:w="3248"/>
        <w:gridCol w:w="3249"/>
        <w:gridCol w:w="3249"/>
      </w:tblGrid>
      <w:tr w:rsidR="006A28CF" w14:paraId="506062D7" w14:textId="77777777">
        <w:trPr>
          <w:tblHeader/>
        </w:trPr>
        <w:tc>
          <w:tcPr>
            <w:tcW w:w="1650" w:type="pct"/>
            <w:shd w:val="clear" w:color="auto" w:fill="F2E9EA"/>
            <w:tcMar>
              <w:top w:w="60" w:type="dxa"/>
              <w:left w:w="90" w:type="dxa"/>
              <w:bottom w:w="60" w:type="dxa"/>
              <w:right w:w="90" w:type="dxa"/>
            </w:tcMar>
          </w:tcPr>
          <w:p w14:paraId="043DF268" w14:textId="77777777" w:rsidR="006A28CF" w:rsidRDefault="00000000">
            <w:r>
              <w:rPr>
                <w:rFonts w:ascii="Calibri" w:eastAsia="Calibri" w:hAnsi="Calibri" w:cs="Calibri"/>
                <w:b/>
                <w:bCs/>
                <w:color w:val="1A1A1A"/>
                <w:sz w:val="17"/>
                <w:szCs w:val="17"/>
              </w:rPr>
              <w:t>Proposition</w:t>
            </w:r>
          </w:p>
        </w:tc>
        <w:tc>
          <w:tcPr>
            <w:tcW w:w="1650" w:type="pct"/>
            <w:shd w:val="clear" w:color="auto" w:fill="F2E9EA"/>
            <w:tcMar>
              <w:top w:w="60" w:type="dxa"/>
              <w:left w:w="90" w:type="dxa"/>
              <w:bottom w:w="60" w:type="dxa"/>
              <w:right w:w="90" w:type="dxa"/>
            </w:tcMar>
          </w:tcPr>
          <w:p w14:paraId="57892206" w14:textId="77777777" w:rsidR="006A28CF" w:rsidRDefault="00000000">
            <w:r>
              <w:rPr>
                <w:rFonts w:ascii="Calibri" w:eastAsia="Calibri" w:hAnsi="Calibri" w:cs="Calibri"/>
                <w:b/>
                <w:bCs/>
                <w:color w:val="1A1A1A"/>
                <w:sz w:val="17"/>
                <w:szCs w:val="17"/>
              </w:rPr>
              <w:t>Observation</w:t>
            </w:r>
          </w:p>
        </w:tc>
        <w:tc>
          <w:tcPr>
            <w:tcW w:w="1650" w:type="pct"/>
            <w:shd w:val="clear" w:color="auto" w:fill="F2E9EA"/>
            <w:tcMar>
              <w:top w:w="60" w:type="dxa"/>
              <w:left w:w="90" w:type="dxa"/>
              <w:bottom w:w="60" w:type="dxa"/>
              <w:right w:w="90" w:type="dxa"/>
            </w:tcMar>
          </w:tcPr>
          <w:p w14:paraId="42EB1A65" w14:textId="77777777" w:rsidR="006A28CF" w:rsidRDefault="00000000">
            <w:r>
              <w:rPr>
                <w:rFonts w:ascii="Calibri" w:eastAsia="Calibri" w:hAnsi="Calibri" w:cs="Calibri"/>
                <w:b/>
                <w:bCs/>
                <w:color w:val="1A1A1A"/>
                <w:sz w:val="17"/>
                <w:szCs w:val="17"/>
              </w:rPr>
              <w:t>Note</w:t>
            </w:r>
          </w:p>
        </w:tc>
      </w:tr>
      <w:tr w:rsidR="006A28CF" w14:paraId="5684062A" w14:textId="77777777">
        <w:tc>
          <w:tcPr>
            <w:tcW w:w="1650" w:type="pct"/>
            <w:tcMar>
              <w:top w:w="60" w:type="dxa"/>
              <w:left w:w="90" w:type="dxa"/>
              <w:bottom w:w="60" w:type="dxa"/>
              <w:right w:w="90" w:type="dxa"/>
            </w:tcMar>
          </w:tcPr>
          <w:p w14:paraId="1CBCBD41" w14:textId="77777777" w:rsidR="006A28CF" w:rsidRDefault="00000000">
            <w:r>
              <w:rPr>
                <w:rFonts w:ascii="Calibri" w:eastAsia="Calibri" w:hAnsi="Calibri" w:cs="Calibri"/>
                <w:color w:val="1A1A1A"/>
                <w:sz w:val="17"/>
                <w:szCs w:val="17"/>
              </w:rPr>
              <w:t>Emma L (19 h 00) — I. Conciliation droit de disposer de son corps / dignité ; II. Conciliation liberté sexuelle / prévention des infractions</w:t>
            </w:r>
          </w:p>
        </w:tc>
        <w:tc>
          <w:tcPr>
            <w:tcW w:w="1650" w:type="pct"/>
            <w:tcMar>
              <w:top w:w="60" w:type="dxa"/>
              <w:left w:w="90" w:type="dxa"/>
              <w:bottom w:w="60" w:type="dxa"/>
              <w:right w:w="90" w:type="dxa"/>
            </w:tcMar>
          </w:tcPr>
          <w:p w14:paraId="0FB536B7" w14:textId="77777777" w:rsidR="006A28CF" w:rsidRDefault="00000000">
            <w:r>
              <w:rPr>
                <w:rFonts w:ascii="Calibri" w:eastAsia="Calibri" w:hAnsi="Calibri" w:cs="Calibri"/>
                <w:color w:val="1A1A1A"/>
                <w:sz w:val="17"/>
                <w:szCs w:val="17"/>
              </w:rPr>
              <w:t>Le binaire épouse les deux motifs : c’est la bonne intuition. Mais le Conseil d’État ne concilie pas, il fait prévaloir ; et les sous-parties juxtaposent deux termes (A. le droit, B. la limite).</w:t>
            </w:r>
          </w:p>
        </w:tc>
        <w:tc>
          <w:tcPr>
            <w:tcW w:w="1650" w:type="pct"/>
            <w:tcMar>
              <w:top w:w="60" w:type="dxa"/>
              <w:left w:w="90" w:type="dxa"/>
              <w:bottom w:w="60" w:type="dxa"/>
              <w:right w:w="90" w:type="dxa"/>
            </w:tcMar>
          </w:tcPr>
          <w:p w14:paraId="3600C4A0" w14:textId="77777777" w:rsidR="006A28CF" w:rsidRDefault="00000000">
            <w:r>
              <w:rPr>
                <w:rFonts w:ascii="Calibri" w:eastAsia="Calibri" w:hAnsi="Calibri" w:cs="Calibri"/>
                <w:color w:val="1A1A1A"/>
                <w:sz w:val="17"/>
                <w:szCs w:val="17"/>
              </w:rPr>
              <w:t>11</w:t>
            </w:r>
          </w:p>
        </w:tc>
      </w:tr>
      <w:tr w:rsidR="006A28CF" w14:paraId="649EFF7E" w14:textId="77777777">
        <w:tc>
          <w:tcPr>
            <w:tcW w:w="1650" w:type="pct"/>
            <w:tcMar>
              <w:top w:w="60" w:type="dxa"/>
              <w:left w:w="90" w:type="dxa"/>
              <w:bottom w:w="60" w:type="dxa"/>
              <w:right w:w="90" w:type="dxa"/>
            </w:tcMar>
          </w:tcPr>
          <w:p w14:paraId="21ED6382" w14:textId="77777777" w:rsidR="006A28CF" w:rsidRDefault="00000000">
            <w:r>
              <w:rPr>
                <w:rFonts w:ascii="Calibri" w:eastAsia="Calibri" w:hAnsi="Calibri" w:cs="Calibri"/>
                <w:color w:val="1A1A1A"/>
                <w:sz w:val="17"/>
                <w:szCs w:val="17"/>
              </w:rPr>
              <w:t>Amélie C — I. La protection de l’ordre public (dignité composante ; limite aux libertés) ; II. La prévention du risque pénal (atteinte à l’intégrité ; absence de garanties)</w:t>
            </w:r>
          </w:p>
        </w:tc>
        <w:tc>
          <w:tcPr>
            <w:tcW w:w="1650" w:type="pct"/>
            <w:tcMar>
              <w:top w:w="60" w:type="dxa"/>
              <w:left w:w="90" w:type="dxa"/>
              <w:bottom w:w="60" w:type="dxa"/>
              <w:right w:w="90" w:type="dxa"/>
            </w:tcMar>
          </w:tcPr>
          <w:p w14:paraId="2B0F3B6F" w14:textId="77777777" w:rsidR="006A28CF" w:rsidRDefault="00000000">
            <w:r>
              <w:rPr>
                <w:rFonts w:ascii="Calibri" w:eastAsia="Calibri" w:hAnsi="Calibri" w:cs="Calibri"/>
                <w:color w:val="1A1A1A"/>
                <w:sz w:val="17"/>
                <w:szCs w:val="17"/>
              </w:rPr>
              <w:t>Propre et fidèle. Manquent le paradoxe du consentement et toute portée.</w:t>
            </w:r>
          </w:p>
        </w:tc>
        <w:tc>
          <w:tcPr>
            <w:tcW w:w="1650" w:type="pct"/>
            <w:tcMar>
              <w:top w:w="60" w:type="dxa"/>
              <w:left w:w="90" w:type="dxa"/>
              <w:bottom w:w="60" w:type="dxa"/>
              <w:right w:w="90" w:type="dxa"/>
            </w:tcMar>
          </w:tcPr>
          <w:p w14:paraId="0267D690" w14:textId="77777777" w:rsidR="006A28CF" w:rsidRDefault="00000000">
            <w:r>
              <w:rPr>
                <w:rFonts w:ascii="Calibri" w:eastAsia="Calibri" w:hAnsi="Calibri" w:cs="Calibri"/>
                <w:color w:val="1A1A1A"/>
                <w:sz w:val="17"/>
                <w:szCs w:val="17"/>
              </w:rPr>
              <w:t>13</w:t>
            </w:r>
          </w:p>
        </w:tc>
      </w:tr>
      <w:tr w:rsidR="006A28CF" w14:paraId="6166A00C" w14:textId="77777777">
        <w:tc>
          <w:tcPr>
            <w:tcW w:w="1650" w:type="pct"/>
            <w:tcMar>
              <w:top w:w="60" w:type="dxa"/>
              <w:left w:w="90" w:type="dxa"/>
              <w:bottom w:w="60" w:type="dxa"/>
              <w:right w:w="90" w:type="dxa"/>
            </w:tcMar>
          </w:tcPr>
          <w:p w14:paraId="42BC72EC" w14:textId="77777777" w:rsidR="006A28CF" w:rsidRDefault="00000000">
            <w:r>
              <w:rPr>
                <w:rFonts w:ascii="Calibri" w:eastAsia="Calibri" w:hAnsi="Calibri" w:cs="Calibri"/>
                <w:color w:val="1A1A1A"/>
                <w:sz w:val="17"/>
                <w:szCs w:val="17"/>
              </w:rPr>
              <w:t>Noa H — I. L’atteinte à la dignité (prévention des infractions ; consentement) ; II. L’atteinte à l’ordre public (pouvoir des autorités ; proportionnalité)</w:t>
            </w:r>
          </w:p>
        </w:tc>
        <w:tc>
          <w:tcPr>
            <w:tcW w:w="1650" w:type="pct"/>
            <w:tcMar>
              <w:top w:w="60" w:type="dxa"/>
              <w:left w:w="90" w:type="dxa"/>
              <w:bottom w:w="60" w:type="dxa"/>
              <w:right w:w="90" w:type="dxa"/>
            </w:tcMar>
          </w:tcPr>
          <w:p w14:paraId="529192A9" w14:textId="77777777" w:rsidR="006A28CF" w:rsidRDefault="00000000">
            <w:r>
              <w:rPr>
                <w:rFonts w:ascii="Calibri" w:eastAsia="Calibri" w:hAnsi="Calibri" w:cs="Calibri"/>
                <w:color w:val="1A1A1A"/>
                <w:sz w:val="17"/>
                <w:szCs w:val="17"/>
              </w:rPr>
              <w:t>Désordonné : la dignité est séparée de l’ordre public dont elle est une composante, et les infractions sont rangées sous la dignité. Bonnes remarques sur les quinze ans sans poursuites et sur Benjamin.</w:t>
            </w:r>
          </w:p>
        </w:tc>
        <w:tc>
          <w:tcPr>
            <w:tcW w:w="1650" w:type="pct"/>
            <w:tcMar>
              <w:top w:w="60" w:type="dxa"/>
              <w:left w:w="90" w:type="dxa"/>
              <w:bottom w:w="60" w:type="dxa"/>
              <w:right w:w="90" w:type="dxa"/>
            </w:tcMar>
          </w:tcPr>
          <w:p w14:paraId="35B44FD0" w14:textId="77777777" w:rsidR="006A28CF" w:rsidRDefault="00000000">
            <w:r>
              <w:rPr>
                <w:rFonts w:ascii="Calibri" w:eastAsia="Calibri" w:hAnsi="Calibri" w:cs="Calibri"/>
                <w:color w:val="1A1A1A"/>
                <w:sz w:val="17"/>
                <w:szCs w:val="17"/>
              </w:rPr>
              <w:t>10</w:t>
            </w:r>
          </w:p>
        </w:tc>
      </w:tr>
      <w:tr w:rsidR="006A28CF" w14:paraId="7790E0DC" w14:textId="77777777">
        <w:tc>
          <w:tcPr>
            <w:tcW w:w="1650" w:type="pct"/>
            <w:tcMar>
              <w:top w:w="60" w:type="dxa"/>
              <w:left w:w="90" w:type="dxa"/>
              <w:bottom w:w="60" w:type="dxa"/>
              <w:right w:w="90" w:type="dxa"/>
            </w:tcMar>
          </w:tcPr>
          <w:p w14:paraId="3916E31F" w14:textId="77777777" w:rsidR="006A28CF" w:rsidRDefault="00000000">
            <w:r>
              <w:rPr>
                <w:rFonts w:ascii="Calibri" w:eastAsia="Calibri" w:hAnsi="Calibri" w:cs="Calibri"/>
                <w:color w:val="1A1A1A"/>
                <w:sz w:val="17"/>
                <w:szCs w:val="17"/>
              </w:rPr>
              <w:t>Inès Y — I. Une décision novatrice (LCI limitée par la dignité ; par le consentement) ; II. Une décision entérinant une veine jurisprudentielle (moralité publique ; ordre public)</w:t>
            </w:r>
          </w:p>
        </w:tc>
        <w:tc>
          <w:tcPr>
            <w:tcW w:w="1650" w:type="pct"/>
            <w:tcMar>
              <w:top w:w="60" w:type="dxa"/>
              <w:left w:w="90" w:type="dxa"/>
              <w:bottom w:w="60" w:type="dxa"/>
              <w:right w:w="90" w:type="dxa"/>
            </w:tcMar>
          </w:tcPr>
          <w:p w14:paraId="3E13F248" w14:textId="77777777" w:rsidR="006A28CF" w:rsidRDefault="00000000">
            <w:r>
              <w:rPr>
                <w:rFonts w:ascii="Calibri" w:eastAsia="Calibri" w:hAnsi="Calibri" w:cs="Calibri"/>
                <w:color w:val="1A1A1A"/>
                <w:sz w:val="17"/>
                <w:szCs w:val="17"/>
              </w:rPr>
              <w:t xml:space="preserve">Plan classique « nouveauté / continuité », mais le II A </w:t>
            </w:r>
            <w:proofErr w:type="spellStart"/>
            <w:r>
              <w:rPr>
                <w:rFonts w:ascii="Calibri" w:eastAsia="Calibri" w:hAnsi="Calibri" w:cs="Calibri"/>
                <w:color w:val="1A1A1A"/>
                <w:sz w:val="17"/>
                <w:szCs w:val="17"/>
              </w:rPr>
              <w:t>commente</w:t>
            </w:r>
            <w:proofErr w:type="spellEnd"/>
            <w:r>
              <w:rPr>
                <w:rFonts w:ascii="Calibri" w:eastAsia="Calibri" w:hAnsi="Calibri" w:cs="Calibri"/>
                <w:color w:val="1A1A1A"/>
                <w:sz w:val="17"/>
                <w:szCs w:val="17"/>
              </w:rPr>
              <w:t xml:space="preserve"> la moralité, que le Conseil d’État n’examine pas.</w:t>
            </w:r>
          </w:p>
        </w:tc>
        <w:tc>
          <w:tcPr>
            <w:tcW w:w="1650" w:type="pct"/>
            <w:tcMar>
              <w:top w:w="60" w:type="dxa"/>
              <w:left w:w="90" w:type="dxa"/>
              <w:bottom w:w="60" w:type="dxa"/>
              <w:right w:w="90" w:type="dxa"/>
            </w:tcMar>
          </w:tcPr>
          <w:p w14:paraId="1E427BB7" w14:textId="77777777" w:rsidR="006A28CF" w:rsidRDefault="00000000">
            <w:r>
              <w:rPr>
                <w:rFonts w:ascii="Calibri" w:eastAsia="Calibri" w:hAnsi="Calibri" w:cs="Calibri"/>
                <w:color w:val="1A1A1A"/>
                <w:sz w:val="17"/>
                <w:szCs w:val="17"/>
              </w:rPr>
              <w:t>10</w:t>
            </w:r>
          </w:p>
        </w:tc>
      </w:tr>
      <w:tr w:rsidR="006A28CF" w14:paraId="706152CC" w14:textId="77777777">
        <w:tc>
          <w:tcPr>
            <w:tcW w:w="1650" w:type="pct"/>
            <w:tcMar>
              <w:top w:w="60" w:type="dxa"/>
              <w:left w:w="90" w:type="dxa"/>
              <w:bottom w:w="60" w:type="dxa"/>
              <w:right w:w="90" w:type="dxa"/>
            </w:tcMar>
          </w:tcPr>
          <w:p w14:paraId="0C0F5FC5" w14:textId="77777777" w:rsidR="006A28CF" w:rsidRDefault="00000000">
            <w:r>
              <w:rPr>
                <w:rFonts w:ascii="Calibri" w:eastAsia="Calibri" w:hAnsi="Calibri" w:cs="Calibri"/>
                <w:color w:val="1A1A1A"/>
                <w:sz w:val="17"/>
                <w:szCs w:val="17"/>
              </w:rPr>
              <w:t>Amandine T — I. Un encadrement strict des restrictions (tranquillité et moralité ; contrôle strict par le référé) ; II. Le rôle de la police (dignité ; infractions)</w:t>
            </w:r>
          </w:p>
        </w:tc>
        <w:tc>
          <w:tcPr>
            <w:tcW w:w="1650" w:type="pct"/>
            <w:tcMar>
              <w:top w:w="60" w:type="dxa"/>
              <w:left w:w="90" w:type="dxa"/>
              <w:bottom w:w="60" w:type="dxa"/>
              <w:right w:w="90" w:type="dxa"/>
            </w:tcMar>
          </w:tcPr>
          <w:p w14:paraId="44D9C82E" w14:textId="77777777" w:rsidR="006A28CF" w:rsidRDefault="00000000">
            <w:r>
              <w:rPr>
                <w:rFonts w:ascii="Calibri" w:eastAsia="Calibri" w:hAnsi="Calibri" w:cs="Calibri"/>
                <w:color w:val="1A1A1A"/>
                <w:sz w:val="17"/>
                <w:szCs w:val="17"/>
              </w:rPr>
              <w:t>Le I A repose sur un motif non jugé ; le contrôle n’est pas « strict » mais allégé (dénaturation).</w:t>
            </w:r>
          </w:p>
        </w:tc>
        <w:tc>
          <w:tcPr>
            <w:tcW w:w="1650" w:type="pct"/>
            <w:tcMar>
              <w:top w:w="60" w:type="dxa"/>
              <w:left w:w="90" w:type="dxa"/>
              <w:bottom w:w="60" w:type="dxa"/>
              <w:right w:w="90" w:type="dxa"/>
            </w:tcMar>
          </w:tcPr>
          <w:p w14:paraId="71E16EB7" w14:textId="77777777" w:rsidR="006A28CF" w:rsidRDefault="00000000">
            <w:r>
              <w:rPr>
                <w:rFonts w:ascii="Calibri" w:eastAsia="Calibri" w:hAnsi="Calibri" w:cs="Calibri"/>
                <w:color w:val="1A1A1A"/>
                <w:sz w:val="17"/>
                <w:szCs w:val="17"/>
              </w:rPr>
              <w:t>9,5</w:t>
            </w:r>
          </w:p>
        </w:tc>
      </w:tr>
      <w:tr w:rsidR="006A28CF" w14:paraId="184AA870" w14:textId="77777777">
        <w:tc>
          <w:tcPr>
            <w:tcW w:w="1650" w:type="pct"/>
            <w:tcMar>
              <w:top w:w="60" w:type="dxa"/>
              <w:left w:w="90" w:type="dxa"/>
              <w:bottom w:w="60" w:type="dxa"/>
              <w:right w:w="90" w:type="dxa"/>
            </w:tcMar>
          </w:tcPr>
          <w:p w14:paraId="60B240BD" w14:textId="77777777" w:rsidR="006A28CF" w:rsidRDefault="00000000">
            <w:r>
              <w:rPr>
                <w:rFonts w:ascii="Calibri" w:eastAsia="Calibri" w:hAnsi="Calibri" w:cs="Calibri"/>
                <w:color w:val="1A1A1A"/>
                <w:sz w:val="17"/>
                <w:szCs w:val="17"/>
              </w:rPr>
              <w:lastRenderedPageBreak/>
              <w:t>Anaïs L — I. Encadrement législatif de l’autonomie (loi du 6 novembre 2025 ; marchandisation du corps) ; II. Atteinte à la vie privée garantissant l’intégrité morale (victimisation secondaire ; non-patrimonialité)</w:t>
            </w:r>
          </w:p>
        </w:tc>
        <w:tc>
          <w:tcPr>
            <w:tcW w:w="1650" w:type="pct"/>
            <w:tcMar>
              <w:top w:w="60" w:type="dxa"/>
              <w:left w:w="90" w:type="dxa"/>
              <w:bottom w:w="60" w:type="dxa"/>
              <w:right w:w="90" w:type="dxa"/>
            </w:tcMar>
          </w:tcPr>
          <w:p w14:paraId="316A6A67" w14:textId="77777777" w:rsidR="006A28CF" w:rsidRDefault="00000000">
            <w:r>
              <w:rPr>
                <w:rFonts w:ascii="Calibri" w:eastAsia="Calibri" w:hAnsi="Calibri" w:cs="Calibri"/>
                <w:color w:val="1A1A1A"/>
                <w:sz w:val="17"/>
                <w:szCs w:val="17"/>
              </w:rPr>
              <w:t>La loi de 2025 ne porte pas sur la dignité ; les femmes ne sont pas rémunérées ; la « victimisation secondaire » est un moyen du préfet que le Conseil d’État ne retient pas.</w:t>
            </w:r>
          </w:p>
        </w:tc>
        <w:tc>
          <w:tcPr>
            <w:tcW w:w="1650" w:type="pct"/>
            <w:tcMar>
              <w:top w:w="60" w:type="dxa"/>
              <w:left w:w="90" w:type="dxa"/>
              <w:bottom w:w="60" w:type="dxa"/>
              <w:right w:w="90" w:type="dxa"/>
            </w:tcMar>
          </w:tcPr>
          <w:p w14:paraId="5A80BFCB" w14:textId="77777777" w:rsidR="006A28CF" w:rsidRDefault="00000000">
            <w:r>
              <w:rPr>
                <w:rFonts w:ascii="Calibri" w:eastAsia="Calibri" w:hAnsi="Calibri" w:cs="Calibri"/>
                <w:color w:val="1A1A1A"/>
                <w:sz w:val="17"/>
                <w:szCs w:val="17"/>
              </w:rPr>
              <w:t>8,5</w:t>
            </w:r>
          </w:p>
        </w:tc>
      </w:tr>
      <w:tr w:rsidR="006A28CF" w14:paraId="5F9AB36C" w14:textId="77777777">
        <w:tc>
          <w:tcPr>
            <w:tcW w:w="1650" w:type="pct"/>
            <w:tcMar>
              <w:top w:w="60" w:type="dxa"/>
              <w:left w:w="90" w:type="dxa"/>
              <w:bottom w:w="60" w:type="dxa"/>
              <w:right w:w="90" w:type="dxa"/>
            </w:tcMar>
          </w:tcPr>
          <w:p w14:paraId="032C946D" w14:textId="77777777" w:rsidR="006A28CF" w:rsidRDefault="00000000">
            <w:r>
              <w:rPr>
                <w:rFonts w:ascii="Calibri" w:eastAsia="Calibri" w:hAnsi="Calibri" w:cs="Calibri"/>
                <w:color w:val="1A1A1A"/>
                <w:sz w:val="17"/>
                <w:szCs w:val="17"/>
              </w:rPr>
              <w:t>Alban T — I. Conception libérale de l’autodétermination (art. 4 DDHC ; référé-liberté) ; II. Conciliation avec l’ordre public (Morsang ; consentement)</w:t>
            </w:r>
          </w:p>
        </w:tc>
        <w:tc>
          <w:tcPr>
            <w:tcW w:w="1650" w:type="pct"/>
            <w:tcMar>
              <w:top w:w="60" w:type="dxa"/>
              <w:left w:w="90" w:type="dxa"/>
              <w:bottom w:w="60" w:type="dxa"/>
              <w:right w:w="90" w:type="dxa"/>
            </w:tcMar>
          </w:tcPr>
          <w:p w14:paraId="6046D4DD" w14:textId="77777777" w:rsidR="006A28CF" w:rsidRDefault="00000000">
            <w:r>
              <w:rPr>
                <w:rFonts w:ascii="Calibri" w:eastAsia="Calibri" w:hAnsi="Calibri" w:cs="Calibri"/>
                <w:color w:val="1A1A1A"/>
                <w:sz w:val="17"/>
                <w:szCs w:val="17"/>
              </w:rPr>
              <w:t>Erreur de procédure : c’est un référé-suspension (</w:t>
            </w:r>
            <w:r>
              <w:rPr>
                <w:rFonts w:ascii="Calibri" w:eastAsia="Calibri" w:hAnsi="Calibri" w:cs="Calibri"/>
                <w:color w:val="1E88E5"/>
                <w:sz w:val="17"/>
                <w:szCs w:val="17"/>
              </w:rPr>
              <w:t>L. 521-1</w:t>
            </w:r>
            <w:r>
              <w:rPr>
                <w:rFonts w:ascii="Calibri" w:eastAsia="Calibri" w:hAnsi="Calibri" w:cs="Calibri"/>
                <w:color w:val="1A1A1A"/>
                <w:sz w:val="17"/>
                <w:szCs w:val="17"/>
              </w:rPr>
              <w:t>), pas un référé-liberté. Le respect de la vie privée est à l’</w:t>
            </w:r>
            <w:r>
              <w:rPr>
                <w:rFonts w:ascii="Calibri" w:eastAsia="Calibri" w:hAnsi="Calibri" w:cs="Calibri"/>
                <w:color w:val="1E88E5"/>
                <w:sz w:val="17"/>
                <w:szCs w:val="17"/>
              </w:rPr>
              <w:t>art. 7 CDFUE</w:t>
            </w:r>
            <w:r>
              <w:rPr>
                <w:rFonts w:ascii="Calibri" w:eastAsia="Calibri" w:hAnsi="Calibri" w:cs="Calibri"/>
                <w:color w:val="1A1A1A"/>
                <w:sz w:val="17"/>
                <w:szCs w:val="17"/>
              </w:rPr>
              <w:t xml:space="preserve"> ; « la dignité humaine est inviolable » est l’</w:t>
            </w:r>
            <w:r>
              <w:rPr>
                <w:rFonts w:ascii="Calibri" w:eastAsia="Calibri" w:hAnsi="Calibri" w:cs="Calibri"/>
                <w:color w:val="1E88E5"/>
                <w:sz w:val="17"/>
                <w:szCs w:val="17"/>
              </w:rPr>
              <w:t>art. 1er CDFUE</w:t>
            </w:r>
            <w:r>
              <w:rPr>
                <w:rFonts w:ascii="Calibri" w:eastAsia="Calibri" w:hAnsi="Calibri" w:cs="Calibri"/>
                <w:color w:val="1A1A1A"/>
                <w:sz w:val="17"/>
                <w:szCs w:val="17"/>
              </w:rPr>
              <w:t>, non de la DUDH.</w:t>
            </w:r>
          </w:p>
        </w:tc>
        <w:tc>
          <w:tcPr>
            <w:tcW w:w="1650" w:type="pct"/>
            <w:tcMar>
              <w:top w:w="60" w:type="dxa"/>
              <w:left w:w="90" w:type="dxa"/>
              <w:bottom w:w="60" w:type="dxa"/>
              <w:right w:w="90" w:type="dxa"/>
            </w:tcMar>
          </w:tcPr>
          <w:p w14:paraId="18611621" w14:textId="77777777" w:rsidR="006A28CF" w:rsidRDefault="00000000">
            <w:r>
              <w:rPr>
                <w:rFonts w:ascii="Calibri" w:eastAsia="Calibri" w:hAnsi="Calibri" w:cs="Calibri"/>
                <w:color w:val="1A1A1A"/>
                <w:sz w:val="17"/>
                <w:szCs w:val="17"/>
              </w:rPr>
              <w:t>8</w:t>
            </w:r>
          </w:p>
        </w:tc>
      </w:tr>
      <w:tr w:rsidR="006A28CF" w14:paraId="3B8BD572" w14:textId="77777777">
        <w:tc>
          <w:tcPr>
            <w:tcW w:w="1650" w:type="pct"/>
            <w:tcMar>
              <w:top w:w="60" w:type="dxa"/>
              <w:left w:w="90" w:type="dxa"/>
              <w:bottom w:w="60" w:type="dxa"/>
              <w:right w:w="90" w:type="dxa"/>
            </w:tcMar>
          </w:tcPr>
          <w:p w14:paraId="4CE2225B" w14:textId="77777777" w:rsidR="006A28CF" w:rsidRDefault="00000000">
            <w:r>
              <w:rPr>
                <w:rFonts w:ascii="Calibri" w:eastAsia="Calibri" w:hAnsi="Calibri" w:cs="Calibri"/>
                <w:color w:val="1A1A1A"/>
                <w:sz w:val="17"/>
                <w:szCs w:val="17"/>
              </w:rPr>
              <w:t>Liliane H — I. La liberté de disposer de son corps limitée par la dignité (art. 3 et 8 CEDH ; Pretty ; Morsang) ; II. Le consentement ne justifie pas l’atteinte à la dignité (droit pénal et civil ; art. 222-22)</w:t>
            </w:r>
          </w:p>
        </w:tc>
        <w:tc>
          <w:tcPr>
            <w:tcW w:w="1650" w:type="pct"/>
            <w:tcMar>
              <w:top w:w="60" w:type="dxa"/>
              <w:left w:w="90" w:type="dxa"/>
              <w:bottom w:w="60" w:type="dxa"/>
              <w:right w:w="90" w:type="dxa"/>
            </w:tcMar>
          </w:tcPr>
          <w:p w14:paraId="1A4CDB05" w14:textId="77777777" w:rsidR="006A28CF" w:rsidRDefault="00000000">
            <w:r>
              <w:rPr>
                <w:rFonts w:ascii="Calibri" w:eastAsia="Calibri" w:hAnsi="Calibri" w:cs="Calibri"/>
                <w:color w:val="1A1A1A"/>
                <w:sz w:val="17"/>
                <w:szCs w:val="17"/>
              </w:rPr>
              <w:t>Bonne culture transversale (consentement de la victime en droit pénal et civil), mais c’est une dissertation : la décision y est citée comme une autorité extérieure. La problématique (« le consentement peut-il justifier une atteinte à la dignité ») est confuse.</w:t>
            </w:r>
          </w:p>
        </w:tc>
        <w:tc>
          <w:tcPr>
            <w:tcW w:w="1650" w:type="pct"/>
            <w:tcMar>
              <w:top w:w="60" w:type="dxa"/>
              <w:left w:w="90" w:type="dxa"/>
              <w:bottom w:w="60" w:type="dxa"/>
              <w:right w:w="90" w:type="dxa"/>
            </w:tcMar>
          </w:tcPr>
          <w:p w14:paraId="117B201E" w14:textId="77777777" w:rsidR="006A28CF" w:rsidRDefault="00000000">
            <w:r>
              <w:rPr>
                <w:rFonts w:ascii="Calibri" w:eastAsia="Calibri" w:hAnsi="Calibri" w:cs="Calibri"/>
                <w:color w:val="1A1A1A"/>
                <w:sz w:val="17"/>
                <w:szCs w:val="17"/>
              </w:rPr>
              <w:t>10,5</w:t>
            </w:r>
          </w:p>
        </w:tc>
      </w:tr>
      <w:tr w:rsidR="006A28CF" w14:paraId="0AE22D35" w14:textId="77777777">
        <w:tc>
          <w:tcPr>
            <w:tcW w:w="1650" w:type="pct"/>
            <w:tcMar>
              <w:top w:w="60" w:type="dxa"/>
              <w:left w:w="90" w:type="dxa"/>
              <w:bottom w:w="60" w:type="dxa"/>
              <w:right w:w="90" w:type="dxa"/>
            </w:tcMar>
          </w:tcPr>
          <w:p w14:paraId="7E88593E" w14:textId="77777777" w:rsidR="006A28CF" w:rsidRDefault="00000000">
            <w:r>
              <w:rPr>
                <w:rFonts w:ascii="Calibri" w:eastAsia="Calibri" w:hAnsi="Calibri" w:cs="Calibri"/>
                <w:color w:val="1A1A1A"/>
                <w:sz w:val="17"/>
                <w:szCs w:val="17"/>
              </w:rPr>
              <w:t>Philippine M — « L’ordre public comme limite à la restriction des activités sexuelles de “gang bang” »</w:t>
            </w:r>
          </w:p>
        </w:tc>
        <w:tc>
          <w:tcPr>
            <w:tcW w:w="1650" w:type="pct"/>
            <w:tcMar>
              <w:top w:w="60" w:type="dxa"/>
              <w:left w:w="90" w:type="dxa"/>
              <w:bottom w:w="60" w:type="dxa"/>
              <w:right w:w="90" w:type="dxa"/>
            </w:tcMar>
          </w:tcPr>
          <w:p w14:paraId="4FD48FC4" w14:textId="77777777" w:rsidR="006A28CF" w:rsidRDefault="00000000">
            <w:r>
              <w:rPr>
                <w:rFonts w:ascii="Calibri" w:eastAsia="Calibri" w:hAnsi="Calibri" w:cs="Calibri"/>
                <w:color w:val="1A1A1A"/>
                <w:sz w:val="17"/>
                <w:szCs w:val="17"/>
              </w:rPr>
              <w:t>Un intitulé, pas un plan ; et il dit l’inverse de la décision (l’ordre public fonde la restriction, il ne la limite pas).</w:t>
            </w:r>
          </w:p>
        </w:tc>
        <w:tc>
          <w:tcPr>
            <w:tcW w:w="1650" w:type="pct"/>
            <w:tcMar>
              <w:top w:w="60" w:type="dxa"/>
              <w:left w:w="90" w:type="dxa"/>
              <w:bottom w:w="60" w:type="dxa"/>
              <w:right w:w="90" w:type="dxa"/>
            </w:tcMar>
          </w:tcPr>
          <w:p w14:paraId="289C2FCA" w14:textId="77777777" w:rsidR="006A28CF" w:rsidRDefault="00000000">
            <w:r>
              <w:rPr>
                <w:rFonts w:ascii="Calibri" w:eastAsia="Calibri" w:hAnsi="Calibri" w:cs="Calibri"/>
                <w:color w:val="1A1A1A"/>
                <w:sz w:val="17"/>
                <w:szCs w:val="17"/>
              </w:rPr>
              <w:t>—</w:t>
            </w:r>
          </w:p>
        </w:tc>
      </w:tr>
    </w:tbl>
    <w:p w14:paraId="21ECEF0C" w14:textId="77777777" w:rsidR="006A28CF" w:rsidRDefault="006A28CF">
      <w:pPr>
        <w:spacing w:after="120"/>
      </w:pPr>
    </w:p>
    <w:p w14:paraId="199B59F5" w14:textId="77777777" w:rsidR="006A28CF" w:rsidRDefault="00000000">
      <w:pPr>
        <w:pStyle w:val="Titre1"/>
        <w:pBdr>
          <w:bottom w:val="single" w:sz="12" w:space="6" w:color="8C1C2B"/>
        </w:pBdr>
        <w:spacing w:before="260" w:after="90"/>
      </w:pPr>
      <w:r>
        <w:rPr>
          <w:rFonts w:ascii="Calibri" w:eastAsia="Calibri" w:hAnsi="Calibri" w:cs="Calibri"/>
          <w:b/>
          <w:bCs/>
          <w:color w:val="8C1C2B"/>
          <w:sz w:val="28"/>
          <w:szCs w:val="28"/>
        </w:rPr>
        <w:t>C. SYNTHÈSE — LES SIX FAUTES RÉCURRENTES</w:t>
      </w:r>
    </w:p>
    <w:p w14:paraId="77D6C120"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1. Traiter le consentement d’un seul bloc.</w:t>
      </w:r>
      <w:r>
        <w:rPr>
          <w:rFonts w:ascii="Calibri" w:eastAsia="Calibri" w:hAnsi="Calibri" w:cs="Calibri"/>
          <w:color w:val="1A1A1A"/>
        </w:rPr>
        <w:t xml:space="preserve"> Il est indifférent pour la dignité et exigé pour le risque pénal. Mélanger les deux rôles produit des parties qui se répètent (plans n° 6, 10, 14).</w:t>
      </w:r>
    </w:p>
    <w:p w14:paraId="04BBE084"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2. Oublier qu’il s’agit d’un référé jugé en cassation.</w:t>
      </w:r>
      <w:r>
        <w:rPr>
          <w:rFonts w:ascii="Calibri" w:eastAsia="Calibri" w:hAnsi="Calibri" w:cs="Calibri"/>
          <w:color w:val="1A1A1A"/>
        </w:rPr>
        <w:t xml:space="preserve"> Le standard est le doute sérieux ; les vices sont l’erreur de droit et la dénaturation ; le fond n’est pas jugé. Seuls les plans n° 1, 9, 11 et 15 y pensent.</w:t>
      </w:r>
    </w:p>
    <w:p w14:paraId="36A0CD0B"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3. Commenter la moralité publique.</w:t>
      </w:r>
      <w:r>
        <w:rPr>
          <w:rFonts w:ascii="Calibri" w:eastAsia="Calibri" w:hAnsi="Calibri" w:cs="Calibri"/>
          <w:color w:val="1A1A1A"/>
        </w:rPr>
        <w:t xml:space="preserve"> Le Conseil d’État ne se prononce pas sur ce motif (point 13). </w:t>
      </w:r>
      <w:r>
        <w:rPr>
          <w:rFonts w:ascii="Calibri" w:eastAsia="Calibri" w:hAnsi="Calibri" w:cs="Calibri"/>
          <w:color w:val="E91E63"/>
        </w:rPr>
        <w:t>Lutetia</w:t>
      </w:r>
      <w:r>
        <w:rPr>
          <w:rFonts w:ascii="Calibri" w:eastAsia="Calibri" w:hAnsi="Calibri" w:cs="Calibri"/>
          <w:color w:val="1A1A1A"/>
        </w:rPr>
        <w:t xml:space="preserve"> sert seulement à expliquer pourquoi il passe par la dignité.</w:t>
      </w:r>
    </w:p>
    <w:p w14:paraId="51E6F576"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4. Parler de prostitution ou de non-patrimonialité.</w:t>
      </w:r>
      <w:r>
        <w:rPr>
          <w:rFonts w:ascii="Calibri" w:eastAsia="Calibri" w:hAnsi="Calibri" w:cs="Calibri"/>
          <w:color w:val="1A1A1A"/>
        </w:rPr>
        <w:t xml:space="preserve"> Les femmes ne sont pas rémunérées ; la décision le relève expressément.</w:t>
      </w:r>
    </w:p>
    <w:p w14:paraId="2463A13C"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5. Lire la Cour européenne à contresens.</w:t>
      </w:r>
      <w:r>
        <w:rPr>
          <w:rFonts w:ascii="Calibri" w:eastAsia="Calibri" w:hAnsi="Calibri" w:cs="Calibri"/>
          <w:color w:val="1A1A1A"/>
        </w:rPr>
        <w:t xml:space="preserve"> </w:t>
      </w:r>
      <w:r>
        <w:rPr>
          <w:rFonts w:ascii="Calibri" w:eastAsia="Calibri" w:hAnsi="Calibri" w:cs="Calibri"/>
          <w:color w:val="E91E63"/>
        </w:rPr>
        <w:t>Laskey</w:t>
      </w:r>
      <w:r>
        <w:rPr>
          <w:rFonts w:ascii="Calibri" w:eastAsia="Calibri" w:hAnsi="Calibri" w:cs="Calibri"/>
          <w:color w:val="1A1A1A"/>
        </w:rPr>
        <w:t xml:space="preserve"> et </w:t>
      </w:r>
      <w:r>
        <w:rPr>
          <w:rFonts w:ascii="Calibri" w:eastAsia="Calibri" w:hAnsi="Calibri" w:cs="Calibri"/>
          <w:color w:val="E91E63"/>
        </w:rPr>
        <w:t>K.A. et A.D.</w:t>
      </w:r>
      <w:r>
        <w:rPr>
          <w:rFonts w:ascii="Calibri" w:eastAsia="Calibri" w:hAnsi="Calibri" w:cs="Calibri"/>
          <w:color w:val="1A1A1A"/>
        </w:rPr>
        <w:t xml:space="preserve"> concluent à la non-violation.</w:t>
      </w:r>
    </w:p>
    <w:p w14:paraId="1D2D4DD2"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6. Écrire une dissertation.</w:t>
      </w:r>
      <w:r>
        <w:rPr>
          <w:rFonts w:ascii="Calibri" w:eastAsia="Calibri" w:hAnsi="Calibri" w:cs="Calibri"/>
          <w:color w:val="1A1A1A"/>
        </w:rPr>
        <w:t xml:space="preserve"> Une sous-partie qui ne part d’aucune phrase de la décision est hors exercice (plans n° 13, 14 et 16).</w:t>
      </w:r>
    </w:p>
    <w:p w14:paraId="6E0F2EA7" w14:textId="77777777" w:rsidR="006A28CF" w:rsidRDefault="00000000">
      <w:r>
        <w:br w:type="page"/>
      </w:r>
    </w:p>
    <w:p w14:paraId="577DB3CE" w14:textId="77777777" w:rsidR="006A28CF" w:rsidRDefault="00000000">
      <w:pPr>
        <w:shd w:val="clear" w:color="auto" w:fill="F2E9EA"/>
        <w:spacing w:before="200" w:after="220"/>
        <w:jc w:val="center"/>
      </w:pPr>
      <w:r>
        <w:rPr>
          <w:rFonts w:ascii="Calibri" w:eastAsia="Calibri" w:hAnsi="Calibri" w:cs="Calibri"/>
          <w:b/>
          <w:bCs/>
          <w:color w:val="8C1C2B"/>
          <w:spacing w:val="30"/>
          <w:sz w:val="26"/>
          <w:szCs w:val="26"/>
        </w:rPr>
        <w:lastRenderedPageBreak/>
        <w:t>PARTIE IV. LES QUESTIONS POSÉES PENDANT LE SÉMINAIRE</w:t>
      </w:r>
    </w:p>
    <w:p w14:paraId="0C67B856" w14:textId="77777777" w:rsidR="006A28CF" w:rsidRDefault="00000000">
      <w:pPr>
        <w:spacing w:after="90" w:line="264" w:lineRule="auto"/>
        <w:jc w:val="both"/>
      </w:pPr>
      <w:r>
        <w:rPr>
          <w:rFonts w:ascii="Calibri" w:eastAsia="Calibri" w:hAnsi="Calibri" w:cs="Calibri"/>
          <w:color w:val="1A1A1A"/>
        </w:rPr>
        <w:t>Quatorze questions ont été posées dans le chat. Elles sont reprises ici avec une réponse tranchée, vérifiée sur le texte de la décision.</w:t>
      </w:r>
    </w:p>
    <w:p w14:paraId="02176E33" w14:textId="77777777" w:rsidR="006A28CF" w:rsidRDefault="00000000">
      <w:pPr>
        <w:pStyle w:val="Titre3"/>
        <w:spacing w:before="200" w:after="80"/>
      </w:pPr>
      <w:r>
        <w:rPr>
          <w:rFonts w:ascii="Calibri" w:eastAsia="Calibri" w:hAnsi="Calibri" w:cs="Calibri"/>
          <w:b/>
          <w:bCs/>
          <w:i/>
          <w:iCs/>
          <w:color w:val="1A1A1A"/>
          <w:sz w:val="21"/>
          <w:szCs w:val="21"/>
        </w:rPr>
        <w:t>Inès Y et Marie M — « Dame Perrot ou Peyrot ? Y a-t-il vraiment une neutralisation de motifs dans cet arrêt ? »</w:t>
      </w:r>
    </w:p>
    <w:p w14:paraId="57EB3B6B" w14:textId="77777777" w:rsidR="006A28CF" w:rsidRDefault="00000000">
      <w:pPr>
        <w:spacing w:after="90" w:line="264" w:lineRule="auto"/>
        <w:jc w:val="both"/>
      </w:pPr>
      <w:r>
        <w:rPr>
          <w:rFonts w:ascii="Calibri" w:eastAsia="Calibri" w:hAnsi="Calibri" w:cs="Calibri"/>
          <w:b/>
          <w:bCs/>
          <w:color w:val="1A1A1A"/>
        </w:rPr>
        <w:t>Perrot</w:t>
      </w:r>
      <w:r>
        <w:rPr>
          <w:rFonts w:ascii="Calibri" w:eastAsia="Calibri" w:hAnsi="Calibri" w:cs="Calibri"/>
          <w:color w:val="1A1A1A"/>
        </w:rPr>
        <w:t xml:space="preserve">, avec deux r et un t : </w:t>
      </w:r>
      <w:r>
        <w:rPr>
          <w:rFonts w:ascii="Calibri" w:eastAsia="Calibri" w:hAnsi="Calibri" w:cs="Calibri"/>
          <w:color w:val="E91E63"/>
        </w:rPr>
        <w:t>CE, ass., 12 janvier 1968, Ministre de l’économie et des finances c/ Dame Perrot, n° 70951</w:t>
      </w:r>
      <w:r>
        <w:rPr>
          <w:rFonts w:ascii="Calibri" w:eastAsia="Calibri" w:hAnsi="Calibri" w:cs="Calibri"/>
          <w:color w:val="1A1A1A"/>
        </w:rPr>
        <w:t>. Lorsqu’une décision repose sur plusieurs motifs dont l’un est illégal, le juge la maintient s’il résulte de l’instruction que l’administration aurait pris la même décision sur les seuls motifs valables.</w:t>
      </w:r>
    </w:p>
    <w:p w14:paraId="76536E1B" w14:textId="77777777" w:rsidR="006A28CF" w:rsidRDefault="00000000">
      <w:pPr>
        <w:spacing w:after="90" w:line="264" w:lineRule="auto"/>
        <w:jc w:val="both"/>
      </w:pPr>
      <w:r>
        <w:rPr>
          <w:rFonts w:ascii="Calibri" w:eastAsia="Calibri" w:hAnsi="Calibri" w:cs="Calibri"/>
          <w:b/>
          <w:bCs/>
          <w:color w:val="1A1A1A"/>
        </w:rPr>
        <w:t>Marie M a raison sur le fond.</w:t>
      </w:r>
      <w:r>
        <w:rPr>
          <w:rFonts w:ascii="Calibri" w:eastAsia="Calibri" w:hAnsi="Calibri" w:cs="Calibri"/>
          <w:color w:val="1A1A1A"/>
        </w:rPr>
        <w:t xml:space="preserve"> Le Conseil d’État ne déclare aucun motif illégal : il juge que ni le motif de dignité ni le motif pénal ne fait naître de doute sérieux, puis ajoute que le préfet « aurait pris la même décision en se fondant uniquement sur l’un de ces deux motifs ». Il emprunte la </w:t>
      </w:r>
      <w:r>
        <w:rPr>
          <w:rFonts w:ascii="Calibri" w:eastAsia="Calibri" w:hAnsi="Calibri" w:cs="Calibri"/>
          <w:b/>
          <w:bCs/>
          <w:color w:val="1A1A1A"/>
        </w:rPr>
        <w:t>logique</w:t>
      </w:r>
      <w:r>
        <w:rPr>
          <w:rFonts w:ascii="Calibri" w:eastAsia="Calibri" w:hAnsi="Calibri" w:cs="Calibri"/>
          <w:color w:val="1A1A1A"/>
        </w:rPr>
        <w:t xml:space="preserve"> de Perrot, non pour neutraliser un motif erroné, mais pour se dispenser d’examiner le troisième (tranquillité et moralité) et pour rendre chacun des deux motifs autosuffisant. À l’oral : « le Conseil d’État fait un usage préventif de la jurisprudence Dame Perrot ».</w:t>
      </w:r>
    </w:p>
    <w:p w14:paraId="79B40AC6" w14:textId="77777777" w:rsidR="006A28CF" w:rsidRDefault="00000000">
      <w:pPr>
        <w:pStyle w:val="Titre3"/>
        <w:spacing w:before="200" w:after="80"/>
      </w:pPr>
      <w:r>
        <w:rPr>
          <w:rFonts w:ascii="Calibri" w:eastAsia="Calibri" w:hAnsi="Calibri" w:cs="Calibri"/>
          <w:b/>
          <w:bCs/>
          <w:i/>
          <w:iCs/>
          <w:color w:val="1A1A1A"/>
          <w:sz w:val="21"/>
          <w:szCs w:val="21"/>
        </w:rPr>
        <w:t>Ilona V — « Dans l’introduction, faut-il résumer les arguments du juge et du préfet ? »</w:t>
      </w:r>
    </w:p>
    <w:p w14:paraId="0B0E4FA2" w14:textId="77777777" w:rsidR="006A28CF" w:rsidRDefault="00000000">
      <w:pPr>
        <w:spacing w:after="90" w:line="264" w:lineRule="auto"/>
        <w:jc w:val="both"/>
      </w:pPr>
      <w:r>
        <w:rPr>
          <w:rFonts w:ascii="Calibri" w:eastAsia="Calibri" w:hAnsi="Calibri" w:cs="Calibri"/>
          <w:color w:val="1A1A1A"/>
        </w:rPr>
        <w:t>Oui, en une ou deux phrases : c’est la rubrique « prétentions » de l’introduction d’un commentaire. Le détail des moyens (urgence, dénaturation, victimisation secondaire) n’a rien à y faire : il servira, si besoin, dans les développements.</w:t>
      </w:r>
    </w:p>
    <w:p w14:paraId="3F11BD83" w14:textId="77777777" w:rsidR="006A28CF" w:rsidRDefault="00000000">
      <w:pPr>
        <w:pStyle w:val="Titre3"/>
        <w:spacing w:before="200" w:after="80"/>
      </w:pPr>
      <w:r>
        <w:rPr>
          <w:rFonts w:ascii="Calibri" w:eastAsia="Calibri" w:hAnsi="Calibri" w:cs="Calibri"/>
          <w:b/>
          <w:bCs/>
          <w:i/>
          <w:iCs/>
          <w:color w:val="1A1A1A"/>
          <w:sz w:val="21"/>
          <w:szCs w:val="21"/>
        </w:rPr>
        <w:t>Constance S — « N’est-ce pas une atteinte à la liberté sexuelle ? »</w:t>
      </w:r>
    </w:p>
    <w:p w14:paraId="26A02541" w14:textId="77777777" w:rsidR="006A28CF" w:rsidRDefault="00000000">
      <w:pPr>
        <w:spacing w:after="90" w:line="264" w:lineRule="auto"/>
        <w:jc w:val="both"/>
      </w:pPr>
      <w:r>
        <w:rPr>
          <w:rFonts w:ascii="Calibri" w:eastAsia="Calibri" w:hAnsi="Calibri" w:cs="Calibri"/>
          <w:color w:val="1A1A1A"/>
        </w:rPr>
        <w:t xml:space="preserve">Si, et c’est précisément ce que la décision juge </w:t>
      </w:r>
      <w:r>
        <w:rPr>
          <w:rFonts w:ascii="Calibri" w:eastAsia="Calibri" w:hAnsi="Calibri" w:cs="Calibri"/>
          <w:b/>
          <w:bCs/>
          <w:color w:val="1A1A1A"/>
        </w:rPr>
        <w:t>justifié</w:t>
      </w:r>
      <w:r>
        <w:rPr>
          <w:rFonts w:ascii="Calibri" w:eastAsia="Calibri" w:hAnsi="Calibri" w:cs="Calibri"/>
          <w:color w:val="1A1A1A"/>
        </w:rPr>
        <w:t xml:space="preserve">. Le Conseil d’État ne nomme jamais la liberté sexuelle : il ne raisonne qu’en termes de dignité, d’infractions et, implicitement, de liberté du commerce. Ce silence est un bon point de commentaire en I B : la décision protège les participantes </w:t>
      </w:r>
      <w:r>
        <w:rPr>
          <w:rFonts w:ascii="Calibri" w:eastAsia="Calibri" w:hAnsi="Calibri" w:cs="Calibri"/>
          <w:b/>
          <w:bCs/>
          <w:color w:val="1A1A1A"/>
        </w:rPr>
        <w:t>contre</w:t>
      </w:r>
      <w:r>
        <w:rPr>
          <w:rFonts w:ascii="Calibri" w:eastAsia="Calibri" w:hAnsi="Calibri" w:cs="Calibri"/>
          <w:color w:val="1A1A1A"/>
        </w:rPr>
        <w:t xml:space="preserve"> un usage de leur liberté, au nom d’une conception objective de la dignité.</w:t>
      </w:r>
    </w:p>
    <w:p w14:paraId="68C20035" w14:textId="77777777" w:rsidR="006A28CF" w:rsidRDefault="00000000">
      <w:pPr>
        <w:pStyle w:val="Titre3"/>
        <w:spacing w:before="200" w:after="80"/>
      </w:pPr>
      <w:r>
        <w:rPr>
          <w:rFonts w:ascii="Calibri" w:eastAsia="Calibri" w:hAnsi="Calibri" w:cs="Calibri"/>
          <w:b/>
          <w:bCs/>
          <w:i/>
          <w:iCs/>
          <w:color w:val="1A1A1A"/>
          <w:sz w:val="21"/>
          <w:szCs w:val="21"/>
        </w:rPr>
        <w:t>Mathis P et Chahinez B — « Peut-on mobiliser l’article 8 de la Convention européenne ? »</w:t>
      </w:r>
    </w:p>
    <w:p w14:paraId="758EEA09" w14:textId="77777777" w:rsidR="006A28CF" w:rsidRDefault="00000000">
      <w:pPr>
        <w:spacing w:after="90" w:line="264" w:lineRule="auto"/>
        <w:jc w:val="both"/>
      </w:pPr>
      <w:r>
        <w:rPr>
          <w:rFonts w:ascii="Calibri" w:eastAsia="Calibri" w:hAnsi="Calibri" w:cs="Calibri"/>
          <w:color w:val="1A1A1A"/>
        </w:rPr>
        <w:t xml:space="preserve">Oui, mais comme </w:t>
      </w:r>
      <w:r>
        <w:rPr>
          <w:rFonts w:ascii="Calibri" w:eastAsia="Calibri" w:hAnsi="Calibri" w:cs="Calibri"/>
          <w:b/>
          <w:bCs/>
          <w:color w:val="1A1A1A"/>
        </w:rPr>
        <w:t>référence de contrôle</w:t>
      </w:r>
      <w:r>
        <w:rPr>
          <w:rFonts w:ascii="Calibri" w:eastAsia="Calibri" w:hAnsi="Calibri" w:cs="Calibri"/>
          <w:color w:val="1A1A1A"/>
        </w:rPr>
        <w:t>, pas comme sous-partie. La décision ne vise pas la Convention : c’est la société, non les participantes, qui conteste la fermeture. On cite donc l’</w:t>
      </w:r>
      <w:r>
        <w:rPr>
          <w:rFonts w:ascii="Calibri" w:eastAsia="Calibri" w:hAnsi="Calibri" w:cs="Calibri"/>
          <w:color w:val="1E88E5"/>
        </w:rPr>
        <w:t>article 8</w:t>
      </w:r>
      <w:r>
        <w:rPr>
          <w:rFonts w:ascii="Calibri" w:eastAsia="Calibri" w:hAnsi="Calibri" w:cs="Calibri"/>
          <w:color w:val="1A1A1A"/>
        </w:rPr>
        <w:t xml:space="preserve"> pour montrer que la solution resterait dans la marge nationale d’appréciation : </w:t>
      </w:r>
      <w:r>
        <w:rPr>
          <w:rFonts w:ascii="Calibri" w:eastAsia="Calibri" w:hAnsi="Calibri" w:cs="Calibri"/>
          <w:color w:val="E91E63"/>
        </w:rPr>
        <w:t>Laskey</w:t>
      </w:r>
      <w:r>
        <w:rPr>
          <w:rFonts w:ascii="Calibri" w:eastAsia="Calibri" w:hAnsi="Calibri" w:cs="Calibri"/>
          <w:color w:val="1A1A1A"/>
        </w:rPr>
        <w:t xml:space="preserve"> (1997), </w:t>
      </w:r>
      <w:r>
        <w:rPr>
          <w:rFonts w:ascii="Calibri" w:eastAsia="Calibri" w:hAnsi="Calibri" w:cs="Calibri"/>
          <w:color w:val="E91E63"/>
        </w:rPr>
        <w:t>K.A. et A.D.</w:t>
      </w:r>
      <w:r>
        <w:rPr>
          <w:rFonts w:ascii="Calibri" w:eastAsia="Calibri" w:hAnsi="Calibri" w:cs="Calibri"/>
          <w:color w:val="1A1A1A"/>
        </w:rPr>
        <w:t xml:space="preserve"> (2005), </w:t>
      </w:r>
      <w:r>
        <w:rPr>
          <w:rFonts w:ascii="Calibri" w:eastAsia="Calibri" w:hAnsi="Calibri" w:cs="Calibri"/>
          <w:color w:val="E91E63"/>
        </w:rPr>
        <w:t>M.A. et autres c. France</w:t>
      </w:r>
      <w:r>
        <w:rPr>
          <w:rFonts w:ascii="Calibri" w:eastAsia="Calibri" w:hAnsi="Calibri" w:cs="Calibri"/>
          <w:color w:val="1A1A1A"/>
        </w:rPr>
        <w:t xml:space="preserve"> (2024).</w:t>
      </w:r>
    </w:p>
    <w:p w14:paraId="06B553FC" w14:textId="77777777" w:rsidR="006A28CF" w:rsidRDefault="00000000">
      <w:pPr>
        <w:pStyle w:val="Titre3"/>
        <w:spacing w:before="200" w:after="80"/>
      </w:pPr>
      <w:r>
        <w:rPr>
          <w:rFonts w:ascii="Calibri" w:eastAsia="Calibri" w:hAnsi="Calibri" w:cs="Calibri"/>
          <w:b/>
          <w:bCs/>
          <w:i/>
          <w:iCs/>
          <w:color w:val="1A1A1A"/>
          <w:sz w:val="21"/>
          <w:szCs w:val="21"/>
        </w:rPr>
        <w:t>Naomie C — « Comment organiser l’heure de préparation ? Peut-on faire une sous-partie sur le référé-suspension ? »</w:t>
      </w:r>
    </w:p>
    <w:p w14:paraId="75638FA2" w14:textId="77777777" w:rsidR="006A28CF" w:rsidRDefault="00000000">
      <w:pPr>
        <w:spacing w:after="90" w:line="264" w:lineRule="auto"/>
        <w:jc w:val="both"/>
      </w:pPr>
      <w:r>
        <w:rPr>
          <w:rFonts w:ascii="Calibri" w:eastAsia="Calibri" w:hAnsi="Calibri" w:cs="Calibri"/>
          <w:color w:val="1A1A1A"/>
        </w:rPr>
        <w:t>Voir la répartition en Partie II (12 min de lecture, 8 min de fiche de décision, 15 min de plan, 15 min de références, 10 min de rédaction des phrases clés). Pour des sujets types avec plans corrigés, utiliser la base des 56 entraînements du fascicule.</w:t>
      </w:r>
    </w:p>
    <w:p w14:paraId="078A36B0" w14:textId="77777777" w:rsidR="006A28CF" w:rsidRDefault="00000000">
      <w:pPr>
        <w:spacing w:after="90" w:line="264" w:lineRule="auto"/>
        <w:jc w:val="both"/>
      </w:pPr>
      <w:r>
        <w:rPr>
          <w:rFonts w:ascii="Calibri" w:eastAsia="Calibri" w:hAnsi="Calibri" w:cs="Calibri"/>
          <w:color w:val="1A1A1A"/>
        </w:rPr>
        <w:t xml:space="preserve">Une sous-partie sur les conditions du référé est </w:t>
      </w:r>
      <w:r>
        <w:rPr>
          <w:rFonts w:ascii="Calibri" w:eastAsia="Calibri" w:hAnsi="Calibri" w:cs="Calibri"/>
          <w:b/>
          <w:bCs/>
          <w:color w:val="1A1A1A"/>
        </w:rPr>
        <w:t>hors sujet</w:t>
      </w:r>
      <w:r>
        <w:rPr>
          <w:rFonts w:ascii="Calibri" w:eastAsia="Calibri" w:hAnsi="Calibri" w:cs="Calibri"/>
          <w:color w:val="1A1A1A"/>
        </w:rPr>
        <w:t xml:space="preserve"> si elle est descriptive (urgence, doute sérieux). Elle est pertinente si elle sert la portée : « une décision rendue en l’état de l’instruction, au contrôle allégé ». Le plan alternatif procédural de la Partie II montre comment l’intégrer.</w:t>
      </w:r>
    </w:p>
    <w:p w14:paraId="5C60A293" w14:textId="77777777" w:rsidR="006A28CF" w:rsidRDefault="00000000">
      <w:pPr>
        <w:pStyle w:val="Titre3"/>
        <w:spacing w:before="200" w:after="80"/>
      </w:pPr>
      <w:r>
        <w:rPr>
          <w:rFonts w:ascii="Calibri" w:eastAsia="Calibri" w:hAnsi="Calibri" w:cs="Calibri"/>
          <w:b/>
          <w:bCs/>
          <w:i/>
          <w:iCs/>
          <w:color w:val="1A1A1A"/>
          <w:sz w:val="21"/>
          <w:szCs w:val="21"/>
        </w:rPr>
        <w:t>Anna B — « La dignité a-t-elle remplacé la moralité comme composante de l’ordre public immatériel ? »</w:t>
      </w:r>
    </w:p>
    <w:p w14:paraId="0249DACA" w14:textId="77777777" w:rsidR="006A28CF" w:rsidRDefault="00000000">
      <w:pPr>
        <w:spacing w:after="90" w:line="264" w:lineRule="auto"/>
        <w:jc w:val="both"/>
      </w:pPr>
      <w:r>
        <w:rPr>
          <w:rFonts w:ascii="Calibri" w:eastAsia="Calibri" w:hAnsi="Calibri" w:cs="Calibri"/>
          <w:b/>
          <w:bCs/>
          <w:color w:val="1A1A1A"/>
        </w:rPr>
        <w:t>En droit, non</w:t>
      </w:r>
      <w:r>
        <w:rPr>
          <w:rFonts w:ascii="Calibri" w:eastAsia="Calibri" w:hAnsi="Calibri" w:cs="Calibri"/>
          <w:color w:val="1A1A1A"/>
        </w:rPr>
        <w:t xml:space="preserve"> : </w:t>
      </w:r>
      <w:r>
        <w:rPr>
          <w:rFonts w:ascii="Calibri" w:eastAsia="Calibri" w:hAnsi="Calibri" w:cs="Calibri"/>
          <w:color w:val="E91E63"/>
        </w:rPr>
        <w:t>Lutetia</w:t>
      </w:r>
      <w:r>
        <w:rPr>
          <w:rFonts w:ascii="Calibri" w:eastAsia="Calibri" w:hAnsi="Calibri" w:cs="Calibri"/>
          <w:color w:val="1A1A1A"/>
        </w:rPr>
        <w:t xml:space="preserve"> n’a jamais été abandonné, et le préfet l’invoquait. </w:t>
      </w:r>
      <w:r>
        <w:rPr>
          <w:rFonts w:ascii="Calibri" w:eastAsia="Calibri" w:hAnsi="Calibri" w:cs="Calibri"/>
          <w:b/>
          <w:bCs/>
          <w:color w:val="1A1A1A"/>
        </w:rPr>
        <w:t>En fait, dans cette décision, oui</w:t>
      </w:r>
      <w:r>
        <w:rPr>
          <w:rFonts w:ascii="Calibri" w:eastAsia="Calibri" w:hAnsi="Calibri" w:cs="Calibri"/>
          <w:color w:val="1A1A1A"/>
        </w:rPr>
        <w:t xml:space="preserve"> : le Conseil d’État laisse de côté la moralité et fonde tout sur la dignité. La différence est décisive : la moralité suppose des circonstances locales particulières, la dignité non. La dignité est universelle et attachée à la personne humaine ; la moralité est collective et contingente.</w:t>
      </w:r>
    </w:p>
    <w:p w14:paraId="665B34BF" w14:textId="77777777" w:rsidR="006A28CF" w:rsidRDefault="00000000">
      <w:pPr>
        <w:spacing w:after="90" w:line="264" w:lineRule="auto"/>
        <w:jc w:val="both"/>
      </w:pPr>
      <w:r>
        <w:rPr>
          <w:rFonts w:ascii="Calibri" w:eastAsia="Calibri" w:hAnsi="Calibri" w:cs="Calibri"/>
          <w:color w:val="1A1A1A"/>
        </w:rPr>
        <w:t>La critique de la « dignité, version XXIe siècle de la moralité » est doctrinale (on parle de « retour de l’ordre moral ») : c’est un excellent II B, à condition de l’attribuer à la doctrine et de montrer que le Conseil d’État s’en défend par la méthode in concreto.</w:t>
      </w:r>
    </w:p>
    <w:p w14:paraId="54037A86" w14:textId="77777777" w:rsidR="006A28CF" w:rsidRDefault="00000000">
      <w:pPr>
        <w:pStyle w:val="Titre3"/>
        <w:spacing w:before="200" w:after="80"/>
      </w:pPr>
      <w:r>
        <w:rPr>
          <w:rFonts w:ascii="Calibri" w:eastAsia="Calibri" w:hAnsi="Calibri" w:cs="Calibri"/>
          <w:b/>
          <w:bCs/>
          <w:i/>
          <w:iCs/>
          <w:color w:val="1A1A1A"/>
          <w:sz w:val="21"/>
          <w:szCs w:val="21"/>
        </w:rPr>
        <w:t>Inès K et Axelle B — « La dignité est-elle une composante de l’ordre public ? Faut-il séparer ordre public et dignité ? »</w:t>
      </w:r>
    </w:p>
    <w:p w14:paraId="2480502E" w14:textId="77777777" w:rsidR="006A28CF" w:rsidRDefault="00000000">
      <w:pPr>
        <w:spacing w:after="90" w:line="264" w:lineRule="auto"/>
        <w:jc w:val="both"/>
      </w:pPr>
      <w:r>
        <w:rPr>
          <w:rFonts w:ascii="Calibri" w:eastAsia="Calibri" w:hAnsi="Calibri" w:cs="Calibri"/>
          <w:b/>
          <w:bCs/>
          <w:color w:val="1A1A1A"/>
        </w:rPr>
        <w:t>Oui, c’est écrit au point 4</w:t>
      </w:r>
      <w:r>
        <w:rPr>
          <w:rFonts w:ascii="Calibri" w:eastAsia="Calibri" w:hAnsi="Calibri" w:cs="Calibri"/>
          <w:color w:val="1A1A1A"/>
        </w:rPr>
        <w:t xml:space="preserve"> : « Le respect de la dignité de la personne humaine constituant une des composantes de l’ordre public ». Les composantes classiques (</w:t>
      </w:r>
      <w:r>
        <w:rPr>
          <w:rFonts w:ascii="Calibri" w:eastAsia="Calibri" w:hAnsi="Calibri" w:cs="Calibri"/>
          <w:color w:val="1E88E5"/>
        </w:rPr>
        <w:t>art. L. 2212-2 CGCT</w:t>
      </w:r>
      <w:r>
        <w:rPr>
          <w:rFonts w:ascii="Calibri" w:eastAsia="Calibri" w:hAnsi="Calibri" w:cs="Calibri"/>
          <w:color w:val="1A1A1A"/>
        </w:rPr>
        <w:t xml:space="preserve">) sont le bon ordre, la sûreté, la sécurité et la salubrité publiques, auxquelles s’ajoute la tranquillité : c’est l’ordre public </w:t>
      </w:r>
      <w:r>
        <w:rPr>
          <w:rFonts w:ascii="Calibri" w:eastAsia="Calibri" w:hAnsi="Calibri" w:cs="Calibri"/>
          <w:b/>
          <w:bCs/>
          <w:color w:val="1A1A1A"/>
        </w:rPr>
        <w:t>matériel</w:t>
      </w:r>
      <w:r>
        <w:rPr>
          <w:rFonts w:ascii="Calibri" w:eastAsia="Calibri" w:hAnsi="Calibri" w:cs="Calibri"/>
          <w:color w:val="1A1A1A"/>
        </w:rPr>
        <w:t xml:space="preserve">. La moralité et la dignité forment l’ordre public </w:t>
      </w:r>
      <w:r>
        <w:rPr>
          <w:rFonts w:ascii="Calibri" w:eastAsia="Calibri" w:hAnsi="Calibri" w:cs="Calibri"/>
          <w:b/>
          <w:bCs/>
          <w:color w:val="1A1A1A"/>
        </w:rPr>
        <w:t>immatériel</w:t>
      </w:r>
      <w:r>
        <w:rPr>
          <w:rFonts w:ascii="Calibri" w:eastAsia="Calibri" w:hAnsi="Calibri" w:cs="Calibri"/>
          <w:color w:val="1A1A1A"/>
        </w:rPr>
        <w:t>. Axelle B a raison.</w:t>
      </w:r>
    </w:p>
    <w:p w14:paraId="6990C4F5" w14:textId="77777777" w:rsidR="006A28CF" w:rsidRDefault="00000000">
      <w:pPr>
        <w:spacing w:after="90" w:line="264" w:lineRule="auto"/>
        <w:jc w:val="both"/>
      </w:pPr>
      <w:r>
        <w:rPr>
          <w:rFonts w:ascii="Calibri" w:eastAsia="Calibri" w:hAnsi="Calibri" w:cs="Calibri"/>
          <w:color w:val="1A1A1A"/>
        </w:rPr>
        <w:lastRenderedPageBreak/>
        <w:t xml:space="preserve">Il ne faut donc pas séparer « ordre public » et « dignité » dans deux parties. Ce qu’il faut séparer, ce sont les </w:t>
      </w:r>
      <w:r>
        <w:rPr>
          <w:rFonts w:ascii="Calibri" w:eastAsia="Calibri" w:hAnsi="Calibri" w:cs="Calibri"/>
          <w:b/>
          <w:bCs/>
          <w:color w:val="1A1A1A"/>
        </w:rPr>
        <w:t>deux motifs retenus</w:t>
      </w:r>
      <w:r>
        <w:rPr>
          <w:rFonts w:ascii="Calibri" w:eastAsia="Calibri" w:hAnsi="Calibri" w:cs="Calibri"/>
          <w:color w:val="1A1A1A"/>
        </w:rPr>
        <w:t xml:space="preserve"> : la dignité et le risque d’infractions.</w:t>
      </w:r>
    </w:p>
    <w:p w14:paraId="71E0D972" w14:textId="77777777" w:rsidR="006A28CF" w:rsidRDefault="00000000">
      <w:pPr>
        <w:pStyle w:val="Titre3"/>
        <w:spacing w:before="200" w:after="80"/>
      </w:pPr>
      <w:r>
        <w:rPr>
          <w:rFonts w:ascii="Calibri" w:eastAsia="Calibri" w:hAnsi="Calibri" w:cs="Calibri"/>
          <w:b/>
          <w:bCs/>
          <w:i/>
          <w:iCs/>
          <w:color w:val="1A1A1A"/>
          <w:sz w:val="21"/>
          <w:szCs w:val="21"/>
        </w:rPr>
        <w:t>Inès K — « Peut-on ouvrir sur la nouvelle définition pénale du viol ? »</w:t>
      </w:r>
    </w:p>
    <w:p w14:paraId="5A02E093" w14:textId="77777777" w:rsidR="006A28CF" w:rsidRDefault="00000000">
      <w:pPr>
        <w:spacing w:after="90" w:line="264" w:lineRule="auto"/>
        <w:jc w:val="both"/>
      </w:pPr>
      <w:r>
        <w:rPr>
          <w:rFonts w:ascii="Calibri" w:eastAsia="Calibri" w:hAnsi="Calibri" w:cs="Calibri"/>
          <w:color w:val="1A1A1A"/>
        </w:rPr>
        <w:t>Oui, et c’est même recommandé : la décision cite intégralement l’</w:t>
      </w:r>
      <w:r>
        <w:rPr>
          <w:rFonts w:ascii="Calibri" w:eastAsia="Calibri" w:hAnsi="Calibri" w:cs="Calibri"/>
          <w:color w:val="1E88E5"/>
        </w:rPr>
        <w:t xml:space="preserve">article 222-22 C. </w:t>
      </w:r>
      <w:proofErr w:type="gramStart"/>
      <w:r>
        <w:rPr>
          <w:rFonts w:ascii="Calibri" w:eastAsia="Calibri" w:hAnsi="Calibri" w:cs="Calibri"/>
          <w:color w:val="1E88E5"/>
        </w:rPr>
        <w:t>pén.</w:t>
      </w:r>
      <w:r>
        <w:rPr>
          <w:rFonts w:ascii="Calibri" w:eastAsia="Calibri" w:hAnsi="Calibri" w:cs="Calibri"/>
          <w:color w:val="1A1A1A"/>
        </w:rPr>
        <w:t>.</w:t>
      </w:r>
      <w:proofErr w:type="gramEnd"/>
      <w:r>
        <w:rPr>
          <w:rFonts w:ascii="Calibri" w:eastAsia="Calibri" w:hAnsi="Calibri" w:cs="Calibri"/>
          <w:color w:val="1A1A1A"/>
        </w:rPr>
        <w:t xml:space="preserve"> L’ouverture la plus efficace porte sur la proposition de loi « intégrale » contre les violences sexistes et sexuelles (en séance depuis le 1er octobre 2026) ou sur le « consentement à ne pas consentir ». Une phrase suffit.</w:t>
      </w:r>
    </w:p>
    <w:p w14:paraId="3B6E527A" w14:textId="77777777" w:rsidR="006A28CF" w:rsidRDefault="00000000">
      <w:pPr>
        <w:pStyle w:val="Titre3"/>
        <w:spacing w:before="200" w:after="80"/>
      </w:pPr>
      <w:r>
        <w:rPr>
          <w:rFonts w:ascii="Calibri" w:eastAsia="Calibri" w:hAnsi="Calibri" w:cs="Calibri"/>
          <w:b/>
          <w:bCs/>
          <w:i/>
          <w:iCs/>
          <w:color w:val="1A1A1A"/>
          <w:sz w:val="21"/>
          <w:szCs w:val="21"/>
        </w:rPr>
        <w:t>Luna P — « Doit-on donner son avis de juriste ? »</w:t>
      </w:r>
    </w:p>
    <w:p w14:paraId="125EDB74" w14:textId="77777777" w:rsidR="006A28CF" w:rsidRDefault="00000000">
      <w:pPr>
        <w:spacing w:after="90" w:line="264" w:lineRule="auto"/>
        <w:jc w:val="both"/>
      </w:pPr>
      <w:r>
        <w:rPr>
          <w:rFonts w:ascii="Calibri" w:eastAsia="Calibri" w:hAnsi="Calibri" w:cs="Calibri"/>
          <w:color w:val="1A1A1A"/>
        </w:rPr>
        <w:t xml:space="preserve">Oui, mais au bon endroit et sous la bonne forme. Le commentaire comporte une </w:t>
      </w:r>
      <w:r>
        <w:rPr>
          <w:rFonts w:ascii="Calibri" w:eastAsia="Calibri" w:hAnsi="Calibri" w:cs="Calibri"/>
          <w:b/>
          <w:bCs/>
          <w:color w:val="1A1A1A"/>
        </w:rPr>
        <w:t>appréciation</w:t>
      </w:r>
      <w:r>
        <w:rPr>
          <w:rFonts w:ascii="Calibri" w:eastAsia="Calibri" w:hAnsi="Calibri" w:cs="Calibri"/>
          <w:color w:val="1A1A1A"/>
        </w:rPr>
        <w:t xml:space="preserve"> : elle se loge en II B (portée, critiques) et en conclusion. Elle est argumentée en droit (« la proportionnalité est contrôlée en une phrase », « le risque est apprécié sur des mentions promotionnelles »), jamais en goût personnel. L’avis franc vient pendant l’entretien, si le jury le demande.</w:t>
      </w:r>
    </w:p>
    <w:p w14:paraId="5C15AF68" w14:textId="77777777" w:rsidR="006A28CF" w:rsidRDefault="00000000">
      <w:pPr>
        <w:pStyle w:val="Titre3"/>
        <w:spacing w:before="200" w:after="80"/>
      </w:pPr>
      <w:r>
        <w:rPr>
          <w:rFonts w:ascii="Calibri" w:eastAsia="Calibri" w:hAnsi="Calibri" w:cs="Calibri"/>
          <w:b/>
          <w:bCs/>
          <w:i/>
          <w:iCs/>
          <w:color w:val="1A1A1A"/>
          <w:sz w:val="21"/>
          <w:szCs w:val="21"/>
        </w:rPr>
        <w:t>Mariam B — « Pourquoi parler d’« activités sexuelles tarifées » ? N’y a-t-il pas un risque de confusion avec la prostitution ? »</w:t>
      </w:r>
    </w:p>
    <w:p w14:paraId="46F70072" w14:textId="77777777" w:rsidR="006A28CF" w:rsidRDefault="00000000">
      <w:pPr>
        <w:spacing w:after="90" w:line="264" w:lineRule="auto"/>
        <w:jc w:val="both"/>
      </w:pPr>
      <w:r>
        <w:rPr>
          <w:rFonts w:ascii="Calibri" w:eastAsia="Calibri" w:hAnsi="Calibri" w:cs="Calibri"/>
          <w:b/>
          <w:bCs/>
          <w:color w:val="1A1A1A"/>
        </w:rPr>
        <w:t>Le risque est réel et la remarque juste.</w:t>
      </w:r>
      <w:r>
        <w:rPr>
          <w:rFonts w:ascii="Calibri" w:eastAsia="Calibri" w:hAnsi="Calibri" w:cs="Calibri"/>
          <w:color w:val="1A1A1A"/>
        </w:rPr>
        <w:t xml:space="preserve"> Ce sont les hommes qui paient l’établissement ; les femmes « ne seraient pas rémunérées » (point 7). Il n’y a donc pas de prostitution au sens du code pénal. On dira « activité commerciale », « soirées payantes pour les participants », ou « offrir contre paiement à des groupes d’hommes des rencontres sexuelles » (formule de la décision).</w:t>
      </w:r>
    </w:p>
    <w:p w14:paraId="0CD90330" w14:textId="77777777" w:rsidR="006A28CF" w:rsidRDefault="00000000">
      <w:pPr>
        <w:pStyle w:val="Titre3"/>
        <w:spacing w:before="200" w:after="80"/>
      </w:pPr>
      <w:r>
        <w:rPr>
          <w:rFonts w:ascii="Calibri" w:eastAsia="Calibri" w:hAnsi="Calibri" w:cs="Calibri"/>
          <w:b/>
          <w:bCs/>
          <w:i/>
          <w:iCs/>
          <w:color w:val="1A1A1A"/>
          <w:sz w:val="21"/>
          <w:szCs w:val="21"/>
        </w:rPr>
        <w:t>Constance S — « Pourquoi parler d’activité « commerciale » ? »</w:t>
      </w:r>
    </w:p>
    <w:p w14:paraId="7C5BFFE2" w14:textId="77777777" w:rsidR="006A28CF" w:rsidRDefault="00000000">
      <w:pPr>
        <w:spacing w:after="90" w:line="264" w:lineRule="auto"/>
        <w:jc w:val="both"/>
      </w:pPr>
      <w:r>
        <w:rPr>
          <w:rFonts w:ascii="Calibri" w:eastAsia="Calibri" w:hAnsi="Calibri" w:cs="Calibri"/>
          <w:color w:val="1A1A1A"/>
        </w:rPr>
        <w:t>Parce que la société vend l’accès aux événements : c’est une activité économique exercée dans un établissement. D’où l’atteinte à la liberté du commerce et de l’industrie, et la nature de la mesure (fermeture d’un établissement). C’est aussi ce qui distingue l’affaire d’une pratique privée entre adultes, sur laquelle la police n’aurait pas de prise.</w:t>
      </w:r>
    </w:p>
    <w:p w14:paraId="70746AD3" w14:textId="77777777" w:rsidR="006A28CF" w:rsidRDefault="00000000">
      <w:pPr>
        <w:pStyle w:val="Titre3"/>
        <w:spacing w:before="200" w:after="80"/>
      </w:pPr>
      <w:r>
        <w:rPr>
          <w:rFonts w:ascii="Calibri" w:eastAsia="Calibri" w:hAnsi="Calibri" w:cs="Calibri"/>
          <w:b/>
          <w:bCs/>
          <w:i/>
          <w:iCs/>
          <w:color w:val="1A1A1A"/>
          <w:sz w:val="21"/>
          <w:szCs w:val="21"/>
        </w:rPr>
        <w:t>Sophie G — « Comment répondre à « Pensez-vous que la dignité doive restreindre les libertés ? » »</w:t>
      </w:r>
    </w:p>
    <w:p w14:paraId="3D3305E2" w14:textId="77777777" w:rsidR="006A28CF" w:rsidRDefault="00000000">
      <w:pPr>
        <w:spacing w:after="90" w:line="264" w:lineRule="auto"/>
        <w:jc w:val="both"/>
      </w:pPr>
      <w:r>
        <w:rPr>
          <w:rFonts w:ascii="Calibri" w:eastAsia="Calibri" w:hAnsi="Calibri" w:cs="Calibri"/>
          <w:color w:val="1A1A1A"/>
        </w:rPr>
        <w:t xml:space="preserve">En trois temps : 1) le droit positif (la dignité est un principe à valeur constitutionnelle et une composante de l’ordre public) ; 2) les deux conceptions (dignité-protection de Kant, autonomie et « </w:t>
      </w:r>
      <w:proofErr w:type="spellStart"/>
      <w:r>
        <w:rPr>
          <w:rFonts w:ascii="Calibri" w:eastAsia="Calibri" w:hAnsi="Calibri" w:cs="Calibri"/>
          <w:color w:val="1A1A1A"/>
        </w:rPr>
        <w:t>harm</w:t>
      </w:r>
      <w:proofErr w:type="spellEnd"/>
      <w:r>
        <w:rPr>
          <w:rFonts w:ascii="Calibri" w:eastAsia="Calibri" w:hAnsi="Calibri" w:cs="Calibri"/>
          <w:color w:val="1A1A1A"/>
        </w:rPr>
        <w:t xml:space="preserve"> </w:t>
      </w:r>
      <w:proofErr w:type="spellStart"/>
      <w:r>
        <w:rPr>
          <w:rFonts w:ascii="Calibri" w:eastAsia="Calibri" w:hAnsi="Calibri" w:cs="Calibri"/>
          <w:color w:val="1A1A1A"/>
        </w:rPr>
        <w:t>principle</w:t>
      </w:r>
      <w:proofErr w:type="spellEnd"/>
      <w:r>
        <w:rPr>
          <w:rFonts w:ascii="Calibri" w:eastAsia="Calibri" w:hAnsi="Calibri" w:cs="Calibri"/>
          <w:color w:val="1A1A1A"/>
        </w:rPr>
        <w:t xml:space="preserve"> » de Mill) ; 3) une position nuancée et assumée, par exemple : « Oui lorsque la personne est réduite à l’état d’objet ; non lorsqu’il ne s’agit que de juger des choix de vie. Le critère doit être la réification, non la réprobation. » Le jury attend une opinion, pas une esquive.</w:t>
      </w:r>
    </w:p>
    <w:p w14:paraId="697571DC" w14:textId="77777777" w:rsidR="006A28CF" w:rsidRDefault="00000000">
      <w:pPr>
        <w:pStyle w:val="Titre3"/>
        <w:spacing w:before="200" w:after="80"/>
      </w:pPr>
      <w:r>
        <w:rPr>
          <w:rFonts w:ascii="Calibri" w:eastAsia="Calibri" w:hAnsi="Calibri" w:cs="Calibri"/>
          <w:b/>
          <w:bCs/>
          <w:i/>
          <w:iCs/>
          <w:color w:val="1A1A1A"/>
          <w:sz w:val="21"/>
          <w:szCs w:val="21"/>
        </w:rPr>
        <w:t>Inès Y — « Une accroche sur les conclusions Corneille sous l’arrêt Baldy est-elle pertinente ? »</w:t>
      </w:r>
    </w:p>
    <w:p w14:paraId="599DFF0E" w14:textId="77777777" w:rsidR="006A28CF" w:rsidRDefault="00000000">
      <w:pPr>
        <w:spacing w:after="90" w:line="264" w:lineRule="auto"/>
        <w:jc w:val="both"/>
      </w:pPr>
      <w:r>
        <w:rPr>
          <w:rFonts w:ascii="Calibri" w:eastAsia="Calibri" w:hAnsi="Calibri" w:cs="Calibri"/>
          <w:color w:val="1A1A1A"/>
        </w:rPr>
        <w:t>Oui. « La liberté est la règle, la restriction de police l’exception » (</w:t>
      </w:r>
      <w:r>
        <w:rPr>
          <w:rFonts w:ascii="Calibri" w:eastAsia="Calibri" w:hAnsi="Calibri" w:cs="Calibri"/>
          <w:color w:val="E91E63"/>
        </w:rPr>
        <w:t>CE, 10 août 1917, Baldy</w:t>
      </w:r>
      <w:r>
        <w:rPr>
          <w:rFonts w:ascii="Calibri" w:eastAsia="Calibri" w:hAnsi="Calibri" w:cs="Calibri"/>
          <w:color w:val="1A1A1A"/>
        </w:rPr>
        <w:t>) pose le cadre libéral contre lequel la décision se lit. Il faut seulement enchaîner aussitôt : « En 2026, l’exception l’emporte, et c’est la dignité qui la justifie. »</w:t>
      </w:r>
    </w:p>
    <w:p w14:paraId="1D4E98C6" w14:textId="77777777" w:rsidR="006A28CF" w:rsidRDefault="00000000">
      <w:pPr>
        <w:pStyle w:val="Titre3"/>
        <w:spacing w:before="200" w:after="80"/>
      </w:pPr>
      <w:r>
        <w:rPr>
          <w:rFonts w:ascii="Calibri" w:eastAsia="Calibri" w:hAnsi="Calibri" w:cs="Calibri"/>
          <w:b/>
          <w:bCs/>
          <w:i/>
          <w:iCs/>
          <w:color w:val="1A1A1A"/>
          <w:sz w:val="21"/>
          <w:szCs w:val="21"/>
        </w:rPr>
        <w:t>Pin-Chun C — « Comment rattacher les sous-parties aux paragraphes de la décision ? »</w:t>
      </w:r>
    </w:p>
    <w:p w14:paraId="6B47B1DA" w14:textId="77777777" w:rsidR="006A28CF" w:rsidRDefault="00000000">
      <w:pPr>
        <w:spacing w:after="90" w:line="264" w:lineRule="auto"/>
        <w:jc w:val="both"/>
      </w:pPr>
      <w:r>
        <w:rPr>
          <w:rFonts w:ascii="Calibri" w:eastAsia="Calibri" w:hAnsi="Calibri" w:cs="Calibri"/>
          <w:color w:val="1A1A1A"/>
        </w:rPr>
        <w:t>Voir le tableau ci-dessous, pour le plan recommandé.</w:t>
      </w:r>
    </w:p>
    <w:tbl>
      <w:tblPr>
        <w:tblW w:w="5000" w:type="pct"/>
        <w:tblBorders>
          <w:top w:val="single" w:sz="2" w:space="0" w:color="C9C0B6"/>
          <w:left w:val="single" w:sz="2" w:space="0" w:color="C9C0B6"/>
          <w:bottom w:val="single" w:sz="2" w:space="0" w:color="C9C0B6"/>
          <w:right w:val="single" w:sz="2" w:space="0" w:color="C9C0B6"/>
          <w:insideH w:val="single" w:sz="2" w:space="0" w:color="DCD5CC"/>
          <w:insideV w:val="single" w:sz="2" w:space="0" w:color="DCD5CC"/>
        </w:tblBorders>
        <w:tblCellMar>
          <w:left w:w="10" w:type="dxa"/>
          <w:right w:w="10" w:type="dxa"/>
        </w:tblCellMar>
        <w:tblLook w:val="04A0" w:firstRow="1" w:lastRow="0" w:firstColumn="1" w:lastColumn="0" w:noHBand="0" w:noVBand="1"/>
      </w:tblPr>
      <w:tblGrid>
        <w:gridCol w:w="4873"/>
        <w:gridCol w:w="4873"/>
      </w:tblGrid>
      <w:tr w:rsidR="006A28CF" w14:paraId="13D1E815" w14:textId="77777777">
        <w:trPr>
          <w:tblHeader/>
        </w:trPr>
        <w:tc>
          <w:tcPr>
            <w:tcW w:w="2500" w:type="pct"/>
            <w:shd w:val="clear" w:color="auto" w:fill="F2E9EA"/>
            <w:tcMar>
              <w:top w:w="60" w:type="dxa"/>
              <w:left w:w="90" w:type="dxa"/>
              <w:bottom w:w="60" w:type="dxa"/>
              <w:right w:w="90" w:type="dxa"/>
            </w:tcMar>
          </w:tcPr>
          <w:p w14:paraId="387EF4CD" w14:textId="77777777" w:rsidR="006A28CF" w:rsidRDefault="00000000">
            <w:r>
              <w:rPr>
                <w:rFonts w:ascii="Calibri" w:eastAsia="Calibri" w:hAnsi="Calibri" w:cs="Calibri"/>
                <w:b/>
                <w:bCs/>
                <w:color w:val="1A1A1A"/>
                <w:sz w:val="17"/>
                <w:szCs w:val="17"/>
              </w:rPr>
              <w:t>Sous-partie</w:t>
            </w:r>
          </w:p>
        </w:tc>
        <w:tc>
          <w:tcPr>
            <w:tcW w:w="2500" w:type="pct"/>
            <w:shd w:val="clear" w:color="auto" w:fill="F2E9EA"/>
            <w:tcMar>
              <w:top w:w="60" w:type="dxa"/>
              <w:left w:w="90" w:type="dxa"/>
              <w:bottom w:w="60" w:type="dxa"/>
              <w:right w:w="90" w:type="dxa"/>
            </w:tcMar>
          </w:tcPr>
          <w:p w14:paraId="79823902" w14:textId="77777777" w:rsidR="006A28CF" w:rsidRDefault="00000000">
            <w:r>
              <w:rPr>
                <w:rFonts w:ascii="Calibri" w:eastAsia="Calibri" w:hAnsi="Calibri" w:cs="Calibri"/>
                <w:b/>
                <w:bCs/>
                <w:color w:val="1A1A1A"/>
                <w:sz w:val="17"/>
                <w:szCs w:val="17"/>
              </w:rPr>
              <w:t>Points de la décision</w:t>
            </w:r>
          </w:p>
        </w:tc>
      </w:tr>
      <w:tr w:rsidR="006A28CF" w14:paraId="181B1F4C" w14:textId="77777777">
        <w:tc>
          <w:tcPr>
            <w:tcW w:w="2500" w:type="pct"/>
            <w:tcMar>
              <w:top w:w="60" w:type="dxa"/>
              <w:left w:w="90" w:type="dxa"/>
              <w:bottom w:w="60" w:type="dxa"/>
              <w:right w:w="90" w:type="dxa"/>
            </w:tcMar>
          </w:tcPr>
          <w:p w14:paraId="76C125BF" w14:textId="77777777" w:rsidR="006A28CF" w:rsidRDefault="00000000">
            <w:r>
              <w:rPr>
                <w:rFonts w:ascii="Calibri" w:eastAsia="Calibri" w:hAnsi="Calibri" w:cs="Calibri"/>
                <w:color w:val="1A1A1A"/>
                <w:sz w:val="17"/>
                <w:szCs w:val="17"/>
              </w:rPr>
              <w:t>I A — La dignité, composante autonome de l’ordre public</w:t>
            </w:r>
          </w:p>
        </w:tc>
        <w:tc>
          <w:tcPr>
            <w:tcW w:w="2500" w:type="pct"/>
            <w:tcMar>
              <w:top w:w="60" w:type="dxa"/>
              <w:left w:w="90" w:type="dxa"/>
              <w:bottom w:w="60" w:type="dxa"/>
              <w:right w:w="90" w:type="dxa"/>
            </w:tcMar>
          </w:tcPr>
          <w:p w14:paraId="6AD21276" w14:textId="77777777" w:rsidR="006A28CF" w:rsidRDefault="00000000">
            <w:r>
              <w:rPr>
                <w:rFonts w:ascii="Calibri" w:eastAsia="Calibri" w:hAnsi="Calibri" w:cs="Calibri"/>
                <w:color w:val="1A1A1A"/>
                <w:sz w:val="17"/>
                <w:szCs w:val="17"/>
              </w:rPr>
              <w:t>Point 4 (première et deuxième phrases) ; point 6 (les trois motifs) ; point 13 (motif de moralité non examiné)</w:t>
            </w:r>
          </w:p>
        </w:tc>
      </w:tr>
      <w:tr w:rsidR="006A28CF" w14:paraId="74DC0D16" w14:textId="77777777">
        <w:tc>
          <w:tcPr>
            <w:tcW w:w="2500" w:type="pct"/>
            <w:tcMar>
              <w:top w:w="60" w:type="dxa"/>
              <w:left w:w="90" w:type="dxa"/>
              <w:bottom w:w="60" w:type="dxa"/>
              <w:right w:w="90" w:type="dxa"/>
            </w:tcMar>
          </w:tcPr>
          <w:p w14:paraId="638C65C6" w14:textId="77777777" w:rsidR="006A28CF" w:rsidRDefault="00000000">
            <w:r>
              <w:rPr>
                <w:rFonts w:ascii="Calibri" w:eastAsia="Calibri" w:hAnsi="Calibri" w:cs="Calibri"/>
                <w:color w:val="1A1A1A"/>
                <w:sz w:val="17"/>
                <w:szCs w:val="17"/>
              </w:rPr>
              <w:t>I B — Une atteinte appréciée dans la nature de l’activité</w:t>
            </w:r>
          </w:p>
        </w:tc>
        <w:tc>
          <w:tcPr>
            <w:tcW w:w="2500" w:type="pct"/>
            <w:tcMar>
              <w:top w:w="60" w:type="dxa"/>
              <w:left w:w="90" w:type="dxa"/>
              <w:bottom w:w="60" w:type="dxa"/>
              <w:right w:w="90" w:type="dxa"/>
            </w:tcMar>
          </w:tcPr>
          <w:p w14:paraId="1C293B7E" w14:textId="77777777" w:rsidR="006A28CF" w:rsidRDefault="00000000">
            <w:r>
              <w:rPr>
                <w:rFonts w:ascii="Calibri" w:eastAsia="Calibri" w:hAnsi="Calibri" w:cs="Calibri"/>
                <w:color w:val="1A1A1A"/>
                <w:sz w:val="17"/>
                <w:szCs w:val="17"/>
              </w:rPr>
              <w:t>Point 7 (erreur de droit) ; point 13, première partie (« réduites à un rôle exclusif d’objet sexuel »)</w:t>
            </w:r>
          </w:p>
        </w:tc>
      </w:tr>
      <w:tr w:rsidR="006A28CF" w14:paraId="07B848C8" w14:textId="77777777">
        <w:tc>
          <w:tcPr>
            <w:tcW w:w="2500" w:type="pct"/>
            <w:tcMar>
              <w:top w:w="60" w:type="dxa"/>
              <w:left w:w="90" w:type="dxa"/>
              <w:bottom w:w="60" w:type="dxa"/>
              <w:right w:w="90" w:type="dxa"/>
            </w:tcMar>
          </w:tcPr>
          <w:p w14:paraId="38EF0DAA" w14:textId="77777777" w:rsidR="006A28CF" w:rsidRDefault="00000000">
            <w:r>
              <w:rPr>
                <w:rFonts w:ascii="Calibri" w:eastAsia="Calibri" w:hAnsi="Calibri" w:cs="Calibri"/>
                <w:color w:val="1A1A1A"/>
                <w:sz w:val="17"/>
                <w:szCs w:val="17"/>
              </w:rPr>
              <w:t>II A — L’importation de la définition pénale du consentement</w:t>
            </w:r>
          </w:p>
        </w:tc>
        <w:tc>
          <w:tcPr>
            <w:tcW w:w="2500" w:type="pct"/>
            <w:tcMar>
              <w:top w:w="60" w:type="dxa"/>
              <w:left w:w="90" w:type="dxa"/>
              <w:bottom w:w="60" w:type="dxa"/>
              <w:right w:w="90" w:type="dxa"/>
            </w:tcMar>
          </w:tcPr>
          <w:p w14:paraId="45EBF239" w14:textId="77777777" w:rsidR="006A28CF" w:rsidRDefault="00000000">
            <w:r>
              <w:rPr>
                <w:rFonts w:ascii="Calibri" w:eastAsia="Calibri" w:hAnsi="Calibri" w:cs="Calibri"/>
                <w:color w:val="1A1A1A"/>
                <w:sz w:val="17"/>
                <w:szCs w:val="17"/>
              </w:rPr>
              <w:t>Point 4 (troisième phrase) ; point 5 (art. 222-22) ; point 8 (dénaturation) ; point 13, seconde partie</w:t>
            </w:r>
          </w:p>
        </w:tc>
      </w:tr>
      <w:tr w:rsidR="006A28CF" w14:paraId="499404B9" w14:textId="77777777">
        <w:tc>
          <w:tcPr>
            <w:tcW w:w="2500" w:type="pct"/>
            <w:tcMar>
              <w:top w:w="60" w:type="dxa"/>
              <w:left w:w="90" w:type="dxa"/>
              <w:bottom w:w="60" w:type="dxa"/>
              <w:right w:w="90" w:type="dxa"/>
            </w:tcMar>
          </w:tcPr>
          <w:p w14:paraId="43CCCC7D" w14:textId="77777777" w:rsidR="006A28CF" w:rsidRDefault="00000000">
            <w:r>
              <w:rPr>
                <w:rFonts w:ascii="Calibri" w:eastAsia="Calibri" w:hAnsi="Calibri" w:cs="Calibri"/>
                <w:color w:val="1A1A1A"/>
                <w:sz w:val="17"/>
                <w:szCs w:val="17"/>
              </w:rPr>
              <w:t>II B — Une police préventive au contrôle allégé</w:t>
            </w:r>
          </w:p>
        </w:tc>
        <w:tc>
          <w:tcPr>
            <w:tcW w:w="2500" w:type="pct"/>
            <w:tcMar>
              <w:top w:w="60" w:type="dxa"/>
              <w:left w:w="90" w:type="dxa"/>
              <w:bottom w:w="60" w:type="dxa"/>
              <w:right w:w="90" w:type="dxa"/>
            </w:tcMar>
          </w:tcPr>
          <w:p w14:paraId="22CDBB37" w14:textId="77777777" w:rsidR="006A28CF" w:rsidRDefault="00000000">
            <w:r>
              <w:rPr>
                <w:rFonts w:ascii="Calibri" w:eastAsia="Calibri" w:hAnsi="Calibri" w:cs="Calibri"/>
                <w:color w:val="1A1A1A"/>
                <w:sz w:val="17"/>
                <w:szCs w:val="17"/>
              </w:rPr>
              <w:t>Points 9-10 (annulation, règlement) ; points 11-12 (contradictoire) ; point 13, fin (Perrot, proportionnalité, urgence non examinée) ; dispositif</w:t>
            </w:r>
          </w:p>
        </w:tc>
      </w:tr>
    </w:tbl>
    <w:p w14:paraId="4E85FB95" w14:textId="77777777" w:rsidR="006A28CF" w:rsidRDefault="006A28CF">
      <w:pPr>
        <w:spacing w:after="120"/>
      </w:pPr>
    </w:p>
    <w:p w14:paraId="05115CD2" w14:textId="77777777" w:rsidR="006A28CF" w:rsidRDefault="00000000">
      <w:pPr>
        <w:pStyle w:val="Titre3"/>
        <w:spacing w:before="200" w:after="80"/>
      </w:pPr>
      <w:r>
        <w:rPr>
          <w:rFonts w:ascii="Calibri" w:eastAsia="Calibri" w:hAnsi="Calibri" w:cs="Calibri"/>
          <w:b/>
          <w:bCs/>
          <w:i/>
          <w:iCs/>
          <w:color w:val="1A1A1A"/>
          <w:sz w:val="21"/>
          <w:szCs w:val="21"/>
        </w:rPr>
        <w:t>Mariam B — remarque : « Cette jurisprudence va beaucoup plus loin que Morsang-sur-Orge »</w:t>
      </w:r>
    </w:p>
    <w:p w14:paraId="0622A807" w14:textId="77777777" w:rsidR="006A28CF" w:rsidRDefault="00000000">
      <w:pPr>
        <w:spacing w:after="90" w:line="264" w:lineRule="auto"/>
        <w:jc w:val="both"/>
      </w:pPr>
      <w:r>
        <w:rPr>
          <w:rFonts w:ascii="Calibri" w:eastAsia="Calibri" w:hAnsi="Calibri" w:cs="Calibri"/>
          <w:color w:val="1A1A1A"/>
        </w:rPr>
        <w:t xml:space="preserve">Oui, sur trois points : l’objet (d’une attraction ponctuelle à l’activité permanente d’un établissement, avec une mesure de fermeture) ; la méthode (une lecture des scénarios proposés et de leur promotion, non d’un spectacle vu) ; et </w:t>
      </w:r>
      <w:r>
        <w:rPr>
          <w:rFonts w:ascii="Calibri" w:eastAsia="Calibri" w:hAnsi="Calibri" w:cs="Calibri"/>
          <w:color w:val="1A1A1A"/>
        </w:rPr>
        <w:lastRenderedPageBreak/>
        <w:t>l’adossement au droit pénal du consentement, absent en 1995. Mais en sens inverse, la décision reste plus prudente que Morsang sur un point : elle exige une appréciation concrète des conditions d’organisation, là où le lancer de nain était jugé attentatoire « par son objet même ».</w:t>
      </w:r>
    </w:p>
    <w:p w14:paraId="7A94CFCF" w14:textId="77777777" w:rsidR="006A28CF" w:rsidRDefault="00000000">
      <w:r>
        <w:br w:type="page"/>
      </w:r>
    </w:p>
    <w:p w14:paraId="39F52C0A" w14:textId="77777777" w:rsidR="006A28CF" w:rsidRDefault="00000000">
      <w:pPr>
        <w:shd w:val="clear" w:color="auto" w:fill="F2E9EA"/>
        <w:spacing w:before="200" w:after="220"/>
        <w:jc w:val="center"/>
      </w:pPr>
      <w:r>
        <w:rPr>
          <w:rFonts w:ascii="Calibri" w:eastAsia="Calibri" w:hAnsi="Calibri" w:cs="Calibri"/>
          <w:b/>
          <w:bCs/>
          <w:color w:val="8C1C2B"/>
          <w:spacing w:val="30"/>
          <w:sz w:val="26"/>
          <w:szCs w:val="26"/>
        </w:rPr>
        <w:lastRenderedPageBreak/>
        <w:t>PARTIE V. ANNEXES</w:t>
      </w:r>
    </w:p>
    <w:p w14:paraId="0DA74E6F" w14:textId="77777777" w:rsidR="006A28CF" w:rsidRDefault="00000000">
      <w:pPr>
        <w:pStyle w:val="Titre1"/>
        <w:pBdr>
          <w:bottom w:val="single" w:sz="12" w:space="6" w:color="8C1C2B"/>
        </w:pBdr>
        <w:spacing w:before="260" w:after="90"/>
      </w:pPr>
      <w:r>
        <w:rPr>
          <w:rFonts w:ascii="Calibri" w:eastAsia="Calibri" w:hAnsi="Calibri" w:cs="Calibri"/>
          <w:b/>
          <w:bCs/>
          <w:color w:val="8C1C2B"/>
          <w:sz w:val="28"/>
          <w:szCs w:val="28"/>
        </w:rPr>
        <w:t>1. LES RÉFÉRENCES À CORRIGER</w:t>
      </w:r>
    </w:p>
    <w:p w14:paraId="6678A0C9" w14:textId="77777777" w:rsidR="006A28CF" w:rsidRDefault="00000000">
      <w:pPr>
        <w:pStyle w:val="Titre2"/>
        <w:spacing w:before="260" w:after="110"/>
      </w:pPr>
      <w:r>
        <w:rPr>
          <w:rFonts w:ascii="Calibri" w:eastAsia="Calibri" w:hAnsi="Calibri" w:cs="Calibri"/>
          <w:b/>
          <w:bCs/>
          <w:color w:val="1A1A1A"/>
          <w:spacing w:val="16"/>
          <w:sz w:val="23"/>
          <w:szCs w:val="23"/>
        </w:rPr>
        <w:t>1.1. Dans le support du séminaire</w:t>
      </w:r>
    </w:p>
    <w:tbl>
      <w:tblPr>
        <w:tblW w:w="5000" w:type="pct"/>
        <w:tblBorders>
          <w:top w:val="single" w:sz="2" w:space="0" w:color="C9C0B6"/>
          <w:left w:val="single" w:sz="2" w:space="0" w:color="C9C0B6"/>
          <w:bottom w:val="single" w:sz="2" w:space="0" w:color="C9C0B6"/>
          <w:right w:val="single" w:sz="2" w:space="0" w:color="C9C0B6"/>
          <w:insideH w:val="single" w:sz="2" w:space="0" w:color="DCD5CC"/>
          <w:insideV w:val="single" w:sz="2" w:space="0" w:color="DCD5CC"/>
        </w:tblBorders>
        <w:tblCellMar>
          <w:left w:w="10" w:type="dxa"/>
          <w:right w:w="10" w:type="dxa"/>
        </w:tblCellMar>
        <w:tblLook w:val="04A0" w:firstRow="1" w:lastRow="0" w:firstColumn="1" w:lastColumn="0" w:noHBand="0" w:noVBand="1"/>
      </w:tblPr>
      <w:tblGrid>
        <w:gridCol w:w="4873"/>
        <w:gridCol w:w="4873"/>
      </w:tblGrid>
      <w:tr w:rsidR="006A28CF" w14:paraId="6DE5B0CB" w14:textId="77777777">
        <w:trPr>
          <w:tblHeader/>
        </w:trPr>
        <w:tc>
          <w:tcPr>
            <w:tcW w:w="2500" w:type="pct"/>
            <w:shd w:val="clear" w:color="auto" w:fill="F2E9EA"/>
            <w:tcMar>
              <w:top w:w="60" w:type="dxa"/>
              <w:left w:w="90" w:type="dxa"/>
              <w:bottom w:w="60" w:type="dxa"/>
              <w:right w:w="90" w:type="dxa"/>
            </w:tcMar>
          </w:tcPr>
          <w:p w14:paraId="3CBD1C28" w14:textId="77777777" w:rsidR="006A28CF" w:rsidRDefault="00000000">
            <w:r>
              <w:rPr>
                <w:rFonts w:ascii="Calibri" w:eastAsia="Calibri" w:hAnsi="Calibri" w:cs="Calibri"/>
                <w:b/>
                <w:bCs/>
                <w:color w:val="1A1A1A"/>
                <w:sz w:val="17"/>
                <w:szCs w:val="17"/>
              </w:rPr>
              <w:t>Le support dit</w:t>
            </w:r>
          </w:p>
        </w:tc>
        <w:tc>
          <w:tcPr>
            <w:tcW w:w="2500" w:type="pct"/>
            <w:shd w:val="clear" w:color="auto" w:fill="F2E9EA"/>
            <w:tcMar>
              <w:top w:w="60" w:type="dxa"/>
              <w:left w:w="90" w:type="dxa"/>
              <w:bottom w:w="60" w:type="dxa"/>
              <w:right w:w="90" w:type="dxa"/>
            </w:tcMar>
          </w:tcPr>
          <w:p w14:paraId="3DEDFBE7" w14:textId="77777777" w:rsidR="006A28CF" w:rsidRDefault="00000000">
            <w:r>
              <w:rPr>
                <w:rFonts w:ascii="Calibri" w:eastAsia="Calibri" w:hAnsi="Calibri" w:cs="Calibri"/>
                <w:b/>
                <w:bCs/>
                <w:color w:val="1A1A1A"/>
                <w:sz w:val="17"/>
                <w:szCs w:val="17"/>
              </w:rPr>
              <w:t>Il faut dire</w:t>
            </w:r>
          </w:p>
        </w:tc>
      </w:tr>
      <w:tr w:rsidR="006A28CF" w14:paraId="29C90890" w14:textId="77777777">
        <w:tc>
          <w:tcPr>
            <w:tcW w:w="2500" w:type="pct"/>
            <w:tcMar>
              <w:top w:w="60" w:type="dxa"/>
              <w:left w:w="90" w:type="dxa"/>
              <w:bottom w:w="60" w:type="dxa"/>
              <w:right w:w="90" w:type="dxa"/>
            </w:tcMar>
          </w:tcPr>
          <w:p w14:paraId="1FBC60D2" w14:textId="77777777" w:rsidR="006A28CF" w:rsidRDefault="00000000">
            <w:r>
              <w:rPr>
                <w:rFonts w:ascii="Calibri" w:eastAsia="Calibri" w:hAnsi="Calibri" w:cs="Calibri"/>
                <w:color w:val="1A1A1A"/>
                <w:sz w:val="17"/>
                <w:szCs w:val="17"/>
              </w:rPr>
              <w:t>« Le 9 février 2026, le juge des référés du Conseil d’État a suspendu cette décision »</w:t>
            </w:r>
          </w:p>
        </w:tc>
        <w:tc>
          <w:tcPr>
            <w:tcW w:w="2500" w:type="pct"/>
            <w:tcMar>
              <w:top w:w="60" w:type="dxa"/>
              <w:left w:w="90" w:type="dxa"/>
              <w:bottom w:w="60" w:type="dxa"/>
              <w:right w:w="90" w:type="dxa"/>
            </w:tcMar>
          </w:tcPr>
          <w:p w14:paraId="18DB228C" w14:textId="77777777" w:rsidR="006A28CF" w:rsidRDefault="00000000">
            <w:r>
              <w:rPr>
                <w:rFonts w:ascii="Calibri" w:eastAsia="Calibri" w:hAnsi="Calibri" w:cs="Calibri"/>
                <w:color w:val="1A1A1A"/>
                <w:sz w:val="17"/>
                <w:szCs w:val="17"/>
              </w:rPr>
              <w:t>Le juge des référés du tribunal administratif de Paris (ordonnance n° 2602318). Le Conseil d’État n’intervient qu’en cassation.</w:t>
            </w:r>
          </w:p>
        </w:tc>
      </w:tr>
      <w:tr w:rsidR="006A28CF" w14:paraId="266485E4" w14:textId="77777777">
        <w:tc>
          <w:tcPr>
            <w:tcW w:w="2500" w:type="pct"/>
            <w:tcMar>
              <w:top w:w="60" w:type="dxa"/>
              <w:left w:w="90" w:type="dxa"/>
              <w:bottom w:w="60" w:type="dxa"/>
              <w:right w:w="90" w:type="dxa"/>
            </w:tcMar>
          </w:tcPr>
          <w:p w14:paraId="205A3C87" w14:textId="77777777" w:rsidR="006A28CF" w:rsidRDefault="00000000">
            <w:r>
              <w:rPr>
                <w:rFonts w:ascii="Calibri" w:eastAsia="Calibri" w:hAnsi="Calibri" w:cs="Calibri"/>
                <w:color w:val="1A1A1A"/>
                <w:sz w:val="17"/>
                <w:szCs w:val="17"/>
              </w:rPr>
              <w:t>« Le préfet de police a ordonné la fermeture définitive »</w:t>
            </w:r>
          </w:p>
        </w:tc>
        <w:tc>
          <w:tcPr>
            <w:tcW w:w="2500" w:type="pct"/>
            <w:tcMar>
              <w:top w:w="60" w:type="dxa"/>
              <w:left w:w="90" w:type="dxa"/>
              <w:bottom w:w="60" w:type="dxa"/>
              <w:right w:w="90" w:type="dxa"/>
            </w:tcMar>
          </w:tcPr>
          <w:p w14:paraId="40D0D412" w14:textId="77777777" w:rsidR="006A28CF" w:rsidRDefault="00000000">
            <w:r>
              <w:rPr>
                <w:rFonts w:ascii="Calibri" w:eastAsia="Calibri" w:hAnsi="Calibri" w:cs="Calibri"/>
                <w:color w:val="1A1A1A"/>
                <w:sz w:val="17"/>
                <w:szCs w:val="17"/>
              </w:rPr>
              <w:t>La décision parle de « fermeture administrative » ; elle n’indique pas qu’elle serait définitive. Ne pas qualifier sa durée.</w:t>
            </w:r>
          </w:p>
        </w:tc>
      </w:tr>
      <w:tr w:rsidR="006A28CF" w14:paraId="6526F92E" w14:textId="77777777">
        <w:tc>
          <w:tcPr>
            <w:tcW w:w="2500" w:type="pct"/>
            <w:tcMar>
              <w:top w:w="60" w:type="dxa"/>
              <w:left w:w="90" w:type="dxa"/>
              <w:bottom w:w="60" w:type="dxa"/>
              <w:right w:w="90" w:type="dxa"/>
            </w:tcMar>
          </w:tcPr>
          <w:p w14:paraId="79713D03" w14:textId="77777777" w:rsidR="006A28CF" w:rsidRDefault="00000000">
            <w:r>
              <w:rPr>
                <w:rFonts w:ascii="Calibri" w:eastAsia="Calibri" w:hAnsi="Calibri" w:cs="Calibri"/>
                <w:color w:val="1A1A1A"/>
                <w:sz w:val="17"/>
                <w:szCs w:val="17"/>
              </w:rPr>
              <w:t>Plan : « activités sexuelles tarifées »</w:t>
            </w:r>
          </w:p>
        </w:tc>
        <w:tc>
          <w:tcPr>
            <w:tcW w:w="2500" w:type="pct"/>
            <w:tcMar>
              <w:top w:w="60" w:type="dxa"/>
              <w:left w:w="90" w:type="dxa"/>
              <w:bottom w:w="60" w:type="dxa"/>
              <w:right w:w="90" w:type="dxa"/>
            </w:tcMar>
          </w:tcPr>
          <w:p w14:paraId="083E9D58" w14:textId="77777777" w:rsidR="006A28CF" w:rsidRDefault="00000000">
            <w:r>
              <w:rPr>
                <w:rFonts w:ascii="Calibri" w:eastAsia="Calibri" w:hAnsi="Calibri" w:cs="Calibri"/>
                <w:color w:val="1A1A1A"/>
                <w:sz w:val="17"/>
                <w:szCs w:val="17"/>
              </w:rPr>
              <w:t>Les femmes ne sont pas rémunérées. Préférer « activité commerciale » ou « soirées payantes pour les participants ».</w:t>
            </w:r>
          </w:p>
        </w:tc>
      </w:tr>
    </w:tbl>
    <w:p w14:paraId="23324D1A" w14:textId="77777777" w:rsidR="006A28CF" w:rsidRDefault="006A28CF">
      <w:pPr>
        <w:spacing w:after="120"/>
      </w:pPr>
    </w:p>
    <w:p w14:paraId="5BC4ADCB" w14:textId="77777777" w:rsidR="006A28CF" w:rsidRDefault="00000000">
      <w:pPr>
        <w:pStyle w:val="Titre2"/>
        <w:spacing w:before="260" w:after="110"/>
      </w:pPr>
      <w:r>
        <w:rPr>
          <w:rFonts w:ascii="Calibri" w:eastAsia="Calibri" w:hAnsi="Calibri" w:cs="Calibri"/>
          <w:b/>
          <w:bCs/>
          <w:color w:val="1A1A1A"/>
          <w:spacing w:val="16"/>
          <w:sz w:val="23"/>
          <w:szCs w:val="23"/>
        </w:rPr>
        <w:t>1.2. Dans le chat et les plans</w:t>
      </w:r>
    </w:p>
    <w:tbl>
      <w:tblPr>
        <w:tblW w:w="5000" w:type="pct"/>
        <w:tblBorders>
          <w:top w:val="single" w:sz="2" w:space="0" w:color="C9C0B6"/>
          <w:left w:val="single" w:sz="2" w:space="0" w:color="C9C0B6"/>
          <w:bottom w:val="single" w:sz="2" w:space="0" w:color="C9C0B6"/>
          <w:right w:val="single" w:sz="2" w:space="0" w:color="C9C0B6"/>
          <w:insideH w:val="single" w:sz="2" w:space="0" w:color="DCD5CC"/>
          <w:insideV w:val="single" w:sz="2" w:space="0" w:color="DCD5CC"/>
        </w:tblBorders>
        <w:tblCellMar>
          <w:left w:w="10" w:type="dxa"/>
          <w:right w:w="10" w:type="dxa"/>
        </w:tblCellMar>
        <w:tblLook w:val="04A0" w:firstRow="1" w:lastRow="0" w:firstColumn="1" w:lastColumn="0" w:noHBand="0" w:noVBand="1"/>
      </w:tblPr>
      <w:tblGrid>
        <w:gridCol w:w="4873"/>
        <w:gridCol w:w="4873"/>
      </w:tblGrid>
      <w:tr w:rsidR="006A28CF" w14:paraId="536D00A3" w14:textId="77777777">
        <w:trPr>
          <w:tblHeader/>
        </w:trPr>
        <w:tc>
          <w:tcPr>
            <w:tcW w:w="2500" w:type="pct"/>
            <w:shd w:val="clear" w:color="auto" w:fill="F2E9EA"/>
            <w:tcMar>
              <w:top w:w="60" w:type="dxa"/>
              <w:left w:w="90" w:type="dxa"/>
              <w:bottom w:w="60" w:type="dxa"/>
              <w:right w:w="90" w:type="dxa"/>
            </w:tcMar>
          </w:tcPr>
          <w:p w14:paraId="234C2C4D" w14:textId="77777777" w:rsidR="006A28CF" w:rsidRDefault="00000000">
            <w:r>
              <w:rPr>
                <w:rFonts w:ascii="Calibri" w:eastAsia="Calibri" w:hAnsi="Calibri" w:cs="Calibri"/>
                <w:b/>
                <w:bCs/>
                <w:color w:val="1A1A1A"/>
                <w:sz w:val="17"/>
                <w:szCs w:val="17"/>
              </w:rPr>
              <w:t>Erreur relevée</w:t>
            </w:r>
          </w:p>
        </w:tc>
        <w:tc>
          <w:tcPr>
            <w:tcW w:w="2500" w:type="pct"/>
            <w:shd w:val="clear" w:color="auto" w:fill="F2E9EA"/>
            <w:tcMar>
              <w:top w:w="60" w:type="dxa"/>
              <w:left w:w="90" w:type="dxa"/>
              <w:bottom w:w="60" w:type="dxa"/>
              <w:right w:w="90" w:type="dxa"/>
            </w:tcMar>
          </w:tcPr>
          <w:p w14:paraId="3C4C3A7F" w14:textId="77777777" w:rsidR="006A28CF" w:rsidRDefault="00000000">
            <w:r>
              <w:rPr>
                <w:rFonts w:ascii="Calibri" w:eastAsia="Calibri" w:hAnsi="Calibri" w:cs="Calibri"/>
                <w:b/>
                <w:bCs/>
                <w:color w:val="1A1A1A"/>
                <w:sz w:val="17"/>
                <w:szCs w:val="17"/>
              </w:rPr>
              <w:t>Correction</w:t>
            </w:r>
          </w:p>
        </w:tc>
      </w:tr>
      <w:tr w:rsidR="006A28CF" w14:paraId="125841C1" w14:textId="77777777">
        <w:tc>
          <w:tcPr>
            <w:tcW w:w="2500" w:type="pct"/>
            <w:tcMar>
              <w:top w:w="60" w:type="dxa"/>
              <w:left w:w="90" w:type="dxa"/>
              <w:bottom w:w="60" w:type="dxa"/>
              <w:right w:w="90" w:type="dxa"/>
            </w:tcMar>
          </w:tcPr>
          <w:p w14:paraId="17BE59A4" w14:textId="77777777" w:rsidR="006A28CF" w:rsidRDefault="00000000">
            <w:r>
              <w:rPr>
                <w:rFonts w:ascii="Calibri" w:eastAsia="Calibri" w:hAnsi="Calibri" w:cs="Calibri"/>
                <w:color w:val="1A1A1A"/>
                <w:sz w:val="17"/>
                <w:szCs w:val="17"/>
              </w:rPr>
              <w:t>« Dame Peyrot 1968 »</w:t>
            </w:r>
          </w:p>
        </w:tc>
        <w:tc>
          <w:tcPr>
            <w:tcW w:w="2500" w:type="pct"/>
            <w:tcMar>
              <w:top w:w="60" w:type="dxa"/>
              <w:left w:w="90" w:type="dxa"/>
              <w:bottom w:w="60" w:type="dxa"/>
              <w:right w:w="90" w:type="dxa"/>
            </w:tcMar>
          </w:tcPr>
          <w:p w14:paraId="7C8195AE" w14:textId="77777777" w:rsidR="006A28CF" w:rsidRDefault="00000000">
            <w:r>
              <w:rPr>
                <w:rFonts w:ascii="Calibri" w:eastAsia="Calibri" w:hAnsi="Calibri" w:cs="Calibri"/>
                <w:color w:val="E91E63"/>
                <w:sz w:val="17"/>
                <w:szCs w:val="17"/>
              </w:rPr>
              <w:t>CE, ass., 12 janvier 1968, Dame Perrot</w:t>
            </w:r>
            <w:r>
              <w:rPr>
                <w:rFonts w:ascii="Calibri" w:eastAsia="Calibri" w:hAnsi="Calibri" w:cs="Calibri"/>
                <w:color w:val="1A1A1A"/>
                <w:sz w:val="17"/>
                <w:szCs w:val="17"/>
              </w:rPr>
              <w:t>.</w:t>
            </w:r>
          </w:p>
        </w:tc>
      </w:tr>
      <w:tr w:rsidR="006A28CF" w14:paraId="7F8D3FA6" w14:textId="77777777">
        <w:tc>
          <w:tcPr>
            <w:tcW w:w="2500" w:type="pct"/>
            <w:tcMar>
              <w:top w:w="60" w:type="dxa"/>
              <w:left w:w="90" w:type="dxa"/>
              <w:bottom w:w="60" w:type="dxa"/>
              <w:right w:w="90" w:type="dxa"/>
            </w:tcMar>
          </w:tcPr>
          <w:p w14:paraId="5EDF413C" w14:textId="77777777" w:rsidR="006A28CF" w:rsidRDefault="00000000">
            <w:r>
              <w:rPr>
                <w:rFonts w:ascii="Calibri" w:eastAsia="Calibri" w:hAnsi="Calibri" w:cs="Calibri"/>
                <w:color w:val="1A1A1A"/>
                <w:sz w:val="17"/>
                <w:szCs w:val="17"/>
              </w:rPr>
              <w:t xml:space="preserve">« Morsang-sur-Orge 1996 », « </w:t>
            </w:r>
            <w:proofErr w:type="spellStart"/>
            <w:r>
              <w:rPr>
                <w:rFonts w:ascii="Calibri" w:eastAsia="Calibri" w:hAnsi="Calibri" w:cs="Calibri"/>
                <w:color w:val="1A1A1A"/>
                <w:sz w:val="17"/>
                <w:szCs w:val="17"/>
              </w:rPr>
              <w:t>Morsent</w:t>
            </w:r>
            <w:proofErr w:type="spellEnd"/>
            <w:r>
              <w:rPr>
                <w:rFonts w:ascii="Calibri" w:eastAsia="Calibri" w:hAnsi="Calibri" w:cs="Calibri"/>
                <w:color w:val="1A1A1A"/>
                <w:sz w:val="17"/>
                <w:szCs w:val="17"/>
              </w:rPr>
              <w:t>-sur-Orge »</w:t>
            </w:r>
          </w:p>
        </w:tc>
        <w:tc>
          <w:tcPr>
            <w:tcW w:w="2500" w:type="pct"/>
            <w:tcMar>
              <w:top w:w="60" w:type="dxa"/>
              <w:left w:w="90" w:type="dxa"/>
              <w:bottom w:w="60" w:type="dxa"/>
              <w:right w:w="90" w:type="dxa"/>
            </w:tcMar>
          </w:tcPr>
          <w:p w14:paraId="35D67683" w14:textId="77777777" w:rsidR="006A28CF" w:rsidRDefault="00000000">
            <w:r>
              <w:rPr>
                <w:rFonts w:ascii="Calibri" w:eastAsia="Calibri" w:hAnsi="Calibri" w:cs="Calibri"/>
                <w:color w:val="E91E63"/>
                <w:sz w:val="17"/>
                <w:szCs w:val="17"/>
              </w:rPr>
              <w:t>CE, ass., 27 octobre 1995, Commune de Morsang-sur-Orge</w:t>
            </w:r>
            <w:r>
              <w:rPr>
                <w:rFonts w:ascii="Calibri" w:eastAsia="Calibri" w:hAnsi="Calibri" w:cs="Calibri"/>
                <w:color w:val="1A1A1A"/>
                <w:sz w:val="17"/>
                <w:szCs w:val="17"/>
              </w:rPr>
              <w:t>.</w:t>
            </w:r>
          </w:p>
        </w:tc>
      </w:tr>
      <w:tr w:rsidR="006A28CF" w14:paraId="30EC2500" w14:textId="77777777">
        <w:tc>
          <w:tcPr>
            <w:tcW w:w="2500" w:type="pct"/>
            <w:tcMar>
              <w:top w:w="60" w:type="dxa"/>
              <w:left w:w="90" w:type="dxa"/>
              <w:bottom w:w="60" w:type="dxa"/>
              <w:right w:w="90" w:type="dxa"/>
            </w:tcMar>
          </w:tcPr>
          <w:p w14:paraId="68CFCF1E" w14:textId="77777777" w:rsidR="006A28CF" w:rsidRDefault="00000000">
            <w:r>
              <w:rPr>
                <w:rFonts w:ascii="Calibri" w:eastAsia="Calibri" w:hAnsi="Calibri" w:cs="Calibri"/>
                <w:color w:val="1A1A1A"/>
                <w:sz w:val="17"/>
                <w:szCs w:val="17"/>
              </w:rPr>
              <w:t>« Pretty c. Royaume-Uni 2001 »</w:t>
            </w:r>
          </w:p>
        </w:tc>
        <w:tc>
          <w:tcPr>
            <w:tcW w:w="2500" w:type="pct"/>
            <w:tcMar>
              <w:top w:w="60" w:type="dxa"/>
              <w:left w:w="90" w:type="dxa"/>
              <w:bottom w:w="60" w:type="dxa"/>
              <w:right w:w="90" w:type="dxa"/>
            </w:tcMar>
          </w:tcPr>
          <w:p w14:paraId="0749AFDB" w14:textId="77777777" w:rsidR="006A28CF" w:rsidRDefault="00000000">
            <w:r>
              <w:rPr>
                <w:rFonts w:ascii="Calibri" w:eastAsia="Calibri" w:hAnsi="Calibri" w:cs="Calibri"/>
                <w:color w:val="E91E63"/>
                <w:sz w:val="17"/>
                <w:szCs w:val="17"/>
              </w:rPr>
              <w:t>CEDH, 29 avril 2002, Pretty c. Royaume-Uni, n° 2346/02</w:t>
            </w:r>
            <w:r>
              <w:rPr>
                <w:rFonts w:ascii="Calibri" w:eastAsia="Calibri" w:hAnsi="Calibri" w:cs="Calibri"/>
                <w:color w:val="1A1A1A"/>
                <w:sz w:val="17"/>
                <w:szCs w:val="17"/>
              </w:rPr>
              <w:t>.</w:t>
            </w:r>
          </w:p>
        </w:tc>
      </w:tr>
      <w:tr w:rsidR="006A28CF" w14:paraId="338DEEDB" w14:textId="77777777">
        <w:tc>
          <w:tcPr>
            <w:tcW w:w="2500" w:type="pct"/>
            <w:tcMar>
              <w:top w:w="60" w:type="dxa"/>
              <w:left w:w="90" w:type="dxa"/>
              <w:bottom w:w="60" w:type="dxa"/>
              <w:right w:w="90" w:type="dxa"/>
            </w:tcMar>
          </w:tcPr>
          <w:p w14:paraId="6E542C91" w14:textId="77777777" w:rsidR="006A28CF" w:rsidRDefault="00000000">
            <w:r>
              <w:rPr>
                <w:rFonts w:ascii="Calibri" w:eastAsia="Calibri" w:hAnsi="Calibri" w:cs="Calibri"/>
                <w:color w:val="1A1A1A"/>
                <w:sz w:val="17"/>
                <w:szCs w:val="17"/>
              </w:rPr>
              <w:t>« Préambule de 1956 »</w:t>
            </w:r>
          </w:p>
        </w:tc>
        <w:tc>
          <w:tcPr>
            <w:tcW w:w="2500" w:type="pct"/>
            <w:tcMar>
              <w:top w:w="60" w:type="dxa"/>
              <w:left w:w="90" w:type="dxa"/>
              <w:bottom w:w="60" w:type="dxa"/>
              <w:right w:w="90" w:type="dxa"/>
            </w:tcMar>
          </w:tcPr>
          <w:p w14:paraId="2E3EA007" w14:textId="77777777" w:rsidR="006A28CF" w:rsidRDefault="00000000">
            <w:r>
              <w:rPr>
                <w:rFonts w:ascii="Calibri" w:eastAsia="Calibri" w:hAnsi="Calibri" w:cs="Calibri"/>
                <w:color w:val="1E88E5"/>
                <w:sz w:val="17"/>
                <w:szCs w:val="17"/>
              </w:rPr>
              <w:t>Préambule de 1946</w:t>
            </w:r>
            <w:r>
              <w:rPr>
                <w:rFonts w:ascii="Calibri" w:eastAsia="Calibri" w:hAnsi="Calibri" w:cs="Calibri"/>
                <w:color w:val="1A1A1A"/>
                <w:sz w:val="17"/>
                <w:szCs w:val="17"/>
              </w:rPr>
              <w:t>.</w:t>
            </w:r>
          </w:p>
        </w:tc>
      </w:tr>
      <w:tr w:rsidR="006A28CF" w14:paraId="1C1B8BD9" w14:textId="77777777">
        <w:tc>
          <w:tcPr>
            <w:tcW w:w="2500" w:type="pct"/>
            <w:tcMar>
              <w:top w:w="60" w:type="dxa"/>
              <w:left w:w="90" w:type="dxa"/>
              <w:bottom w:w="60" w:type="dxa"/>
              <w:right w:w="90" w:type="dxa"/>
            </w:tcMar>
          </w:tcPr>
          <w:p w14:paraId="671117E1" w14:textId="77777777" w:rsidR="006A28CF" w:rsidRDefault="00000000">
            <w:r>
              <w:rPr>
                <w:rFonts w:ascii="Calibri" w:eastAsia="Calibri" w:hAnsi="Calibri" w:cs="Calibri"/>
                <w:color w:val="1A1A1A"/>
                <w:sz w:val="17"/>
                <w:szCs w:val="17"/>
              </w:rPr>
              <w:t>« Société 7 machine »</w:t>
            </w:r>
          </w:p>
        </w:tc>
        <w:tc>
          <w:tcPr>
            <w:tcW w:w="2500" w:type="pct"/>
            <w:tcMar>
              <w:top w:w="60" w:type="dxa"/>
              <w:left w:w="90" w:type="dxa"/>
              <w:bottom w:w="60" w:type="dxa"/>
              <w:right w:w="90" w:type="dxa"/>
            </w:tcMar>
          </w:tcPr>
          <w:p w14:paraId="15CE0827" w14:textId="77777777" w:rsidR="006A28CF" w:rsidRDefault="00000000">
            <w:r>
              <w:rPr>
                <w:rFonts w:ascii="Calibri" w:eastAsia="Calibri" w:hAnsi="Calibri" w:cs="Calibri"/>
                <w:color w:val="1A1A1A"/>
                <w:sz w:val="17"/>
                <w:szCs w:val="17"/>
              </w:rPr>
              <w:t>Société Z Machine.</w:t>
            </w:r>
          </w:p>
        </w:tc>
      </w:tr>
      <w:tr w:rsidR="006A28CF" w14:paraId="0B579752" w14:textId="77777777">
        <w:tc>
          <w:tcPr>
            <w:tcW w:w="2500" w:type="pct"/>
            <w:tcMar>
              <w:top w:w="60" w:type="dxa"/>
              <w:left w:w="90" w:type="dxa"/>
              <w:bottom w:w="60" w:type="dxa"/>
              <w:right w:w="90" w:type="dxa"/>
            </w:tcMar>
          </w:tcPr>
          <w:p w14:paraId="67D0C8D7" w14:textId="77777777" w:rsidR="006A28CF" w:rsidRDefault="00000000">
            <w:r>
              <w:rPr>
                <w:rFonts w:ascii="Calibri" w:eastAsia="Calibri" w:hAnsi="Calibri" w:cs="Calibri"/>
                <w:color w:val="1A1A1A"/>
                <w:sz w:val="17"/>
                <w:szCs w:val="17"/>
              </w:rPr>
              <w:t>« Référé-liberté »</w:t>
            </w:r>
          </w:p>
        </w:tc>
        <w:tc>
          <w:tcPr>
            <w:tcW w:w="2500" w:type="pct"/>
            <w:tcMar>
              <w:top w:w="60" w:type="dxa"/>
              <w:left w:w="90" w:type="dxa"/>
              <w:bottom w:w="60" w:type="dxa"/>
              <w:right w:w="90" w:type="dxa"/>
            </w:tcMar>
          </w:tcPr>
          <w:p w14:paraId="4FB5C51C" w14:textId="77777777" w:rsidR="006A28CF" w:rsidRDefault="00000000">
            <w:r>
              <w:rPr>
                <w:rFonts w:ascii="Calibri" w:eastAsia="Calibri" w:hAnsi="Calibri" w:cs="Calibri"/>
                <w:color w:val="1A1A1A"/>
                <w:sz w:val="17"/>
                <w:szCs w:val="17"/>
              </w:rPr>
              <w:t xml:space="preserve">Référé-suspension, </w:t>
            </w:r>
            <w:r>
              <w:rPr>
                <w:rFonts w:ascii="Calibri" w:eastAsia="Calibri" w:hAnsi="Calibri" w:cs="Calibri"/>
                <w:color w:val="1E88E5"/>
                <w:sz w:val="17"/>
                <w:szCs w:val="17"/>
              </w:rPr>
              <w:t>art. L. 521-1 CJA</w:t>
            </w:r>
            <w:r>
              <w:rPr>
                <w:rFonts w:ascii="Calibri" w:eastAsia="Calibri" w:hAnsi="Calibri" w:cs="Calibri"/>
                <w:color w:val="1A1A1A"/>
                <w:sz w:val="17"/>
                <w:szCs w:val="17"/>
              </w:rPr>
              <w:t>.</w:t>
            </w:r>
          </w:p>
        </w:tc>
      </w:tr>
      <w:tr w:rsidR="006A28CF" w14:paraId="145ED540" w14:textId="77777777">
        <w:tc>
          <w:tcPr>
            <w:tcW w:w="2500" w:type="pct"/>
            <w:tcMar>
              <w:top w:w="60" w:type="dxa"/>
              <w:left w:w="90" w:type="dxa"/>
              <w:bottom w:w="60" w:type="dxa"/>
              <w:right w:w="90" w:type="dxa"/>
            </w:tcMar>
          </w:tcPr>
          <w:p w14:paraId="3A54D797" w14:textId="77777777" w:rsidR="006A28CF" w:rsidRDefault="00000000">
            <w:r>
              <w:rPr>
                <w:rFonts w:ascii="Calibri" w:eastAsia="Calibri" w:hAnsi="Calibri" w:cs="Calibri"/>
                <w:color w:val="1A1A1A"/>
                <w:sz w:val="17"/>
                <w:szCs w:val="17"/>
              </w:rPr>
              <w:t>« Article 8 de la Charte des droits fondamentaux = vie privée »</w:t>
            </w:r>
          </w:p>
        </w:tc>
        <w:tc>
          <w:tcPr>
            <w:tcW w:w="2500" w:type="pct"/>
            <w:tcMar>
              <w:top w:w="60" w:type="dxa"/>
              <w:left w:w="90" w:type="dxa"/>
              <w:bottom w:w="60" w:type="dxa"/>
              <w:right w:w="90" w:type="dxa"/>
            </w:tcMar>
          </w:tcPr>
          <w:p w14:paraId="63DF9B89" w14:textId="77777777" w:rsidR="006A28CF" w:rsidRDefault="00000000">
            <w:r>
              <w:rPr>
                <w:rFonts w:ascii="Calibri" w:eastAsia="Calibri" w:hAnsi="Calibri" w:cs="Calibri"/>
                <w:color w:val="1E88E5"/>
                <w:sz w:val="17"/>
                <w:szCs w:val="17"/>
              </w:rPr>
              <w:t>Art. 7 CDFUE</w:t>
            </w:r>
            <w:r>
              <w:rPr>
                <w:rFonts w:ascii="Calibri" w:eastAsia="Calibri" w:hAnsi="Calibri" w:cs="Calibri"/>
                <w:color w:val="1A1A1A"/>
                <w:sz w:val="17"/>
                <w:szCs w:val="17"/>
              </w:rPr>
              <w:t xml:space="preserve"> (l’article 8 protège les données personnelles).</w:t>
            </w:r>
          </w:p>
        </w:tc>
      </w:tr>
      <w:tr w:rsidR="006A28CF" w14:paraId="6359C1CC" w14:textId="77777777">
        <w:tc>
          <w:tcPr>
            <w:tcW w:w="2500" w:type="pct"/>
            <w:tcMar>
              <w:top w:w="60" w:type="dxa"/>
              <w:left w:w="90" w:type="dxa"/>
              <w:bottom w:w="60" w:type="dxa"/>
              <w:right w:w="90" w:type="dxa"/>
            </w:tcMar>
          </w:tcPr>
          <w:p w14:paraId="1527C31B" w14:textId="77777777" w:rsidR="006A28CF" w:rsidRDefault="00000000">
            <w:r>
              <w:rPr>
                <w:rFonts w:ascii="Calibri" w:eastAsia="Calibri" w:hAnsi="Calibri" w:cs="Calibri"/>
                <w:color w:val="1A1A1A"/>
                <w:sz w:val="17"/>
                <w:szCs w:val="17"/>
              </w:rPr>
              <w:t>« Article 1 DUDH : la dignité humaine est inviolable »</w:t>
            </w:r>
          </w:p>
        </w:tc>
        <w:tc>
          <w:tcPr>
            <w:tcW w:w="2500" w:type="pct"/>
            <w:tcMar>
              <w:top w:w="60" w:type="dxa"/>
              <w:left w:w="90" w:type="dxa"/>
              <w:bottom w:w="60" w:type="dxa"/>
              <w:right w:w="90" w:type="dxa"/>
            </w:tcMar>
          </w:tcPr>
          <w:p w14:paraId="3174A7E5" w14:textId="77777777" w:rsidR="006A28CF" w:rsidRDefault="00000000">
            <w:r>
              <w:rPr>
                <w:rFonts w:ascii="Calibri" w:eastAsia="Calibri" w:hAnsi="Calibri" w:cs="Calibri"/>
                <w:color w:val="1A1A1A"/>
                <w:sz w:val="17"/>
                <w:szCs w:val="17"/>
              </w:rPr>
              <w:t>C’est l’</w:t>
            </w:r>
            <w:r>
              <w:rPr>
                <w:rFonts w:ascii="Calibri" w:eastAsia="Calibri" w:hAnsi="Calibri" w:cs="Calibri"/>
                <w:color w:val="1E88E5"/>
                <w:sz w:val="17"/>
                <w:szCs w:val="17"/>
              </w:rPr>
              <w:t>art. 1er CDFUE</w:t>
            </w:r>
            <w:r>
              <w:rPr>
                <w:rFonts w:ascii="Calibri" w:eastAsia="Calibri" w:hAnsi="Calibri" w:cs="Calibri"/>
                <w:color w:val="1A1A1A"/>
                <w:sz w:val="17"/>
                <w:szCs w:val="17"/>
              </w:rPr>
              <w:t>. L’</w:t>
            </w:r>
            <w:r>
              <w:rPr>
                <w:rFonts w:ascii="Calibri" w:eastAsia="Calibri" w:hAnsi="Calibri" w:cs="Calibri"/>
                <w:color w:val="1E88E5"/>
                <w:sz w:val="17"/>
                <w:szCs w:val="17"/>
              </w:rPr>
              <w:t>art. 1er DUDH</w:t>
            </w:r>
            <w:r>
              <w:rPr>
                <w:rFonts w:ascii="Calibri" w:eastAsia="Calibri" w:hAnsi="Calibri" w:cs="Calibri"/>
                <w:color w:val="1A1A1A"/>
                <w:sz w:val="17"/>
                <w:szCs w:val="17"/>
              </w:rPr>
              <w:t xml:space="preserve"> dit : « Tous les êtres humains naissent libres et égaux en dignité et en droits ».</w:t>
            </w:r>
          </w:p>
        </w:tc>
      </w:tr>
      <w:tr w:rsidR="006A28CF" w14:paraId="44401302" w14:textId="77777777">
        <w:tc>
          <w:tcPr>
            <w:tcW w:w="2500" w:type="pct"/>
            <w:tcMar>
              <w:top w:w="60" w:type="dxa"/>
              <w:left w:w="90" w:type="dxa"/>
              <w:bottom w:w="60" w:type="dxa"/>
              <w:right w:w="90" w:type="dxa"/>
            </w:tcMar>
          </w:tcPr>
          <w:p w14:paraId="056CA580" w14:textId="77777777" w:rsidR="006A28CF" w:rsidRDefault="00000000">
            <w:r>
              <w:rPr>
                <w:rFonts w:ascii="Calibri" w:eastAsia="Calibri" w:hAnsi="Calibri" w:cs="Calibri"/>
                <w:color w:val="1A1A1A"/>
                <w:sz w:val="17"/>
                <w:szCs w:val="17"/>
              </w:rPr>
              <w:t>« Déféré préfectoral » ; « police spéciale du préfet »</w:t>
            </w:r>
          </w:p>
        </w:tc>
        <w:tc>
          <w:tcPr>
            <w:tcW w:w="2500" w:type="pct"/>
            <w:tcMar>
              <w:top w:w="60" w:type="dxa"/>
              <w:left w:w="90" w:type="dxa"/>
              <w:bottom w:w="60" w:type="dxa"/>
              <w:right w:w="90" w:type="dxa"/>
            </w:tcMar>
          </w:tcPr>
          <w:p w14:paraId="3415D2AD" w14:textId="77777777" w:rsidR="006A28CF" w:rsidRDefault="00000000">
            <w:r>
              <w:rPr>
                <w:rFonts w:ascii="Calibri" w:eastAsia="Calibri" w:hAnsi="Calibri" w:cs="Calibri"/>
                <w:color w:val="1A1A1A"/>
                <w:sz w:val="17"/>
                <w:szCs w:val="17"/>
              </w:rPr>
              <w:t>Le préfet de police agit comme autorité de police municipale de Paris (</w:t>
            </w:r>
            <w:r>
              <w:rPr>
                <w:rFonts w:ascii="Calibri" w:eastAsia="Calibri" w:hAnsi="Calibri" w:cs="Calibri"/>
                <w:color w:val="1E88E5"/>
                <w:sz w:val="17"/>
                <w:szCs w:val="17"/>
              </w:rPr>
              <w:t>art. L. 2512-13 CGCT</w:t>
            </w:r>
            <w:r>
              <w:rPr>
                <w:rFonts w:ascii="Calibri" w:eastAsia="Calibri" w:hAnsi="Calibri" w:cs="Calibri"/>
                <w:color w:val="1A1A1A"/>
                <w:sz w:val="17"/>
                <w:szCs w:val="17"/>
              </w:rPr>
              <w:t>), au titre de la police générale.</w:t>
            </w:r>
          </w:p>
        </w:tc>
      </w:tr>
      <w:tr w:rsidR="006A28CF" w14:paraId="1FC4C553" w14:textId="77777777">
        <w:tc>
          <w:tcPr>
            <w:tcW w:w="2500" w:type="pct"/>
            <w:tcMar>
              <w:top w:w="60" w:type="dxa"/>
              <w:left w:w="90" w:type="dxa"/>
              <w:bottom w:w="60" w:type="dxa"/>
              <w:right w:w="90" w:type="dxa"/>
            </w:tcMar>
          </w:tcPr>
          <w:p w14:paraId="69261D99" w14:textId="77777777" w:rsidR="006A28CF" w:rsidRDefault="00000000">
            <w:r>
              <w:rPr>
                <w:rFonts w:ascii="Calibri" w:eastAsia="Calibri" w:hAnsi="Calibri" w:cs="Calibri"/>
                <w:color w:val="1A1A1A"/>
                <w:sz w:val="17"/>
                <w:szCs w:val="17"/>
              </w:rPr>
              <w:t>Contradictoire fondé sur l’« art. 6 CEDH »</w:t>
            </w:r>
          </w:p>
        </w:tc>
        <w:tc>
          <w:tcPr>
            <w:tcW w:w="2500" w:type="pct"/>
            <w:tcMar>
              <w:top w:w="60" w:type="dxa"/>
              <w:left w:w="90" w:type="dxa"/>
              <w:bottom w:w="60" w:type="dxa"/>
              <w:right w:w="90" w:type="dxa"/>
            </w:tcMar>
          </w:tcPr>
          <w:p w14:paraId="764A69AB" w14:textId="77777777" w:rsidR="006A28CF" w:rsidRDefault="00000000">
            <w:r>
              <w:rPr>
                <w:rFonts w:ascii="Calibri" w:eastAsia="Calibri" w:hAnsi="Calibri" w:cs="Calibri"/>
                <w:color w:val="1E88E5"/>
                <w:sz w:val="17"/>
                <w:szCs w:val="17"/>
              </w:rPr>
              <w:t>Art. L. 121-1 et L. 122-1 CRPA</w:t>
            </w:r>
            <w:r>
              <w:rPr>
                <w:rFonts w:ascii="Calibri" w:eastAsia="Calibri" w:hAnsi="Calibri" w:cs="Calibri"/>
                <w:color w:val="1A1A1A"/>
                <w:sz w:val="17"/>
                <w:szCs w:val="17"/>
              </w:rPr>
              <w:t xml:space="preserve"> (procédure contradictoire préalable).</w:t>
            </w:r>
          </w:p>
        </w:tc>
      </w:tr>
      <w:tr w:rsidR="006A28CF" w14:paraId="24DD581D" w14:textId="77777777">
        <w:tc>
          <w:tcPr>
            <w:tcW w:w="2500" w:type="pct"/>
            <w:tcMar>
              <w:top w:w="60" w:type="dxa"/>
              <w:left w:w="90" w:type="dxa"/>
              <w:bottom w:w="60" w:type="dxa"/>
              <w:right w:w="90" w:type="dxa"/>
            </w:tcMar>
          </w:tcPr>
          <w:p w14:paraId="5AD2D2E6" w14:textId="77777777" w:rsidR="006A28CF" w:rsidRDefault="00000000">
            <w:r>
              <w:rPr>
                <w:rFonts w:ascii="Calibri" w:eastAsia="Calibri" w:hAnsi="Calibri" w:cs="Calibri"/>
                <w:color w:val="1A1A1A"/>
                <w:sz w:val="17"/>
                <w:szCs w:val="17"/>
              </w:rPr>
              <w:t>« K.A. et A.D. fait primer la liberté individuelle »</w:t>
            </w:r>
          </w:p>
        </w:tc>
        <w:tc>
          <w:tcPr>
            <w:tcW w:w="2500" w:type="pct"/>
            <w:tcMar>
              <w:top w:w="60" w:type="dxa"/>
              <w:left w:w="90" w:type="dxa"/>
              <w:bottom w:w="60" w:type="dxa"/>
              <w:right w:w="90" w:type="dxa"/>
            </w:tcMar>
          </w:tcPr>
          <w:p w14:paraId="64F1A1E9" w14:textId="77777777" w:rsidR="006A28CF" w:rsidRDefault="00000000">
            <w:r>
              <w:rPr>
                <w:rFonts w:ascii="Calibri" w:eastAsia="Calibri" w:hAnsi="Calibri" w:cs="Calibri"/>
                <w:color w:val="1A1A1A"/>
                <w:sz w:val="17"/>
                <w:szCs w:val="17"/>
              </w:rPr>
              <w:t>Non-violation de l’</w:t>
            </w:r>
            <w:r>
              <w:rPr>
                <w:rFonts w:ascii="Calibri" w:eastAsia="Calibri" w:hAnsi="Calibri" w:cs="Calibri"/>
                <w:color w:val="1E88E5"/>
                <w:sz w:val="17"/>
                <w:szCs w:val="17"/>
              </w:rPr>
              <w:t>art. 8</w:t>
            </w:r>
            <w:r>
              <w:rPr>
                <w:rFonts w:ascii="Calibri" w:eastAsia="Calibri" w:hAnsi="Calibri" w:cs="Calibri"/>
                <w:color w:val="1A1A1A"/>
                <w:sz w:val="17"/>
                <w:szCs w:val="17"/>
              </w:rPr>
              <w:t xml:space="preserve"> : la Cour admet la répression lorsque le consentement n’est plus respecté.</w:t>
            </w:r>
          </w:p>
        </w:tc>
      </w:tr>
      <w:tr w:rsidR="006A28CF" w14:paraId="16E30043" w14:textId="77777777">
        <w:tc>
          <w:tcPr>
            <w:tcW w:w="2500" w:type="pct"/>
            <w:tcMar>
              <w:top w:w="60" w:type="dxa"/>
              <w:left w:w="90" w:type="dxa"/>
              <w:bottom w:w="60" w:type="dxa"/>
              <w:right w:w="90" w:type="dxa"/>
            </w:tcMar>
          </w:tcPr>
          <w:p w14:paraId="5A8A1CA9" w14:textId="77777777" w:rsidR="006A28CF" w:rsidRDefault="00000000">
            <w:r>
              <w:rPr>
                <w:rFonts w:ascii="Calibri" w:eastAsia="Calibri" w:hAnsi="Calibri" w:cs="Calibri"/>
                <w:color w:val="1A1A1A"/>
                <w:sz w:val="17"/>
                <w:szCs w:val="17"/>
              </w:rPr>
              <w:t>Prévention des infractions tirée de Morsang</w:t>
            </w:r>
          </w:p>
        </w:tc>
        <w:tc>
          <w:tcPr>
            <w:tcW w:w="2500" w:type="pct"/>
            <w:tcMar>
              <w:top w:w="60" w:type="dxa"/>
              <w:left w:w="90" w:type="dxa"/>
              <w:bottom w:w="60" w:type="dxa"/>
              <w:right w:w="90" w:type="dxa"/>
            </w:tcMar>
          </w:tcPr>
          <w:p w14:paraId="7F7A6E36" w14:textId="77777777" w:rsidR="006A28CF" w:rsidRDefault="00000000">
            <w:r>
              <w:rPr>
                <w:rFonts w:ascii="Calibri" w:eastAsia="Calibri" w:hAnsi="Calibri" w:cs="Calibri"/>
                <w:color w:val="E91E63"/>
                <w:sz w:val="17"/>
                <w:szCs w:val="17"/>
              </w:rPr>
              <w:t>CE, ord., 9 janvier 2014, Dieudonné</w:t>
            </w:r>
            <w:r>
              <w:rPr>
                <w:rFonts w:ascii="Calibri" w:eastAsia="Calibri" w:hAnsi="Calibri" w:cs="Calibri"/>
                <w:color w:val="1A1A1A"/>
                <w:sz w:val="17"/>
                <w:szCs w:val="17"/>
              </w:rPr>
              <w:t>.</w:t>
            </w:r>
          </w:p>
        </w:tc>
      </w:tr>
      <w:tr w:rsidR="006A28CF" w14:paraId="1289DC01" w14:textId="77777777">
        <w:tc>
          <w:tcPr>
            <w:tcW w:w="2500" w:type="pct"/>
            <w:tcMar>
              <w:top w:w="60" w:type="dxa"/>
              <w:left w:w="90" w:type="dxa"/>
              <w:bottom w:w="60" w:type="dxa"/>
              <w:right w:w="90" w:type="dxa"/>
            </w:tcMar>
          </w:tcPr>
          <w:p w14:paraId="1D8DBA5F" w14:textId="77777777" w:rsidR="006A28CF" w:rsidRDefault="00000000">
            <w:r>
              <w:rPr>
                <w:rFonts w:ascii="Calibri" w:eastAsia="Calibri" w:hAnsi="Calibri" w:cs="Calibri"/>
                <w:color w:val="1A1A1A"/>
                <w:sz w:val="17"/>
                <w:szCs w:val="17"/>
              </w:rPr>
              <w:t>« Consentement révocable à tout moment »</w:t>
            </w:r>
          </w:p>
        </w:tc>
        <w:tc>
          <w:tcPr>
            <w:tcW w:w="2500" w:type="pct"/>
            <w:tcMar>
              <w:top w:w="60" w:type="dxa"/>
              <w:left w:w="90" w:type="dxa"/>
              <w:bottom w:w="60" w:type="dxa"/>
              <w:right w:w="90" w:type="dxa"/>
            </w:tcMar>
          </w:tcPr>
          <w:p w14:paraId="6133928B" w14:textId="77777777" w:rsidR="006A28CF" w:rsidRDefault="00000000">
            <w:r>
              <w:rPr>
                <w:rFonts w:ascii="Calibri" w:eastAsia="Calibri" w:hAnsi="Calibri" w:cs="Calibri"/>
                <w:color w:val="1A1A1A"/>
                <w:sz w:val="17"/>
                <w:szCs w:val="17"/>
              </w:rPr>
              <w:t>Le texte dit « libre, éclairé et révocable » (points 8 et 13) ; « à tout moment » vient de l’ordonnance du tribunal.</w:t>
            </w:r>
          </w:p>
        </w:tc>
      </w:tr>
      <w:tr w:rsidR="006A28CF" w14:paraId="63A825CB" w14:textId="77777777">
        <w:tc>
          <w:tcPr>
            <w:tcW w:w="2500" w:type="pct"/>
            <w:tcMar>
              <w:top w:w="60" w:type="dxa"/>
              <w:left w:w="90" w:type="dxa"/>
              <w:bottom w:w="60" w:type="dxa"/>
              <w:right w:w="90" w:type="dxa"/>
            </w:tcMar>
          </w:tcPr>
          <w:p w14:paraId="4DC9CF5B" w14:textId="77777777" w:rsidR="006A28CF" w:rsidRDefault="00000000">
            <w:r>
              <w:rPr>
                <w:rFonts w:ascii="Calibri" w:eastAsia="Calibri" w:hAnsi="Calibri" w:cs="Calibri"/>
                <w:color w:val="1A1A1A"/>
                <w:sz w:val="17"/>
                <w:szCs w:val="17"/>
              </w:rPr>
              <w:t xml:space="preserve">« </w:t>
            </w:r>
            <w:proofErr w:type="spellStart"/>
            <w:r>
              <w:rPr>
                <w:rFonts w:ascii="Calibri" w:eastAsia="Calibri" w:hAnsi="Calibri" w:cs="Calibri"/>
                <w:color w:val="1A1A1A"/>
                <w:sz w:val="17"/>
                <w:szCs w:val="17"/>
              </w:rPr>
              <w:t>Baccaria</w:t>
            </w:r>
            <w:proofErr w:type="spellEnd"/>
            <w:r>
              <w:rPr>
                <w:rFonts w:ascii="Calibri" w:eastAsia="Calibri" w:hAnsi="Calibri" w:cs="Calibri"/>
                <w:color w:val="1A1A1A"/>
                <w:sz w:val="17"/>
                <w:szCs w:val="17"/>
              </w:rPr>
              <w:t xml:space="preserve"> »</w:t>
            </w:r>
          </w:p>
        </w:tc>
        <w:tc>
          <w:tcPr>
            <w:tcW w:w="2500" w:type="pct"/>
            <w:tcMar>
              <w:top w:w="60" w:type="dxa"/>
              <w:left w:w="90" w:type="dxa"/>
              <w:bottom w:w="60" w:type="dxa"/>
              <w:right w:w="90" w:type="dxa"/>
            </w:tcMar>
          </w:tcPr>
          <w:p w14:paraId="5224AA5A" w14:textId="77777777" w:rsidR="006A28CF" w:rsidRDefault="00000000">
            <w:r>
              <w:rPr>
                <w:rFonts w:ascii="Calibri" w:eastAsia="Calibri" w:hAnsi="Calibri" w:cs="Calibri"/>
                <w:color w:val="2E7D32"/>
                <w:sz w:val="17"/>
                <w:szCs w:val="17"/>
              </w:rPr>
              <w:t>Beccaria</w:t>
            </w:r>
            <w:r>
              <w:rPr>
                <w:rFonts w:ascii="Calibri" w:eastAsia="Calibri" w:hAnsi="Calibri" w:cs="Calibri"/>
                <w:color w:val="1A1A1A"/>
                <w:sz w:val="17"/>
                <w:szCs w:val="17"/>
              </w:rPr>
              <w:t xml:space="preserve">, </w:t>
            </w:r>
            <w:r>
              <w:rPr>
                <w:rFonts w:ascii="Calibri" w:eastAsia="Calibri" w:hAnsi="Calibri" w:cs="Calibri"/>
                <w:color w:val="2E7D32"/>
                <w:sz w:val="17"/>
                <w:szCs w:val="17"/>
              </w:rPr>
              <w:t>Des délits et des peines</w:t>
            </w:r>
            <w:r>
              <w:rPr>
                <w:rFonts w:ascii="Calibri" w:eastAsia="Calibri" w:hAnsi="Calibri" w:cs="Calibri"/>
                <w:color w:val="1A1A1A"/>
                <w:sz w:val="17"/>
                <w:szCs w:val="17"/>
              </w:rPr>
              <w:t xml:space="preserve"> (1764).</w:t>
            </w:r>
          </w:p>
        </w:tc>
      </w:tr>
    </w:tbl>
    <w:p w14:paraId="44BEDA8D" w14:textId="77777777" w:rsidR="006A28CF" w:rsidRDefault="006A28CF">
      <w:pPr>
        <w:spacing w:after="120"/>
      </w:pPr>
    </w:p>
    <w:p w14:paraId="68D32C16" w14:textId="77777777" w:rsidR="006A28CF" w:rsidRDefault="00000000">
      <w:pPr>
        <w:pStyle w:val="Titre2"/>
        <w:spacing w:before="260" w:after="110"/>
      </w:pPr>
      <w:r>
        <w:rPr>
          <w:rFonts w:ascii="Calibri" w:eastAsia="Calibri" w:hAnsi="Calibri" w:cs="Calibri"/>
          <w:b/>
          <w:bCs/>
          <w:color w:val="1A1A1A"/>
          <w:spacing w:val="16"/>
          <w:sz w:val="23"/>
          <w:szCs w:val="23"/>
        </w:rPr>
        <w:t>1.3. Dans la doctrine en ligne</w:t>
      </w:r>
    </w:p>
    <w:p w14:paraId="084F322B" w14:textId="77777777" w:rsidR="006A28CF" w:rsidRDefault="00000000">
      <w:pPr>
        <w:spacing w:after="90" w:line="264" w:lineRule="auto"/>
        <w:jc w:val="both"/>
      </w:pPr>
      <w:r>
        <w:rPr>
          <w:rFonts w:ascii="Calibri" w:eastAsia="Calibri" w:hAnsi="Calibri" w:cs="Calibri"/>
          <w:color w:val="1A1A1A"/>
        </w:rPr>
        <w:t xml:space="preserve">Un commentaire publié au </w:t>
      </w:r>
      <w:r>
        <w:rPr>
          <w:rFonts w:ascii="Calibri" w:eastAsia="Calibri" w:hAnsi="Calibri" w:cs="Calibri"/>
          <w:color w:val="2E7D32"/>
        </w:rPr>
        <w:t>Village de la Justice</w:t>
      </w:r>
      <w:r>
        <w:rPr>
          <w:rFonts w:ascii="Calibri" w:eastAsia="Calibri" w:hAnsi="Calibri" w:cs="Calibri"/>
          <w:color w:val="1A1A1A"/>
        </w:rPr>
        <w:t xml:space="preserve"> présente </w:t>
      </w:r>
      <w:r>
        <w:rPr>
          <w:rFonts w:ascii="Calibri" w:eastAsia="Calibri" w:hAnsi="Calibri" w:cs="Calibri"/>
          <w:color w:val="E91E63"/>
        </w:rPr>
        <w:t>Laskey, Jaggard et Brown c. Royaume-Uni</w:t>
      </w:r>
      <w:r>
        <w:rPr>
          <w:rFonts w:ascii="Calibri" w:eastAsia="Calibri" w:hAnsi="Calibri" w:cs="Calibri"/>
          <w:color w:val="1A1A1A"/>
        </w:rPr>
        <w:t xml:space="preserve"> (1997) comme protégeant « les pratiques sexuelles alternatives librement consenties ». C’est inexact : la Cour a conclu à la non-violation de l’</w:t>
      </w:r>
      <w:r>
        <w:rPr>
          <w:rFonts w:ascii="Calibri" w:eastAsia="Calibri" w:hAnsi="Calibri" w:cs="Calibri"/>
          <w:color w:val="1E88E5"/>
        </w:rPr>
        <w:t>article 8</w:t>
      </w:r>
      <w:r>
        <w:rPr>
          <w:rFonts w:ascii="Calibri" w:eastAsia="Calibri" w:hAnsi="Calibri" w:cs="Calibri"/>
          <w:color w:val="1A1A1A"/>
        </w:rPr>
        <w:t>, l’État pouvant réprimer des lésions corporelles infligées avec le consentement des intéressés.</w:t>
      </w:r>
    </w:p>
    <w:p w14:paraId="61445DDB" w14:textId="77777777" w:rsidR="006A28CF" w:rsidRDefault="00000000">
      <w:pPr>
        <w:pStyle w:val="Titre1"/>
        <w:pBdr>
          <w:bottom w:val="single" w:sz="12" w:space="6" w:color="8C1C2B"/>
        </w:pBdr>
        <w:spacing w:before="260" w:after="90"/>
      </w:pPr>
      <w:r>
        <w:rPr>
          <w:rFonts w:ascii="Calibri" w:eastAsia="Calibri" w:hAnsi="Calibri" w:cs="Calibri"/>
          <w:b/>
          <w:bCs/>
          <w:color w:val="8C1C2B"/>
          <w:sz w:val="28"/>
          <w:szCs w:val="28"/>
        </w:rPr>
        <w:t>2. KIT ORAL</w:t>
      </w:r>
    </w:p>
    <w:p w14:paraId="16D18A48" w14:textId="77777777" w:rsidR="006A28CF" w:rsidRDefault="00000000">
      <w:pPr>
        <w:pStyle w:val="Titre2"/>
        <w:spacing w:before="260" w:after="110"/>
      </w:pPr>
      <w:r>
        <w:rPr>
          <w:rFonts w:ascii="Calibri" w:eastAsia="Calibri" w:hAnsi="Calibri" w:cs="Calibri"/>
          <w:b/>
          <w:bCs/>
          <w:color w:val="1A1A1A"/>
          <w:spacing w:val="16"/>
          <w:sz w:val="23"/>
          <w:szCs w:val="23"/>
        </w:rPr>
        <w:t>2.1. Trois accroches</w:t>
      </w:r>
    </w:p>
    <w:p w14:paraId="7FB298F6"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Le nain et la rue d’Alleray</w:t>
      </w:r>
      <w:r>
        <w:rPr>
          <w:rFonts w:ascii="Calibri" w:eastAsia="Calibri" w:hAnsi="Calibri" w:cs="Calibri"/>
          <w:color w:val="1A1A1A"/>
        </w:rPr>
        <w:t xml:space="preserve"> : « En 1995, Manuel Wackenheim voulait continuer à être lancé ; en 2026, des femmes affirmaient consentir “à ne pas consentir”. La réponse du Conseil d’État n’a pas changé : la dignité ne se négocie pas. »</w:t>
      </w:r>
    </w:p>
    <w:p w14:paraId="01A3070A"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Baldy</w:t>
      </w:r>
      <w:r>
        <w:rPr>
          <w:rFonts w:ascii="Calibri" w:eastAsia="Calibri" w:hAnsi="Calibri" w:cs="Calibri"/>
          <w:color w:val="1A1A1A"/>
        </w:rPr>
        <w:t xml:space="preserve"> : « “La liberté est la règle, la restriction de police l’exception”, concluait le commissaire du gouvernement Corneille en 1917. En 2026, l’exception l’emporte, et c’est la dignité qui la justifie. »</w:t>
      </w:r>
    </w:p>
    <w:p w14:paraId="6651ACDF"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Le paradoxe</w:t>
      </w:r>
      <w:r>
        <w:rPr>
          <w:rFonts w:ascii="Calibri" w:eastAsia="Calibri" w:hAnsi="Calibri" w:cs="Calibri"/>
          <w:color w:val="1A1A1A"/>
        </w:rPr>
        <w:t xml:space="preserve"> : « Le même mot, consentement, est à la fois écarté et exigé dans la même décision. »</w:t>
      </w:r>
    </w:p>
    <w:p w14:paraId="6661E796" w14:textId="77777777" w:rsidR="006A28CF" w:rsidRDefault="00000000">
      <w:pPr>
        <w:pStyle w:val="Titre2"/>
        <w:spacing w:before="260" w:after="110"/>
      </w:pPr>
      <w:r>
        <w:rPr>
          <w:rFonts w:ascii="Calibri" w:eastAsia="Calibri" w:hAnsi="Calibri" w:cs="Calibri"/>
          <w:b/>
          <w:bCs/>
          <w:color w:val="1A1A1A"/>
          <w:spacing w:val="16"/>
          <w:sz w:val="23"/>
          <w:szCs w:val="23"/>
        </w:rPr>
        <w:t>2.2. Cinq citations à savoir restituer</w:t>
      </w:r>
    </w:p>
    <w:p w14:paraId="54FE6578" w14:textId="77777777" w:rsidR="006A28CF" w:rsidRDefault="00000000">
      <w:pPr>
        <w:pStyle w:val="Paragraphedeliste"/>
        <w:numPr>
          <w:ilvl w:val="0"/>
          <w:numId w:val="2"/>
        </w:numPr>
        <w:spacing w:after="70" w:line="264" w:lineRule="auto"/>
        <w:jc w:val="both"/>
      </w:pPr>
      <w:r>
        <w:rPr>
          <w:rFonts w:ascii="Calibri" w:eastAsia="Calibri" w:hAnsi="Calibri" w:cs="Calibri"/>
          <w:color w:val="1E88E5"/>
        </w:rPr>
        <w:t>Art. 4 DDHC</w:t>
      </w:r>
      <w:r>
        <w:rPr>
          <w:rFonts w:ascii="Calibri" w:eastAsia="Calibri" w:hAnsi="Calibri" w:cs="Calibri"/>
          <w:color w:val="1A1A1A"/>
        </w:rPr>
        <w:t xml:space="preserve"> : « La liberté consiste à pouvoir faire tout ce qui ne nuit pas à autrui. »</w:t>
      </w:r>
    </w:p>
    <w:p w14:paraId="3E878FB9" w14:textId="77777777" w:rsidR="006A28CF" w:rsidRDefault="00000000">
      <w:pPr>
        <w:pStyle w:val="Paragraphedeliste"/>
        <w:numPr>
          <w:ilvl w:val="0"/>
          <w:numId w:val="2"/>
        </w:numPr>
        <w:spacing w:after="70" w:line="264" w:lineRule="auto"/>
        <w:jc w:val="both"/>
      </w:pPr>
      <w:r>
        <w:rPr>
          <w:rFonts w:ascii="Calibri" w:eastAsia="Calibri" w:hAnsi="Calibri" w:cs="Calibri"/>
          <w:color w:val="E91E63"/>
        </w:rPr>
        <w:t>Morsang-sur-Orge</w:t>
      </w:r>
      <w:r>
        <w:rPr>
          <w:rFonts w:ascii="Calibri" w:eastAsia="Calibri" w:hAnsi="Calibri" w:cs="Calibri"/>
          <w:color w:val="1A1A1A"/>
        </w:rPr>
        <w:t xml:space="preserve"> : l’attraction, « par son objet même », porte atteinte à la dignité de la personne humaine.</w:t>
      </w:r>
    </w:p>
    <w:p w14:paraId="71A191F5" w14:textId="77777777" w:rsidR="006A28CF" w:rsidRDefault="00000000">
      <w:pPr>
        <w:pStyle w:val="Paragraphedeliste"/>
        <w:numPr>
          <w:ilvl w:val="0"/>
          <w:numId w:val="2"/>
        </w:numPr>
        <w:spacing w:after="70" w:line="264" w:lineRule="auto"/>
        <w:jc w:val="both"/>
      </w:pPr>
      <w:r>
        <w:rPr>
          <w:rFonts w:ascii="Calibri" w:eastAsia="Calibri" w:hAnsi="Calibri" w:cs="Calibri"/>
          <w:color w:val="2E7D32"/>
        </w:rPr>
        <w:t>Kant</w:t>
      </w:r>
      <w:r>
        <w:rPr>
          <w:rFonts w:ascii="Calibri" w:eastAsia="Calibri" w:hAnsi="Calibri" w:cs="Calibri"/>
          <w:color w:val="1A1A1A"/>
        </w:rPr>
        <w:t xml:space="preserve">, </w:t>
      </w:r>
      <w:r>
        <w:rPr>
          <w:rFonts w:ascii="Calibri" w:eastAsia="Calibri" w:hAnsi="Calibri" w:cs="Calibri"/>
          <w:color w:val="2E7D32"/>
        </w:rPr>
        <w:t>Fondements de la métaphysique des mœurs</w:t>
      </w:r>
      <w:r>
        <w:rPr>
          <w:rFonts w:ascii="Calibri" w:eastAsia="Calibri" w:hAnsi="Calibri" w:cs="Calibri"/>
          <w:color w:val="1A1A1A"/>
        </w:rPr>
        <w:t xml:space="preserve"> (1785) : « Agis de telle sorte que tu traites l’humanité, aussi bien dans ta personne que dans la personne de tout autre, toujours en même temps comme une fin, et jamais simplement comme un moyen. »</w:t>
      </w:r>
    </w:p>
    <w:p w14:paraId="5E695778" w14:textId="77777777" w:rsidR="006A28CF" w:rsidRDefault="00000000">
      <w:pPr>
        <w:pStyle w:val="Paragraphedeliste"/>
        <w:numPr>
          <w:ilvl w:val="0"/>
          <w:numId w:val="2"/>
        </w:numPr>
        <w:spacing w:after="70" w:line="264" w:lineRule="auto"/>
        <w:jc w:val="both"/>
      </w:pPr>
      <w:r>
        <w:rPr>
          <w:rFonts w:ascii="Calibri" w:eastAsia="Calibri" w:hAnsi="Calibri" w:cs="Calibri"/>
          <w:color w:val="2E7D32"/>
        </w:rPr>
        <w:t>John Stuart Mill</w:t>
      </w:r>
      <w:r>
        <w:rPr>
          <w:rFonts w:ascii="Calibri" w:eastAsia="Calibri" w:hAnsi="Calibri" w:cs="Calibri"/>
          <w:color w:val="1A1A1A"/>
        </w:rPr>
        <w:t xml:space="preserve">, </w:t>
      </w:r>
      <w:r>
        <w:rPr>
          <w:rFonts w:ascii="Calibri" w:eastAsia="Calibri" w:hAnsi="Calibri" w:cs="Calibri"/>
          <w:color w:val="2E7D32"/>
        </w:rPr>
        <w:t>De la liberté</w:t>
      </w:r>
      <w:r>
        <w:rPr>
          <w:rFonts w:ascii="Calibri" w:eastAsia="Calibri" w:hAnsi="Calibri" w:cs="Calibri"/>
          <w:color w:val="1A1A1A"/>
        </w:rPr>
        <w:t xml:space="preserve"> (1859) : le seul but pour lequel le pouvoir peut être exercé sur un membre de la société contre sa volonté est d’empêcher qu’il ne nuise aux autres ; son propre bien ne suffit pas.</w:t>
      </w:r>
    </w:p>
    <w:p w14:paraId="0A4D6CFD" w14:textId="77777777" w:rsidR="006A28CF" w:rsidRDefault="00000000">
      <w:pPr>
        <w:pStyle w:val="Paragraphedeliste"/>
        <w:numPr>
          <w:ilvl w:val="0"/>
          <w:numId w:val="2"/>
        </w:numPr>
        <w:spacing w:after="70" w:line="264" w:lineRule="auto"/>
        <w:jc w:val="both"/>
      </w:pPr>
      <w:r>
        <w:rPr>
          <w:rFonts w:ascii="Calibri" w:eastAsia="Calibri" w:hAnsi="Calibri" w:cs="Calibri"/>
          <w:color w:val="1A1A1A"/>
        </w:rPr>
        <w:t>La décision commentée, point 13 : les femmes participantes, « ainsi réduites à un rôle exclusif d’objet sexuel ».</w:t>
      </w:r>
    </w:p>
    <w:p w14:paraId="575AE9F2" w14:textId="77777777" w:rsidR="006A28CF" w:rsidRDefault="00000000">
      <w:pPr>
        <w:pStyle w:val="Titre2"/>
        <w:spacing w:before="260" w:after="110"/>
      </w:pPr>
      <w:r>
        <w:rPr>
          <w:rFonts w:ascii="Calibri" w:eastAsia="Calibri" w:hAnsi="Calibri" w:cs="Calibri"/>
          <w:b/>
          <w:bCs/>
          <w:color w:val="1A1A1A"/>
          <w:spacing w:val="16"/>
          <w:sz w:val="23"/>
          <w:szCs w:val="23"/>
        </w:rPr>
        <w:t>2.3. Les dates et chiffres</w:t>
      </w:r>
    </w:p>
    <w:tbl>
      <w:tblPr>
        <w:tblW w:w="5000" w:type="pct"/>
        <w:tblBorders>
          <w:top w:val="single" w:sz="2" w:space="0" w:color="C9C0B6"/>
          <w:left w:val="single" w:sz="2" w:space="0" w:color="C9C0B6"/>
          <w:bottom w:val="single" w:sz="2" w:space="0" w:color="C9C0B6"/>
          <w:right w:val="single" w:sz="2" w:space="0" w:color="C9C0B6"/>
          <w:insideH w:val="single" w:sz="2" w:space="0" w:color="DCD5CC"/>
          <w:insideV w:val="single" w:sz="2" w:space="0" w:color="DCD5CC"/>
        </w:tblBorders>
        <w:tblCellMar>
          <w:left w:w="10" w:type="dxa"/>
          <w:right w:w="10" w:type="dxa"/>
        </w:tblCellMar>
        <w:tblLook w:val="04A0" w:firstRow="1" w:lastRow="0" w:firstColumn="1" w:lastColumn="0" w:noHBand="0" w:noVBand="1"/>
      </w:tblPr>
      <w:tblGrid>
        <w:gridCol w:w="4873"/>
        <w:gridCol w:w="4873"/>
      </w:tblGrid>
      <w:tr w:rsidR="006A28CF" w14:paraId="2E430F59" w14:textId="77777777">
        <w:trPr>
          <w:tblHeader/>
        </w:trPr>
        <w:tc>
          <w:tcPr>
            <w:tcW w:w="2500" w:type="pct"/>
            <w:shd w:val="clear" w:color="auto" w:fill="F2E9EA"/>
            <w:tcMar>
              <w:top w:w="60" w:type="dxa"/>
              <w:left w:w="90" w:type="dxa"/>
              <w:bottom w:w="60" w:type="dxa"/>
              <w:right w:w="90" w:type="dxa"/>
            </w:tcMar>
          </w:tcPr>
          <w:p w14:paraId="55CDC00E" w14:textId="77777777" w:rsidR="006A28CF" w:rsidRDefault="00000000">
            <w:r>
              <w:rPr>
                <w:rFonts w:ascii="Calibri" w:eastAsia="Calibri" w:hAnsi="Calibri" w:cs="Calibri"/>
                <w:b/>
                <w:bCs/>
                <w:color w:val="1A1A1A"/>
                <w:sz w:val="17"/>
                <w:szCs w:val="17"/>
              </w:rPr>
              <w:t>Repère</w:t>
            </w:r>
          </w:p>
        </w:tc>
        <w:tc>
          <w:tcPr>
            <w:tcW w:w="2500" w:type="pct"/>
            <w:shd w:val="clear" w:color="auto" w:fill="F2E9EA"/>
            <w:tcMar>
              <w:top w:w="60" w:type="dxa"/>
              <w:left w:w="90" w:type="dxa"/>
              <w:bottom w:w="60" w:type="dxa"/>
              <w:right w:w="90" w:type="dxa"/>
            </w:tcMar>
          </w:tcPr>
          <w:p w14:paraId="514DBC71" w14:textId="77777777" w:rsidR="006A28CF" w:rsidRDefault="00000000">
            <w:r>
              <w:rPr>
                <w:rFonts w:ascii="Calibri" w:eastAsia="Calibri" w:hAnsi="Calibri" w:cs="Calibri"/>
                <w:b/>
                <w:bCs/>
                <w:color w:val="1A1A1A"/>
                <w:sz w:val="17"/>
                <w:szCs w:val="17"/>
              </w:rPr>
              <w:t>Valeur</w:t>
            </w:r>
          </w:p>
        </w:tc>
      </w:tr>
      <w:tr w:rsidR="006A28CF" w14:paraId="19AB950D" w14:textId="77777777">
        <w:tc>
          <w:tcPr>
            <w:tcW w:w="2500" w:type="pct"/>
            <w:tcMar>
              <w:top w:w="60" w:type="dxa"/>
              <w:left w:w="90" w:type="dxa"/>
              <w:bottom w:w="60" w:type="dxa"/>
              <w:right w:w="90" w:type="dxa"/>
            </w:tcMar>
          </w:tcPr>
          <w:p w14:paraId="5DB08A12" w14:textId="77777777" w:rsidR="006A28CF" w:rsidRDefault="00000000">
            <w:r>
              <w:rPr>
                <w:rFonts w:ascii="Calibri" w:eastAsia="Calibri" w:hAnsi="Calibri" w:cs="Calibri"/>
                <w:color w:val="1A1A1A"/>
                <w:sz w:val="17"/>
                <w:szCs w:val="17"/>
              </w:rPr>
              <w:t>Arrêté de fermeture</w:t>
            </w:r>
          </w:p>
        </w:tc>
        <w:tc>
          <w:tcPr>
            <w:tcW w:w="2500" w:type="pct"/>
            <w:tcMar>
              <w:top w:w="60" w:type="dxa"/>
              <w:left w:w="90" w:type="dxa"/>
              <w:bottom w:w="60" w:type="dxa"/>
              <w:right w:w="90" w:type="dxa"/>
            </w:tcMar>
          </w:tcPr>
          <w:p w14:paraId="58ADABFB" w14:textId="77777777" w:rsidR="006A28CF" w:rsidRDefault="00000000">
            <w:r>
              <w:rPr>
                <w:rFonts w:ascii="Calibri" w:eastAsia="Calibri" w:hAnsi="Calibri" w:cs="Calibri"/>
                <w:color w:val="1A1A1A"/>
                <w:sz w:val="17"/>
                <w:szCs w:val="17"/>
              </w:rPr>
              <w:t>21 janvier 2026 (contradictoire : courrier du 16 janvier, observations jusqu’au 19 janvier)</w:t>
            </w:r>
          </w:p>
        </w:tc>
      </w:tr>
      <w:tr w:rsidR="006A28CF" w14:paraId="27CDC715" w14:textId="77777777">
        <w:tc>
          <w:tcPr>
            <w:tcW w:w="2500" w:type="pct"/>
            <w:tcMar>
              <w:top w:w="60" w:type="dxa"/>
              <w:left w:w="90" w:type="dxa"/>
              <w:bottom w:w="60" w:type="dxa"/>
              <w:right w:w="90" w:type="dxa"/>
            </w:tcMar>
          </w:tcPr>
          <w:p w14:paraId="6681D788" w14:textId="77777777" w:rsidR="006A28CF" w:rsidRDefault="00000000">
            <w:r>
              <w:rPr>
                <w:rFonts w:ascii="Calibri" w:eastAsia="Calibri" w:hAnsi="Calibri" w:cs="Calibri"/>
                <w:color w:val="1A1A1A"/>
                <w:sz w:val="17"/>
                <w:szCs w:val="17"/>
              </w:rPr>
              <w:t>Ordonnance du TA de Paris</w:t>
            </w:r>
          </w:p>
        </w:tc>
        <w:tc>
          <w:tcPr>
            <w:tcW w:w="2500" w:type="pct"/>
            <w:tcMar>
              <w:top w:w="60" w:type="dxa"/>
              <w:left w:w="90" w:type="dxa"/>
              <w:bottom w:w="60" w:type="dxa"/>
              <w:right w:w="90" w:type="dxa"/>
            </w:tcMar>
          </w:tcPr>
          <w:p w14:paraId="1E366502" w14:textId="77777777" w:rsidR="006A28CF" w:rsidRDefault="00000000">
            <w:r>
              <w:rPr>
                <w:rFonts w:ascii="Calibri" w:eastAsia="Calibri" w:hAnsi="Calibri" w:cs="Calibri"/>
                <w:color w:val="1A1A1A"/>
                <w:sz w:val="17"/>
                <w:szCs w:val="17"/>
              </w:rPr>
              <w:t>9 février 2026, n° 2602318</w:t>
            </w:r>
          </w:p>
        </w:tc>
      </w:tr>
      <w:tr w:rsidR="006A28CF" w14:paraId="1089CCD4" w14:textId="77777777">
        <w:tc>
          <w:tcPr>
            <w:tcW w:w="2500" w:type="pct"/>
            <w:tcMar>
              <w:top w:w="60" w:type="dxa"/>
              <w:left w:w="90" w:type="dxa"/>
              <w:bottom w:w="60" w:type="dxa"/>
              <w:right w:w="90" w:type="dxa"/>
            </w:tcMar>
          </w:tcPr>
          <w:p w14:paraId="1C5B43CD" w14:textId="77777777" w:rsidR="006A28CF" w:rsidRDefault="00000000">
            <w:r>
              <w:rPr>
                <w:rFonts w:ascii="Calibri" w:eastAsia="Calibri" w:hAnsi="Calibri" w:cs="Calibri"/>
                <w:color w:val="1A1A1A"/>
                <w:sz w:val="17"/>
                <w:szCs w:val="17"/>
              </w:rPr>
              <w:t>Pourvoi</w:t>
            </w:r>
          </w:p>
        </w:tc>
        <w:tc>
          <w:tcPr>
            <w:tcW w:w="2500" w:type="pct"/>
            <w:tcMar>
              <w:top w:w="60" w:type="dxa"/>
              <w:left w:w="90" w:type="dxa"/>
              <w:bottom w:w="60" w:type="dxa"/>
              <w:right w:w="90" w:type="dxa"/>
            </w:tcMar>
          </w:tcPr>
          <w:p w14:paraId="7444DAC6" w14:textId="77777777" w:rsidR="006A28CF" w:rsidRDefault="00000000">
            <w:r>
              <w:rPr>
                <w:rFonts w:ascii="Calibri" w:eastAsia="Calibri" w:hAnsi="Calibri" w:cs="Calibri"/>
                <w:color w:val="1A1A1A"/>
                <w:sz w:val="17"/>
                <w:szCs w:val="17"/>
              </w:rPr>
              <w:t>23 février 2026 (mémoire complémentaire le 9 mars)</w:t>
            </w:r>
          </w:p>
        </w:tc>
      </w:tr>
      <w:tr w:rsidR="006A28CF" w14:paraId="1292C36E" w14:textId="77777777">
        <w:tc>
          <w:tcPr>
            <w:tcW w:w="2500" w:type="pct"/>
            <w:tcMar>
              <w:top w:w="60" w:type="dxa"/>
              <w:left w:w="90" w:type="dxa"/>
              <w:bottom w:w="60" w:type="dxa"/>
              <w:right w:w="90" w:type="dxa"/>
            </w:tcMar>
          </w:tcPr>
          <w:p w14:paraId="11838DE7" w14:textId="77777777" w:rsidR="006A28CF" w:rsidRDefault="00000000">
            <w:r>
              <w:rPr>
                <w:rFonts w:ascii="Calibri" w:eastAsia="Calibri" w:hAnsi="Calibri" w:cs="Calibri"/>
                <w:color w:val="1A1A1A"/>
                <w:sz w:val="17"/>
                <w:szCs w:val="17"/>
              </w:rPr>
              <w:t>Séance / lecture</w:t>
            </w:r>
          </w:p>
        </w:tc>
        <w:tc>
          <w:tcPr>
            <w:tcW w:w="2500" w:type="pct"/>
            <w:tcMar>
              <w:top w:w="60" w:type="dxa"/>
              <w:left w:w="90" w:type="dxa"/>
              <w:bottom w:w="60" w:type="dxa"/>
              <w:right w:w="90" w:type="dxa"/>
            </w:tcMar>
          </w:tcPr>
          <w:p w14:paraId="7EE782D3" w14:textId="77777777" w:rsidR="006A28CF" w:rsidRDefault="00000000">
            <w:r>
              <w:rPr>
                <w:rFonts w:ascii="Calibri" w:eastAsia="Calibri" w:hAnsi="Calibri" w:cs="Calibri"/>
                <w:color w:val="1A1A1A"/>
                <w:sz w:val="17"/>
                <w:szCs w:val="17"/>
              </w:rPr>
              <w:t>24 juin 2026 / 15 juillet 2026</w:t>
            </w:r>
          </w:p>
        </w:tc>
      </w:tr>
      <w:tr w:rsidR="006A28CF" w14:paraId="2BFC5FC7" w14:textId="77777777">
        <w:tc>
          <w:tcPr>
            <w:tcW w:w="2500" w:type="pct"/>
            <w:tcMar>
              <w:top w:w="60" w:type="dxa"/>
              <w:left w:w="90" w:type="dxa"/>
              <w:bottom w:w="60" w:type="dxa"/>
              <w:right w:w="90" w:type="dxa"/>
            </w:tcMar>
          </w:tcPr>
          <w:p w14:paraId="2360004B" w14:textId="77777777" w:rsidR="006A28CF" w:rsidRDefault="00000000">
            <w:r>
              <w:rPr>
                <w:rFonts w:ascii="Calibri" w:eastAsia="Calibri" w:hAnsi="Calibri" w:cs="Calibri"/>
                <w:color w:val="1A1A1A"/>
                <w:sz w:val="17"/>
                <w:szCs w:val="17"/>
              </w:rPr>
              <w:t>Ancienneté de l’activité</w:t>
            </w:r>
          </w:p>
        </w:tc>
        <w:tc>
          <w:tcPr>
            <w:tcW w:w="2500" w:type="pct"/>
            <w:tcMar>
              <w:top w:w="60" w:type="dxa"/>
              <w:left w:w="90" w:type="dxa"/>
              <w:bottom w:w="60" w:type="dxa"/>
              <w:right w:w="90" w:type="dxa"/>
            </w:tcMar>
          </w:tcPr>
          <w:p w14:paraId="34F812F7" w14:textId="77777777" w:rsidR="006A28CF" w:rsidRDefault="00000000">
            <w:r>
              <w:rPr>
                <w:rFonts w:ascii="Calibri" w:eastAsia="Calibri" w:hAnsi="Calibri" w:cs="Calibri"/>
                <w:color w:val="1A1A1A"/>
                <w:sz w:val="17"/>
                <w:szCs w:val="17"/>
              </w:rPr>
              <w:t>Quinze ans, sans poursuites</w:t>
            </w:r>
          </w:p>
        </w:tc>
      </w:tr>
      <w:tr w:rsidR="006A28CF" w14:paraId="415ABC5D" w14:textId="77777777">
        <w:tc>
          <w:tcPr>
            <w:tcW w:w="2500" w:type="pct"/>
            <w:tcMar>
              <w:top w:w="60" w:type="dxa"/>
              <w:left w:w="90" w:type="dxa"/>
              <w:bottom w:w="60" w:type="dxa"/>
              <w:right w:w="90" w:type="dxa"/>
            </w:tcMar>
          </w:tcPr>
          <w:p w14:paraId="0BF32B2A" w14:textId="77777777" w:rsidR="006A28CF" w:rsidRDefault="00000000">
            <w:r>
              <w:rPr>
                <w:rFonts w:ascii="Calibri" w:eastAsia="Calibri" w:hAnsi="Calibri" w:cs="Calibri"/>
                <w:color w:val="1A1A1A"/>
                <w:sz w:val="17"/>
                <w:szCs w:val="17"/>
              </w:rPr>
              <w:t>Frais irrépétibles</w:t>
            </w:r>
          </w:p>
        </w:tc>
        <w:tc>
          <w:tcPr>
            <w:tcW w:w="2500" w:type="pct"/>
            <w:tcMar>
              <w:top w:w="60" w:type="dxa"/>
              <w:left w:w="90" w:type="dxa"/>
              <w:bottom w:w="60" w:type="dxa"/>
              <w:right w:w="90" w:type="dxa"/>
            </w:tcMar>
          </w:tcPr>
          <w:p w14:paraId="0ACBA3E2" w14:textId="77777777" w:rsidR="006A28CF" w:rsidRDefault="00000000">
            <w:r>
              <w:rPr>
                <w:rFonts w:ascii="Calibri" w:eastAsia="Calibri" w:hAnsi="Calibri" w:cs="Calibri"/>
                <w:color w:val="1A1A1A"/>
                <w:sz w:val="17"/>
                <w:szCs w:val="17"/>
              </w:rPr>
              <w:t>3 000 euros à la charge de la société</w:t>
            </w:r>
          </w:p>
        </w:tc>
      </w:tr>
      <w:tr w:rsidR="006A28CF" w14:paraId="320BB571" w14:textId="77777777">
        <w:tc>
          <w:tcPr>
            <w:tcW w:w="2500" w:type="pct"/>
            <w:tcMar>
              <w:top w:w="60" w:type="dxa"/>
              <w:left w:w="90" w:type="dxa"/>
              <w:bottom w:w="60" w:type="dxa"/>
              <w:right w:w="90" w:type="dxa"/>
            </w:tcMar>
          </w:tcPr>
          <w:p w14:paraId="50F91C84" w14:textId="77777777" w:rsidR="006A28CF" w:rsidRDefault="00000000">
            <w:r>
              <w:rPr>
                <w:rFonts w:ascii="Calibri" w:eastAsia="Calibri" w:hAnsi="Calibri" w:cs="Calibri"/>
                <w:color w:val="1A1A1A"/>
                <w:sz w:val="17"/>
                <w:szCs w:val="17"/>
              </w:rPr>
              <w:t>Loi sur le consentement</w:t>
            </w:r>
          </w:p>
        </w:tc>
        <w:tc>
          <w:tcPr>
            <w:tcW w:w="2500" w:type="pct"/>
            <w:tcMar>
              <w:top w:w="60" w:type="dxa"/>
              <w:left w:w="90" w:type="dxa"/>
              <w:bottom w:w="60" w:type="dxa"/>
              <w:right w:w="90" w:type="dxa"/>
            </w:tcMar>
          </w:tcPr>
          <w:p w14:paraId="7FC7E0E5" w14:textId="77777777" w:rsidR="006A28CF" w:rsidRDefault="00000000">
            <w:r>
              <w:rPr>
                <w:rFonts w:ascii="Calibri" w:eastAsia="Calibri" w:hAnsi="Calibri" w:cs="Calibri"/>
                <w:color w:val="1A1A1A"/>
                <w:sz w:val="17"/>
                <w:szCs w:val="17"/>
              </w:rPr>
              <w:t>Loi n° 2025-1057 du 6 novembre 2025</w:t>
            </w:r>
          </w:p>
        </w:tc>
      </w:tr>
    </w:tbl>
    <w:p w14:paraId="063C7A75" w14:textId="77777777" w:rsidR="006A28CF" w:rsidRDefault="006A28CF">
      <w:pPr>
        <w:spacing w:after="120"/>
      </w:pPr>
    </w:p>
    <w:p w14:paraId="59329C24" w14:textId="77777777" w:rsidR="006A28CF" w:rsidRDefault="00000000">
      <w:pPr>
        <w:pStyle w:val="Titre1"/>
        <w:pBdr>
          <w:bottom w:val="single" w:sz="12" w:space="6" w:color="8C1C2B"/>
        </w:pBdr>
        <w:spacing w:before="260" w:after="90"/>
      </w:pPr>
      <w:r>
        <w:rPr>
          <w:rFonts w:ascii="Calibri" w:eastAsia="Calibri" w:hAnsi="Calibri" w:cs="Calibri"/>
          <w:b/>
          <w:bCs/>
          <w:color w:val="8C1C2B"/>
          <w:sz w:val="28"/>
          <w:szCs w:val="28"/>
        </w:rPr>
        <w:t>3. LA FILIATION PHILOSOPHIQUE, EN TROIS PHRASES</w:t>
      </w:r>
    </w:p>
    <w:p w14:paraId="059CEF6B" w14:textId="77777777" w:rsidR="006A28CF" w:rsidRDefault="00000000">
      <w:pPr>
        <w:spacing w:after="90" w:line="264" w:lineRule="auto"/>
        <w:jc w:val="both"/>
      </w:pPr>
      <w:r>
        <w:rPr>
          <w:rFonts w:ascii="Calibri" w:eastAsia="Calibri" w:hAnsi="Calibri" w:cs="Calibri"/>
          <w:b/>
          <w:bCs/>
          <w:color w:val="1A1A1A"/>
        </w:rPr>
        <w:t>Deux conceptions de la dignité s’affrontent.</w:t>
      </w:r>
      <w:r>
        <w:rPr>
          <w:rFonts w:ascii="Calibri" w:eastAsia="Calibri" w:hAnsi="Calibri" w:cs="Calibri"/>
          <w:color w:val="1A1A1A"/>
        </w:rPr>
        <w:t xml:space="preserve"> La </w:t>
      </w:r>
      <w:r>
        <w:rPr>
          <w:rFonts w:ascii="Calibri" w:eastAsia="Calibri" w:hAnsi="Calibri" w:cs="Calibri"/>
          <w:b/>
          <w:bCs/>
          <w:color w:val="1A1A1A"/>
        </w:rPr>
        <w:t>dignité-autonomie</w:t>
      </w:r>
      <w:r>
        <w:rPr>
          <w:rFonts w:ascii="Calibri" w:eastAsia="Calibri" w:hAnsi="Calibri" w:cs="Calibri"/>
          <w:color w:val="1A1A1A"/>
        </w:rPr>
        <w:t xml:space="preserve"> protège la liberté de chacun de décider pour soi ; elle conduit à respecter le consentement (</w:t>
      </w:r>
      <w:r>
        <w:rPr>
          <w:rFonts w:ascii="Calibri" w:eastAsia="Calibri" w:hAnsi="Calibri" w:cs="Calibri"/>
          <w:color w:val="2E7D32"/>
        </w:rPr>
        <w:t>Mill</w:t>
      </w:r>
      <w:r>
        <w:rPr>
          <w:rFonts w:ascii="Calibri" w:eastAsia="Calibri" w:hAnsi="Calibri" w:cs="Calibri"/>
          <w:color w:val="1A1A1A"/>
        </w:rPr>
        <w:t xml:space="preserve">, et la Cour européenne quand elle parle d’autonomie personnelle). La </w:t>
      </w:r>
      <w:r>
        <w:rPr>
          <w:rFonts w:ascii="Calibri" w:eastAsia="Calibri" w:hAnsi="Calibri" w:cs="Calibri"/>
          <w:b/>
          <w:bCs/>
          <w:color w:val="1A1A1A"/>
        </w:rPr>
        <w:t>dignité-contrainte</w:t>
      </w:r>
      <w:r>
        <w:rPr>
          <w:rFonts w:ascii="Calibri" w:eastAsia="Calibri" w:hAnsi="Calibri" w:cs="Calibri"/>
          <w:color w:val="1A1A1A"/>
        </w:rPr>
        <w:t xml:space="preserve"> protège l’humanité en chaque personne, au besoin contre elle-même (</w:t>
      </w:r>
      <w:r>
        <w:rPr>
          <w:rFonts w:ascii="Calibri" w:eastAsia="Calibri" w:hAnsi="Calibri" w:cs="Calibri"/>
          <w:color w:val="2E7D32"/>
        </w:rPr>
        <w:t>Kant</w:t>
      </w:r>
      <w:r>
        <w:rPr>
          <w:rFonts w:ascii="Calibri" w:eastAsia="Calibri" w:hAnsi="Calibri" w:cs="Calibri"/>
          <w:color w:val="1A1A1A"/>
        </w:rPr>
        <w:t>) ; elle rend le consentement indifférent. La décision Société Z Machine applique la seconde à la dignité, mais réintroduit la première par le droit pénal : elle exige que le consentement soit réellement libre, éclairé et révocable.</w:t>
      </w:r>
    </w:p>
    <w:p w14:paraId="70998348" w14:textId="77777777" w:rsidR="006A28CF" w:rsidRDefault="00000000">
      <w:pPr>
        <w:pStyle w:val="Titre1"/>
        <w:pBdr>
          <w:bottom w:val="single" w:sz="12" w:space="6" w:color="8C1C2B"/>
        </w:pBdr>
        <w:spacing w:before="260" w:after="90"/>
      </w:pPr>
      <w:r>
        <w:rPr>
          <w:rFonts w:ascii="Calibri" w:eastAsia="Calibri" w:hAnsi="Calibri" w:cs="Calibri"/>
          <w:b/>
          <w:bCs/>
          <w:color w:val="8C1C2B"/>
          <w:sz w:val="28"/>
          <w:szCs w:val="28"/>
        </w:rPr>
        <w:t>4. MÉMO DE MÉTHODE — LE COMMENTAIRE DE DÉCISION AU GRAND ORAL</w:t>
      </w:r>
    </w:p>
    <w:p w14:paraId="4C4E4FD3"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Identifier le cadre</w:t>
      </w:r>
      <w:r>
        <w:rPr>
          <w:rFonts w:ascii="Calibri" w:eastAsia="Calibri" w:hAnsi="Calibri" w:cs="Calibri"/>
          <w:color w:val="1A1A1A"/>
        </w:rPr>
        <w:t xml:space="preserve"> avant le fond : qui juge, en quelle qualité, avec quel standard de contrôle (légalité ? doute sérieux ? atteinte manifestement illégale ?).</w:t>
      </w:r>
    </w:p>
    <w:p w14:paraId="7359366E"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Lister ce qui n’est pas jugé</w:t>
      </w:r>
      <w:r>
        <w:rPr>
          <w:rFonts w:ascii="Calibri" w:eastAsia="Calibri" w:hAnsi="Calibri" w:cs="Calibri"/>
          <w:color w:val="1A1A1A"/>
        </w:rPr>
        <w:t xml:space="preserve"> : un motif contourné, une condition non examinée, une liberté non nommée. Le silence se commente.</w:t>
      </w:r>
    </w:p>
    <w:p w14:paraId="4089FF90"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Trouver l’axe dans le texte</w:t>
      </w:r>
      <w:r>
        <w:rPr>
          <w:rFonts w:ascii="Calibri" w:eastAsia="Calibri" w:hAnsi="Calibri" w:cs="Calibri"/>
          <w:color w:val="1A1A1A"/>
        </w:rPr>
        <w:t xml:space="preserve"> : une tension, un paradoxe, un déplacement. Ici, le double rôle du consentement.</w:t>
      </w:r>
    </w:p>
    <w:p w14:paraId="091E1CD8"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Ancrer chaque sous-partie sur un point</w:t>
      </w:r>
      <w:r>
        <w:rPr>
          <w:rFonts w:ascii="Calibri" w:eastAsia="Calibri" w:hAnsi="Calibri" w:cs="Calibri"/>
          <w:color w:val="1A1A1A"/>
        </w:rPr>
        <w:t xml:space="preserve"> de la décision, cité entre guillemets, avant de l’expliquer, de le situer et de l’apprécier.</w:t>
      </w:r>
    </w:p>
    <w:p w14:paraId="634542AA"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Réserver la critique au II B et à la conclusion</w:t>
      </w:r>
      <w:r>
        <w:rPr>
          <w:rFonts w:ascii="Calibri" w:eastAsia="Calibri" w:hAnsi="Calibri" w:cs="Calibri"/>
          <w:color w:val="1A1A1A"/>
        </w:rPr>
        <w:t>, argumentée en droit et attribuée quand elle vient de la doctrine.</w:t>
      </w:r>
    </w:p>
    <w:p w14:paraId="731B5670" w14:textId="77777777" w:rsidR="006A28CF" w:rsidRDefault="00000000">
      <w:pPr>
        <w:pStyle w:val="Paragraphedeliste"/>
        <w:numPr>
          <w:ilvl w:val="0"/>
          <w:numId w:val="2"/>
        </w:numPr>
        <w:spacing w:after="70" w:line="264" w:lineRule="auto"/>
        <w:jc w:val="both"/>
      </w:pPr>
      <w:r>
        <w:rPr>
          <w:rFonts w:ascii="Calibri" w:eastAsia="Calibri" w:hAnsi="Calibri" w:cs="Calibri"/>
          <w:b/>
          <w:bCs/>
          <w:color w:val="1A1A1A"/>
        </w:rPr>
        <w:t>Mesurer la portée honnêtement</w:t>
      </w:r>
      <w:r>
        <w:rPr>
          <w:rFonts w:ascii="Calibri" w:eastAsia="Calibri" w:hAnsi="Calibri" w:cs="Calibri"/>
          <w:color w:val="1A1A1A"/>
        </w:rPr>
        <w:t xml:space="preserve"> : formation de jugement, mention au Recueil ou aux tables, référé ou fond, état de l’instruction.</w:t>
      </w:r>
    </w:p>
    <w:sectPr w:rsidR="006A28CF">
      <w:footerReference w:type="default" r:id="rId7"/>
      <w:pgSz w:w="11906" w:h="16838"/>
      <w:pgMar w:top="1020" w:right="1077" w:bottom="1020" w:left="107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8A753B" w14:textId="77777777" w:rsidR="0062694A" w:rsidRDefault="0062694A">
      <w:r>
        <w:separator/>
      </w:r>
    </w:p>
  </w:endnote>
  <w:endnote w:type="continuationSeparator" w:id="0">
    <w:p w14:paraId="0F549F8E" w14:textId="77777777" w:rsidR="0062694A" w:rsidRDefault="006269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B1E49B" w14:textId="77777777" w:rsidR="006A28CF" w:rsidRDefault="00000000">
    <w:pPr>
      <w:jc w:val="center"/>
    </w:pPr>
    <w:r>
      <w:rPr>
        <w:rFonts w:ascii="Calibri" w:eastAsia="Calibri" w:hAnsi="Calibri" w:cs="Calibri"/>
        <w:color w:val="5A5A5A"/>
        <w:sz w:val="15"/>
        <w:szCs w:val="15"/>
      </w:rPr>
      <w:t xml:space="preserve">Grand Oral CRFPA — Entraînement n° 2 — CE, 15 juillet 2026, Société Z Machine   |   </w:t>
    </w:r>
    <w:r>
      <w:rPr>
        <w:rFonts w:ascii="Calibri" w:eastAsia="Calibri" w:hAnsi="Calibri" w:cs="Calibri"/>
        <w:color w:val="5A5A5A"/>
        <w:sz w:val="15"/>
        <w:szCs w:val="15"/>
      </w:rPr>
      <w:fldChar w:fldCharType="begin"/>
    </w:r>
    <w:r>
      <w:rPr>
        <w:rFonts w:ascii="Calibri" w:eastAsia="Calibri" w:hAnsi="Calibri" w:cs="Calibri"/>
        <w:color w:val="5A5A5A"/>
        <w:sz w:val="15"/>
        <w:szCs w:val="15"/>
      </w:rPr>
      <w:instrText>PAGE</w:instrText>
    </w:r>
    <w:r>
      <w:rPr>
        <w:rFonts w:ascii="Calibri" w:eastAsia="Calibri" w:hAnsi="Calibri" w:cs="Calibri"/>
        <w:color w:val="5A5A5A"/>
        <w:sz w:val="15"/>
        <w:szCs w:val="15"/>
      </w:rPr>
      <w:fldChar w:fldCharType="separate"/>
    </w:r>
    <w:r w:rsidR="00B9081E">
      <w:rPr>
        <w:rFonts w:ascii="Calibri" w:eastAsia="Calibri" w:hAnsi="Calibri" w:cs="Calibri"/>
        <w:noProof/>
        <w:color w:val="5A5A5A"/>
        <w:sz w:val="15"/>
        <w:szCs w:val="15"/>
      </w:rPr>
      <w:t>1</w:t>
    </w:r>
    <w:r>
      <w:rPr>
        <w:rFonts w:ascii="Calibri" w:eastAsia="Calibri" w:hAnsi="Calibri" w:cs="Calibri"/>
        <w:color w:val="5A5A5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657CEE" w14:textId="77777777" w:rsidR="0062694A" w:rsidRDefault="0062694A">
      <w:r>
        <w:separator/>
      </w:r>
    </w:p>
  </w:footnote>
  <w:footnote w:type="continuationSeparator" w:id="0">
    <w:p w14:paraId="51C04420" w14:textId="77777777" w:rsidR="0062694A" w:rsidRDefault="006269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1A4E95"/>
    <w:multiLevelType w:val="hybridMultilevel"/>
    <w:tmpl w:val="BFAEF6C0"/>
    <w:lvl w:ilvl="0" w:tplc="E88CCED6">
      <w:start w:val="1"/>
      <w:numFmt w:val="bullet"/>
      <w:lvlText w:val="▪"/>
      <w:lvlJc w:val="left"/>
      <w:pPr>
        <w:ind w:left="340" w:hanging="200"/>
      </w:pPr>
    </w:lvl>
    <w:lvl w:ilvl="1" w:tplc="6AAEF136">
      <w:start w:val="1"/>
      <w:numFmt w:val="bullet"/>
      <w:lvlText w:val="–"/>
      <w:lvlJc w:val="left"/>
      <w:pPr>
        <w:ind w:left="700" w:hanging="200"/>
      </w:pPr>
    </w:lvl>
    <w:lvl w:ilvl="2" w:tplc="685CEDBE">
      <w:start w:val="1"/>
      <w:numFmt w:val="bullet"/>
      <w:lvlText w:val="·"/>
      <w:lvlJc w:val="left"/>
      <w:pPr>
        <w:ind w:left="1060" w:hanging="200"/>
      </w:pPr>
    </w:lvl>
    <w:lvl w:ilvl="3" w:tplc="37FE902C">
      <w:numFmt w:val="decimal"/>
      <w:lvlText w:val=""/>
      <w:lvlJc w:val="left"/>
    </w:lvl>
    <w:lvl w:ilvl="4" w:tplc="8C6C8D6E">
      <w:numFmt w:val="decimal"/>
      <w:lvlText w:val=""/>
      <w:lvlJc w:val="left"/>
    </w:lvl>
    <w:lvl w:ilvl="5" w:tplc="6186C196">
      <w:numFmt w:val="decimal"/>
      <w:lvlText w:val=""/>
      <w:lvlJc w:val="left"/>
    </w:lvl>
    <w:lvl w:ilvl="6" w:tplc="4DBEE89E">
      <w:numFmt w:val="decimal"/>
      <w:lvlText w:val=""/>
      <w:lvlJc w:val="left"/>
    </w:lvl>
    <w:lvl w:ilvl="7" w:tplc="7AF6C420">
      <w:numFmt w:val="decimal"/>
      <w:lvlText w:val=""/>
      <w:lvlJc w:val="left"/>
    </w:lvl>
    <w:lvl w:ilvl="8" w:tplc="A992D056">
      <w:numFmt w:val="decimal"/>
      <w:lvlText w:val=""/>
      <w:lvlJc w:val="left"/>
    </w:lvl>
  </w:abstractNum>
  <w:abstractNum w:abstractNumId="1" w15:restartNumberingAfterBreak="0">
    <w:nsid w:val="12D646A6"/>
    <w:multiLevelType w:val="hybridMultilevel"/>
    <w:tmpl w:val="370AED66"/>
    <w:lvl w:ilvl="0" w:tplc="293EB1FC">
      <w:start w:val="1"/>
      <w:numFmt w:val="bullet"/>
      <w:lvlText w:val="●"/>
      <w:lvlJc w:val="left"/>
      <w:pPr>
        <w:ind w:left="720" w:hanging="360"/>
      </w:pPr>
    </w:lvl>
    <w:lvl w:ilvl="1" w:tplc="980C6C98">
      <w:start w:val="1"/>
      <w:numFmt w:val="bullet"/>
      <w:lvlText w:val="○"/>
      <w:lvlJc w:val="left"/>
      <w:pPr>
        <w:ind w:left="1440" w:hanging="360"/>
      </w:pPr>
    </w:lvl>
    <w:lvl w:ilvl="2" w:tplc="70283E2E">
      <w:start w:val="1"/>
      <w:numFmt w:val="bullet"/>
      <w:lvlText w:val="■"/>
      <w:lvlJc w:val="left"/>
      <w:pPr>
        <w:ind w:left="2160" w:hanging="360"/>
      </w:pPr>
    </w:lvl>
    <w:lvl w:ilvl="3" w:tplc="EAA0BFB0">
      <w:start w:val="1"/>
      <w:numFmt w:val="bullet"/>
      <w:lvlText w:val="●"/>
      <w:lvlJc w:val="left"/>
      <w:pPr>
        <w:ind w:left="2880" w:hanging="360"/>
      </w:pPr>
    </w:lvl>
    <w:lvl w:ilvl="4" w:tplc="4D9018EA">
      <w:start w:val="1"/>
      <w:numFmt w:val="bullet"/>
      <w:lvlText w:val="○"/>
      <w:lvlJc w:val="left"/>
      <w:pPr>
        <w:ind w:left="3600" w:hanging="360"/>
      </w:pPr>
    </w:lvl>
    <w:lvl w:ilvl="5" w:tplc="30AED2A0">
      <w:start w:val="1"/>
      <w:numFmt w:val="bullet"/>
      <w:lvlText w:val="■"/>
      <w:lvlJc w:val="left"/>
      <w:pPr>
        <w:ind w:left="4320" w:hanging="360"/>
      </w:pPr>
    </w:lvl>
    <w:lvl w:ilvl="6" w:tplc="BBAC2840">
      <w:start w:val="1"/>
      <w:numFmt w:val="bullet"/>
      <w:lvlText w:val="●"/>
      <w:lvlJc w:val="left"/>
      <w:pPr>
        <w:ind w:left="5040" w:hanging="360"/>
      </w:pPr>
    </w:lvl>
    <w:lvl w:ilvl="7" w:tplc="82429720">
      <w:start w:val="1"/>
      <w:numFmt w:val="bullet"/>
      <w:lvlText w:val="●"/>
      <w:lvlJc w:val="left"/>
      <w:pPr>
        <w:ind w:left="5760" w:hanging="360"/>
      </w:pPr>
    </w:lvl>
    <w:lvl w:ilvl="8" w:tplc="1CAA2D00">
      <w:start w:val="1"/>
      <w:numFmt w:val="bullet"/>
      <w:lvlText w:val="●"/>
      <w:lvlJc w:val="left"/>
      <w:pPr>
        <w:ind w:left="6480" w:hanging="360"/>
      </w:pPr>
    </w:lvl>
  </w:abstractNum>
  <w:num w:numId="1" w16cid:durableId="690450073">
    <w:abstractNumId w:val="1"/>
    <w:lvlOverride w:ilvl="0">
      <w:startOverride w:val="1"/>
    </w:lvlOverride>
  </w:num>
  <w:num w:numId="2" w16cid:durableId="27618536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8CF"/>
    <w:rsid w:val="00261E40"/>
    <w:rsid w:val="004F21AB"/>
    <w:rsid w:val="0062694A"/>
    <w:rsid w:val="006A28CF"/>
    <w:rsid w:val="007D217D"/>
    <w:rsid w:val="008844FD"/>
    <w:rsid w:val="008A5445"/>
    <w:rsid w:val="008F59D0"/>
    <w:rsid w:val="0093501B"/>
    <w:rsid w:val="0096253A"/>
    <w:rsid w:val="00A91B4C"/>
    <w:rsid w:val="00B9081E"/>
    <w:rsid w:val="00C162EB"/>
    <w:rsid w:val="00D0542A"/>
    <w:rsid w:val="00E9121B"/>
    <w:rsid w:val="00F11B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A178D41"/>
  <w15:docId w15:val="{EA4D379B-1A63-F344-B55A-D3D3A9A3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28</Pages>
  <Words>13075</Words>
  <Characters>71917</Characters>
  <Application>Microsoft Office Word</Application>
  <DocSecurity>0</DocSecurity>
  <Lines>599</Lines>
  <Paragraphs>169</Paragraphs>
  <ScaleCrop>false</ScaleCrop>
  <HeadingPairs>
    <vt:vector size="2" baseType="variant">
      <vt:variant>
        <vt:lpstr>Titre</vt:lpstr>
      </vt:variant>
      <vt:variant>
        <vt:i4>1</vt:i4>
      </vt:variant>
    </vt:vector>
  </HeadingPairs>
  <TitlesOfParts>
    <vt:vector size="1" baseType="lpstr">
      <vt:lpstr>Grand Oral CRFPA — Correction enrichie — Entraînement n° 2 — Société Z Machine</vt:lpstr>
    </vt:vector>
  </TitlesOfParts>
  <Company/>
  <LinksUpToDate>false</LinksUpToDate>
  <CharactersWithSpaces>84823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 Oral CRFPA — Correction enrichie — Entraînement n° 2 — Société Z Machine</dc:title>
  <dc:creator>Simon</dc:creator>
  <dc:description>Correction reprise et enrichie du deuxième entraînement Objectif Barreau</dc:description>
  <cp:lastModifiedBy>Simon BERNINES</cp:lastModifiedBy>
  <cp:revision>3</cp:revision>
  <dcterms:created xsi:type="dcterms:W3CDTF">2026-10-07T08:55:00Z</dcterms:created>
  <dcterms:modified xsi:type="dcterms:W3CDTF">2026-10-12T15:06:00Z</dcterms:modified>
</cp:coreProperties>
</file>