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200"/>
        <w:jc w:val="center"/>
      </w:pPr>
      <w:r>
        <w:rPr>
          <w:rFonts w:ascii="Calibri" w:cs="Calibri" w:eastAsia="Calibri" w:hAnsi="Calibri"/>
          <w:b/>
          <w:bCs/>
          <w:color w:val="8C1C2B"/>
          <w:sz w:val="40"/>
          <w:szCs w:val="40"/>
        </w:rPr>
        <w:t xml:space="preserve">ENTRAÎNEMENT N° 3 — CORRECTION ENRICHIE</w:t>
      </w:r>
    </w:p>
    <w:p>
      <w:pPr>
        <w:spacing w:after="100"/>
        <w:jc w:val="center"/>
      </w:pPr>
      <w:r>
        <w:rPr>
          <w:rFonts w:ascii="Calibri" w:cs="Calibri" w:eastAsia="Calibri" w:hAnsi="Calibri"/>
          <w:b/>
          <w:bCs/>
          <w:color w:val="1A1A1A"/>
          <w:sz w:val="24"/>
          <w:szCs w:val="24"/>
        </w:rPr>
        <w:t xml:space="preserve">Le principe d’égalité</w:t>
      </w:r>
      <w:r>
        <w:rPr>
          <w:rFonts w:ascii="Calibri" w:cs="Calibri" w:eastAsia="Calibri" w:hAnsi="Calibri"/>
          <w:color w:val="1A1A1A"/>
          <w:sz w:val="24"/>
          <w:szCs w:val="24"/>
        </w:rPr>
        <w:t xml:space="preserve"> — Objectif Barreau, Grand Oral du CRFPA</w:t>
      </w:r>
    </w:p>
    <w:p>
      <w:pPr>
        <w:spacing w:after="100"/>
        <w:jc w:val="center"/>
      </w:pPr>
      <w:r>
        <w:rPr>
          <w:rFonts w:ascii="Calibri" w:cs="Calibri" w:eastAsia="Calibri" w:hAnsi="Calibri"/>
          <w:color w:val="1A1A1A"/>
          <w:sz w:val="24"/>
          <w:szCs w:val="24"/>
        </w:rPr>
        <w:t xml:space="preserve">Sujet : « Soutenez que le principe d’égalité peut être aménagé »</w:t>
      </w:r>
    </w:p>
    <w:p>
      <w:pPr>
        <w:spacing w:after="100"/>
        <w:jc w:val="center"/>
      </w:pPr>
      <w:r>
        <w:rPr>
          <w:rFonts w:ascii="Calibri" w:cs="Calibri" w:eastAsia="Calibri" w:hAnsi="Calibri"/>
          <w:color w:val="1A1A1A"/>
          <w:sz w:val="24"/>
          <w:szCs w:val="24"/>
        </w:rPr>
        <w:t xml:space="preserve">Séminaire de correction du 8 octobre 2026 (Michaël Poyet)</w:t>
      </w:r>
    </w:p>
    <w:p>
      <w:pPr>
        <w:spacing w:after="100" w:before="400"/>
        <w:jc w:val="center"/>
      </w:pPr>
      <w:r>
        <w:rPr>
          <w:rFonts w:ascii="Calibri" w:cs="Calibri" w:eastAsia="Calibri" w:hAnsi="Calibri"/>
          <w:color w:val="1A1A1A"/>
          <w:sz w:val="19"/>
          <w:szCs w:val="19"/>
        </w:rPr>
        <w:t xml:space="preserve">Code couleur : </w:t>
      </w:r>
      <w:r>
        <w:rPr>
          <w:rFonts w:ascii="Calibri" w:cs="Calibri" w:eastAsia="Calibri" w:hAnsi="Calibri"/>
          <w:color w:val="1E88E5"/>
          <w:sz w:val="19"/>
          <w:szCs w:val="19"/>
        </w:rPr>
        <w:t xml:space="preserve">textes normatifs</w:t>
      </w:r>
      <w:r>
        <w:rPr>
          <w:rFonts w:ascii="Calibri" w:cs="Calibri" w:eastAsia="Calibri" w:hAnsi="Calibri"/>
          <w:color w:val="1A1A1A"/>
          <w:sz w:val="19"/>
          <w:szCs w:val="19"/>
        </w:rPr>
        <w:t xml:space="preserve"> · </w:t>
      </w:r>
      <w:r>
        <w:rPr>
          <w:rFonts w:ascii="Calibri" w:cs="Calibri" w:eastAsia="Calibri" w:hAnsi="Calibri"/>
          <w:color w:val="E91E63"/>
          <w:sz w:val="19"/>
          <w:szCs w:val="19"/>
        </w:rPr>
        <w:t xml:space="preserve">jurisprudence</w:t>
      </w:r>
      <w:r>
        <w:rPr>
          <w:rFonts w:ascii="Calibri" w:cs="Calibri" w:eastAsia="Calibri" w:hAnsi="Calibri"/>
          <w:color w:val="1A1A1A"/>
          <w:sz w:val="19"/>
          <w:szCs w:val="19"/>
        </w:rPr>
        <w:t xml:space="preserve"> · </w:t>
      </w:r>
      <w:r>
        <w:rPr>
          <w:rFonts w:ascii="Calibri" w:cs="Calibri" w:eastAsia="Calibri" w:hAnsi="Calibri"/>
          <w:color w:val="2E7D32"/>
          <w:sz w:val="19"/>
          <w:szCs w:val="19"/>
        </w:rPr>
        <w:t xml:space="preserve">doctrine et institutions</w:t>
      </w:r>
      <w:r>
        <w:rPr>
          <w:rFonts w:ascii="Calibri" w:cs="Calibri" w:eastAsia="Calibri" w:hAnsi="Calibri"/>
          <w:color w:val="1A1A1A"/>
          <w:sz w:val="19"/>
          <w:szCs w:val="19"/>
        </w:rPr>
        <w:t xml:space="preserve"> · </w:t>
      </w:r>
      <w:r>
        <w:rPr>
          <w:rFonts w:ascii="Calibri" w:cs="Calibri" w:eastAsia="Calibri" w:hAnsi="Calibri"/>
          <w:b/>
          <w:bCs/>
          <w:color w:val="1A1A1A"/>
          <w:sz w:val="19"/>
          <w:szCs w:val="19"/>
        </w:rPr>
        <w:t xml:space="preserve">gras = apport à mémoriser</w:t>
      </w:r>
      <w:r>
        <w:rPr>
          <w:rFonts w:ascii="Calibri" w:cs="Calibri" w:eastAsia="Calibri" w:hAnsi="Calibri"/>
          <w:color w:val="1A1A1A"/>
          <w:sz w:val="19"/>
          <w:szCs w:val="19"/>
        </w:rPr>
        <w:t xml:space="preserve"> · ★ référence incontournable</w:t>
      </w:r>
    </w:p>
    <w:p>
      <w:r>
        <w:br w:type="page"/>
      </w:r>
    </w:p>
    <w:p>
      <w:pPr>
        <w:pStyle w:val="Heading1"/>
        <w:pBdr>
          <w:bottom w:val="single" w:color="8C1C2B" w:sz="12" w:space="6"/>
        </w:pBdr>
        <w:spacing w:after="90" w:before="260"/>
      </w:pPr>
      <w:r>
        <w:rPr>
          <w:rFonts w:ascii="Calibri" w:cs="Calibri" w:eastAsia="Calibri" w:hAnsi="Calibri"/>
          <w:b/>
          <w:bCs/>
          <w:color w:val="8C1C2B"/>
          <w:sz w:val="28"/>
          <w:szCs w:val="28"/>
        </w:rPr>
        <w:t xml:space="preserve">MODE D’EMPLOI</w:t>
      </w:r>
    </w:p>
    <w:p>
      <w:pPr>
        <w:spacing w:after="90" w:line="264"/>
        <w:jc w:val="both"/>
      </w:pPr>
      <w:r>
        <w:rPr>
          <w:rFonts w:ascii="Calibri" w:cs="Calibri" w:eastAsia="Calibri" w:hAnsi="Calibri"/>
          <w:color w:val="1A1A1A"/>
          <w:sz w:val="20"/>
          <w:szCs w:val="20"/>
        </w:rPr>
        <w:t xml:space="preserve">Ce document reprend le support et les échanges du séminaire du 8 octobre 2026 et les transforme en dossier de travail. Les références citées dans les plans ont été contrôlées une à une ; celles qui sont fausses ou introuvables sont signalées. L’état du droit est à jour au 10 octobre 2026.</w:t>
      </w:r>
    </w:p>
    <w:p>
      <w:pPr>
        <w:pStyle w:val="Heading3"/>
        <w:spacing w:after="80" w:before="200"/>
      </w:pPr>
      <w:r>
        <w:rPr>
          <w:rFonts w:ascii="Calibri" w:cs="Calibri" w:eastAsia="Calibri" w:hAnsi="Calibri"/>
          <w:b/>
          <w:bCs/>
          <w:i/>
          <w:iCs/>
          <w:color w:val="1A1A1A"/>
          <w:sz w:val="21"/>
          <w:szCs w:val="21"/>
        </w:rPr>
        <w:t xml:space="preserve">Ce que contient le dossier</w:t>
      </w:r>
    </w:p>
    <w:p>
      <w:pPr>
        <w:pStyle w:val="ListParagraph"/>
        <w:numPr>
          <w:ilvl w:val="0"/>
          <w:numId w:val="2"/>
        </w:numPr>
        <w:spacing w:after="70" w:line="264"/>
        <w:jc w:val="both"/>
      </w:pPr>
      <w:r>
        <w:rPr>
          <w:rFonts w:ascii="Calibri" w:cs="Calibri" w:eastAsia="Calibri" w:hAnsi="Calibri"/>
          <w:b/>
          <w:bCs/>
          <w:color w:val="1A1A1A"/>
          <w:sz w:val="20"/>
          <w:szCs w:val="20"/>
        </w:rPr>
        <w:t xml:space="preserve">Partie I — Le dossier documentaire.</w:t>
      </w:r>
      <w:r>
        <w:rPr>
          <w:rFonts w:ascii="Calibri" w:cs="Calibri" w:eastAsia="Calibri" w:hAnsi="Calibri"/>
          <w:color w:val="1A1A1A"/>
          <w:sz w:val="20"/>
          <w:szCs w:val="20"/>
        </w:rPr>
        <w:t xml:space="preserve"> Le lexique de l’égalité, l’architecture textuelle, la grille de contrôle des trois juges (Conseil constitutionnel, Conseil d’État, juges européens), l’actualité 2025-2026.</w:t>
      </w:r>
    </w:p>
    <w:p>
      <w:pPr>
        <w:pStyle w:val="ListParagraph"/>
        <w:numPr>
          <w:ilvl w:val="0"/>
          <w:numId w:val="2"/>
        </w:numPr>
        <w:spacing w:after="70" w:line="264"/>
        <w:jc w:val="both"/>
      </w:pPr>
      <w:r>
        <w:rPr>
          <w:rFonts w:ascii="Calibri" w:cs="Calibri" w:eastAsia="Calibri" w:hAnsi="Calibri"/>
          <w:b/>
          <w:bCs/>
          <w:color w:val="1A1A1A"/>
          <w:sz w:val="20"/>
          <w:szCs w:val="20"/>
        </w:rPr>
        <w:t xml:space="preserve">Partie II — Le sujet.</w:t>
      </w:r>
      <w:r>
        <w:rPr>
          <w:rFonts w:ascii="Calibri" w:cs="Calibri" w:eastAsia="Calibri" w:hAnsi="Calibri"/>
          <w:color w:val="1A1A1A"/>
          <w:sz w:val="20"/>
          <w:szCs w:val="20"/>
        </w:rPr>
        <w:t xml:space="preserve"> Les règles de l’argumentation à thèse imposée, le piège propre à ce sujet, la définition stipulative d’« aménager », l’introduction rédigée mot à mot, le plan détaillé, la conclusion, un plan alternatif, les objections du jury et leurs ripostes.</w:t>
      </w:r>
    </w:p>
    <w:p>
      <w:pPr>
        <w:pStyle w:val="ListParagraph"/>
        <w:numPr>
          <w:ilvl w:val="0"/>
          <w:numId w:val="2"/>
        </w:numPr>
        <w:spacing w:after="70" w:line="264"/>
        <w:jc w:val="both"/>
      </w:pPr>
      <w:r>
        <w:rPr>
          <w:rFonts w:ascii="Calibri" w:cs="Calibri" w:eastAsia="Calibri" w:hAnsi="Calibri"/>
          <w:b/>
          <w:bCs/>
          <w:color w:val="1A1A1A"/>
          <w:sz w:val="20"/>
          <w:szCs w:val="20"/>
        </w:rPr>
        <w:t xml:space="preserve">Partie III — Correction des plans proposés en séminaire.</w:t>
      </w:r>
      <w:r>
        <w:rPr>
          <w:rFonts w:ascii="Calibri" w:cs="Calibri" w:eastAsia="Calibri" w:hAnsi="Calibri"/>
          <w:color w:val="1A1A1A"/>
          <w:sz w:val="20"/>
          <w:szCs w:val="20"/>
        </w:rPr>
        <w:t xml:space="preserve"> Le plan du support et les vingt et une propositions du chat : ce qui tient, ce qui ne tient pas, le rattrapage, une note indicative.</w:t>
      </w:r>
    </w:p>
    <w:p>
      <w:pPr>
        <w:pStyle w:val="ListParagraph"/>
        <w:numPr>
          <w:ilvl w:val="0"/>
          <w:numId w:val="2"/>
        </w:numPr>
        <w:spacing w:after="70" w:line="264"/>
        <w:jc w:val="both"/>
      </w:pPr>
      <w:r>
        <w:rPr>
          <w:rFonts w:ascii="Calibri" w:cs="Calibri" w:eastAsia="Calibri" w:hAnsi="Calibri"/>
          <w:b/>
          <w:bCs/>
          <w:color w:val="1A1A1A"/>
          <w:sz w:val="20"/>
          <w:szCs w:val="20"/>
        </w:rPr>
        <w:t xml:space="preserve">Partie IV — Les questions posées pendant le séminaire.</w:t>
      </w:r>
      <w:r>
        <w:rPr>
          <w:rFonts w:ascii="Calibri" w:cs="Calibri" w:eastAsia="Calibri" w:hAnsi="Calibri"/>
          <w:color w:val="1A1A1A"/>
          <w:sz w:val="20"/>
          <w:szCs w:val="20"/>
        </w:rPr>
        <w:t xml:space="preserve"> Onze questions, une réponse tranchée.</w:t>
      </w:r>
    </w:p>
    <w:p>
      <w:pPr>
        <w:pStyle w:val="ListParagraph"/>
        <w:numPr>
          <w:ilvl w:val="0"/>
          <w:numId w:val="2"/>
        </w:numPr>
        <w:spacing w:after="70" w:line="264"/>
        <w:jc w:val="both"/>
      </w:pPr>
      <w:r>
        <w:rPr>
          <w:rFonts w:ascii="Calibri" w:cs="Calibri" w:eastAsia="Calibri" w:hAnsi="Calibri"/>
          <w:b/>
          <w:bCs/>
          <w:color w:val="1A1A1A"/>
          <w:sz w:val="20"/>
          <w:szCs w:val="20"/>
        </w:rPr>
        <w:t xml:space="preserve">Partie V — Annexes.</w:t>
      </w:r>
      <w:r>
        <w:rPr>
          <w:rFonts w:ascii="Calibri" w:cs="Calibri" w:eastAsia="Calibri" w:hAnsi="Calibri"/>
          <w:color w:val="1A1A1A"/>
          <w:sz w:val="20"/>
          <w:szCs w:val="20"/>
        </w:rPr>
        <w:t xml:space="preserve"> Les références à corriger, le kit oral, le carnet fiscal (pour ta spécialité), le mémo de méthode.</w:t>
      </w:r>
    </w:p>
    <w:p>
      <w:pPr>
        <w:pStyle w:val="Heading3"/>
        <w:spacing w:after="80" w:before="200"/>
      </w:pPr>
      <w:r>
        <w:rPr>
          <w:rFonts w:ascii="Calibri" w:cs="Calibri" w:eastAsia="Calibri" w:hAnsi="Calibri"/>
          <w:b/>
          <w:bCs/>
          <w:i/>
          <w:iCs/>
          <w:color w:val="1A1A1A"/>
          <w:sz w:val="21"/>
          <w:szCs w:val="21"/>
        </w:rPr>
        <w:t xml:space="preserve">Trois avertissements de méthode</w:t>
      </w:r>
    </w:p>
    <w:p>
      <w:pPr>
        <w:pStyle w:val="ListParagraph"/>
        <w:numPr>
          <w:ilvl w:val="0"/>
          <w:numId w:val="2"/>
        </w:numPr>
        <w:spacing w:after="70" w:line="264"/>
        <w:jc w:val="both"/>
      </w:pPr>
      <w:r>
        <w:rPr>
          <w:rFonts w:ascii="Calibri" w:cs="Calibri" w:eastAsia="Calibri" w:hAnsi="Calibri"/>
          <w:b/>
          <w:bCs/>
          <w:color w:val="1A1A1A"/>
          <w:sz w:val="20"/>
          <w:szCs w:val="20"/>
        </w:rPr>
        <w:t xml:space="preserve">C’est une argumentation, pas une dissertation.</w:t>
      </w:r>
      <w:r>
        <w:rPr>
          <w:rFonts w:ascii="Calibri" w:cs="Calibri" w:eastAsia="Calibri" w:hAnsi="Calibri"/>
          <w:color w:val="1A1A1A"/>
          <w:sz w:val="20"/>
          <w:szCs w:val="20"/>
        </w:rPr>
        <w:t xml:space="preserve"> « Soutenez que » impose une thèse : tout l’exposé doit la démontrer. Un grand I consacré à « la consécration du principe » ou à « la prohibition des discriminations » ne démontre rien : il décrit, ou pire, plaide pour l’adversaire. Plus de la moitié des plans du séminaire, et le plan du support lui-même, tombent dans ce travers.</w:t>
      </w:r>
    </w:p>
    <w:p>
      <w:pPr>
        <w:pStyle w:val="ListParagraph"/>
        <w:numPr>
          <w:ilvl w:val="0"/>
          <w:numId w:val="2"/>
        </w:numPr>
        <w:spacing w:after="70" w:line="264"/>
        <w:jc w:val="both"/>
      </w:pPr>
      <w:r>
        <w:rPr>
          <w:rFonts w:ascii="Calibri" w:cs="Calibri" w:eastAsia="Calibri" w:hAnsi="Calibri"/>
          <w:b/>
          <w:bCs/>
          <w:color w:val="1A1A1A"/>
          <w:sz w:val="20"/>
          <w:szCs w:val="20"/>
        </w:rPr>
        <w:t xml:space="preserve">La thèse est facile : c’est le piège.</w:t>
      </w:r>
      <w:r>
        <w:rPr>
          <w:rFonts w:ascii="Calibri" w:cs="Calibri" w:eastAsia="Calibri" w:hAnsi="Calibri"/>
          <w:color w:val="1A1A1A"/>
          <w:sz w:val="20"/>
          <w:szCs w:val="20"/>
        </w:rPr>
        <w:t xml:space="preserve"> Personne ne conteste que l’égalité admette des différences de traitement. Le jury attend donc que vous répondiez à la seule objection sérieuse : </w:t>
      </w:r>
      <w:r>
        <w:rPr>
          <w:rFonts w:ascii="Calibri" w:cs="Calibri" w:eastAsia="Calibri" w:hAnsi="Calibri"/>
          <w:b/>
          <w:bCs/>
          <w:color w:val="1A1A1A"/>
          <w:sz w:val="20"/>
          <w:szCs w:val="20"/>
        </w:rPr>
        <w:t xml:space="preserve">aménager l’égalité, n’est-ce pas la trahir ?</w:t>
      </w:r>
      <w:r>
        <w:rPr>
          <w:rFonts w:ascii="Calibri" w:cs="Calibri" w:eastAsia="Calibri" w:hAnsi="Calibri"/>
          <w:color w:val="1A1A1A"/>
          <w:sz w:val="20"/>
          <w:szCs w:val="20"/>
        </w:rPr>
        <w:t xml:space="preserve"> Votre démonstration doit montrer que l’aménagement </w:t>
      </w:r>
      <w:r>
        <w:rPr>
          <w:rFonts w:ascii="Calibri" w:cs="Calibri" w:eastAsia="Calibri" w:hAnsi="Calibri"/>
          <w:b/>
          <w:bCs/>
          <w:color w:val="1A1A1A"/>
          <w:sz w:val="20"/>
          <w:szCs w:val="20"/>
        </w:rPr>
        <w:t xml:space="preserve">accomplit</w:t>
      </w:r>
      <w:r>
        <w:rPr>
          <w:rFonts w:ascii="Calibri" w:cs="Calibri" w:eastAsia="Calibri" w:hAnsi="Calibri"/>
          <w:color w:val="1A1A1A"/>
          <w:sz w:val="20"/>
          <w:szCs w:val="20"/>
        </w:rPr>
        <w:t xml:space="preserve"> le principe au lieu de l’entamer.</w:t>
      </w:r>
    </w:p>
    <w:p>
      <w:pPr>
        <w:pStyle w:val="ListParagraph"/>
        <w:numPr>
          <w:ilvl w:val="0"/>
          <w:numId w:val="2"/>
        </w:numPr>
        <w:spacing w:after="70" w:line="264"/>
        <w:jc w:val="both"/>
      </w:pPr>
      <w:r>
        <w:rPr>
          <w:rFonts w:ascii="Calibri" w:cs="Calibri" w:eastAsia="Calibri" w:hAnsi="Calibri"/>
          <w:b/>
          <w:bCs/>
          <w:color w:val="1A1A1A"/>
          <w:sz w:val="20"/>
          <w:szCs w:val="20"/>
        </w:rPr>
        <w:t xml:space="preserve">Le mot « aménagé » se définit.</w:t>
      </w:r>
      <w:r>
        <w:rPr>
          <w:rFonts w:ascii="Calibri" w:cs="Calibri" w:eastAsia="Calibri" w:hAnsi="Calibri"/>
          <w:color w:val="1A1A1A"/>
          <w:sz w:val="20"/>
          <w:szCs w:val="20"/>
        </w:rPr>
        <w:t xml:space="preserve"> Aménager n’est ni abolir ni simplement déroger : c’est adapter l’application d’un principe pour qu’il produise ses effets. Poser cette définition en introduction (Partie II, § 3) est ce qui donne à l’exposé son fil conducteur.</w:t>
      </w:r>
    </w:p>
    <w:p>
      <w:r>
        <w:br w:type="page"/>
      </w:r>
    </w:p>
    <w:p>
      <w:pPr>
        <w:pStyle w:val="Heading1"/>
        <w:pBdr>
          <w:bottom w:val="single" w:color="8C1C2B" w:sz="12" w:space="6"/>
        </w:pBdr>
        <w:spacing w:after="90" w:before="260"/>
      </w:pPr>
      <w:r>
        <w:rPr>
          <w:rFonts w:ascii="Calibri" w:cs="Calibri" w:eastAsia="Calibri" w:hAnsi="Calibri"/>
          <w:b/>
          <w:bCs/>
          <w:color w:val="8C1C2B"/>
          <w:sz w:val="28"/>
          <w:szCs w:val="28"/>
        </w:rPr>
        <w:t xml:space="preserve">FICHE-MÉMOIRE — À RELIRE AVANT L’ÉPREUVE</w:t>
      </w:r>
    </w:p>
    <w:p>
      <w:pPr>
        <w:pStyle w:val="Heading3"/>
        <w:spacing w:after="80" w:before="200"/>
      </w:pPr>
      <w:r>
        <w:rPr>
          <w:rFonts w:ascii="Calibri" w:cs="Calibri" w:eastAsia="Calibri" w:hAnsi="Calibri"/>
          <w:b/>
          <w:bCs/>
          <w:i/>
          <w:iCs/>
          <w:color w:val="1A1A1A"/>
          <w:sz w:val="21"/>
          <w:szCs w:val="21"/>
        </w:rPr>
        <w:t xml:space="preserve">Accroche</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color w:val="1A1A1A"/>
          <w:sz w:val="19"/>
          <w:szCs w:val="19"/>
        </w:rPr>
        <w:t xml:space="preserve">« L’article 6 de la Déclaration de 1789 proclame que tous les citoyens sont égaux aux yeux de la loi. Mais il ajoute aussitôt qu’ils sont admissibles aux emplois publics “selon leur capacité, et sans autre distinction que celle de leurs vertus et de leurs talents”. Le texte fondateur de l’égalité française l’aménage dans la phrase même qui la proclame. »</w:t>
      </w:r>
    </w:p>
    <w:p>
      <w:pPr>
        <w:pStyle w:val="Heading3"/>
        <w:spacing w:after="80" w:before="200"/>
      </w:pPr>
      <w:r>
        <w:rPr>
          <w:rFonts w:ascii="Calibri" w:cs="Calibri" w:eastAsia="Calibri" w:hAnsi="Calibri"/>
          <w:b/>
          <w:bCs/>
          <w:i/>
          <w:iCs/>
          <w:color w:val="1A1A1A"/>
          <w:sz w:val="21"/>
          <w:szCs w:val="21"/>
        </w:rPr>
        <w:t xml:space="preserve">Accroche alternative (actualité)</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color w:val="1A1A1A"/>
          <w:sz w:val="19"/>
          <w:szCs w:val="19"/>
        </w:rPr>
        <w:t xml:space="preserve">« Depuis le 1er mars 2026, les entreprises d’au moins mille salariés doivent compter au moins 30 % de femmes parmi leurs cadres dirigeants. Il y a quarante-quatre ans, le Conseil constitutionnel censurait un quota de 75 % de candidats d’un même sexe aux élections municipales. Entre les deux, le principe d’égalité n’a pas été abandonné : il a été aménagé. »</w:t>
      </w:r>
    </w:p>
    <w:p>
      <w:pPr>
        <w:pStyle w:val="Heading3"/>
        <w:spacing w:after="80" w:before="200"/>
      </w:pPr>
      <w:r>
        <w:rPr>
          <w:rFonts w:ascii="Calibri" w:cs="Calibri" w:eastAsia="Calibri" w:hAnsi="Calibri"/>
          <w:b/>
          <w:bCs/>
          <w:i/>
          <w:iCs/>
          <w:color w:val="1A1A1A"/>
          <w:sz w:val="21"/>
          <w:szCs w:val="21"/>
        </w:rPr>
        <w:t xml:space="preserve">La définition en trois lignes</w:t>
      </w:r>
    </w:p>
    <w:p>
      <w:pPr>
        <w:spacing w:after="90" w:line="264"/>
        <w:jc w:val="both"/>
      </w:pPr>
      <w:r>
        <w:rPr>
          <w:rFonts w:ascii="Calibri" w:cs="Calibri" w:eastAsia="Calibri" w:hAnsi="Calibri"/>
          <w:color w:val="1A1A1A"/>
          <w:sz w:val="20"/>
          <w:szCs w:val="20"/>
        </w:rPr>
        <w:t xml:space="preserve">Le </w:t>
      </w:r>
      <w:r>
        <w:rPr>
          <w:rFonts w:ascii="Calibri" w:cs="Calibri" w:eastAsia="Calibri" w:hAnsi="Calibri"/>
          <w:b/>
          <w:bCs/>
          <w:color w:val="1A1A1A"/>
          <w:sz w:val="20"/>
          <w:szCs w:val="20"/>
        </w:rPr>
        <w:t xml:space="preserve">principe d’égalité</w:t>
      </w:r>
      <w:r>
        <w:rPr>
          <w:rFonts w:ascii="Calibri" w:cs="Calibri" w:eastAsia="Calibri" w:hAnsi="Calibri"/>
          <w:color w:val="1A1A1A"/>
          <w:sz w:val="20"/>
          <w:szCs w:val="20"/>
        </w:rPr>
        <w:t xml:space="preserve"> impose de traiter de la même manière des personnes placées dans la même situation (</w:t>
      </w:r>
      <w:r>
        <w:rPr>
          <w:rFonts w:ascii="Calibri" w:cs="Calibri" w:eastAsia="Calibri" w:hAnsi="Calibri"/>
          <w:color w:val="1E88E5"/>
          <w:sz w:val="20"/>
          <w:szCs w:val="20"/>
        </w:rPr>
        <w:t xml:space="preserve">art. 1er et 6 DDHC</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Constitution</w:t>
      </w:r>
      <w:r>
        <w:rPr>
          <w:rFonts w:ascii="Calibri" w:cs="Calibri" w:eastAsia="Calibri" w:hAnsi="Calibri"/>
          <w:color w:val="1A1A1A"/>
          <w:sz w:val="20"/>
          <w:szCs w:val="20"/>
        </w:rPr>
        <w:t xml:space="preserve">). Il est </w:t>
      </w:r>
      <w:r>
        <w:rPr>
          <w:rFonts w:ascii="Calibri" w:cs="Calibri" w:eastAsia="Calibri" w:hAnsi="Calibri"/>
          <w:b/>
          <w:bCs/>
          <w:color w:val="1A1A1A"/>
          <w:sz w:val="20"/>
          <w:szCs w:val="20"/>
        </w:rPr>
        <w:t xml:space="preserve">aménagé</w:t>
      </w:r>
      <w:r>
        <w:rPr>
          <w:rFonts w:ascii="Calibri" w:cs="Calibri" w:eastAsia="Calibri" w:hAnsi="Calibri"/>
          <w:color w:val="1A1A1A"/>
          <w:sz w:val="20"/>
          <w:szCs w:val="20"/>
        </w:rPr>
        <w:t xml:space="preserve"> lorsque son application est adaptée sans que le principe soit abandonné, soit parce que les situations diffèrent, soit parce qu’un motif d’intérêt général le justifie, soit pour corriger une inégalité de fait. L’aménagement est licite s’il est </w:t>
      </w:r>
      <w:r>
        <w:rPr>
          <w:rFonts w:ascii="Calibri" w:cs="Calibri" w:eastAsia="Calibri" w:hAnsi="Calibri"/>
          <w:b/>
          <w:bCs/>
          <w:color w:val="1A1A1A"/>
          <w:sz w:val="20"/>
          <w:szCs w:val="20"/>
        </w:rPr>
        <w:t xml:space="preserve">en rapport direct avec l’objet de la norme</w:t>
      </w:r>
      <w:r>
        <w:rPr>
          <w:rFonts w:ascii="Calibri" w:cs="Calibri" w:eastAsia="Calibri" w:hAnsi="Calibri"/>
          <w:color w:val="1A1A1A"/>
          <w:sz w:val="20"/>
          <w:szCs w:val="20"/>
        </w:rPr>
        <w:t xml:space="preserve"> et s’il ne repose pas sur un </w:t>
      </w:r>
      <w:r>
        <w:rPr>
          <w:rFonts w:ascii="Calibri" w:cs="Calibri" w:eastAsia="Calibri" w:hAnsi="Calibri"/>
          <w:b/>
          <w:bCs/>
          <w:color w:val="1A1A1A"/>
          <w:sz w:val="20"/>
          <w:szCs w:val="20"/>
        </w:rPr>
        <w:t xml:space="preserve">critère prohibé</w:t>
      </w:r>
      <w:r>
        <w:rPr>
          <w:rFonts w:ascii="Calibri" w:cs="Calibri" w:eastAsia="Calibri" w:hAnsi="Calibri"/>
          <w:color w:val="1A1A1A"/>
          <w:sz w:val="20"/>
          <w:szCs w:val="20"/>
        </w:rPr>
        <w:t xml:space="preserve">.</w:t>
      </w:r>
    </w:p>
    <w:p>
      <w:pPr>
        <w:pStyle w:val="Heading3"/>
        <w:spacing w:after="80" w:before="200"/>
      </w:pPr>
      <w:r>
        <w:rPr>
          <w:rFonts w:ascii="Calibri" w:cs="Calibri" w:eastAsia="Calibri" w:hAnsi="Calibri"/>
          <w:b/>
          <w:bCs/>
          <w:i/>
          <w:iCs/>
          <w:color w:val="1A1A1A"/>
          <w:sz w:val="21"/>
          <w:szCs w:val="21"/>
        </w:rPr>
        <w:t xml:space="preserve">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6 et 13 DDHC</w:t>
      </w:r>
      <w:r>
        <w:rPr>
          <w:rFonts w:ascii="Calibri" w:cs="Calibri" w:eastAsia="Calibri" w:hAnsi="Calibri"/>
          <w:color w:val="1A1A1A"/>
          <w:sz w:val="20"/>
          <w:szCs w:val="20"/>
        </w:rPr>
        <w:t xml:space="preserve"> — les « distinctions sociales » fondées sur « l’utilité commune » ; l’admissibilité « selon leur capacité » ; la contribution répartie « en raison de leurs facultés ». </w:t>
      </w:r>
      <w:r>
        <w:rPr>
          <w:rFonts w:ascii="Calibri" w:cs="Calibri" w:eastAsia="Calibri" w:hAnsi="Calibri"/>
          <w:b/>
          <w:bCs/>
          <w:color w:val="1A1A1A"/>
          <w:sz w:val="20"/>
          <w:szCs w:val="20"/>
        </w:rPr>
        <w:t xml:space="preserve">La Déclaration aménage elle-même l’égalité qu’elle proclame.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7 janvier 1988, n° 87-232 DC</w:t>
      </w:r>
      <w:r>
        <w:rPr>
          <w:rFonts w:ascii="Calibri" w:cs="Calibri" w:eastAsia="Calibri" w:hAnsi="Calibri"/>
          <w:color w:val="1A1A1A"/>
          <w:sz w:val="20"/>
          <w:szCs w:val="20"/>
        </w:rPr>
        <w:t xml:space="preserve"> (formule de principe) — le principe d’égalité « ne s’oppose ni à ce que le législateur règle de façon différente des situations différentes, ni à ce qu’il déroge à l’égalité pour des raisons d’intérêt général pourvu que, dans l’un et l’autre cas, la différence de traitement qui en résulte soit en rapport direct avec l’objet de la loi qui l’établit ».</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sect., 10 mai 1974, Denoyez et Chorques, n° 88032</w:t>
      </w:r>
      <w:r>
        <w:rPr>
          <w:rFonts w:ascii="Calibri" w:cs="Calibri" w:eastAsia="Calibri" w:hAnsi="Calibri"/>
          <w:color w:val="1A1A1A"/>
          <w:sz w:val="20"/>
          <w:szCs w:val="20"/>
        </w:rPr>
        <w:t xml:space="preserve"> — trois cas de différenciation tarifaire entre usagers d’un même service public : une loi, une différence appréciable de situation, une nécessité d’intérêt général en rapport avec les conditions d’exploitation.</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al. 2 Constitution</w:t>
      </w:r>
      <w:r>
        <w:rPr>
          <w:rFonts w:ascii="Calibri" w:cs="Calibri" w:eastAsia="Calibri" w:hAnsi="Calibri"/>
          <w:color w:val="1A1A1A"/>
          <w:sz w:val="20"/>
          <w:szCs w:val="20"/>
        </w:rPr>
        <w:t xml:space="preserve"> (révisions des 8 juillet 1999 et 23 juillet 2008) — « la loi favorise l’égal accès des femmes et des hommes » ; et </w:t>
      </w:r>
      <w:r>
        <w:rPr>
          <w:rFonts w:ascii="Calibri" w:cs="Calibri" w:eastAsia="Calibri" w:hAnsi="Calibri"/>
          <w:color w:val="E91E63"/>
          <w:sz w:val="20"/>
          <w:szCs w:val="20"/>
        </w:rPr>
        <w:t xml:space="preserve">Cons. const., 11 juillet 2001, n° 2001-450 DC</w:t>
      </w:r>
      <w:r>
        <w:rPr>
          <w:rFonts w:ascii="Calibri" w:cs="Calibri" w:eastAsia="Calibri" w:hAnsi="Calibri"/>
          <w:color w:val="1A1A1A"/>
          <w:sz w:val="20"/>
          <w:szCs w:val="20"/>
        </w:rPr>
        <w:t xml:space="preserve"> — accès préférentiel à Sciences Po pour des lycées d’éducation prioritaire.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6 avril 2000, Thlimmenos c. Grèce, n° 34369/97</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est violé lorsqu’un État, sans justification, ne traite pas différemment des personnes placées dans des situations sensiblement différentes. </w:t>
      </w:r>
      <w:r>
        <w:rPr>
          <w:rFonts w:ascii="Calibri" w:cs="Calibri" w:eastAsia="Calibri" w:hAnsi="Calibri"/>
          <w:b/>
          <w:bCs/>
          <w:color w:val="1A1A1A"/>
          <w:sz w:val="20"/>
          <w:szCs w:val="20"/>
        </w:rPr>
        <w:t xml:space="preserve">L’aménagement devient parfois une obligation.</w:t>
      </w:r>
    </w:p>
    <w:p>
      <w:pPr>
        <w:pStyle w:val="Heading3"/>
        <w:spacing w:after="80" w:before="200"/>
      </w:pPr>
      <w:r>
        <w:rPr>
          <w:rFonts w:ascii="Calibri" w:cs="Calibri" w:eastAsia="Calibri" w:hAnsi="Calibri"/>
          <w:b/>
          <w:bCs/>
          <w:i/>
          <w:iCs/>
          <w:color w:val="1A1A1A"/>
          <w:sz w:val="21"/>
          <w:szCs w:val="21"/>
        </w:rPr>
        <w:t xml:space="preserve">Matrice de plan recommandée</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I. Un aménagement inscrit dans le principe : l’égalité a toujours été proportionnelle</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II. Un aménagement au service du principe : l’égalité réelle l’exige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Une égalité relative dès 1789 — art. 1er, 6 et 13 DDHC ; égalité géométrique (Aristote) ; dans la même catégorie, le même traitement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Des aménagements correcteurs — 2001-450 DC ; parité (1999, 2008 ; Copé-Zimmermann ; Rixain) ; handicap ; Quintanel (2015) ; Thlimmenos (2000) ; Stec (2006)</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B</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Une grille de contrôle commune aux juges — 87-232 DC ; Denoyez et Chorques ; Gennevilliers ; Baxter ; CEDH, Affaire linguistique belge (1968)</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Des aménagements encadrés, preuve que le principe survit — critères prohibés (91-290 DC, 2007-557 DC) ; rapport direct et proportionnalité ; révision constitutionnelle quand il le faut (parité, Nouvelle-Calédonie, 2025-1163/1167 QPC)</w:t>
            </w:r>
          </w:p>
        </w:tc>
      </w:tr>
    </w:tbl>
    <w:p>
      <w:pPr>
        <w:spacing w:after="120"/>
      </w:pPr>
    </w:p>
    <w:p>
      <w:pPr>
        <w:pStyle w:val="Heading3"/>
        <w:spacing w:after="80" w:before="200"/>
      </w:pPr>
      <w:r>
        <w:rPr>
          <w:rFonts w:ascii="Calibri" w:cs="Calibri" w:eastAsia="Calibri" w:hAnsi="Calibri"/>
          <w:b/>
          <w:bCs/>
          <w:i/>
          <w:iCs/>
          <w:color w:val="1A1A1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Piège n° 1 — faire un grand I sur la consécration du principe.</w:t>
      </w:r>
      <w:r>
        <w:rPr>
          <w:rFonts w:ascii="Calibri" w:cs="Calibri" w:eastAsia="Calibri" w:hAnsi="Calibri"/>
          <w:color w:val="1A1A1A"/>
          <w:sz w:val="20"/>
          <w:szCs w:val="20"/>
        </w:rPr>
        <w:t xml:space="preserve"> C’est le plan « principe / exceptions », qui consacre la moitié de l’exposé à autre chose que la thèse. Dans une argumentation, même le rappel du principe doit servir la démonstration : « le principe se prête à l’aménagement parce que… ».</w:t>
      </w:r>
    </w:p>
    <w:p>
      <w:pPr>
        <w:pStyle w:val="ListParagraph"/>
        <w:numPr>
          <w:ilvl w:val="0"/>
          <w:numId w:val="2"/>
        </w:numPr>
        <w:spacing w:after="70" w:line="264"/>
        <w:jc w:val="both"/>
      </w:pPr>
      <w:r>
        <w:rPr>
          <w:rFonts w:ascii="Calibri" w:cs="Calibri" w:eastAsia="Calibri" w:hAnsi="Calibri"/>
          <w:b/>
          <w:bCs/>
          <w:color w:val="1A1A1A"/>
          <w:sz w:val="20"/>
          <w:szCs w:val="20"/>
        </w:rPr>
        <w:t xml:space="preserve">Piège n° 2 — opposer « égalité formelle » et « égalité réelle » comme si la première interdisait tout aménagement.</w:t>
      </w:r>
      <w:r>
        <w:rPr>
          <w:rFonts w:ascii="Calibri" w:cs="Calibri" w:eastAsia="Calibri" w:hAnsi="Calibri"/>
          <w:color w:val="1A1A1A"/>
          <w:sz w:val="20"/>
          <w:szCs w:val="20"/>
        </w:rPr>
        <w:t xml:space="preserve"> Même l’égalité formelle de 1789 est proportionnelle (art. 6 et 13 DDHC). Le vrai clivage est ailleurs : entre aménagements </w:t>
      </w:r>
      <w:r>
        <w:rPr>
          <w:rFonts w:ascii="Calibri" w:cs="Calibri" w:eastAsia="Calibri" w:hAnsi="Calibri"/>
          <w:b/>
          <w:bCs/>
          <w:color w:val="1A1A1A"/>
          <w:sz w:val="20"/>
          <w:szCs w:val="20"/>
        </w:rPr>
        <w:t xml:space="preserve">permis</w:t>
      </w:r>
      <w:r>
        <w:rPr>
          <w:rFonts w:ascii="Calibri" w:cs="Calibri" w:eastAsia="Calibri" w:hAnsi="Calibri"/>
          <w:color w:val="1A1A1A"/>
          <w:sz w:val="20"/>
          <w:szCs w:val="20"/>
        </w:rPr>
        <w:t xml:space="preserve"> (différences de situation, intérêt général) et aménagements </w:t>
      </w:r>
      <w:r>
        <w:rPr>
          <w:rFonts w:ascii="Calibri" w:cs="Calibri" w:eastAsia="Calibri" w:hAnsi="Calibri"/>
          <w:b/>
          <w:bCs/>
          <w:color w:val="1A1A1A"/>
          <w:sz w:val="20"/>
          <w:szCs w:val="20"/>
        </w:rPr>
        <w:t xml:space="preserve">imposés</w:t>
      </w:r>
      <w:r>
        <w:rPr>
          <w:rFonts w:ascii="Calibri" w:cs="Calibri" w:eastAsia="Calibri" w:hAnsi="Calibri"/>
          <w:color w:val="1A1A1A"/>
          <w:sz w:val="20"/>
          <w:szCs w:val="20"/>
        </w:rPr>
        <w:t xml:space="preserve"> (Thlimmenos, aménagement raisonnable).</w:t>
      </w:r>
    </w:p>
    <w:p>
      <w:pPr>
        <w:pStyle w:val="ListParagraph"/>
        <w:numPr>
          <w:ilvl w:val="0"/>
          <w:numId w:val="2"/>
        </w:numPr>
        <w:spacing w:after="70" w:line="264"/>
        <w:jc w:val="both"/>
      </w:pPr>
      <w:r>
        <w:rPr>
          <w:rFonts w:ascii="Calibri" w:cs="Calibri" w:eastAsia="Calibri" w:hAnsi="Calibri"/>
          <w:b/>
          <w:bCs/>
          <w:color w:val="1A1A1A"/>
          <w:sz w:val="20"/>
          <w:szCs w:val="20"/>
        </w:rPr>
        <w:t xml:space="preserve">Piège n° 3 — croire que les juges français admettent tout aménagement correcteur.</w:t>
      </w:r>
      <w:r>
        <w:rPr>
          <w:rFonts w:ascii="Calibri" w:cs="Calibri" w:eastAsia="Calibri" w:hAnsi="Calibri"/>
          <w:color w:val="1A1A1A"/>
          <w:sz w:val="20"/>
          <w:szCs w:val="20"/>
        </w:rPr>
        <w:t xml:space="preserve"> Ils l’admettent sur des critères sociaux, territoriaux, de handicap ou de sexe (après révision) ; jamais sur l’origine. La parité a exigé deux révisions de la Constitution, après </w:t>
      </w:r>
      <w:r>
        <w:rPr>
          <w:rFonts w:ascii="Calibri" w:cs="Calibri" w:eastAsia="Calibri" w:hAnsi="Calibri"/>
          <w:color w:val="E91E63"/>
          <w:sz w:val="20"/>
          <w:szCs w:val="20"/>
        </w:rPr>
        <w:t xml:space="preserve">82-146 DC</w:t>
      </w:r>
      <w:r>
        <w:rPr>
          <w:rFonts w:ascii="Calibri" w:cs="Calibri" w:eastAsia="Calibri" w:hAnsi="Calibri"/>
          <w:color w:val="1A1A1A"/>
          <w:sz w:val="20"/>
          <w:szCs w:val="20"/>
        </w:rPr>
        <w:t xml:space="preserve"> (18 novembre 1982) et </w:t>
      </w:r>
      <w:r>
        <w:rPr>
          <w:rFonts w:ascii="Calibri" w:cs="Calibri" w:eastAsia="Calibri" w:hAnsi="Calibri"/>
          <w:color w:val="E91E63"/>
          <w:sz w:val="20"/>
          <w:szCs w:val="20"/>
        </w:rPr>
        <w:t xml:space="preserve">2006-533 DC</w:t>
      </w:r>
      <w:r>
        <w:rPr>
          <w:rFonts w:ascii="Calibri" w:cs="Calibri" w:eastAsia="Calibri" w:hAnsi="Calibri"/>
          <w:color w:val="1A1A1A"/>
          <w:sz w:val="20"/>
          <w:szCs w:val="20"/>
        </w:rPr>
        <w:t xml:space="preserve"> (16 mars 2006). C’est la limite qui rend la thèse crédible, non une concession.</w:t>
      </w: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I. LE DOSSIER DOCUMENTAIRE</w:t>
      </w:r>
    </w:p>
    <w:p>
      <w:pPr>
        <w:pStyle w:val="Heading1"/>
        <w:pBdr>
          <w:bottom w:val="single" w:color="8C1C2B" w:sz="12" w:space="6"/>
        </w:pBdr>
        <w:spacing w:after="90" w:before="260"/>
      </w:pPr>
      <w:r>
        <w:rPr>
          <w:rFonts w:ascii="Calibri" w:cs="Calibri" w:eastAsia="Calibri" w:hAnsi="Calibri"/>
          <w:b/>
          <w:bCs/>
          <w:color w:val="8C1C2B"/>
          <w:sz w:val="28"/>
          <w:szCs w:val="28"/>
        </w:rPr>
        <w:t xml:space="preserve">1. LE LEXIQUE — HUIT NOTIONS À NE JAMAIS CONFONDRE</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Notion</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Définition</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Exemple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Égalité devant la loi</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loi s’applique de la même manière à tous ceux qu’elle vise.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6 DDHC</w:t>
            </w:r>
            <w:r>
              <w:rPr>
                <w:rFonts w:ascii="Calibri" w:cs="Calibri" w:eastAsia="Calibri" w:hAnsi="Calibri"/>
                <w:b w:val="false"/>
                <w:bCs w:val="false"/>
                <w:color w:val="1A1A1A"/>
                <w:sz w:val="17"/>
                <w:szCs w:val="17"/>
              </w:rPr>
              <w:t xml:space="preserve"> : la loi « doit être la même pour tous ».</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Égalité dans la loi</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contenu même de la loi ne doit pas créer de différences injustifiées : c’est l’objet du contrôle du Conseil constitutionnel depuis 1973.</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73-51 DC, 27 décembre 1973, Taxation d’office</w:t>
            </w:r>
            <w:r>
              <w:rPr>
                <w:rFonts w:ascii="Calibri" w:cs="Calibri" w:eastAsia="Calibri" w:hAnsi="Calibri"/>
                <w:b w:val="false"/>
                <w:bCs w:val="false"/>
                <w:color w:val="1A1A1A"/>
                <w:sz w:val="17"/>
                <w:szCs w:val="17"/>
              </w:rPr>
              <w:t xml:space="preserv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Égalité par la loi</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loi agit pour réduire des inégalités de fait.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1er al. 2 Constitution</w:t>
            </w:r>
            <w:r>
              <w:rPr>
                <w:rFonts w:ascii="Calibri" w:cs="Calibri" w:eastAsia="Calibri" w:hAnsi="Calibri"/>
                <w:b w:val="false"/>
                <w:bCs w:val="false"/>
                <w:color w:val="1A1A1A"/>
                <w:sz w:val="17"/>
                <w:szCs w:val="17"/>
              </w:rPr>
              <w:t xml:space="preserve"> : la loi « favorise » l’égal accès des femmes et des hommes.</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Égalité arithmétique / géométrique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2E7D32"/>
                <w:sz w:val="17"/>
                <w:szCs w:val="17"/>
              </w:rPr>
              <w:t xml:space="preserve">Aristote</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2E7D32"/>
                <w:sz w:val="17"/>
                <w:szCs w:val="17"/>
              </w:rPr>
              <w:t xml:space="preserve">Éthique à Nicomaque</w:t>
            </w:r>
            <w:r>
              <w:rPr>
                <w:rFonts w:ascii="Calibri" w:cs="Calibri" w:eastAsia="Calibri" w:hAnsi="Calibri"/>
                <w:b w:val="false"/>
                <w:bCs w:val="false"/>
                <w:color w:val="1A1A1A"/>
                <w:sz w:val="17"/>
                <w:szCs w:val="17"/>
              </w:rPr>
              <w:t xml:space="preserve">, livre V : la justice corrective donne à chacun la même chose ; la justice distributive donne à chacun en proportion de son mérite ou de sa situation.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L’impôt progressif est une égalité géométrique.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Différenciation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Traitement différent de situations différentes : l’égalité est respectée, pas aménagée au sens fort.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Tarifs de bac différents pour les résidents de l’île de Ré (</w:t>
            </w:r>
            <w:r>
              <w:rPr>
                <w:rFonts w:ascii="Calibri" w:cs="Calibri" w:eastAsia="Calibri" w:hAnsi="Calibri"/>
                <w:b w:val="false"/>
                <w:bCs w:val="false"/>
                <w:color w:val="E91E63"/>
                <w:sz w:val="17"/>
                <w:szCs w:val="17"/>
              </w:rPr>
              <w:t xml:space="preserve">Denoyez et Chorques</w:t>
            </w:r>
            <w:r>
              <w:rPr>
                <w:rFonts w:ascii="Calibri" w:cs="Calibri" w:eastAsia="Calibri" w:hAnsi="Calibri"/>
                <w:b w:val="false"/>
                <w:bCs w:val="false"/>
                <w:color w:val="1A1A1A"/>
                <w:sz w:val="17"/>
                <w:szCs w:val="17"/>
              </w:rPr>
              <w:t xml:space="preserve">, 1974).</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Dérogation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Traitement différent de situations identiques, justifié par l’intérêt général.</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Avantages fiscaux en zones de revitalisation (</w:t>
            </w:r>
            <w:r>
              <w:rPr>
                <w:rFonts w:ascii="Calibri" w:cs="Calibri" w:eastAsia="Calibri" w:hAnsi="Calibri"/>
                <w:b w:val="false"/>
                <w:bCs w:val="false"/>
                <w:color w:val="E91E63"/>
                <w:sz w:val="17"/>
                <w:szCs w:val="17"/>
              </w:rPr>
              <w:t xml:space="preserve">94-358 DC</w:t>
            </w:r>
            <w:r>
              <w:rPr>
                <w:rFonts w:ascii="Calibri" w:cs="Calibri" w:eastAsia="Calibri" w:hAnsi="Calibri"/>
                <w:b w:val="false"/>
                <w:bCs w:val="false"/>
                <w:color w:val="1A1A1A"/>
                <w:sz w:val="17"/>
                <w:szCs w:val="17"/>
              </w:rPr>
              <w:t xml:space="preserve">, 26 janvier 1995).</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Discrimination</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Différence fondée sur un critère prohibé ou dépourvue de justification objective et raisonnable : interdite.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E88E5"/>
                <w:sz w:val="17"/>
                <w:szCs w:val="17"/>
              </w:rPr>
              <w:t xml:space="preserve">Art. 225-1 C. pén.</w:t>
            </w:r>
            <w:r>
              <w:rPr>
                <w:rFonts w:ascii="Calibri" w:cs="Calibri" w:eastAsia="Calibri" w:hAnsi="Calibri"/>
                <w:b w:val="false"/>
                <w:bCs w:val="false"/>
                <w:color w:val="1A1A1A"/>
                <w:sz w:val="17"/>
                <w:szCs w:val="17"/>
              </w:rPr>
              <w:t xml:space="preserve"> ; </w:t>
            </w:r>
            <w:r>
              <w:rPr>
                <w:rFonts w:ascii="Calibri" w:cs="Calibri" w:eastAsia="Calibri" w:hAnsi="Calibri"/>
                <w:b w:val="false"/>
                <w:bCs w:val="false"/>
                <w:color w:val="1E88E5"/>
                <w:sz w:val="17"/>
                <w:szCs w:val="17"/>
              </w:rPr>
              <w:t xml:space="preserve">art. 14 CEDH</w:t>
            </w:r>
            <w:r>
              <w:rPr>
                <w:rFonts w:ascii="Calibri" w:cs="Calibri" w:eastAsia="Calibri" w:hAnsi="Calibri"/>
                <w:b w:val="false"/>
                <w:bCs w:val="false"/>
                <w:color w:val="1A1A1A"/>
                <w:sz w:val="17"/>
                <w:szCs w:val="17"/>
              </w:rPr>
              <w:t xml:space="preserv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Action positive / discrimination positive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Avantage temporaire accordé à une catégorie défavorisée pour corriger une inégalité de fait.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Conventions ZEP de Sciences Po (</w:t>
            </w:r>
            <w:r>
              <w:rPr>
                <w:rFonts w:ascii="Calibri" w:cs="Calibri" w:eastAsia="Calibri" w:hAnsi="Calibri"/>
                <w:b w:val="false"/>
                <w:bCs w:val="false"/>
                <w:color w:val="E91E63"/>
                <w:sz w:val="17"/>
                <w:szCs w:val="17"/>
              </w:rPr>
              <w:t xml:space="preserve">2001-450 DC</w:t>
            </w:r>
            <w:r>
              <w:rPr>
                <w:rFonts w:ascii="Calibri" w:cs="Calibri" w:eastAsia="Calibri" w:hAnsi="Calibri"/>
                <w:b w:val="false"/>
                <w:bCs w:val="false"/>
                <w:color w:val="1A1A1A"/>
                <w:sz w:val="17"/>
                <w:szCs w:val="17"/>
              </w:rPr>
              <w:t xml:space="preserve">) ; quotas de femmes dirigeantes (loi Rixain).</w:t>
            </w:r>
          </w:p>
        </w:tc>
      </w:tr>
    </w:tbl>
    <w:p>
      <w:pPr>
        <w:spacing w:after="120"/>
      </w:pP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Ce que veut dire « aménager ».</w:t>
      </w:r>
      <w:r>
        <w:rPr>
          <w:rFonts w:ascii="Calibri" w:cs="Calibri" w:eastAsia="Calibri" w:hAnsi="Calibri"/>
          <w:color w:val="1A1A1A"/>
          <w:sz w:val="19"/>
          <w:szCs w:val="19"/>
        </w:rPr>
        <w:t xml:space="preserve"> Le mot est plus fort que « différencier » et plus faible que « déroger ». Aménager, c’est disposer autrement pour mieux faire fonctionner : on aménage un local, un temps de travail, une peine. Appliqué au principe d’égalité, l’aménagement en adapte l’application aux situations réelles </w:t>
      </w:r>
      <w:r>
        <w:rPr>
          <w:rFonts w:ascii="Calibri" w:cs="Calibri" w:eastAsia="Calibri" w:hAnsi="Calibri"/>
          <w:b/>
          <w:bCs/>
          <w:color w:val="1A1A1A"/>
          <w:sz w:val="19"/>
          <w:szCs w:val="19"/>
        </w:rPr>
        <w:t xml:space="preserve">sans en abandonner la finalité</w:t>
      </w:r>
      <w:r>
        <w:rPr>
          <w:rFonts w:ascii="Calibri" w:cs="Calibri" w:eastAsia="Calibri" w:hAnsi="Calibri"/>
          <w:color w:val="1A1A1A"/>
          <w:sz w:val="19"/>
          <w:szCs w:val="19"/>
        </w:rPr>
        <w:t xml:space="preserve">. C’est cette définition qui permet de soutenir la thèse jusqu’au bout.</w:t>
      </w:r>
    </w:p>
    <w:p>
      <w:pPr>
        <w:pStyle w:val="Heading1"/>
        <w:pBdr>
          <w:bottom w:val="single" w:color="8C1C2B" w:sz="12" w:space="6"/>
        </w:pBdr>
        <w:spacing w:after="90" w:before="260"/>
      </w:pPr>
      <w:r>
        <w:rPr>
          <w:rFonts w:ascii="Calibri" w:cs="Calibri" w:eastAsia="Calibri" w:hAnsi="Calibri"/>
          <w:b/>
          <w:bCs/>
          <w:color w:val="8C1C2B"/>
          <w:sz w:val="28"/>
          <w:szCs w:val="28"/>
        </w:rPr>
        <w:t xml:space="preserve">2. L’ARCHITECTURE TEXTUELLE</w:t>
      </w:r>
    </w:p>
    <w:p>
      <w:pPr>
        <w:pStyle w:val="Heading2"/>
        <w:spacing w:after="110" w:before="260"/>
      </w:pPr>
      <w:r>
        <w:rPr>
          <w:rFonts w:ascii="Calibri" w:cs="Calibri" w:eastAsia="Calibri" w:hAnsi="Calibri"/>
          <w:b/>
          <w:bCs/>
          <w:color w:val="1A1A1A"/>
          <w:spacing w:val="16"/>
          <w:sz w:val="23"/>
          <w:szCs w:val="23"/>
        </w:rPr>
        <w:t xml:space="preserve">2.1. Le bloc de constitutionnalité</w:t>
      </w:r>
    </w:p>
    <w:p>
      <w:pPr>
        <w:pStyle w:val="ListParagraph"/>
        <w:numPr>
          <w:ilvl w:val="0"/>
          <w:numId w:val="2"/>
        </w:numPr>
        <w:spacing w:after="70" w:line="264"/>
        <w:jc w:val="both"/>
      </w:pPr>
      <w:r>
        <w:rPr>
          <w:rFonts w:ascii="Calibri" w:cs="Calibri" w:eastAsia="Calibri" w:hAnsi="Calibri"/>
          <w:color w:val="1E88E5"/>
          <w:sz w:val="20"/>
          <w:szCs w:val="20"/>
        </w:rPr>
        <w:t xml:space="preserve">DDHC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w:t>
      </w:r>
      <w:r>
        <w:rPr>
          <w:rFonts w:ascii="Calibri" w:cs="Calibri" w:eastAsia="Calibri" w:hAnsi="Calibri"/>
          <w:color w:val="1A1A1A"/>
          <w:sz w:val="20"/>
          <w:szCs w:val="20"/>
        </w:rPr>
        <w:t xml:space="preserve"> (« Les hommes naissent et demeurent libres et égaux en droits. Les distinctions sociales ne peuvent être fondées que sur l’utilité commune ») ; </w:t>
      </w:r>
      <w:r>
        <w:rPr>
          <w:rFonts w:ascii="Calibri" w:cs="Calibri" w:eastAsia="Calibri" w:hAnsi="Calibri"/>
          <w:color w:val="1E88E5"/>
          <w:sz w:val="20"/>
          <w:szCs w:val="20"/>
        </w:rPr>
        <w:t xml:space="preserve">art. 6</w:t>
      </w:r>
      <w:r>
        <w:rPr>
          <w:rFonts w:ascii="Calibri" w:cs="Calibri" w:eastAsia="Calibri" w:hAnsi="Calibri"/>
          <w:color w:val="1A1A1A"/>
          <w:sz w:val="20"/>
          <w:szCs w:val="20"/>
        </w:rPr>
        <w:t xml:space="preserve"> (la loi « doit être la même pour tous » ; admissibilité aux emplois « selon leur capacité, et sans autre distinction que celle de leurs vertus et de leurs talents ») ; </w:t>
      </w:r>
      <w:r>
        <w:rPr>
          <w:rFonts w:ascii="Calibri" w:cs="Calibri" w:eastAsia="Calibri" w:hAnsi="Calibri"/>
          <w:color w:val="1E88E5"/>
          <w:sz w:val="20"/>
          <w:szCs w:val="20"/>
        </w:rPr>
        <w:t xml:space="preserve">art. 13</w:t>
      </w:r>
      <w:r>
        <w:rPr>
          <w:rFonts w:ascii="Calibri" w:cs="Calibri" w:eastAsia="Calibri" w:hAnsi="Calibri"/>
          <w:color w:val="1A1A1A"/>
          <w:sz w:val="20"/>
          <w:szCs w:val="20"/>
        </w:rPr>
        <w:t xml:space="preserve"> (contribution commune « également répartie entre tous les citoyens, en raison de leurs facultés »).</w:t>
      </w:r>
    </w:p>
    <w:p>
      <w:pPr>
        <w:pStyle w:val="ListParagraph"/>
        <w:numPr>
          <w:ilvl w:val="0"/>
          <w:numId w:val="2"/>
        </w:numPr>
        <w:spacing w:after="70" w:line="264"/>
        <w:jc w:val="both"/>
      </w:pPr>
      <w:r>
        <w:rPr>
          <w:rFonts w:ascii="Calibri" w:cs="Calibri" w:eastAsia="Calibri" w:hAnsi="Calibri"/>
          <w:color w:val="1E88E5"/>
          <w:sz w:val="20"/>
          <w:szCs w:val="20"/>
        </w:rPr>
        <w:t xml:space="preserve">Préambule de 1946</w:t>
      </w:r>
      <w:r>
        <w:rPr>
          <w:rFonts w:ascii="Calibri" w:cs="Calibri" w:eastAsia="Calibri" w:hAnsi="Calibri"/>
          <w:color w:val="1A1A1A"/>
          <w:sz w:val="20"/>
          <w:szCs w:val="20"/>
        </w:rPr>
        <w:t xml:space="preserve"> : al. 3 (égalité des droits entre femmes et hommes), al. 5 (pas de discrimination dans l’emploi), al. 12 (égalité devant les charges résultant des calamités nationales), al. 13 (égal accès à l’instruction).</w:t>
      </w:r>
    </w:p>
    <w:p>
      <w:pPr>
        <w:pStyle w:val="ListParagraph"/>
        <w:numPr>
          <w:ilvl w:val="0"/>
          <w:numId w:val="2"/>
        </w:numPr>
        <w:spacing w:after="70" w:line="264"/>
        <w:jc w:val="both"/>
      </w:pPr>
      <w:r>
        <w:rPr>
          <w:rFonts w:ascii="Calibri" w:cs="Calibri" w:eastAsia="Calibri" w:hAnsi="Calibri"/>
          <w:color w:val="1E88E5"/>
          <w:sz w:val="20"/>
          <w:szCs w:val="20"/>
        </w:rPr>
        <w:t xml:space="preserve">Constitution de 1958</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 al. 1er</w:t>
      </w:r>
      <w:r>
        <w:rPr>
          <w:rFonts w:ascii="Calibri" w:cs="Calibri" w:eastAsia="Calibri" w:hAnsi="Calibri"/>
          <w:color w:val="1A1A1A"/>
          <w:sz w:val="20"/>
          <w:szCs w:val="20"/>
        </w:rPr>
        <w:t xml:space="preserve"> (égalité devant la loi « sans distinction d’origine, de race ou de religion ») et </w:t>
      </w:r>
      <w:r>
        <w:rPr>
          <w:rFonts w:ascii="Calibri" w:cs="Calibri" w:eastAsia="Calibri" w:hAnsi="Calibri"/>
          <w:color w:val="1E88E5"/>
          <w:sz w:val="20"/>
          <w:szCs w:val="20"/>
        </w:rPr>
        <w:t xml:space="preserve">al. 2</w:t>
      </w:r>
      <w:r>
        <w:rPr>
          <w:rFonts w:ascii="Calibri" w:cs="Calibri" w:eastAsia="Calibri" w:hAnsi="Calibri"/>
          <w:color w:val="1A1A1A"/>
          <w:sz w:val="20"/>
          <w:szCs w:val="20"/>
        </w:rPr>
        <w:t xml:space="preserve"> (parité) ; </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(suffrage universel, égal et secret) ; </w:t>
      </w:r>
      <w:r>
        <w:rPr>
          <w:rFonts w:ascii="Calibri" w:cs="Calibri" w:eastAsia="Calibri" w:hAnsi="Calibri"/>
          <w:color w:val="1E88E5"/>
          <w:sz w:val="20"/>
          <w:szCs w:val="20"/>
        </w:rPr>
        <w:t xml:space="preserve">art. 37-1 et 72 al. 4</w:t>
      </w:r>
      <w:r>
        <w:rPr>
          <w:rFonts w:ascii="Calibri" w:cs="Calibri" w:eastAsia="Calibri" w:hAnsi="Calibri"/>
          <w:color w:val="1A1A1A"/>
          <w:sz w:val="20"/>
          <w:szCs w:val="20"/>
        </w:rPr>
        <w:t xml:space="preserve"> (expérimentation, 2003) ; </w:t>
      </w:r>
      <w:r>
        <w:rPr>
          <w:rFonts w:ascii="Calibri" w:cs="Calibri" w:eastAsia="Calibri" w:hAnsi="Calibri"/>
          <w:color w:val="1E88E5"/>
          <w:sz w:val="20"/>
          <w:szCs w:val="20"/>
        </w:rPr>
        <w:t xml:space="preserve">art. 73 et 74</w:t>
      </w:r>
      <w:r>
        <w:rPr>
          <w:rFonts w:ascii="Calibri" w:cs="Calibri" w:eastAsia="Calibri" w:hAnsi="Calibri"/>
          <w:color w:val="1A1A1A"/>
          <w:sz w:val="20"/>
          <w:szCs w:val="20"/>
        </w:rPr>
        <w:t xml:space="preserve"> (adaptations outre-mer) ; </w:t>
      </w:r>
      <w:r>
        <w:rPr>
          <w:rFonts w:ascii="Calibri" w:cs="Calibri" w:eastAsia="Calibri" w:hAnsi="Calibri"/>
          <w:color w:val="1E88E5"/>
          <w:sz w:val="20"/>
          <w:szCs w:val="20"/>
        </w:rPr>
        <w:t xml:space="preserve">art. 77</w:t>
      </w:r>
      <w:r>
        <w:rPr>
          <w:rFonts w:ascii="Calibri" w:cs="Calibri" w:eastAsia="Calibri" w:hAnsi="Calibri"/>
          <w:color w:val="1A1A1A"/>
          <w:sz w:val="20"/>
          <w:szCs w:val="20"/>
        </w:rPr>
        <w:t xml:space="preserve"> (Nouvelle-Calédonie).</w:t>
      </w:r>
    </w:p>
    <w:p>
      <w:pPr>
        <w:pStyle w:val="Heading2"/>
        <w:spacing w:after="110" w:before="260"/>
      </w:pPr>
      <w:r>
        <w:rPr>
          <w:rFonts w:ascii="Calibri" w:cs="Calibri" w:eastAsia="Calibri" w:hAnsi="Calibri"/>
          <w:b/>
          <w:bCs/>
          <w:color w:val="1A1A1A"/>
          <w:spacing w:val="16"/>
          <w:sz w:val="23"/>
          <w:szCs w:val="23"/>
        </w:rPr>
        <w:t xml:space="preserve">2.2. Les textes européens et internationaux</w:t>
      </w:r>
    </w:p>
    <w:p>
      <w:pPr>
        <w:pStyle w:val="ListParagraph"/>
        <w:numPr>
          <w:ilvl w:val="0"/>
          <w:numId w:val="2"/>
        </w:numPr>
        <w:spacing w:after="70" w:line="264"/>
        <w:jc w:val="both"/>
      </w:pPr>
      <w:r>
        <w:rPr>
          <w:rFonts w:ascii="Calibri" w:cs="Calibri" w:eastAsia="Calibri" w:hAnsi="Calibri"/>
          <w:color w:val="1E88E5"/>
          <w:sz w:val="20"/>
          <w:szCs w:val="20"/>
        </w:rPr>
        <w:t xml:space="preserve">Art. 14 CEDH</w:t>
      </w:r>
      <w:r>
        <w:rPr>
          <w:rFonts w:ascii="Calibri" w:cs="Calibri" w:eastAsia="Calibri" w:hAnsi="Calibri"/>
          <w:color w:val="1A1A1A"/>
          <w:sz w:val="20"/>
          <w:szCs w:val="20"/>
        </w:rPr>
        <w:t xml:space="preserve"> (accessoire) et </w:t>
      </w:r>
      <w:r>
        <w:rPr>
          <w:rFonts w:ascii="Calibri" w:cs="Calibri" w:eastAsia="Calibri" w:hAnsi="Calibri"/>
          <w:color w:val="1E88E5"/>
          <w:sz w:val="20"/>
          <w:szCs w:val="20"/>
        </w:rPr>
        <w:t xml:space="preserve">Protocole n° 12</w:t>
      </w:r>
      <w:r>
        <w:rPr>
          <w:rFonts w:ascii="Calibri" w:cs="Calibri" w:eastAsia="Calibri" w:hAnsi="Calibri"/>
          <w:color w:val="1A1A1A"/>
          <w:sz w:val="20"/>
          <w:szCs w:val="20"/>
        </w:rPr>
        <w:t xml:space="preserve"> (non ratifié par la France) ; </w:t>
      </w:r>
      <w:r>
        <w:rPr>
          <w:rFonts w:ascii="Calibri" w:cs="Calibri" w:eastAsia="Calibri" w:hAnsi="Calibri"/>
          <w:color w:val="1E88E5"/>
          <w:sz w:val="20"/>
          <w:szCs w:val="20"/>
        </w:rPr>
        <w:t xml:space="preserve">art. 20, 21 et 23 CDFUE</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23</w:t>
      </w:r>
      <w:r>
        <w:rPr>
          <w:rFonts w:ascii="Calibri" w:cs="Calibri" w:eastAsia="Calibri" w:hAnsi="Calibri"/>
          <w:color w:val="1A1A1A"/>
          <w:sz w:val="20"/>
          <w:szCs w:val="20"/>
        </w:rPr>
        <w:t xml:space="preserve"> prévoit expressément que le principe d’égalité « n’empêche pas le maintien ou l’adoption de mesures prévoyant des avantages spécifiques en faveur du sexe sous-représenté » ; </w:t>
      </w:r>
      <w:r>
        <w:rPr>
          <w:rFonts w:ascii="Calibri" w:cs="Calibri" w:eastAsia="Calibri" w:hAnsi="Calibri"/>
          <w:color w:val="1E88E5"/>
          <w:sz w:val="20"/>
          <w:szCs w:val="20"/>
        </w:rPr>
        <w:t xml:space="preserve">art. 157 § 4 TFUE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Conventions spécialisées autorisant les « mesures spéciales temporaires » : </w:t>
      </w:r>
      <w:r>
        <w:rPr>
          <w:rFonts w:ascii="Calibri" w:cs="Calibri" w:eastAsia="Calibri" w:hAnsi="Calibri"/>
          <w:color w:val="1E88E5"/>
          <w:sz w:val="20"/>
          <w:szCs w:val="20"/>
        </w:rPr>
        <w:t xml:space="preserve">art. 1er § 4 de la Convention sur l’élimination de la discrimination raciale (1965)</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4 § 1 CEDAW (1979)</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5 § 4 de la Convention relative aux droits des personnes handicapées (2006)</w:t>
      </w:r>
      <w:r>
        <w:rPr>
          <w:rFonts w:ascii="Calibri" w:cs="Calibri" w:eastAsia="Calibri" w:hAnsi="Calibri"/>
          <w:color w:val="1A1A1A"/>
          <w:sz w:val="20"/>
          <w:szCs w:val="20"/>
        </w:rPr>
        <w:t xml:space="preserve">.</w:t>
      </w:r>
    </w:p>
    <w:p>
      <w:pPr>
        <w:pStyle w:val="Heading2"/>
        <w:spacing w:after="110" w:before="260"/>
      </w:pPr>
      <w:r>
        <w:rPr>
          <w:rFonts w:ascii="Calibri" w:cs="Calibri" w:eastAsia="Calibri" w:hAnsi="Calibri"/>
          <w:b/>
          <w:bCs/>
          <w:color w:val="1A1A1A"/>
          <w:spacing w:val="16"/>
          <w:sz w:val="23"/>
          <w:szCs w:val="23"/>
        </w:rPr>
        <w:t xml:space="preserve">2.3. La loi</w:t>
      </w:r>
    </w:p>
    <w:p>
      <w:pPr>
        <w:pStyle w:val="ListParagraph"/>
        <w:numPr>
          <w:ilvl w:val="0"/>
          <w:numId w:val="2"/>
        </w:numPr>
        <w:spacing w:after="70" w:line="264"/>
        <w:jc w:val="both"/>
      </w:pPr>
      <w:r>
        <w:rPr>
          <w:rFonts w:ascii="Calibri" w:cs="Calibri" w:eastAsia="Calibri" w:hAnsi="Calibri"/>
          <w:color w:val="1A1A1A"/>
          <w:sz w:val="20"/>
          <w:szCs w:val="20"/>
        </w:rPr>
        <w:t xml:space="preserve">Égalité professionnelle : </w:t>
      </w:r>
      <w:r>
        <w:rPr>
          <w:rFonts w:ascii="Calibri" w:cs="Calibri" w:eastAsia="Calibri" w:hAnsi="Calibri"/>
          <w:color w:val="1E88E5"/>
          <w:sz w:val="20"/>
          <w:szCs w:val="20"/>
        </w:rPr>
        <w:t xml:space="preserve">loi Copé-Zimmermann du 27 janvier 2011</w:t>
      </w:r>
      <w:r>
        <w:rPr>
          <w:rFonts w:ascii="Calibri" w:cs="Calibri" w:eastAsia="Calibri" w:hAnsi="Calibri"/>
          <w:color w:val="1A1A1A"/>
          <w:sz w:val="20"/>
          <w:szCs w:val="20"/>
        </w:rPr>
        <w:t xml:space="preserve"> (40 % d’administrateurs de chaque sexe) ; </w:t>
      </w:r>
      <w:r>
        <w:rPr>
          <w:rFonts w:ascii="Calibri" w:cs="Calibri" w:eastAsia="Calibri" w:hAnsi="Calibri"/>
          <w:color w:val="1E88E5"/>
          <w:sz w:val="20"/>
          <w:szCs w:val="20"/>
        </w:rPr>
        <w:t xml:space="preserve">loi Sauvadet du 12 mars 2012</w:t>
      </w:r>
      <w:r>
        <w:rPr>
          <w:rFonts w:ascii="Calibri" w:cs="Calibri" w:eastAsia="Calibri" w:hAnsi="Calibri"/>
          <w:color w:val="1A1A1A"/>
          <w:sz w:val="20"/>
          <w:szCs w:val="20"/>
        </w:rPr>
        <w:t xml:space="preserve"> (nominations dans la haute fonction publique) ; </w:t>
      </w:r>
      <w:r>
        <w:rPr>
          <w:rFonts w:ascii="Calibri" w:cs="Calibri" w:eastAsia="Calibri" w:hAnsi="Calibri"/>
          <w:color w:val="1E88E5"/>
          <w:sz w:val="20"/>
          <w:szCs w:val="20"/>
        </w:rPr>
        <w:t xml:space="preserve">loi Rixain du 24 décembre 2021</w:t>
      </w:r>
      <w:r>
        <w:rPr>
          <w:rFonts w:ascii="Calibri" w:cs="Calibri" w:eastAsia="Calibri" w:hAnsi="Calibri"/>
          <w:color w:val="1A1A1A"/>
          <w:sz w:val="20"/>
          <w:szCs w:val="20"/>
        </w:rPr>
        <w:t xml:space="preserve"> (30 % de chaque sexe parmi les cadres dirigeants depuis le 1er mars 2026, 40 % en 2029, </w:t>
      </w:r>
      <w:r>
        <w:rPr>
          <w:rFonts w:ascii="Calibri" w:cs="Calibri" w:eastAsia="Calibri" w:hAnsi="Calibri"/>
          <w:color w:val="1E88E5"/>
          <w:sz w:val="20"/>
          <w:szCs w:val="20"/>
        </w:rPr>
        <w:t xml:space="preserve">art. L. 1142-11 C. trav.</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Handicap : obligation d’emploi de 6 % (</w:t>
      </w:r>
      <w:r>
        <w:rPr>
          <w:rFonts w:ascii="Calibri" w:cs="Calibri" w:eastAsia="Calibri" w:hAnsi="Calibri"/>
          <w:color w:val="1E88E5"/>
          <w:sz w:val="20"/>
          <w:szCs w:val="20"/>
        </w:rPr>
        <w:t xml:space="preserve">loi du 10 juillet 1987</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11 février 2005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Lutte contre les discriminations : </w:t>
      </w:r>
      <w:r>
        <w:rPr>
          <w:rFonts w:ascii="Calibri" w:cs="Calibri" w:eastAsia="Calibri" w:hAnsi="Calibri"/>
          <w:color w:val="1E88E5"/>
          <w:sz w:val="20"/>
          <w:szCs w:val="20"/>
        </w:rPr>
        <w:t xml:space="preserve">loi du 27 mai 2008</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225-1 C. pén.</w:t>
      </w:r>
    </w:p>
    <w:p>
      <w:pPr>
        <w:pStyle w:val="Heading1"/>
        <w:pBdr>
          <w:bottom w:val="single" w:color="8C1C2B" w:sz="12" w:space="6"/>
        </w:pBdr>
        <w:spacing w:after="90" w:before="260"/>
      </w:pPr>
      <w:r>
        <w:rPr>
          <w:rFonts w:ascii="Calibri" w:cs="Calibri" w:eastAsia="Calibri" w:hAnsi="Calibri"/>
          <w:b/>
          <w:bCs/>
          <w:color w:val="8C1C2B"/>
          <w:sz w:val="28"/>
          <w:szCs w:val="28"/>
        </w:rPr>
        <w:t xml:space="preserve">3. LA GRILLE DE CONTRÔLE DES JUGES</w:t>
      </w:r>
    </w:p>
    <w:p>
      <w:pPr>
        <w:pStyle w:val="Heading2"/>
        <w:spacing w:after="110" w:before="260"/>
      </w:pPr>
      <w:r>
        <w:rPr>
          <w:rFonts w:ascii="Calibri" w:cs="Calibri" w:eastAsia="Calibri" w:hAnsi="Calibri"/>
          <w:b/>
          <w:bCs/>
          <w:color w:val="1A1A1A"/>
          <w:spacing w:val="16"/>
          <w:sz w:val="23"/>
          <w:szCs w:val="23"/>
        </w:rPr>
        <w:t xml:space="preserve">3.1. Le Conseil constitutionnel</w:t>
      </w:r>
    </w:p>
    <w:p>
      <w:pPr>
        <w:pStyle w:val="ListParagraph"/>
        <w:numPr>
          <w:ilvl w:val="0"/>
          <w:numId w:val="2"/>
        </w:numPr>
        <w:spacing w:after="70" w:line="264"/>
        <w:jc w:val="both"/>
      </w:pPr>
      <w:r>
        <w:rPr>
          <w:rFonts w:ascii="Calibri" w:cs="Calibri" w:eastAsia="Calibri" w:hAnsi="Calibri"/>
          <w:b/>
          <w:bCs/>
          <w:color w:val="1A1A1A"/>
          <w:sz w:val="20"/>
          <w:szCs w:val="20"/>
        </w:rPr>
        <w:t xml:space="preserve">Naissance du contrôle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73-51 DC, 27 décembre 1973, Taxation d’office</w:t>
      </w:r>
      <w:r>
        <w:rPr>
          <w:rFonts w:ascii="Calibri" w:cs="Calibri" w:eastAsia="Calibri" w:hAnsi="Calibri"/>
          <w:color w:val="1A1A1A"/>
          <w:sz w:val="20"/>
          <w:szCs w:val="20"/>
        </w:rPr>
        <w:t xml:space="preserve"> — première censure fondée sur l’égalité devant la loi (</w:t>
      </w:r>
      <w:r>
        <w:rPr>
          <w:rFonts w:ascii="Calibri" w:cs="Calibri" w:eastAsia="Calibri" w:hAnsi="Calibri"/>
          <w:color w:val="1E88E5"/>
          <w:sz w:val="20"/>
          <w:szCs w:val="20"/>
        </w:rPr>
        <w:t xml:space="preserve">art. 6 DDHC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formule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79-107 DC, 12 juillet 1979</w:t>
      </w:r>
      <w:r>
        <w:rPr>
          <w:rFonts w:ascii="Calibri" w:cs="Calibri" w:eastAsia="Calibri" w:hAnsi="Calibri"/>
          <w:color w:val="1A1A1A"/>
          <w:sz w:val="20"/>
          <w:szCs w:val="20"/>
        </w:rPr>
        <w:t xml:space="preserve"> (ponts à péage : des situations différentes peuvent recevoir des solutions différentes) ; formule complète dans </w:t>
      </w:r>
      <w:r>
        <w:rPr>
          <w:rFonts w:ascii="Calibri" w:cs="Calibri" w:eastAsia="Calibri" w:hAnsi="Calibri"/>
          <w:color w:val="E91E63"/>
          <w:sz w:val="20"/>
          <w:szCs w:val="20"/>
        </w:rPr>
        <w:t xml:space="preserve">87-232 DC, 7 janvier 1988</w:t>
      </w:r>
      <w:r>
        <w:rPr>
          <w:rFonts w:ascii="Calibri" w:cs="Calibri" w:eastAsia="Calibri" w:hAnsi="Calibri"/>
          <w:color w:val="1A1A1A"/>
          <w:sz w:val="20"/>
          <w:szCs w:val="20"/>
        </w:rPr>
        <w:t xml:space="preserve">. Il rappelle que la Constitution « ne lui confère pas un pouvoir général d’appréciation et de décision identique à celui du Parlement » (formule issue de </w:t>
      </w:r>
      <w:r>
        <w:rPr>
          <w:rFonts w:ascii="Calibri" w:cs="Calibri" w:eastAsia="Calibri" w:hAnsi="Calibri"/>
          <w:color w:val="E91E63"/>
          <w:sz w:val="20"/>
          <w:szCs w:val="20"/>
        </w:rPr>
        <w:t xml:space="preserve">74-54 DC, 15 janvier 1975</w:t>
      </w:r>
      <w:r>
        <w:rPr>
          <w:rFonts w:ascii="Calibri" w:cs="Calibri" w:eastAsia="Calibri" w:hAnsi="Calibri"/>
          <w:color w:val="1A1A1A"/>
          <w:sz w:val="20"/>
          <w:szCs w:val="20"/>
        </w:rPr>
        <w:t xml:space="preserve">) : il ne juge pas l’opportunité de la différence.</w:t>
      </w:r>
    </w:p>
    <w:p>
      <w:pPr>
        <w:pStyle w:val="ListParagraph"/>
        <w:numPr>
          <w:ilvl w:val="0"/>
          <w:numId w:val="2"/>
        </w:numPr>
        <w:spacing w:after="70" w:line="264"/>
        <w:jc w:val="both"/>
      </w:pPr>
      <w:r>
        <w:rPr>
          <w:rFonts w:ascii="Calibri" w:cs="Calibri" w:eastAsia="Calibri" w:hAnsi="Calibri"/>
          <w:b/>
          <w:bCs/>
          <w:color w:val="1A1A1A"/>
          <w:sz w:val="20"/>
          <w:szCs w:val="20"/>
        </w:rPr>
        <w:t xml:space="preserve">Un contrôle d’intensité variable</w:t>
      </w:r>
      <w:r>
        <w:rPr>
          <w:rFonts w:ascii="Calibri" w:cs="Calibri" w:eastAsia="Calibri" w:hAnsi="Calibri"/>
          <w:color w:val="1A1A1A"/>
          <w:sz w:val="20"/>
          <w:szCs w:val="20"/>
        </w:rPr>
        <w:t xml:space="preserve"> : souple en matière fiscale (« critères objectifs et rationnels en fonction des buts que le législateur se propose ») ; strict pour l’égalité devant la justice et pour les critères de l’</w:t>
      </w:r>
      <w:r>
        <w:rPr>
          <w:rFonts w:ascii="Calibri" w:cs="Calibri" w:eastAsia="Calibri" w:hAnsi="Calibri"/>
          <w:color w:val="1E88E5"/>
          <w:sz w:val="20"/>
          <w:szCs w:val="20"/>
        </w:rPr>
        <w:t xml:space="preserve">art. 1er Constitution</w:t>
      </w:r>
      <w:r>
        <w:rPr>
          <w:rFonts w:ascii="Calibri" w:cs="Calibri" w:eastAsia="Calibri" w:hAnsi="Calibri"/>
          <w:color w:val="1A1A1A"/>
          <w:sz w:val="20"/>
          <w:szCs w:val="20"/>
        </w:rPr>
        <w:t xml:space="preserve">. Exemples : </w:t>
      </w:r>
      <w:r>
        <w:rPr>
          <w:rFonts w:ascii="Calibri" w:cs="Calibri" w:eastAsia="Calibri" w:hAnsi="Calibri"/>
          <w:color w:val="E91E63"/>
          <w:sz w:val="20"/>
          <w:szCs w:val="20"/>
        </w:rPr>
        <w:t xml:space="preserve">2012-662 DC, 29 décembre 2012</w:t>
      </w:r>
      <w:r>
        <w:rPr>
          <w:rFonts w:ascii="Calibri" w:cs="Calibri" w:eastAsia="Calibri" w:hAnsi="Calibri"/>
          <w:color w:val="1A1A1A"/>
          <w:sz w:val="20"/>
          <w:szCs w:val="20"/>
        </w:rPr>
        <w:t xml:space="preserve"> (contribution de 75 % censurée, car assise sur le revenu de chaque personne et non du foyer) ; </w:t>
      </w:r>
      <w:r>
        <w:rPr>
          <w:rFonts w:ascii="Calibri" w:cs="Calibri" w:eastAsia="Calibri" w:hAnsi="Calibri"/>
          <w:color w:val="E91E63"/>
          <w:sz w:val="20"/>
          <w:szCs w:val="20"/>
        </w:rPr>
        <w:t xml:space="preserve">2010-1 QPC, 28 mai 2010</w:t>
      </w:r>
      <w:r>
        <w:rPr>
          <w:rFonts w:ascii="Calibri" w:cs="Calibri" w:eastAsia="Calibri" w:hAnsi="Calibri"/>
          <w:color w:val="1A1A1A"/>
          <w:sz w:val="20"/>
          <w:szCs w:val="20"/>
        </w:rPr>
        <w:t xml:space="preserve"> (cristallisation des pensions : la nationalité ne justifie pas la différence).</w:t>
      </w:r>
    </w:p>
    <w:p>
      <w:pPr>
        <w:pStyle w:val="ListParagraph"/>
        <w:numPr>
          <w:ilvl w:val="0"/>
          <w:numId w:val="2"/>
        </w:numPr>
        <w:spacing w:after="70" w:line="264"/>
        <w:jc w:val="both"/>
      </w:pPr>
      <w:r>
        <w:rPr>
          <w:rFonts w:ascii="Calibri" w:cs="Calibri" w:eastAsia="Calibri" w:hAnsi="Calibri"/>
          <w:b/>
          <w:bCs/>
          <w:color w:val="1A1A1A"/>
          <w:sz w:val="20"/>
          <w:szCs w:val="20"/>
        </w:rPr>
        <w:t xml:space="preserve">Aménagements admis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94-358 DC, 26 janvier 1995</w:t>
      </w:r>
      <w:r>
        <w:rPr>
          <w:rFonts w:ascii="Calibri" w:cs="Calibri" w:eastAsia="Calibri" w:hAnsi="Calibri"/>
          <w:color w:val="1A1A1A"/>
          <w:sz w:val="20"/>
          <w:szCs w:val="20"/>
        </w:rPr>
        <w:t xml:space="preserve"> (aménagement du territoire) ; </w:t>
      </w:r>
      <w:r>
        <w:rPr>
          <w:rFonts w:ascii="Calibri" w:cs="Calibri" w:eastAsia="Calibri" w:hAnsi="Calibri"/>
          <w:color w:val="E91E63"/>
          <w:sz w:val="20"/>
          <w:szCs w:val="20"/>
        </w:rPr>
        <w:t xml:space="preserve">2001-450 DC</w:t>
      </w:r>
      <w:r>
        <w:rPr>
          <w:rFonts w:ascii="Calibri" w:cs="Calibri" w:eastAsia="Calibri" w:hAnsi="Calibri"/>
          <w:color w:val="1A1A1A"/>
          <w:sz w:val="20"/>
          <w:szCs w:val="20"/>
        </w:rPr>
        <w:t xml:space="preserve"> (Sciences Po) ; </w:t>
      </w:r>
      <w:r>
        <w:rPr>
          <w:rFonts w:ascii="Calibri" w:cs="Calibri" w:eastAsia="Calibri" w:hAnsi="Calibri"/>
          <w:color w:val="E91E63"/>
          <w:sz w:val="20"/>
          <w:szCs w:val="20"/>
        </w:rPr>
        <w:t xml:space="preserve">2006-535 DC, 30 mars 2006</w:t>
      </w:r>
      <w:r>
        <w:rPr>
          <w:rFonts w:ascii="Calibri" w:cs="Calibri" w:eastAsia="Calibri" w:hAnsi="Calibri"/>
          <w:color w:val="1A1A1A"/>
          <w:sz w:val="20"/>
          <w:szCs w:val="20"/>
        </w:rPr>
        <w:t xml:space="preserve"> (mesures pour l’égalité des chances) ; </w:t>
      </w:r>
      <w:r>
        <w:rPr>
          <w:rFonts w:ascii="Calibri" w:cs="Calibri" w:eastAsia="Calibri" w:hAnsi="Calibri"/>
          <w:color w:val="E91E63"/>
          <w:sz w:val="20"/>
          <w:szCs w:val="20"/>
        </w:rPr>
        <w:t xml:space="preserve">2011-157 QPC, 5 août 2011, Somodia</w:t>
      </w:r>
      <w:r>
        <w:rPr>
          <w:rFonts w:ascii="Calibri" w:cs="Calibri" w:eastAsia="Calibri" w:hAnsi="Calibri"/>
          <w:color w:val="1A1A1A"/>
          <w:sz w:val="20"/>
          <w:szCs w:val="20"/>
        </w:rPr>
        <w:t xml:space="preserve"> (droit local d’Alsace-Moselle : principe fondamental reconnu par les lois de la République, que le législateur peut maintenir mais non étendre) ; </w:t>
      </w:r>
      <w:r>
        <w:rPr>
          <w:rFonts w:ascii="Calibri" w:cs="Calibri" w:eastAsia="Calibri" w:hAnsi="Calibri"/>
          <w:color w:val="E91E63"/>
          <w:sz w:val="20"/>
          <w:szCs w:val="20"/>
        </w:rPr>
        <w:t xml:space="preserve">2025-1155 QPC, 8 août 2025</w:t>
      </w:r>
      <w:r>
        <w:rPr>
          <w:rFonts w:ascii="Calibri" w:cs="Calibri" w:eastAsia="Calibri" w:hAnsi="Calibri"/>
          <w:color w:val="1A1A1A"/>
          <w:sz w:val="20"/>
          <w:szCs w:val="20"/>
        </w:rPr>
        <w:t xml:space="preserve"> (congé de paternité : la situation du père diffère de celle de la mère qui a accouché, conformité sous réserve).</w:t>
      </w:r>
    </w:p>
    <w:p>
      <w:pPr>
        <w:pStyle w:val="ListParagraph"/>
        <w:numPr>
          <w:ilvl w:val="0"/>
          <w:numId w:val="2"/>
        </w:numPr>
        <w:spacing w:after="70" w:line="264"/>
        <w:jc w:val="both"/>
      </w:pPr>
      <w:r>
        <w:rPr>
          <w:rFonts w:ascii="Calibri" w:cs="Calibri" w:eastAsia="Calibri" w:hAnsi="Calibri"/>
          <w:b/>
          <w:bCs/>
          <w:color w:val="1A1A1A"/>
          <w:sz w:val="20"/>
          <w:szCs w:val="20"/>
        </w:rPr>
        <w:t xml:space="preserve">Limites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82-146 DC, 18 novembre 1982</w:t>
      </w:r>
      <w:r>
        <w:rPr>
          <w:rFonts w:ascii="Calibri" w:cs="Calibri" w:eastAsia="Calibri" w:hAnsi="Calibri"/>
          <w:color w:val="1A1A1A"/>
          <w:sz w:val="20"/>
          <w:szCs w:val="20"/>
        </w:rPr>
        <w:t xml:space="preserve"> (quota par sexe aux municipales, censuré avant la révision de 1999) ; </w:t>
      </w:r>
      <w:r>
        <w:rPr>
          <w:rFonts w:ascii="Calibri" w:cs="Calibri" w:eastAsia="Calibri" w:hAnsi="Calibri"/>
          <w:color w:val="E91E63"/>
          <w:sz w:val="20"/>
          <w:szCs w:val="20"/>
        </w:rPr>
        <w:t xml:space="preserve">91-290 DC, 9 mai 1991</w:t>
      </w:r>
      <w:r>
        <w:rPr>
          <w:rFonts w:ascii="Calibri" w:cs="Calibri" w:eastAsia="Calibri" w:hAnsi="Calibri"/>
          <w:color w:val="1A1A1A"/>
          <w:sz w:val="20"/>
          <w:szCs w:val="20"/>
        </w:rPr>
        <w:t xml:space="preserve"> (« peuple corse ») ; </w:t>
      </w:r>
      <w:r>
        <w:rPr>
          <w:rFonts w:ascii="Calibri" w:cs="Calibri" w:eastAsia="Calibri" w:hAnsi="Calibri"/>
          <w:color w:val="E91E63"/>
          <w:sz w:val="20"/>
          <w:szCs w:val="20"/>
        </w:rPr>
        <w:t xml:space="preserve">2007-557 DC, 15 novembre 2007</w:t>
      </w:r>
      <w:r>
        <w:rPr>
          <w:rFonts w:ascii="Calibri" w:cs="Calibri" w:eastAsia="Calibri" w:hAnsi="Calibri"/>
          <w:color w:val="1A1A1A"/>
          <w:sz w:val="20"/>
          <w:szCs w:val="20"/>
        </w:rPr>
        <w:t xml:space="preserve"> (statistiques fondées sur l’origine ethnique) ; </w:t>
      </w:r>
      <w:r>
        <w:rPr>
          <w:rFonts w:ascii="Calibri" w:cs="Calibri" w:eastAsia="Calibri" w:hAnsi="Calibri"/>
          <w:color w:val="E91E63"/>
          <w:sz w:val="20"/>
          <w:szCs w:val="20"/>
        </w:rPr>
        <w:t xml:space="preserve">2025-1179 QPC, 30 janvier 2026</w:t>
      </w:r>
      <w:r>
        <w:rPr>
          <w:rFonts w:ascii="Calibri" w:cs="Calibri" w:eastAsia="Calibri" w:hAnsi="Calibri"/>
          <w:color w:val="1A1A1A"/>
          <w:sz w:val="20"/>
          <w:szCs w:val="20"/>
        </w:rPr>
        <w:t xml:space="preserve"> (taxe communale sur les déchets : le critère de date d’installation est « objectif et rationnel », mais deux ajouts ultérieurs sont censurés).</w:t>
      </w:r>
    </w:p>
    <w:p>
      <w:pPr>
        <w:pStyle w:val="Heading2"/>
        <w:spacing w:after="110" w:before="260"/>
      </w:pPr>
      <w:r>
        <w:rPr>
          <w:rFonts w:ascii="Calibri" w:cs="Calibri" w:eastAsia="Calibri" w:hAnsi="Calibri"/>
          <w:b/>
          <w:bCs/>
          <w:color w:val="1A1A1A"/>
          <w:spacing w:val="16"/>
          <w:sz w:val="23"/>
          <w:szCs w:val="23"/>
        </w:rPr>
        <w:t xml:space="preserve">3.2. Le juge administratif</w:t>
      </w:r>
    </w:p>
    <w:p>
      <w:pPr>
        <w:pStyle w:val="ListParagraph"/>
        <w:numPr>
          <w:ilvl w:val="0"/>
          <w:numId w:val="2"/>
        </w:numPr>
        <w:spacing w:after="70" w:line="264"/>
        <w:jc w:val="both"/>
      </w:pPr>
      <w:r>
        <w:rPr>
          <w:rFonts w:ascii="Calibri" w:cs="Calibri" w:eastAsia="Calibri" w:hAnsi="Calibri"/>
          <w:b/>
          <w:bCs/>
          <w:color w:val="1A1A1A"/>
          <w:sz w:val="20"/>
          <w:szCs w:val="20"/>
        </w:rPr>
        <w:t xml:space="preserve">Un principe général du droit</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sect., 9 mars 1951, Société des concerts du conservatoire</w:t>
      </w:r>
      <w:r>
        <w:rPr>
          <w:rFonts w:ascii="Calibri" w:cs="Calibri" w:eastAsia="Calibri" w:hAnsi="Calibri"/>
          <w:color w:val="1A1A1A"/>
          <w:sz w:val="20"/>
          <w:szCs w:val="20"/>
        </w:rPr>
        <w:t xml:space="preserve"> (égalité des usagers) ; </w:t>
      </w:r>
      <w:r>
        <w:rPr>
          <w:rFonts w:ascii="Calibri" w:cs="Calibri" w:eastAsia="Calibri" w:hAnsi="Calibri"/>
          <w:color w:val="E91E63"/>
          <w:sz w:val="20"/>
          <w:szCs w:val="20"/>
        </w:rPr>
        <w:t xml:space="preserve">CE, ass., 28 mai 1954, Barel</w:t>
      </w:r>
      <w:r>
        <w:rPr>
          <w:rFonts w:ascii="Calibri" w:cs="Calibri" w:eastAsia="Calibri" w:hAnsi="Calibri"/>
          <w:color w:val="1A1A1A"/>
          <w:sz w:val="20"/>
          <w:szCs w:val="20"/>
        </w:rPr>
        <w:t xml:space="preserve"> (égal accès aux emplois publics, indépendamment des opinions).</w:t>
      </w:r>
    </w:p>
    <w:p>
      <w:pPr>
        <w:pStyle w:val="ListParagraph"/>
        <w:numPr>
          <w:ilvl w:val="0"/>
          <w:numId w:val="2"/>
        </w:numPr>
        <w:spacing w:after="70" w:line="264"/>
        <w:jc w:val="both"/>
      </w:pPr>
      <w:r>
        <w:rPr>
          <w:rFonts w:ascii="Calibri" w:cs="Calibri" w:eastAsia="Calibri" w:hAnsi="Calibri"/>
          <w:b/>
          <w:bCs/>
          <w:color w:val="1A1A1A"/>
          <w:sz w:val="20"/>
          <w:szCs w:val="20"/>
        </w:rPr>
        <w:t xml:space="preserve">L’égalité des sexes dans la fonction publique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3 juillet 1936, Demoiselle Bobard</w:t>
      </w:r>
      <w:r>
        <w:rPr>
          <w:rFonts w:ascii="Calibri" w:cs="Calibri" w:eastAsia="Calibri" w:hAnsi="Calibri"/>
          <w:color w:val="1A1A1A"/>
          <w:sz w:val="20"/>
          <w:szCs w:val="20"/>
        </w:rPr>
        <w:t xml:space="preserve"> — les femmes ont vocation aux emplois publics ; l’administration ne peut les en écarter que si « des raisons de service le nécessitent ». C’est un aménagement admis </w:t>
      </w:r>
      <w:r>
        <w:rPr>
          <w:rFonts w:ascii="Calibri" w:cs="Calibri" w:eastAsia="Calibri" w:hAnsi="Calibri"/>
          <w:b/>
          <w:bCs/>
          <w:color w:val="1A1A1A"/>
          <w:sz w:val="20"/>
          <w:szCs w:val="20"/>
        </w:rPr>
        <w:t xml:space="preserve">contre</w:t>
      </w:r>
      <w:r>
        <w:rPr>
          <w:rFonts w:ascii="Calibri" w:cs="Calibri" w:eastAsia="Calibri" w:hAnsi="Calibri"/>
          <w:color w:val="1A1A1A"/>
          <w:sz w:val="20"/>
          <w:szCs w:val="20"/>
        </w:rPr>
        <w:t xml:space="preserve"> les femmes, que la jurisprudence a ensuite restreint (</w:t>
      </w:r>
      <w:r>
        <w:rPr>
          <w:rFonts w:ascii="Calibri" w:cs="Calibri" w:eastAsia="Calibri" w:hAnsi="Calibri"/>
          <w:color w:val="E91E63"/>
          <w:sz w:val="20"/>
          <w:szCs w:val="20"/>
        </w:rPr>
        <w:t xml:space="preserve">CE, 26 juin 1989, Fédération des syndicats généraux de l’éducation nationale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tarification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Denoyez et Chorques</w:t>
      </w:r>
      <w:r>
        <w:rPr>
          <w:rFonts w:ascii="Calibri" w:cs="Calibri" w:eastAsia="Calibri" w:hAnsi="Calibri"/>
          <w:color w:val="1A1A1A"/>
          <w:sz w:val="20"/>
          <w:szCs w:val="20"/>
        </w:rPr>
        <w:t xml:space="preserve"> (1974) ; </w:t>
      </w:r>
      <w:r>
        <w:rPr>
          <w:rFonts w:ascii="Calibri" w:cs="Calibri" w:eastAsia="Calibri" w:hAnsi="Calibri"/>
          <w:color w:val="E91E63"/>
          <w:sz w:val="20"/>
          <w:szCs w:val="20"/>
        </w:rPr>
        <w:t xml:space="preserve">CE, 29 décembre 1997, Commune de Gennevilliers, n° 157425</w:t>
      </w:r>
      <w:r>
        <w:rPr>
          <w:rFonts w:ascii="Calibri" w:cs="Calibri" w:eastAsia="Calibri" w:hAnsi="Calibri"/>
          <w:color w:val="1A1A1A"/>
          <w:sz w:val="20"/>
          <w:szCs w:val="20"/>
        </w:rPr>
        <w:t xml:space="preserve"> (droits d’inscription au conservatoire modulés selon les revenus).</w:t>
      </w:r>
    </w:p>
    <w:p>
      <w:pPr>
        <w:pStyle w:val="ListParagraph"/>
        <w:numPr>
          <w:ilvl w:val="0"/>
          <w:numId w:val="2"/>
        </w:numPr>
        <w:spacing w:after="70" w:line="264"/>
        <w:jc w:val="both"/>
      </w:pPr>
      <w:r>
        <w:rPr>
          <w:rFonts w:ascii="Calibri" w:cs="Calibri" w:eastAsia="Calibri" w:hAnsi="Calibri"/>
          <w:b/>
          <w:bCs/>
          <w:color w:val="1A1A1A"/>
          <w:sz w:val="20"/>
          <w:szCs w:val="20"/>
        </w:rPr>
        <w:t xml:space="preserve">Faculté, non obligation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28 mars 1997, Baxter</w:t>
      </w:r>
      <w:r>
        <w:rPr>
          <w:rFonts w:ascii="Calibri" w:cs="Calibri" w:eastAsia="Calibri" w:hAnsi="Calibri"/>
          <w:color w:val="1A1A1A"/>
          <w:sz w:val="20"/>
          <w:szCs w:val="20"/>
        </w:rPr>
        <w:t xml:space="preserve"> — le principe d’égalité n’impose pas de traiter différemment des situations différentes. Formule administrative : </w:t>
      </w:r>
      <w:r>
        <w:rPr>
          <w:rFonts w:ascii="Calibri" w:cs="Calibri" w:eastAsia="Calibri" w:hAnsi="Calibri"/>
          <w:color w:val="E91E63"/>
          <w:sz w:val="20"/>
          <w:szCs w:val="20"/>
        </w:rPr>
        <w:t xml:space="preserve">CE, sect., 18 décembre 2002, Mme Duvignères</w:t>
      </w:r>
      <w:r>
        <w:rPr>
          <w:rFonts w:ascii="Calibri" w:cs="Calibri" w:eastAsia="Calibri" w:hAnsi="Calibri"/>
          <w:color w:val="1A1A1A"/>
          <w:sz w:val="20"/>
          <w:szCs w:val="20"/>
        </w:rPr>
        <w:t xml:space="preserve"> (différence « pas manifestement disproportionnée »).</w:t>
      </w:r>
    </w:p>
    <w:p>
      <w:pPr>
        <w:pStyle w:val="ListParagraph"/>
        <w:numPr>
          <w:ilvl w:val="0"/>
          <w:numId w:val="2"/>
        </w:numPr>
        <w:spacing w:after="70" w:line="264"/>
        <w:jc w:val="both"/>
      </w:pPr>
      <w:r>
        <w:rPr>
          <w:rFonts w:ascii="Calibri" w:cs="Calibri" w:eastAsia="Calibri" w:hAnsi="Calibri"/>
          <w:b/>
          <w:bCs/>
          <w:color w:val="1A1A1A"/>
          <w:sz w:val="20"/>
          <w:szCs w:val="20"/>
        </w:rPr>
        <w:t xml:space="preserve">Une compensation admise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27 mars 2015, Quintanel, n° 372426</w:t>
      </w:r>
      <w:r>
        <w:rPr>
          <w:rFonts w:ascii="Calibri" w:cs="Calibri" w:eastAsia="Calibri" w:hAnsi="Calibri"/>
          <w:color w:val="1A1A1A"/>
          <w:sz w:val="20"/>
          <w:szCs w:val="20"/>
        </w:rPr>
        <w:t xml:space="preserve"> — l’avantage de retraite lié aux enfants, en pratique réservé aux femmes, est justifié par l’objectif de compenser les désavantages de carrière liés à la naissance et à l’éducation des enfants. Contrepoint : </w:t>
      </w:r>
      <w:r>
        <w:rPr>
          <w:rFonts w:ascii="Calibri" w:cs="Calibri" w:eastAsia="Calibri" w:hAnsi="Calibri"/>
          <w:color w:val="E91E63"/>
          <w:sz w:val="20"/>
          <w:szCs w:val="20"/>
        </w:rPr>
        <w:t xml:space="preserve">CJUE, 17 juillet 2014, Leone, C-173/13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La compétence</w:t>
      </w:r>
      <w:r>
        <w:rPr>
          <w:rFonts w:ascii="Calibri" w:cs="Calibri" w:eastAsia="Calibri" w:hAnsi="Calibri"/>
          <w:color w:val="1A1A1A"/>
          <w:sz w:val="20"/>
          <w:szCs w:val="20"/>
        </w:rPr>
        <w:t xml:space="preserve"> : seule la loi peut mettre en œuvre l’objectif de parité (</w:t>
      </w:r>
      <w:r>
        <w:rPr>
          <w:rFonts w:ascii="Calibri" w:cs="Calibri" w:eastAsia="Calibri" w:hAnsi="Calibri"/>
          <w:color w:val="E91E63"/>
          <w:sz w:val="20"/>
          <w:szCs w:val="20"/>
        </w:rPr>
        <w:t xml:space="preserve">CE, 7 mai 2013, Fédération CFTC de l’agriculture, n° 362280</w:t>
      </w:r>
      <w:r>
        <w:rPr>
          <w:rFonts w:ascii="Calibri" w:cs="Calibri" w:eastAsia="Calibri" w:hAnsi="Calibri"/>
          <w:color w:val="1A1A1A"/>
          <w:sz w:val="20"/>
          <w:szCs w:val="20"/>
        </w:rPr>
        <w:t xml:space="preserve">) ; un décret ne peut imposer une proportion de chaque sexe dans les jurys (</w:t>
      </w:r>
      <w:r>
        <w:rPr>
          <w:rFonts w:ascii="Calibri" w:cs="Calibri" w:eastAsia="Calibri" w:hAnsi="Calibri"/>
          <w:color w:val="E91E63"/>
          <w:sz w:val="20"/>
          <w:szCs w:val="20"/>
        </w:rPr>
        <w:t xml:space="preserve">CE, sect., 22 juin 2007, Lesourd</w:t>
      </w:r>
      <w:r>
        <w:rPr>
          <w:rFonts w:ascii="Calibri" w:cs="Calibri" w:eastAsia="Calibri" w:hAnsi="Calibri"/>
          <w:color w:val="1A1A1A"/>
          <w:sz w:val="20"/>
          <w:szCs w:val="20"/>
        </w:rPr>
        <w:t xml:space="preserve">).</w:t>
      </w:r>
    </w:p>
    <w:p>
      <w:pPr>
        <w:pStyle w:val="Heading2"/>
        <w:spacing w:after="110" w:before="260"/>
      </w:pPr>
      <w:r>
        <w:rPr>
          <w:rFonts w:ascii="Calibri" w:cs="Calibri" w:eastAsia="Calibri" w:hAnsi="Calibri"/>
          <w:b/>
          <w:bCs/>
          <w:color w:val="1A1A1A"/>
          <w:spacing w:val="16"/>
          <w:sz w:val="23"/>
          <w:szCs w:val="23"/>
        </w:rPr>
        <w:t xml:space="preserve">3.3. Les juges européens</w:t>
      </w:r>
    </w:p>
    <w:p>
      <w:pPr>
        <w:pStyle w:val="ListParagraph"/>
        <w:numPr>
          <w:ilvl w:val="0"/>
          <w:numId w:val="2"/>
        </w:numPr>
        <w:spacing w:after="70" w:line="264"/>
        <w:jc w:val="both"/>
      </w:pPr>
      <w:r>
        <w:rPr>
          <w:rFonts w:ascii="Calibri" w:cs="Calibri" w:eastAsia="Calibri" w:hAnsi="Calibri"/>
          <w:b/>
          <w:bCs/>
          <w:color w:val="1A1A1A"/>
          <w:sz w:val="20"/>
          <w:szCs w:val="20"/>
        </w:rPr>
        <w:t xml:space="preserve">Cour européenne</w:t>
      </w:r>
      <w:r>
        <w:rPr>
          <w:rFonts w:ascii="Calibri" w:cs="Calibri" w:eastAsia="Calibri" w:hAnsi="Calibri"/>
          <w:color w:val="1A1A1A"/>
          <w:sz w:val="20"/>
          <w:szCs w:val="20"/>
        </w:rPr>
        <w:t xml:space="preserve"> : justification « objective et raisonnable » (</w:t>
      </w:r>
      <w:r>
        <w:rPr>
          <w:rFonts w:ascii="Calibri" w:cs="Calibri" w:eastAsia="Calibri" w:hAnsi="Calibri"/>
          <w:color w:val="E91E63"/>
          <w:sz w:val="20"/>
          <w:szCs w:val="20"/>
        </w:rPr>
        <w:t xml:space="preserve">Affaire linguistique belge</w:t>
      </w:r>
      <w:r>
        <w:rPr>
          <w:rFonts w:ascii="Calibri" w:cs="Calibri" w:eastAsia="Calibri" w:hAnsi="Calibri"/>
          <w:color w:val="1A1A1A"/>
          <w:sz w:val="20"/>
          <w:szCs w:val="20"/>
        </w:rPr>
        <w:t xml:space="preserve">, 23 juillet 1968) ; liste ouverte des motifs (</w:t>
      </w:r>
      <w:r>
        <w:rPr>
          <w:rFonts w:ascii="Calibri" w:cs="Calibri" w:eastAsia="Calibri" w:hAnsi="Calibri"/>
          <w:color w:val="E91E63"/>
          <w:sz w:val="20"/>
          <w:szCs w:val="20"/>
        </w:rPr>
        <w:t xml:space="preserve">Carson c. Royaume-Uni</w:t>
      </w:r>
      <w:r>
        <w:rPr>
          <w:rFonts w:ascii="Calibri" w:cs="Calibri" w:eastAsia="Calibri" w:hAnsi="Calibri"/>
          <w:color w:val="1A1A1A"/>
          <w:sz w:val="20"/>
          <w:szCs w:val="20"/>
        </w:rPr>
        <w:t xml:space="preserve">, GC, 2010) ; obligation de traiter différemment des situations différentes (</w:t>
      </w:r>
      <w:r>
        <w:rPr>
          <w:rFonts w:ascii="Calibri" w:cs="Calibri" w:eastAsia="Calibri" w:hAnsi="Calibri"/>
          <w:color w:val="E91E63"/>
          <w:sz w:val="20"/>
          <w:szCs w:val="20"/>
        </w:rPr>
        <w:t xml:space="preserve">Thlimmenos</w:t>
      </w:r>
      <w:r>
        <w:rPr>
          <w:rFonts w:ascii="Calibri" w:cs="Calibri" w:eastAsia="Calibri" w:hAnsi="Calibri"/>
          <w:color w:val="1A1A1A"/>
          <w:sz w:val="20"/>
          <w:szCs w:val="20"/>
        </w:rPr>
        <w:t xml:space="preserve">, 2000) ; mesure correctrice admise (</w:t>
      </w:r>
      <w:r>
        <w:rPr>
          <w:rFonts w:ascii="Calibri" w:cs="Calibri" w:eastAsia="Calibri" w:hAnsi="Calibri"/>
          <w:color w:val="E91E63"/>
          <w:sz w:val="20"/>
          <w:szCs w:val="20"/>
        </w:rPr>
        <w:t xml:space="preserve">Stec et autres c. Royaume-Uni</w:t>
      </w:r>
      <w:r>
        <w:rPr>
          <w:rFonts w:ascii="Calibri" w:cs="Calibri" w:eastAsia="Calibri" w:hAnsi="Calibri"/>
          <w:color w:val="1A1A1A"/>
          <w:sz w:val="20"/>
          <w:szCs w:val="20"/>
        </w:rPr>
        <w:t xml:space="preserve">, GC, 12 avril 2006 ; </w:t>
      </w:r>
      <w:r>
        <w:rPr>
          <w:rFonts w:ascii="Calibri" w:cs="Calibri" w:eastAsia="Calibri" w:hAnsi="Calibri"/>
          <w:color w:val="E91E63"/>
          <w:sz w:val="20"/>
          <w:szCs w:val="20"/>
        </w:rPr>
        <w:t xml:space="preserve">Andrle c. République tchèque</w:t>
      </w:r>
      <w:r>
        <w:rPr>
          <w:rFonts w:ascii="Calibri" w:cs="Calibri" w:eastAsia="Calibri" w:hAnsi="Calibri"/>
          <w:color w:val="1A1A1A"/>
          <w:sz w:val="20"/>
          <w:szCs w:val="20"/>
        </w:rPr>
        <w:t xml:space="preserve">, 17 février 2011 : âge de la retraite différencié, justifié tant que la société n’a pas évolué) ; aménagement raisonnable (</w:t>
      </w:r>
      <w:r>
        <w:rPr>
          <w:rFonts w:ascii="Calibri" w:cs="Calibri" w:eastAsia="Calibri" w:hAnsi="Calibri"/>
          <w:color w:val="E91E63"/>
          <w:sz w:val="20"/>
          <w:szCs w:val="20"/>
        </w:rPr>
        <w:t xml:space="preserve">Çam c. Turquie</w:t>
      </w:r>
      <w:r>
        <w:rPr>
          <w:rFonts w:ascii="Calibri" w:cs="Calibri" w:eastAsia="Calibri" w:hAnsi="Calibri"/>
          <w:color w:val="1A1A1A"/>
          <w:sz w:val="20"/>
          <w:szCs w:val="20"/>
        </w:rPr>
        <w:t xml:space="preserve">, 2016).</w:t>
      </w:r>
    </w:p>
    <w:p>
      <w:pPr>
        <w:pStyle w:val="ListParagraph"/>
        <w:numPr>
          <w:ilvl w:val="0"/>
          <w:numId w:val="2"/>
        </w:numPr>
        <w:spacing w:after="70" w:line="264"/>
        <w:jc w:val="both"/>
      </w:pPr>
      <w:r>
        <w:rPr>
          <w:rFonts w:ascii="Calibri" w:cs="Calibri" w:eastAsia="Calibri" w:hAnsi="Calibri"/>
          <w:b/>
          <w:bCs/>
          <w:color w:val="1A1A1A"/>
          <w:sz w:val="20"/>
          <w:szCs w:val="20"/>
        </w:rPr>
        <w:t xml:space="preserve">Cour de justice</w:t>
      </w:r>
      <w:r>
        <w:rPr>
          <w:rFonts w:ascii="Calibri" w:cs="Calibri" w:eastAsia="Calibri" w:hAnsi="Calibri"/>
          <w:color w:val="1A1A1A"/>
          <w:sz w:val="20"/>
          <w:szCs w:val="20"/>
        </w:rPr>
        <w:t xml:space="preserve"> : priorité automatique aux femmes censurée (</w:t>
      </w:r>
      <w:r>
        <w:rPr>
          <w:rFonts w:ascii="Calibri" w:cs="Calibri" w:eastAsia="Calibri" w:hAnsi="Calibri"/>
          <w:color w:val="E91E63"/>
          <w:sz w:val="20"/>
          <w:szCs w:val="20"/>
        </w:rPr>
        <w:t xml:space="preserve">Kalanke</w:t>
      </w:r>
      <w:r>
        <w:rPr>
          <w:rFonts w:ascii="Calibri" w:cs="Calibri" w:eastAsia="Calibri" w:hAnsi="Calibri"/>
          <w:color w:val="1A1A1A"/>
          <w:sz w:val="20"/>
          <w:szCs w:val="20"/>
        </w:rPr>
        <w:t xml:space="preserve">, 17 octobre 1995) ; priorité avec clause d’ouverture admise (</w:t>
      </w:r>
      <w:r>
        <w:rPr>
          <w:rFonts w:ascii="Calibri" w:cs="Calibri" w:eastAsia="Calibri" w:hAnsi="Calibri"/>
          <w:color w:val="E91E63"/>
          <w:sz w:val="20"/>
          <w:szCs w:val="20"/>
        </w:rPr>
        <w:t xml:space="preserve">Marschall</w:t>
      </w:r>
      <w:r>
        <w:rPr>
          <w:rFonts w:ascii="Calibri" w:cs="Calibri" w:eastAsia="Calibri" w:hAnsi="Calibri"/>
          <w:color w:val="1A1A1A"/>
          <w:sz w:val="20"/>
          <w:szCs w:val="20"/>
        </w:rPr>
        <w:t xml:space="preserve">, 11 novembre 1997 ; </w:t>
      </w:r>
      <w:r>
        <w:rPr>
          <w:rFonts w:ascii="Calibri" w:cs="Calibri" w:eastAsia="Calibri" w:hAnsi="Calibri"/>
          <w:color w:val="E91E63"/>
          <w:sz w:val="20"/>
          <w:szCs w:val="20"/>
        </w:rPr>
        <w:t xml:space="preserve">Badeck</w:t>
      </w:r>
      <w:r>
        <w:rPr>
          <w:rFonts w:ascii="Calibri" w:cs="Calibri" w:eastAsia="Calibri" w:hAnsi="Calibri"/>
          <w:color w:val="1A1A1A"/>
          <w:sz w:val="20"/>
          <w:szCs w:val="20"/>
        </w:rPr>
        <w:t xml:space="preserve">, 28 mars 2000) ; préférence pour un candidat moins qualifié censurée (</w:t>
      </w:r>
      <w:r>
        <w:rPr>
          <w:rFonts w:ascii="Calibri" w:cs="Calibri" w:eastAsia="Calibri" w:hAnsi="Calibri"/>
          <w:color w:val="E91E63"/>
          <w:sz w:val="20"/>
          <w:szCs w:val="20"/>
        </w:rPr>
        <w:t xml:space="preserve">Abrahamsson</w:t>
      </w:r>
      <w:r>
        <w:rPr>
          <w:rFonts w:ascii="Calibri" w:cs="Calibri" w:eastAsia="Calibri" w:hAnsi="Calibri"/>
          <w:color w:val="1A1A1A"/>
          <w:sz w:val="20"/>
          <w:szCs w:val="20"/>
        </w:rPr>
        <w:t xml:space="preserve">, 6 juillet 2000).</w:t>
      </w:r>
    </w:p>
    <w:p>
      <w:pPr>
        <w:pStyle w:val="Heading1"/>
        <w:pBdr>
          <w:bottom w:val="single" w:color="8C1C2B" w:sz="12" w:space="6"/>
        </w:pBdr>
        <w:spacing w:after="90" w:before="260"/>
      </w:pPr>
      <w:r>
        <w:rPr>
          <w:rFonts w:ascii="Calibri" w:cs="Calibri" w:eastAsia="Calibri" w:hAnsi="Calibri"/>
          <w:b/>
          <w:bCs/>
          <w:color w:val="8C1C2B"/>
          <w:sz w:val="28"/>
          <w:szCs w:val="28"/>
        </w:rPr>
        <w:t xml:space="preserve">4. L’ACTUALITÉ 2025-2026</w:t>
      </w:r>
    </w:p>
    <w:p>
      <w:pPr>
        <w:pStyle w:val="ListParagraph"/>
        <w:numPr>
          <w:ilvl w:val="0"/>
          <w:numId w:val="2"/>
        </w:numPr>
        <w:spacing w:after="70" w:line="264"/>
        <w:jc w:val="both"/>
      </w:pPr>
      <w:r>
        <w:rPr>
          <w:rFonts w:ascii="Calibri" w:cs="Calibri" w:eastAsia="Calibri" w:hAnsi="Calibri"/>
          <w:b/>
          <w:bCs/>
          <w:color w:val="1A1A1A"/>
          <w:sz w:val="20"/>
          <w:szCs w:val="20"/>
        </w:rPr>
        <w:t xml:space="preserve">1er mars 2026</w:t>
      </w:r>
      <w:r>
        <w:rPr>
          <w:rFonts w:ascii="Calibri" w:cs="Calibri" w:eastAsia="Calibri" w:hAnsi="Calibri"/>
          <w:color w:val="1A1A1A"/>
          <w:sz w:val="20"/>
          <w:szCs w:val="20"/>
        </w:rPr>
        <w:t xml:space="preserve"> : entrée en vigueur du quota de 30 % de chaque sexe parmi les cadres dirigeants et les instances dirigeantes (loi Rixain).</w:t>
      </w:r>
    </w:p>
    <w:p>
      <w:pPr>
        <w:pStyle w:val="ListParagraph"/>
        <w:numPr>
          <w:ilvl w:val="0"/>
          <w:numId w:val="2"/>
        </w:numPr>
        <w:spacing w:after="70" w:line="264"/>
        <w:jc w:val="both"/>
      </w:pPr>
      <w:r>
        <w:rPr>
          <w:rFonts w:ascii="Calibri" w:cs="Calibri" w:eastAsia="Calibri" w:hAnsi="Calibri"/>
          <w:b/>
          <w:bCs/>
          <w:color w:val="1A1A1A"/>
          <w:sz w:val="20"/>
          <w:szCs w:val="20"/>
        </w:rPr>
        <w:t xml:space="preserve">Mars 2026</w:t>
      </w:r>
      <w:r>
        <w:rPr>
          <w:rFonts w:ascii="Calibri" w:cs="Calibri" w:eastAsia="Calibri" w:hAnsi="Calibri"/>
          <w:color w:val="1A1A1A"/>
          <w:sz w:val="20"/>
          <w:szCs w:val="20"/>
        </w:rPr>
        <w:t xml:space="preserve"> : premières élections municipales avec scrutin de liste paritaire dans toutes les communes, y compris celles de moins de 1 000 habitants (réforme validée par le Conseil constitutionnel en 2025).</w:t>
      </w:r>
    </w:p>
    <w:p>
      <w:pPr>
        <w:pStyle w:val="ListParagraph"/>
        <w:numPr>
          <w:ilvl w:val="0"/>
          <w:numId w:val="2"/>
        </w:numPr>
        <w:spacing w:after="70" w:line="264"/>
        <w:jc w:val="both"/>
      </w:pPr>
      <w:r>
        <w:rPr>
          <w:rFonts w:ascii="Calibri" w:cs="Calibri" w:eastAsia="Calibri" w:hAnsi="Calibri"/>
          <w:b/>
          <w:bCs/>
          <w:color w:val="1A1A1A"/>
          <w:sz w:val="20"/>
          <w:szCs w:val="20"/>
        </w:rPr>
        <w:t xml:space="preserve">Directive (UE) 2023/970</w:t>
      </w:r>
      <w:r>
        <w:rPr>
          <w:rFonts w:ascii="Calibri" w:cs="Calibri" w:eastAsia="Calibri" w:hAnsi="Calibri"/>
          <w:color w:val="1A1A1A"/>
          <w:sz w:val="20"/>
          <w:szCs w:val="20"/>
        </w:rPr>
        <w:t xml:space="preserve"> sur la transparence des rémunérations : transposition attendue au 7 juin 2026, projet déposé au Sénat en septembre 2026 ; remplacement annoncé de l’index de l’égalité professionnelle.</w:t>
      </w:r>
    </w:p>
    <w:p>
      <w:pPr>
        <w:pStyle w:val="ListParagraph"/>
        <w:numPr>
          <w:ilvl w:val="0"/>
          <w:numId w:val="2"/>
        </w:numPr>
        <w:spacing w:after="70" w:line="264"/>
        <w:jc w:val="both"/>
      </w:pPr>
      <w:r>
        <w:rPr>
          <w:rFonts w:ascii="Calibri" w:cs="Calibri" w:eastAsia="Calibri" w:hAnsi="Calibri"/>
          <w:b/>
          <w:bCs/>
          <w:color w:val="1A1A1A"/>
          <w:sz w:val="20"/>
          <w:szCs w:val="20"/>
        </w:rPr>
        <w:t xml:space="preserve">Nouvelle-Calédonie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2025-1163/1167 QPC, 19 septembre 2025</w:t>
      </w:r>
      <w:r>
        <w:rPr>
          <w:rFonts w:ascii="Calibri" w:cs="Calibri" w:eastAsia="Calibri" w:hAnsi="Calibri"/>
          <w:color w:val="1A1A1A"/>
          <w:sz w:val="20"/>
          <w:szCs w:val="20"/>
        </w:rPr>
        <w:t xml:space="preserve"> — le gel du corps électoral « procède d’une dérogation aux principes d’égalité et d’universalité du suffrage introduite dans le texte de la Constitution » (</w:t>
      </w:r>
      <w:r>
        <w:rPr>
          <w:rFonts w:ascii="Calibri" w:cs="Calibri" w:eastAsia="Calibri" w:hAnsi="Calibri"/>
          <w:color w:val="1E88E5"/>
          <w:sz w:val="20"/>
          <w:szCs w:val="20"/>
        </w:rPr>
        <w:t xml:space="preserve">art. 77</w:t>
      </w:r>
      <w:r>
        <w:rPr>
          <w:rFonts w:ascii="Calibri" w:cs="Calibri" w:eastAsia="Calibri" w:hAnsi="Calibri"/>
          <w:color w:val="1A1A1A"/>
          <w:sz w:val="20"/>
          <w:szCs w:val="20"/>
        </w:rPr>
        <w:t xml:space="preserve">). Une loi organique de 2026 a ensuite partiellement ouvert ce corps électoral. Exemple parfait d’un aménagement de l’égalité par le constituant lui-même.</w:t>
      </w:r>
    </w:p>
    <w:p>
      <w:pPr>
        <w:pStyle w:val="ListParagraph"/>
        <w:numPr>
          <w:ilvl w:val="0"/>
          <w:numId w:val="2"/>
        </w:numPr>
        <w:spacing w:after="70" w:line="264"/>
        <w:jc w:val="both"/>
      </w:pPr>
      <w:r>
        <w:rPr>
          <w:rFonts w:ascii="Calibri" w:cs="Calibri" w:eastAsia="Calibri" w:hAnsi="Calibri"/>
          <w:b/>
          <w:bCs/>
          <w:color w:val="1A1A1A"/>
          <w:sz w:val="20"/>
          <w:szCs w:val="20"/>
        </w:rPr>
        <w:t xml:space="preserve">Congés familiaux</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2025-1155 QPC, 8 août 2025</w:t>
      </w:r>
      <w:r>
        <w:rPr>
          <w:rFonts w:ascii="Calibri" w:cs="Calibri" w:eastAsia="Calibri" w:hAnsi="Calibri"/>
          <w:color w:val="1A1A1A"/>
          <w:sz w:val="20"/>
          <w:szCs w:val="20"/>
        </w:rPr>
        <w:t xml:space="preserve"> — différence de situation entre le père et la mère qui a accouché ; réserve en faveur de la mère d’intention dans un couple de femmes.</w:t>
      </w: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II. LE SUJET — « SOUTENEZ QUE LE PRINCIPE D’ÉGALITÉ PEUT ÊTRE AMÉNAGÉ »</w:t>
      </w:r>
    </w:p>
    <w:p>
      <w:pPr>
        <w:pStyle w:val="Heading1"/>
        <w:pBdr>
          <w:bottom w:val="single" w:color="8C1C2B" w:sz="12" w:space="6"/>
        </w:pBdr>
        <w:spacing w:after="90" w:before="260"/>
      </w:pPr>
      <w:r>
        <w:rPr>
          <w:rFonts w:ascii="Calibri" w:cs="Calibri" w:eastAsia="Calibri" w:hAnsi="Calibri"/>
          <w:b/>
          <w:bCs/>
          <w:color w:val="8C1C2B"/>
          <w:sz w:val="28"/>
          <w:szCs w:val="28"/>
        </w:rPr>
        <w:t xml:space="preserve">1. LES RÈGLES DU JEU DE L’ARGUMENTATION IMPOSÉE</w:t>
      </w:r>
    </w:p>
    <w:p>
      <w:pPr>
        <w:spacing w:after="90" w:line="264"/>
        <w:jc w:val="both"/>
      </w:pPr>
      <w:r>
        <w:rPr>
          <w:rFonts w:ascii="Calibri" w:cs="Calibri" w:eastAsia="Calibri" w:hAnsi="Calibri"/>
          <w:color w:val="1A1A1A"/>
          <w:sz w:val="20"/>
          <w:szCs w:val="20"/>
        </w:rPr>
        <w:t xml:space="preserve">Le jury vous assigne une position et évalue votre capacité à la tenir avec les outils du droit. C’est l’exercice le plus proche du métier d’avocat. Les six règles de l’entraînement n° 1 s’appliquent intégralement ; trois d’entre elles sont décisives ici.</w:t>
      </w:r>
    </w:p>
    <w:p>
      <w:pPr>
        <w:pStyle w:val="ListParagraph"/>
        <w:numPr>
          <w:ilvl w:val="0"/>
          <w:numId w:val="2"/>
        </w:numPr>
        <w:spacing w:after="70" w:line="264"/>
        <w:jc w:val="both"/>
      </w:pPr>
      <w:r>
        <w:rPr>
          <w:rFonts w:ascii="Calibri" w:cs="Calibri" w:eastAsia="Calibri" w:hAnsi="Calibri"/>
          <w:b/>
          <w:bCs/>
          <w:color w:val="1A1A1A"/>
          <w:sz w:val="20"/>
          <w:szCs w:val="20"/>
        </w:rPr>
        <w:t xml:space="preserve">Chaque partie, chaque sous-partie démontre la thèse.</w:t>
      </w:r>
      <w:r>
        <w:rPr>
          <w:rFonts w:ascii="Calibri" w:cs="Calibri" w:eastAsia="Calibri" w:hAnsi="Calibri"/>
          <w:color w:val="1A1A1A"/>
          <w:sz w:val="20"/>
          <w:szCs w:val="20"/>
        </w:rPr>
        <w:t xml:space="preserve"> Pas de grand I « La consécration du principe », pas de sous-partie « La prohibition des discriminations » qui plaiderait pour l’adversaire. Le principe et ses limites peuvent figurer, mais </w:t>
      </w:r>
      <w:r>
        <w:rPr>
          <w:rFonts w:ascii="Calibri" w:cs="Calibri" w:eastAsia="Calibri" w:hAnsi="Calibri"/>
          <w:b/>
          <w:bCs/>
          <w:color w:val="1A1A1A"/>
          <w:sz w:val="20"/>
          <w:szCs w:val="20"/>
        </w:rPr>
        <w:t xml:space="preserve">retournés au service de la thèse</w:t>
      </w:r>
      <w:r>
        <w:rPr>
          <w:rFonts w:ascii="Calibri" w:cs="Calibri" w:eastAsia="Calibri" w:hAnsi="Calibri"/>
          <w:color w:val="1A1A1A"/>
          <w:sz w:val="20"/>
          <w:szCs w:val="20"/>
        </w:rPr>
        <w:t xml:space="preserve"> : « le principe se prête à l’aménagement parce que… », « les limites prouvent que l’aménagement ne détruit pas le principe ».</w:t>
      </w:r>
    </w:p>
    <w:p>
      <w:pPr>
        <w:pStyle w:val="ListParagraph"/>
        <w:numPr>
          <w:ilvl w:val="0"/>
          <w:numId w:val="2"/>
        </w:numPr>
        <w:spacing w:after="70" w:line="264"/>
        <w:jc w:val="both"/>
      </w:pPr>
      <w:r>
        <w:rPr>
          <w:rFonts w:ascii="Calibri" w:cs="Calibri" w:eastAsia="Calibri" w:hAnsi="Calibri"/>
          <w:b/>
          <w:bCs/>
          <w:color w:val="1A1A1A"/>
          <w:sz w:val="20"/>
          <w:szCs w:val="20"/>
        </w:rPr>
        <w:t xml:space="preserve">Pas de nuance dans le corps de l’exposé.</w:t>
      </w:r>
      <w:r>
        <w:rPr>
          <w:rFonts w:ascii="Calibri" w:cs="Calibri" w:eastAsia="Calibri" w:hAnsi="Calibri"/>
          <w:color w:val="1A1A1A"/>
          <w:sz w:val="20"/>
          <w:szCs w:val="20"/>
        </w:rPr>
        <w:t xml:space="preserve"> La nuance a sa place, une seule : l’ouverture finale.</w:t>
      </w:r>
    </w:p>
    <w:p>
      <w:pPr>
        <w:pStyle w:val="ListParagraph"/>
        <w:numPr>
          <w:ilvl w:val="0"/>
          <w:numId w:val="2"/>
        </w:numPr>
        <w:spacing w:after="70" w:line="264"/>
        <w:jc w:val="both"/>
      </w:pPr>
      <w:r>
        <w:rPr>
          <w:rFonts w:ascii="Calibri" w:cs="Calibri" w:eastAsia="Calibri" w:hAnsi="Calibri"/>
          <w:b/>
          <w:bCs/>
          <w:color w:val="1A1A1A"/>
          <w:sz w:val="20"/>
          <w:szCs w:val="20"/>
        </w:rPr>
        <w:t xml:space="preserve">On répond à l’objection la plus forte.</w:t>
      </w:r>
      <w:r>
        <w:rPr>
          <w:rFonts w:ascii="Calibri" w:cs="Calibri" w:eastAsia="Calibri" w:hAnsi="Calibri"/>
          <w:color w:val="1A1A1A"/>
          <w:sz w:val="20"/>
          <w:szCs w:val="20"/>
        </w:rPr>
        <w:t xml:space="preserve"> Ici : « aménager l’égalité, c’est créer des privilèges ». La démonstration doit la désarmer.</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Le piège propre à ce sujet.</w:t>
      </w:r>
      <w:r>
        <w:rPr>
          <w:rFonts w:ascii="Calibri" w:cs="Calibri" w:eastAsia="Calibri" w:hAnsi="Calibri"/>
          <w:color w:val="1A1A1A"/>
          <w:sz w:val="19"/>
          <w:szCs w:val="19"/>
        </w:rPr>
        <w:t xml:space="preserve"> La thèse est consensuelle : nul ne soutient que l’égalité interdit toute différence de traitement. Le risque est donc de produire un exposé descriptif, qui énumère des exemples d’aménagements sans rien démontrer. Pour l’éviter, la thèse doit être </w:t>
      </w:r>
      <w:r>
        <w:rPr>
          <w:rFonts w:ascii="Calibri" w:cs="Calibri" w:eastAsia="Calibri" w:hAnsi="Calibri"/>
          <w:b/>
          <w:bCs/>
          <w:color w:val="1A1A1A"/>
          <w:sz w:val="19"/>
          <w:szCs w:val="19"/>
        </w:rPr>
        <w:t xml:space="preserve">portée à son niveau le plus exigeant</w:t>
      </w:r>
      <w:r>
        <w:rPr>
          <w:rFonts w:ascii="Calibri" w:cs="Calibri" w:eastAsia="Calibri" w:hAnsi="Calibri"/>
          <w:color w:val="1A1A1A"/>
          <w:sz w:val="19"/>
          <w:szCs w:val="19"/>
        </w:rPr>
        <w:t xml:space="preserve"> : non seulement l’égalité </w:t>
      </w:r>
      <w:r>
        <w:rPr>
          <w:rFonts w:ascii="Calibri" w:cs="Calibri" w:eastAsia="Calibri" w:hAnsi="Calibri"/>
          <w:b/>
          <w:bCs/>
          <w:color w:val="1A1A1A"/>
          <w:sz w:val="19"/>
          <w:szCs w:val="19"/>
        </w:rPr>
        <w:t xml:space="preserve">peut</w:t>
      </w:r>
      <w:r>
        <w:rPr>
          <w:rFonts w:ascii="Calibri" w:cs="Calibri" w:eastAsia="Calibri" w:hAnsi="Calibri"/>
          <w:color w:val="1A1A1A"/>
          <w:sz w:val="19"/>
          <w:szCs w:val="19"/>
        </w:rPr>
        <w:t xml:space="preserve"> être aménagée, mais l’aménagement est </w:t>
      </w:r>
      <w:r>
        <w:rPr>
          <w:rFonts w:ascii="Calibri" w:cs="Calibri" w:eastAsia="Calibri" w:hAnsi="Calibri"/>
          <w:b/>
          <w:bCs/>
          <w:color w:val="1A1A1A"/>
          <w:sz w:val="19"/>
          <w:szCs w:val="19"/>
        </w:rPr>
        <w:t xml:space="preserve">inscrit dans le principe</w:t>
      </w:r>
      <w:r>
        <w:rPr>
          <w:rFonts w:ascii="Calibri" w:cs="Calibri" w:eastAsia="Calibri" w:hAnsi="Calibri"/>
          <w:color w:val="1A1A1A"/>
          <w:sz w:val="19"/>
          <w:szCs w:val="19"/>
        </w:rPr>
        <w:t xml:space="preserve"> et, parfois, </w:t>
      </w:r>
      <w:r>
        <w:rPr>
          <w:rFonts w:ascii="Calibri" w:cs="Calibri" w:eastAsia="Calibri" w:hAnsi="Calibri"/>
          <w:b/>
          <w:bCs/>
          <w:color w:val="1A1A1A"/>
          <w:sz w:val="19"/>
          <w:szCs w:val="19"/>
        </w:rPr>
        <w:t xml:space="preserve">exigé par lui</w:t>
      </w:r>
      <w:r>
        <w:rPr>
          <w:rFonts w:ascii="Calibri" w:cs="Calibri" w:eastAsia="Calibri" w:hAnsi="Calibri"/>
          <w:color w:val="1A1A1A"/>
          <w:sz w:val="19"/>
          <w:szCs w:val="19"/>
        </w:rPr>
        <w:t xml:space="preserve">.</w:t>
      </w:r>
    </w:p>
    <w:p>
      <w:pPr>
        <w:pStyle w:val="Heading1"/>
        <w:pBdr>
          <w:bottom w:val="single" w:color="8C1C2B" w:sz="12" w:space="6"/>
        </w:pBdr>
        <w:spacing w:after="90" w:before="260"/>
      </w:pPr>
      <w:r>
        <w:rPr>
          <w:rFonts w:ascii="Calibri" w:cs="Calibri" w:eastAsia="Calibri" w:hAnsi="Calibri"/>
          <w:b/>
          <w:bCs/>
          <w:color w:val="8C1C2B"/>
          <w:sz w:val="28"/>
          <w:szCs w:val="28"/>
        </w:rPr>
        <w:t xml:space="preserve">2. LE COUP DE MAÎTRE : LA DÉFINITION STIPULATIVE</w:t>
      </w:r>
    </w:p>
    <w:p>
      <w:pPr>
        <w:spacing w:after="90" w:line="264"/>
        <w:jc w:val="both"/>
      </w:pPr>
      <w:r>
        <w:rPr>
          <w:rFonts w:ascii="Calibri" w:cs="Calibri" w:eastAsia="Calibri" w:hAnsi="Calibri"/>
          <w:color w:val="1A1A1A"/>
          <w:sz w:val="20"/>
          <w:szCs w:val="20"/>
        </w:rPr>
        <w:t xml:space="preserve">Le verbe « aménager » n’est défini nulle part en droit. Vous avez donc le droit, et le devoir, d’en poser une définition précise en introduction.</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La définition à poser.</w:t>
      </w:r>
      <w:r>
        <w:rPr>
          <w:rFonts w:ascii="Calibri" w:cs="Calibri" w:eastAsia="Calibri" w:hAnsi="Calibri"/>
          <w:color w:val="1A1A1A"/>
          <w:sz w:val="19"/>
          <w:szCs w:val="19"/>
        </w:rPr>
        <w:t xml:space="preserve"> Aménager le principe d’égalité, c’est </w:t>
      </w:r>
      <w:r>
        <w:rPr>
          <w:rFonts w:ascii="Calibri" w:cs="Calibri" w:eastAsia="Calibri" w:hAnsi="Calibri"/>
          <w:b/>
          <w:bCs/>
          <w:color w:val="1A1A1A"/>
          <w:sz w:val="19"/>
          <w:szCs w:val="19"/>
        </w:rPr>
        <w:t xml:space="preserve">adapter son application aux situations réelles sans renoncer à sa finalité</w:t>
      </w:r>
      <w:r>
        <w:rPr>
          <w:rFonts w:ascii="Calibri" w:cs="Calibri" w:eastAsia="Calibri" w:hAnsi="Calibri"/>
          <w:color w:val="1A1A1A"/>
          <w:sz w:val="19"/>
          <w:szCs w:val="19"/>
        </w:rPr>
        <w:t xml:space="preserve">, c’est-à-dire sans rétablir de privilèges. L’aménagement se distingue de la </w:t>
      </w:r>
      <w:r>
        <w:rPr>
          <w:rFonts w:ascii="Calibri" w:cs="Calibri" w:eastAsia="Calibri" w:hAnsi="Calibri"/>
          <w:b/>
          <w:bCs/>
          <w:color w:val="1A1A1A"/>
          <w:sz w:val="19"/>
          <w:szCs w:val="19"/>
        </w:rPr>
        <w:t xml:space="preserve">discrimination</w:t>
      </w:r>
      <w:r>
        <w:rPr>
          <w:rFonts w:ascii="Calibri" w:cs="Calibri" w:eastAsia="Calibri" w:hAnsi="Calibri"/>
          <w:color w:val="1A1A1A"/>
          <w:sz w:val="19"/>
          <w:szCs w:val="19"/>
        </w:rPr>
        <w:t xml:space="preserve">, qui rompt l’égalité sans justification, et de l’</w:t>
      </w:r>
      <w:r>
        <w:rPr>
          <w:rFonts w:ascii="Calibri" w:cs="Calibri" w:eastAsia="Calibri" w:hAnsi="Calibri"/>
          <w:b/>
          <w:bCs/>
          <w:color w:val="1A1A1A"/>
          <w:sz w:val="19"/>
          <w:szCs w:val="19"/>
        </w:rPr>
        <w:t xml:space="preserve">abrogation</w:t>
      </w:r>
      <w:r>
        <w:rPr>
          <w:rFonts w:ascii="Calibri" w:cs="Calibri" w:eastAsia="Calibri" w:hAnsi="Calibri"/>
          <w:color w:val="1A1A1A"/>
          <w:sz w:val="19"/>
          <w:szCs w:val="19"/>
        </w:rPr>
        <w:t xml:space="preserve">, qui y renoncerait.</w:t>
      </w:r>
    </w:p>
    <w:p>
      <w:pPr>
        <w:spacing w:after="90" w:line="264"/>
        <w:jc w:val="both"/>
      </w:pPr>
      <w:r>
        <w:rPr>
          <w:rFonts w:ascii="Calibri" w:cs="Calibri" w:eastAsia="Calibri" w:hAnsi="Calibri"/>
          <w:b/>
          <w:bCs/>
          <w:color w:val="1A1A1A"/>
          <w:sz w:val="20"/>
          <w:szCs w:val="20"/>
        </w:rPr>
        <w:t xml:space="preserve">Ce que cette définition vous permet.</w:t>
      </w:r>
      <w:r>
        <w:rPr>
          <w:rFonts w:ascii="Calibri" w:cs="Calibri" w:eastAsia="Calibri" w:hAnsi="Calibri"/>
          <w:color w:val="1A1A1A"/>
          <w:sz w:val="20"/>
          <w:szCs w:val="20"/>
        </w:rPr>
        <w:t xml:space="preserve"> Elle range dans la thèse tous les instruments du droit positif (différences de situation, dérogations d’intérêt général, actions positives, révisions constitutionnelles) et rejette hors du sujet ce qui n’est pas un aménagement mais une violation (la discrimination). Les limites posées par les juges deviennent alors des </w:t>
      </w:r>
      <w:r>
        <w:rPr>
          <w:rFonts w:ascii="Calibri" w:cs="Calibri" w:eastAsia="Calibri" w:hAnsi="Calibri"/>
          <w:b/>
          <w:bCs/>
          <w:color w:val="1A1A1A"/>
          <w:sz w:val="20"/>
          <w:szCs w:val="20"/>
        </w:rPr>
        <w:t xml:space="preserve">arguments</w:t>
      </w:r>
      <w:r>
        <w:rPr>
          <w:rFonts w:ascii="Calibri" w:cs="Calibri" w:eastAsia="Calibri" w:hAnsi="Calibri"/>
          <w:color w:val="1A1A1A"/>
          <w:sz w:val="20"/>
          <w:szCs w:val="20"/>
        </w:rPr>
        <w:t xml:space="preserve"> : elles montrent que l’aménagement a un critère et que le principe survit.</w:t>
      </w:r>
    </w:p>
    <w:p>
      <w:pPr>
        <w:pStyle w:val="Heading1"/>
        <w:pBdr>
          <w:bottom w:val="single" w:color="8C1C2B" w:sz="12" w:space="6"/>
        </w:pBdr>
        <w:spacing w:after="90" w:before="260"/>
      </w:pPr>
      <w:r>
        <w:rPr>
          <w:rFonts w:ascii="Calibri" w:cs="Calibri" w:eastAsia="Calibri" w:hAnsi="Calibri"/>
          <w:b/>
          <w:bCs/>
          <w:color w:val="8C1C2B"/>
          <w:sz w:val="28"/>
          <w:szCs w:val="28"/>
        </w:rPr>
        <w:t xml:space="preserve">3. L’INTRODUCTION, RÉDIGÉE MOT À MOT</w:t>
      </w:r>
    </w:p>
    <w:p>
      <w:pPr>
        <w:spacing w:after="90" w:line="264"/>
        <w:jc w:val="both"/>
      </w:pPr>
      <w:r>
        <w:rPr>
          <w:rFonts w:ascii="Calibri" w:cs="Calibri" w:eastAsia="Calibri" w:hAnsi="Calibri"/>
          <w:color w:val="1A1A1A"/>
          <w:sz w:val="20"/>
          <w:szCs w:val="20"/>
        </w:rPr>
        <w:t xml:space="preserve">Durée à l’oral : trois minutes. Rappel : l’intro d’une argumentation ne comporte ni « faits » ni « procédure » ; la trame affichée sur le support (accroche, faits, procédure, problème de droit…) est celle du commentaire de décision.</w:t>
      </w:r>
    </w:p>
    <w:p>
      <w:pPr>
        <w:pStyle w:val="Heading3"/>
        <w:spacing w:after="80" w:before="200"/>
      </w:pPr>
      <w:r>
        <w:rPr>
          <w:rFonts w:ascii="Calibri" w:cs="Calibri" w:eastAsia="Calibri" w:hAnsi="Calibri"/>
          <w:b/>
          <w:bCs/>
          <w:i/>
          <w:iCs/>
          <w:color w:val="1A1A1A"/>
          <w:sz w:val="21"/>
          <w:szCs w:val="21"/>
        </w:rPr>
        <w:t xml:space="preserve">Accroche</w:t>
      </w:r>
    </w:p>
    <w:p>
      <w:pPr>
        <w:spacing w:after="110" w:line="288"/>
        <w:ind w:left="180" w:right="180"/>
        <w:jc w:val="both"/>
      </w:pPr>
      <w:r>
        <w:rPr>
          <w:rFonts w:ascii="Calibri" w:cs="Calibri" w:eastAsia="Calibri" w:hAnsi="Calibri"/>
          <w:color w:val="1A1A1A"/>
          <w:sz w:val="20"/>
          <w:szCs w:val="20"/>
        </w:rPr>
        <w:t xml:space="preserve">« L’article 6 de la Déclaration de 1789 proclame que la loi “doit être la même pour tous”. Mais il ajoute aussitôt que les citoyens sont admissibles aux emplois publics “selon leur capacité, et sans autre distinction que celle de leurs vertus et de leurs talents”. Le texte fondateur de l’égalité française l’aménage dans la phrase même qui la proclame. »</w:t>
      </w:r>
    </w:p>
    <w:p>
      <w:pPr>
        <w:pStyle w:val="Heading3"/>
        <w:spacing w:after="80" w:before="200"/>
      </w:pPr>
      <w:r>
        <w:rPr>
          <w:rFonts w:ascii="Calibri" w:cs="Calibri" w:eastAsia="Calibri" w:hAnsi="Calibri"/>
          <w:b/>
          <w:bCs/>
          <w:i/>
          <w:iCs/>
          <w:color w:val="1A1A1A"/>
          <w:sz w:val="21"/>
          <w:szCs w:val="21"/>
        </w:rPr>
        <w:t xml:space="preserve">Définition des termes</w:t>
      </w:r>
    </w:p>
    <w:p>
      <w:pPr>
        <w:spacing w:after="110" w:line="288"/>
        <w:ind w:left="180" w:right="180"/>
        <w:jc w:val="both"/>
      </w:pPr>
      <w:r>
        <w:rPr>
          <w:rFonts w:ascii="Calibri" w:cs="Calibri" w:eastAsia="Calibri" w:hAnsi="Calibri"/>
          <w:color w:val="1A1A1A"/>
          <w:sz w:val="20"/>
          <w:szCs w:val="20"/>
        </w:rPr>
        <w:t xml:space="preserve">« Le principe d’égalité impose de traiter de la même manière des personnes placées dans la même situation. Consacré par les articles 1er, 6 et 13 de la Déclaration, par le Préambule de 1946 et par l’article 1er de la Constitution, il est contrôlé par le Conseil constitutionnel depuis la décision Taxation d’office de 1973. L’aménager, c’est en adapter l’application aux situations réelles sans renoncer à sa finalité. L’aménagement se distingue ainsi de la discrimination, qui rompt l’égalité sans justification. »</w:t>
      </w:r>
    </w:p>
    <w:p>
      <w:pPr>
        <w:pStyle w:val="Heading3"/>
        <w:spacing w:after="80" w:before="200"/>
      </w:pPr>
      <w:r>
        <w:rPr>
          <w:rFonts w:ascii="Calibri" w:cs="Calibri" w:eastAsia="Calibri" w:hAnsi="Calibri"/>
          <w:b/>
          <w:bCs/>
          <w:i/>
          <w:iCs/>
          <w:color w:val="1A1A1A"/>
          <w:sz w:val="21"/>
          <w:szCs w:val="21"/>
        </w:rPr>
        <w:t xml:space="preserve">Contexte</w:t>
      </w:r>
    </w:p>
    <w:p>
      <w:pPr>
        <w:spacing w:after="110" w:line="288"/>
        <w:ind w:left="180" w:right="180"/>
        <w:jc w:val="both"/>
      </w:pPr>
      <w:r>
        <w:rPr>
          <w:rFonts w:ascii="Calibri" w:cs="Calibri" w:eastAsia="Calibri" w:hAnsi="Calibri"/>
          <w:color w:val="1A1A1A"/>
          <w:sz w:val="20"/>
          <w:szCs w:val="20"/>
        </w:rPr>
        <w:t xml:space="preserve">« Longtemps compris comme une égalité devant la loi, le principe est aujourd’hui sollicité pour produire une égalité par la loi : la Constitution permet depuis 1999 et 2008 de favoriser l’égal accès des femmes et des hommes aux mandats et aux responsabilités ; depuis le 1er mars 2026, les grandes entreprises doivent compter au moins 30 % de femmes parmi leurs cadres dirigeants ; et la Cour européenne impose parfois de traiter différemment des situations différentes. »</w:t>
      </w:r>
    </w:p>
    <w:p>
      <w:pPr>
        <w:pStyle w:val="Heading3"/>
        <w:spacing w:after="80" w:before="200"/>
      </w:pPr>
      <w:r>
        <w:rPr>
          <w:rFonts w:ascii="Calibri" w:cs="Calibri" w:eastAsia="Calibri" w:hAnsi="Calibri"/>
          <w:b/>
          <w:bCs/>
          <w:i/>
          <w:iCs/>
          <w:color w:val="1A1A1A"/>
          <w:sz w:val="21"/>
          <w:szCs w:val="21"/>
        </w:rPr>
        <w:t xml:space="preserve">Intérêt du sujet</w:t>
      </w:r>
    </w:p>
    <w:p>
      <w:pPr>
        <w:spacing w:after="110" w:line="288"/>
        <w:ind w:left="180" w:right="180"/>
        <w:jc w:val="both"/>
      </w:pPr>
      <w:r>
        <w:rPr>
          <w:rFonts w:ascii="Calibri" w:cs="Calibri" w:eastAsia="Calibri" w:hAnsi="Calibri"/>
          <w:color w:val="1A1A1A"/>
          <w:sz w:val="20"/>
          <w:szCs w:val="20"/>
        </w:rPr>
        <w:t xml:space="preserve">« L’intérêt du sujet est de répondre à une objection ancienne : aménager l’égalité reviendrait à réintroduire des privilèges. Il sera soutenu au contraire que l’aménagement n’entame pas le principe, mais l’accomplit. »</w:t>
      </w:r>
    </w:p>
    <w:p>
      <w:pPr>
        <w:pStyle w:val="Heading3"/>
        <w:spacing w:after="80" w:before="200"/>
      </w:pPr>
      <w:r>
        <w:rPr>
          <w:rFonts w:ascii="Calibri" w:cs="Calibri" w:eastAsia="Calibri" w:hAnsi="Calibri"/>
          <w:b/>
          <w:bCs/>
          <w:i/>
          <w:iCs/>
          <w:color w:val="1A1A1A"/>
          <w:sz w:val="21"/>
          <w:szCs w:val="21"/>
        </w:rPr>
        <w:t xml:space="preserve">Problématique</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L’aménagement du principe d’égalité en est-il la négation, ou la condition de son effectivité ?</w:t>
      </w:r>
    </w:p>
    <w:p>
      <w:pPr>
        <w:pStyle w:val="Heading3"/>
        <w:spacing w:after="80" w:before="200"/>
      </w:pPr>
      <w:r>
        <w:rPr>
          <w:rFonts w:ascii="Calibri" w:cs="Calibri" w:eastAsia="Calibri" w:hAnsi="Calibri"/>
          <w:b/>
          <w:bCs/>
          <w:i/>
          <w:iCs/>
          <w:color w:val="1A1A1A"/>
          <w:sz w:val="21"/>
          <w:szCs w:val="21"/>
        </w:rPr>
        <w:t xml:space="preserve">Annonce du plan</w:t>
      </w:r>
    </w:p>
    <w:p>
      <w:pPr>
        <w:spacing w:after="110" w:line="288"/>
        <w:ind w:left="180" w:right="180"/>
        <w:jc w:val="both"/>
      </w:pPr>
      <w:r>
        <w:rPr>
          <w:rFonts w:ascii="Calibri" w:cs="Calibri" w:eastAsia="Calibri" w:hAnsi="Calibri"/>
          <w:color w:val="1A1A1A"/>
          <w:sz w:val="20"/>
          <w:szCs w:val="20"/>
        </w:rPr>
        <w:t xml:space="preserve">« Il sera démontré que l’aménagement est inscrit dans le principe d’égalité lui-même, qui a toujours été une égalité proportionnelle (I), et qu’il est mis au service de ce principe, l’égalité réelle l’exigeant parfois (II). »</w:t>
      </w:r>
    </w:p>
    <w:p>
      <w:pPr>
        <w:pStyle w:val="Heading1"/>
        <w:pBdr>
          <w:bottom w:val="single" w:color="8C1C2B" w:sz="12" w:space="6"/>
        </w:pBdr>
        <w:spacing w:after="90" w:before="260"/>
      </w:pPr>
      <w:r>
        <w:rPr>
          <w:rFonts w:ascii="Calibri" w:cs="Calibri" w:eastAsia="Calibri" w:hAnsi="Calibri"/>
          <w:b/>
          <w:bCs/>
          <w:color w:val="8C1C2B"/>
          <w:sz w:val="28"/>
          <w:szCs w:val="28"/>
        </w:rPr>
        <w:t xml:space="preserve">4. LE PLAN DÉTAILLÉ</w:t>
      </w:r>
    </w:p>
    <w:p>
      <w:pPr>
        <w:pStyle w:val="Heading2"/>
        <w:spacing w:after="110" w:before="260"/>
      </w:pPr>
      <w:r>
        <w:rPr>
          <w:rFonts w:ascii="Calibri" w:cs="Calibri" w:eastAsia="Calibri" w:hAnsi="Calibri"/>
          <w:b/>
          <w:bCs/>
          <w:color w:val="1A1A1A"/>
          <w:spacing w:val="16"/>
          <w:sz w:val="23"/>
          <w:szCs w:val="23"/>
        </w:rPr>
        <w:t xml:space="preserve">I. Un aménagement inscrit dans le principe : l’égalité a toujours été proportionnelle</w:t>
      </w:r>
    </w:p>
    <w:p>
      <w:pPr>
        <w:spacing w:after="90" w:line="264"/>
        <w:jc w:val="both"/>
      </w:pPr>
      <w:r>
        <w:rPr>
          <w:rFonts w:ascii="Calibri" w:cs="Calibri" w:eastAsia="Calibri" w:hAnsi="Calibri"/>
          <w:i/>
          <w:iCs/>
          <w:color w:val="1A1A1A"/>
          <w:sz w:val="20"/>
          <w:szCs w:val="20"/>
        </w:rPr>
        <w:t xml:space="preserve">Chapeau à dire à l’oral.</w:t>
      </w:r>
      <w:r>
        <w:rPr>
          <w:rFonts w:ascii="Calibri" w:cs="Calibri" w:eastAsia="Calibri" w:hAnsi="Calibri"/>
          <w:color w:val="1A1A1A"/>
          <w:sz w:val="20"/>
          <w:szCs w:val="20"/>
        </w:rPr>
        <w:t xml:space="preserve"> Aménager l’égalité n’est pas une concession arrachée au principe : c’est sa logique même. Elle l’était dès 1789 (A) ; elle l’est dans la grille de contrôle que tous les juges appliquent (B).</w:t>
      </w:r>
    </w:p>
    <w:p>
      <w:pPr>
        <w:pStyle w:val="Heading3"/>
        <w:spacing w:after="80" w:before="200"/>
      </w:pPr>
      <w:r>
        <w:rPr>
          <w:rFonts w:ascii="Calibri" w:cs="Calibri" w:eastAsia="Calibri" w:hAnsi="Calibri"/>
          <w:b/>
          <w:bCs/>
          <w:i/>
          <w:iCs/>
          <w:color w:val="1A1A1A"/>
          <w:sz w:val="21"/>
          <w:szCs w:val="21"/>
        </w:rPr>
        <w:t xml:space="preserve">A. Une égalité relative dès l’origine</w:t>
      </w:r>
    </w:p>
    <w:p>
      <w:pPr>
        <w:pStyle w:val="ListParagraph"/>
        <w:numPr>
          <w:ilvl w:val="0"/>
          <w:numId w:val="2"/>
        </w:numPr>
        <w:spacing w:after="70" w:line="264"/>
        <w:jc w:val="both"/>
      </w:pPr>
      <w:r>
        <w:rPr>
          <w:rFonts w:ascii="Calibri" w:cs="Calibri" w:eastAsia="Calibri" w:hAnsi="Calibri"/>
          <w:b/>
          <w:bCs/>
          <w:color w:val="1A1A1A"/>
          <w:sz w:val="20"/>
          <w:szCs w:val="20"/>
        </w:rPr>
        <w:t xml:space="preserve">Les textes de 1789 aménagent eux-mêmes l’égalité</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 DDHC</w:t>
      </w:r>
      <w:r>
        <w:rPr>
          <w:rFonts w:ascii="Calibri" w:cs="Calibri" w:eastAsia="Calibri" w:hAnsi="Calibri"/>
          <w:color w:val="1A1A1A"/>
          <w:sz w:val="20"/>
          <w:szCs w:val="20"/>
        </w:rPr>
        <w:t xml:space="preserve"> (« distinctions sociales » fondées sur « l’utilité commune ») ; </w:t>
      </w:r>
      <w:r>
        <w:rPr>
          <w:rFonts w:ascii="Calibri" w:cs="Calibri" w:eastAsia="Calibri" w:hAnsi="Calibri"/>
          <w:color w:val="1E88E5"/>
          <w:sz w:val="20"/>
          <w:szCs w:val="20"/>
        </w:rPr>
        <w:t xml:space="preserve">art. 6</w:t>
      </w:r>
      <w:r>
        <w:rPr>
          <w:rFonts w:ascii="Calibri" w:cs="Calibri" w:eastAsia="Calibri" w:hAnsi="Calibri"/>
          <w:color w:val="1A1A1A"/>
          <w:sz w:val="20"/>
          <w:szCs w:val="20"/>
        </w:rPr>
        <w:t xml:space="preserve"> (« selon leur capacité ») ; </w:t>
      </w:r>
      <w:r>
        <w:rPr>
          <w:rFonts w:ascii="Calibri" w:cs="Calibri" w:eastAsia="Calibri" w:hAnsi="Calibri"/>
          <w:color w:val="1E88E5"/>
          <w:sz w:val="20"/>
          <w:szCs w:val="20"/>
        </w:rPr>
        <w:t xml:space="preserve">art. 13</w:t>
      </w:r>
      <w:r>
        <w:rPr>
          <w:rFonts w:ascii="Calibri" w:cs="Calibri" w:eastAsia="Calibri" w:hAnsi="Calibri"/>
          <w:color w:val="1A1A1A"/>
          <w:sz w:val="20"/>
          <w:szCs w:val="20"/>
        </w:rPr>
        <w:t xml:space="preserve"> (contribution « en raison de leurs facultés »). L’égalité révolutionnaire est une égalité de droits, pas une identité de traitement.</w:t>
      </w:r>
    </w:p>
    <w:p>
      <w:pPr>
        <w:pStyle w:val="ListParagraph"/>
        <w:numPr>
          <w:ilvl w:val="0"/>
          <w:numId w:val="2"/>
        </w:numPr>
        <w:spacing w:after="70" w:line="264"/>
        <w:jc w:val="both"/>
      </w:pPr>
      <w:r>
        <w:rPr>
          <w:rFonts w:ascii="Calibri" w:cs="Calibri" w:eastAsia="Calibri" w:hAnsi="Calibri"/>
          <w:b/>
          <w:bCs/>
          <w:color w:val="1A1A1A"/>
          <w:sz w:val="20"/>
          <w:szCs w:val="20"/>
        </w:rPr>
        <w:t xml:space="preserve">La philosophie confirme</w:t>
      </w:r>
      <w:r>
        <w:rPr>
          <w:rFonts w:ascii="Calibri" w:cs="Calibri" w:eastAsia="Calibri" w:hAnsi="Calibri"/>
          <w:color w:val="1A1A1A"/>
          <w:sz w:val="20"/>
          <w:szCs w:val="20"/>
        </w:rPr>
        <w:t xml:space="preserve"> : l’égalité géométrique d’</w:t>
      </w:r>
      <w:r>
        <w:rPr>
          <w:rFonts w:ascii="Calibri" w:cs="Calibri" w:eastAsia="Calibri" w:hAnsi="Calibri"/>
          <w:color w:val="2E7D32"/>
          <w:sz w:val="20"/>
          <w:szCs w:val="20"/>
        </w:rPr>
        <w:t xml:space="preserve">Aristote</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Éthique à Nicomaque</w:t>
      </w:r>
      <w:r>
        <w:rPr>
          <w:rFonts w:ascii="Calibri" w:cs="Calibri" w:eastAsia="Calibri" w:hAnsi="Calibri"/>
          <w:color w:val="1A1A1A"/>
          <w:sz w:val="20"/>
          <w:szCs w:val="20"/>
        </w:rPr>
        <w:t xml:space="preserve">, livre V) consiste à traiter également les égaux et inégalement les inégaux, en proportion de leur différence. La formule souvent citée — « il n’y a pas pire injustice que de traiter également des choses inégales » — est une paraphrase et non une citation : la donner comme telle, sans guillemets.</w:t>
      </w:r>
    </w:p>
    <w:p>
      <w:pPr>
        <w:pStyle w:val="ListParagraph"/>
        <w:numPr>
          <w:ilvl w:val="0"/>
          <w:numId w:val="2"/>
        </w:numPr>
        <w:spacing w:after="70" w:line="264"/>
        <w:jc w:val="both"/>
      </w:pPr>
      <w:r>
        <w:rPr>
          <w:rFonts w:ascii="Calibri" w:cs="Calibri" w:eastAsia="Calibri" w:hAnsi="Calibri"/>
          <w:b/>
          <w:bCs/>
          <w:color w:val="1A1A1A"/>
          <w:sz w:val="20"/>
          <w:szCs w:val="20"/>
        </w:rPr>
        <w:t xml:space="preserve">D’où la règle</w:t>
      </w:r>
      <w:r>
        <w:rPr>
          <w:rFonts w:ascii="Calibri" w:cs="Calibri" w:eastAsia="Calibri" w:hAnsi="Calibri"/>
          <w:color w:val="1A1A1A"/>
          <w:sz w:val="20"/>
          <w:szCs w:val="20"/>
        </w:rPr>
        <w:t xml:space="preserve"> : l’égalité vaut à l’intérieur d’une même catégorie, à condition que la catégorie soit définie par un critère objectif et rationnel. L’impôt progressif, le quotient familial, les droits différents des étrangers en matière de séjour (</w:t>
      </w:r>
      <w:r>
        <w:rPr>
          <w:rFonts w:ascii="Calibri" w:cs="Calibri" w:eastAsia="Calibri" w:hAnsi="Calibri"/>
          <w:color w:val="E91E63"/>
          <w:sz w:val="20"/>
          <w:szCs w:val="20"/>
        </w:rPr>
        <w:t xml:space="preserve">93-325 DC, 13 août 1993</w:t>
      </w:r>
      <w:r>
        <w:rPr>
          <w:rFonts w:ascii="Calibri" w:cs="Calibri" w:eastAsia="Calibri" w:hAnsi="Calibri"/>
          <w:color w:val="1A1A1A"/>
          <w:sz w:val="20"/>
          <w:szCs w:val="20"/>
        </w:rPr>
        <w:t xml:space="preserve">) en sont des applications.</w:t>
      </w:r>
    </w:p>
    <w:p>
      <w:pPr>
        <w:pStyle w:val="Heading3"/>
        <w:spacing w:after="80" w:before="200"/>
      </w:pPr>
      <w:r>
        <w:rPr>
          <w:rFonts w:ascii="Calibri" w:cs="Calibri" w:eastAsia="Calibri" w:hAnsi="Calibri"/>
          <w:b/>
          <w:bCs/>
          <w:i/>
          <w:iCs/>
          <w:color w:val="1A1A1A"/>
          <w:sz w:val="21"/>
          <w:szCs w:val="21"/>
        </w:rPr>
        <w:t xml:space="preserve">B. Une grille de contrôle commune à tous les juges</w:t>
      </w:r>
    </w:p>
    <w:p>
      <w:pPr>
        <w:pStyle w:val="ListParagraph"/>
        <w:numPr>
          <w:ilvl w:val="0"/>
          <w:numId w:val="2"/>
        </w:numPr>
        <w:spacing w:after="70" w:line="264"/>
        <w:jc w:val="both"/>
      </w:pPr>
      <w:r>
        <w:rPr>
          <w:rFonts w:ascii="Calibri" w:cs="Calibri" w:eastAsia="Calibri" w:hAnsi="Calibri"/>
          <w:b/>
          <w:bCs/>
          <w:color w:val="1A1A1A"/>
          <w:sz w:val="20"/>
          <w:szCs w:val="20"/>
        </w:rPr>
        <w:t xml:space="preserve">Le Conseil constitutionnel</w:t>
      </w:r>
      <w:r>
        <w:rPr>
          <w:rFonts w:ascii="Calibri" w:cs="Calibri" w:eastAsia="Calibri" w:hAnsi="Calibri"/>
          <w:color w:val="1A1A1A"/>
          <w:sz w:val="20"/>
          <w:szCs w:val="20"/>
        </w:rPr>
        <w:t xml:space="preserve"> : différence de situation ou intérêt général, en rapport direct avec l’objet de la loi (</w:t>
      </w:r>
      <w:r>
        <w:rPr>
          <w:rFonts w:ascii="Calibri" w:cs="Calibri" w:eastAsia="Calibri" w:hAnsi="Calibri"/>
          <w:color w:val="E91E63"/>
          <w:sz w:val="20"/>
          <w:szCs w:val="20"/>
        </w:rPr>
        <w:t xml:space="preserve">79-107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87-232 DC</w:t>
      </w:r>
      <w:r>
        <w:rPr>
          <w:rFonts w:ascii="Calibri" w:cs="Calibri" w:eastAsia="Calibri" w:hAnsi="Calibri"/>
          <w:color w:val="1A1A1A"/>
          <w:sz w:val="20"/>
          <w:szCs w:val="20"/>
        </w:rPr>
        <w:t xml:space="preserve">) ; il ne substitue pas son appréciation à celle du législateur. Le contrôle est souple en matière fiscale et économique, strict pour la justice et les critères de l’</w:t>
      </w:r>
      <w:r>
        <w:rPr>
          <w:rFonts w:ascii="Calibri" w:cs="Calibri" w:eastAsia="Calibri" w:hAnsi="Calibri"/>
          <w:color w:val="1E88E5"/>
          <w:sz w:val="20"/>
          <w:szCs w:val="20"/>
        </w:rPr>
        <w:t xml:space="preserve">art. 1er</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juge administratif</w:t>
      </w:r>
      <w:r>
        <w:rPr>
          <w:rFonts w:ascii="Calibri" w:cs="Calibri" w:eastAsia="Calibri" w:hAnsi="Calibri"/>
          <w:color w:val="1A1A1A"/>
          <w:sz w:val="20"/>
          <w:szCs w:val="20"/>
        </w:rPr>
        <w:t xml:space="preserve"> : principe général du droit (</w:t>
      </w:r>
      <w:r>
        <w:rPr>
          <w:rFonts w:ascii="Calibri" w:cs="Calibri" w:eastAsia="Calibri" w:hAnsi="Calibri"/>
          <w:color w:val="E91E63"/>
          <w:sz w:val="20"/>
          <w:szCs w:val="20"/>
        </w:rPr>
        <w:t xml:space="preserve">Société des concerts du conservatoire</w:t>
      </w:r>
      <w:r>
        <w:rPr>
          <w:rFonts w:ascii="Calibri" w:cs="Calibri" w:eastAsia="Calibri" w:hAnsi="Calibri"/>
          <w:color w:val="1A1A1A"/>
          <w:sz w:val="20"/>
          <w:szCs w:val="20"/>
        </w:rPr>
        <w:t xml:space="preserve">, 1951) ; trois cas de différenciation tarifaire (</w:t>
      </w:r>
      <w:r>
        <w:rPr>
          <w:rFonts w:ascii="Calibri" w:cs="Calibri" w:eastAsia="Calibri" w:hAnsi="Calibri"/>
          <w:color w:val="E91E63"/>
          <w:sz w:val="20"/>
          <w:szCs w:val="20"/>
        </w:rPr>
        <w:t xml:space="preserve">Denoyez et Chorques</w:t>
      </w:r>
      <w:r>
        <w:rPr>
          <w:rFonts w:ascii="Calibri" w:cs="Calibri" w:eastAsia="Calibri" w:hAnsi="Calibri"/>
          <w:color w:val="1A1A1A"/>
          <w:sz w:val="20"/>
          <w:szCs w:val="20"/>
        </w:rPr>
        <w:t xml:space="preserve">, 1974) ; modulation selon les revenus (</w:t>
      </w:r>
      <w:r>
        <w:rPr>
          <w:rFonts w:ascii="Calibri" w:cs="Calibri" w:eastAsia="Calibri" w:hAnsi="Calibri"/>
          <w:color w:val="E91E63"/>
          <w:sz w:val="20"/>
          <w:szCs w:val="20"/>
        </w:rPr>
        <w:t xml:space="preserve">Gennevilliers</w:t>
      </w:r>
      <w:r>
        <w:rPr>
          <w:rFonts w:ascii="Calibri" w:cs="Calibri" w:eastAsia="Calibri" w:hAnsi="Calibri"/>
          <w:color w:val="1A1A1A"/>
          <w:sz w:val="20"/>
          <w:szCs w:val="20"/>
        </w:rPr>
        <w:t xml:space="preserve">, 1997) ; formule </w:t>
      </w:r>
      <w:r>
        <w:rPr>
          <w:rFonts w:ascii="Calibri" w:cs="Calibri" w:eastAsia="Calibri" w:hAnsi="Calibri"/>
          <w:color w:val="E91E63"/>
          <w:sz w:val="20"/>
          <w:szCs w:val="20"/>
        </w:rPr>
        <w:t xml:space="preserve">Duvignères</w:t>
      </w:r>
      <w:r>
        <w:rPr>
          <w:rFonts w:ascii="Calibri" w:cs="Calibri" w:eastAsia="Calibri" w:hAnsi="Calibri"/>
          <w:color w:val="1A1A1A"/>
          <w:sz w:val="20"/>
          <w:szCs w:val="20"/>
        </w:rPr>
        <w:t xml:space="preserve"> (2002).</w:t>
      </w:r>
    </w:p>
    <w:p>
      <w:pPr>
        <w:pStyle w:val="ListParagraph"/>
        <w:numPr>
          <w:ilvl w:val="0"/>
          <w:numId w:val="2"/>
        </w:numPr>
        <w:spacing w:after="70" w:line="264"/>
        <w:jc w:val="both"/>
      </w:pPr>
      <w:r>
        <w:rPr>
          <w:rFonts w:ascii="Calibri" w:cs="Calibri" w:eastAsia="Calibri" w:hAnsi="Calibri"/>
          <w:b/>
          <w:bCs/>
          <w:color w:val="1A1A1A"/>
          <w:sz w:val="20"/>
          <w:szCs w:val="20"/>
        </w:rPr>
        <w:t xml:space="preserve">Les juges européens</w:t>
      </w:r>
      <w:r>
        <w:rPr>
          <w:rFonts w:ascii="Calibri" w:cs="Calibri" w:eastAsia="Calibri" w:hAnsi="Calibri"/>
          <w:color w:val="1A1A1A"/>
          <w:sz w:val="20"/>
          <w:szCs w:val="20"/>
        </w:rPr>
        <w:t xml:space="preserve"> : « justification objective et raisonnable » (</w:t>
      </w:r>
      <w:r>
        <w:rPr>
          <w:rFonts w:ascii="Calibri" w:cs="Calibri" w:eastAsia="Calibri" w:hAnsi="Calibri"/>
          <w:color w:val="E91E63"/>
          <w:sz w:val="20"/>
          <w:szCs w:val="20"/>
        </w:rPr>
        <w:t xml:space="preserve">Affaire linguistique belge</w:t>
      </w:r>
      <w:r>
        <w:rPr>
          <w:rFonts w:ascii="Calibri" w:cs="Calibri" w:eastAsia="Calibri" w:hAnsi="Calibri"/>
          <w:color w:val="1A1A1A"/>
          <w:sz w:val="20"/>
          <w:szCs w:val="20"/>
        </w:rPr>
        <w:t xml:space="preserve">, 1968) ; liste ouverte des critères (</w:t>
      </w:r>
      <w:r>
        <w:rPr>
          <w:rFonts w:ascii="Calibri" w:cs="Calibri" w:eastAsia="Calibri" w:hAnsi="Calibri"/>
          <w:color w:val="E91E63"/>
          <w:sz w:val="20"/>
          <w:szCs w:val="20"/>
        </w:rPr>
        <w:t xml:space="preserve">Carson</w:t>
      </w:r>
      <w:r>
        <w:rPr>
          <w:rFonts w:ascii="Calibri" w:cs="Calibri" w:eastAsia="Calibri" w:hAnsi="Calibri"/>
          <w:color w:val="1A1A1A"/>
          <w:sz w:val="20"/>
          <w:szCs w:val="20"/>
        </w:rPr>
        <w:t xml:space="preserve">, 2010).</w:t>
      </w:r>
    </w:p>
    <w:p>
      <w:pPr>
        <w:pStyle w:val="ListParagraph"/>
        <w:numPr>
          <w:ilvl w:val="0"/>
          <w:numId w:val="2"/>
        </w:numPr>
        <w:spacing w:after="70" w:line="264"/>
        <w:jc w:val="both"/>
      </w:pPr>
      <w:r>
        <w:rPr>
          <w:rFonts w:ascii="Calibri" w:cs="Calibri" w:eastAsia="Calibri" w:hAnsi="Calibri"/>
          <w:b/>
          <w:bCs/>
          <w:color w:val="1A1A1A"/>
          <w:sz w:val="20"/>
          <w:szCs w:val="20"/>
        </w:rPr>
        <w:t xml:space="preserve">Ce que prouve la convergence</w:t>
      </w:r>
      <w:r>
        <w:rPr>
          <w:rFonts w:ascii="Calibri" w:cs="Calibri" w:eastAsia="Calibri" w:hAnsi="Calibri"/>
          <w:color w:val="1A1A1A"/>
          <w:sz w:val="20"/>
          <w:szCs w:val="20"/>
        </w:rPr>
        <w:t xml:space="preserve"> : trois ordres juridiques, une même grille. L’aménagement n’est pas une tolérance ponctuelle mais une </w:t>
      </w:r>
      <w:r>
        <w:rPr>
          <w:rFonts w:ascii="Calibri" w:cs="Calibri" w:eastAsia="Calibri" w:hAnsi="Calibri"/>
          <w:b/>
          <w:bCs/>
          <w:color w:val="1A1A1A"/>
          <w:sz w:val="20"/>
          <w:szCs w:val="20"/>
        </w:rPr>
        <w:t xml:space="preserve">méthode d’application</w:t>
      </w:r>
      <w:r>
        <w:rPr>
          <w:rFonts w:ascii="Calibri" w:cs="Calibri" w:eastAsia="Calibri" w:hAnsi="Calibri"/>
          <w:color w:val="1A1A1A"/>
          <w:sz w:val="20"/>
          <w:szCs w:val="20"/>
        </w:rPr>
        <w:t xml:space="preserve"> du principe.</w:t>
      </w:r>
    </w:p>
    <w:p>
      <w:pPr>
        <w:spacing w:after="90" w:line="264"/>
        <w:jc w:val="both"/>
      </w:pPr>
      <w:r>
        <w:rPr>
          <w:rFonts w:ascii="Calibri" w:cs="Calibri" w:eastAsia="Calibri" w:hAnsi="Calibri"/>
          <w:i/>
          <w:iCs/>
          <w:color w:val="1A1A1A"/>
          <w:sz w:val="20"/>
          <w:szCs w:val="20"/>
        </w:rPr>
        <w:t xml:space="preserve">Transition.</w:t>
      </w:r>
      <w:r>
        <w:rPr>
          <w:rFonts w:ascii="Calibri" w:cs="Calibri" w:eastAsia="Calibri" w:hAnsi="Calibri"/>
          <w:color w:val="1A1A1A"/>
          <w:sz w:val="20"/>
          <w:szCs w:val="20"/>
        </w:rPr>
        <w:t xml:space="preserve"> Si le principe admet l’aménagement, il va plus loin : il le réclame, lorsque l’égalité de droit laisse subsister des inégalités de fait.</w:t>
      </w:r>
    </w:p>
    <w:p>
      <w:pPr>
        <w:pStyle w:val="Heading2"/>
        <w:spacing w:after="110" w:before="260"/>
      </w:pPr>
      <w:r>
        <w:rPr>
          <w:rFonts w:ascii="Calibri" w:cs="Calibri" w:eastAsia="Calibri" w:hAnsi="Calibri"/>
          <w:b/>
          <w:bCs/>
          <w:color w:val="1A1A1A"/>
          <w:spacing w:val="16"/>
          <w:sz w:val="23"/>
          <w:szCs w:val="23"/>
        </w:rPr>
        <w:t xml:space="preserve">II. Un aménagement au service du principe : l’égalité réelle l’exige</w:t>
      </w:r>
    </w:p>
    <w:p>
      <w:pPr>
        <w:spacing w:after="90" w:line="264"/>
        <w:jc w:val="both"/>
      </w:pPr>
      <w:r>
        <w:rPr>
          <w:rFonts w:ascii="Calibri" w:cs="Calibri" w:eastAsia="Calibri" w:hAnsi="Calibri"/>
          <w:i/>
          <w:iCs/>
          <w:color w:val="1A1A1A"/>
          <w:sz w:val="20"/>
          <w:szCs w:val="20"/>
        </w:rPr>
        <w:t xml:space="preserve">Chapeau.</w:t>
      </w:r>
      <w:r>
        <w:rPr>
          <w:rFonts w:ascii="Calibri" w:cs="Calibri" w:eastAsia="Calibri" w:hAnsi="Calibri"/>
          <w:color w:val="1A1A1A"/>
          <w:sz w:val="20"/>
          <w:szCs w:val="20"/>
        </w:rPr>
        <w:t xml:space="preserve"> Les aménagements correcteurs se multiplient (A) ; et leurs limites, loin d’affaiblir la thèse, prouvent que l’aménagement préserve le principe qu’il adapte (B).</w:t>
      </w:r>
    </w:p>
    <w:p>
      <w:pPr>
        <w:pStyle w:val="Heading3"/>
        <w:spacing w:after="80" w:before="200"/>
      </w:pPr>
      <w:r>
        <w:rPr>
          <w:rFonts w:ascii="Calibri" w:cs="Calibri" w:eastAsia="Calibri" w:hAnsi="Calibri"/>
          <w:b/>
          <w:bCs/>
          <w:i/>
          <w:iCs/>
          <w:color w:val="1A1A1A"/>
          <w:sz w:val="21"/>
          <w:szCs w:val="21"/>
        </w:rPr>
        <w:t xml:space="preserve">A. Des aménagements correcteurs, parfois obligatoires</w:t>
      </w:r>
    </w:p>
    <w:p>
      <w:pPr>
        <w:pStyle w:val="ListParagraph"/>
        <w:numPr>
          <w:ilvl w:val="0"/>
          <w:numId w:val="2"/>
        </w:numPr>
        <w:spacing w:after="70" w:line="264"/>
        <w:jc w:val="both"/>
      </w:pPr>
      <w:r>
        <w:rPr>
          <w:rFonts w:ascii="Calibri" w:cs="Calibri" w:eastAsia="Calibri" w:hAnsi="Calibri"/>
          <w:b/>
          <w:bCs/>
          <w:color w:val="1A1A1A"/>
          <w:sz w:val="20"/>
          <w:szCs w:val="20"/>
        </w:rPr>
        <w:t xml:space="preserve">Sur des critères sociaux et territoriaux</w:t>
      </w:r>
      <w:r>
        <w:rPr>
          <w:rFonts w:ascii="Calibri" w:cs="Calibri" w:eastAsia="Calibri" w:hAnsi="Calibri"/>
          <w:color w:val="1A1A1A"/>
          <w:sz w:val="20"/>
          <w:szCs w:val="20"/>
        </w:rPr>
        <w:t xml:space="preserve"> : conventions d’éducation prioritaire de Sciences Po (</w:t>
      </w:r>
      <w:r>
        <w:rPr>
          <w:rFonts w:ascii="Calibri" w:cs="Calibri" w:eastAsia="Calibri" w:hAnsi="Calibri"/>
          <w:color w:val="E91E63"/>
          <w:sz w:val="20"/>
          <w:szCs w:val="20"/>
        </w:rPr>
        <w:t xml:space="preserve">2001-450 DC</w:t>
      </w:r>
      <w:r>
        <w:rPr>
          <w:rFonts w:ascii="Calibri" w:cs="Calibri" w:eastAsia="Calibri" w:hAnsi="Calibri"/>
          <w:color w:val="1A1A1A"/>
          <w:sz w:val="20"/>
          <w:szCs w:val="20"/>
        </w:rPr>
        <w:t xml:space="preserve">) ; zones de revitalisation (</w:t>
      </w:r>
      <w:r>
        <w:rPr>
          <w:rFonts w:ascii="Calibri" w:cs="Calibri" w:eastAsia="Calibri" w:hAnsi="Calibri"/>
          <w:color w:val="E91E63"/>
          <w:sz w:val="20"/>
          <w:szCs w:val="20"/>
        </w:rPr>
        <w:t xml:space="preserve">94-358 DC</w:t>
      </w:r>
      <w:r>
        <w:rPr>
          <w:rFonts w:ascii="Calibri" w:cs="Calibri" w:eastAsia="Calibri" w:hAnsi="Calibri"/>
          <w:color w:val="1A1A1A"/>
          <w:sz w:val="20"/>
          <w:szCs w:val="20"/>
        </w:rPr>
        <w:t xml:space="preserve">) ; mesures pour l’égalité des chances (</w:t>
      </w:r>
      <w:r>
        <w:rPr>
          <w:rFonts w:ascii="Calibri" w:cs="Calibri" w:eastAsia="Calibri" w:hAnsi="Calibri"/>
          <w:color w:val="E91E63"/>
          <w:sz w:val="20"/>
          <w:szCs w:val="20"/>
        </w:rPr>
        <w:t xml:space="preserve">2006-535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Sur le sexe, après révision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 al. 2 Constitution</w:t>
      </w:r>
      <w:r>
        <w:rPr>
          <w:rFonts w:ascii="Calibri" w:cs="Calibri" w:eastAsia="Calibri" w:hAnsi="Calibri"/>
          <w:color w:val="1A1A1A"/>
          <w:sz w:val="20"/>
          <w:szCs w:val="20"/>
        </w:rPr>
        <w:t xml:space="preserve"> ; lois du 6 juin 2000, Copé-Zimmermann (2011), Rixain (2021, 30 % de cadres dirigeantes depuis le 1er mars 2026) ; </w:t>
      </w:r>
      <w:r>
        <w:rPr>
          <w:rFonts w:ascii="Calibri" w:cs="Calibri" w:eastAsia="Calibri" w:hAnsi="Calibri"/>
          <w:color w:val="1E88E5"/>
          <w:sz w:val="20"/>
          <w:szCs w:val="20"/>
        </w:rPr>
        <w:t xml:space="preserve">art. 23 CDFUE</w:t>
      </w:r>
      <w:r>
        <w:rPr>
          <w:rFonts w:ascii="Calibri" w:cs="Calibri" w:eastAsia="Calibri" w:hAnsi="Calibri"/>
          <w:color w:val="1A1A1A"/>
          <w:sz w:val="20"/>
          <w:szCs w:val="20"/>
        </w:rPr>
        <w:t xml:space="preserve">. Le juge administratif admet même une compensation de carrière au profit des mères (</w:t>
      </w:r>
      <w:r>
        <w:rPr>
          <w:rFonts w:ascii="Calibri" w:cs="Calibri" w:eastAsia="Calibri" w:hAnsi="Calibri"/>
          <w:color w:val="E91E63"/>
          <w:sz w:val="20"/>
          <w:szCs w:val="20"/>
        </w:rPr>
        <w:t xml:space="preserve">Quintanel</w:t>
      </w:r>
      <w:r>
        <w:rPr>
          <w:rFonts w:ascii="Calibri" w:cs="Calibri" w:eastAsia="Calibri" w:hAnsi="Calibri"/>
          <w:color w:val="1A1A1A"/>
          <w:sz w:val="20"/>
          <w:szCs w:val="20"/>
        </w:rPr>
        <w:t xml:space="preserve">, 2015).</w:t>
      </w:r>
    </w:p>
    <w:p>
      <w:pPr>
        <w:pStyle w:val="ListParagraph"/>
        <w:numPr>
          <w:ilvl w:val="0"/>
          <w:numId w:val="2"/>
        </w:numPr>
        <w:spacing w:after="70" w:line="264"/>
        <w:jc w:val="both"/>
      </w:pPr>
      <w:r>
        <w:rPr>
          <w:rFonts w:ascii="Calibri" w:cs="Calibri" w:eastAsia="Calibri" w:hAnsi="Calibri"/>
          <w:b/>
          <w:bCs/>
          <w:color w:val="1A1A1A"/>
          <w:sz w:val="20"/>
          <w:szCs w:val="20"/>
        </w:rPr>
        <w:t xml:space="preserve">Sur le handicap</w:t>
      </w:r>
      <w:r>
        <w:rPr>
          <w:rFonts w:ascii="Calibri" w:cs="Calibri" w:eastAsia="Calibri" w:hAnsi="Calibri"/>
          <w:color w:val="1A1A1A"/>
          <w:sz w:val="20"/>
          <w:szCs w:val="20"/>
        </w:rPr>
        <w:t xml:space="preserve"> : obligation d’emploi de 6 % ; aménagement raisonnable (</w:t>
      </w:r>
      <w:r>
        <w:rPr>
          <w:rFonts w:ascii="Calibri" w:cs="Calibri" w:eastAsia="Calibri" w:hAnsi="Calibri"/>
          <w:color w:val="1E88E5"/>
          <w:sz w:val="20"/>
          <w:szCs w:val="20"/>
        </w:rPr>
        <w:t xml:space="preserve">art. 5 CRPD</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Çam c. Turquie</w:t>
      </w:r>
      <w:r>
        <w:rPr>
          <w:rFonts w:ascii="Calibri" w:cs="Calibri" w:eastAsia="Calibri" w:hAnsi="Calibri"/>
          <w:color w:val="1A1A1A"/>
          <w:sz w:val="20"/>
          <w:szCs w:val="20"/>
        </w:rPr>
        <w:t xml:space="preserve">, 2016).</w:t>
      </w:r>
    </w:p>
    <w:p>
      <w:pPr>
        <w:pStyle w:val="ListParagraph"/>
        <w:numPr>
          <w:ilvl w:val="0"/>
          <w:numId w:val="2"/>
        </w:numPr>
        <w:spacing w:after="70" w:line="264"/>
        <w:jc w:val="both"/>
      </w:pPr>
      <w:r>
        <w:rPr>
          <w:rFonts w:ascii="Calibri" w:cs="Calibri" w:eastAsia="Calibri" w:hAnsi="Calibri"/>
          <w:b/>
          <w:bCs/>
          <w:color w:val="1A1A1A"/>
          <w:sz w:val="20"/>
          <w:szCs w:val="20"/>
        </w:rPr>
        <w:t xml:space="preserve">Parfois une obligation</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14 CEDH</w:t>
      </w:r>
      <w:r>
        <w:rPr>
          <w:rFonts w:ascii="Calibri" w:cs="Calibri" w:eastAsia="Calibri" w:hAnsi="Calibri"/>
          <w:color w:val="1A1A1A"/>
          <w:sz w:val="20"/>
          <w:szCs w:val="20"/>
        </w:rPr>
        <w:t xml:space="preserve"> est violé lorsqu’un État ne traite pas différemment des situations sensiblement différentes (</w:t>
      </w:r>
      <w:r>
        <w:rPr>
          <w:rFonts w:ascii="Calibri" w:cs="Calibri" w:eastAsia="Calibri" w:hAnsi="Calibri"/>
          <w:color w:val="E91E63"/>
          <w:sz w:val="20"/>
          <w:szCs w:val="20"/>
        </w:rPr>
        <w:t xml:space="preserve">Thlimmenos</w:t>
      </w:r>
      <w:r>
        <w:rPr>
          <w:rFonts w:ascii="Calibri" w:cs="Calibri" w:eastAsia="Calibri" w:hAnsi="Calibri"/>
          <w:color w:val="1A1A1A"/>
          <w:sz w:val="20"/>
          <w:szCs w:val="20"/>
        </w:rPr>
        <w:t xml:space="preserve">, 2000) ; une mesure correctrice est légitime tant que l’inégalité de fait persiste (</w:t>
      </w:r>
      <w:r>
        <w:rPr>
          <w:rFonts w:ascii="Calibri" w:cs="Calibri" w:eastAsia="Calibri" w:hAnsi="Calibri"/>
          <w:color w:val="E91E63"/>
          <w:sz w:val="20"/>
          <w:szCs w:val="20"/>
        </w:rPr>
        <w:t xml:space="preserve">Stec</w:t>
      </w:r>
      <w:r>
        <w:rPr>
          <w:rFonts w:ascii="Calibri" w:cs="Calibri" w:eastAsia="Calibri" w:hAnsi="Calibri"/>
          <w:color w:val="1A1A1A"/>
          <w:sz w:val="20"/>
          <w:szCs w:val="20"/>
        </w:rPr>
        <w:t xml:space="preserve">, 2006 ; </w:t>
      </w:r>
      <w:r>
        <w:rPr>
          <w:rFonts w:ascii="Calibri" w:cs="Calibri" w:eastAsia="Calibri" w:hAnsi="Calibri"/>
          <w:color w:val="E91E63"/>
          <w:sz w:val="20"/>
          <w:szCs w:val="20"/>
        </w:rPr>
        <w:t xml:space="preserve">Andrle</w:t>
      </w:r>
      <w:r>
        <w:rPr>
          <w:rFonts w:ascii="Calibri" w:cs="Calibri" w:eastAsia="Calibri" w:hAnsi="Calibri"/>
          <w:color w:val="1A1A1A"/>
          <w:sz w:val="20"/>
          <w:szCs w:val="20"/>
        </w:rPr>
        <w:t xml:space="preserve">, 2011).</w:t>
      </w:r>
    </w:p>
    <w:p>
      <w:pPr>
        <w:pStyle w:val="Heading3"/>
        <w:spacing w:after="80" w:before="200"/>
      </w:pPr>
      <w:r>
        <w:rPr>
          <w:rFonts w:ascii="Calibri" w:cs="Calibri" w:eastAsia="Calibri" w:hAnsi="Calibri"/>
          <w:b/>
          <w:bCs/>
          <w:i/>
          <w:iCs/>
          <w:color w:val="1A1A1A"/>
          <w:sz w:val="21"/>
          <w:szCs w:val="21"/>
        </w:rPr>
        <w:t xml:space="preserve">B. Des aménagements encadrés, preuve que le principe survit</w:t>
      </w:r>
    </w:p>
    <w:p>
      <w:pPr>
        <w:pStyle w:val="ListParagraph"/>
        <w:numPr>
          <w:ilvl w:val="0"/>
          <w:numId w:val="2"/>
        </w:numPr>
        <w:spacing w:after="70" w:line="264"/>
        <w:jc w:val="both"/>
      </w:pPr>
      <w:r>
        <w:rPr>
          <w:rFonts w:ascii="Calibri" w:cs="Calibri" w:eastAsia="Calibri" w:hAnsi="Calibri"/>
          <w:b/>
          <w:bCs/>
          <w:color w:val="1A1A1A"/>
          <w:sz w:val="20"/>
          <w:szCs w:val="20"/>
        </w:rPr>
        <w:t xml:space="preserve">Un critère prohibé</w:t>
      </w:r>
      <w:r>
        <w:rPr>
          <w:rFonts w:ascii="Calibri" w:cs="Calibri" w:eastAsia="Calibri" w:hAnsi="Calibri"/>
          <w:color w:val="1A1A1A"/>
          <w:sz w:val="20"/>
          <w:szCs w:val="20"/>
        </w:rPr>
        <w:t xml:space="preserve"> : l’origine, la race et la religion (</w:t>
      </w:r>
      <w:r>
        <w:rPr>
          <w:rFonts w:ascii="Calibri" w:cs="Calibri" w:eastAsia="Calibri" w:hAnsi="Calibri"/>
          <w:color w:val="1E88E5"/>
          <w:sz w:val="20"/>
          <w:szCs w:val="20"/>
        </w:rPr>
        <w:t xml:space="preserve">art. 1er Constitution</w:t>
      </w:r>
      <w:r>
        <w:rPr>
          <w:rFonts w:ascii="Calibri" w:cs="Calibri" w:eastAsia="Calibri" w:hAnsi="Calibri"/>
          <w:color w:val="1A1A1A"/>
          <w:sz w:val="20"/>
          <w:szCs w:val="20"/>
        </w:rPr>
        <w:t xml:space="preserve">) ne peuvent fonder un aménagement (</w:t>
      </w:r>
      <w:r>
        <w:rPr>
          <w:rFonts w:ascii="Calibri" w:cs="Calibri" w:eastAsia="Calibri" w:hAnsi="Calibri"/>
          <w:color w:val="E91E63"/>
          <w:sz w:val="20"/>
          <w:szCs w:val="20"/>
        </w:rPr>
        <w:t xml:space="preserve">91-290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2007-557 DC</w:t>
      </w:r>
      <w:r>
        <w:rPr>
          <w:rFonts w:ascii="Calibri" w:cs="Calibri" w:eastAsia="Calibri" w:hAnsi="Calibri"/>
          <w:color w:val="1A1A1A"/>
          <w:sz w:val="20"/>
          <w:szCs w:val="20"/>
        </w:rPr>
        <w:t xml:space="preserve">). C’est ce qui distingue l’aménagement de la discrimination.</w:t>
      </w:r>
    </w:p>
    <w:p>
      <w:pPr>
        <w:pStyle w:val="ListParagraph"/>
        <w:numPr>
          <w:ilvl w:val="0"/>
          <w:numId w:val="2"/>
        </w:numPr>
        <w:spacing w:after="70" w:line="264"/>
        <w:jc w:val="both"/>
      </w:pPr>
      <w:r>
        <w:rPr>
          <w:rFonts w:ascii="Calibri" w:cs="Calibri" w:eastAsia="Calibri" w:hAnsi="Calibri"/>
          <w:b/>
          <w:bCs/>
          <w:color w:val="1A1A1A"/>
          <w:sz w:val="20"/>
          <w:szCs w:val="20"/>
        </w:rPr>
        <w:t xml:space="preserve">Un rapport direct avec l’objet de la norme et une proportionnalité</w:t>
      </w:r>
      <w:r>
        <w:rPr>
          <w:rFonts w:ascii="Calibri" w:cs="Calibri" w:eastAsia="Calibri" w:hAnsi="Calibri"/>
          <w:color w:val="1A1A1A"/>
          <w:sz w:val="20"/>
          <w:szCs w:val="20"/>
        </w:rPr>
        <w:t xml:space="preserve"> : une priorité automatique est censurée, une priorité assortie d’un examen individuel est admise (</w:t>
      </w:r>
      <w:r>
        <w:rPr>
          <w:rFonts w:ascii="Calibri" w:cs="Calibri" w:eastAsia="Calibri" w:hAnsi="Calibri"/>
          <w:color w:val="E91E63"/>
          <w:sz w:val="20"/>
          <w:szCs w:val="20"/>
        </w:rPr>
        <w:t xml:space="preserve">Kalanke</w:t>
      </w:r>
      <w:r>
        <w:rPr>
          <w:rFonts w:ascii="Calibri" w:cs="Calibri" w:eastAsia="Calibri" w:hAnsi="Calibri"/>
          <w:color w:val="1A1A1A"/>
          <w:sz w:val="20"/>
          <w:szCs w:val="20"/>
        </w:rPr>
        <w:t xml:space="preserve">, 1995 ; </w:t>
      </w:r>
      <w:r>
        <w:rPr>
          <w:rFonts w:ascii="Calibri" w:cs="Calibri" w:eastAsia="Calibri" w:hAnsi="Calibri"/>
          <w:color w:val="E91E63"/>
          <w:sz w:val="20"/>
          <w:szCs w:val="20"/>
        </w:rPr>
        <w:t xml:space="preserve">Marschall</w:t>
      </w:r>
      <w:r>
        <w:rPr>
          <w:rFonts w:ascii="Calibri" w:cs="Calibri" w:eastAsia="Calibri" w:hAnsi="Calibri"/>
          <w:color w:val="1A1A1A"/>
          <w:sz w:val="20"/>
          <w:szCs w:val="20"/>
        </w:rPr>
        <w:t xml:space="preserve">, 1997). L’aménagement reste au service de l’égalité des chances, pas d’une égalité de résultat imposée.</w:t>
      </w:r>
    </w:p>
    <w:p>
      <w:pPr>
        <w:pStyle w:val="ListParagraph"/>
        <w:numPr>
          <w:ilvl w:val="0"/>
          <w:numId w:val="2"/>
        </w:numPr>
        <w:spacing w:after="70" w:line="264"/>
        <w:jc w:val="both"/>
      </w:pPr>
      <w:r>
        <w:rPr>
          <w:rFonts w:ascii="Calibri" w:cs="Calibri" w:eastAsia="Calibri" w:hAnsi="Calibri"/>
          <w:b/>
          <w:bCs/>
          <w:color w:val="1A1A1A"/>
          <w:sz w:val="20"/>
          <w:szCs w:val="20"/>
        </w:rPr>
        <w:t xml:space="preserve">Le constituant pour les aménagements les plus forts</w:t>
      </w:r>
      <w:r>
        <w:rPr>
          <w:rFonts w:ascii="Calibri" w:cs="Calibri" w:eastAsia="Calibri" w:hAnsi="Calibri"/>
          <w:color w:val="1A1A1A"/>
          <w:sz w:val="20"/>
          <w:szCs w:val="20"/>
        </w:rPr>
        <w:t xml:space="preserve"> : quand l’aménagement heurte un principe constitutionnel, la Constitution est révisée (parité, après </w:t>
      </w:r>
      <w:r>
        <w:rPr>
          <w:rFonts w:ascii="Calibri" w:cs="Calibri" w:eastAsia="Calibri" w:hAnsi="Calibri"/>
          <w:color w:val="E91E63"/>
          <w:sz w:val="20"/>
          <w:szCs w:val="20"/>
        </w:rPr>
        <w:t xml:space="preserve">82-146 DC</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2006-533 DC</w:t>
      </w:r>
      <w:r>
        <w:rPr>
          <w:rFonts w:ascii="Calibri" w:cs="Calibri" w:eastAsia="Calibri" w:hAnsi="Calibri"/>
          <w:color w:val="1A1A1A"/>
          <w:sz w:val="20"/>
          <w:szCs w:val="20"/>
        </w:rPr>
        <w:t xml:space="preserve">) ; le gel du corps électoral calédonien repose sur une dérogation « introduite dans le texte de la Constitution » (</w:t>
      </w:r>
      <w:r>
        <w:rPr>
          <w:rFonts w:ascii="Calibri" w:cs="Calibri" w:eastAsia="Calibri" w:hAnsi="Calibri"/>
          <w:color w:val="E91E63"/>
          <w:sz w:val="20"/>
          <w:szCs w:val="20"/>
        </w:rPr>
        <w:t xml:space="preserve">2025-1163/1167 QPC</w:t>
      </w:r>
      <w:r>
        <w:rPr>
          <w:rFonts w:ascii="Calibri" w:cs="Calibri" w:eastAsia="Calibri" w:hAnsi="Calibri"/>
          <w:color w:val="1A1A1A"/>
          <w:sz w:val="20"/>
          <w:szCs w:val="20"/>
        </w:rPr>
        <w:t xml:space="preserve">, 2025). Même l’aménagement le plus radical obéit donc à une règle de compétence.</w:t>
      </w:r>
    </w:p>
    <w:p>
      <w:pPr>
        <w:pStyle w:val="ListParagraph"/>
        <w:numPr>
          <w:ilvl w:val="0"/>
          <w:numId w:val="2"/>
        </w:numPr>
        <w:spacing w:after="70" w:line="264"/>
        <w:jc w:val="both"/>
      </w:pPr>
      <w:r>
        <w:rPr>
          <w:rFonts w:ascii="Calibri" w:cs="Calibri" w:eastAsia="Calibri" w:hAnsi="Calibri"/>
          <w:b/>
          <w:bCs/>
          <w:color w:val="1A1A1A"/>
          <w:sz w:val="20"/>
          <w:szCs w:val="20"/>
        </w:rPr>
        <w:t xml:space="preserve">Ce que prouve l’encadrement</w:t>
      </w:r>
      <w:r>
        <w:rPr>
          <w:rFonts w:ascii="Calibri" w:cs="Calibri" w:eastAsia="Calibri" w:hAnsi="Calibri"/>
          <w:color w:val="1A1A1A"/>
          <w:sz w:val="20"/>
          <w:szCs w:val="20"/>
        </w:rPr>
        <w:t xml:space="preserve"> : un principe qui fixe lui-même les conditions de son aménagement n’est pas affaibli par lui. Il est adapté, pas abandonné.</w:t>
      </w:r>
    </w:p>
    <w:p>
      <w:pPr>
        <w:pStyle w:val="Heading1"/>
        <w:pBdr>
          <w:bottom w:val="single" w:color="8C1C2B" w:sz="12" w:space="6"/>
        </w:pBdr>
        <w:spacing w:after="90" w:before="260"/>
      </w:pPr>
      <w:r>
        <w:rPr>
          <w:rFonts w:ascii="Calibri" w:cs="Calibri" w:eastAsia="Calibri" w:hAnsi="Calibri"/>
          <w:b/>
          <w:bCs/>
          <w:color w:val="8C1C2B"/>
          <w:sz w:val="28"/>
          <w:szCs w:val="28"/>
        </w:rPr>
        <w:t xml:space="preserve">5. LA CONCLUSION ET L’OUVERTURE</w:t>
      </w:r>
    </w:p>
    <w:p>
      <w:pPr>
        <w:spacing w:after="110" w:line="288"/>
        <w:ind w:left="180" w:right="180"/>
        <w:jc w:val="both"/>
      </w:pPr>
      <w:r>
        <w:rPr>
          <w:rFonts w:ascii="Calibri" w:cs="Calibri" w:eastAsia="Calibri" w:hAnsi="Calibri"/>
          <w:color w:val="1A1A1A"/>
          <w:sz w:val="20"/>
          <w:szCs w:val="20"/>
        </w:rPr>
        <w:t xml:space="preserve">« Le principe d’égalité peut donc être aménagé, et il l’a toujours été : la Déclaration de 1789 le pensait proportionnel, les juges en ont fait une méthode, et l’égalité réelle en a fait une exigence. Loin de le trahir, l’aménagement en est la condition d’effectivité, pourvu qu’il repose sur un critère objectif, en rapport avec son objet, et jamais sur l’origine. »</w:t>
      </w:r>
    </w:p>
    <w:p>
      <w:pPr>
        <w:pStyle w:val="Heading3"/>
        <w:spacing w:after="80" w:before="200"/>
      </w:pPr>
      <w:r>
        <w:rPr>
          <w:rFonts w:ascii="Calibri" w:cs="Calibri" w:eastAsia="Calibri" w:hAnsi="Calibri"/>
          <w:b/>
          <w:bCs/>
          <w:i/>
          <w:iCs/>
          <w:color w:val="1A1A1A"/>
          <w:sz w:val="21"/>
          <w:szCs w:val="21"/>
        </w:rPr>
        <w:t xml:space="preserve">Ouverture — c’est ici, et seulement ici, que la nuance se loge</w:t>
      </w:r>
    </w:p>
    <w:p>
      <w:pPr>
        <w:spacing w:after="110" w:line="288"/>
        <w:ind w:left="180" w:right="180"/>
        <w:jc w:val="both"/>
      </w:pPr>
      <w:r>
        <w:rPr>
          <w:rFonts w:ascii="Calibri" w:cs="Calibri" w:eastAsia="Calibri" w:hAnsi="Calibri"/>
          <w:color w:val="1A1A1A"/>
          <w:sz w:val="20"/>
          <w:szCs w:val="20"/>
        </w:rPr>
        <w:t xml:space="preserve">« Reste à savoir jusqu’où l’aménagement peut aller sans glisser vers une égalité à géométrie variable. Le débat sur les statistiques ethniques, que le Conseil constitutionnel a fermé en 2007, et celui sur les algorithmes, qui reproduisent les discriminations qu’on voudrait corriger, montrent que la frontière entre aménager et discriminer restera l’enjeu des prochaines décennies. »</w:t>
      </w:r>
    </w:p>
    <w:p>
      <w:pPr>
        <w:pStyle w:val="Heading1"/>
        <w:pBdr>
          <w:bottom w:val="single" w:color="8C1C2B" w:sz="12" w:space="6"/>
        </w:pBdr>
        <w:spacing w:after="90" w:before="260"/>
      </w:pPr>
      <w:r>
        <w:rPr>
          <w:rFonts w:ascii="Calibri" w:cs="Calibri" w:eastAsia="Calibri" w:hAnsi="Calibri"/>
          <w:b/>
          <w:bCs/>
          <w:color w:val="8C1C2B"/>
          <w:sz w:val="28"/>
          <w:szCs w:val="28"/>
        </w:rPr>
        <w:t xml:space="preserve">6. LE PLAN DU SUPPORT ET UN PLAN ALTERNATIF</w:t>
      </w:r>
    </w:p>
    <w:p>
      <w:pPr>
        <w:pStyle w:val="Heading2"/>
        <w:spacing w:after="110" w:before="260"/>
      </w:pPr>
      <w:r>
        <w:rPr>
          <w:rFonts w:ascii="Calibri" w:cs="Calibri" w:eastAsia="Calibri" w:hAnsi="Calibri"/>
          <w:b/>
          <w:bCs/>
          <w:color w:val="1A1A1A"/>
          <w:spacing w:val="16"/>
          <w:sz w:val="23"/>
          <w:szCs w:val="23"/>
        </w:rPr>
        <w:t xml:space="preserve">6.1. Le plan présenté en séminaire</w:t>
      </w:r>
    </w:p>
    <w:p>
      <w:pPr>
        <w:pBdr>
          <w:left w:val="single" w:color="8C1C2B" w:sz="12" w:space="10"/>
        </w:pBdr>
        <w:spacing w:after="90" w:line="264"/>
        <w:ind w:left="260"/>
        <w:jc w:val="both"/>
      </w:pPr>
      <w:r>
        <w:rPr>
          <w:rFonts w:ascii="Calibri" w:cs="Calibri" w:eastAsia="Calibri" w:hAnsi="Calibri"/>
          <w:color w:val="1A1A1A"/>
          <w:sz w:val="20"/>
          <w:szCs w:val="20"/>
        </w:rPr>
        <w:t xml:space="preserve">I. La consécration du principe — A. Dans la Constitution de 1958 et la constitutionnalisation du principe d’égalité. B. Dans la jurisprudence administrative.</w:t>
      </w:r>
    </w:p>
    <w:p>
      <w:pPr>
        <w:pBdr>
          <w:left w:val="single" w:color="8C1C2B" w:sz="12" w:space="10"/>
        </w:pBdr>
        <w:spacing w:after="90" w:line="264"/>
        <w:ind w:left="260"/>
        <w:jc w:val="both"/>
      </w:pPr>
      <w:r>
        <w:rPr>
          <w:rFonts w:ascii="Calibri" w:cs="Calibri" w:eastAsia="Calibri" w:hAnsi="Calibri"/>
          <w:color w:val="1A1A1A"/>
          <w:sz w:val="20"/>
          <w:szCs w:val="20"/>
        </w:rPr>
        <w:t xml:space="preserve">II. Les aménagements au principe d’égalité — A. L’application différenciée du principe d’égalité devant le Conseil constitutionnel. B. Le traitement différencié dans la jurisprudence administrative.</w:t>
      </w:r>
    </w:p>
    <w:p>
      <w:pPr>
        <w:spacing w:after="90" w:line="264"/>
        <w:jc w:val="both"/>
      </w:pPr>
      <w:r>
        <w:rPr>
          <w:rFonts w:ascii="Calibri" w:cs="Calibri" w:eastAsia="Calibri" w:hAnsi="Calibri"/>
          <w:b/>
          <w:bCs/>
          <w:color w:val="1A1A1A"/>
          <w:sz w:val="20"/>
          <w:szCs w:val="20"/>
        </w:rPr>
        <w:t xml:space="preserve">Appréciation.</w:t>
      </w:r>
      <w:r>
        <w:rPr>
          <w:rFonts w:ascii="Calibri" w:cs="Calibri" w:eastAsia="Calibri" w:hAnsi="Calibri"/>
          <w:color w:val="1A1A1A"/>
          <w:sz w:val="20"/>
          <w:szCs w:val="20"/>
        </w:rPr>
        <w:t xml:space="preserve"> C’est un plan sûr et bien documenté, mais construit comme une dissertation (« principe / exceptions ») et découpé par juridiction. Pour une argumentation, il présente deux défauts : le I ne démontre pas la thèse, il expose le principe ; et la symétrie par juge (Conseil constitutionnel / Conseil d’État) remplace l’argument par l’auteur. Pour le rendre démonstratif, il suffit de retitrer le I « Un principe qui se prête à l’aménagement » et de remplir le I A avec les articles 1er, 6 et 13 de la Déclaration lus comme des aménagements. À l’oral, ne présentez pas ce plan sans ce retournement.</w:t>
      </w:r>
    </w:p>
    <w:p>
      <w:pPr>
        <w:pStyle w:val="Heading2"/>
        <w:spacing w:after="110" w:before="260"/>
      </w:pPr>
      <w:r>
        <w:rPr>
          <w:rFonts w:ascii="Calibri" w:cs="Calibri" w:eastAsia="Calibri" w:hAnsi="Calibri"/>
          <w:b/>
          <w:bCs/>
          <w:color w:val="1A1A1A"/>
          <w:spacing w:val="16"/>
          <w:sz w:val="23"/>
          <w:szCs w:val="23"/>
        </w:rPr>
        <w:t xml:space="preserve">6.2. Un plan alternatif, par auteur de l’aménagement</w:t>
      </w:r>
    </w:p>
    <w:p>
      <w:pPr>
        <w:pBdr>
          <w:left w:val="single" w:color="8C1C2B" w:sz="12" w:space="10"/>
        </w:pBdr>
        <w:spacing w:after="90" w:line="264"/>
        <w:ind w:left="260"/>
        <w:jc w:val="both"/>
      </w:pPr>
      <w:r>
        <w:rPr>
          <w:rFonts w:ascii="Calibri" w:cs="Calibri" w:eastAsia="Calibri" w:hAnsi="Calibri"/>
          <w:color w:val="1A1A1A"/>
          <w:sz w:val="20"/>
          <w:szCs w:val="20"/>
        </w:rPr>
        <w:t xml:space="preserve">I. L’égalité aménagée par le juge et le législateur — A. La différence de situation. B. Le motif d’intérêt général.</w:t>
      </w:r>
    </w:p>
    <w:p>
      <w:pPr>
        <w:pBdr>
          <w:left w:val="single" w:color="8C1C2B" w:sz="12" w:space="10"/>
        </w:pBdr>
        <w:spacing w:after="90" w:line="264"/>
        <w:ind w:left="260"/>
        <w:jc w:val="both"/>
      </w:pPr>
      <w:r>
        <w:rPr>
          <w:rFonts w:ascii="Calibri" w:cs="Calibri" w:eastAsia="Calibri" w:hAnsi="Calibri"/>
          <w:color w:val="1A1A1A"/>
          <w:sz w:val="20"/>
          <w:szCs w:val="20"/>
        </w:rPr>
        <w:t xml:space="preserve">II. L’égalité aménagée par le constituant et les juges européens — A. Les révisions constitutionnelles (parité, Nouvelle-Calédonie, outre-mer). B. Les exigences européennes (Thlimmenos, art. 23 CDFUE, aménagement raisonnable).</w:t>
      </w:r>
    </w:p>
    <w:p>
      <w:pPr>
        <w:spacing w:after="90" w:line="264"/>
        <w:jc w:val="both"/>
      </w:pPr>
      <w:r>
        <w:rPr>
          <w:rFonts w:ascii="Calibri" w:cs="Calibri" w:eastAsia="Calibri" w:hAnsi="Calibri"/>
          <w:b/>
          <w:bCs/>
          <w:color w:val="1A1A1A"/>
          <w:sz w:val="20"/>
          <w:szCs w:val="20"/>
        </w:rPr>
        <w:t xml:space="preserve">Son intérêt</w:t>
      </w:r>
      <w:r>
        <w:rPr>
          <w:rFonts w:ascii="Calibri" w:cs="Calibri" w:eastAsia="Calibri" w:hAnsi="Calibri"/>
          <w:color w:val="1A1A1A"/>
          <w:sz w:val="20"/>
          <w:szCs w:val="20"/>
        </w:rPr>
        <w:t xml:space="preserve"> : il montre que tous les niveaux de la hiérarchie des normes aménagent l’égalité, ce qui rend la thèse imparable. </w:t>
      </w:r>
      <w:r>
        <w:rPr>
          <w:rFonts w:ascii="Calibri" w:cs="Calibri" w:eastAsia="Calibri" w:hAnsi="Calibri"/>
          <w:b/>
          <w:bCs/>
          <w:color w:val="1A1A1A"/>
          <w:sz w:val="20"/>
          <w:szCs w:val="20"/>
        </w:rPr>
        <w:t xml:space="preserve">Son défaut</w:t>
      </w:r>
      <w:r>
        <w:rPr>
          <w:rFonts w:ascii="Calibri" w:cs="Calibri" w:eastAsia="Calibri" w:hAnsi="Calibri"/>
          <w:color w:val="1A1A1A"/>
          <w:sz w:val="20"/>
          <w:szCs w:val="20"/>
        </w:rPr>
        <w:t xml:space="preserve"> : il est moins problématisé ; il faut le porter par une phrase-chapeau forte (« plus on monte dans la hiérarchie des normes, plus l’aménagement est assumé »).</w:t>
      </w:r>
    </w:p>
    <w:p>
      <w:pPr>
        <w:pStyle w:val="Heading1"/>
        <w:pBdr>
          <w:bottom w:val="single" w:color="8C1C2B" w:sz="12" w:space="6"/>
        </w:pBdr>
        <w:spacing w:after="90" w:before="260"/>
      </w:pPr>
      <w:r>
        <w:rPr>
          <w:rFonts w:ascii="Calibri" w:cs="Calibri" w:eastAsia="Calibri" w:hAnsi="Calibri"/>
          <w:b/>
          <w:bCs/>
          <w:color w:val="8C1C2B"/>
          <w:sz w:val="28"/>
          <w:szCs w:val="28"/>
        </w:rPr>
        <w:t xml:space="preserve">7. LES OBJECTIONS DU JURY ET LES RIPOSTES</w:t>
      </w:r>
    </w:p>
    <w:p>
      <w:pPr>
        <w:spacing w:after="90" w:line="264"/>
        <w:jc w:val="both"/>
      </w:pPr>
      <w:r>
        <w:rPr>
          <w:rFonts w:ascii="Calibri" w:cs="Calibri" w:eastAsia="Calibri" w:hAnsi="Calibri"/>
          <w:color w:val="1A1A1A"/>
          <w:sz w:val="20"/>
          <w:szCs w:val="20"/>
        </w:rPr>
        <w:t xml:space="preserve">Dans cet exercice, le jury teste la solidité de la thèse en la prenant à revers. Chaque riposte : concéder en une phrase, renverser en deux.</w:t>
      </w:r>
    </w:p>
    <w:p>
      <w:pPr>
        <w:pStyle w:val="ListParagraph"/>
        <w:numPr>
          <w:ilvl w:val="0"/>
          <w:numId w:val="2"/>
        </w:numPr>
        <w:spacing w:after="70" w:line="264"/>
        <w:jc w:val="both"/>
      </w:pPr>
      <w:r>
        <w:rPr>
          <w:rFonts w:ascii="Calibri" w:cs="Calibri" w:eastAsia="Calibri" w:hAnsi="Calibri"/>
          <w:b/>
          <w:bCs/>
          <w:color w:val="1A1A1A"/>
          <w:sz w:val="20"/>
          <w:szCs w:val="20"/>
        </w:rPr>
        <w:t xml:space="preserve">« Aménager l’égalité, n’est-ce pas rétablir des privilèges ? »</w:t>
      </w:r>
      <w:r>
        <w:rPr>
          <w:rFonts w:ascii="Calibri" w:cs="Calibri" w:eastAsia="Calibri" w:hAnsi="Calibri"/>
          <w:color w:val="1A1A1A"/>
          <w:sz w:val="20"/>
          <w:szCs w:val="20"/>
        </w:rPr>
        <w:t xml:space="preserve"> — Le privilège est une faveur sans justification, attachée à une naissance ou à un statut. L’aménagement est une différence justifiée, contrôlée, en rapport avec l’objet de la loi, et souvent temporaire. C’est exactement ce que l’article 1er de la Déclaration appelle « l’utilité commune ».</w:t>
      </w:r>
    </w:p>
    <w:p>
      <w:pPr>
        <w:pStyle w:val="ListParagraph"/>
        <w:numPr>
          <w:ilvl w:val="0"/>
          <w:numId w:val="2"/>
        </w:numPr>
        <w:spacing w:after="70" w:line="264"/>
        <w:jc w:val="both"/>
      </w:pPr>
      <w:r>
        <w:rPr>
          <w:rFonts w:ascii="Calibri" w:cs="Calibri" w:eastAsia="Calibri" w:hAnsi="Calibri"/>
          <w:b/>
          <w:bCs/>
          <w:color w:val="1A1A1A"/>
          <w:sz w:val="20"/>
          <w:szCs w:val="20"/>
        </w:rPr>
        <w:t xml:space="preserve">« Pourquoi alors la parité a-t-elle exigé deux révisions de la Constitution ? »</w:t>
      </w:r>
      <w:r>
        <w:rPr>
          <w:rFonts w:ascii="Calibri" w:cs="Calibri" w:eastAsia="Calibri" w:hAnsi="Calibri"/>
          <w:color w:val="1A1A1A"/>
          <w:sz w:val="20"/>
          <w:szCs w:val="20"/>
        </w:rPr>
        <w:t xml:space="preserve"> — Précisément parce que l’aménagement a des règles : le Conseil constitutionnel jugeait que l’indivisibilité du corps électoral interdisait les quotas (82-146 DC). Le constituant a tranché. Cela prouve que l’aménagement est possible jusqu’au sommet de la hiérarchie des normes.</w:t>
      </w:r>
    </w:p>
    <w:p>
      <w:pPr>
        <w:pStyle w:val="ListParagraph"/>
        <w:numPr>
          <w:ilvl w:val="0"/>
          <w:numId w:val="2"/>
        </w:numPr>
        <w:spacing w:after="70" w:line="264"/>
        <w:jc w:val="both"/>
      </w:pPr>
      <w:r>
        <w:rPr>
          <w:rFonts w:ascii="Calibri" w:cs="Calibri" w:eastAsia="Calibri" w:hAnsi="Calibri"/>
          <w:b/>
          <w:bCs/>
          <w:color w:val="1A1A1A"/>
          <w:sz w:val="20"/>
          <w:szCs w:val="20"/>
        </w:rPr>
        <w:t xml:space="preserve">« Le juge français est-il obligé de traiter différemment des situations différentes ? »</w:t>
      </w:r>
      <w:r>
        <w:rPr>
          <w:rFonts w:ascii="Calibri" w:cs="Calibri" w:eastAsia="Calibri" w:hAnsi="Calibri"/>
          <w:color w:val="1A1A1A"/>
          <w:sz w:val="20"/>
          <w:szCs w:val="20"/>
        </w:rPr>
        <w:t xml:space="preserve"> — Non, il en a la faculté (</w:t>
      </w:r>
      <w:r>
        <w:rPr>
          <w:rFonts w:ascii="Calibri" w:cs="Calibri" w:eastAsia="Calibri" w:hAnsi="Calibri"/>
          <w:color w:val="E91E63"/>
          <w:sz w:val="20"/>
          <w:szCs w:val="20"/>
        </w:rPr>
        <w:t xml:space="preserve">Baxter</w:t>
      </w:r>
      <w:r>
        <w:rPr>
          <w:rFonts w:ascii="Calibri" w:cs="Calibri" w:eastAsia="Calibri" w:hAnsi="Calibri"/>
          <w:color w:val="1A1A1A"/>
          <w:sz w:val="20"/>
          <w:szCs w:val="20"/>
        </w:rPr>
        <w:t xml:space="preserve">, 1997). Mais la Cour européenne, elle, peut l’imposer (</w:t>
      </w:r>
      <w:r>
        <w:rPr>
          <w:rFonts w:ascii="Calibri" w:cs="Calibri" w:eastAsia="Calibri" w:hAnsi="Calibri"/>
          <w:color w:val="E91E63"/>
          <w:sz w:val="20"/>
          <w:szCs w:val="20"/>
        </w:rPr>
        <w:t xml:space="preserve">Thlimmenos</w:t>
      </w:r>
      <w:r>
        <w:rPr>
          <w:rFonts w:ascii="Calibri" w:cs="Calibri" w:eastAsia="Calibri" w:hAnsi="Calibri"/>
          <w:color w:val="1A1A1A"/>
          <w:sz w:val="20"/>
          <w:szCs w:val="20"/>
        </w:rPr>
        <w:t xml:space="preserve">) : la thèse se renforce par le haut.</w:t>
      </w:r>
    </w:p>
    <w:p>
      <w:pPr>
        <w:pStyle w:val="ListParagraph"/>
        <w:numPr>
          <w:ilvl w:val="0"/>
          <w:numId w:val="2"/>
        </w:numPr>
        <w:spacing w:after="70" w:line="264"/>
        <w:jc w:val="both"/>
      </w:pPr>
      <w:r>
        <w:rPr>
          <w:rFonts w:ascii="Calibri" w:cs="Calibri" w:eastAsia="Calibri" w:hAnsi="Calibri"/>
          <w:b/>
          <w:bCs/>
          <w:color w:val="1A1A1A"/>
          <w:sz w:val="20"/>
          <w:szCs w:val="20"/>
        </w:rPr>
        <w:t xml:space="preserve">« Pourrait-on aménager l’égalité selon l’origine, comme aux États-Unis ? »</w:t>
      </w:r>
      <w:r>
        <w:rPr>
          <w:rFonts w:ascii="Calibri" w:cs="Calibri" w:eastAsia="Calibri" w:hAnsi="Calibri"/>
          <w:color w:val="1A1A1A"/>
          <w:sz w:val="20"/>
          <w:szCs w:val="20"/>
        </w:rPr>
        <w:t xml:space="preserve"> — Non : l’</w:t>
      </w:r>
      <w:r>
        <w:rPr>
          <w:rFonts w:ascii="Calibri" w:cs="Calibri" w:eastAsia="Calibri" w:hAnsi="Calibri"/>
          <w:color w:val="1E88E5"/>
          <w:sz w:val="20"/>
          <w:szCs w:val="20"/>
        </w:rPr>
        <w:t xml:space="preserve">article 1er de la Constitution</w:t>
      </w:r>
      <w:r>
        <w:rPr>
          <w:rFonts w:ascii="Calibri" w:cs="Calibri" w:eastAsia="Calibri" w:hAnsi="Calibri"/>
          <w:color w:val="1A1A1A"/>
          <w:sz w:val="20"/>
          <w:szCs w:val="20"/>
        </w:rPr>
        <w:t xml:space="preserve"> l’interdit et le Conseil l’a rappelé en 2007. Mais un critère social ou territorial, corrélé aux inégalités, permet d’atteindre une partie de l’objectif sans catégoriser par l’origine (</w:t>
      </w:r>
      <w:r>
        <w:rPr>
          <w:rFonts w:ascii="Calibri" w:cs="Calibri" w:eastAsia="Calibri" w:hAnsi="Calibri"/>
          <w:color w:val="E91E63"/>
          <w:sz w:val="20"/>
          <w:szCs w:val="20"/>
        </w:rPr>
        <w:t xml:space="preserve">2001-450 DC</w:t>
      </w:r>
      <w:r>
        <w:rPr>
          <w:rFonts w:ascii="Calibri" w:cs="Calibri" w:eastAsia="Calibri" w:hAnsi="Calibri"/>
          <w:color w:val="1A1A1A"/>
          <w:sz w:val="20"/>
          <w:szCs w:val="20"/>
        </w:rPr>
        <w:t xml:space="preserve">). Et la Cour suprême américaine a elle-même mis fin à l’affirmative action raciale en 2023 (</w:t>
      </w:r>
      <w:r>
        <w:rPr>
          <w:rFonts w:ascii="Calibri" w:cs="Calibri" w:eastAsia="Calibri" w:hAnsi="Calibri"/>
          <w:color w:val="E91E63"/>
          <w:sz w:val="20"/>
          <w:szCs w:val="20"/>
        </w:rPr>
        <w:t xml:space="preserve">Students for Fair Admissions v. Harvard</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L’Alsace-Moselle n’est-elle pas une rupture d’égalité ? »</w:t>
      </w:r>
      <w:r>
        <w:rPr>
          <w:rFonts w:ascii="Calibri" w:cs="Calibri" w:eastAsia="Calibri" w:hAnsi="Calibri"/>
          <w:color w:val="1A1A1A"/>
          <w:sz w:val="20"/>
          <w:szCs w:val="20"/>
        </w:rPr>
        <w:t xml:space="preserve"> — C’est un aménagement territorial reconnu comme principe fondamental reconnu par les lois de la République (</w:t>
      </w:r>
      <w:r>
        <w:rPr>
          <w:rFonts w:ascii="Calibri" w:cs="Calibri" w:eastAsia="Calibri" w:hAnsi="Calibri"/>
          <w:color w:val="E91E63"/>
          <w:sz w:val="20"/>
          <w:szCs w:val="20"/>
        </w:rPr>
        <w:t xml:space="preserve">2011-157 QPC, Somodia</w:t>
      </w:r>
      <w:r>
        <w:rPr>
          <w:rFonts w:ascii="Calibri" w:cs="Calibri" w:eastAsia="Calibri" w:hAnsi="Calibri"/>
          <w:color w:val="1A1A1A"/>
          <w:sz w:val="20"/>
          <w:szCs w:val="20"/>
        </w:rPr>
        <w:t xml:space="preserve">) : le législateur peut le maintenir, mais non l’étendre. Ici encore, l’aménagement a sa règle.</w:t>
      </w:r>
    </w:p>
    <w:p>
      <w:pPr>
        <w:pStyle w:val="ListParagraph"/>
        <w:numPr>
          <w:ilvl w:val="0"/>
          <w:numId w:val="2"/>
        </w:numPr>
        <w:spacing w:after="70" w:line="264"/>
        <w:jc w:val="both"/>
      </w:pPr>
      <w:r>
        <w:rPr>
          <w:rFonts w:ascii="Calibri" w:cs="Calibri" w:eastAsia="Calibri" w:hAnsi="Calibri"/>
          <w:b/>
          <w:bCs/>
          <w:color w:val="1A1A1A"/>
          <w:sz w:val="20"/>
          <w:szCs w:val="20"/>
        </w:rPr>
        <w:t xml:space="preserve">« L’impôt progressif respecte-t-il l’égalité ? »</w:t>
      </w:r>
      <w:r>
        <w:rPr>
          <w:rFonts w:ascii="Calibri" w:cs="Calibri" w:eastAsia="Calibri" w:hAnsi="Calibri"/>
          <w:color w:val="1A1A1A"/>
          <w:sz w:val="20"/>
          <w:szCs w:val="20"/>
        </w:rPr>
        <w:t xml:space="preserve"> — Oui : l’article 13 de la Déclaration répartit la contribution « en raison des facultés ». Mais l’aménagement fiscal est contrôlé : la contribution de 75 % a été censurée parce qu’elle frappait les revenus de chaque personne et non du foyer (</w:t>
      </w:r>
      <w:r>
        <w:rPr>
          <w:rFonts w:ascii="Calibri" w:cs="Calibri" w:eastAsia="Calibri" w:hAnsi="Calibri"/>
          <w:color w:val="E91E63"/>
          <w:sz w:val="20"/>
          <w:szCs w:val="20"/>
        </w:rPr>
        <w:t xml:space="preserve">2012-662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À titre personnel, croyez-vous à la discrimination positive ? »</w:t>
      </w:r>
      <w:r>
        <w:rPr>
          <w:rFonts w:ascii="Calibri" w:cs="Calibri" w:eastAsia="Calibri" w:hAnsi="Calibri"/>
          <w:color w:val="1A1A1A"/>
          <w:sz w:val="20"/>
          <w:szCs w:val="20"/>
        </w:rPr>
        <w:t xml:space="preserve"> — « Oui, si elle est temporaire, fondée sur des critères objectifs, et si elle laisse place à l’examen individuel du mérite ; non si elle fige des catégories. C’est la ligne de la Cour de justice entre Kalanke et Marschall, et je la trouve juste. »</w:t>
      </w: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III. CORRECTION DES PLANS PROPOSÉS EN SÉMINAIRE</w:t>
      </w:r>
    </w:p>
    <w:p>
      <w:pPr>
        <w:pStyle w:val="Heading1"/>
        <w:pBdr>
          <w:bottom w:val="single" w:color="8C1C2B" w:sz="12" w:space="6"/>
        </w:pBdr>
        <w:spacing w:after="90" w:before="260"/>
      </w:pPr>
      <w:r>
        <w:rPr>
          <w:rFonts w:ascii="Calibri" w:cs="Calibri" w:eastAsia="Calibri" w:hAnsi="Calibri"/>
          <w:b/>
          <w:bCs/>
          <w:color w:val="8C1C2B"/>
          <w:sz w:val="28"/>
          <w:szCs w:val="28"/>
        </w:rPr>
        <w:t xml:space="preserve">AVERTISSEMENT</w:t>
      </w:r>
    </w:p>
    <w:p>
      <w:pPr>
        <w:spacing w:after="90" w:line="264"/>
        <w:jc w:val="both"/>
      </w:pPr>
      <w:r>
        <w:rPr>
          <w:rFonts w:ascii="Calibri" w:cs="Calibri" w:eastAsia="Calibri" w:hAnsi="Calibri"/>
          <w:color w:val="1A1A1A"/>
          <w:sz w:val="20"/>
          <w:szCs w:val="20"/>
        </w:rPr>
        <w:t xml:space="preserve">Vingt et une propositions ont été postées dans le chat. Douze sont reprises en détail ; les neuf autres sont traitées dans un tableau. Les notes sont indicatives et données avec la latitude d’un correcteur réel.</w:t>
      </w:r>
    </w:p>
    <w:p>
      <w:pPr>
        <w:pBdr>
          <w:top w:val="single" w:color="D8CFC4" w:sz="4" w:space="8"/>
          <w:bottom w:val="single" w:color="D8CFC4" w:sz="4" w:space="8"/>
          <w:left w:val="single" w:color="D8CFC4" w:sz="4" w:space="8"/>
          <w:right w:val="single" w:color="D8CFC4" w:sz="4" w:space="8"/>
        </w:pBdr>
        <w:shd w:fill="F7F4F0" w:val="clear"/>
        <w:spacing w:after="120" w:before="120" w:line="264"/>
        <w:ind w:left="140" w:right="140"/>
        <w:jc w:val="both"/>
      </w:pPr>
      <w:r>
        <w:rPr>
          <w:rFonts w:ascii="Calibri" w:cs="Calibri" w:eastAsia="Calibri" w:hAnsi="Calibri"/>
          <w:b/>
          <w:bCs/>
          <w:color w:val="1A1A1A"/>
          <w:sz w:val="19"/>
          <w:szCs w:val="19"/>
        </w:rPr>
        <w:t xml:space="preserve">Le critère qui départage tout.</w:t>
      </w:r>
      <w:r>
        <w:rPr>
          <w:rFonts w:ascii="Calibri" w:cs="Calibri" w:eastAsia="Calibri" w:hAnsi="Calibri"/>
          <w:color w:val="1A1A1A"/>
          <w:sz w:val="19"/>
          <w:szCs w:val="19"/>
        </w:rPr>
        <w:t xml:space="preserve"> Dans une argumentation, chaque partie doit démontrer la thèse. Les plans qui consacrent une partie au principe « strictement reconnu » ou à la « prohibition des discriminations » sans la retourner au service de la thèse plafonnent autour de 10-11. Ceux qui montrent que l’aménagement </w:t>
      </w:r>
      <w:r>
        <w:rPr>
          <w:rFonts w:ascii="Calibri" w:cs="Calibri" w:eastAsia="Calibri" w:hAnsi="Calibri"/>
          <w:b/>
          <w:bCs/>
          <w:color w:val="1A1A1A"/>
          <w:sz w:val="19"/>
          <w:szCs w:val="19"/>
        </w:rPr>
        <w:t xml:space="preserve">accomplit</w:t>
      </w:r>
      <w:r>
        <w:rPr>
          <w:rFonts w:ascii="Calibri" w:cs="Calibri" w:eastAsia="Calibri" w:hAnsi="Calibri"/>
          <w:color w:val="1A1A1A"/>
          <w:sz w:val="19"/>
          <w:szCs w:val="19"/>
        </w:rPr>
        <w:t xml:space="preserve"> l’égalité dépassent 14.</w:t>
      </w:r>
    </w:p>
    <w:p>
      <w:pPr>
        <w:pStyle w:val="Heading1"/>
        <w:pBdr>
          <w:bottom w:val="single" w:color="8C1C2B" w:sz="12" w:space="6"/>
        </w:pBdr>
        <w:spacing w:after="90" w:before="260"/>
      </w:pPr>
      <w:r>
        <w:rPr>
          <w:rFonts w:ascii="Calibri" w:cs="Calibri" w:eastAsia="Calibri" w:hAnsi="Calibri"/>
          <w:b/>
          <w:bCs/>
          <w:color w:val="8C1C2B"/>
          <w:sz w:val="28"/>
          <w:szCs w:val="28"/>
        </w:rPr>
        <w:t xml:space="preserve">A. LES DOUZE PLANS COMMENTÉS</w:t>
      </w:r>
    </w:p>
    <w:p>
      <w:pPr>
        <w:pStyle w:val="Heading2"/>
        <w:spacing w:after="110" w:before="260"/>
      </w:pPr>
      <w:r>
        <w:rPr>
          <w:rFonts w:ascii="Calibri" w:cs="Calibri" w:eastAsia="Calibri" w:hAnsi="Calibri"/>
          <w:b/>
          <w:bCs/>
          <w:color w:val="1A1A1A"/>
          <w:spacing w:val="16"/>
          <w:sz w:val="23"/>
          <w:szCs w:val="23"/>
        </w:rPr>
        <w:t xml:space="preserve">Plan n° 1 — Amélie L — un principe qui admet, puis un aménagement au service de l’égalité réelle</w:t>
      </w:r>
    </w:p>
    <w:p>
      <w:pPr>
        <w:pBdr>
          <w:left w:val="single" w:color="8C1C2B" w:sz="12" w:space="10"/>
        </w:pBdr>
        <w:spacing w:after="90" w:line="264"/>
        <w:ind w:left="260"/>
        <w:jc w:val="both"/>
      </w:pPr>
      <w:r>
        <w:rPr>
          <w:rFonts w:ascii="Calibri" w:cs="Calibri" w:eastAsia="Calibri" w:hAnsi="Calibri"/>
          <w:color w:val="1A1A1A"/>
          <w:sz w:val="20"/>
          <w:szCs w:val="20"/>
        </w:rPr>
        <w:t xml:space="preserve">Problématique : « Dans quelle mesure l’égalité formelle de l’article 1er de la Déclaration de 1789 peut-elle être aménagée sans être vidée de sa substance ? »</w:t>
      </w:r>
    </w:p>
    <w:p>
      <w:pPr>
        <w:pBdr>
          <w:left w:val="single" w:color="8C1C2B" w:sz="12" w:space="10"/>
        </w:pBdr>
        <w:spacing w:after="90" w:line="264"/>
        <w:ind w:left="260"/>
        <w:jc w:val="both"/>
      </w:pPr>
      <w:r>
        <w:rPr>
          <w:rFonts w:ascii="Calibri" w:cs="Calibri" w:eastAsia="Calibri" w:hAnsi="Calibri"/>
          <w:color w:val="1A1A1A"/>
          <w:sz w:val="20"/>
          <w:szCs w:val="20"/>
        </w:rPr>
        <w:t xml:space="preserve">I. Un principe qui admet des différences de traitement — A. Traiter différemment des situations différentes. B. Déroger à l’égalité pour un motif d’intérêt général.</w:t>
      </w:r>
    </w:p>
    <w:p>
      <w:pPr>
        <w:pBdr>
          <w:left w:val="single" w:color="8C1C2B" w:sz="12" w:space="10"/>
        </w:pBdr>
        <w:spacing w:after="90" w:line="264"/>
        <w:ind w:left="260"/>
        <w:jc w:val="both"/>
      </w:pPr>
      <w:r>
        <w:rPr>
          <w:rFonts w:ascii="Calibri" w:cs="Calibri" w:eastAsia="Calibri" w:hAnsi="Calibri"/>
          <w:color w:val="1A1A1A"/>
          <w:sz w:val="20"/>
          <w:szCs w:val="20"/>
        </w:rPr>
        <w:t xml:space="preserve">II. Un aménagement au service de l’égalité réelle — A. Les discriminations positives : corriger les inégalités de fait. B. Des aménagements strictement encadrés.</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b/>
          <w:bCs/>
          <w:color w:val="1A1A1A"/>
          <w:sz w:val="20"/>
          <w:szCs w:val="20"/>
        </w:rPr>
        <w:t xml:space="preserve">C’est, à la formulation près, le plan recommandé</w:t>
      </w:r>
      <w:r>
        <w:rPr>
          <w:rFonts w:ascii="Calibri" w:cs="Calibri" w:eastAsia="Calibri" w:hAnsi="Calibri"/>
          <w:color w:val="1A1A1A"/>
          <w:sz w:val="20"/>
          <w:szCs w:val="20"/>
        </w:rPr>
        <w:t xml:space="preserve"> : I, l’aménagement est dans le principe ; II, il sert l’égalité réelle et ses limites protègent le principe.</w:t>
      </w:r>
    </w:p>
    <w:p>
      <w:pPr>
        <w:pStyle w:val="ListParagraph"/>
        <w:numPr>
          <w:ilvl w:val="0"/>
          <w:numId w:val="2"/>
        </w:numPr>
        <w:spacing w:after="70" w:line="264"/>
        <w:jc w:val="both"/>
      </w:pPr>
      <w:r>
        <w:rPr>
          <w:rFonts w:ascii="Calibri" w:cs="Calibri" w:eastAsia="Calibri" w:hAnsi="Calibri"/>
          <w:color w:val="1A1A1A"/>
          <w:sz w:val="20"/>
          <w:szCs w:val="20"/>
        </w:rPr>
        <w:t xml:space="preserve">La problématique identifie la seule objection sérieuse : la crainte que le principe soit « vidé de sa substance ».</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b/>
          <w:bCs/>
          <w:color w:val="1A1A1A"/>
          <w:sz w:val="20"/>
          <w:szCs w:val="20"/>
        </w:rPr>
        <w:t xml:space="preserve">« Dans quelle mesure »</w:t>
      </w:r>
      <w:r>
        <w:rPr>
          <w:rFonts w:ascii="Calibri" w:cs="Calibri" w:eastAsia="Calibri" w:hAnsi="Calibri"/>
          <w:color w:val="1A1A1A"/>
          <w:sz w:val="20"/>
          <w:szCs w:val="20"/>
        </w:rPr>
        <w:t xml:space="preserve"> est une formule de dissertation : elle annonce une réponse nuancée. Dans un « soutenez que », la problématique doit poser l’alternative que la thèse tranche.</w:t>
      </w:r>
    </w:p>
    <w:p>
      <w:pPr>
        <w:pStyle w:val="ListParagraph"/>
        <w:numPr>
          <w:ilvl w:val="0"/>
          <w:numId w:val="2"/>
        </w:numPr>
        <w:spacing w:after="70" w:line="264"/>
        <w:jc w:val="both"/>
      </w:pPr>
      <w:r>
        <w:rPr>
          <w:rFonts w:ascii="Calibri" w:cs="Calibri" w:eastAsia="Calibri" w:hAnsi="Calibri"/>
          <w:color w:val="1A1A1A"/>
          <w:sz w:val="20"/>
          <w:szCs w:val="20"/>
        </w:rPr>
        <w:t xml:space="preserve">L’accroche d’Aristote est une paraphrase présentée comme citation (voir Partie V).</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Reformuler : « L’aménagement du principe d’égalité en est-il la négation, ou la condition de son effectivité ? ». Retitrer le II B pour qu’il serve la thèse : « Des aménagements encadrés, preuve que le principe survit ».</w:t>
      </w:r>
    </w:p>
    <w:p>
      <w:pPr>
        <w:spacing w:after="160"/>
      </w:pPr>
      <w:r>
        <w:rPr>
          <w:rFonts w:ascii="Calibri" w:cs="Calibri" w:eastAsia="Calibri" w:hAnsi="Calibri"/>
          <w:i/>
          <w:iCs/>
          <w:color w:val="5A5A5A"/>
          <w:sz w:val="18"/>
          <w:szCs w:val="18"/>
        </w:rPr>
        <w:t xml:space="preserve">Note indicative : 15/20.</w:t>
      </w:r>
    </w:p>
    <w:p>
      <w:pPr>
        <w:pStyle w:val="Heading2"/>
        <w:spacing w:after="110" w:before="260"/>
      </w:pPr>
      <w:r>
        <w:rPr>
          <w:rFonts w:ascii="Calibri" w:cs="Calibri" w:eastAsia="Calibri" w:hAnsi="Calibri"/>
          <w:b/>
          <w:bCs/>
          <w:color w:val="1A1A1A"/>
          <w:spacing w:val="16"/>
          <w:sz w:val="23"/>
          <w:szCs w:val="23"/>
        </w:rPr>
        <w:t xml:space="preserve">Plan n° 2 — Sophie G — aménagements « négatifs » anciens, aménagements « positifs » contemporains</w:t>
      </w:r>
    </w:p>
    <w:p>
      <w:pPr>
        <w:pBdr>
          <w:left w:val="single" w:color="8C1C2B" w:sz="12" w:space="10"/>
        </w:pBdr>
        <w:spacing w:after="90" w:line="264"/>
        <w:ind w:left="260"/>
        <w:jc w:val="both"/>
      </w:pPr>
      <w:r>
        <w:rPr>
          <w:rFonts w:ascii="Calibri" w:cs="Calibri" w:eastAsia="Calibri" w:hAnsi="Calibri"/>
          <w:color w:val="1A1A1A"/>
          <w:sz w:val="20"/>
          <w:szCs w:val="20"/>
        </w:rPr>
        <w:t xml:space="preserve">Accroche : quota de 30 % de femmes dirigeantes depuis le 1er mars 2026.</w:t>
      </w:r>
    </w:p>
    <w:p>
      <w:pPr>
        <w:pBdr>
          <w:left w:val="single" w:color="8C1C2B" w:sz="12" w:space="10"/>
        </w:pBdr>
        <w:spacing w:after="90" w:line="264"/>
        <w:ind w:left="260"/>
        <w:jc w:val="both"/>
      </w:pPr>
      <w:r>
        <w:rPr>
          <w:rFonts w:ascii="Calibri" w:cs="Calibri" w:eastAsia="Calibri" w:hAnsi="Calibri"/>
          <w:color w:val="1A1A1A"/>
          <w:sz w:val="20"/>
          <w:szCs w:val="20"/>
        </w:rPr>
        <w:t xml:space="preserve">I. La possibilité ancienne d’aménagements négatifs — A. La faculté pour le législateur d’établir des différences de traitement (« DC, 21 juillet 1979 » ; Denoyez et Chorques ; Carson). B. La limitation par le principe de non-discrimination (art. 14 CEDH ; art. 21 CDFUE ; 2007-557 DC).</w:t>
      </w:r>
    </w:p>
    <w:p>
      <w:pPr>
        <w:pBdr>
          <w:left w:val="single" w:color="8C1C2B" w:sz="12" w:space="10"/>
        </w:pBdr>
        <w:spacing w:after="90" w:line="264"/>
        <w:ind w:left="260"/>
        <w:jc w:val="both"/>
      </w:pPr>
      <w:r>
        <w:rPr>
          <w:rFonts w:ascii="Calibri" w:cs="Calibri" w:eastAsia="Calibri" w:hAnsi="Calibri"/>
          <w:color w:val="1A1A1A"/>
          <w:sz w:val="20"/>
          <w:szCs w:val="20"/>
        </w:rPr>
        <w:t xml:space="preserve">II. La possibilité contemporaine d’aménagements positifs — A. De la faculté à l’obligation (Thlimmenos ; Chapman ; vulnérabilités). B. L’aménagement positif par excellence, la discrimination positive (Stec ; Andrle ; parité ; CE 2013 CFTC ; CJCE Badeck).</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b/>
          <w:bCs/>
          <w:color w:val="1A1A1A"/>
          <w:sz w:val="20"/>
          <w:szCs w:val="20"/>
        </w:rPr>
        <w:t xml:space="preserve">La copie la plus riche du séminaire</w:t>
      </w:r>
      <w:r>
        <w:rPr>
          <w:rFonts w:ascii="Calibri" w:cs="Calibri" w:eastAsia="Calibri" w:hAnsi="Calibri"/>
          <w:color w:val="1A1A1A"/>
          <w:sz w:val="20"/>
          <w:szCs w:val="20"/>
        </w:rPr>
        <w:t xml:space="preserve"> : accroche d’actualité exacte, distinction féconde entre aménagements « négatifs » et « positifs », passage « de la faculté à l’obligation » (Thlimmenos), jurisprudence européenne maîtrisée (Stec, Andrle).</w:t>
      </w:r>
    </w:p>
    <w:p>
      <w:pPr>
        <w:pStyle w:val="ListParagraph"/>
        <w:numPr>
          <w:ilvl w:val="0"/>
          <w:numId w:val="2"/>
        </w:numPr>
        <w:spacing w:after="70" w:line="264"/>
        <w:jc w:val="both"/>
      </w:pPr>
      <w:r>
        <w:rPr>
          <w:rFonts w:ascii="Calibri" w:cs="Calibri" w:eastAsia="Calibri" w:hAnsi="Calibri"/>
          <w:color w:val="1A1A1A"/>
          <w:sz w:val="20"/>
          <w:szCs w:val="20"/>
        </w:rPr>
        <w:t xml:space="preserve">La transition (« le principe de non-discrimination est également un motif sur le fondement duquel une différence de traitement peut être exigée ») est excellente.</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b/>
          <w:bCs/>
          <w:color w:val="1A1A1A"/>
          <w:sz w:val="20"/>
          <w:szCs w:val="20"/>
        </w:rPr>
        <w:t xml:space="preserve">Le I B affaiblit la thèse</w:t>
      </w:r>
      <w:r>
        <w:rPr>
          <w:rFonts w:ascii="Calibri" w:cs="Calibri" w:eastAsia="Calibri" w:hAnsi="Calibri"/>
          <w:color w:val="1A1A1A"/>
          <w:sz w:val="20"/>
          <w:szCs w:val="20"/>
        </w:rPr>
        <w:t xml:space="preserve"> : la non-discrimination y apparaît comme une limite, avant d’être retournée en II. Dans une argumentation, il faut la présenter d’emblée comme le critère qui rend l’aménagement légitime.</w:t>
      </w:r>
    </w:p>
    <w:p>
      <w:pPr>
        <w:pStyle w:val="ListParagraph"/>
        <w:numPr>
          <w:ilvl w:val="0"/>
          <w:numId w:val="2"/>
        </w:numPr>
        <w:spacing w:after="70" w:line="264"/>
        <w:jc w:val="both"/>
      </w:pPr>
      <w:r>
        <w:rPr>
          <w:rFonts w:ascii="Calibri" w:cs="Calibri" w:eastAsia="Calibri" w:hAnsi="Calibri"/>
          <w:color w:val="1A1A1A"/>
          <w:sz w:val="20"/>
          <w:szCs w:val="20"/>
        </w:rPr>
        <w:t xml:space="preserve">Trois références fautives : la décision des ponts à péage est du </w:t>
      </w:r>
      <w:r>
        <w:rPr>
          <w:rFonts w:ascii="Calibri" w:cs="Calibri" w:eastAsia="Calibri" w:hAnsi="Calibri"/>
          <w:b/>
          <w:bCs/>
          <w:color w:val="1A1A1A"/>
          <w:sz w:val="20"/>
          <w:szCs w:val="20"/>
        </w:rPr>
        <w:t xml:space="preserve">12</w:t>
      </w:r>
      <w:r>
        <w:rPr>
          <w:rFonts w:ascii="Calibri" w:cs="Calibri" w:eastAsia="Calibri" w:hAnsi="Calibri"/>
          <w:color w:val="1A1A1A"/>
          <w:sz w:val="20"/>
          <w:szCs w:val="20"/>
        </w:rPr>
        <w:t xml:space="preserve"> juillet 1979 (79-107 DC) ; </w:t>
      </w:r>
      <w:r>
        <w:rPr>
          <w:rFonts w:ascii="Calibri" w:cs="Calibri" w:eastAsia="Calibri" w:hAnsi="Calibri"/>
          <w:color w:val="E91E63"/>
          <w:sz w:val="20"/>
          <w:szCs w:val="20"/>
        </w:rPr>
        <w:t xml:space="preserve">CE, 2013, Fédération CFTC de l’agriculture</w:t>
      </w:r>
      <w:r>
        <w:rPr>
          <w:rFonts w:ascii="Calibri" w:cs="Calibri" w:eastAsia="Calibri" w:hAnsi="Calibri"/>
          <w:color w:val="1A1A1A"/>
          <w:sz w:val="20"/>
          <w:szCs w:val="20"/>
        </w:rPr>
        <w:t xml:space="preserve"> juge que </w:t>
      </w:r>
      <w:r>
        <w:rPr>
          <w:rFonts w:ascii="Calibri" w:cs="Calibri" w:eastAsia="Calibri" w:hAnsi="Calibri"/>
          <w:b/>
          <w:bCs/>
          <w:color w:val="1A1A1A"/>
          <w:sz w:val="20"/>
          <w:szCs w:val="20"/>
        </w:rPr>
        <w:t xml:space="preserve">seule la loi</w:t>
      </w:r>
      <w:r>
        <w:rPr>
          <w:rFonts w:ascii="Calibri" w:cs="Calibri" w:eastAsia="Calibri" w:hAnsi="Calibri"/>
          <w:color w:val="1A1A1A"/>
          <w:sz w:val="20"/>
          <w:szCs w:val="20"/>
        </w:rPr>
        <w:t xml:space="preserve"> peut imposer la parité, ce n’est pas une « frilosité » du juge ; </w:t>
      </w:r>
      <w:r>
        <w:rPr>
          <w:rFonts w:ascii="Calibri" w:cs="Calibri" w:eastAsia="Calibri" w:hAnsi="Calibri"/>
          <w:color w:val="E91E63"/>
          <w:sz w:val="20"/>
          <w:szCs w:val="20"/>
        </w:rPr>
        <w:t xml:space="preserve">Badeck</w:t>
      </w:r>
      <w:r>
        <w:rPr>
          <w:rFonts w:ascii="Calibri" w:cs="Calibri" w:eastAsia="Calibri" w:hAnsi="Calibri"/>
          <w:color w:val="1A1A1A"/>
          <w:sz w:val="20"/>
          <w:szCs w:val="20"/>
        </w:rPr>
        <w:t xml:space="preserve"> (2000) </w:t>
      </w:r>
      <w:r>
        <w:rPr>
          <w:rFonts w:ascii="Calibri" w:cs="Calibri" w:eastAsia="Calibri" w:hAnsi="Calibri"/>
          <w:b/>
          <w:bCs/>
          <w:color w:val="1A1A1A"/>
          <w:sz w:val="20"/>
          <w:szCs w:val="20"/>
        </w:rPr>
        <w:t xml:space="preserve">admet</w:t>
      </w:r>
      <w:r>
        <w:rPr>
          <w:rFonts w:ascii="Calibri" w:cs="Calibri" w:eastAsia="Calibri" w:hAnsi="Calibri"/>
          <w:color w:val="1A1A1A"/>
          <w:sz w:val="20"/>
          <w:szCs w:val="20"/>
        </w:rPr>
        <w:t xml:space="preserve"> la priorité accordée aux femmes assortie d’une clause d’ouverture — c’est </w:t>
      </w:r>
      <w:r>
        <w:rPr>
          <w:rFonts w:ascii="Calibri" w:cs="Calibri" w:eastAsia="Calibri" w:hAnsi="Calibri"/>
          <w:color w:val="E91E63"/>
          <w:sz w:val="20"/>
          <w:szCs w:val="20"/>
        </w:rPr>
        <w:t xml:space="preserve">Kalanke</w:t>
      </w:r>
      <w:r>
        <w:rPr>
          <w:rFonts w:ascii="Calibri" w:cs="Calibri" w:eastAsia="Calibri" w:hAnsi="Calibri"/>
          <w:color w:val="1A1A1A"/>
          <w:sz w:val="20"/>
          <w:szCs w:val="20"/>
        </w:rPr>
        <w:t xml:space="preserve"> (1995) qui censure la priorité automatique.</w:t>
      </w:r>
    </w:p>
    <w:p>
      <w:pPr>
        <w:pStyle w:val="ListParagraph"/>
        <w:numPr>
          <w:ilvl w:val="0"/>
          <w:numId w:val="2"/>
        </w:numPr>
        <w:spacing w:after="70" w:line="264"/>
        <w:jc w:val="both"/>
      </w:pPr>
      <w:r>
        <w:rPr>
          <w:rFonts w:ascii="Calibri" w:cs="Calibri" w:eastAsia="Calibri" w:hAnsi="Calibri"/>
          <w:color w:val="1A1A1A"/>
          <w:sz w:val="20"/>
          <w:szCs w:val="20"/>
        </w:rPr>
        <w:t xml:space="preserve">« Aménagements négatifs » est ambigu : on croit lire « discriminations négatives ».</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Remplacer « négatifs / positifs » par « différenciations admises / corrections exigées » ; corriger les trois références ; présenter la non-discrimination comme critère de l’aménagement.</w:t>
      </w:r>
    </w:p>
    <w:p>
      <w:pPr>
        <w:spacing w:after="160"/>
      </w:pPr>
      <w:r>
        <w:rPr>
          <w:rFonts w:ascii="Calibri" w:cs="Calibri" w:eastAsia="Calibri" w:hAnsi="Calibri"/>
          <w:i/>
          <w:iCs/>
          <w:color w:val="5A5A5A"/>
          <w:sz w:val="18"/>
          <w:szCs w:val="18"/>
        </w:rPr>
        <w:t xml:space="preserve">Note indicative : 14,5/20 (16 avec les références corrigées).</w:t>
      </w:r>
    </w:p>
    <w:p>
      <w:pPr>
        <w:pStyle w:val="Heading2"/>
        <w:spacing w:after="110" w:before="260"/>
      </w:pPr>
      <w:r>
        <w:rPr>
          <w:rFonts w:ascii="Calibri" w:cs="Calibri" w:eastAsia="Calibri" w:hAnsi="Calibri"/>
          <w:b/>
          <w:bCs/>
          <w:color w:val="1A1A1A"/>
          <w:spacing w:val="16"/>
          <w:sz w:val="23"/>
          <w:szCs w:val="23"/>
        </w:rPr>
        <w:t xml:space="preserve">Plan n° 3 — Henri M — la difficulté d’une application stricte, puis la nécessité d’aménager</w:t>
      </w:r>
    </w:p>
    <w:p>
      <w:pPr>
        <w:pBdr>
          <w:left w:val="single" w:color="8C1C2B" w:sz="12" w:space="10"/>
        </w:pBdr>
        <w:spacing w:after="90" w:line="264"/>
        <w:ind w:left="260"/>
        <w:jc w:val="both"/>
      </w:pPr>
      <w:r>
        <w:rPr>
          <w:rFonts w:ascii="Calibri" w:cs="Calibri" w:eastAsia="Calibri" w:hAnsi="Calibri"/>
          <w:color w:val="1A1A1A"/>
          <w:sz w:val="20"/>
          <w:szCs w:val="20"/>
        </w:rPr>
        <w:t xml:space="preserve">Accroche : Aristote, Éthique à Nicomaque, livre V. Problématique : « L’aménagement du principe d’égalité porte-t-il atteinte à l’essence même de ce principe ? »</w:t>
      </w:r>
    </w:p>
    <w:p>
      <w:pPr>
        <w:pBdr>
          <w:left w:val="single" w:color="8C1C2B" w:sz="12" w:space="10"/>
        </w:pBdr>
        <w:spacing w:after="90" w:line="264"/>
        <w:ind w:left="260"/>
        <w:jc w:val="both"/>
      </w:pPr>
      <w:r>
        <w:rPr>
          <w:rFonts w:ascii="Calibri" w:cs="Calibri" w:eastAsia="Calibri" w:hAnsi="Calibri"/>
          <w:color w:val="1A1A1A"/>
          <w:sz w:val="20"/>
          <w:szCs w:val="20"/>
        </w:rPr>
        <w:t xml:space="preserve">I. La difficulté d’une application stricte du principe d’égalité — A. La généralité du principe, fondement de son aménagement. B. La reconnaissance législative de traitements différents.</w:t>
      </w:r>
    </w:p>
    <w:p>
      <w:pPr>
        <w:pBdr>
          <w:left w:val="single" w:color="8C1C2B" w:sz="12" w:space="10"/>
        </w:pBdr>
        <w:spacing w:after="90" w:line="264"/>
        <w:ind w:left="260"/>
        <w:jc w:val="both"/>
      </w:pPr>
      <w:r>
        <w:rPr>
          <w:rFonts w:ascii="Calibri" w:cs="Calibri" w:eastAsia="Calibri" w:hAnsi="Calibri"/>
          <w:color w:val="1A1A1A"/>
          <w:sz w:val="20"/>
          <w:szCs w:val="20"/>
        </w:rPr>
        <w:t xml:space="preserve">II. La nécessité d’aménager le principe d’égalité entre les individus — A. L’aménagement jurisprudentiel devant les services publics. B. L’aménagement justifié par les particularités géographiques (Alsace-Moselle).</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Accroche exacte et bien référencée ; problématique qui pose la bonne objection.</w:t>
      </w:r>
    </w:p>
    <w:p>
      <w:pPr>
        <w:pStyle w:val="ListParagraph"/>
        <w:numPr>
          <w:ilvl w:val="0"/>
          <w:numId w:val="2"/>
        </w:numPr>
        <w:spacing w:after="70" w:line="264"/>
        <w:jc w:val="both"/>
      </w:pPr>
      <w:r>
        <w:rPr>
          <w:rFonts w:ascii="Calibri" w:cs="Calibri" w:eastAsia="Calibri" w:hAnsi="Calibri"/>
          <w:color w:val="1A1A1A"/>
          <w:sz w:val="20"/>
          <w:szCs w:val="20"/>
        </w:rPr>
        <w:t xml:space="preserve">« La généralité du principe, fondement de son aménagement » est un vrai argument de thèse.</w:t>
      </w:r>
    </w:p>
    <w:p>
      <w:pPr>
        <w:pStyle w:val="ListParagraph"/>
        <w:numPr>
          <w:ilvl w:val="0"/>
          <w:numId w:val="2"/>
        </w:numPr>
        <w:spacing w:after="70" w:line="264"/>
        <w:jc w:val="both"/>
      </w:pPr>
      <w:r>
        <w:rPr>
          <w:rFonts w:ascii="Calibri" w:cs="Calibri" w:eastAsia="Calibri" w:hAnsi="Calibri"/>
          <w:b/>
          <w:bCs/>
          <w:color w:val="1A1A1A"/>
          <w:sz w:val="20"/>
          <w:szCs w:val="20"/>
        </w:rPr>
        <w:t xml:space="preserve">L’Alsace-Moselle est l’exemple le plus original du séminaire</w:t>
      </w:r>
      <w:r>
        <w:rPr>
          <w:rFonts w:ascii="Calibri" w:cs="Calibri" w:eastAsia="Calibri" w:hAnsi="Calibri"/>
          <w:color w:val="1A1A1A"/>
          <w:sz w:val="20"/>
          <w:szCs w:val="20"/>
        </w:rPr>
        <w:t xml:space="preserve"> : à appuyer sur </w:t>
      </w:r>
      <w:r>
        <w:rPr>
          <w:rFonts w:ascii="Calibri" w:cs="Calibri" w:eastAsia="Calibri" w:hAnsi="Calibri"/>
          <w:color w:val="E91E63"/>
          <w:sz w:val="20"/>
          <w:szCs w:val="20"/>
        </w:rPr>
        <w:t xml:space="preserve">2011-157 QPC, Somodia</w:t>
      </w:r>
      <w:r>
        <w:rPr>
          <w:rFonts w:ascii="Calibri" w:cs="Calibri" w:eastAsia="Calibri" w:hAnsi="Calibri"/>
          <w:color w:val="1A1A1A"/>
          <w:sz w:val="20"/>
          <w:szCs w:val="20"/>
        </w:rPr>
        <w:t xml:space="preserve"> (principe fondamental reconnu par les lois de la République ; maintien possible, extension interdite).</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Ni discrimination positive, ni parité, ni juge européen : la dimension « égalité réelle » manque.</w:t>
      </w:r>
    </w:p>
    <w:p>
      <w:pPr>
        <w:pStyle w:val="ListParagraph"/>
        <w:numPr>
          <w:ilvl w:val="0"/>
          <w:numId w:val="2"/>
        </w:numPr>
        <w:spacing w:after="70" w:line="264"/>
        <w:jc w:val="both"/>
      </w:pPr>
      <w:r>
        <w:rPr>
          <w:rFonts w:ascii="Calibri" w:cs="Calibri" w:eastAsia="Calibri" w:hAnsi="Calibri"/>
          <w:color w:val="1A1A1A"/>
          <w:sz w:val="20"/>
          <w:szCs w:val="20"/>
        </w:rPr>
        <w:t xml:space="preserve">Le II A (services publics) est un exemple, pas un argument.</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Fusionner II A et II B en « A. Des aménagements de situation (services publics, territoires) » et créer un « B. Des aménagements correcteurs (parité, Thlimmenos) ».</w:t>
      </w:r>
    </w:p>
    <w:p>
      <w:pPr>
        <w:spacing w:after="160"/>
      </w:pPr>
      <w:r>
        <w:rPr>
          <w:rFonts w:ascii="Calibri" w:cs="Calibri" w:eastAsia="Calibri" w:hAnsi="Calibri"/>
          <w:i/>
          <w:iCs/>
          <w:color w:val="5A5A5A"/>
          <w:sz w:val="18"/>
          <w:szCs w:val="18"/>
        </w:rPr>
        <w:t xml:space="preserve">Note indicative : 13,5/20.</w:t>
      </w:r>
    </w:p>
    <w:p>
      <w:pPr>
        <w:pStyle w:val="Heading2"/>
        <w:spacing w:after="110" w:before="260"/>
      </w:pPr>
      <w:r>
        <w:rPr>
          <w:rFonts w:ascii="Calibri" w:cs="Calibri" w:eastAsia="Calibri" w:hAnsi="Calibri"/>
          <w:b/>
          <w:bCs/>
          <w:color w:val="1A1A1A"/>
          <w:spacing w:val="16"/>
          <w:sz w:val="23"/>
          <w:szCs w:val="23"/>
        </w:rPr>
        <w:t xml:space="preserve">Plan n° 4 — Emilie H — l’égalité n’impose pas un traitement identique ; aménager n’est pas discriminer</w:t>
      </w:r>
    </w:p>
    <w:p>
      <w:pPr>
        <w:pBdr>
          <w:left w:val="single" w:color="8C1C2B" w:sz="12" w:space="10"/>
        </w:pBdr>
        <w:spacing w:after="90" w:line="264"/>
        <w:ind w:left="260"/>
        <w:jc w:val="both"/>
      </w:pPr>
      <w:r>
        <w:rPr>
          <w:rFonts w:ascii="Calibri" w:cs="Calibri" w:eastAsia="Calibri" w:hAnsi="Calibri"/>
          <w:color w:val="1A1A1A"/>
          <w:sz w:val="20"/>
          <w:szCs w:val="20"/>
        </w:rPr>
        <w:t xml:space="preserve">Introduction très complète (Olympe de Gouges, Martin Luther King, Simone Veil ; art. 1er DDHC ; devise). Problématique : « Dans quelle mesure les aménagements apportés au principe d’égalité permettent-ils de parvenir à une égalité effective sans conduire à des discriminations injustifiées ? »</w:t>
      </w:r>
    </w:p>
    <w:p>
      <w:pPr>
        <w:pBdr>
          <w:left w:val="single" w:color="8C1C2B" w:sz="12" w:space="10"/>
        </w:pBdr>
        <w:spacing w:after="90" w:line="264"/>
        <w:ind w:left="260"/>
        <w:jc w:val="both"/>
      </w:pPr>
      <w:r>
        <w:rPr>
          <w:rFonts w:ascii="Calibri" w:cs="Calibri" w:eastAsia="Calibri" w:hAnsi="Calibri"/>
          <w:color w:val="1A1A1A"/>
          <w:sz w:val="20"/>
          <w:szCs w:val="20"/>
        </w:rPr>
        <w:t xml:space="preserve">I. Le principe d’égalité n’impose pas nécessairement un traitement identique — A. Un principe fondamental fortement consacré. B. Des aménagements nécessaires pour atteindre une égalité réelle.</w:t>
      </w:r>
    </w:p>
    <w:p>
      <w:pPr>
        <w:pBdr>
          <w:left w:val="single" w:color="8C1C2B" w:sz="12" w:space="10"/>
        </w:pBdr>
        <w:spacing w:after="90" w:line="264"/>
        <w:ind w:left="260"/>
        <w:jc w:val="both"/>
      </w:pPr>
      <w:r>
        <w:rPr>
          <w:rFonts w:ascii="Calibri" w:cs="Calibri" w:eastAsia="Calibri" w:hAnsi="Calibri"/>
          <w:color w:val="1A1A1A"/>
          <w:sz w:val="20"/>
          <w:szCs w:val="20"/>
        </w:rPr>
        <w:t xml:space="preserve">II. Aménager l’égalité ne signifie pas pouvoir discriminer librement — A. Des différences objectivement justifiées et proportionnées. B. Une égalité réelle qui dépasse l’égalité femmes-hommes.</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b/>
          <w:bCs/>
          <w:color w:val="1A1A1A"/>
          <w:sz w:val="20"/>
          <w:szCs w:val="20"/>
        </w:rPr>
        <w:t xml:space="preserve">Le II est construit comme il faut</w:t>
      </w:r>
      <w:r>
        <w:rPr>
          <w:rFonts w:ascii="Calibri" w:cs="Calibri" w:eastAsia="Calibri" w:hAnsi="Calibri"/>
          <w:color w:val="1A1A1A"/>
          <w:sz w:val="20"/>
          <w:szCs w:val="20"/>
        </w:rPr>
        <w:t xml:space="preserve"> : « aménager ne signifie pas discriminer » transforme les limites en argument de thèse.</w:t>
      </w:r>
    </w:p>
    <w:p>
      <w:pPr>
        <w:pStyle w:val="ListParagraph"/>
        <w:numPr>
          <w:ilvl w:val="0"/>
          <w:numId w:val="2"/>
        </w:numPr>
        <w:spacing w:after="70" w:line="264"/>
        <w:jc w:val="both"/>
      </w:pPr>
      <w:r>
        <w:rPr>
          <w:rFonts w:ascii="Calibri" w:cs="Calibri" w:eastAsia="Calibri" w:hAnsi="Calibri"/>
          <w:color w:val="1A1A1A"/>
          <w:sz w:val="20"/>
          <w:szCs w:val="20"/>
        </w:rPr>
        <w:t xml:space="preserve">L’enjeu est parfaitement posé (une égalité uniforme peut renforcer les inégalités de fait ; trop de dérogations videraient le principe).</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b/>
          <w:bCs/>
          <w:color w:val="1A1A1A"/>
          <w:sz w:val="20"/>
          <w:szCs w:val="20"/>
        </w:rPr>
        <w:t xml:space="preserve">L’introduction est trop longue</w:t>
      </w:r>
      <w:r>
        <w:rPr>
          <w:rFonts w:ascii="Calibri" w:cs="Calibri" w:eastAsia="Calibri" w:hAnsi="Calibri"/>
          <w:color w:val="1A1A1A"/>
          <w:sz w:val="20"/>
          <w:szCs w:val="20"/>
        </w:rPr>
        <w:t xml:space="preserve"> : environ trois minutes de mise en perspective historique avant la problématique ; un jury décroche.</w:t>
      </w:r>
    </w:p>
    <w:p>
      <w:pPr>
        <w:pStyle w:val="ListParagraph"/>
        <w:numPr>
          <w:ilvl w:val="0"/>
          <w:numId w:val="2"/>
        </w:numPr>
        <w:spacing w:after="70" w:line="264"/>
        <w:jc w:val="both"/>
      </w:pPr>
      <w:r>
        <w:rPr>
          <w:rFonts w:ascii="Calibri" w:cs="Calibri" w:eastAsia="Calibri" w:hAnsi="Calibri"/>
          <w:color w:val="1A1A1A"/>
          <w:sz w:val="20"/>
          <w:szCs w:val="20"/>
        </w:rPr>
        <w:t xml:space="preserve">« Dans quelle mesure » : problématique de dissertation (voir plan n° 1). Le I A (« un principe fortement consacré ») ne démontre rien.</w:t>
      </w:r>
    </w:p>
    <w:p>
      <w:pPr>
        <w:pStyle w:val="ListParagraph"/>
        <w:numPr>
          <w:ilvl w:val="0"/>
          <w:numId w:val="2"/>
        </w:numPr>
        <w:spacing w:after="70" w:line="264"/>
        <w:jc w:val="both"/>
      </w:pPr>
      <w:r>
        <w:rPr>
          <w:rFonts w:ascii="Calibri" w:cs="Calibri" w:eastAsia="Calibri" w:hAnsi="Calibri"/>
          <w:color w:val="1A1A1A"/>
          <w:sz w:val="20"/>
          <w:szCs w:val="20"/>
        </w:rPr>
        <w:t xml:space="preserve">Le II B est hors de la ligne : l’égalité femmes-hommes n’est qu’un exemple.</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Couper l’introduction de moitié ; remplacer le I A par « Une égalité proportionnelle dès 1789 » ; faire du II B « Des aménagements dont les limites protègent le principe ».</w:t>
      </w:r>
    </w:p>
    <w:p>
      <w:pPr>
        <w:spacing w:after="160"/>
      </w:pPr>
      <w:r>
        <w:rPr>
          <w:rFonts w:ascii="Calibri" w:cs="Calibri" w:eastAsia="Calibri" w:hAnsi="Calibri"/>
          <w:i/>
          <w:iCs/>
          <w:color w:val="5A5A5A"/>
          <w:sz w:val="18"/>
          <w:szCs w:val="18"/>
        </w:rPr>
        <w:t xml:space="preserve">Note indicative : 13,5/20.</w:t>
      </w:r>
    </w:p>
    <w:p>
      <w:pPr>
        <w:pStyle w:val="Heading2"/>
        <w:spacing w:after="110" w:before="260"/>
      </w:pPr>
      <w:r>
        <w:rPr>
          <w:rFonts w:ascii="Calibri" w:cs="Calibri" w:eastAsia="Calibri" w:hAnsi="Calibri"/>
          <w:b/>
          <w:bCs/>
          <w:color w:val="1A1A1A"/>
          <w:spacing w:val="16"/>
          <w:sz w:val="23"/>
          <w:szCs w:val="23"/>
        </w:rPr>
        <w:t xml:space="preserve">Plan n° 5 — Aurore A — un principe aménagé aux situations, puis protégé</w:t>
      </w:r>
    </w:p>
    <w:p>
      <w:pPr>
        <w:pBdr>
          <w:left w:val="single" w:color="8C1C2B" w:sz="12" w:space="10"/>
        </w:pBdr>
        <w:spacing w:after="90" w:line="264"/>
        <w:ind w:left="260"/>
        <w:jc w:val="both"/>
      </w:pPr>
      <w:r>
        <w:rPr>
          <w:rFonts w:ascii="Calibri" w:cs="Calibri" w:eastAsia="Calibri" w:hAnsi="Calibri"/>
          <w:color w:val="1A1A1A"/>
          <w:sz w:val="20"/>
          <w:szCs w:val="20"/>
        </w:rPr>
        <w:t xml:space="preserve">Accroche : art. 23 CDFUE.</w:t>
      </w:r>
    </w:p>
    <w:p>
      <w:pPr>
        <w:pBdr>
          <w:left w:val="single" w:color="8C1C2B" w:sz="12" w:space="10"/>
        </w:pBdr>
        <w:spacing w:after="90" w:line="264"/>
        <w:ind w:left="260"/>
        <w:jc w:val="both"/>
      </w:pPr>
      <w:r>
        <w:rPr>
          <w:rFonts w:ascii="Calibri" w:cs="Calibri" w:eastAsia="Calibri" w:hAnsi="Calibri"/>
          <w:color w:val="1A1A1A"/>
          <w:sz w:val="20"/>
          <w:szCs w:val="20"/>
        </w:rPr>
        <w:t xml:space="preserve">I. L’encadrement du principe d’égalité, un principe essentiel — A. La nécessité d’aménager ce principe aux différentes situations (2010-92 QPC, mariage ; 81-129 DC ; 86-217 DC). B. L’adaptation au regard de l’intérêt général (96-380 DC).</w:t>
      </w:r>
    </w:p>
    <w:p>
      <w:pPr>
        <w:pBdr>
          <w:left w:val="single" w:color="8C1C2B" w:sz="12" w:space="10"/>
        </w:pBdr>
        <w:spacing w:after="90" w:line="264"/>
        <w:ind w:left="260"/>
        <w:jc w:val="both"/>
      </w:pPr>
      <w:r>
        <w:rPr>
          <w:rFonts w:ascii="Calibri" w:cs="Calibri" w:eastAsia="Calibri" w:hAnsi="Calibri"/>
          <w:color w:val="1A1A1A"/>
          <w:sz w:val="20"/>
          <w:szCs w:val="20"/>
        </w:rPr>
        <w:t xml:space="preserve">II. La protection du principe d’égalité face à une différence de traitement — A. Un contrôle mesuré du Conseil constitutionnel (« 2010-32 QPC » ; 99-416 DC ; 2025-1163/1167 QPC). B. Les conditions de l’aménagement pour éviter l’arbitraire (« Duvignères, 18/12/2022 » ; « Villemain, ass. plén. » ; 2017-654 QPC ; 2025-1179 QPC).</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b/>
          <w:bCs/>
          <w:color w:val="1A1A1A"/>
          <w:sz w:val="20"/>
          <w:szCs w:val="20"/>
        </w:rPr>
        <w:t xml:space="preserve">La plus grande densité de jurisprudence du séminaire</w:t>
      </w:r>
      <w:r>
        <w:rPr>
          <w:rFonts w:ascii="Calibri" w:cs="Calibri" w:eastAsia="Calibri" w:hAnsi="Calibri"/>
          <w:color w:val="1A1A1A"/>
          <w:sz w:val="20"/>
          <w:szCs w:val="20"/>
        </w:rPr>
        <w:t xml:space="preserve">, souvent très récente : la décision calédonienne de 2025 (« dérogation […] introduite dans le texte de la Constitution ») et 2025-1179 QPC sont d’excellents exemples.</w:t>
      </w:r>
    </w:p>
    <w:p>
      <w:pPr>
        <w:pStyle w:val="ListParagraph"/>
        <w:numPr>
          <w:ilvl w:val="0"/>
          <w:numId w:val="2"/>
        </w:numPr>
        <w:spacing w:after="70" w:line="264"/>
        <w:jc w:val="both"/>
      </w:pPr>
      <w:r>
        <w:rPr>
          <w:rFonts w:ascii="Calibri" w:cs="Calibri" w:eastAsia="Calibri" w:hAnsi="Calibri"/>
          <w:color w:val="1A1A1A"/>
          <w:sz w:val="20"/>
          <w:szCs w:val="20"/>
        </w:rPr>
        <w:t xml:space="preserve">L’accroche (art. 23 CDFUE) est pertinente : le texte autorise lui-même l’aménagement.</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b/>
          <w:bCs/>
          <w:color w:val="1A1A1A"/>
          <w:sz w:val="20"/>
          <w:szCs w:val="20"/>
        </w:rPr>
        <w:t xml:space="preserve">Les intitulés ne démontrent pas</w:t>
      </w:r>
      <w:r>
        <w:rPr>
          <w:rFonts w:ascii="Calibri" w:cs="Calibri" w:eastAsia="Calibri" w:hAnsi="Calibri"/>
          <w:color w:val="1A1A1A"/>
          <w:sz w:val="20"/>
          <w:szCs w:val="20"/>
        </w:rPr>
        <w:t xml:space="preserve"> : « l’encadrement d’un principe essentiel », « la protection du principe » décrivent.</w:t>
      </w:r>
    </w:p>
    <w:p>
      <w:pPr>
        <w:pStyle w:val="ListParagraph"/>
        <w:numPr>
          <w:ilvl w:val="0"/>
          <w:numId w:val="2"/>
        </w:numPr>
        <w:spacing w:after="70" w:line="264"/>
        <w:jc w:val="both"/>
      </w:pPr>
      <w:r>
        <w:rPr>
          <w:rFonts w:ascii="Calibri" w:cs="Calibri" w:eastAsia="Calibri" w:hAnsi="Calibri"/>
          <w:color w:val="1A1A1A"/>
          <w:sz w:val="20"/>
          <w:szCs w:val="20"/>
        </w:rPr>
        <w:t xml:space="preserve">Références à corriger : la citation « ne peut substituer son appréciation à celle du législateur » vient de </w:t>
      </w:r>
      <w:r>
        <w:rPr>
          <w:rFonts w:ascii="Calibri" w:cs="Calibri" w:eastAsia="Calibri" w:hAnsi="Calibri"/>
          <w:b/>
          <w:bCs/>
          <w:color w:val="1A1A1A"/>
          <w:sz w:val="20"/>
          <w:szCs w:val="20"/>
        </w:rPr>
        <w:t xml:space="preserve">2010-92 QPC</w:t>
      </w:r>
      <w:r>
        <w:rPr>
          <w:rFonts w:ascii="Calibri" w:cs="Calibri" w:eastAsia="Calibri" w:hAnsi="Calibri"/>
          <w:color w:val="1A1A1A"/>
          <w:sz w:val="20"/>
          <w:szCs w:val="20"/>
        </w:rPr>
        <w:t xml:space="preserve"> (28 janvier 2011), non de « 2010-32 QPC » ; </w:t>
      </w:r>
      <w:r>
        <w:rPr>
          <w:rFonts w:ascii="Calibri" w:cs="Calibri" w:eastAsia="Calibri" w:hAnsi="Calibri"/>
          <w:color w:val="E91E63"/>
          <w:sz w:val="20"/>
          <w:szCs w:val="20"/>
        </w:rPr>
        <w:t xml:space="preserve">Duvignères</w:t>
      </w:r>
      <w:r>
        <w:rPr>
          <w:rFonts w:ascii="Calibri" w:cs="Calibri" w:eastAsia="Calibri" w:hAnsi="Calibri"/>
          <w:color w:val="1A1A1A"/>
          <w:sz w:val="20"/>
          <w:szCs w:val="20"/>
        </w:rPr>
        <w:t xml:space="preserve"> est de </w:t>
      </w:r>
      <w:r>
        <w:rPr>
          <w:rFonts w:ascii="Calibri" w:cs="Calibri" w:eastAsia="Calibri" w:hAnsi="Calibri"/>
          <w:b/>
          <w:bCs/>
          <w:color w:val="1A1A1A"/>
          <w:sz w:val="20"/>
          <w:szCs w:val="20"/>
        </w:rPr>
        <w:t xml:space="preserve">2002</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Villemain</w:t>
      </w:r>
      <w:r>
        <w:rPr>
          <w:rFonts w:ascii="Calibri" w:cs="Calibri" w:eastAsia="Calibri" w:hAnsi="Calibri"/>
          <w:color w:val="1A1A1A"/>
          <w:sz w:val="20"/>
          <w:szCs w:val="20"/>
        </w:rPr>
        <w:t xml:space="preserve"> est un arrêt du Conseil d’État en assemblée (28 juin 2002), « assemblée plénière » désignant la Cour de cassation. </w:t>
      </w:r>
      <w:r>
        <w:rPr>
          <w:rFonts w:ascii="Calibri" w:cs="Calibri" w:eastAsia="Calibri" w:hAnsi="Calibri"/>
          <w:color w:val="E91E63"/>
          <w:sz w:val="20"/>
          <w:szCs w:val="20"/>
        </w:rPr>
        <w:t xml:space="preserve">2025-1179 QPC</w:t>
      </w:r>
      <w:r>
        <w:rPr>
          <w:rFonts w:ascii="Calibri" w:cs="Calibri" w:eastAsia="Calibri" w:hAnsi="Calibri"/>
          <w:color w:val="1A1A1A"/>
          <w:sz w:val="20"/>
          <w:szCs w:val="20"/>
        </w:rPr>
        <w:t xml:space="preserve"> n’est pas une simple validation : le Conseil y </w:t>
      </w:r>
      <w:r>
        <w:rPr>
          <w:rFonts w:ascii="Calibri" w:cs="Calibri" w:eastAsia="Calibri" w:hAnsi="Calibri"/>
          <w:b/>
          <w:bCs/>
          <w:color w:val="1A1A1A"/>
          <w:sz w:val="20"/>
          <w:szCs w:val="20"/>
        </w:rPr>
        <w:t xml:space="preserve">censure</w:t>
      </w:r>
      <w:r>
        <w:rPr>
          <w:rFonts w:ascii="Calibri" w:cs="Calibri" w:eastAsia="Calibri" w:hAnsi="Calibri"/>
          <w:color w:val="1A1A1A"/>
          <w:sz w:val="20"/>
          <w:szCs w:val="20"/>
        </w:rPr>
        <w:t xml:space="preserve"> deux ajouts à la taxe sur les déchets, tout en jugeant le critère de date « objectif et rationnel ».</w:t>
      </w:r>
    </w:p>
    <w:p>
      <w:pPr>
        <w:pStyle w:val="ListParagraph"/>
        <w:numPr>
          <w:ilvl w:val="0"/>
          <w:numId w:val="2"/>
        </w:numPr>
        <w:spacing w:after="70" w:line="264"/>
        <w:jc w:val="both"/>
      </w:pPr>
      <w:r>
        <w:rPr>
          <w:rFonts w:ascii="Calibri" w:cs="Calibri" w:eastAsia="Calibri" w:hAnsi="Calibri"/>
          <w:color w:val="1A1A1A"/>
          <w:sz w:val="20"/>
          <w:szCs w:val="20"/>
        </w:rPr>
        <w:t xml:space="preserve">Les citations attribuées à 81-129 DC et 99-416 DC n’ont pu être vérifiées : à ne pas réciter sans contrôle.</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Garder la matière, retitrer : I. Un aménagement que le Conseil constitutionnel admet ; II. Un aménagement que le Conseil encadre — et le constituant consacre (Nouvelle-Calédonie).</w:t>
      </w:r>
    </w:p>
    <w:p>
      <w:pPr>
        <w:spacing w:after="160"/>
      </w:pPr>
      <w:r>
        <w:rPr>
          <w:rFonts w:ascii="Calibri" w:cs="Calibri" w:eastAsia="Calibri" w:hAnsi="Calibri"/>
          <w:i/>
          <w:iCs/>
          <w:color w:val="5A5A5A"/>
          <w:sz w:val="18"/>
          <w:szCs w:val="18"/>
        </w:rPr>
        <w:t xml:space="preserve">Note indicative : 13/20.</w:t>
      </w:r>
    </w:p>
    <w:p>
      <w:pPr>
        <w:pStyle w:val="Heading2"/>
        <w:spacing w:after="110" w:before="260"/>
      </w:pPr>
      <w:r>
        <w:rPr>
          <w:rFonts w:ascii="Calibri" w:cs="Calibri" w:eastAsia="Calibri" w:hAnsi="Calibri"/>
          <w:b/>
          <w:bCs/>
          <w:color w:val="1A1A1A"/>
          <w:spacing w:val="16"/>
          <w:sz w:val="23"/>
          <w:szCs w:val="23"/>
        </w:rPr>
        <w:t xml:space="preserve">Plan n° 6 — Marine B — intérêt général, puis différences de situation</w:t>
      </w:r>
    </w:p>
    <w:p>
      <w:pPr>
        <w:pBdr>
          <w:left w:val="single" w:color="8C1C2B" w:sz="12" w:space="10"/>
        </w:pBdr>
        <w:spacing w:after="90" w:line="264"/>
        <w:ind w:left="260"/>
        <w:jc w:val="both"/>
      </w:pPr>
      <w:r>
        <w:rPr>
          <w:rFonts w:ascii="Calibri" w:cs="Calibri" w:eastAsia="Calibri" w:hAnsi="Calibri"/>
          <w:color w:val="1A1A1A"/>
          <w:sz w:val="20"/>
          <w:szCs w:val="20"/>
        </w:rPr>
        <w:t xml:space="preserve">I. L’aménagement dans un but d’intérêt général — A. L’absence d’égalité quant au montant de l’imposition (IR, IFI ; « QPC Natixis, 1er août 2013 » ; DC 26 janvier 1995). B. Les discriminations positives (DC 24 octobre 2012 ; classes prépa Talents ; quotas ; « DC 25 janvier 1995 »).</w:t>
      </w:r>
    </w:p>
    <w:p>
      <w:pPr>
        <w:pBdr>
          <w:left w:val="single" w:color="8C1C2B" w:sz="12" w:space="10"/>
        </w:pBdr>
        <w:spacing w:after="90" w:line="264"/>
        <w:ind w:left="260"/>
        <w:jc w:val="both"/>
      </w:pPr>
      <w:r>
        <w:rPr>
          <w:rFonts w:ascii="Calibri" w:cs="Calibri" w:eastAsia="Calibri" w:hAnsi="Calibri"/>
          <w:color w:val="1A1A1A"/>
          <w:sz w:val="20"/>
          <w:szCs w:val="20"/>
        </w:rPr>
        <w:t xml:space="preserve">II. L’aménagement par la prise en compte de situations différentes — A. Le contexte géographique ou familial (79-107 DC ; « QPC 8 août 2025, congé parental plus long pour les mères »). B. Le contexte social (« DC 29 déc. 2003 » ; « QPC 23 janvier 2010 »).</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b/>
          <w:bCs/>
          <w:color w:val="1A1A1A"/>
          <w:sz w:val="20"/>
          <w:szCs w:val="20"/>
        </w:rPr>
        <w:t xml:space="preserve">Le plan suit exactement les deux branches de la formule du Conseil constitutionnel</w:t>
      </w:r>
      <w:r>
        <w:rPr>
          <w:rFonts w:ascii="Calibri" w:cs="Calibri" w:eastAsia="Calibri" w:hAnsi="Calibri"/>
          <w:color w:val="1A1A1A"/>
          <w:sz w:val="20"/>
          <w:szCs w:val="20"/>
        </w:rPr>
        <w:t xml:space="preserve"> : c’est simple, juste et démonstratif.</w:t>
      </w:r>
    </w:p>
    <w:p>
      <w:pPr>
        <w:pStyle w:val="ListParagraph"/>
        <w:numPr>
          <w:ilvl w:val="0"/>
          <w:numId w:val="2"/>
        </w:numPr>
        <w:spacing w:after="70" w:line="264"/>
        <w:jc w:val="both"/>
      </w:pPr>
      <w:r>
        <w:rPr>
          <w:rFonts w:ascii="Calibri" w:cs="Calibri" w:eastAsia="Calibri" w:hAnsi="Calibri"/>
          <w:color w:val="1A1A1A"/>
          <w:sz w:val="20"/>
          <w:szCs w:val="20"/>
        </w:rPr>
        <w:t xml:space="preserve">Les exemples fiscaux et sociaux sont nombreux et parlants ; </w:t>
      </w:r>
      <w:r>
        <w:rPr>
          <w:rFonts w:ascii="Calibri" w:cs="Calibri" w:eastAsia="Calibri" w:hAnsi="Calibri"/>
          <w:color w:val="E91E63"/>
          <w:sz w:val="20"/>
          <w:szCs w:val="20"/>
        </w:rPr>
        <w:t xml:space="preserve">94-358 DC</w:t>
      </w:r>
      <w:r>
        <w:rPr>
          <w:rFonts w:ascii="Calibri" w:cs="Calibri" w:eastAsia="Calibri" w:hAnsi="Calibri"/>
          <w:color w:val="1A1A1A"/>
          <w:sz w:val="20"/>
          <w:szCs w:val="20"/>
        </w:rPr>
        <w:t xml:space="preserve"> (aménagement du territoire) et </w:t>
      </w:r>
      <w:r>
        <w:rPr>
          <w:rFonts w:ascii="Calibri" w:cs="Calibri" w:eastAsia="Calibri" w:hAnsi="Calibri"/>
          <w:color w:val="E91E63"/>
          <w:sz w:val="20"/>
          <w:szCs w:val="20"/>
        </w:rPr>
        <w:t xml:space="preserve">2012-656 DC</w:t>
      </w:r>
      <w:r>
        <w:rPr>
          <w:rFonts w:ascii="Calibri" w:cs="Calibri" w:eastAsia="Calibri" w:hAnsi="Calibri"/>
          <w:color w:val="1A1A1A"/>
          <w:sz w:val="20"/>
          <w:szCs w:val="20"/>
        </w:rPr>
        <w:t xml:space="preserve"> (24 octobre 2012, emplois d’avenir) sont bien choisis.</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b/>
          <w:bCs/>
          <w:color w:val="1A1A1A"/>
          <w:sz w:val="20"/>
          <w:szCs w:val="20"/>
        </w:rPr>
        <w:t xml:space="preserve">« QPC 23 janvier 2010 » est impossible</w:t>
      </w:r>
      <w:r>
        <w:rPr>
          <w:rFonts w:ascii="Calibri" w:cs="Calibri" w:eastAsia="Calibri" w:hAnsi="Calibri"/>
          <w:color w:val="1A1A1A"/>
          <w:sz w:val="20"/>
          <w:szCs w:val="20"/>
        </w:rPr>
        <w:t xml:space="preserve"> : la première QPC date du 28 mai 2010.</w:t>
      </w:r>
    </w:p>
    <w:p>
      <w:pPr>
        <w:pStyle w:val="ListParagraph"/>
        <w:numPr>
          <w:ilvl w:val="0"/>
          <w:numId w:val="2"/>
        </w:numPr>
        <w:spacing w:after="70" w:line="264"/>
        <w:jc w:val="both"/>
      </w:pPr>
      <w:r>
        <w:rPr>
          <w:rFonts w:ascii="Calibri" w:cs="Calibri" w:eastAsia="Calibri" w:hAnsi="Calibri"/>
          <w:color w:val="E91E63"/>
          <w:sz w:val="20"/>
          <w:szCs w:val="20"/>
        </w:rPr>
        <w:t xml:space="preserve">2025-1155 QPC</w:t>
      </w:r>
      <w:r>
        <w:rPr>
          <w:rFonts w:ascii="Calibri" w:cs="Calibri" w:eastAsia="Calibri" w:hAnsi="Calibri"/>
          <w:color w:val="1A1A1A"/>
          <w:sz w:val="20"/>
          <w:szCs w:val="20"/>
        </w:rPr>
        <w:t xml:space="preserve"> (8 août 2025) porte sur le </w:t>
      </w:r>
      <w:r>
        <w:rPr>
          <w:rFonts w:ascii="Calibri" w:cs="Calibri" w:eastAsia="Calibri" w:hAnsi="Calibri"/>
          <w:b/>
          <w:bCs/>
          <w:color w:val="1A1A1A"/>
          <w:sz w:val="20"/>
          <w:szCs w:val="20"/>
        </w:rPr>
        <w:t xml:space="preserve">congé de paternité</w:t>
      </w:r>
      <w:r>
        <w:rPr>
          <w:rFonts w:ascii="Calibri" w:cs="Calibri" w:eastAsia="Calibri" w:hAnsi="Calibri"/>
          <w:color w:val="1A1A1A"/>
          <w:sz w:val="20"/>
          <w:szCs w:val="20"/>
        </w:rPr>
        <w:t xml:space="preserve">, non sur un congé parental plus long pour les mères : le Conseil juge que la situation du père diffère de celle de la mère qui a accouché.</w:t>
      </w:r>
    </w:p>
    <w:p>
      <w:pPr>
        <w:pStyle w:val="ListParagraph"/>
        <w:numPr>
          <w:ilvl w:val="0"/>
          <w:numId w:val="2"/>
        </w:numPr>
        <w:spacing w:after="70" w:line="264"/>
        <w:jc w:val="both"/>
      </w:pPr>
      <w:r>
        <w:rPr>
          <w:rFonts w:ascii="Calibri" w:cs="Calibri" w:eastAsia="Calibri" w:hAnsi="Calibri"/>
          <w:color w:val="1A1A1A"/>
          <w:sz w:val="20"/>
          <w:szCs w:val="20"/>
        </w:rPr>
        <w:t xml:space="preserve">« QPC Natixis 2013 », « DC 25 janvier 1995 » et « DC 29 décembre 2003 » sont imprécis : donner le numéro ou ne pas citer.</w:t>
      </w:r>
    </w:p>
    <w:p>
      <w:pPr>
        <w:pStyle w:val="ListParagraph"/>
        <w:numPr>
          <w:ilvl w:val="0"/>
          <w:numId w:val="2"/>
        </w:numPr>
        <w:spacing w:after="70" w:line="264"/>
        <w:jc w:val="both"/>
      </w:pPr>
      <w:r>
        <w:rPr>
          <w:rFonts w:ascii="Calibri" w:cs="Calibri" w:eastAsia="Calibri" w:hAnsi="Calibri"/>
          <w:color w:val="1A1A1A"/>
          <w:sz w:val="20"/>
          <w:szCs w:val="20"/>
        </w:rPr>
        <w:t xml:space="preserve">Les quotas de femmes relèvent de l’</w:t>
      </w:r>
      <w:r>
        <w:rPr>
          <w:rFonts w:ascii="Calibri" w:cs="Calibri" w:eastAsia="Calibri" w:hAnsi="Calibri"/>
          <w:color w:val="1E88E5"/>
          <w:sz w:val="20"/>
          <w:szCs w:val="20"/>
        </w:rPr>
        <w:t xml:space="preserve">art. 1er al. 2</w:t>
      </w:r>
      <w:r>
        <w:rPr>
          <w:rFonts w:ascii="Calibri" w:cs="Calibri" w:eastAsia="Calibri" w:hAnsi="Calibri"/>
          <w:color w:val="1A1A1A"/>
          <w:sz w:val="20"/>
          <w:szCs w:val="20"/>
        </w:rPr>
        <w:t xml:space="preserve"> (révision constitutionnelle), pas seulement de l’intérêt général.</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Inverser les parties (la différence de situation est le cas le plus simple, l’intérêt général le plus fort) et ajouter la dimension européenne (Thlimmenos).</w:t>
      </w:r>
    </w:p>
    <w:p>
      <w:pPr>
        <w:spacing w:after="160"/>
      </w:pPr>
      <w:r>
        <w:rPr>
          <w:rFonts w:ascii="Calibri" w:cs="Calibri" w:eastAsia="Calibri" w:hAnsi="Calibri"/>
          <w:i/>
          <w:iCs/>
          <w:color w:val="5A5A5A"/>
          <w:sz w:val="18"/>
          <w:szCs w:val="18"/>
        </w:rPr>
        <w:t xml:space="preserve">Note indicative : 13,5/20.</w:t>
      </w:r>
    </w:p>
    <w:p>
      <w:pPr>
        <w:pStyle w:val="Heading2"/>
        <w:spacing w:after="110" w:before="260"/>
      </w:pPr>
      <w:r>
        <w:rPr>
          <w:rFonts w:ascii="Calibri" w:cs="Calibri" w:eastAsia="Calibri" w:hAnsi="Calibri"/>
          <w:b/>
          <w:bCs/>
          <w:color w:val="1A1A1A"/>
          <w:spacing w:val="16"/>
          <w:sz w:val="23"/>
          <w:szCs w:val="23"/>
        </w:rPr>
        <w:t xml:space="preserve">Plan n° 7 — Nassira A — un aménagement encadré, puis substantiel</w:t>
      </w:r>
    </w:p>
    <w:p>
      <w:pPr>
        <w:pBdr>
          <w:left w:val="single" w:color="8C1C2B" w:sz="12" w:space="10"/>
        </w:pBdr>
        <w:spacing w:after="90" w:line="264"/>
        <w:ind w:left="260"/>
        <w:jc w:val="both"/>
      </w:pPr>
      <w:r>
        <w:rPr>
          <w:rFonts w:ascii="Calibri" w:cs="Calibri" w:eastAsia="Calibri" w:hAnsi="Calibri"/>
          <w:color w:val="1A1A1A"/>
          <w:sz w:val="20"/>
          <w:szCs w:val="20"/>
        </w:rPr>
        <w:t xml:space="preserve">Accroche : « L’égalité, ce n’est pas l’effacement des différences, c’est l’harmonisation des droits » (attribuée à Robert Badinter). Problématique : « En quoi l’aménagement […], initialement conçu comme une simple dérogation d’exception, est-il devenu la condition essentielle d’une égalité réelle ? »</w:t>
      </w:r>
    </w:p>
    <w:p>
      <w:pPr>
        <w:pBdr>
          <w:left w:val="single" w:color="8C1C2B" w:sz="12" w:space="10"/>
        </w:pBdr>
        <w:spacing w:after="90" w:line="264"/>
        <w:ind w:left="260"/>
        <w:jc w:val="both"/>
      </w:pPr>
      <w:r>
        <w:rPr>
          <w:rFonts w:ascii="Calibri" w:cs="Calibri" w:eastAsia="Calibri" w:hAnsi="Calibri"/>
          <w:color w:val="1A1A1A"/>
          <w:sz w:val="20"/>
          <w:szCs w:val="20"/>
        </w:rPr>
        <w:t xml:space="preserve">I. Un aménagement structurellement encadré de l’égalité formelle — A. Le triptyque jurisprudentiel (Denoyez et Chorques). B. Le contrôle strict du rapport de proportionnalité (Barel).</w:t>
      </w:r>
    </w:p>
    <w:p>
      <w:pPr>
        <w:pBdr>
          <w:left w:val="single" w:color="8C1C2B" w:sz="12" w:space="10"/>
        </w:pBdr>
        <w:spacing w:after="90" w:line="264"/>
        <w:ind w:left="260"/>
        <w:jc w:val="both"/>
      </w:pPr>
      <w:r>
        <w:rPr>
          <w:rFonts w:ascii="Calibri" w:cs="Calibri" w:eastAsia="Calibri" w:hAnsi="Calibri"/>
          <w:color w:val="1A1A1A"/>
          <w:sz w:val="20"/>
          <w:szCs w:val="20"/>
        </w:rPr>
        <w:t xml:space="preserve">II. Un aménagement substantiel visant l’égalité réelle — A. La discrimination positive (loi Rixain ; algorithmes, Parcoursup). B. La limite de l’aménagement (2007-557 DC ; code pénal).</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b/>
          <w:bCs/>
          <w:color w:val="1A1A1A"/>
          <w:sz w:val="20"/>
          <w:szCs w:val="20"/>
        </w:rPr>
        <w:t xml:space="preserve">Excellente problématique de thèse</w:t>
      </w:r>
      <w:r>
        <w:rPr>
          <w:rFonts w:ascii="Calibri" w:cs="Calibri" w:eastAsia="Calibri" w:hAnsi="Calibri"/>
          <w:color w:val="1A1A1A"/>
          <w:sz w:val="20"/>
          <w:szCs w:val="20"/>
        </w:rPr>
        <w:t xml:space="preserve"> : « de la dérogation d’exception à la condition de l’égalité réelle ». C’est un mouvement, pas un catalogue.</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b/>
          <w:bCs/>
          <w:color w:val="1A1A1A"/>
          <w:sz w:val="20"/>
          <w:szCs w:val="20"/>
        </w:rPr>
        <w:t xml:space="preserve">La citation de Badinter est introuvable</w:t>
      </w:r>
      <w:r>
        <w:rPr>
          <w:rFonts w:ascii="Calibri" w:cs="Calibri" w:eastAsia="Calibri" w:hAnsi="Calibri"/>
          <w:color w:val="1A1A1A"/>
          <w:sz w:val="20"/>
          <w:szCs w:val="20"/>
        </w:rPr>
        <w:t xml:space="preserve"> : ne jamais citer une phrase qu’on ne peut sourcer. Préférer l’article 6 de la Déclaration.</w:t>
      </w:r>
    </w:p>
    <w:p>
      <w:pPr>
        <w:pStyle w:val="ListParagraph"/>
        <w:numPr>
          <w:ilvl w:val="0"/>
          <w:numId w:val="2"/>
        </w:numPr>
        <w:spacing w:after="70" w:line="264"/>
        <w:jc w:val="both"/>
      </w:pPr>
      <w:r>
        <w:rPr>
          <w:rFonts w:ascii="Calibri" w:cs="Calibri" w:eastAsia="Calibri" w:hAnsi="Calibri"/>
          <w:color w:val="E91E63"/>
          <w:sz w:val="20"/>
          <w:szCs w:val="20"/>
        </w:rPr>
        <w:t xml:space="preserve">Barel</w:t>
      </w:r>
      <w:r>
        <w:rPr>
          <w:rFonts w:ascii="Calibri" w:cs="Calibri" w:eastAsia="Calibri" w:hAnsi="Calibri"/>
          <w:color w:val="1A1A1A"/>
          <w:sz w:val="20"/>
          <w:szCs w:val="20"/>
        </w:rPr>
        <w:t xml:space="preserve"> (1954) porte sur l’égal accès aux emplois publics sans considération des opinions, pas sur la proportionnalité.</w:t>
      </w:r>
    </w:p>
    <w:p>
      <w:pPr>
        <w:pStyle w:val="ListParagraph"/>
        <w:numPr>
          <w:ilvl w:val="0"/>
          <w:numId w:val="2"/>
        </w:numPr>
        <w:spacing w:after="70" w:line="264"/>
        <w:jc w:val="both"/>
      </w:pPr>
      <w:r>
        <w:rPr>
          <w:rFonts w:ascii="Calibri" w:cs="Calibri" w:eastAsia="Calibri" w:hAnsi="Calibri"/>
          <w:color w:val="1A1A1A"/>
          <w:sz w:val="20"/>
          <w:szCs w:val="20"/>
        </w:rPr>
        <w:t xml:space="preserve">Le II B, « la limite », doit être retourné en argument.</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Remplacer l’accroche ; mettre </w:t>
      </w:r>
      <w:r>
        <w:rPr>
          <w:rFonts w:ascii="Calibri" w:cs="Calibri" w:eastAsia="Calibri" w:hAnsi="Calibri"/>
          <w:color w:val="E91E63"/>
          <w:sz w:val="20"/>
          <w:szCs w:val="20"/>
        </w:rPr>
        <w:t xml:space="preserve">87-232 DC</w:t>
      </w:r>
      <w:r>
        <w:rPr>
          <w:rFonts w:ascii="Calibri" w:cs="Calibri" w:eastAsia="Calibri" w:hAnsi="Calibri"/>
          <w:color w:val="1A1A1A"/>
          <w:sz w:val="20"/>
          <w:szCs w:val="20"/>
        </w:rPr>
        <w:t xml:space="preserve"> à la place de </w:t>
      </w:r>
      <w:r>
        <w:rPr>
          <w:rFonts w:ascii="Calibri" w:cs="Calibri" w:eastAsia="Calibri" w:hAnsi="Calibri"/>
          <w:color w:val="E91E63"/>
          <w:sz w:val="20"/>
          <w:szCs w:val="20"/>
        </w:rPr>
        <w:t xml:space="preserve">Barel</w:t>
      </w:r>
      <w:r>
        <w:rPr>
          <w:rFonts w:ascii="Calibri" w:cs="Calibri" w:eastAsia="Calibri" w:hAnsi="Calibri"/>
          <w:color w:val="1A1A1A"/>
          <w:sz w:val="20"/>
          <w:szCs w:val="20"/>
        </w:rPr>
        <w:t xml:space="preserve"> dans le I B ; titrer le II B « Des limites qui préservent le principe ».</w:t>
      </w:r>
    </w:p>
    <w:p>
      <w:pPr>
        <w:spacing w:after="160"/>
      </w:pPr>
      <w:r>
        <w:rPr>
          <w:rFonts w:ascii="Calibri" w:cs="Calibri" w:eastAsia="Calibri" w:hAnsi="Calibri"/>
          <w:i/>
          <w:iCs/>
          <w:color w:val="5A5A5A"/>
          <w:sz w:val="18"/>
          <w:szCs w:val="18"/>
        </w:rPr>
        <w:t xml:space="preserve">Note indicative : 12,5/20.</w:t>
      </w:r>
    </w:p>
    <w:p>
      <w:pPr>
        <w:pStyle w:val="Heading2"/>
        <w:spacing w:after="110" w:before="260"/>
      </w:pPr>
      <w:r>
        <w:rPr>
          <w:rFonts w:ascii="Calibri" w:cs="Calibri" w:eastAsia="Calibri" w:hAnsi="Calibri"/>
          <w:b/>
          <w:bCs/>
          <w:color w:val="1A1A1A"/>
          <w:spacing w:val="16"/>
          <w:sz w:val="23"/>
          <w:szCs w:val="23"/>
        </w:rPr>
        <w:t xml:space="preserve">Plan n° 8 — Thomas G — l’acceptation des traitements différenciés, puis leur encadrement juridictionnel</w:t>
      </w:r>
    </w:p>
    <w:p>
      <w:pPr>
        <w:pBdr>
          <w:left w:val="single" w:color="8C1C2B" w:sz="12" w:space="10"/>
        </w:pBdr>
        <w:spacing w:after="90" w:line="264"/>
        <w:ind w:left="260"/>
        <w:jc w:val="both"/>
      </w:pPr>
      <w:r>
        <w:rPr>
          <w:rFonts w:ascii="Calibri" w:cs="Calibri" w:eastAsia="Calibri" w:hAnsi="Calibri"/>
          <w:color w:val="1A1A1A"/>
          <w:sz w:val="20"/>
          <w:szCs w:val="20"/>
        </w:rPr>
        <w:t xml:space="preserve">I. L’acceptation de traitements différenciés — A. La différenciation entre étrangers et nationaux. B. L’aménagement pour corriger les inégalités (discrimination positive ; égalité formelle et réelle).</w:t>
      </w:r>
    </w:p>
    <w:p>
      <w:pPr>
        <w:pBdr>
          <w:left w:val="single" w:color="8C1C2B" w:sz="12" w:space="10"/>
        </w:pBdr>
        <w:spacing w:after="90" w:line="264"/>
        <w:ind w:left="260"/>
        <w:jc w:val="both"/>
      </w:pPr>
      <w:r>
        <w:rPr>
          <w:rFonts w:ascii="Calibri" w:cs="Calibri" w:eastAsia="Calibri" w:hAnsi="Calibri"/>
          <w:color w:val="1A1A1A"/>
          <w:sz w:val="20"/>
          <w:szCs w:val="20"/>
        </w:rPr>
        <w:t xml:space="preserve">II. L’encadrement juridictionnel des différences de traitement — A. Les conditions posées par les juges administratif et constitutionnel (93-325 DC). B. La reconnaissance par le juge européen de différences destinées à compenser des désavantages structurels.</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Le I A est original et juste : les étrangers sont l’exemple type d’une différence de situation admise (</w:t>
      </w:r>
      <w:r>
        <w:rPr>
          <w:rFonts w:ascii="Calibri" w:cs="Calibri" w:eastAsia="Calibri" w:hAnsi="Calibri"/>
          <w:color w:val="E91E63"/>
          <w:sz w:val="20"/>
          <w:szCs w:val="20"/>
        </w:rPr>
        <w:t xml:space="preserve">93-325 DC</w:t>
      </w:r>
      <w:r>
        <w:rPr>
          <w:rFonts w:ascii="Calibri" w:cs="Calibri" w:eastAsia="Calibri" w:hAnsi="Calibri"/>
          <w:color w:val="1A1A1A"/>
          <w:sz w:val="20"/>
          <w:szCs w:val="20"/>
        </w:rPr>
        <w:t xml:space="preserve">, 13 août 1993).</w:t>
      </w:r>
    </w:p>
    <w:p>
      <w:pPr>
        <w:pStyle w:val="ListParagraph"/>
        <w:numPr>
          <w:ilvl w:val="0"/>
          <w:numId w:val="2"/>
        </w:numPr>
        <w:spacing w:after="70" w:line="264"/>
        <w:jc w:val="both"/>
      </w:pPr>
      <w:r>
        <w:rPr>
          <w:rFonts w:ascii="Calibri" w:cs="Calibri" w:eastAsia="Calibri" w:hAnsi="Calibri"/>
          <w:color w:val="1A1A1A"/>
          <w:sz w:val="20"/>
          <w:szCs w:val="20"/>
        </w:rPr>
        <w:t xml:space="preserve">Le II B voit la dimension européenne compensatoire.</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Le II, « l’encadrement juridictionnel », est présenté comme une limite ; il faut le retourner.</w:t>
      </w:r>
    </w:p>
    <w:p>
      <w:pPr>
        <w:pStyle w:val="ListParagraph"/>
        <w:numPr>
          <w:ilvl w:val="0"/>
          <w:numId w:val="2"/>
        </w:numPr>
        <w:spacing w:after="70" w:line="264"/>
        <w:jc w:val="both"/>
      </w:pPr>
      <w:r>
        <w:rPr>
          <w:rFonts w:ascii="Calibri" w:cs="Calibri" w:eastAsia="Calibri" w:hAnsi="Calibri"/>
          <w:color w:val="1A1A1A"/>
          <w:sz w:val="20"/>
          <w:szCs w:val="20"/>
        </w:rPr>
        <w:t xml:space="preserve">« La sévérité de la CJUE » est simplifiée : la Cour admet les priorités assorties d’une clause d’ouverture (</w:t>
      </w:r>
      <w:r>
        <w:rPr>
          <w:rFonts w:ascii="Calibri" w:cs="Calibri" w:eastAsia="Calibri" w:hAnsi="Calibri"/>
          <w:color w:val="E91E63"/>
          <w:sz w:val="20"/>
          <w:szCs w:val="20"/>
        </w:rPr>
        <w:t xml:space="preserve">Marschall</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Badeck</w:t>
      </w:r>
      <w:r>
        <w:rPr>
          <w:rFonts w:ascii="Calibri" w:cs="Calibri" w:eastAsia="Calibri" w:hAnsi="Calibri"/>
          <w:color w:val="1A1A1A"/>
          <w:sz w:val="20"/>
          <w:szCs w:val="20"/>
        </w:rPr>
        <w:t xml:space="preserve">).</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Retitrer le II « Un aménagement validé par tous les juges » et y intégrer la grille commune.</w:t>
      </w:r>
    </w:p>
    <w:p>
      <w:pPr>
        <w:spacing w:after="160"/>
      </w:pPr>
      <w:r>
        <w:rPr>
          <w:rFonts w:ascii="Calibri" w:cs="Calibri" w:eastAsia="Calibri" w:hAnsi="Calibri"/>
          <w:i/>
          <w:iCs/>
          <w:color w:val="5A5A5A"/>
          <w:sz w:val="18"/>
          <w:szCs w:val="18"/>
        </w:rPr>
        <w:t xml:space="preserve">Note indicative : 12,5/20.</w:t>
      </w:r>
    </w:p>
    <w:p>
      <w:pPr>
        <w:pStyle w:val="Heading2"/>
        <w:spacing w:after="110" w:before="260"/>
      </w:pPr>
      <w:r>
        <w:rPr>
          <w:rFonts w:ascii="Calibri" w:cs="Calibri" w:eastAsia="Calibri" w:hAnsi="Calibri"/>
          <w:b/>
          <w:bCs/>
          <w:color w:val="1A1A1A"/>
          <w:spacing w:val="16"/>
          <w:sz w:val="23"/>
          <w:szCs w:val="23"/>
        </w:rPr>
        <w:t xml:space="preserve">Plan n° 9 — Méline A — un aménagement structurel, puis sociétal</w:t>
      </w:r>
    </w:p>
    <w:p>
      <w:pPr>
        <w:pBdr>
          <w:left w:val="single" w:color="8C1C2B" w:sz="12" w:space="10"/>
        </w:pBdr>
        <w:spacing w:after="90" w:line="264"/>
        <w:ind w:left="260"/>
        <w:jc w:val="both"/>
      </w:pPr>
      <w:r>
        <w:rPr>
          <w:rFonts w:ascii="Calibri" w:cs="Calibri" w:eastAsia="Calibri" w:hAnsi="Calibri"/>
          <w:color w:val="1A1A1A"/>
          <w:sz w:val="20"/>
          <w:szCs w:val="20"/>
        </w:rPr>
        <w:t xml:space="preserve">Introduction : art. 1er DDHC ; impôt modulé selon les capacités contributives.</w:t>
      </w:r>
    </w:p>
    <w:p>
      <w:pPr>
        <w:pBdr>
          <w:left w:val="single" w:color="8C1C2B" w:sz="12" w:space="10"/>
        </w:pBdr>
        <w:spacing w:after="90" w:line="264"/>
        <w:ind w:left="260"/>
        <w:jc w:val="both"/>
      </w:pPr>
      <w:r>
        <w:rPr>
          <w:rFonts w:ascii="Calibri" w:cs="Calibri" w:eastAsia="Calibri" w:hAnsi="Calibri"/>
          <w:color w:val="1A1A1A"/>
          <w:sz w:val="20"/>
          <w:szCs w:val="20"/>
        </w:rPr>
        <w:t xml:space="preserve">I. Un aménagement structurellement admis — A. Le principe d’égalité devant la loi tempéré par la marge d’appréciation des États. B. Le principe d’égalité devant la justice (immunités, bonne administration).</w:t>
      </w:r>
    </w:p>
    <w:p>
      <w:pPr>
        <w:pBdr>
          <w:left w:val="single" w:color="8C1C2B" w:sz="12" w:space="10"/>
        </w:pBdr>
        <w:spacing w:after="90" w:line="264"/>
        <w:ind w:left="260"/>
        <w:jc w:val="both"/>
      </w:pPr>
      <w:r>
        <w:rPr>
          <w:rFonts w:ascii="Calibri" w:cs="Calibri" w:eastAsia="Calibri" w:hAnsi="Calibri"/>
          <w:color w:val="1A1A1A"/>
          <w:sz w:val="20"/>
          <w:szCs w:val="20"/>
        </w:rPr>
        <w:t xml:space="preserve">II. L’aménagement aux évolutions sociétales — A. Au service de la lutte contre les discriminations (handicap ; algorithmes). B. L’adaptation continue (égalité salariale ; parité).</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Bonne introduction, qui pose d’emblée l’exemple fiscal.</w:t>
      </w:r>
    </w:p>
    <w:p>
      <w:pPr>
        <w:pStyle w:val="ListParagraph"/>
        <w:numPr>
          <w:ilvl w:val="0"/>
          <w:numId w:val="2"/>
        </w:numPr>
        <w:spacing w:after="70" w:line="264"/>
        <w:jc w:val="both"/>
      </w:pPr>
      <w:r>
        <w:rPr>
          <w:rFonts w:ascii="Calibri" w:cs="Calibri" w:eastAsia="Calibri" w:hAnsi="Calibri"/>
          <w:color w:val="1A1A1A"/>
          <w:sz w:val="20"/>
          <w:szCs w:val="20"/>
        </w:rPr>
        <w:t xml:space="preserve">L’opposition « structurel / sociétal » est un vrai axe.</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color w:val="1A1A1A"/>
          <w:sz w:val="20"/>
          <w:szCs w:val="20"/>
        </w:rPr>
        <w:t xml:space="preserve">La « marge d’appréciation » est une notion de la Cour européenne : elle ne « tempère » pas le principe d’égalité en droit interne.</w:t>
      </w:r>
    </w:p>
    <w:p>
      <w:pPr>
        <w:pStyle w:val="ListParagraph"/>
        <w:numPr>
          <w:ilvl w:val="0"/>
          <w:numId w:val="2"/>
        </w:numPr>
        <w:spacing w:after="70" w:line="264"/>
        <w:jc w:val="both"/>
      </w:pPr>
      <w:r>
        <w:rPr>
          <w:rFonts w:ascii="Calibri" w:cs="Calibri" w:eastAsia="Calibri" w:hAnsi="Calibri"/>
          <w:color w:val="1A1A1A"/>
          <w:sz w:val="20"/>
          <w:szCs w:val="20"/>
        </w:rPr>
        <w:t xml:space="preserve">Le I B (égalité devant la justice) est un domaine où le contrôle est </w:t>
      </w:r>
      <w:r>
        <w:rPr>
          <w:rFonts w:ascii="Calibri" w:cs="Calibri" w:eastAsia="Calibri" w:hAnsi="Calibri"/>
          <w:b/>
          <w:bCs/>
          <w:color w:val="1A1A1A"/>
          <w:sz w:val="20"/>
          <w:szCs w:val="20"/>
        </w:rPr>
        <w:t xml:space="preserve">le plus strict</w:t>
      </w:r>
      <w:r>
        <w:rPr>
          <w:rFonts w:ascii="Calibri" w:cs="Calibri" w:eastAsia="Calibri" w:hAnsi="Calibri"/>
          <w:color w:val="1A1A1A"/>
          <w:sz w:val="20"/>
          <w:szCs w:val="20"/>
        </w:rPr>
        <w:t xml:space="preserve"> : mauvais exemple d’aménagement « structurellement admis ».</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Remplacer le I A par la grille du Conseil constitutionnel et le I B par l’égalité devant les charges publiques (art. 13 DDHC).</w:t>
      </w:r>
    </w:p>
    <w:p>
      <w:pPr>
        <w:spacing w:after="160"/>
      </w:pPr>
      <w:r>
        <w:rPr>
          <w:rFonts w:ascii="Calibri" w:cs="Calibri" w:eastAsia="Calibri" w:hAnsi="Calibri"/>
          <w:i/>
          <w:iCs/>
          <w:color w:val="5A5A5A"/>
          <w:sz w:val="18"/>
          <w:szCs w:val="18"/>
        </w:rPr>
        <w:t xml:space="preserve">Note indicative : 12/20.</w:t>
      </w:r>
    </w:p>
    <w:p>
      <w:pPr>
        <w:pStyle w:val="Heading2"/>
        <w:spacing w:after="110" w:before="260"/>
      </w:pPr>
      <w:r>
        <w:rPr>
          <w:rFonts w:ascii="Calibri" w:cs="Calibri" w:eastAsia="Calibri" w:hAnsi="Calibri"/>
          <w:b/>
          <w:bCs/>
          <w:color w:val="1A1A1A"/>
          <w:spacing w:val="16"/>
          <w:sz w:val="23"/>
          <w:szCs w:val="23"/>
        </w:rPr>
        <w:t xml:space="preserve">Plan n° 10 — Maud M — eu égard aux personnes, eu égard à la situation</w:t>
      </w:r>
    </w:p>
    <w:p>
      <w:pPr>
        <w:pBdr>
          <w:left w:val="single" w:color="8C1C2B" w:sz="12" w:space="10"/>
        </w:pBdr>
        <w:spacing w:after="90" w:line="264"/>
        <w:ind w:left="260"/>
        <w:jc w:val="both"/>
      </w:pPr>
      <w:r>
        <w:rPr>
          <w:rFonts w:ascii="Calibri" w:cs="Calibri" w:eastAsia="Calibri" w:hAnsi="Calibri"/>
          <w:color w:val="1A1A1A"/>
          <w:sz w:val="20"/>
          <w:szCs w:val="20"/>
        </w:rPr>
        <w:t xml:space="preserve">I. L’aménagement eu égard aux personnes — A. L’acceptation de la discrimination positive. B. L’expérimentation en faveur de minorités.</w:t>
      </w:r>
    </w:p>
    <w:p>
      <w:pPr>
        <w:pBdr>
          <w:left w:val="single" w:color="8C1C2B" w:sz="12" w:space="10"/>
        </w:pBdr>
        <w:spacing w:after="90" w:line="264"/>
        <w:ind w:left="260"/>
        <w:jc w:val="both"/>
      </w:pPr>
      <w:r>
        <w:rPr>
          <w:rFonts w:ascii="Calibri" w:cs="Calibri" w:eastAsia="Calibri" w:hAnsi="Calibri"/>
          <w:color w:val="1A1A1A"/>
          <w:sz w:val="20"/>
          <w:szCs w:val="20"/>
        </w:rPr>
        <w:t xml:space="preserve">II. L’aménagement eu égard à la situation — A. L’intérêt général comme frein à l’égalité. B. Les différences de situation comme justification.</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b/>
          <w:bCs/>
          <w:color w:val="1A1A1A"/>
          <w:sz w:val="20"/>
          <w:szCs w:val="20"/>
        </w:rPr>
        <w:t xml:space="preserve">Le binaire « personnes / situations » est élégant</w:t>
      </w:r>
      <w:r>
        <w:rPr>
          <w:rFonts w:ascii="Calibri" w:cs="Calibri" w:eastAsia="Calibri" w:hAnsi="Calibri"/>
          <w:color w:val="1A1A1A"/>
          <w:sz w:val="20"/>
          <w:szCs w:val="20"/>
        </w:rPr>
        <w:t xml:space="preserve"> et peut porter une argumentation.</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b/>
          <w:bCs/>
          <w:color w:val="1A1A1A"/>
          <w:sz w:val="20"/>
          <w:szCs w:val="20"/>
        </w:rPr>
        <w:t xml:space="preserve">L’expérimentation n’est pas « en faveur de minorités »</w:t>
      </w:r>
      <w:r>
        <w:rPr>
          <w:rFonts w:ascii="Calibri" w:cs="Calibri" w:eastAsia="Calibri" w:hAnsi="Calibri"/>
          <w:color w:val="1A1A1A"/>
          <w:sz w:val="20"/>
          <w:szCs w:val="20"/>
        </w:rPr>
        <w:t xml:space="preserve"> : elle est territoriale ou matérielle (</w:t>
      </w:r>
      <w:r>
        <w:rPr>
          <w:rFonts w:ascii="Calibri" w:cs="Calibri" w:eastAsia="Calibri" w:hAnsi="Calibri"/>
          <w:color w:val="1E88E5"/>
          <w:sz w:val="20"/>
          <w:szCs w:val="20"/>
        </w:rPr>
        <w:t xml:space="preserve">art. 37-1 et 72 al. 4 Constitution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L’intérêt général comme frein à l’égalité » plaide contre la thèse : l’intérêt général est un </w:t>
      </w:r>
      <w:r>
        <w:rPr>
          <w:rFonts w:ascii="Calibri" w:cs="Calibri" w:eastAsia="Calibri" w:hAnsi="Calibri"/>
          <w:b/>
          <w:bCs/>
          <w:color w:val="1A1A1A"/>
          <w:sz w:val="20"/>
          <w:szCs w:val="20"/>
        </w:rPr>
        <w:t xml:space="preserve">fondement</w:t>
      </w:r>
      <w:r>
        <w:rPr>
          <w:rFonts w:ascii="Calibri" w:cs="Calibri" w:eastAsia="Calibri" w:hAnsi="Calibri"/>
          <w:color w:val="1A1A1A"/>
          <w:sz w:val="20"/>
          <w:szCs w:val="20"/>
        </w:rPr>
        <w:t xml:space="preserve"> de l’aménagement.</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Remplacer le I B par la parité ; retitrer le II A « L’intérêt général, fondement de la dérogation ».</w:t>
      </w:r>
    </w:p>
    <w:p>
      <w:pPr>
        <w:spacing w:after="160"/>
      </w:pPr>
      <w:r>
        <w:rPr>
          <w:rFonts w:ascii="Calibri" w:cs="Calibri" w:eastAsia="Calibri" w:hAnsi="Calibri"/>
          <w:i/>
          <w:iCs/>
          <w:color w:val="5A5A5A"/>
          <w:sz w:val="18"/>
          <w:szCs w:val="18"/>
        </w:rPr>
        <w:t xml:space="preserve">Note indicative : 12/20.</w:t>
      </w:r>
    </w:p>
    <w:p>
      <w:pPr>
        <w:pStyle w:val="Heading2"/>
        <w:spacing w:after="110" w:before="260"/>
      </w:pPr>
      <w:r>
        <w:rPr>
          <w:rFonts w:ascii="Calibri" w:cs="Calibri" w:eastAsia="Calibri" w:hAnsi="Calibri"/>
          <w:b/>
          <w:bCs/>
          <w:color w:val="1A1A1A"/>
          <w:spacing w:val="16"/>
          <w:sz w:val="23"/>
          <w:szCs w:val="23"/>
        </w:rPr>
        <w:t xml:space="preserve">Plan n° 11 — Mathis P — le principe strictement reconnu, puis largement aménagé</w:t>
      </w:r>
    </w:p>
    <w:p>
      <w:pPr>
        <w:pBdr>
          <w:left w:val="single" w:color="8C1C2B" w:sz="12" w:space="10"/>
        </w:pBdr>
        <w:spacing w:after="90" w:line="264"/>
        <w:ind w:left="260"/>
        <w:jc w:val="both"/>
      </w:pPr>
      <w:r>
        <w:rPr>
          <w:rFonts w:ascii="Calibri" w:cs="Calibri" w:eastAsia="Calibri" w:hAnsi="Calibri"/>
          <w:color w:val="1A1A1A"/>
          <w:sz w:val="20"/>
          <w:szCs w:val="20"/>
        </w:rPr>
        <w:t xml:space="preserve">Accroche : « Il n’y a pas plus grande injustice que de traiter également des choses inégales » (Aristote).</w:t>
      </w:r>
    </w:p>
    <w:p>
      <w:pPr>
        <w:pBdr>
          <w:left w:val="single" w:color="8C1C2B" w:sz="12" w:space="10"/>
        </w:pBdr>
        <w:spacing w:after="90" w:line="264"/>
        <w:ind w:left="260"/>
        <w:jc w:val="both"/>
      </w:pPr>
      <w:r>
        <w:rPr>
          <w:rFonts w:ascii="Calibri" w:cs="Calibri" w:eastAsia="Calibri" w:hAnsi="Calibri"/>
          <w:color w:val="1A1A1A"/>
          <w:sz w:val="20"/>
          <w:szCs w:val="20"/>
        </w:rPr>
        <w:t xml:space="preserve">I. Le principe d’égalité strictement reconnu — A. La constitutionnalisation du principe. B. Le maintien de la prohibition de la discrimination (Préambule ; PIDCP ; Défenseur des droits ; action de groupe).</w:t>
      </w:r>
    </w:p>
    <w:p>
      <w:pPr>
        <w:pBdr>
          <w:left w:val="single" w:color="8C1C2B" w:sz="12" w:space="10"/>
        </w:pBdr>
        <w:spacing w:after="90" w:line="264"/>
        <w:ind w:left="260"/>
        <w:jc w:val="both"/>
      </w:pPr>
      <w:r>
        <w:rPr>
          <w:rFonts w:ascii="Calibri" w:cs="Calibri" w:eastAsia="Calibri" w:hAnsi="Calibri"/>
          <w:color w:val="1A1A1A"/>
          <w:sz w:val="20"/>
          <w:szCs w:val="20"/>
        </w:rPr>
        <w:t xml:space="preserve">II. Le principe d’égalité largement aménagé — A. L’égalité réelle et la non-discrimination (Denoyez et Chorques). B. Les discriminations positives (handicap ; parité).</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Introduction claire ; II correct ; bonne connaissance des garanties (Défenseur des droits, action de groupe).</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b/>
          <w:bCs/>
          <w:color w:val="1A1A1A"/>
          <w:sz w:val="20"/>
          <w:szCs w:val="20"/>
        </w:rPr>
        <w:t xml:space="preserve">Le I plaide pour l’adversaire</w:t>
      </w:r>
      <w:r>
        <w:rPr>
          <w:rFonts w:ascii="Calibri" w:cs="Calibri" w:eastAsia="Calibri" w:hAnsi="Calibri"/>
          <w:color w:val="1A1A1A"/>
          <w:sz w:val="20"/>
          <w:szCs w:val="20"/>
        </w:rPr>
        <w:t xml:space="preserve"> : un principe « strictement reconnu » et une prohibition « maintenue » sont l’inverse de la thèse. C’est le plan « principe / exceptions », interdit dans un « soutenez que ».</w:t>
      </w:r>
    </w:p>
    <w:p>
      <w:pPr>
        <w:pStyle w:val="ListParagraph"/>
        <w:numPr>
          <w:ilvl w:val="0"/>
          <w:numId w:val="2"/>
        </w:numPr>
        <w:spacing w:after="70" w:line="264"/>
        <w:jc w:val="both"/>
      </w:pPr>
      <w:r>
        <w:rPr>
          <w:rFonts w:ascii="Calibri" w:cs="Calibri" w:eastAsia="Calibri" w:hAnsi="Calibri"/>
          <w:color w:val="1A1A1A"/>
          <w:sz w:val="20"/>
          <w:szCs w:val="20"/>
        </w:rPr>
        <w:t xml:space="preserve">La citation d’Aristote est une paraphrase (voir Partie V).</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Retourner le I : « Un principe qui contient sa propre souplesse » (art. 6 et 13 DDHC ; formule 87-232 DC).</w:t>
      </w:r>
    </w:p>
    <w:p>
      <w:pPr>
        <w:spacing w:after="160"/>
      </w:pPr>
      <w:r>
        <w:rPr>
          <w:rFonts w:ascii="Calibri" w:cs="Calibri" w:eastAsia="Calibri" w:hAnsi="Calibri"/>
          <w:i/>
          <w:iCs/>
          <w:color w:val="5A5A5A"/>
          <w:sz w:val="18"/>
          <w:szCs w:val="18"/>
        </w:rPr>
        <w:t xml:space="preserve">Note indicative : 11/20.</w:t>
      </w:r>
    </w:p>
    <w:p>
      <w:pPr>
        <w:pStyle w:val="Heading2"/>
        <w:spacing w:after="110" w:before="260"/>
      </w:pPr>
      <w:r>
        <w:rPr>
          <w:rFonts w:ascii="Calibri" w:cs="Calibri" w:eastAsia="Calibri" w:hAnsi="Calibri"/>
          <w:b/>
          <w:bCs/>
          <w:color w:val="1A1A1A"/>
          <w:spacing w:val="16"/>
          <w:sz w:val="23"/>
          <w:szCs w:val="23"/>
        </w:rPr>
        <w:t xml:space="preserve">Plan n° 12 — Stoyan V — immunités de l’exécutif et parquet spécialisé</w:t>
      </w:r>
    </w:p>
    <w:p>
      <w:pPr>
        <w:pBdr>
          <w:left w:val="single" w:color="8C1C2B" w:sz="12" w:space="10"/>
        </w:pBdr>
        <w:spacing w:after="90" w:line="264"/>
        <w:ind w:left="260"/>
        <w:jc w:val="both"/>
      </w:pPr>
      <w:r>
        <w:rPr>
          <w:rFonts w:ascii="Calibri" w:cs="Calibri" w:eastAsia="Calibri" w:hAnsi="Calibri"/>
          <w:color w:val="1A1A1A"/>
          <w:sz w:val="20"/>
          <w:szCs w:val="20"/>
        </w:rPr>
        <w:t xml:space="preserve">Problématique : le principe d’égalité permet-il de justifier, pour sauvegarder la réputation des institutions, une limite à l’égalité devant la loi ?</w:t>
      </w:r>
    </w:p>
    <w:p>
      <w:pPr>
        <w:pBdr>
          <w:left w:val="single" w:color="8C1C2B" w:sz="12" w:space="10"/>
        </w:pBdr>
        <w:spacing w:after="90" w:line="264"/>
        <w:ind w:left="260"/>
        <w:jc w:val="both"/>
      </w:pPr>
      <w:r>
        <w:rPr>
          <w:rFonts w:ascii="Calibri" w:cs="Calibri" w:eastAsia="Calibri" w:hAnsi="Calibri"/>
          <w:color w:val="1A1A1A"/>
          <w:sz w:val="20"/>
          <w:szCs w:val="20"/>
        </w:rPr>
        <w:t xml:space="preserve">I. L’immunité judiciaire de l’exécutif — A. Le Président (Breisacher, 2001 ; Chirac, 2011). B. Les membres du Gouvernement (Cour de justice de la République ; Dupond-Moretti, 2023).</w:t>
      </w:r>
    </w:p>
    <w:p>
      <w:pPr>
        <w:pBdr>
          <w:left w:val="single" w:color="8C1C2B" w:sz="12" w:space="10"/>
        </w:pBdr>
        <w:spacing w:after="90" w:line="264"/>
        <w:ind w:left="260"/>
        <w:jc w:val="both"/>
      </w:pPr>
      <w:r>
        <w:rPr>
          <w:rFonts w:ascii="Calibri" w:cs="Calibri" w:eastAsia="Calibri" w:hAnsi="Calibri"/>
          <w:color w:val="1A1A1A"/>
          <w:sz w:val="20"/>
          <w:szCs w:val="20"/>
        </w:rPr>
        <w:t xml:space="preserve">II. Une autorité de poursuite spécialisée — A. Le parquet national financier. B. Les personnalités publiques.</w:t>
      </w:r>
    </w:p>
    <w:p>
      <w:pPr>
        <w:spacing w:after="70" w:before="170"/>
      </w:pPr>
      <w:r>
        <w:rPr>
          <w:rFonts w:ascii="Calibri" w:cs="Calibri" w:eastAsia="Calibri" w:hAnsi="Calibri"/>
          <w:b/>
          <w:bCs/>
          <w:color w:val="1A1A1A"/>
          <w:sz w:val="20"/>
          <w:szCs w:val="20"/>
        </w:rPr>
        <w:t xml:space="preserve">Ce qui tient</w:t>
      </w:r>
    </w:p>
    <w:p>
      <w:pPr>
        <w:pStyle w:val="ListParagraph"/>
        <w:numPr>
          <w:ilvl w:val="0"/>
          <w:numId w:val="2"/>
        </w:numPr>
        <w:spacing w:after="70" w:line="264"/>
        <w:jc w:val="both"/>
      </w:pPr>
      <w:r>
        <w:rPr>
          <w:rFonts w:ascii="Calibri" w:cs="Calibri" w:eastAsia="Calibri" w:hAnsi="Calibri"/>
          <w:color w:val="1A1A1A"/>
          <w:sz w:val="20"/>
          <w:szCs w:val="20"/>
        </w:rPr>
        <w:t xml:space="preserve">Copie originale et précise sur la procédure : </w:t>
      </w:r>
      <w:r>
        <w:rPr>
          <w:rFonts w:ascii="Calibri" w:cs="Calibri" w:eastAsia="Calibri" w:hAnsi="Calibri"/>
          <w:color w:val="E91E63"/>
          <w:sz w:val="20"/>
          <w:szCs w:val="20"/>
        </w:rPr>
        <w:t xml:space="preserve">Cass., ass. plén., 10 octobre 2001, Breisacher</w:t>
      </w:r>
      <w:r>
        <w:rPr>
          <w:rFonts w:ascii="Calibri" w:cs="Calibri" w:eastAsia="Calibri" w:hAnsi="Calibri"/>
          <w:color w:val="1A1A1A"/>
          <w:sz w:val="20"/>
          <w:szCs w:val="20"/>
        </w:rPr>
        <w:t xml:space="preserve"> ; condamnation de Jacques Chirac le 15 décembre 2011 ; relaxe de M. Dupond-Moretti par la CJR (29 novembre 2023).</w:t>
      </w:r>
    </w:p>
    <w:p>
      <w:pPr>
        <w:spacing w:after="70" w:before="170"/>
      </w:pPr>
      <w:r>
        <w:rPr>
          <w:rFonts w:ascii="Calibri" w:cs="Calibri" w:eastAsia="Calibri" w:hAnsi="Calibri"/>
          <w:b/>
          <w:bCs/>
          <w:color w:val="1A1A1A"/>
          <w:sz w:val="20"/>
          <w:szCs w:val="20"/>
        </w:rPr>
        <w:t xml:space="preserve">Ce qui ne tient pas</w:t>
      </w:r>
    </w:p>
    <w:p>
      <w:pPr>
        <w:pStyle w:val="ListParagraph"/>
        <w:numPr>
          <w:ilvl w:val="0"/>
          <w:numId w:val="2"/>
        </w:numPr>
        <w:spacing w:after="70" w:line="264"/>
        <w:jc w:val="both"/>
      </w:pPr>
      <w:r>
        <w:rPr>
          <w:rFonts w:ascii="Calibri" w:cs="Calibri" w:eastAsia="Calibri" w:hAnsi="Calibri"/>
          <w:b/>
          <w:bCs/>
          <w:color w:val="1A1A1A"/>
          <w:sz w:val="20"/>
          <w:szCs w:val="20"/>
        </w:rPr>
        <w:t xml:space="preserve">Le sujet est réduit à l’égalité devant la justice des gouvernants</w:t>
      </w:r>
      <w:r>
        <w:rPr>
          <w:rFonts w:ascii="Calibri" w:cs="Calibri" w:eastAsia="Calibri" w:hAnsi="Calibri"/>
          <w:color w:val="1A1A1A"/>
          <w:sz w:val="20"/>
          <w:szCs w:val="20"/>
        </w:rPr>
        <w:t xml:space="preserve"> : c’est un angle, pas le sujet. Le jury attend le principe d’égalité en général.</w:t>
      </w:r>
    </w:p>
    <w:p>
      <w:pPr>
        <w:pStyle w:val="ListParagraph"/>
        <w:numPr>
          <w:ilvl w:val="0"/>
          <w:numId w:val="2"/>
        </w:numPr>
        <w:spacing w:after="70" w:line="264"/>
        <w:jc w:val="both"/>
      </w:pPr>
      <w:r>
        <w:rPr>
          <w:rFonts w:ascii="Calibri" w:cs="Calibri" w:eastAsia="Calibri" w:hAnsi="Calibri"/>
          <w:color w:val="1A1A1A"/>
          <w:sz w:val="20"/>
          <w:szCs w:val="20"/>
        </w:rPr>
        <w:t xml:space="preserve">« Sauvegarder la réputation des institutions » n’est pas la justification retenue : c’est la protection de la fonction et la séparation des pouvoirs.</w:t>
      </w:r>
    </w:p>
    <w:p>
      <w:pPr>
        <w:pStyle w:val="ListParagraph"/>
        <w:numPr>
          <w:ilvl w:val="0"/>
          <w:numId w:val="2"/>
        </w:numPr>
        <w:spacing w:after="70" w:line="264"/>
        <w:jc w:val="both"/>
      </w:pPr>
      <w:r>
        <w:rPr>
          <w:rFonts w:ascii="Calibri" w:cs="Calibri" w:eastAsia="Calibri" w:hAnsi="Calibri"/>
          <w:color w:val="E91E63"/>
          <w:sz w:val="20"/>
          <w:szCs w:val="20"/>
        </w:rPr>
        <w:t xml:space="preserve">CEDH, Thiam c. France</w:t>
      </w:r>
      <w:r>
        <w:rPr>
          <w:rFonts w:ascii="Calibri" w:cs="Calibri" w:eastAsia="Calibri" w:hAnsi="Calibri"/>
          <w:color w:val="1A1A1A"/>
          <w:sz w:val="20"/>
          <w:szCs w:val="20"/>
        </w:rPr>
        <w:t xml:space="preserve"> (18 octobre 2018) porte sur la constitution de partie civile du Président, pas sur son immunité.</w:t>
      </w:r>
    </w:p>
    <w:p>
      <w:pPr>
        <w:spacing w:after="70" w:before="170"/>
      </w:pPr>
      <w:r>
        <w:rPr>
          <w:rFonts w:ascii="Calibri" w:cs="Calibri" w:eastAsia="Calibri" w:hAnsi="Calibri"/>
          <w:b/>
          <w:bCs/>
          <w:color w:val="1A1A1A"/>
          <w:sz w:val="20"/>
          <w:szCs w:val="20"/>
        </w:rPr>
        <w:t xml:space="preserve">Le rattrapage</w:t>
      </w:r>
    </w:p>
    <w:p>
      <w:pPr>
        <w:spacing w:after="90" w:line="264"/>
        <w:jc w:val="both"/>
      </w:pPr>
      <w:r>
        <w:rPr>
          <w:rFonts w:ascii="Calibri" w:cs="Calibri" w:eastAsia="Calibri" w:hAnsi="Calibri"/>
          <w:color w:val="1A1A1A"/>
          <w:sz w:val="20"/>
          <w:szCs w:val="20"/>
        </w:rPr>
        <w:t xml:space="preserve">Garder l’exemple pour l’entretien (« l’égalité devant la justice connaît-elle des aménagements ? ») ; reconstruire l’exposé sur la grille générale.</w:t>
      </w:r>
    </w:p>
    <w:p>
      <w:pPr>
        <w:spacing w:after="160"/>
      </w:pPr>
      <w:r>
        <w:rPr>
          <w:rFonts w:ascii="Calibri" w:cs="Calibri" w:eastAsia="Calibri" w:hAnsi="Calibri"/>
          <w:i/>
          <w:iCs/>
          <w:color w:val="5A5A5A"/>
          <w:sz w:val="18"/>
          <w:szCs w:val="18"/>
        </w:rPr>
        <w:t xml:space="preserve">Note indicative : 10/20.</w:t>
      </w:r>
    </w:p>
    <w:p>
      <w:pPr>
        <w:pStyle w:val="Heading1"/>
        <w:pBdr>
          <w:bottom w:val="single" w:color="8C1C2B" w:sz="12" w:space="6"/>
        </w:pBdr>
        <w:spacing w:after="90" w:before="260"/>
      </w:pPr>
      <w:r>
        <w:rPr>
          <w:rFonts w:ascii="Calibri" w:cs="Calibri" w:eastAsia="Calibri" w:hAnsi="Calibri"/>
          <w:b/>
          <w:bCs/>
          <w:color w:val="8C1C2B"/>
          <w:sz w:val="28"/>
          <w:szCs w:val="28"/>
        </w:rPr>
        <w:t xml:space="preserve">B. LES AUTRES PROPOSITIONS</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gridCol w:w="100"/>
      </w:tblGrid>
      <w:tr>
        <w:trPr>
          <w:tblHeader/>
        </w:trPr>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Proposition</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Observation</w:t>
            </w:r>
          </w:p>
        </w:tc>
        <w:tc>
          <w:tcPr>
            <w:tcW w:type="pct" w:w="33.333333333333336%"/>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Note</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Justine D — I. La discrimination positive (égalité réelle ; mesures préférentielles et actions positives) ; II. L’aménagement par les juridictions (Conseil constitutionnel ; juge administratif)</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Bonne matière tirée de la fiche 56, mais ordre inversé (la grille des juges doit précéder les actions positives). « 21 juin 1993 : valeur constitutionnelle de la progressivité de l’impôt » est inexact.</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Nolwenn F — I. Un principe n’imposant pas une égalité stricte (le juge ; la discrimination positive) ; II. Une adaptation pour garantir la justice sociale (vulnérables ; réfugiés et demandeurs d’asile)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Plan de thèse correct ; le II B (statut des étrangers protégés) est un bon exemple de différence de situation. Manquent les références.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12</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Thelma L — I. L’égalité comme principe constitutionnel (consécration ; « arrêt Aramu ») ; II. L’avènement des traitements différenciés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Aramu</w:t>
            </w:r>
            <w:r>
              <w:rPr>
                <w:rFonts w:ascii="Calibri" w:cs="Calibri" w:eastAsia="Calibri" w:hAnsi="Calibri"/>
                <w:b w:val="false"/>
                <w:bCs w:val="false"/>
                <w:color w:val="1A1A1A"/>
                <w:sz w:val="17"/>
                <w:szCs w:val="17"/>
              </w:rPr>
              <w:t xml:space="preserve"> (CE, ass., 26 octobre 1945) consacre les droits de la défense, non l’égalité. Le I est descriptif.</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11</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Léna B — I. Le caractère fondamental du principe (égalité devant la loi ; non-discrimination) ; II. L’égalité n’est pas l’identité de traitement (discrimination positive encadrée ; équité)</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II est bien vu ; le I décrit le principe au lieu de démontrer.</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11</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Selwyne G — I. L’aménagement d’une égalité réelle (non-discrimination ; vulnérabilité, GISTI 2012) ; II. L’aménagement juridictionnel (garants internes ; garants externes)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 solide ; le II est un catalogue d’institutions.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11,5</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Jade K — I. L’égalité réelle au service d’une société démocratique ; II. L’encadrement des dérogations au principe de non-discrimination (discrimination positive ; sanction des discriminations)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II B (sanctions pénales des discriminations) plaide hors de la thèse.</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10,5</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Inès Y — I. Un principe fondamental achevé ; II. L’exigence d’une égalité suffisante (discriminations positives ; « l’habillage d’une obligation de modulation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II B voit l’obligation (Thlimmenos) ; le I est vague (« principe achevé »).</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10,5</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Mariam B — I. La prohibition de la discrimination consacrée en principe ; II. Un aménagement nécessaire (vulnérables ; objectifs supranationaux)</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Le I plaide pour l’adversaire ; le II B (dérogations fiscales européennes) est une bonne intuition de spécialité, à rattacher au principe (voir Partie IV).</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10</w:t>
            </w:r>
          </w:p>
        </w:tc>
      </w:tr>
      <w:tr>
        <w:trPr>
          <w:tblHeader w:val="false"/>
        </w:trPr>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Anaïs L — I. L’affirmation objective sectorielle du principe stricto sensu (justice ; santé) ; II. L’affirmation subjective atténuée (concours aménagés ; frais d’inscription modulés)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Plan sectoriel, intitulés obscurs ; le II contient les seuls arguments de thèse (aménagements des concours pour le handicap, droits modulés selon les revenus).</w:t>
            </w:r>
          </w:p>
        </w:tc>
        <w:tc>
          <w:tcPr>
            <w:tcW w:type="pct" w:w="33.333333333333336%"/>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9</w:t>
            </w:r>
          </w:p>
        </w:tc>
      </w:tr>
    </w:tbl>
    <w:p>
      <w:pPr>
        <w:spacing w:after="120"/>
      </w:pPr>
    </w:p>
    <w:p>
      <w:pPr>
        <w:pStyle w:val="Heading1"/>
        <w:pBdr>
          <w:bottom w:val="single" w:color="8C1C2B" w:sz="12" w:space="6"/>
        </w:pBdr>
        <w:spacing w:after="90" w:before="260"/>
      </w:pPr>
      <w:r>
        <w:rPr>
          <w:rFonts w:ascii="Calibri" w:cs="Calibri" w:eastAsia="Calibri" w:hAnsi="Calibri"/>
          <w:b/>
          <w:bCs/>
          <w:color w:val="8C1C2B"/>
          <w:sz w:val="28"/>
          <w:szCs w:val="28"/>
        </w:rPr>
        <w:t xml:space="preserve">C. SYNTHÈSE — LES CINQ FAUTES RÉCURRENTES</w:t>
      </w:r>
    </w:p>
    <w:p>
      <w:pPr>
        <w:pStyle w:val="ListParagraph"/>
        <w:numPr>
          <w:ilvl w:val="0"/>
          <w:numId w:val="2"/>
        </w:numPr>
        <w:spacing w:after="70" w:line="264"/>
        <w:jc w:val="both"/>
      </w:pPr>
      <w:r>
        <w:rPr>
          <w:rFonts w:ascii="Calibri" w:cs="Calibri" w:eastAsia="Calibri" w:hAnsi="Calibri"/>
          <w:b/>
          <w:bCs/>
          <w:color w:val="1A1A1A"/>
          <w:sz w:val="20"/>
          <w:szCs w:val="20"/>
        </w:rPr>
        <w:t xml:space="preserve">1. Le plan « principe / exceptions ».</w:t>
      </w:r>
      <w:r>
        <w:rPr>
          <w:rFonts w:ascii="Calibri" w:cs="Calibri" w:eastAsia="Calibri" w:hAnsi="Calibri"/>
          <w:color w:val="1A1A1A"/>
          <w:sz w:val="20"/>
          <w:szCs w:val="20"/>
        </w:rPr>
        <w:t xml:space="preserve"> Un grand I sur la consécration ou la prohibition ne démontre pas la thèse (plans n° 11, Thelma, Léna, Mariam, et le plan du support).</w:t>
      </w:r>
    </w:p>
    <w:p>
      <w:pPr>
        <w:pStyle w:val="ListParagraph"/>
        <w:numPr>
          <w:ilvl w:val="0"/>
          <w:numId w:val="2"/>
        </w:numPr>
        <w:spacing w:after="70" w:line="264"/>
        <w:jc w:val="both"/>
      </w:pPr>
      <w:r>
        <w:rPr>
          <w:rFonts w:ascii="Calibri" w:cs="Calibri" w:eastAsia="Calibri" w:hAnsi="Calibri"/>
          <w:b/>
          <w:bCs/>
          <w:color w:val="1A1A1A"/>
          <w:sz w:val="20"/>
          <w:szCs w:val="20"/>
        </w:rPr>
        <w:t xml:space="preserve">2. La problématique « dans quelle mesure ».</w:t>
      </w:r>
      <w:r>
        <w:rPr>
          <w:rFonts w:ascii="Calibri" w:cs="Calibri" w:eastAsia="Calibri" w:hAnsi="Calibri"/>
          <w:color w:val="1A1A1A"/>
          <w:sz w:val="20"/>
          <w:szCs w:val="20"/>
        </w:rPr>
        <w:t xml:space="preserve"> Elle annonce une réponse nuancée ; une argumentation pose une alternative et la tranche.</w:t>
      </w:r>
    </w:p>
    <w:p>
      <w:pPr>
        <w:pStyle w:val="ListParagraph"/>
        <w:numPr>
          <w:ilvl w:val="0"/>
          <w:numId w:val="2"/>
        </w:numPr>
        <w:spacing w:after="70" w:line="264"/>
        <w:jc w:val="both"/>
      </w:pPr>
      <w:r>
        <w:rPr>
          <w:rFonts w:ascii="Calibri" w:cs="Calibri" w:eastAsia="Calibri" w:hAnsi="Calibri"/>
          <w:b/>
          <w:bCs/>
          <w:color w:val="1A1A1A"/>
          <w:sz w:val="20"/>
          <w:szCs w:val="20"/>
        </w:rPr>
        <w:t xml:space="preserve">3. Les limites présentées comme des limites.</w:t>
      </w:r>
      <w:r>
        <w:rPr>
          <w:rFonts w:ascii="Calibri" w:cs="Calibri" w:eastAsia="Calibri" w:hAnsi="Calibri"/>
          <w:color w:val="1A1A1A"/>
          <w:sz w:val="20"/>
          <w:szCs w:val="20"/>
        </w:rPr>
        <w:t xml:space="preserve"> Elles doivent devenir des arguments : elles prouvent que l’aménagement a un critère et que le principe survit.</w:t>
      </w:r>
    </w:p>
    <w:p>
      <w:pPr>
        <w:pStyle w:val="ListParagraph"/>
        <w:numPr>
          <w:ilvl w:val="0"/>
          <w:numId w:val="2"/>
        </w:numPr>
        <w:spacing w:after="70" w:line="264"/>
        <w:jc w:val="both"/>
      </w:pPr>
      <w:r>
        <w:rPr>
          <w:rFonts w:ascii="Calibri" w:cs="Calibri" w:eastAsia="Calibri" w:hAnsi="Calibri"/>
          <w:b/>
          <w:bCs/>
          <w:color w:val="1A1A1A"/>
          <w:sz w:val="20"/>
          <w:szCs w:val="20"/>
        </w:rPr>
        <w:t xml:space="preserve">4. Les citations invérifiables.</w:t>
      </w:r>
      <w:r>
        <w:rPr>
          <w:rFonts w:ascii="Calibri" w:cs="Calibri" w:eastAsia="Calibri" w:hAnsi="Calibri"/>
          <w:color w:val="1A1A1A"/>
          <w:sz w:val="20"/>
          <w:szCs w:val="20"/>
        </w:rPr>
        <w:t xml:space="preserve"> Aristote « cité » mot pour mot, Badinter introuvable, décisions sans numéro : le jury le sait.</w:t>
      </w:r>
    </w:p>
    <w:p>
      <w:pPr>
        <w:pStyle w:val="ListParagraph"/>
        <w:numPr>
          <w:ilvl w:val="0"/>
          <w:numId w:val="2"/>
        </w:numPr>
        <w:spacing w:after="70" w:line="264"/>
        <w:jc w:val="both"/>
      </w:pPr>
      <w:r>
        <w:rPr>
          <w:rFonts w:ascii="Calibri" w:cs="Calibri" w:eastAsia="Calibri" w:hAnsi="Calibri"/>
          <w:b/>
          <w:bCs/>
          <w:color w:val="1A1A1A"/>
          <w:sz w:val="20"/>
          <w:szCs w:val="20"/>
        </w:rPr>
        <w:t xml:space="preserve">5. Les arrêts mal lus.</w:t>
      </w:r>
      <w:r>
        <w:rPr>
          <w:rFonts w:ascii="Calibri" w:cs="Calibri" w:eastAsia="Calibri" w:hAnsi="Calibri"/>
          <w:color w:val="1A1A1A"/>
          <w:sz w:val="20"/>
          <w:szCs w:val="20"/>
        </w:rPr>
        <w:t xml:space="preserve"> Badeck, CFTC de l’agriculture, Barel, Aramu, Thiam : chaque arrêt doit être cité pour ce qu’il juge.</w:t>
      </w: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IV. LES QUESTIONS POSÉES PENDANT LE SÉMINAIRE</w:t>
      </w:r>
    </w:p>
    <w:p>
      <w:pPr>
        <w:pStyle w:val="Heading3"/>
        <w:spacing w:after="80" w:before="200"/>
      </w:pPr>
      <w:r>
        <w:rPr>
          <w:rFonts w:ascii="Calibri" w:cs="Calibri" w:eastAsia="Calibri" w:hAnsi="Calibri"/>
          <w:b/>
          <w:bCs/>
          <w:i/>
          <w:iCs/>
          <w:color w:val="1A1A1A"/>
          <w:sz w:val="21"/>
          <w:szCs w:val="21"/>
        </w:rPr>
        <w:t xml:space="preserve">Henri M — « Doit-on nécessairement aller chercher de la doctrine ? »</w:t>
      </w:r>
    </w:p>
    <w:p>
      <w:pPr>
        <w:spacing w:after="90" w:line="264"/>
        <w:jc w:val="both"/>
      </w:pPr>
      <w:r>
        <w:rPr>
          <w:rFonts w:ascii="Calibri" w:cs="Calibri" w:eastAsia="Calibri" w:hAnsi="Calibri"/>
          <w:color w:val="1A1A1A"/>
          <w:sz w:val="20"/>
          <w:szCs w:val="20"/>
        </w:rPr>
        <w:t xml:space="preserve">Non, mais deux ou trois références bien choisies distinguent une copie. Pour l’égalité : </w:t>
      </w:r>
      <w:r>
        <w:rPr>
          <w:rFonts w:ascii="Calibri" w:cs="Calibri" w:eastAsia="Calibri" w:hAnsi="Calibri"/>
          <w:color w:val="2E7D32"/>
          <w:sz w:val="20"/>
          <w:szCs w:val="20"/>
        </w:rPr>
        <w:t xml:space="preserve">Aristote</w:t>
      </w:r>
      <w:r>
        <w:rPr>
          <w:rFonts w:ascii="Calibri" w:cs="Calibri" w:eastAsia="Calibri" w:hAnsi="Calibri"/>
          <w:color w:val="1A1A1A"/>
          <w:sz w:val="20"/>
          <w:szCs w:val="20"/>
        </w:rPr>
        <w:t xml:space="preserve"> (égalité arithmétique et géométrique) ; </w:t>
      </w:r>
      <w:r>
        <w:rPr>
          <w:rFonts w:ascii="Calibri" w:cs="Calibri" w:eastAsia="Calibri" w:hAnsi="Calibri"/>
          <w:color w:val="2E7D32"/>
          <w:sz w:val="20"/>
          <w:szCs w:val="20"/>
        </w:rPr>
        <w:t xml:space="preserve">Tocqueville</w:t>
      </w:r>
      <w:r>
        <w:rPr>
          <w:rFonts w:ascii="Calibri" w:cs="Calibri" w:eastAsia="Calibri" w:hAnsi="Calibri"/>
          <w:color w:val="1A1A1A"/>
          <w:sz w:val="20"/>
          <w:szCs w:val="20"/>
        </w:rPr>
        <w:t xml:space="preserve"> (la « passion » démocratique pour l’égalité) ; le </w:t>
      </w:r>
      <w:r>
        <w:rPr>
          <w:rFonts w:ascii="Calibri" w:cs="Calibri" w:eastAsia="Calibri" w:hAnsi="Calibri"/>
          <w:color w:val="2E7D32"/>
          <w:sz w:val="20"/>
          <w:szCs w:val="20"/>
        </w:rPr>
        <w:t xml:space="preserve">rapport public du Conseil d’État de 1996, « Sur le principe d’égalité »</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Ferdinand Mélin-Soucramanien</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Le principe d’égalité dans la jurisprudence du Conseil constitutionnel</w:t>
      </w:r>
      <w:r>
        <w:rPr>
          <w:rFonts w:ascii="Calibri" w:cs="Calibri" w:eastAsia="Calibri" w:hAnsi="Calibri"/>
          <w:color w:val="1A1A1A"/>
          <w:sz w:val="20"/>
          <w:szCs w:val="20"/>
        </w:rPr>
        <w:t xml:space="preserve"> (1997) ; </w:t>
      </w:r>
      <w:r>
        <w:rPr>
          <w:rFonts w:ascii="Calibri" w:cs="Calibri" w:eastAsia="Calibri" w:hAnsi="Calibri"/>
          <w:color w:val="2E7D32"/>
          <w:sz w:val="20"/>
          <w:szCs w:val="20"/>
        </w:rPr>
        <w:t xml:space="preserve">Gwénaële Calvès</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La discrimination positive</w:t>
      </w:r>
      <w:r>
        <w:rPr>
          <w:rFonts w:ascii="Calibri" w:cs="Calibri" w:eastAsia="Calibri" w:hAnsi="Calibri"/>
          <w:color w:val="1A1A1A"/>
          <w:sz w:val="20"/>
          <w:szCs w:val="20"/>
        </w:rPr>
        <w:t xml:space="preserve">. Une référence doctrinale doit appuyer un argument, jamais le remplacer.</w:t>
      </w:r>
    </w:p>
    <w:p>
      <w:pPr>
        <w:pStyle w:val="Heading3"/>
        <w:spacing w:after="80" w:before="200"/>
      </w:pPr>
      <w:r>
        <w:rPr>
          <w:rFonts w:ascii="Calibri" w:cs="Calibri" w:eastAsia="Calibri" w:hAnsi="Calibri"/>
          <w:b/>
          <w:bCs/>
          <w:i/>
          <w:iCs/>
          <w:color w:val="1A1A1A"/>
          <w:sz w:val="21"/>
          <w:szCs w:val="21"/>
        </w:rPr>
        <w:t xml:space="preserve">Mariam B — « C’est donc une égalité au sein d’une même catégorie de personnes, et non universelle comme la présente la DDHC ? »</w:t>
      </w:r>
    </w:p>
    <w:p>
      <w:pPr>
        <w:spacing w:after="90" w:line="264"/>
        <w:jc w:val="both"/>
      </w:pPr>
      <w:r>
        <w:rPr>
          <w:rFonts w:ascii="Calibri" w:cs="Calibri" w:eastAsia="Calibri" w:hAnsi="Calibri"/>
          <w:color w:val="1A1A1A"/>
          <w:sz w:val="20"/>
          <w:szCs w:val="20"/>
        </w:rPr>
        <w:t xml:space="preserve">Oui, avec une précision : la Déclaration elle-même ne promet pas une égalité de traitement universelle mais une égalité </w:t>
      </w:r>
      <w:r>
        <w:rPr>
          <w:rFonts w:ascii="Calibri" w:cs="Calibri" w:eastAsia="Calibri" w:hAnsi="Calibri"/>
          <w:b/>
          <w:bCs/>
          <w:color w:val="1A1A1A"/>
          <w:sz w:val="20"/>
          <w:szCs w:val="20"/>
        </w:rPr>
        <w:t xml:space="preserve">de droits</w:t>
      </w:r>
      <w:r>
        <w:rPr>
          <w:rFonts w:ascii="Calibri" w:cs="Calibri" w:eastAsia="Calibri" w:hAnsi="Calibri"/>
          <w:color w:val="1A1A1A"/>
          <w:sz w:val="20"/>
          <w:szCs w:val="20"/>
        </w:rPr>
        <w:t xml:space="preserve"> (art. 1er), aménagée « selon leur capacité » (art. 6) et « en raison de leurs facultés » (art. 13). L’égalité vaut à l’intérieur d’une catégorie ; mais la catégorie doit être définie par un critère objectif et rationnel, et jamais par l’origine, la race ou la religion. C’est un excellent argument de thèse.</w:t>
      </w:r>
    </w:p>
    <w:p>
      <w:pPr>
        <w:pStyle w:val="Heading3"/>
        <w:spacing w:after="80" w:before="200"/>
      </w:pPr>
      <w:r>
        <w:rPr>
          <w:rFonts w:ascii="Calibri" w:cs="Calibri" w:eastAsia="Calibri" w:hAnsi="Calibri"/>
          <w:b/>
          <w:bCs/>
          <w:i/>
          <w:iCs/>
          <w:color w:val="1A1A1A"/>
          <w:sz w:val="21"/>
          <w:szCs w:val="21"/>
        </w:rPr>
        <w:t xml:space="preserve">Inès Y — « Pouvez-vous répéter les décisions du Conseil d’État (Fontant, Coubert, Dlle Bobard) ? »</w:t>
      </w:r>
    </w:p>
    <w:p>
      <w:pPr>
        <w:spacing w:after="90" w:line="264"/>
        <w:jc w:val="both"/>
      </w:pPr>
      <w:r>
        <w:rPr>
          <w:rFonts w:ascii="Calibri" w:cs="Calibri" w:eastAsia="Calibri" w:hAnsi="Calibri"/>
          <w:b/>
          <w:bCs/>
          <w:color w:val="1A1A1A"/>
          <w:sz w:val="20"/>
          <w:szCs w:val="20"/>
        </w:rPr>
        <w:t xml:space="preserve">Dlle Bobard</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3 juillet 1936, Demoiselle Bobard et autres</w:t>
      </w:r>
      <w:r>
        <w:rPr>
          <w:rFonts w:ascii="Calibri" w:cs="Calibri" w:eastAsia="Calibri" w:hAnsi="Calibri"/>
          <w:color w:val="1A1A1A"/>
          <w:sz w:val="20"/>
          <w:szCs w:val="20"/>
        </w:rPr>
        <w:t xml:space="preserve"> — les femmes ont vocation aux emplois publics ; l’administration ne peut les en écarter que si « des raisons de service le nécessitent ». C’est un aménagement admis contre les femmes, que la jurisprudence a ensuite resserré.</w:t>
      </w:r>
    </w:p>
    <w:p>
      <w:pPr>
        <w:spacing w:after="90" w:line="264"/>
        <w:jc w:val="both"/>
      </w:pPr>
      <w:r>
        <w:rPr>
          <w:rFonts w:ascii="Calibri" w:cs="Calibri" w:eastAsia="Calibri" w:hAnsi="Calibri"/>
          <w:b/>
          <w:bCs/>
          <w:color w:val="1A1A1A"/>
          <w:sz w:val="20"/>
          <w:szCs w:val="20"/>
        </w:rPr>
        <w:t xml:space="preserve">« Coubert » et « Fontant »</w:t>
      </w:r>
      <w:r>
        <w:rPr>
          <w:rFonts w:ascii="Calibri" w:cs="Calibri" w:eastAsia="Calibri" w:hAnsi="Calibri"/>
          <w:color w:val="1A1A1A"/>
          <w:sz w:val="20"/>
          <w:szCs w:val="20"/>
        </w:rPr>
        <w:t xml:space="preserve"> : vraisemblablement des décisions anciennes citées oralement (on pense, pour la première, à </w:t>
      </w:r>
      <w:r>
        <w:rPr>
          <w:rFonts w:ascii="Calibri" w:cs="Calibri" w:eastAsia="Calibri" w:hAnsi="Calibri"/>
          <w:color w:val="E91E63"/>
          <w:sz w:val="20"/>
          <w:szCs w:val="20"/>
        </w:rPr>
        <w:t xml:space="preserve">CE, sect., 1er avril 1938, Société l’Alcool dénaturé de Coubert</w:t>
      </w:r>
      <w:r>
        <w:rPr>
          <w:rFonts w:ascii="Calibri" w:cs="Calibri" w:eastAsia="Calibri" w:hAnsi="Calibri"/>
          <w:color w:val="1A1A1A"/>
          <w:sz w:val="20"/>
          <w:szCs w:val="20"/>
        </w:rPr>
        <w:t xml:space="preserve">). Nous n’avons pas pu les vérifier : ne pas les citer à l’oral sans en avoir contrôlé la référence et l’apport. Les décisions sûres pour le même usage sont </w:t>
      </w:r>
      <w:r>
        <w:rPr>
          <w:rFonts w:ascii="Calibri" w:cs="Calibri" w:eastAsia="Calibri" w:hAnsi="Calibri"/>
          <w:color w:val="E91E63"/>
          <w:sz w:val="20"/>
          <w:szCs w:val="20"/>
        </w:rPr>
        <w:t xml:space="preserve">Société des concerts du conservatoire</w:t>
      </w:r>
      <w:r>
        <w:rPr>
          <w:rFonts w:ascii="Calibri" w:cs="Calibri" w:eastAsia="Calibri" w:hAnsi="Calibri"/>
          <w:color w:val="1A1A1A"/>
          <w:sz w:val="20"/>
          <w:szCs w:val="20"/>
        </w:rPr>
        <w:t xml:space="preserve"> (1951) et </w:t>
      </w:r>
      <w:r>
        <w:rPr>
          <w:rFonts w:ascii="Calibri" w:cs="Calibri" w:eastAsia="Calibri" w:hAnsi="Calibri"/>
          <w:color w:val="E91E63"/>
          <w:sz w:val="20"/>
          <w:szCs w:val="20"/>
        </w:rPr>
        <w:t xml:space="preserve">Denoyez et Chorques</w:t>
      </w:r>
      <w:r>
        <w:rPr>
          <w:rFonts w:ascii="Calibri" w:cs="Calibri" w:eastAsia="Calibri" w:hAnsi="Calibri"/>
          <w:color w:val="1A1A1A"/>
          <w:sz w:val="20"/>
          <w:szCs w:val="20"/>
        </w:rPr>
        <w:t xml:space="preserve"> (1974).</w:t>
      </w:r>
    </w:p>
    <w:p>
      <w:pPr>
        <w:pStyle w:val="Heading3"/>
        <w:spacing w:after="80" w:before="200"/>
      </w:pPr>
      <w:r>
        <w:rPr>
          <w:rFonts w:ascii="Calibri" w:cs="Calibri" w:eastAsia="Calibri" w:hAnsi="Calibri"/>
          <w:b/>
          <w:bCs/>
          <w:i/>
          <w:iCs/>
          <w:color w:val="1A1A1A"/>
          <w:sz w:val="21"/>
          <w:szCs w:val="21"/>
        </w:rPr>
        <w:t xml:space="preserve">Emilie H — « J’ai cité une source textuelle dans mon introduction, est-ce une erreur ? »</w:t>
      </w:r>
    </w:p>
    <w:p>
      <w:pPr>
        <w:spacing w:after="90" w:line="264"/>
        <w:jc w:val="both"/>
      </w:pPr>
      <w:r>
        <w:rPr>
          <w:rFonts w:ascii="Calibri" w:cs="Calibri" w:eastAsia="Calibri" w:hAnsi="Calibri"/>
          <w:color w:val="1A1A1A"/>
          <w:sz w:val="20"/>
          <w:szCs w:val="20"/>
        </w:rPr>
        <w:t xml:space="preserve">Non. Les sources du principe (</w:t>
      </w:r>
      <w:r>
        <w:rPr>
          <w:rFonts w:ascii="Calibri" w:cs="Calibri" w:eastAsia="Calibri" w:hAnsi="Calibri"/>
          <w:color w:val="1E88E5"/>
          <w:sz w:val="20"/>
          <w:szCs w:val="20"/>
        </w:rPr>
        <w:t xml:space="preserve">art. 1er et 6 DDHC</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Constitution</w:t>
      </w:r>
      <w:r>
        <w:rPr>
          <w:rFonts w:ascii="Calibri" w:cs="Calibri" w:eastAsia="Calibri" w:hAnsi="Calibri"/>
          <w:color w:val="1A1A1A"/>
          <w:sz w:val="20"/>
          <w:szCs w:val="20"/>
        </w:rPr>
        <w:t xml:space="preserve">) doivent figurer dans la définition des termes. En accroche, un texte est moins frappant qu’un fait ou une décision, sauf s’il crée un effet de surprise, comme l’article 6 qui aménage l’égalité dans la phrase même qui la proclame.</w:t>
      </w:r>
    </w:p>
    <w:p>
      <w:pPr>
        <w:pStyle w:val="Heading3"/>
        <w:spacing w:after="80" w:before="200"/>
      </w:pPr>
      <w:r>
        <w:rPr>
          <w:rFonts w:ascii="Calibri" w:cs="Calibri" w:eastAsia="Calibri" w:hAnsi="Calibri"/>
          <w:b/>
          <w:bCs/>
          <w:i/>
          <w:iCs/>
          <w:color w:val="1A1A1A"/>
          <w:sz w:val="21"/>
          <w:szCs w:val="21"/>
        </w:rPr>
        <w:t xml:space="preserve">Sofia E — « Sous quel article trouve-t-on la jurisprudence Denoyez et Chorques ? »</w:t>
      </w:r>
    </w:p>
    <w:p>
      <w:pPr>
        <w:spacing w:after="90" w:line="264"/>
        <w:jc w:val="both"/>
      </w:pPr>
      <w:r>
        <w:rPr>
          <w:rFonts w:ascii="Calibri" w:cs="Calibri" w:eastAsia="Calibri" w:hAnsi="Calibri"/>
          <w:color w:val="1A1A1A"/>
          <w:sz w:val="20"/>
          <w:szCs w:val="20"/>
        </w:rPr>
        <w:t xml:space="preserve">Sous aucun : c’est une jurisprudence, </w:t>
      </w:r>
      <w:r>
        <w:rPr>
          <w:rFonts w:ascii="Calibri" w:cs="Calibri" w:eastAsia="Calibri" w:hAnsi="Calibri"/>
          <w:color w:val="E91E63"/>
          <w:sz w:val="20"/>
          <w:szCs w:val="20"/>
        </w:rPr>
        <w:t xml:space="preserve">CE, sect., 10 mai 1974, Denoyez et Chorques, n° 88032</w:t>
      </w:r>
      <w:r>
        <w:rPr>
          <w:rFonts w:ascii="Calibri" w:cs="Calibri" w:eastAsia="Calibri" w:hAnsi="Calibri"/>
          <w:color w:val="1A1A1A"/>
          <w:sz w:val="20"/>
          <w:szCs w:val="20"/>
        </w:rPr>
        <w:t xml:space="preserve">. Elle applique le principe général d’égalité des usagers devant le service public, rattaché à l’</w:t>
      </w:r>
      <w:r>
        <w:rPr>
          <w:rFonts w:ascii="Calibri" w:cs="Calibri" w:eastAsia="Calibri" w:hAnsi="Calibri"/>
          <w:color w:val="1E88E5"/>
          <w:sz w:val="20"/>
          <w:szCs w:val="20"/>
        </w:rPr>
        <w:t xml:space="preserve">art. 6 DDHC</w:t>
      </w:r>
      <w:r>
        <w:rPr>
          <w:rFonts w:ascii="Calibri" w:cs="Calibri" w:eastAsia="Calibri" w:hAnsi="Calibri"/>
          <w:color w:val="1A1A1A"/>
          <w:sz w:val="20"/>
          <w:szCs w:val="20"/>
        </w:rPr>
        <w:t xml:space="preserve">. On la cite pour ses trois cas de différenciation tarifaire : loi, différence appréciable de situation, nécessité d’intérêt général en rapport avec les conditions d’exploitation (tarifs du bac de l’île de Ré).</w:t>
      </w:r>
    </w:p>
    <w:p>
      <w:pPr>
        <w:pStyle w:val="Heading3"/>
        <w:spacing w:after="80" w:before="200"/>
      </w:pPr>
      <w:r>
        <w:rPr>
          <w:rFonts w:ascii="Calibri" w:cs="Calibri" w:eastAsia="Calibri" w:hAnsi="Calibri"/>
          <w:b/>
          <w:bCs/>
          <w:i/>
          <w:iCs/>
          <w:color w:val="1A1A1A"/>
          <w:sz w:val="21"/>
          <w:szCs w:val="21"/>
        </w:rPr>
        <w:t xml:space="preserve">Mariam B — « Peut-on traiter une partie du thème par notre domaine de spécialité (dérogations européennes en matière d’évasion fiscale) ? »</w:t>
      </w:r>
    </w:p>
    <w:p>
      <w:pPr>
        <w:spacing w:after="90" w:line="264"/>
        <w:jc w:val="both"/>
      </w:pPr>
      <w:r>
        <w:rPr>
          <w:rFonts w:ascii="Calibri" w:cs="Calibri" w:eastAsia="Calibri" w:hAnsi="Calibri"/>
          <w:color w:val="1A1A1A"/>
          <w:sz w:val="20"/>
          <w:szCs w:val="20"/>
        </w:rPr>
        <w:t xml:space="preserve">Oui, comme </w:t>
      </w:r>
      <w:r>
        <w:rPr>
          <w:rFonts w:ascii="Calibri" w:cs="Calibri" w:eastAsia="Calibri" w:hAnsi="Calibri"/>
          <w:b/>
          <w:bCs/>
          <w:color w:val="1A1A1A"/>
          <w:sz w:val="20"/>
          <w:szCs w:val="20"/>
        </w:rPr>
        <w:t xml:space="preserve">illustration</w:t>
      </w:r>
      <w:r>
        <w:rPr>
          <w:rFonts w:ascii="Calibri" w:cs="Calibri" w:eastAsia="Calibri" w:hAnsi="Calibri"/>
          <w:color w:val="1A1A1A"/>
          <w:sz w:val="20"/>
          <w:szCs w:val="20"/>
        </w:rPr>
        <w:t xml:space="preserve"> d’un argument, pas comme sous-partie autonome. Le droit fiscal est un terrain idéal : égalité devant les charges publiques (</w:t>
      </w:r>
      <w:r>
        <w:rPr>
          <w:rFonts w:ascii="Calibri" w:cs="Calibri" w:eastAsia="Calibri" w:hAnsi="Calibri"/>
          <w:color w:val="1E88E5"/>
          <w:sz w:val="20"/>
          <w:szCs w:val="20"/>
        </w:rPr>
        <w:t xml:space="preserve">art. 13 DDHC</w:t>
      </w:r>
      <w:r>
        <w:rPr>
          <w:rFonts w:ascii="Calibri" w:cs="Calibri" w:eastAsia="Calibri" w:hAnsi="Calibri"/>
          <w:color w:val="1A1A1A"/>
          <w:sz w:val="20"/>
          <w:szCs w:val="20"/>
        </w:rPr>
        <w:t xml:space="preserve">), progressivité, quotient familial, zones franches, et un contrôle souple fondé sur des « critères objectifs et rationnels ». Les mesures européennes contre l’évasion fiscale relèvent plutôt de la liberté d’établissement que du principe d’égalité : à manier avec prudence. Voir le carnet fiscal en Partie V.</w:t>
      </w:r>
    </w:p>
    <w:p>
      <w:pPr>
        <w:pStyle w:val="Heading3"/>
        <w:spacing w:after="80" w:before="200"/>
      </w:pPr>
      <w:r>
        <w:rPr>
          <w:rFonts w:ascii="Calibri" w:cs="Calibri" w:eastAsia="Calibri" w:hAnsi="Calibri"/>
          <w:b/>
          <w:bCs/>
          <w:i/>
          <w:iCs/>
          <w:color w:val="1A1A1A"/>
          <w:sz w:val="21"/>
          <w:szCs w:val="21"/>
        </w:rPr>
        <w:t xml:space="preserve">Anais M — « Avez-vous un exemple du principe d’expérimentation ? »</w:t>
      </w:r>
    </w:p>
    <w:p>
      <w:pPr>
        <w:spacing w:after="90" w:line="264"/>
        <w:jc w:val="both"/>
      </w:pPr>
      <w:r>
        <w:rPr>
          <w:rFonts w:ascii="Calibri" w:cs="Calibri" w:eastAsia="Calibri" w:hAnsi="Calibri"/>
          <w:color w:val="1A1A1A"/>
          <w:sz w:val="20"/>
          <w:szCs w:val="20"/>
        </w:rPr>
        <w:t xml:space="preserve">L’</w:t>
      </w:r>
      <w:r>
        <w:rPr>
          <w:rFonts w:ascii="Calibri" w:cs="Calibri" w:eastAsia="Calibri" w:hAnsi="Calibri"/>
          <w:color w:val="1E88E5"/>
          <w:sz w:val="20"/>
          <w:szCs w:val="20"/>
        </w:rPr>
        <w:t xml:space="preserve">art. 37-1 Constitution</w:t>
      </w:r>
      <w:r>
        <w:rPr>
          <w:rFonts w:ascii="Calibri" w:cs="Calibri" w:eastAsia="Calibri" w:hAnsi="Calibri"/>
          <w:color w:val="1A1A1A"/>
          <w:sz w:val="20"/>
          <w:szCs w:val="20"/>
        </w:rPr>
        <w:t xml:space="preserve"> (révision du 28 mars 2003) permet à la loi et au règlement de comporter « pour un objet et une durée limités, des dispositions à caractère expérimental » ; l’</w:t>
      </w:r>
      <w:r>
        <w:rPr>
          <w:rFonts w:ascii="Calibri" w:cs="Calibri" w:eastAsia="Calibri" w:hAnsi="Calibri"/>
          <w:color w:val="1E88E5"/>
          <w:sz w:val="20"/>
          <w:szCs w:val="20"/>
        </w:rPr>
        <w:t xml:space="preserve">art. 72 al. 4</w:t>
      </w:r>
      <w:r>
        <w:rPr>
          <w:rFonts w:ascii="Calibri" w:cs="Calibri" w:eastAsia="Calibri" w:hAnsi="Calibri"/>
          <w:color w:val="1A1A1A"/>
          <w:sz w:val="20"/>
          <w:szCs w:val="20"/>
        </w:rPr>
        <w:t xml:space="preserve"> permet aux collectivités de déroger, à titre expérimental, aux lois et règlements. Exemples : le revenu de solidarité active, expérimenté dans des départements volontaires avant sa généralisation en 2009 ; les « territoires zéro chômeur de longue durée » (</w:t>
      </w:r>
      <w:r>
        <w:rPr>
          <w:rFonts w:ascii="Calibri" w:cs="Calibri" w:eastAsia="Calibri" w:hAnsi="Calibri"/>
          <w:color w:val="1E88E5"/>
          <w:sz w:val="20"/>
          <w:szCs w:val="20"/>
        </w:rPr>
        <w:t xml:space="preserve">loi du 29 février 2016</w:t>
      </w:r>
      <w:r>
        <w:rPr>
          <w:rFonts w:ascii="Calibri" w:cs="Calibri" w:eastAsia="Calibri" w:hAnsi="Calibri"/>
          <w:color w:val="1A1A1A"/>
          <w:sz w:val="20"/>
          <w:szCs w:val="20"/>
        </w:rPr>
        <w:t xml:space="preserve">). Avant 2003, le Conseil admettait déjà l’expérimentation à condition d’en préciser l’objet et les conditions (</w:t>
      </w:r>
      <w:r>
        <w:rPr>
          <w:rFonts w:ascii="Calibri" w:cs="Calibri" w:eastAsia="Calibri" w:hAnsi="Calibri"/>
          <w:color w:val="E91E63"/>
          <w:sz w:val="20"/>
          <w:szCs w:val="20"/>
        </w:rPr>
        <w:t xml:space="preserve">93-322 DC, 28 juillet 1993</w:t>
      </w:r>
      <w:r>
        <w:rPr>
          <w:rFonts w:ascii="Calibri" w:cs="Calibri" w:eastAsia="Calibri" w:hAnsi="Calibri"/>
          <w:color w:val="1A1A1A"/>
          <w:sz w:val="20"/>
          <w:szCs w:val="20"/>
        </w:rPr>
        <w:t xml:space="preserve">). L’expérimentation est un aménagement de l’égalité dans l’espace et dans le temps.</w:t>
      </w:r>
    </w:p>
    <w:p>
      <w:pPr>
        <w:pStyle w:val="Heading3"/>
        <w:spacing w:after="80" w:before="200"/>
      </w:pPr>
      <w:r>
        <w:rPr>
          <w:rFonts w:ascii="Calibri" w:cs="Calibri" w:eastAsia="Calibri" w:hAnsi="Calibri"/>
          <w:b/>
          <w:bCs/>
          <w:i/>
          <w:iCs/>
          <w:color w:val="1A1A1A"/>
          <w:sz w:val="21"/>
          <w:szCs w:val="21"/>
        </w:rPr>
        <w:t xml:space="preserve">Inès Y — « Pouvez-vous citer un exemple pour le II A du support (application différenciée devant le Conseil constitutionnel) ? »</w:t>
      </w:r>
    </w:p>
    <w:p>
      <w:pPr>
        <w:spacing w:after="90" w:line="264"/>
        <w:jc w:val="both"/>
      </w:pPr>
      <w:r>
        <w:rPr>
          <w:rFonts w:ascii="Calibri" w:cs="Calibri" w:eastAsia="Calibri" w:hAnsi="Calibri"/>
          <w:color w:val="1A1A1A"/>
          <w:sz w:val="20"/>
          <w:szCs w:val="20"/>
        </w:rPr>
        <w:t xml:space="preserve">Trois, qui montrent l’intensité variable du contrôle : en matière fiscale, la contribution de 75 % censurée parce qu’assise sur les revenus individuels et non ceux du foyer (</w:t>
      </w:r>
      <w:r>
        <w:rPr>
          <w:rFonts w:ascii="Calibri" w:cs="Calibri" w:eastAsia="Calibri" w:hAnsi="Calibri"/>
          <w:color w:val="E91E63"/>
          <w:sz w:val="20"/>
          <w:szCs w:val="20"/>
        </w:rPr>
        <w:t xml:space="preserve">2012-662 DC</w:t>
      </w:r>
      <w:r>
        <w:rPr>
          <w:rFonts w:ascii="Calibri" w:cs="Calibri" w:eastAsia="Calibri" w:hAnsi="Calibri"/>
          <w:color w:val="1A1A1A"/>
          <w:sz w:val="20"/>
          <w:szCs w:val="20"/>
        </w:rPr>
        <w:t xml:space="preserve">) ; en matière de pensions, la cristallisation censurée, la nationalité ne justifiant pas la différence (</w:t>
      </w:r>
      <w:r>
        <w:rPr>
          <w:rFonts w:ascii="Calibri" w:cs="Calibri" w:eastAsia="Calibri" w:hAnsi="Calibri"/>
          <w:color w:val="E91E63"/>
          <w:sz w:val="20"/>
          <w:szCs w:val="20"/>
        </w:rPr>
        <w:t xml:space="preserve">2010-1 QPC</w:t>
      </w:r>
      <w:r>
        <w:rPr>
          <w:rFonts w:ascii="Calibri" w:cs="Calibri" w:eastAsia="Calibri" w:hAnsi="Calibri"/>
          <w:color w:val="1A1A1A"/>
          <w:sz w:val="20"/>
          <w:szCs w:val="20"/>
        </w:rPr>
        <w:t xml:space="preserve">) ; en matière territoriale, le droit local d’Alsace-Moselle maintenu mais figé (</w:t>
      </w:r>
      <w:r>
        <w:rPr>
          <w:rFonts w:ascii="Calibri" w:cs="Calibri" w:eastAsia="Calibri" w:hAnsi="Calibri"/>
          <w:color w:val="E91E63"/>
          <w:sz w:val="20"/>
          <w:szCs w:val="20"/>
        </w:rPr>
        <w:t xml:space="preserve">2011-157 QPC, Somodia</w:t>
      </w:r>
      <w:r>
        <w:rPr>
          <w:rFonts w:ascii="Calibri" w:cs="Calibri" w:eastAsia="Calibri" w:hAnsi="Calibri"/>
          <w:color w:val="1A1A1A"/>
          <w:sz w:val="20"/>
          <w:szCs w:val="20"/>
        </w:rPr>
        <w:t xml:space="preserve">).</w:t>
      </w:r>
    </w:p>
    <w:p>
      <w:pPr>
        <w:pStyle w:val="Heading3"/>
        <w:spacing w:after="80" w:before="200"/>
      </w:pPr>
      <w:r>
        <w:rPr>
          <w:rFonts w:ascii="Calibri" w:cs="Calibri" w:eastAsia="Calibri" w:hAnsi="Calibri"/>
          <w:b/>
          <w:bCs/>
          <w:i/>
          <w:iCs/>
          <w:color w:val="1A1A1A"/>
          <w:sz w:val="21"/>
          <w:szCs w:val="21"/>
        </w:rPr>
        <w:t xml:space="preserve">Jordan S — « Dans un « soutenez que », le plan thèse-antithèse est-il proscrit ? Peut-on traiter le principe d’égalité dans toute une partie ? »</w:t>
      </w:r>
    </w:p>
    <w:p>
      <w:pPr>
        <w:spacing w:after="90" w:line="264"/>
        <w:jc w:val="both"/>
      </w:pPr>
      <w:r>
        <w:rPr>
          <w:rFonts w:ascii="Calibri" w:cs="Calibri" w:eastAsia="Calibri" w:hAnsi="Calibri"/>
          <w:b/>
          <w:bCs/>
          <w:color w:val="1A1A1A"/>
          <w:sz w:val="20"/>
          <w:szCs w:val="20"/>
        </w:rPr>
        <w:t xml:space="preserve">Oui, l’antithèse est proscrite.</w:t>
      </w:r>
      <w:r>
        <w:rPr>
          <w:rFonts w:ascii="Calibri" w:cs="Calibri" w:eastAsia="Calibri" w:hAnsi="Calibri"/>
          <w:color w:val="1A1A1A"/>
          <w:sz w:val="20"/>
          <w:szCs w:val="20"/>
        </w:rPr>
        <w:t xml:space="preserve"> On peut parler du principe dans une partie entière, à condition que cette partie </w:t>
      </w:r>
      <w:r>
        <w:rPr>
          <w:rFonts w:ascii="Calibri" w:cs="Calibri" w:eastAsia="Calibri" w:hAnsi="Calibri"/>
          <w:b/>
          <w:bCs/>
          <w:color w:val="1A1A1A"/>
          <w:sz w:val="20"/>
          <w:szCs w:val="20"/>
        </w:rPr>
        <w:t xml:space="preserve">démontre la thèse</w:t>
      </w:r>
      <w:r>
        <w:rPr>
          <w:rFonts w:ascii="Calibri" w:cs="Calibri" w:eastAsia="Calibri" w:hAnsi="Calibri"/>
          <w:color w:val="1A1A1A"/>
          <w:sz w:val="20"/>
          <w:szCs w:val="20"/>
        </w:rPr>
        <w:t xml:space="preserve"> : « un principe qui contient sa propre souplesse ». Une sous-partie sur la non-discrimination est possible si elle sert d’argument : la non-discrimination est le critère qui distingue l’aménagement de la discrimination.</w:t>
      </w:r>
    </w:p>
    <w:p>
      <w:pPr>
        <w:pStyle w:val="Heading3"/>
        <w:spacing w:after="80" w:before="200"/>
      </w:pPr>
      <w:r>
        <w:rPr>
          <w:rFonts w:ascii="Calibri" w:cs="Calibri" w:eastAsia="Calibri" w:hAnsi="Calibri"/>
          <w:b/>
          <w:bCs/>
          <w:i/>
          <w:iCs/>
          <w:color w:val="1A1A1A"/>
          <w:sz w:val="21"/>
          <w:szCs w:val="21"/>
        </w:rPr>
        <w:t xml:space="preserve">Marie-Morgane B — « Mon IEJ prévoit de pouvoir nous interroger sur le commentaire d’un dessin : des conseils ? »</w:t>
      </w:r>
    </w:p>
    <w:p>
      <w:pPr>
        <w:spacing w:after="90" w:line="264"/>
        <w:jc w:val="both"/>
      </w:pPr>
      <w:r>
        <w:rPr>
          <w:rFonts w:ascii="Calibri" w:cs="Calibri" w:eastAsia="Calibri" w:hAnsi="Calibri"/>
          <w:color w:val="1A1A1A"/>
          <w:sz w:val="20"/>
          <w:szCs w:val="20"/>
        </w:rPr>
        <w:t xml:space="preserve">Même méthode qu’un commentaire de texte : 1) décrire précisément (auteur, date, support, personnages, légende) ; 2) identifier le message et la cible ; 3) en extraire une question juridique ; 4) bâtir un plan qui part du dessin et s’en éloigne pour le droit (textes, jurisprudence, actualité) ; 5) apprécier la justesse du dessin. Préparer quelques dessinateurs de presse (Plantu, Cabu, Charb, Riss, Coco) et l’arrière-plan juridique de la caricature (liberté d’expression, satire : </w:t>
      </w:r>
      <w:r>
        <w:rPr>
          <w:rFonts w:ascii="Calibri" w:cs="Calibri" w:eastAsia="Calibri" w:hAnsi="Calibri"/>
          <w:color w:val="E91E63"/>
          <w:sz w:val="20"/>
          <w:szCs w:val="20"/>
        </w:rPr>
        <w:t xml:space="preserve">CEDH, Vereinigung Bildender Künstler c. Autriche</w:t>
      </w:r>
      <w:r>
        <w:rPr>
          <w:rFonts w:ascii="Calibri" w:cs="Calibri" w:eastAsia="Calibri" w:hAnsi="Calibri"/>
          <w:color w:val="1A1A1A"/>
          <w:sz w:val="20"/>
          <w:szCs w:val="20"/>
        </w:rPr>
        <w:t xml:space="preserve">, 2007).</w:t>
      </w:r>
    </w:p>
    <w:p>
      <w:pPr>
        <w:pStyle w:val="Heading3"/>
        <w:spacing w:after="80" w:before="200"/>
      </w:pPr>
      <w:r>
        <w:rPr>
          <w:rFonts w:ascii="Calibri" w:cs="Calibri" w:eastAsia="Calibri" w:hAnsi="Calibri"/>
          <w:b/>
          <w:bCs/>
          <w:i/>
          <w:iCs/>
          <w:color w:val="1A1A1A"/>
          <w:sz w:val="21"/>
          <w:szCs w:val="21"/>
        </w:rPr>
        <w:t xml:space="preserve">Henri M — « L’Alsace-Moselle peut-elle illustrer l’aménagement géographique ? »</w:t>
      </w:r>
    </w:p>
    <w:p>
      <w:pPr>
        <w:spacing w:after="90" w:line="264"/>
        <w:jc w:val="both"/>
      </w:pPr>
      <w:r>
        <w:rPr>
          <w:rFonts w:ascii="Calibri" w:cs="Calibri" w:eastAsia="Calibri" w:hAnsi="Calibri"/>
          <w:color w:val="1A1A1A"/>
          <w:sz w:val="20"/>
          <w:szCs w:val="20"/>
        </w:rPr>
        <w:t xml:space="preserve">Oui, c’est même le meilleur exemple : </w:t>
      </w:r>
      <w:r>
        <w:rPr>
          <w:rFonts w:ascii="Calibri" w:cs="Calibri" w:eastAsia="Calibri" w:hAnsi="Calibri"/>
          <w:color w:val="E91E63"/>
          <w:sz w:val="20"/>
          <w:szCs w:val="20"/>
        </w:rPr>
        <w:t xml:space="preserve">2011-157 QPC, 5 août 2011, Somodia</w:t>
      </w:r>
      <w:r>
        <w:rPr>
          <w:rFonts w:ascii="Calibri" w:cs="Calibri" w:eastAsia="Calibri" w:hAnsi="Calibri"/>
          <w:color w:val="1A1A1A"/>
          <w:sz w:val="20"/>
          <w:szCs w:val="20"/>
        </w:rPr>
        <w:t xml:space="preserve"> reconnaît un principe fondamental reconnu par les lois de la République ; le législateur peut maintenir le droit local, l’adapter sans accroître les différences, mais non l’étendre. Avec l’outre-mer (</w:t>
      </w:r>
      <w:r>
        <w:rPr>
          <w:rFonts w:ascii="Calibri" w:cs="Calibri" w:eastAsia="Calibri" w:hAnsi="Calibri"/>
          <w:color w:val="1E88E5"/>
          <w:sz w:val="20"/>
          <w:szCs w:val="20"/>
        </w:rPr>
        <w:t xml:space="preserve">art. 73 et 74</w:t>
      </w:r>
      <w:r>
        <w:rPr>
          <w:rFonts w:ascii="Calibri" w:cs="Calibri" w:eastAsia="Calibri" w:hAnsi="Calibri"/>
          <w:color w:val="1A1A1A"/>
          <w:sz w:val="20"/>
          <w:szCs w:val="20"/>
        </w:rPr>
        <w:t xml:space="preserve">) et la Nouvelle-Calédonie (</w:t>
      </w:r>
      <w:r>
        <w:rPr>
          <w:rFonts w:ascii="Calibri" w:cs="Calibri" w:eastAsia="Calibri" w:hAnsi="Calibri"/>
          <w:color w:val="1E88E5"/>
          <w:sz w:val="20"/>
          <w:szCs w:val="20"/>
        </w:rPr>
        <w:t xml:space="preserve">art. 77</w:t>
      </w:r>
      <w:r>
        <w:rPr>
          <w:rFonts w:ascii="Calibri" w:cs="Calibri" w:eastAsia="Calibri" w:hAnsi="Calibri"/>
          <w:color w:val="1A1A1A"/>
          <w:sz w:val="20"/>
          <w:szCs w:val="20"/>
        </w:rPr>
        <w:t xml:space="preserve">), cela forme un argument complet : l’égalité est aménagée dans l’espace.</w:t>
      </w:r>
    </w:p>
    <w:p>
      <w:r>
        <w:br w:type="page"/>
      </w:r>
    </w:p>
    <w:p>
      <w:pPr>
        <w:shd w:fill="F2E9EA" w:val="clear"/>
        <w:spacing w:after="220" w:before="200"/>
        <w:jc w:val="center"/>
      </w:pPr>
      <w:r>
        <w:rPr>
          <w:rFonts w:ascii="Calibri" w:cs="Calibri" w:eastAsia="Calibri" w:hAnsi="Calibri"/>
          <w:b/>
          <w:bCs/>
          <w:color w:val="8C1C2B"/>
          <w:spacing w:val="30"/>
          <w:sz w:val="26"/>
          <w:szCs w:val="26"/>
        </w:rPr>
        <w:t xml:space="preserve">PARTIE V. ANNEXES</w:t>
      </w:r>
    </w:p>
    <w:p>
      <w:pPr>
        <w:pStyle w:val="Heading1"/>
        <w:pBdr>
          <w:bottom w:val="single" w:color="8C1C2B" w:sz="12" w:space="6"/>
        </w:pBdr>
        <w:spacing w:after="90" w:before="260"/>
      </w:pPr>
      <w:r>
        <w:rPr>
          <w:rFonts w:ascii="Calibri" w:cs="Calibri" w:eastAsia="Calibri" w:hAnsi="Calibri"/>
          <w:b/>
          <w:bCs/>
          <w:color w:val="8C1C2B"/>
          <w:sz w:val="28"/>
          <w:szCs w:val="28"/>
        </w:rPr>
        <w:t xml:space="preserve">1. LES RÉFÉRENCES À CORRIGER</w:t>
      </w:r>
    </w:p>
    <w:p>
      <w:pPr>
        <w:pStyle w:val="Heading2"/>
        <w:spacing w:after="110" w:before="260"/>
      </w:pPr>
      <w:r>
        <w:rPr>
          <w:rFonts w:ascii="Calibri" w:cs="Calibri" w:eastAsia="Calibri" w:hAnsi="Calibri"/>
          <w:b/>
          <w:bCs/>
          <w:color w:val="1A1A1A"/>
          <w:spacing w:val="16"/>
          <w:sz w:val="23"/>
          <w:szCs w:val="23"/>
        </w:rPr>
        <w:t xml:space="preserve">1.1. Dans le support</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Le support dit</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Il faut savoir</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Trame d’introduction : accroche, faits, procédure, problème de droit, réponse…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C’est la trame du </w:t>
            </w:r>
            <w:r>
              <w:rPr>
                <w:rFonts w:ascii="Calibri" w:cs="Calibri" w:eastAsia="Calibri" w:hAnsi="Calibri"/>
                <w:b w:val="false"/>
                <w:bCs w:val="false"/>
                <w:color w:val="1A1A1A"/>
                <w:sz w:val="17"/>
                <w:szCs w:val="17"/>
              </w:rPr>
              <w:t xml:space="preserve">commentaire de décision</w:t>
            </w:r>
            <w:r>
              <w:rPr>
                <w:rFonts w:ascii="Calibri" w:cs="Calibri" w:eastAsia="Calibri" w:hAnsi="Calibri"/>
                <w:b w:val="false"/>
                <w:bCs w:val="false"/>
                <w:color w:val="1A1A1A"/>
                <w:sz w:val="17"/>
                <w:szCs w:val="17"/>
              </w:rPr>
              <w:t xml:space="preserve">, reprise du séminaire précédent. Une argumentation n’a ni faits ni procédure : accroche, définitions, contexte, intérêt, problématique, annonce.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Plan « consécration / aménagements », découpé par juridiction</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Plan de dissertation, à retourner en plan de thèse (Partie II, § 6.1).</w:t>
            </w:r>
          </w:p>
        </w:tc>
      </w:tr>
    </w:tbl>
    <w:p>
      <w:pPr>
        <w:spacing w:after="120"/>
      </w:pPr>
    </w:p>
    <w:p>
      <w:pPr>
        <w:pStyle w:val="Heading2"/>
        <w:spacing w:after="110" w:before="260"/>
      </w:pPr>
      <w:r>
        <w:rPr>
          <w:rFonts w:ascii="Calibri" w:cs="Calibri" w:eastAsia="Calibri" w:hAnsi="Calibri"/>
          <w:b/>
          <w:bCs/>
          <w:color w:val="1A1A1A"/>
          <w:spacing w:val="16"/>
          <w:sz w:val="23"/>
          <w:szCs w:val="23"/>
        </w:rPr>
        <w:t xml:space="preserve">1.2. Dans le chat et les plans</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Erreur relevée</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Correction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DC, 21 juillet 1979 » (ponts à péage)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79-107 DC, 12 juillet 1979</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CE, 2013, Fédération CFTC : le sexe ne doit pas primer les capacités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L’arrêt juge que seule la </w:t>
            </w:r>
            <w:r>
              <w:rPr>
                <w:rFonts w:ascii="Calibri" w:cs="Calibri" w:eastAsia="Calibri" w:hAnsi="Calibri"/>
                <w:b w:val="false"/>
                <w:bCs w:val="false"/>
                <w:color w:val="1A1A1A"/>
                <w:sz w:val="17"/>
                <w:szCs w:val="17"/>
              </w:rPr>
              <w:t xml:space="preserve">loi</w:t>
            </w:r>
            <w:r>
              <w:rPr>
                <w:rFonts w:ascii="Calibri" w:cs="Calibri" w:eastAsia="Calibri" w:hAnsi="Calibri"/>
                <w:b w:val="false"/>
                <w:bCs w:val="false"/>
                <w:color w:val="1A1A1A"/>
                <w:sz w:val="17"/>
                <w:szCs w:val="17"/>
              </w:rPr>
              <w:t xml:space="preserve"> peut imposer la parité (</w:t>
            </w:r>
            <w:r>
              <w:rPr>
                <w:rFonts w:ascii="Calibri" w:cs="Calibri" w:eastAsia="Calibri" w:hAnsi="Calibri"/>
                <w:b w:val="false"/>
                <w:bCs w:val="false"/>
                <w:color w:val="E91E63"/>
                <w:sz w:val="17"/>
                <w:szCs w:val="17"/>
              </w:rPr>
              <w:t xml:space="preserve">CE, 7 mai 2013, n° 362280</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CJCE, 2000, Badeck refuse la promotion systématique des femmes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Badeck</w:t>
            </w:r>
            <w:r>
              <w:rPr>
                <w:rFonts w:ascii="Calibri" w:cs="Calibri" w:eastAsia="Calibri" w:hAnsi="Calibri"/>
                <w:b w:val="false"/>
                <w:bCs w:val="false"/>
                <w:color w:val="1A1A1A"/>
                <w:sz w:val="17"/>
                <w:szCs w:val="17"/>
              </w:rPr>
              <w:t xml:space="preserve"> </w:t>
            </w:r>
            <w:r>
              <w:rPr>
                <w:rFonts w:ascii="Calibri" w:cs="Calibri" w:eastAsia="Calibri" w:hAnsi="Calibri"/>
                <w:b w:val="false"/>
                <w:bCs w:val="false"/>
                <w:color w:val="1A1A1A"/>
                <w:sz w:val="17"/>
                <w:szCs w:val="17"/>
              </w:rPr>
              <w:t xml:space="preserve">admet</w:t>
            </w:r>
            <w:r>
              <w:rPr>
                <w:rFonts w:ascii="Calibri" w:cs="Calibri" w:eastAsia="Calibri" w:hAnsi="Calibri"/>
                <w:b w:val="false"/>
                <w:bCs w:val="false"/>
                <w:color w:val="1A1A1A"/>
                <w:sz w:val="17"/>
                <w:szCs w:val="17"/>
              </w:rPr>
              <w:t xml:space="preserve"> une priorité assortie d’une clause d’ouverture ; c’est </w:t>
            </w:r>
            <w:r>
              <w:rPr>
                <w:rFonts w:ascii="Calibri" w:cs="Calibri" w:eastAsia="Calibri" w:hAnsi="Calibri"/>
                <w:b w:val="false"/>
                <w:bCs w:val="false"/>
                <w:color w:val="E91E63"/>
                <w:sz w:val="17"/>
                <w:szCs w:val="17"/>
              </w:rPr>
              <w:t xml:space="preserve">Kalanke</w:t>
            </w:r>
            <w:r>
              <w:rPr>
                <w:rFonts w:ascii="Calibri" w:cs="Calibri" w:eastAsia="Calibri" w:hAnsi="Calibri"/>
                <w:b w:val="false"/>
                <w:bCs w:val="false"/>
                <w:color w:val="1A1A1A"/>
                <w:sz w:val="17"/>
                <w:szCs w:val="17"/>
              </w:rPr>
              <w:t xml:space="preserve"> (1995) qui censure la priorité automatique.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Arrêt Aramu » pour l’égalité</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 ass., 26 octobre 1945, Aramu</w:t>
            </w:r>
            <w:r>
              <w:rPr>
                <w:rFonts w:ascii="Calibri" w:cs="Calibri" w:eastAsia="Calibri" w:hAnsi="Calibri"/>
                <w:b w:val="false"/>
                <w:bCs w:val="false"/>
                <w:color w:val="1A1A1A"/>
                <w:sz w:val="17"/>
                <w:szCs w:val="17"/>
              </w:rPr>
              <w:t xml:space="preserve"> : principe général des droits de la défense.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JP Barel » pour la proportionnalité</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Barel</w:t>
            </w:r>
            <w:r>
              <w:rPr>
                <w:rFonts w:ascii="Calibri" w:cs="Calibri" w:eastAsia="Calibri" w:hAnsi="Calibri"/>
                <w:b w:val="false"/>
                <w:bCs w:val="false"/>
                <w:color w:val="1A1A1A"/>
                <w:sz w:val="17"/>
                <w:szCs w:val="17"/>
              </w:rPr>
              <w:t xml:space="preserve"> (1954) : égal accès aux emplois publics, indépendamment des opinions.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2010-32 QPC, 28 janvier 2011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 formule citée vient de </w:t>
            </w:r>
            <w:r>
              <w:rPr>
                <w:rFonts w:ascii="Calibri" w:cs="Calibri" w:eastAsia="Calibri" w:hAnsi="Calibri"/>
                <w:b w:val="false"/>
                <w:bCs w:val="false"/>
                <w:color w:val="E91E63"/>
                <w:sz w:val="17"/>
                <w:szCs w:val="17"/>
              </w:rPr>
              <w:t xml:space="preserve">2010-92 QPC, 28 janvier 2011</w:t>
            </w:r>
            <w:r>
              <w:rPr>
                <w:rFonts w:ascii="Calibri" w:cs="Calibri" w:eastAsia="Calibri" w:hAnsi="Calibri"/>
                <w:b w:val="false"/>
                <w:bCs w:val="false"/>
                <w:color w:val="1A1A1A"/>
                <w:sz w:val="17"/>
                <w:szCs w:val="17"/>
              </w:rPr>
              <w:t xml:space="preserve"> (mariage).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Duvignères, 18/12/2022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 sect., 18 décembre 2002</w:t>
            </w:r>
            <w:r>
              <w:rPr>
                <w:rFonts w:ascii="Calibri" w:cs="Calibri" w:eastAsia="Calibri" w:hAnsi="Calibri"/>
                <w:b w:val="false"/>
                <w:bCs w:val="false"/>
                <w:color w:val="1A1A1A"/>
                <w:sz w:val="17"/>
                <w:szCs w:val="17"/>
              </w:rPr>
              <w:t xml:space="pre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CE, ass. plén., Villemain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CE, ass., 28 juin 2002, Villemain</w:t>
            </w:r>
            <w:r>
              <w:rPr>
                <w:rFonts w:ascii="Calibri" w:cs="Calibri" w:eastAsia="Calibri" w:hAnsi="Calibri"/>
                <w:b w:val="false"/>
                <w:bCs w:val="false"/>
                <w:color w:val="1A1A1A"/>
                <w:sz w:val="17"/>
                <w:szCs w:val="17"/>
              </w:rPr>
              <w:t xml:space="preserve"> ; « assemblée plénière » désigne la Cour de cassation.</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QPC 23 janvier 2010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Impossible : la première QPC a été jugée le 28 mai 2010.</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QPC 8 août 2025 : congé parental plus long pour les mères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E91E63"/>
                <w:sz w:val="17"/>
                <w:szCs w:val="17"/>
              </w:rPr>
              <w:t xml:space="preserve">2025-1155 QPC</w:t>
            </w:r>
            <w:r>
              <w:rPr>
                <w:rFonts w:ascii="Calibri" w:cs="Calibri" w:eastAsia="Calibri" w:hAnsi="Calibri"/>
                <w:b w:val="false"/>
                <w:bCs w:val="false"/>
                <w:color w:val="1A1A1A"/>
                <w:sz w:val="17"/>
                <w:szCs w:val="17"/>
              </w:rPr>
              <w:t xml:space="preserve"> : bénéficiaires du </w:t>
            </w:r>
            <w:r>
              <w:rPr>
                <w:rFonts w:ascii="Calibri" w:cs="Calibri" w:eastAsia="Calibri" w:hAnsi="Calibri"/>
                <w:b w:val="false"/>
                <w:bCs w:val="false"/>
                <w:color w:val="1A1A1A"/>
                <w:sz w:val="17"/>
                <w:szCs w:val="17"/>
              </w:rPr>
              <w:t xml:space="preserve">congé de paternité</w:t>
            </w:r>
            <w:r>
              <w:rPr>
                <w:rFonts w:ascii="Calibri" w:cs="Calibri" w:eastAsia="Calibri" w:hAnsi="Calibri"/>
                <w:b w:val="false"/>
                <w:bCs w:val="false"/>
                <w:color w:val="1A1A1A"/>
                <w:sz w:val="17"/>
                <w:szCs w:val="17"/>
              </w:rPr>
              <w:t xml:space="preserve"> ; conformité sous réserve.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2025-1179 QPC : différence de traitement fondée sur des critères objectifs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Exact pour le critère de date, mais la décision </w:t>
            </w:r>
            <w:r>
              <w:rPr>
                <w:rFonts w:ascii="Calibri" w:cs="Calibri" w:eastAsia="Calibri" w:hAnsi="Calibri"/>
                <w:b w:val="false"/>
                <w:bCs w:val="false"/>
                <w:color w:val="1A1A1A"/>
                <w:sz w:val="17"/>
                <w:szCs w:val="17"/>
              </w:rPr>
              <w:t xml:space="preserve">censure</w:t>
            </w:r>
            <w:r>
              <w:rPr>
                <w:rFonts w:ascii="Calibri" w:cs="Calibri" w:eastAsia="Calibri" w:hAnsi="Calibri"/>
                <w:b w:val="false"/>
                <w:bCs w:val="false"/>
                <w:color w:val="1A1A1A"/>
                <w:sz w:val="17"/>
                <w:szCs w:val="17"/>
              </w:rPr>
              <w:t xml:space="preserve"> deux autres dispositions.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21 juin 1993 : valeur constitutionnelle de la progressivité de l’impôt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Inexact : le Conseil n’a pas érigé la progressivité de chaque impôt en exigence constitutionnelle.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CEDH, 2018, Thiam c. France » sur l’immunité présidentielle</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L’arrêt porte sur la constitution de partie civile du Président de la République.</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Citation d’Aristote entre guillemets</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Paraphrase de l’</w:t>
            </w:r>
            <w:r>
              <w:rPr>
                <w:rFonts w:ascii="Calibri" w:cs="Calibri" w:eastAsia="Calibri" w:hAnsi="Calibri"/>
                <w:b w:val="false"/>
                <w:bCs w:val="false"/>
                <w:color w:val="2E7D32"/>
                <w:sz w:val="17"/>
                <w:szCs w:val="17"/>
              </w:rPr>
              <w:t xml:space="preserve">Éthique à Nicomaque</w:t>
            </w:r>
            <w:r>
              <w:rPr>
                <w:rFonts w:ascii="Calibri" w:cs="Calibri" w:eastAsia="Calibri" w:hAnsi="Calibri"/>
                <w:b w:val="false"/>
                <w:bCs w:val="false"/>
                <w:color w:val="1A1A1A"/>
                <w:sz w:val="17"/>
                <w:szCs w:val="17"/>
              </w:rPr>
              <w:t xml:space="preserve">, livre V : la présenter sans guillemets.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Citation de Badinter (« L’égalité, ce n’est pas l’effacement des différences…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Introuvable : ne pas l’utiliser.</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 Charte des droits fondamentaux du 12 décembre 2007 »</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Proclamée le 7 décembre 2000, adaptée le 12 décembre 2007, contraignante depuis le traité de Lisbonne (1er décembre 2009).</w:t>
            </w:r>
          </w:p>
        </w:tc>
      </w:tr>
    </w:tbl>
    <w:p>
      <w:pPr>
        <w:spacing w:after="120"/>
      </w:pPr>
    </w:p>
    <w:p>
      <w:pPr>
        <w:pStyle w:val="Heading1"/>
        <w:pBdr>
          <w:bottom w:val="single" w:color="8C1C2B" w:sz="12" w:space="6"/>
        </w:pBdr>
        <w:spacing w:after="90" w:before="260"/>
      </w:pPr>
      <w:r>
        <w:rPr>
          <w:rFonts w:ascii="Calibri" w:cs="Calibri" w:eastAsia="Calibri" w:hAnsi="Calibri"/>
          <w:b/>
          <w:bCs/>
          <w:color w:val="8C1C2B"/>
          <w:sz w:val="28"/>
          <w:szCs w:val="28"/>
        </w:rPr>
        <w:t xml:space="preserve">2. KIT ORAL</w:t>
      </w:r>
    </w:p>
    <w:p>
      <w:pPr>
        <w:pStyle w:val="Heading2"/>
        <w:spacing w:after="110" w:before="260"/>
      </w:pPr>
      <w:r>
        <w:rPr>
          <w:rFonts w:ascii="Calibri" w:cs="Calibri" w:eastAsia="Calibri" w:hAnsi="Calibri"/>
          <w:b/>
          <w:bCs/>
          <w:color w:val="1A1A1A"/>
          <w:spacing w:val="16"/>
          <w:sz w:val="23"/>
          <w:szCs w:val="23"/>
        </w:rPr>
        <w:t xml:space="preserve">2.1. Trois accroches</w:t>
      </w:r>
    </w:p>
    <w:p>
      <w:pPr>
        <w:pStyle w:val="ListParagraph"/>
        <w:numPr>
          <w:ilvl w:val="0"/>
          <w:numId w:val="2"/>
        </w:numPr>
        <w:spacing w:after="70" w:line="264"/>
        <w:jc w:val="both"/>
      </w:pPr>
      <w:r>
        <w:rPr>
          <w:rFonts w:ascii="Calibri" w:cs="Calibri" w:eastAsia="Calibri" w:hAnsi="Calibri"/>
          <w:b/>
          <w:bCs/>
          <w:color w:val="1A1A1A"/>
          <w:sz w:val="20"/>
          <w:szCs w:val="20"/>
        </w:rPr>
        <w:t xml:space="preserve">L’article 6 contre lui-même</w:t>
      </w:r>
      <w:r>
        <w:rPr>
          <w:rFonts w:ascii="Calibri" w:cs="Calibri" w:eastAsia="Calibri" w:hAnsi="Calibri"/>
          <w:color w:val="1A1A1A"/>
          <w:sz w:val="20"/>
          <w:szCs w:val="20"/>
        </w:rPr>
        <w:t xml:space="preserve"> : la Déclaration aménage l’égalité dans la phrase qui la proclame (« selon leur capacité »).</w:t>
      </w:r>
    </w:p>
    <w:p>
      <w:pPr>
        <w:pStyle w:val="ListParagraph"/>
        <w:numPr>
          <w:ilvl w:val="0"/>
          <w:numId w:val="2"/>
        </w:numPr>
        <w:spacing w:after="70" w:line="264"/>
        <w:jc w:val="both"/>
      </w:pPr>
      <w:r>
        <w:rPr>
          <w:rFonts w:ascii="Calibri" w:cs="Calibri" w:eastAsia="Calibri" w:hAnsi="Calibri"/>
          <w:b/>
          <w:bCs/>
          <w:color w:val="1A1A1A"/>
          <w:sz w:val="20"/>
          <w:szCs w:val="20"/>
        </w:rPr>
        <w:t xml:space="preserve">Le quota de 2026</w:t>
      </w:r>
      <w:r>
        <w:rPr>
          <w:rFonts w:ascii="Calibri" w:cs="Calibri" w:eastAsia="Calibri" w:hAnsi="Calibri"/>
          <w:color w:val="1A1A1A"/>
          <w:sz w:val="20"/>
          <w:szCs w:val="20"/>
        </w:rPr>
        <w:t xml:space="preserve"> : 30 % de femmes parmi les cadres dirigeants depuis le 1er mars 2026, quarante-quatre ans après la censure du quota municipal de 1982.</w:t>
      </w:r>
    </w:p>
    <w:p>
      <w:pPr>
        <w:pStyle w:val="ListParagraph"/>
        <w:numPr>
          <w:ilvl w:val="0"/>
          <w:numId w:val="2"/>
        </w:numPr>
        <w:spacing w:after="70" w:line="264"/>
        <w:jc w:val="both"/>
      </w:pPr>
      <w:r>
        <w:rPr>
          <w:rFonts w:ascii="Calibri" w:cs="Calibri" w:eastAsia="Calibri" w:hAnsi="Calibri"/>
          <w:b/>
          <w:bCs/>
          <w:color w:val="1A1A1A"/>
          <w:sz w:val="20"/>
          <w:szCs w:val="20"/>
        </w:rPr>
        <w:t xml:space="preserve">Anatole France</w:t>
      </w:r>
      <w:r>
        <w:rPr>
          <w:rFonts w:ascii="Calibri" w:cs="Calibri" w:eastAsia="Calibri" w:hAnsi="Calibri"/>
          <w:color w:val="1A1A1A"/>
          <w:sz w:val="20"/>
          <w:szCs w:val="20"/>
        </w:rPr>
        <w:t xml:space="preserve"> : « La majestueuse égalité des lois, qui interdit au riche comme au pauvre de coucher sous les ponts, de mendier dans les rues et de voler du pain » (</w:t>
      </w:r>
      <w:r>
        <w:rPr>
          <w:rFonts w:ascii="Calibri" w:cs="Calibri" w:eastAsia="Calibri" w:hAnsi="Calibri"/>
          <w:color w:val="2E7D32"/>
          <w:sz w:val="20"/>
          <w:szCs w:val="20"/>
        </w:rPr>
        <w:t xml:space="preserve">Le Lys rouge</w:t>
      </w:r>
      <w:r>
        <w:rPr>
          <w:rFonts w:ascii="Calibri" w:cs="Calibri" w:eastAsia="Calibri" w:hAnsi="Calibri"/>
          <w:color w:val="1A1A1A"/>
          <w:sz w:val="20"/>
          <w:szCs w:val="20"/>
        </w:rPr>
        <w:t xml:space="preserve">, 1894). L’égalité uniforme peut être injuste : il faut l’aménager.</w:t>
      </w:r>
    </w:p>
    <w:p>
      <w:pPr>
        <w:pStyle w:val="Heading2"/>
        <w:spacing w:after="110" w:before="260"/>
      </w:pPr>
      <w:r>
        <w:rPr>
          <w:rFonts w:ascii="Calibri" w:cs="Calibri" w:eastAsia="Calibri" w:hAnsi="Calibri"/>
          <w:b/>
          <w:bCs/>
          <w:color w:val="1A1A1A"/>
          <w:spacing w:val="16"/>
          <w:sz w:val="23"/>
          <w:szCs w:val="23"/>
        </w:rPr>
        <w:t xml:space="preserve">2.2. Les formules à savoir restituer</w:t>
      </w:r>
    </w:p>
    <w:p>
      <w:pPr>
        <w:pStyle w:val="ListParagraph"/>
        <w:numPr>
          <w:ilvl w:val="0"/>
          <w:numId w:val="2"/>
        </w:numPr>
        <w:spacing w:after="70" w:line="264"/>
        <w:jc w:val="both"/>
      </w:pPr>
      <w:r>
        <w:rPr>
          <w:rFonts w:ascii="Calibri" w:cs="Calibri" w:eastAsia="Calibri" w:hAnsi="Calibri"/>
          <w:color w:val="1E88E5"/>
          <w:sz w:val="20"/>
          <w:szCs w:val="20"/>
        </w:rPr>
        <w:t xml:space="preserve">Art. 1er DDHC</w:t>
      </w:r>
      <w:r>
        <w:rPr>
          <w:rFonts w:ascii="Calibri" w:cs="Calibri" w:eastAsia="Calibri" w:hAnsi="Calibri"/>
          <w:color w:val="1A1A1A"/>
          <w:sz w:val="20"/>
          <w:szCs w:val="20"/>
        </w:rPr>
        <w:t xml:space="preserve"> : « Les distinctions sociales ne peuvent être fondées que sur l’utilité commune. »</w:t>
      </w:r>
    </w:p>
    <w:p>
      <w:pPr>
        <w:pStyle w:val="ListParagraph"/>
        <w:numPr>
          <w:ilvl w:val="0"/>
          <w:numId w:val="2"/>
        </w:numPr>
        <w:spacing w:after="70" w:line="264"/>
        <w:jc w:val="both"/>
      </w:pPr>
      <w:r>
        <w:rPr>
          <w:rFonts w:ascii="Calibri" w:cs="Calibri" w:eastAsia="Calibri" w:hAnsi="Calibri"/>
          <w:color w:val="1E88E5"/>
          <w:sz w:val="20"/>
          <w:szCs w:val="20"/>
        </w:rPr>
        <w:t xml:space="preserve">Art. 13 DDHC</w:t>
      </w:r>
      <w:r>
        <w:rPr>
          <w:rFonts w:ascii="Calibri" w:cs="Calibri" w:eastAsia="Calibri" w:hAnsi="Calibri"/>
          <w:color w:val="1A1A1A"/>
          <w:sz w:val="20"/>
          <w:szCs w:val="20"/>
        </w:rPr>
        <w:t xml:space="preserve"> : contribution « également répartie entre tous les citoyens, en raison de leurs facultés ».</w:t>
      </w:r>
    </w:p>
    <w:p>
      <w:pPr>
        <w:pStyle w:val="ListParagraph"/>
        <w:numPr>
          <w:ilvl w:val="0"/>
          <w:numId w:val="2"/>
        </w:numPr>
        <w:spacing w:after="70" w:line="264"/>
        <w:jc w:val="both"/>
      </w:pPr>
      <w:r>
        <w:rPr>
          <w:rFonts w:ascii="Calibri" w:cs="Calibri" w:eastAsia="Calibri" w:hAnsi="Calibri"/>
          <w:color w:val="E91E63"/>
          <w:sz w:val="20"/>
          <w:szCs w:val="20"/>
        </w:rPr>
        <w:t xml:space="preserve">87-232 DC</w:t>
      </w:r>
      <w:r>
        <w:rPr>
          <w:rFonts w:ascii="Calibri" w:cs="Calibri" w:eastAsia="Calibri" w:hAnsi="Calibri"/>
          <w:color w:val="1A1A1A"/>
          <w:sz w:val="20"/>
          <w:szCs w:val="20"/>
        </w:rPr>
        <w:t xml:space="preserve"> : « ni à ce que le législateur règle de façon différente des situations différentes, ni à ce qu’il déroge à l’égalité pour des raisons d’intérêt général ».</w:t>
      </w:r>
    </w:p>
    <w:p>
      <w:pPr>
        <w:pStyle w:val="ListParagraph"/>
        <w:numPr>
          <w:ilvl w:val="0"/>
          <w:numId w:val="2"/>
        </w:numPr>
        <w:spacing w:after="70" w:line="264"/>
        <w:jc w:val="both"/>
      </w:pPr>
      <w:r>
        <w:rPr>
          <w:rFonts w:ascii="Calibri" w:cs="Calibri" w:eastAsia="Calibri" w:hAnsi="Calibri"/>
          <w:color w:val="1E88E5"/>
          <w:sz w:val="20"/>
          <w:szCs w:val="20"/>
        </w:rPr>
        <w:t xml:space="preserve">Art. 23 CDFUE</w:t>
      </w:r>
      <w:r>
        <w:rPr>
          <w:rFonts w:ascii="Calibri" w:cs="Calibri" w:eastAsia="Calibri" w:hAnsi="Calibri"/>
          <w:color w:val="1A1A1A"/>
          <w:sz w:val="20"/>
          <w:szCs w:val="20"/>
        </w:rPr>
        <w:t xml:space="preserve"> : le principe d’égalité « n’empêche pas le maintien ou l’adoption de mesures prévoyant des avantages spécifiques en faveur du sexe sous-représenté ».</w:t>
      </w:r>
    </w:p>
    <w:p>
      <w:pPr>
        <w:pStyle w:val="ListParagraph"/>
        <w:numPr>
          <w:ilvl w:val="0"/>
          <w:numId w:val="2"/>
        </w:numPr>
        <w:spacing w:after="70" w:line="264"/>
        <w:jc w:val="both"/>
      </w:pPr>
      <w:r>
        <w:rPr>
          <w:rFonts w:ascii="Calibri" w:cs="Calibri" w:eastAsia="Calibri" w:hAnsi="Calibri"/>
          <w:color w:val="E91E63"/>
          <w:sz w:val="20"/>
          <w:szCs w:val="20"/>
        </w:rPr>
        <w:t xml:space="preserve">2025-1163/1167 QPC</w:t>
      </w:r>
      <w:r>
        <w:rPr>
          <w:rFonts w:ascii="Calibri" w:cs="Calibri" w:eastAsia="Calibri" w:hAnsi="Calibri"/>
          <w:color w:val="1A1A1A"/>
          <w:sz w:val="20"/>
          <w:szCs w:val="20"/>
        </w:rPr>
        <w:t xml:space="preserve"> : une « dérogation aux principes d’égalité et d’universalité du suffrage introduite dans le texte de la Constitution ».</w:t>
      </w:r>
    </w:p>
    <w:p>
      <w:pPr>
        <w:pStyle w:val="Heading2"/>
        <w:spacing w:after="110" w:before="260"/>
      </w:pPr>
      <w:r>
        <w:rPr>
          <w:rFonts w:ascii="Calibri" w:cs="Calibri" w:eastAsia="Calibri" w:hAnsi="Calibri"/>
          <w:b/>
          <w:bCs/>
          <w:color w:val="1A1A1A"/>
          <w:spacing w:val="16"/>
          <w:sz w:val="23"/>
          <w:szCs w:val="23"/>
        </w:rPr>
        <w:t xml:space="preserve">2.3. Les chiffres</w:t>
      </w:r>
    </w:p>
    <w:tbl>
      <w:tblPr>
        <w:tblW w:type="pct" w:w="100%"/>
        <w:tblBorders>
          <w:top w:val="single" w:color="C9C0B6" w:sz="2"/>
          <w:left w:val="single" w:color="C9C0B6" w:sz="2"/>
          <w:bottom w:val="single" w:color="C9C0B6" w:sz="2"/>
          <w:right w:val="single" w:color="C9C0B6" w:sz="2"/>
          <w:insideH w:val="single" w:color="DCD5CC" w:sz="2"/>
          <w:insideV w:val="single" w:color="DCD5CC" w:sz="2"/>
        </w:tblBorders>
      </w:tblPr>
      <w:tblGrid>
        <w:gridCol w:w="100"/>
        <w:gridCol w:w="100"/>
      </w:tblGrid>
      <w:tr>
        <w:trPr>
          <w:tblHeader/>
        </w:trPr>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Repère</w:t>
            </w:r>
          </w:p>
        </w:tc>
        <w:tc>
          <w:tcPr>
            <w:tcW w:type="pct" w:w="50%"/>
            <w:shd w:fill="F2E9EA" w:val="clear"/>
            <w:tcMar>
              <w:top w:type="dxa" w:w="60"/>
              <w:left w:type="dxa" w:w="90"/>
              <w:bottom w:type="dxa" w:w="60"/>
              <w:right w:type="dxa" w:w="90"/>
            </w:tcMar>
          </w:tcPr>
          <w:p>
            <w:pPr>
              <w:spacing w:after="0" w:line="240"/>
            </w:pPr>
            <w:r>
              <w:rPr>
                <w:rFonts w:ascii="Calibri" w:cs="Calibri" w:eastAsia="Calibri" w:hAnsi="Calibri"/>
                <w:b/>
                <w:bCs/>
                <w:color w:val="1A1A1A"/>
                <w:sz w:val="17"/>
                <w:szCs w:val="17"/>
              </w:rPr>
              <w:t xml:space="preserve">Valeur</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Femmes cadres dirigeants (loi Rixain)</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30 % depuis le 1er mars 2026 ; 40 % au 1er mars 2029 (entreprises d’au moins 1 000 salariés)</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Administrateurs de chaque sexe (Copé-Zimmermann)</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40 %</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Obligation d’emploi des travailleurs handicapés</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6 % (loi du 10 juillet 1987)</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Révisions constitutionnelles sur la parité</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8 juillet 1999 ; 23 juillet 2008</w:t>
            </w:r>
          </w:p>
        </w:tc>
      </w:tr>
      <w:tr>
        <w:trPr>
          <w:tblHeader w:val="false"/>
        </w:trPr>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Première décision fondée sur l’égalité devant la loi</w:t>
            </w:r>
          </w:p>
        </w:tc>
        <w:tc>
          <w:tcPr>
            <w:tcW w:type="pct" w:w="50%"/>
            <w:tcMar>
              <w:top w:type="dxa" w:w="60"/>
              <w:left w:type="dxa" w:w="90"/>
              <w:bottom w:type="dxa" w:w="60"/>
              <w:right w:type="dxa" w:w="90"/>
            </w:tcMar>
          </w:tcPr>
          <w:p>
            <w:pPr>
              <w:spacing w:after="0" w:line="240"/>
            </w:pPr>
            <w:r>
              <w:rPr>
                <w:rFonts w:ascii="Calibri" w:cs="Calibri" w:eastAsia="Calibri" w:hAnsi="Calibri"/>
                <w:b w:val="false"/>
                <w:bCs w:val="false"/>
                <w:color w:val="1A1A1A"/>
                <w:sz w:val="17"/>
                <w:szCs w:val="17"/>
              </w:rPr>
              <w:t xml:space="preserve">27 décembre 1973 (73-51 DC)</w:t>
            </w:r>
          </w:p>
        </w:tc>
      </w:tr>
    </w:tbl>
    <w:p>
      <w:pPr>
        <w:spacing w:after="120"/>
      </w:pPr>
    </w:p>
    <w:p>
      <w:pPr>
        <w:pStyle w:val="Heading1"/>
        <w:pBdr>
          <w:bottom w:val="single" w:color="8C1C2B" w:sz="12" w:space="6"/>
        </w:pBdr>
        <w:spacing w:after="90" w:before="260"/>
      </w:pPr>
      <w:r>
        <w:rPr>
          <w:rFonts w:ascii="Calibri" w:cs="Calibri" w:eastAsia="Calibri" w:hAnsi="Calibri"/>
          <w:b/>
          <w:bCs/>
          <w:color w:val="8C1C2B"/>
          <w:sz w:val="28"/>
          <w:szCs w:val="28"/>
        </w:rPr>
        <w:t xml:space="preserve">3. LE CARNET FISCAL — POUR TA SPÉCIALITÉ</w:t>
      </w:r>
    </w:p>
    <w:p>
      <w:pPr>
        <w:spacing w:after="90" w:line="264"/>
        <w:jc w:val="both"/>
      </w:pPr>
      <w:r>
        <w:rPr>
          <w:rFonts w:ascii="Calibri" w:cs="Calibri" w:eastAsia="Calibri" w:hAnsi="Calibri"/>
          <w:color w:val="1A1A1A"/>
          <w:sz w:val="20"/>
          <w:szCs w:val="20"/>
        </w:rPr>
        <w:t xml:space="preserve">Le droit fiscal est le domaine où l’aménagement de l’égalité est le plus ancien et le plus visible. Trois idées à placer dans l’exposé ou l’entretien :</w:t>
      </w:r>
    </w:p>
    <w:p>
      <w:pPr>
        <w:pStyle w:val="ListParagraph"/>
        <w:numPr>
          <w:ilvl w:val="0"/>
          <w:numId w:val="2"/>
        </w:numPr>
        <w:spacing w:after="70" w:line="264"/>
        <w:jc w:val="both"/>
      </w:pPr>
      <w:r>
        <w:rPr>
          <w:rFonts w:ascii="Calibri" w:cs="Calibri" w:eastAsia="Calibri" w:hAnsi="Calibri"/>
          <w:b/>
          <w:bCs/>
          <w:color w:val="1A1A1A"/>
          <w:sz w:val="20"/>
          <w:szCs w:val="20"/>
        </w:rPr>
        <w:t xml:space="preserve">Le fondement</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13 DDHC</w:t>
      </w:r>
      <w:r>
        <w:rPr>
          <w:rFonts w:ascii="Calibri" w:cs="Calibri" w:eastAsia="Calibri" w:hAnsi="Calibri"/>
          <w:color w:val="1A1A1A"/>
          <w:sz w:val="20"/>
          <w:szCs w:val="20"/>
        </w:rPr>
        <w:t xml:space="preserve"> fait de la capacité contributive le critère même de l’égalité devant l’impôt. La progressivité, le quotient familial et les exonérations sont des aménagements constitutionnellement fondés.</w:t>
      </w:r>
    </w:p>
    <w:p>
      <w:pPr>
        <w:pStyle w:val="ListParagraph"/>
        <w:numPr>
          <w:ilvl w:val="0"/>
          <w:numId w:val="2"/>
        </w:numPr>
        <w:spacing w:after="70" w:line="264"/>
        <w:jc w:val="both"/>
      </w:pPr>
      <w:r>
        <w:rPr>
          <w:rFonts w:ascii="Calibri" w:cs="Calibri" w:eastAsia="Calibri" w:hAnsi="Calibri"/>
          <w:b/>
          <w:bCs/>
          <w:color w:val="1A1A1A"/>
          <w:sz w:val="20"/>
          <w:szCs w:val="20"/>
        </w:rPr>
        <w:t xml:space="preserve">Le contrôle</w:t>
      </w:r>
      <w:r>
        <w:rPr>
          <w:rFonts w:ascii="Calibri" w:cs="Calibri" w:eastAsia="Calibri" w:hAnsi="Calibri"/>
          <w:color w:val="1A1A1A"/>
          <w:sz w:val="20"/>
          <w:szCs w:val="20"/>
        </w:rPr>
        <w:t xml:space="preserve"> : le Conseil exige que les différences reposent sur des « critères objectifs et rationnels en fonction des buts que le législateur se propose » et qu’elles n’entraînent pas de « rupture caractérisée de l’égalité devant les charges publiques ». Le contrôle est restreint, mais réel : </w:t>
      </w:r>
      <w:r>
        <w:rPr>
          <w:rFonts w:ascii="Calibri" w:cs="Calibri" w:eastAsia="Calibri" w:hAnsi="Calibri"/>
          <w:color w:val="E91E63"/>
          <w:sz w:val="20"/>
          <w:szCs w:val="20"/>
        </w:rPr>
        <w:t xml:space="preserve">2012-662 DC, 29 décembre 2012</w:t>
      </w:r>
      <w:r>
        <w:rPr>
          <w:rFonts w:ascii="Calibri" w:cs="Calibri" w:eastAsia="Calibri" w:hAnsi="Calibri"/>
          <w:color w:val="1A1A1A"/>
          <w:sz w:val="20"/>
          <w:szCs w:val="20"/>
        </w:rPr>
        <w:t xml:space="preserve"> censure la contribution exceptionnelle de 75 % parce qu’elle était assise sur le revenu de chaque personne et non sur celui du foyer.</w:t>
      </w:r>
    </w:p>
    <w:p>
      <w:pPr>
        <w:pStyle w:val="ListParagraph"/>
        <w:numPr>
          <w:ilvl w:val="0"/>
          <w:numId w:val="2"/>
        </w:numPr>
        <w:spacing w:after="70" w:line="264"/>
        <w:jc w:val="both"/>
      </w:pPr>
      <w:r>
        <w:rPr>
          <w:rFonts w:ascii="Calibri" w:cs="Calibri" w:eastAsia="Calibri" w:hAnsi="Calibri"/>
          <w:b/>
          <w:bCs/>
          <w:color w:val="1A1A1A"/>
          <w:sz w:val="20"/>
          <w:szCs w:val="20"/>
        </w:rPr>
        <w:t xml:space="preserve">L’aménagement territorial</w:t>
      </w:r>
      <w:r>
        <w:rPr>
          <w:rFonts w:ascii="Calibri" w:cs="Calibri" w:eastAsia="Calibri" w:hAnsi="Calibri"/>
          <w:color w:val="1A1A1A"/>
          <w:sz w:val="20"/>
          <w:szCs w:val="20"/>
        </w:rPr>
        <w:t xml:space="preserve"> : zones de revitalisation rurale, zones franches urbaines (</w:t>
      </w:r>
      <w:r>
        <w:rPr>
          <w:rFonts w:ascii="Calibri" w:cs="Calibri" w:eastAsia="Calibri" w:hAnsi="Calibri"/>
          <w:color w:val="E91E63"/>
          <w:sz w:val="20"/>
          <w:szCs w:val="20"/>
        </w:rPr>
        <w:t xml:space="preserve">94-358 DC</w:t>
      </w:r>
      <w:r>
        <w:rPr>
          <w:rFonts w:ascii="Calibri" w:cs="Calibri" w:eastAsia="Calibri" w:hAnsi="Calibri"/>
          <w:color w:val="1A1A1A"/>
          <w:sz w:val="20"/>
          <w:szCs w:val="20"/>
        </w:rPr>
        <w:t xml:space="preserve">) ; taxe sur les déchets réservée aux communes accueillant de nouveaux centres (</w:t>
      </w:r>
      <w:r>
        <w:rPr>
          <w:rFonts w:ascii="Calibri" w:cs="Calibri" w:eastAsia="Calibri" w:hAnsi="Calibri"/>
          <w:color w:val="E91E63"/>
          <w:sz w:val="20"/>
          <w:szCs w:val="20"/>
        </w:rPr>
        <w:t xml:space="preserve">2025-1179 QPC</w:t>
      </w:r>
      <w:r>
        <w:rPr>
          <w:rFonts w:ascii="Calibri" w:cs="Calibri" w:eastAsia="Calibri" w:hAnsi="Calibri"/>
          <w:color w:val="1A1A1A"/>
          <w:sz w:val="20"/>
          <w:szCs w:val="20"/>
        </w:rPr>
        <w:t xml:space="preserve"> : critère de date « objectif et rationnel »).</w:t>
      </w:r>
    </w:p>
    <w:p>
      <w:pPr>
        <w:spacing w:after="90" w:line="264"/>
        <w:jc w:val="both"/>
      </w:pPr>
      <w:r>
        <w:rPr>
          <w:rFonts w:ascii="Calibri" w:cs="Calibri" w:eastAsia="Calibri" w:hAnsi="Calibri"/>
          <w:b/>
          <w:bCs/>
          <w:color w:val="1A1A1A"/>
          <w:sz w:val="20"/>
          <w:szCs w:val="20"/>
        </w:rPr>
        <w:t xml:space="preserve">Phrase à préparer pour l’entretien</w:t>
      </w:r>
      <w:r>
        <w:rPr>
          <w:rFonts w:ascii="Calibri" w:cs="Calibri" w:eastAsia="Calibri" w:hAnsi="Calibri"/>
          <w:color w:val="1A1A1A"/>
          <w:sz w:val="20"/>
          <w:szCs w:val="20"/>
        </w:rPr>
        <w:t xml:space="preserve"> : « En droit fiscal, l’égalité n’a jamais signifié que chacun paie la même somme, mais que chacun contribue selon ses facultés : l’aménagement est la règle depuis 1789, et le contrôle du Conseil constitutionnel en vérifie seulement la rationalité. »</w:t>
      </w:r>
    </w:p>
    <w:p>
      <w:pPr>
        <w:pStyle w:val="Heading1"/>
        <w:pBdr>
          <w:bottom w:val="single" w:color="8C1C2B" w:sz="12" w:space="6"/>
        </w:pBdr>
        <w:spacing w:after="90" w:before="260"/>
      </w:pPr>
      <w:r>
        <w:rPr>
          <w:rFonts w:ascii="Calibri" w:cs="Calibri" w:eastAsia="Calibri" w:hAnsi="Calibri"/>
          <w:b/>
          <w:bCs/>
          <w:color w:val="8C1C2B"/>
          <w:sz w:val="28"/>
          <w:szCs w:val="28"/>
        </w:rPr>
        <w:t xml:space="preserve">4. MÉMO DE MÉTHODE — L’ARGUMENTATION À THÈSE IMPOSÉE</w:t>
      </w:r>
    </w:p>
    <w:p>
      <w:pPr>
        <w:pStyle w:val="ListParagraph"/>
        <w:numPr>
          <w:ilvl w:val="0"/>
          <w:numId w:val="2"/>
        </w:numPr>
        <w:spacing w:after="70" w:line="264"/>
        <w:jc w:val="both"/>
      </w:pPr>
      <w:r>
        <w:rPr>
          <w:rFonts w:ascii="Calibri" w:cs="Calibri" w:eastAsia="Calibri" w:hAnsi="Calibri"/>
          <w:b/>
          <w:bCs/>
          <w:color w:val="1A1A1A"/>
          <w:sz w:val="20"/>
          <w:szCs w:val="20"/>
        </w:rPr>
        <w:t xml:space="preserve">Définir pour tenir la thèse</w:t>
      </w:r>
      <w:r>
        <w:rPr>
          <w:rFonts w:ascii="Calibri" w:cs="Calibri" w:eastAsia="Calibri" w:hAnsi="Calibri"/>
          <w:color w:val="1A1A1A"/>
          <w:sz w:val="20"/>
          <w:szCs w:val="20"/>
        </w:rPr>
        <w:t xml:space="preserve"> : le mot clé du sujet (ici « aménager ») reçoit une définition stipulative en introduction.</w:t>
      </w:r>
    </w:p>
    <w:p>
      <w:pPr>
        <w:pStyle w:val="ListParagraph"/>
        <w:numPr>
          <w:ilvl w:val="0"/>
          <w:numId w:val="2"/>
        </w:numPr>
        <w:spacing w:after="70" w:line="264"/>
        <w:jc w:val="both"/>
      </w:pPr>
      <w:r>
        <w:rPr>
          <w:rFonts w:ascii="Calibri" w:cs="Calibri" w:eastAsia="Calibri" w:hAnsi="Calibri"/>
          <w:b/>
          <w:bCs/>
          <w:color w:val="1A1A1A"/>
          <w:sz w:val="20"/>
          <w:szCs w:val="20"/>
        </w:rPr>
        <w:t xml:space="preserve">Problématique en alternative</w:t>
      </w:r>
      <w:r>
        <w:rPr>
          <w:rFonts w:ascii="Calibri" w:cs="Calibri" w:eastAsia="Calibri" w:hAnsi="Calibri"/>
          <w:color w:val="1A1A1A"/>
          <w:sz w:val="20"/>
          <w:szCs w:val="20"/>
        </w:rPr>
        <w:t xml:space="preserve"> : « X est-il la négation ou la condition de Y ? ». Jamais « dans quelle mesure ».</w:t>
      </w:r>
    </w:p>
    <w:p>
      <w:pPr>
        <w:pStyle w:val="ListParagraph"/>
        <w:numPr>
          <w:ilvl w:val="0"/>
          <w:numId w:val="2"/>
        </w:numPr>
        <w:spacing w:after="70" w:line="264"/>
        <w:jc w:val="both"/>
      </w:pPr>
      <w:r>
        <w:rPr>
          <w:rFonts w:ascii="Calibri" w:cs="Calibri" w:eastAsia="Calibri" w:hAnsi="Calibri"/>
          <w:b/>
          <w:bCs/>
          <w:color w:val="1A1A1A"/>
          <w:sz w:val="20"/>
          <w:szCs w:val="20"/>
        </w:rPr>
        <w:t xml:space="preserve">Chaque partie démontre</w:t>
      </w:r>
      <w:r>
        <w:rPr>
          <w:rFonts w:ascii="Calibri" w:cs="Calibri" w:eastAsia="Calibri" w:hAnsi="Calibri"/>
          <w:color w:val="1A1A1A"/>
          <w:sz w:val="20"/>
          <w:szCs w:val="20"/>
        </w:rPr>
        <w:t xml:space="preserve"> : pas de partie « principe » ni de partie « limites » neutres ; les limites deviennent des preuves.</w:t>
      </w:r>
    </w:p>
    <w:p>
      <w:pPr>
        <w:pStyle w:val="ListParagraph"/>
        <w:numPr>
          <w:ilvl w:val="0"/>
          <w:numId w:val="2"/>
        </w:numPr>
        <w:spacing w:after="70" w:line="264"/>
        <w:jc w:val="both"/>
      </w:pPr>
      <w:r>
        <w:rPr>
          <w:rFonts w:ascii="Calibri" w:cs="Calibri" w:eastAsia="Calibri" w:hAnsi="Calibri"/>
          <w:b/>
          <w:bCs/>
          <w:color w:val="1A1A1A"/>
          <w:sz w:val="20"/>
          <w:szCs w:val="20"/>
        </w:rPr>
        <w:t xml:space="preserve">Répondre à l’objection la plus forte</w:t>
      </w:r>
      <w:r>
        <w:rPr>
          <w:rFonts w:ascii="Calibri" w:cs="Calibri" w:eastAsia="Calibri" w:hAnsi="Calibri"/>
          <w:color w:val="1A1A1A"/>
          <w:sz w:val="20"/>
          <w:szCs w:val="20"/>
        </w:rPr>
        <w:t xml:space="preserve"> dans le corps de l’exposé (ici : « aménager, c’est créer des privilèges »).</w:t>
      </w:r>
    </w:p>
    <w:p>
      <w:pPr>
        <w:pStyle w:val="ListParagraph"/>
        <w:numPr>
          <w:ilvl w:val="0"/>
          <w:numId w:val="2"/>
        </w:numPr>
        <w:spacing w:after="70" w:line="264"/>
        <w:jc w:val="both"/>
      </w:pPr>
      <w:r>
        <w:rPr>
          <w:rFonts w:ascii="Calibri" w:cs="Calibri" w:eastAsia="Calibri" w:hAnsi="Calibri"/>
          <w:b/>
          <w:bCs/>
          <w:color w:val="1A1A1A"/>
          <w:sz w:val="20"/>
          <w:szCs w:val="20"/>
        </w:rPr>
        <w:t xml:space="preserve">La nuance n’apparaît qu’en ouverture</w:t>
      </w:r>
      <w:r>
        <w:rPr>
          <w:rFonts w:ascii="Calibri" w:cs="Calibri" w:eastAsia="Calibri" w:hAnsi="Calibri"/>
          <w:color w:val="1A1A1A"/>
          <w:sz w:val="20"/>
          <w:szCs w:val="20"/>
        </w:rPr>
        <w:t xml:space="preserve">, en une ou deux phrases.</w:t>
      </w:r>
    </w:p>
    <w:p>
      <w:pPr>
        <w:pStyle w:val="ListParagraph"/>
        <w:numPr>
          <w:ilvl w:val="0"/>
          <w:numId w:val="2"/>
        </w:numPr>
        <w:spacing w:after="70" w:line="264"/>
        <w:jc w:val="both"/>
      </w:pPr>
      <w:r>
        <w:rPr>
          <w:rFonts w:ascii="Calibri" w:cs="Calibri" w:eastAsia="Calibri" w:hAnsi="Calibri"/>
          <w:b/>
          <w:bCs/>
          <w:color w:val="1A1A1A"/>
          <w:sz w:val="20"/>
          <w:szCs w:val="20"/>
        </w:rPr>
        <w:t xml:space="preserve">Préparer trois ripostes</w:t>
      </w:r>
      <w:r>
        <w:rPr>
          <w:rFonts w:ascii="Calibri" w:cs="Calibri" w:eastAsia="Calibri" w:hAnsi="Calibri"/>
          <w:color w:val="1A1A1A"/>
          <w:sz w:val="20"/>
          <w:szCs w:val="20"/>
        </w:rPr>
        <w:t xml:space="preserve"> aux objections prévisibles du jury : concéder en une phrase, renverser en deux.</w:t>
      </w:r>
    </w:p>
    <w:sectPr>
      <w:footerReference w:type="default" r:id="rId7"/>
      <w:pgSz w:w="11906" w:h="16838" w:orient="portrait"/>
      <w:pgMar w:top="1020" w:right="1077" w:bottom="1020"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Grand Oral CRFPA — Entraînement n° 3 — Soutenez que le principe d’égalité peut être aménagé   |   </w:t>
    </w:r>
    <w:r>
      <w:rPr>
        <w:rFonts w:ascii="Calibri" w:cs="Calibri" w:eastAsia="Calibri" w:hAnsi="Calibri"/>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lvl w:ilvl="2" w15:tentative="1">
      <w:start w:val="1"/>
      <w:numFmt w:val="bullet"/>
      <w:lvlText w:val="·"/>
      <w:lvlJc w:val="left"/>
      <w:pPr>
        <w:ind w:left="10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Correction enrichie — Entraînement n° 3 — Principe d’égalité</dc:title>
  <dc:creator>Simon</dc:creator>
  <dc:description>Correction reprise et enrichie du troisième entraînement Objectif Barreau</dc:description>
  <cp:lastModifiedBy>Un-named</cp:lastModifiedBy>
  <cp:revision>1</cp:revision>
  <dcterms:created xsi:type="dcterms:W3CDTF">2026-10-10T20:36:36.197Z</dcterms:created>
  <dcterms:modified xsi:type="dcterms:W3CDTF">2026-10-10T20:36:36.204Z</dcterms:modified>
</cp:coreProperties>
</file>

<file path=docProps/custom.xml><?xml version="1.0" encoding="utf-8"?>
<Properties xmlns="http://schemas.openxmlformats.org/officeDocument/2006/custom-properties" xmlns:vt="http://schemas.openxmlformats.org/officeDocument/2006/docPropsVTypes"/>
</file>