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1200"/>
        <w:jc w:val="center"/>
      </w:pPr>
      <w:r>
        <w:rPr>
          <w:rFonts w:ascii="Calibri" w:cs="Calibri" w:eastAsia="Calibri" w:hAnsi="Calibri"/>
          <w:b/>
          <w:bCs/>
          <w:color w:val="8C1C2B"/>
          <w:sz w:val="40"/>
          <w:szCs w:val="40"/>
        </w:rPr>
        <w:t xml:space="preserve">GRAND ORAL CRFPA</w:t>
      </w:r>
    </w:p>
    <w:p>
      <w:pPr>
        <w:spacing w:after="100"/>
        <w:jc w:val="center"/>
      </w:pPr>
      <w:r>
        <w:rPr>
          <w:rFonts w:ascii="Calibri" w:cs="Calibri" w:eastAsia="Calibri" w:hAnsi="Calibri"/>
          <w:b/>
          <w:bCs/>
          <w:color w:val="1A1A1A"/>
          <w:sz w:val="24"/>
          <w:szCs w:val="24"/>
        </w:rPr>
        <w:t xml:space="preserve">Correction enrichie — Entraînement n° 4</w:t>
      </w:r>
    </w:p>
    <w:p>
      <w:pPr>
        <w:spacing w:after="100"/>
        <w:jc w:val="center"/>
      </w:pPr>
      <w:r>
        <w:rPr>
          <w:rFonts w:ascii="Calibri" w:cs="Calibri" w:eastAsia="Calibri" w:hAnsi="Calibri"/>
          <w:color w:val="1A1A1A"/>
          <w:sz w:val="24"/>
          <w:szCs w:val="24"/>
        </w:rPr>
        <w:t xml:space="preserve">Commentaire de décision : </w:t>
      </w:r>
      <w:r>
        <w:rPr>
          <w:rFonts w:ascii="Calibri" w:cs="Calibri" w:eastAsia="Calibri" w:hAnsi="Calibri"/>
          <w:color w:val="E91E63"/>
          <w:sz w:val="24"/>
          <w:szCs w:val="24"/>
        </w:rPr>
        <w:t xml:space="preserve">Cass. soc., 14 janvier 2026, n° 23-19.947, FS-B</w:t>
      </w:r>
    </w:p>
    <w:p>
      <w:pPr>
        <w:spacing w:after="100"/>
        <w:jc w:val="center"/>
      </w:pPr>
      <w:r>
        <w:rPr>
          <w:rFonts w:ascii="Calibri" w:cs="Calibri" w:eastAsia="Calibri" w:hAnsi="Calibri"/>
          <w:i/>
          <w:iCs/>
          <w:color w:val="1A1A1A"/>
          <w:sz w:val="24"/>
          <w:szCs w:val="24"/>
        </w:rPr>
        <w:t xml:space="preserve">Les caricatures du salarié d’Airbus : la liberté d’expression du salarié passe de l’abus à la mise en balance</w:t>
      </w:r>
    </w:p>
    <w:p>
      <w:pPr>
        <w:spacing w:after="100" w:before="400"/>
        <w:jc w:val="center"/>
      </w:pPr>
      <w:r>
        <w:rPr>
          <w:rFonts w:ascii="Calibri" w:cs="Calibri" w:eastAsia="Calibri" w:hAnsi="Calibri"/>
          <w:color w:val="1A1A1A"/>
          <w:sz w:val="19"/>
          <w:szCs w:val="19"/>
        </w:rPr>
        <w:t xml:space="preserve">Live Objectif Barreau du 14 octobre 2026 (Michaël Poyet) — corrigé repris, vérifié sur Légifrance et enrichi</w:t>
      </w:r>
    </w:p>
    <w:p>
      <w:pPr>
        <w:spacing w:after="100" w:before="400"/>
        <w:jc w:val="center"/>
      </w:pPr>
      <w:r>
        <w:rPr>
          <w:rFonts w:ascii="Calibri" w:cs="Calibri" w:eastAsia="Calibri" w:hAnsi="Calibri"/>
          <w:color w:val="1A1A1A"/>
          <w:sz w:val="19"/>
          <w:szCs w:val="19"/>
        </w:rPr>
        <w:t xml:space="preserve">Code couleur : </w:t>
      </w:r>
      <w:r>
        <w:rPr>
          <w:rFonts w:ascii="Calibri" w:cs="Calibri" w:eastAsia="Calibri" w:hAnsi="Calibri"/>
          <w:color w:val="1E88E5"/>
          <w:sz w:val="19"/>
          <w:szCs w:val="19"/>
        </w:rPr>
        <w:t xml:space="preserve">textes normatifs en bleu</w:t>
      </w:r>
      <w:r>
        <w:rPr>
          <w:rFonts w:ascii="Calibri" w:cs="Calibri" w:eastAsia="Calibri" w:hAnsi="Calibri"/>
          <w:color w:val="1A1A1A"/>
          <w:sz w:val="19"/>
          <w:szCs w:val="19"/>
        </w:rPr>
        <w:t xml:space="preserve"> · </w:t>
      </w:r>
      <w:r>
        <w:rPr>
          <w:rFonts w:ascii="Calibri" w:cs="Calibri" w:eastAsia="Calibri" w:hAnsi="Calibri"/>
          <w:color w:val="E91E63"/>
          <w:sz w:val="19"/>
          <w:szCs w:val="19"/>
        </w:rPr>
        <w:t xml:space="preserve">jurisprudence en rose</w:t>
      </w:r>
      <w:r>
        <w:rPr>
          <w:rFonts w:ascii="Calibri" w:cs="Calibri" w:eastAsia="Calibri" w:hAnsi="Calibri"/>
          <w:color w:val="1A1A1A"/>
          <w:sz w:val="19"/>
          <w:szCs w:val="19"/>
        </w:rPr>
        <w:t xml:space="preserve"> · </w:t>
      </w:r>
      <w:r>
        <w:rPr>
          <w:rFonts w:ascii="Calibri" w:cs="Calibri" w:eastAsia="Calibri" w:hAnsi="Calibri"/>
          <w:color w:val="2E7D32"/>
          <w:sz w:val="19"/>
          <w:szCs w:val="19"/>
        </w:rPr>
        <w:t xml:space="preserve">doctrine en vert</w:t>
      </w:r>
      <w:r>
        <w:rPr>
          <w:rFonts w:ascii="Calibri" w:cs="Calibri" w:eastAsia="Calibri" w:hAnsi="Calibri"/>
          <w:color w:val="1A1A1A"/>
          <w:sz w:val="19"/>
          <w:szCs w:val="19"/>
        </w:rPr>
        <w:t xml:space="preserve"> · </w:t>
      </w:r>
      <w:r>
        <w:rPr>
          <w:rFonts w:ascii="Calibri" w:cs="Calibri" w:eastAsia="Calibri" w:hAnsi="Calibri"/>
          <w:b/>
          <w:bCs/>
          <w:color w:val="1A1A1A"/>
          <w:sz w:val="19"/>
          <w:szCs w:val="19"/>
        </w:rPr>
        <w:t xml:space="preserve">gras = apport à mémoriser</w:t>
      </w:r>
    </w:p>
    <w:p>
      <w:pPr>
        <w:spacing w:after="100" w:before="400"/>
        <w:jc w:val="center"/>
      </w:pPr>
      <w:r>
        <w:rPr>
          <w:rFonts w:ascii="Calibri" w:cs="Calibri" w:eastAsia="Calibri" w:hAnsi="Calibri"/>
          <w:color w:val="1A1A1A"/>
          <w:sz w:val="19"/>
          <w:szCs w:val="19"/>
        </w:rPr>
        <w:t xml:space="preserve">Arrêt lu dans son texte intégral sur Légifrance (ECLI:FR:CCASS:2026:SO00049), ainsi que les arrêts de la même série (</w:t>
      </w:r>
      <w:r>
        <w:rPr>
          <w:rFonts w:ascii="Calibri" w:cs="Calibri" w:eastAsia="Calibri" w:hAnsi="Calibri"/>
          <w:color w:val="E91E63"/>
          <w:sz w:val="19"/>
          <w:szCs w:val="19"/>
        </w:rPr>
        <w:t xml:space="preserve">n° 24-13.778</w:t>
      </w:r>
      <w:r>
        <w:rPr>
          <w:rFonts w:ascii="Calibri" w:cs="Calibri" w:eastAsia="Calibri" w:hAnsi="Calibri"/>
          <w:color w:val="1A1A1A"/>
          <w:sz w:val="19"/>
          <w:szCs w:val="19"/>
        </w:rPr>
        <w:t xml:space="preserve">, </w:t>
      </w:r>
      <w:r>
        <w:rPr>
          <w:rFonts w:ascii="Calibri" w:cs="Calibri" w:eastAsia="Calibri" w:hAnsi="Calibri"/>
          <w:color w:val="E91E63"/>
          <w:sz w:val="19"/>
          <w:szCs w:val="19"/>
        </w:rPr>
        <w:t xml:space="preserve">n° 24-19.583</w:t>
      </w:r>
      <w:r>
        <w:rPr>
          <w:rFonts w:ascii="Calibri" w:cs="Calibri" w:eastAsia="Calibri" w:hAnsi="Calibri"/>
          <w:color w:val="1A1A1A"/>
          <w:sz w:val="19"/>
          <w:szCs w:val="19"/>
        </w:rPr>
        <w:t xml:space="preserve">, </w:t>
      </w:r>
      <w:r>
        <w:rPr>
          <w:rFonts w:ascii="Calibri" w:cs="Calibri" w:eastAsia="Calibri" w:hAnsi="Calibri"/>
          <w:color w:val="E91E63"/>
          <w:sz w:val="19"/>
          <w:szCs w:val="19"/>
        </w:rPr>
        <w:t xml:space="preserve">n° 23-17.946</w:t>
      </w:r>
      <w:r>
        <w:rPr>
          <w:rFonts w:ascii="Calibri" w:cs="Calibri" w:eastAsia="Calibri" w:hAnsi="Calibri"/>
          <w:color w:val="1A1A1A"/>
          <w:sz w:val="19"/>
          <w:szCs w:val="19"/>
        </w:rPr>
        <w:t xml:space="preserve">, et l’arrêt inédit </w:t>
      </w:r>
      <w:r>
        <w:rPr>
          <w:rFonts w:ascii="Calibri" w:cs="Calibri" w:eastAsia="Calibri" w:hAnsi="Calibri"/>
          <w:color w:val="E91E63"/>
          <w:sz w:val="19"/>
          <w:szCs w:val="19"/>
        </w:rPr>
        <w:t xml:space="preserve">n° 24-18.877</w:t>
      </w:r>
      <w:r>
        <w:rPr>
          <w:rFonts w:ascii="Calibri" w:cs="Calibri" w:eastAsia="Calibri" w:hAnsi="Calibri"/>
          <w:color w:val="1A1A1A"/>
          <w:sz w:val="19"/>
          <w:szCs w:val="19"/>
        </w:rPr>
        <w:t xml:space="preserve">).</w:t>
      </w:r>
    </w:p>
    <w:p>
      <w:r>
        <w:br w:type="page"/>
      </w:r>
    </w:p>
    <w:p>
      <w:pPr>
        <w:shd w:fill="F2E9EA" w:val="clear"/>
        <w:spacing w:after="220" w:before="200"/>
        <w:jc w:val="center"/>
      </w:pPr>
      <w:r>
        <w:rPr>
          <w:rFonts w:ascii="Calibri" w:cs="Calibri" w:eastAsia="Calibri" w:hAnsi="Calibri"/>
          <w:b/>
          <w:bCs/>
          <w:color w:val="8C1C2B"/>
          <w:spacing w:val="30"/>
          <w:sz w:val="26"/>
          <w:szCs w:val="26"/>
        </w:rPr>
        <w:t xml:space="preserve">MODE D’EMPLOI</w:t>
      </w:r>
    </w:p>
    <w:p>
      <w:pPr>
        <w:spacing w:after="90" w:line="264"/>
        <w:jc w:val="both"/>
      </w:pPr>
      <w:r>
        <w:rPr>
          <w:rFonts w:ascii="Calibri" w:cs="Calibri" w:eastAsia="Calibri" w:hAnsi="Calibri"/>
          <w:color w:val="1A1A1A"/>
          <w:sz w:val="20"/>
          <w:szCs w:val="20"/>
        </w:rPr>
        <w:t xml:space="preserve">Ce document suit la même architecture que les corrections précédentes. Il se lit en deux temps : la </w:t>
      </w:r>
      <w:r>
        <w:rPr>
          <w:rFonts w:ascii="Calibri" w:cs="Calibri" w:eastAsia="Calibri" w:hAnsi="Calibri"/>
          <w:b/>
          <w:bCs/>
          <w:color w:val="1A1A1A"/>
          <w:sz w:val="20"/>
          <w:szCs w:val="20"/>
        </w:rPr>
        <w:t xml:space="preserve">fiche-mémoire</w:t>
      </w:r>
      <w:r>
        <w:rPr>
          <w:rFonts w:ascii="Calibri" w:cs="Calibri" w:eastAsia="Calibri" w:hAnsi="Calibri"/>
          <w:color w:val="1A1A1A"/>
          <w:sz w:val="20"/>
          <w:szCs w:val="20"/>
        </w:rPr>
        <w:t xml:space="preserve"> (4 pages) pour la révision de dernière minute, puis le reste pour comprendre, approfondir et préparer l’entretien.</w:t>
      </w:r>
    </w:p>
    <w:tbl>
      <w:tblPr>
        <w:tblW w:type="pct" w:w="100%"/>
        <w:tblBorders>
          <w:top w:val="single" w:color="C9C0B6" w:sz="2"/>
          <w:left w:val="single" w:color="C9C0B6" w:sz="2"/>
          <w:bottom w:val="single" w:color="C9C0B6" w:sz="2"/>
          <w:right w:val="single" w:color="C9C0B6" w:sz="2"/>
          <w:insideH w:val="single" w:color="DCD5CC" w:sz="2"/>
          <w:insideV w:val="single" w:color="DCD5CC" w:sz="2"/>
        </w:tblBorders>
      </w:tblPr>
      <w:tblGrid>
        <w:gridCol w:w="100"/>
        <w:gridCol w:w="100"/>
        <w:gridCol w:w="100"/>
      </w:tblGrid>
      <w:tr>
        <w:trPr>
          <w:tblHeader/>
        </w:trPr>
        <w:tc>
          <w:tcPr>
            <w:tcW w:type="pct" w:w="33.333333333333336%"/>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Partie</w:t>
            </w:r>
          </w:p>
        </w:tc>
        <w:tc>
          <w:tcPr>
            <w:tcW w:type="pct" w:w="33.333333333333336%"/>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Contenu</w:t>
            </w:r>
          </w:p>
        </w:tc>
        <w:tc>
          <w:tcPr>
            <w:tcW w:type="pct" w:w="33.333333333333336%"/>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Usage</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Fiche-mémoire</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Accroche, décision en trois lignes, cinq références ★, matrice de plan, pièges</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Relire la veille et le matin de l’épreuve</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I. Dossier documentaire</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L’arrêt décodé paragraphe par paragraphe, la série du 14 janvier 2026, l’architecture textuelle, la ligne jurisprudentielle, la CEDH, l’actualité</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Comprendre et nourrir les sous-parties</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II. Le commentaire</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Méthode, heure de préparation, introduction rédigée, plan détaillé avec chapeaux et transitions, conclusion, plan du correcteur, plan alternatif, relances du jury</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S’entraîner à l’exposé de 15 minutes</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III. Correction des plans</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Analyse de plans d’élèves du chat, note indicative, synthèse des fautes récurrentes</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Éviter les erreurs des autres</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IV. Questions du chat</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Réponses vérifiées aux questions posées pendant le live (méthode et actualité)</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Préparer l’entretien</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V. Annexes</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Références à corriger (support, chat), kit oral, chiffres et dates, mémo de méthode</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Dernière vérification</w:t>
            </w:r>
          </w:p>
        </w:tc>
      </w:tr>
    </w:tbl>
    <w:p>
      <w:pPr>
        <w:spacing w:after="120"/>
      </w:pPr>
    </w:p>
    <w:p>
      <w:pPr>
        <w:pStyle w:val="Heading2"/>
        <w:spacing w:after="110" w:before="260"/>
      </w:pPr>
      <w:r>
        <w:rPr>
          <w:rFonts w:ascii="Calibri" w:cs="Calibri" w:eastAsia="Calibri" w:hAnsi="Calibri"/>
          <w:b/>
          <w:bCs/>
          <w:color w:val="1A1A1A"/>
          <w:spacing w:val="16"/>
          <w:sz w:val="23"/>
          <w:szCs w:val="23"/>
        </w:rPr>
        <w:t xml:space="preserve">Trois avertissements de méthode</w:t>
      </w:r>
    </w:p>
    <w:p>
      <w:pPr>
        <w:pBdr>
          <w:top w:val="single" w:color="D8CFC4" w:sz="4" w:space="8"/>
          <w:bottom w:val="single" w:color="D8CFC4" w:sz="4" w:space="8"/>
          <w:left w:val="single" w:color="D8CFC4" w:sz="4" w:space="8"/>
          <w:right w:val="single" w:color="D8CFC4" w:sz="4" w:space="8"/>
        </w:pBdr>
        <w:shd w:fill="F7F4F0" w:val="clear"/>
        <w:spacing w:after="120" w:before="120" w:line="264"/>
        <w:ind w:left="140" w:right="140"/>
        <w:jc w:val="both"/>
      </w:pPr>
      <w:r>
        <w:rPr>
          <w:rFonts w:ascii="Calibri" w:cs="Calibri" w:eastAsia="Calibri" w:hAnsi="Calibri"/>
          <w:b/>
          <w:bCs/>
          <w:color w:val="1A1A1A"/>
          <w:sz w:val="19"/>
          <w:szCs w:val="19"/>
        </w:rPr>
        <w:t xml:space="preserve">1. Lire l’arrêt, pas son résumé.</w:t>
      </w:r>
      <w:r>
        <w:rPr>
          <w:rFonts w:ascii="Calibri" w:cs="Calibri" w:eastAsia="Calibri" w:hAnsi="Calibri"/>
          <w:color w:val="1A1A1A"/>
          <w:sz w:val="19"/>
          <w:szCs w:val="19"/>
        </w:rPr>
        <w:t xml:space="preserve"> Plusieurs élèves ont affirmé que la Cour « déclare le licenciement nul ». C’est faux : la Cour </w:t>
      </w:r>
      <w:r>
        <w:rPr>
          <w:rFonts w:ascii="Calibri" w:cs="Calibri" w:eastAsia="Calibri" w:hAnsi="Calibri"/>
          <w:b/>
          <w:bCs/>
          <w:color w:val="1A1A1A"/>
          <w:sz w:val="19"/>
          <w:szCs w:val="19"/>
        </w:rPr>
        <w:t xml:space="preserve">casse partiellement et renvoie</w:t>
      </w:r>
      <w:r>
        <w:rPr>
          <w:rFonts w:ascii="Calibri" w:cs="Calibri" w:eastAsia="Calibri" w:hAnsi="Calibri"/>
          <w:color w:val="1A1A1A"/>
          <w:sz w:val="19"/>
          <w:szCs w:val="19"/>
        </w:rPr>
        <w:t xml:space="preserve"> devant la cour d’appel de Rennes autrement composée (</w:t>
      </w:r>
      <w:r>
        <w:rPr>
          <w:rFonts w:ascii="Calibri" w:cs="Calibri" w:eastAsia="Calibri" w:hAnsi="Calibri"/>
          <w:color w:val="E91E63"/>
          <w:sz w:val="19"/>
          <w:szCs w:val="19"/>
        </w:rPr>
        <w:t xml:space="preserve">§ 18 et dispositif</w:t>
      </w:r>
      <w:r>
        <w:rPr>
          <w:rFonts w:ascii="Calibri" w:cs="Calibri" w:eastAsia="Calibri" w:hAnsi="Calibri"/>
          <w:color w:val="1A1A1A"/>
          <w:sz w:val="19"/>
          <w:szCs w:val="19"/>
        </w:rPr>
        <w:t xml:space="preserve">). Elle ne tranche pas le fond ; elle reproche aux juges du fond de ne pas avoir mené la mise en balance. Confondre cassation et décision au fond est la faute la plus coûteuse d’un commentaire d’arrêt de cassation.</w:t>
      </w:r>
    </w:p>
    <w:p>
      <w:pPr>
        <w:pBdr>
          <w:top w:val="single" w:color="D8CFC4" w:sz="4" w:space="8"/>
          <w:bottom w:val="single" w:color="D8CFC4" w:sz="4" w:space="8"/>
          <w:left w:val="single" w:color="D8CFC4" w:sz="4" w:space="8"/>
          <w:right w:val="single" w:color="D8CFC4" w:sz="4" w:space="8"/>
        </w:pBdr>
        <w:shd w:fill="F7F4F0" w:val="clear"/>
        <w:spacing w:after="120" w:before="120" w:line="264"/>
        <w:ind w:left="140" w:right="140"/>
        <w:jc w:val="both"/>
      </w:pPr>
      <w:r>
        <w:rPr>
          <w:rFonts w:ascii="Calibri" w:cs="Calibri" w:eastAsia="Calibri" w:hAnsi="Calibri"/>
          <w:b/>
          <w:bCs/>
          <w:color w:val="1A1A1A"/>
          <w:sz w:val="19"/>
          <w:szCs w:val="19"/>
        </w:rPr>
        <w:t xml:space="preserve">2. Le revirement se lit dans le texte.</w:t>
      </w:r>
      <w:r>
        <w:rPr>
          <w:rFonts w:ascii="Calibri" w:cs="Calibri" w:eastAsia="Calibri" w:hAnsi="Calibri"/>
          <w:color w:val="1A1A1A"/>
          <w:sz w:val="19"/>
          <w:szCs w:val="19"/>
        </w:rPr>
        <w:t xml:space="preserve"> Comparez le moyen (</w:t>
      </w:r>
      <w:r>
        <w:rPr>
          <w:rFonts w:ascii="Calibri" w:cs="Calibri" w:eastAsia="Calibri" w:hAnsi="Calibri"/>
          <w:color w:val="E91E63"/>
          <w:sz w:val="19"/>
          <w:szCs w:val="19"/>
        </w:rPr>
        <w:t xml:space="preserve">§ 10, 3°</w:t>
      </w:r>
      <w:r>
        <w:rPr>
          <w:rFonts w:ascii="Calibri" w:cs="Calibri" w:eastAsia="Calibri" w:hAnsi="Calibri"/>
          <w:color w:val="1A1A1A"/>
          <w:sz w:val="19"/>
          <w:szCs w:val="19"/>
        </w:rPr>
        <w:t xml:space="preserve">) : « </w:t>
      </w:r>
      <w:r>
        <w:rPr>
          <w:rFonts w:ascii="Calibri" w:cs="Calibri" w:eastAsia="Calibri" w:hAnsi="Calibri"/>
          <w:i/>
          <w:iCs/>
          <w:color w:val="1A1A1A"/>
          <w:sz w:val="19"/>
          <w:szCs w:val="19"/>
        </w:rPr>
        <w:t xml:space="preserve">sauf abus</w:t>
      </w:r>
      <w:r>
        <w:rPr>
          <w:rFonts w:ascii="Calibri" w:cs="Calibri" w:eastAsia="Calibri" w:hAnsi="Calibri"/>
          <w:color w:val="1A1A1A"/>
          <w:sz w:val="19"/>
          <w:szCs w:val="19"/>
        </w:rPr>
        <w:t xml:space="preserve">, le salarié jouit, dans l’entreprise et en dehors de celle-ci, de sa liberté d’expression… » et la réponse de la Cour (</w:t>
      </w:r>
      <w:r>
        <w:rPr>
          <w:rFonts w:ascii="Calibri" w:cs="Calibri" w:eastAsia="Calibri" w:hAnsi="Calibri"/>
          <w:color w:val="E91E63"/>
          <w:sz w:val="19"/>
          <w:szCs w:val="19"/>
        </w:rPr>
        <w:t xml:space="preserve">§ 11</w:t>
      </w:r>
      <w:r>
        <w:rPr>
          <w:rFonts w:ascii="Calibri" w:cs="Calibri" w:eastAsia="Calibri" w:hAnsi="Calibri"/>
          <w:color w:val="1A1A1A"/>
          <w:sz w:val="19"/>
          <w:szCs w:val="19"/>
        </w:rPr>
        <w:t xml:space="preserve">) : la formule est reprise… </w:t>
      </w:r>
      <w:r>
        <w:rPr>
          <w:rFonts w:ascii="Calibri" w:cs="Calibri" w:eastAsia="Calibri" w:hAnsi="Calibri"/>
          <w:b/>
          <w:bCs/>
          <w:color w:val="1A1A1A"/>
          <w:sz w:val="19"/>
          <w:szCs w:val="19"/>
        </w:rPr>
        <w:t xml:space="preserve">sans les mots « sauf abus »</w:t>
      </w:r>
      <w:r>
        <w:rPr>
          <w:rFonts w:ascii="Calibri" w:cs="Calibri" w:eastAsia="Calibri" w:hAnsi="Calibri"/>
          <w:color w:val="1A1A1A"/>
          <w:sz w:val="19"/>
          <w:szCs w:val="19"/>
        </w:rPr>
        <w:t xml:space="preserve">. La disparition de deux mots dans un chapeau de principe, dans un arrêt FS-B rendu le même jour que trois autres publiés, est le signal du changement de méthode. Même sans connaître la jurisprudence antérieure, un candidat attentif pouvait le voir.</w:t>
      </w:r>
    </w:p>
    <w:p>
      <w:pPr>
        <w:pBdr>
          <w:top w:val="single" w:color="D8CFC4" w:sz="4" w:space="8"/>
          <w:bottom w:val="single" w:color="D8CFC4" w:sz="4" w:space="8"/>
          <w:left w:val="single" w:color="D8CFC4" w:sz="4" w:space="8"/>
          <w:right w:val="single" w:color="D8CFC4" w:sz="4" w:space="8"/>
        </w:pBdr>
        <w:shd w:fill="F7F4F0" w:val="clear"/>
        <w:spacing w:after="120" w:before="120" w:line="264"/>
        <w:ind w:left="140" w:right="140"/>
        <w:jc w:val="both"/>
      </w:pPr>
      <w:r>
        <w:rPr>
          <w:rFonts w:ascii="Calibri" w:cs="Calibri" w:eastAsia="Calibri" w:hAnsi="Calibri"/>
          <w:b/>
          <w:bCs/>
          <w:color w:val="1A1A1A"/>
          <w:sz w:val="19"/>
          <w:szCs w:val="19"/>
        </w:rPr>
        <w:t xml:space="preserve">3. Ne pas surjouer la protection du salarié.</w:t>
      </w:r>
      <w:r>
        <w:rPr>
          <w:rFonts w:ascii="Calibri" w:cs="Calibri" w:eastAsia="Calibri" w:hAnsi="Calibri"/>
          <w:color w:val="1A1A1A"/>
          <w:sz w:val="19"/>
          <w:szCs w:val="19"/>
        </w:rPr>
        <w:t xml:space="preserve"> L’arrêt commenté est favorable au salarié, mais la série du 14 janvier 2026 est équilibrée : un rejet favorable à l’employeur (</w:t>
      </w:r>
      <w:r>
        <w:rPr>
          <w:rFonts w:ascii="Calibri" w:cs="Calibri" w:eastAsia="Calibri" w:hAnsi="Calibri"/>
          <w:color w:val="E91E63"/>
          <w:sz w:val="19"/>
          <w:szCs w:val="19"/>
        </w:rPr>
        <w:t xml:space="preserve">n° 24-13.778</w:t>
      </w:r>
      <w:r>
        <w:rPr>
          <w:rFonts w:ascii="Calibri" w:cs="Calibri" w:eastAsia="Calibri" w:hAnsi="Calibri"/>
          <w:color w:val="1A1A1A"/>
          <w:sz w:val="19"/>
          <w:szCs w:val="19"/>
        </w:rPr>
        <w:t xml:space="preserve">), une cassation d’un arrêt qui avait annulé le licenciement (</w:t>
      </w:r>
      <w:r>
        <w:rPr>
          <w:rFonts w:ascii="Calibri" w:cs="Calibri" w:eastAsia="Calibri" w:hAnsi="Calibri"/>
          <w:color w:val="E91E63"/>
          <w:sz w:val="19"/>
          <w:szCs w:val="19"/>
        </w:rPr>
        <w:t xml:space="preserve">n° 24-19.583</w:t>
      </w:r>
      <w:r>
        <w:rPr>
          <w:rFonts w:ascii="Calibri" w:cs="Calibri" w:eastAsia="Calibri" w:hAnsi="Calibri"/>
          <w:color w:val="1A1A1A"/>
          <w:sz w:val="19"/>
          <w:szCs w:val="19"/>
        </w:rPr>
        <w:t xml:space="preserve">), un rejet sur le terrain de la qualification (</w:t>
      </w:r>
      <w:r>
        <w:rPr>
          <w:rFonts w:ascii="Calibri" w:cs="Calibri" w:eastAsia="Calibri" w:hAnsi="Calibri"/>
          <w:color w:val="E91E63"/>
          <w:sz w:val="19"/>
          <w:szCs w:val="19"/>
        </w:rPr>
        <w:t xml:space="preserve">n° 23-17.946</w:t>
      </w:r>
      <w:r>
        <w:rPr>
          <w:rFonts w:ascii="Calibri" w:cs="Calibri" w:eastAsia="Calibri" w:hAnsi="Calibri"/>
          <w:color w:val="1A1A1A"/>
          <w:sz w:val="19"/>
          <w:szCs w:val="19"/>
        </w:rPr>
        <w:t xml:space="preserve">). La mise en balance n’est pas un « renforcement » à sens unique : c’est un </w:t>
      </w:r>
      <w:r>
        <w:rPr>
          <w:rFonts w:ascii="Calibri" w:cs="Calibri" w:eastAsia="Calibri" w:hAnsi="Calibri"/>
          <w:b/>
          <w:bCs/>
          <w:color w:val="1A1A1A"/>
          <w:sz w:val="19"/>
          <w:szCs w:val="19"/>
        </w:rPr>
        <w:t xml:space="preserve">changement de méthode dont l’issue dépend des faits</w:t>
      </w:r>
      <w:r>
        <w:rPr>
          <w:rFonts w:ascii="Calibri" w:cs="Calibri" w:eastAsia="Calibri" w:hAnsi="Calibri"/>
          <w:color w:val="1A1A1A"/>
          <w:sz w:val="19"/>
          <w:szCs w:val="19"/>
        </w:rPr>
        <w:t xml:space="preserve">. Un plan qui l’a vu se distingue.</w:t>
      </w:r>
    </w:p>
    <w:p>
      <w:r>
        <w:br w:type="page"/>
      </w:r>
    </w:p>
    <w:p>
      <w:pPr>
        <w:shd w:fill="F2E9EA" w:val="clear"/>
        <w:spacing w:after="220" w:before="200"/>
        <w:jc w:val="center"/>
      </w:pPr>
      <w:r>
        <w:rPr>
          <w:rFonts w:ascii="Calibri" w:cs="Calibri" w:eastAsia="Calibri" w:hAnsi="Calibri"/>
          <w:b/>
          <w:bCs/>
          <w:color w:val="8C1C2B"/>
          <w:spacing w:val="30"/>
          <w:sz w:val="26"/>
          <w:szCs w:val="26"/>
        </w:rPr>
        <w:t xml:space="preserve">FICHE-MÉMOIRE</w:t>
      </w:r>
    </w:p>
    <w:p>
      <w:pPr>
        <w:pStyle w:val="Heading2"/>
        <w:spacing w:after="110" w:before="260"/>
      </w:pPr>
      <w:r>
        <w:rPr>
          <w:rFonts w:ascii="Calibri" w:cs="Calibri" w:eastAsia="Calibri" w:hAnsi="Calibri"/>
          <w:b/>
          <w:bCs/>
          <w:color w:val="1A1A1A"/>
          <w:spacing w:val="16"/>
          <w:sz w:val="23"/>
          <w:szCs w:val="23"/>
        </w:rPr>
        <w:t xml:space="preserve">L’accroche</w:t>
      </w:r>
    </w:p>
    <w:p>
      <w:pPr>
        <w:pBdr>
          <w:top w:val="single" w:color="D8CFC4" w:sz="4" w:space="8"/>
          <w:bottom w:val="single" w:color="D8CFC4" w:sz="4" w:space="8"/>
          <w:left w:val="single" w:color="D8CFC4" w:sz="4" w:space="8"/>
          <w:right w:val="single" w:color="D8CFC4" w:sz="4" w:space="8"/>
        </w:pBdr>
        <w:shd w:fill="F7F4F0" w:val="clear"/>
        <w:spacing w:after="120" w:before="120" w:line="264"/>
        <w:ind w:left="140" w:right="140"/>
        <w:jc w:val="both"/>
      </w:pPr>
      <w:r>
        <w:rPr>
          <w:rFonts w:ascii="Calibri" w:cs="Calibri" w:eastAsia="Calibri" w:hAnsi="Calibri"/>
          <w:color w:val="1A1A1A"/>
          <w:sz w:val="19"/>
          <w:szCs w:val="19"/>
        </w:rPr>
        <w:t xml:space="preserve">« </w:t>
      </w:r>
      <w:r>
        <w:rPr>
          <w:rFonts w:ascii="Calibri" w:cs="Calibri" w:eastAsia="Calibri" w:hAnsi="Calibri"/>
          <w:i/>
          <w:iCs/>
          <w:color w:val="1A1A1A"/>
          <w:sz w:val="19"/>
          <w:szCs w:val="19"/>
        </w:rPr>
        <w:t xml:space="preserve">La libre communication des pensées et des opinions est un des droits les plus précieux de l’Homme</w:t>
      </w:r>
      <w:r>
        <w:rPr>
          <w:rFonts w:ascii="Calibri" w:cs="Calibri" w:eastAsia="Calibri" w:hAnsi="Calibri"/>
          <w:color w:val="1A1A1A"/>
          <w:sz w:val="19"/>
          <w:szCs w:val="19"/>
        </w:rPr>
        <w:t xml:space="preserve"> » (</w:t>
      </w:r>
      <w:r>
        <w:rPr>
          <w:rFonts w:ascii="Calibri" w:cs="Calibri" w:eastAsia="Calibri" w:hAnsi="Calibri"/>
          <w:color w:val="1E88E5"/>
          <w:sz w:val="19"/>
          <w:szCs w:val="19"/>
        </w:rPr>
        <w:t xml:space="preserve">art. 11 DDHC</w:t>
      </w:r>
      <w:r>
        <w:rPr>
          <w:rFonts w:ascii="Calibri" w:cs="Calibri" w:eastAsia="Calibri" w:hAnsi="Calibri"/>
          <w:color w:val="1A1A1A"/>
          <w:sz w:val="19"/>
          <w:szCs w:val="19"/>
        </w:rPr>
        <w:t xml:space="preserve">) : la Cour de cassation place précisément ce texte en tête de son visa. Alternative d’actualité : le </w:t>
      </w:r>
      <w:r>
        <w:rPr>
          <w:rFonts w:ascii="Calibri" w:cs="Calibri" w:eastAsia="Calibri" w:hAnsi="Calibri"/>
          <w:color w:val="E91E63"/>
          <w:sz w:val="19"/>
          <w:szCs w:val="19"/>
        </w:rPr>
        <w:t xml:space="preserve">Conseil constitutionnel (n° 2026-911 DC du 14 août 2026)</w:t>
      </w:r>
      <w:r>
        <w:rPr>
          <w:rFonts w:ascii="Calibri" w:cs="Calibri" w:eastAsia="Calibri" w:hAnsi="Calibri"/>
          <w:color w:val="1A1A1A"/>
          <w:sz w:val="19"/>
          <w:szCs w:val="19"/>
        </w:rPr>
        <w:t xml:space="preserve"> a censuré l’interdiction des réseaux sociaux aux moins de 15 ans pour </w:t>
      </w:r>
      <w:r>
        <w:rPr>
          <w:rFonts w:ascii="Calibri" w:cs="Calibri" w:eastAsia="Calibri" w:hAnsi="Calibri"/>
          <w:b/>
          <w:bCs/>
          <w:color w:val="1A1A1A"/>
          <w:sz w:val="19"/>
          <w:szCs w:val="19"/>
        </w:rPr>
        <w:t xml:space="preserve">atteinte disproportionnée</w:t>
      </w:r>
      <w:r>
        <w:rPr>
          <w:rFonts w:ascii="Calibri" w:cs="Calibri" w:eastAsia="Calibri" w:hAnsi="Calibri"/>
          <w:color w:val="1A1A1A"/>
          <w:sz w:val="19"/>
          <w:szCs w:val="19"/>
        </w:rPr>
        <w:t xml:space="preserve"> à la liberté d’expression et de communication. Le mot clé est le même : </w:t>
      </w:r>
      <w:r>
        <w:rPr>
          <w:rFonts w:ascii="Calibri" w:cs="Calibri" w:eastAsia="Calibri" w:hAnsi="Calibri"/>
          <w:b/>
          <w:bCs/>
          <w:color w:val="1A1A1A"/>
          <w:sz w:val="19"/>
          <w:szCs w:val="19"/>
        </w:rPr>
        <w:t xml:space="preserve">proportionnalité</w:t>
      </w:r>
      <w:r>
        <w:rPr>
          <w:rFonts w:ascii="Calibri" w:cs="Calibri" w:eastAsia="Calibri" w:hAnsi="Calibri"/>
          <w:color w:val="1A1A1A"/>
          <w:sz w:val="19"/>
          <w:szCs w:val="19"/>
        </w:rPr>
        <w:t xml:space="preserve">.</w:t>
      </w:r>
    </w:p>
    <w:p>
      <w:pPr>
        <w:pStyle w:val="Heading3"/>
        <w:spacing w:after="80" w:before="200"/>
      </w:pPr>
      <w:r>
        <w:rPr>
          <w:rFonts w:ascii="Calibri" w:cs="Calibri" w:eastAsia="Calibri" w:hAnsi="Calibri"/>
          <w:b/>
          <w:bCs/>
          <w:i/>
          <w:iCs/>
          <w:color w:val="1A1A1A"/>
          <w:sz w:val="21"/>
          <w:szCs w:val="21"/>
        </w:rPr>
        <w:t xml:space="preserve">Accroche alternative (plus « travail »)</w:t>
      </w:r>
    </w:p>
    <w:p>
      <w:pPr>
        <w:spacing w:after="90" w:line="264"/>
        <w:jc w:val="both"/>
      </w:pPr>
      <w:r>
        <w:rPr>
          <w:rFonts w:ascii="Calibri" w:cs="Calibri" w:eastAsia="Calibri" w:hAnsi="Calibri"/>
          <w:color w:val="E91E63"/>
          <w:sz w:val="20"/>
          <w:szCs w:val="20"/>
        </w:rPr>
        <w:t xml:space="preserve">CEDH, gr. ch., 12 sept. 2011, Palomo Sánchez c. Espagne</w:t>
      </w:r>
      <w:r>
        <w:rPr>
          <w:rFonts w:ascii="Calibri" w:cs="Calibri" w:eastAsia="Calibri" w:hAnsi="Calibri"/>
          <w:color w:val="1A1A1A"/>
          <w:sz w:val="20"/>
          <w:szCs w:val="20"/>
        </w:rPr>
        <w:t xml:space="preserve"> : des salariés licenciés pour la caricature d’un DRH dans un bulletin syndical. La Cour européenne avait jugé le licenciement conforme à l’article 10. Quinze ans plus tard, la chambre sociale reçoit à son tour des caricatures de DRH… et adopte la méthode européenne de mise en balance.</w:t>
      </w:r>
    </w:p>
    <w:p>
      <w:pPr>
        <w:pStyle w:val="Heading2"/>
        <w:spacing w:after="110" w:before="260"/>
      </w:pPr>
      <w:r>
        <w:rPr>
          <w:rFonts w:ascii="Calibri" w:cs="Calibri" w:eastAsia="Calibri" w:hAnsi="Calibri"/>
          <w:b/>
          <w:bCs/>
          <w:color w:val="1A1A1A"/>
          <w:spacing w:val="16"/>
          <w:sz w:val="23"/>
          <w:szCs w:val="23"/>
        </w:rPr>
        <w:t xml:space="preserve">La décision en trois lignes</w:t>
      </w:r>
    </w:p>
    <w:tbl>
      <w:tblPr>
        <w:tblW w:type="pct" w:w="100%"/>
        <w:tblBorders>
          <w:top w:val="single" w:color="C9C0B6" w:sz="2"/>
          <w:left w:val="single" w:color="C9C0B6" w:sz="2"/>
          <w:bottom w:val="single" w:color="C9C0B6" w:sz="2"/>
          <w:right w:val="single" w:color="C9C0B6" w:sz="2"/>
          <w:insideH w:val="single" w:color="DCD5CC" w:sz="2"/>
          <w:insideV w:val="single" w:color="DCD5CC" w:sz="2"/>
        </w:tblBorders>
      </w:tblPr>
      <w:tblGrid>
        <w:gridCol w:w="100"/>
        <w:gridCol w:w="100"/>
      </w:tblGrid>
      <w:tr>
        <w:trPr>
          <w:tblHeader/>
        </w:trPr>
        <w:tc>
          <w:tcPr>
            <w:tcW w:type="pct" w:w="50%"/>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Question</w:t>
            </w:r>
          </w:p>
        </w:tc>
        <w:tc>
          <w:tcPr>
            <w:tcW w:type="pct" w:w="50%"/>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Réponse de la Cour</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Comment le juge apprécie-t-il la licéité d’une sanction qui atteint la liberté d’expression du salarié ?</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En </w:t>
            </w:r>
            <w:r>
              <w:rPr>
                <w:rFonts w:ascii="Calibri" w:cs="Calibri" w:eastAsia="Calibri" w:hAnsi="Calibri"/>
                <w:b w:val="false"/>
                <w:bCs w:val="false"/>
                <w:color w:val="1A1A1A"/>
                <w:sz w:val="17"/>
                <w:szCs w:val="17"/>
              </w:rPr>
              <w:t xml:space="preserve">mettant en balance</w:t>
            </w:r>
            <w:r>
              <w:rPr>
                <w:rFonts w:ascii="Calibri" w:cs="Calibri" w:eastAsia="Calibri" w:hAnsi="Calibri"/>
                <w:b w:val="false"/>
                <w:bCs w:val="false"/>
                <w:color w:val="1A1A1A"/>
                <w:sz w:val="17"/>
                <w:szCs w:val="17"/>
              </w:rPr>
              <w:t xml:space="preserve"> cette liberté avec le droit de l’employeur à la protection de ses intérêts : </w:t>
            </w:r>
            <w:r>
              <w:rPr>
                <w:rFonts w:ascii="Calibri" w:cs="Calibri" w:eastAsia="Calibri" w:hAnsi="Calibri"/>
                <w:b w:val="false"/>
                <w:bCs w:val="false"/>
                <w:color w:val="1A1A1A"/>
                <w:sz w:val="17"/>
                <w:szCs w:val="17"/>
              </w:rPr>
              <w:t xml:space="preserve">nécessité, adéquation, proportionnalité</w:t>
            </w:r>
            <w:r>
              <w:rPr>
                <w:rFonts w:ascii="Calibri" w:cs="Calibri" w:eastAsia="Calibri" w:hAnsi="Calibri"/>
                <w:b w:val="false"/>
                <w:bCs w:val="false"/>
                <w:color w:val="1A1A1A"/>
                <w:sz w:val="17"/>
                <w:szCs w:val="17"/>
              </w:rPr>
              <w:t xml:space="preserve"> de la mesure (</w:t>
            </w:r>
            <w:r>
              <w:rPr>
                <w:rFonts w:ascii="Calibri" w:cs="Calibri" w:eastAsia="Calibri" w:hAnsi="Calibri"/>
                <w:b w:val="false"/>
                <w:bCs w:val="false"/>
                <w:color w:val="E91E63"/>
                <w:sz w:val="17"/>
                <w:szCs w:val="17"/>
              </w:rPr>
              <w:t xml:space="preserve">§ 12</w:t>
            </w:r>
            <w:r>
              <w:rPr>
                <w:rFonts w:ascii="Calibri" w:cs="Calibri" w:eastAsia="Calibri" w:hAnsi="Calibri"/>
                <w:b w:val="false"/>
                <w:bCs w:val="false"/>
                <w:color w:val="1A1A1A"/>
                <w:sz w:val="17"/>
                <w:szCs w:val="17"/>
              </w:rPr>
              <w:t xml:space="preserve">).</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Avec quels éléments ?</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Teneur</w:t>
            </w:r>
            <w:r>
              <w:rPr>
                <w:rFonts w:ascii="Calibri" w:cs="Calibri" w:eastAsia="Calibri" w:hAnsi="Calibri"/>
                <w:b w:val="false"/>
                <w:bCs w:val="false"/>
                <w:color w:val="1A1A1A"/>
                <w:sz w:val="17"/>
                <w:szCs w:val="17"/>
              </w:rPr>
              <w:t xml:space="preserve"> des propos, </w:t>
            </w:r>
            <w:r>
              <w:rPr>
                <w:rFonts w:ascii="Calibri" w:cs="Calibri" w:eastAsia="Calibri" w:hAnsi="Calibri"/>
                <w:b w:val="false"/>
                <w:bCs w:val="false"/>
                <w:color w:val="1A1A1A"/>
                <w:sz w:val="17"/>
                <w:szCs w:val="17"/>
              </w:rPr>
              <w:t xml:space="preserve">contexte</w:t>
            </w:r>
            <w:r>
              <w:rPr>
                <w:rFonts w:ascii="Calibri" w:cs="Calibri" w:eastAsia="Calibri" w:hAnsi="Calibri"/>
                <w:b w:val="false"/>
                <w:bCs w:val="false"/>
                <w:color w:val="1A1A1A"/>
                <w:sz w:val="17"/>
                <w:szCs w:val="17"/>
              </w:rPr>
              <w:t xml:space="preserve">, </w:t>
            </w:r>
            <w:r>
              <w:rPr>
                <w:rFonts w:ascii="Calibri" w:cs="Calibri" w:eastAsia="Calibri" w:hAnsi="Calibri"/>
                <w:b w:val="false"/>
                <w:bCs w:val="false"/>
                <w:color w:val="1A1A1A"/>
                <w:sz w:val="17"/>
                <w:szCs w:val="17"/>
              </w:rPr>
              <w:t xml:space="preserve">portée et impact</w:t>
            </w:r>
            <w:r>
              <w:rPr>
                <w:rFonts w:ascii="Calibri" w:cs="Calibri" w:eastAsia="Calibri" w:hAnsi="Calibri"/>
                <w:b w:val="false"/>
                <w:bCs w:val="false"/>
                <w:color w:val="1A1A1A"/>
                <w:sz w:val="17"/>
                <w:szCs w:val="17"/>
              </w:rPr>
              <w:t xml:space="preserve"> dans l’entreprise, </w:t>
            </w:r>
            <w:r>
              <w:rPr>
                <w:rFonts w:ascii="Calibri" w:cs="Calibri" w:eastAsia="Calibri" w:hAnsi="Calibri"/>
                <w:b w:val="false"/>
                <w:bCs w:val="false"/>
                <w:color w:val="1A1A1A"/>
                <w:sz w:val="17"/>
                <w:szCs w:val="17"/>
              </w:rPr>
              <w:t xml:space="preserve">conséquences négatives</w:t>
            </w:r>
            <w:r>
              <w:rPr>
                <w:rFonts w:ascii="Calibri" w:cs="Calibri" w:eastAsia="Calibri" w:hAnsi="Calibri"/>
                <w:b w:val="false"/>
                <w:bCs w:val="false"/>
                <w:color w:val="1A1A1A"/>
                <w:sz w:val="17"/>
                <w:szCs w:val="17"/>
              </w:rPr>
              <w:t xml:space="preserve"> pour l’employeur (</w:t>
            </w:r>
            <w:r>
              <w:rPr>
                <w:rFonts w:ascii="Calibri" w:cs="Calibri" w:eastAsia="Calibri" w:hAnsi="Calibri"/>
                <w:b w:val="false"/>
                <w:bCs w:val="false"/>
                <w:color w:val="E91E63"/>
                <w:sz w:val="17"/>
                <w:szCs w:val="17"/>
              </w:rPr>
              <w:t xml:space="preserve">§ 13</w:t>
            </w:r>
            <w:r>
              <w:rPr>
                <w:rFonts w:ascii="Calibri" w:cs="Calibri" w:eastAsia="Calibri" w:hAnsi="Calibri"/>
                <w:b w:val="false"/>
                <w:bCs w:val="false"/>
                <w:color w:val="1A1A1A"/>
                <w:sz w:val="17"/>
                <w:szCs w:val="17"/>
              </w:rPr>
              <w:t xml:space="preserve">).</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Sanction de l’atteinte ?</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Nullité</w:t>
            </w:r>
            <w:r>
              <w:rPr>
                <w:rFonts w:ascii="Calibri" w:cs="Calibri" w:eastAsia="Calibri" w:hAnsi="Calibri"/>
                <w:b w:val="false"/>
                <w:bCs w:val="false"/>
                <w:color w:val="1A1A1A"/>
                <w:sz w:val="17"/>
                <w:szCs w:val="17"/>
              </w:rPr>
              <w:t xml:space="preserve"> du licenciement, comme portant atteinte à une liberté fondamentale constitutionnellement garantie (</w:t>
            </w:r>
            <w:r>
              <w:rPr>
                <w:rFonts w:ascii="Calibri" w:cs="Calibri" w:eastAsia="Calibri" w:hAnsi="Calibri"/>
                <w:b w:val="false"/>
                <w:bCs w:val="false"/>
                <w:color w:val="E91E63"/>
                <w:sz w:val="17"/>
                <w:szCs w:val="17"/>
              </w:rPr>
              <w:t xml:space="preserve">§ 11</w:t>
            </w:r>
            <w:r>
              <w:rPr>
                <w:rFonts w:ascii="Calibri" w:cs="Calibri" w:eastAsia="Calibri" w:hAnsi="Calibri"/>
                <w:b w:val="false"/>
                <w:bCs w:val="false"/>
                <w:color w:val="1A1A1A"/>
                <w:sz w:val="17"/>
                <w:szCs w:val="17"/>
              </w:rPr>
              <w:t xml:space="preserve">) ; d’où réintégration ou indemnité d’au moins six mois (</w:t>
            </w:r>
            <w:r>
              <w:rPr>
                <w:rFonts w:ascii="Calibri" w:cs="Calibri" w:eastAsia="Calibri" w:hAnsi="Calibri"/>
                <w:b w:val="false"/>
                <w:bCs w:val="false"/>
                <w:color w:val="1E88E5"/>
                <w:sz w:val="17"/>
                <w:szCs w:val="17"/>
              </w:rPr>
              <w:t xml:space="preserve">art. L. 1235-3-1 C. trav.</w:t>
            </w:r>
            <w:r>
              <w:rPr>
                <w:rFonts w:ascii="Calibri" w:cs="Calibri" w:eastAsia="Calibri" w:hAnsi="Calibri"/>
                <w:b w:val="false"/>
                <w:bCs w:val="false"/>
                <w:color w:val="1A1A1A"/>
                <w:sz w:val="17"/>
                <w:szCs w:val="17"/>
              </w:rPr>
              <w:t xml:space="preserve">).</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Solution</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Cassation partielle</w:t>
            </w:r>
            <w:r>
              <w:rPr>
                <w:rFonts w:ascii="Calibri" w:cs="Calibri" w:eastAsia="Calibri" w:hAnsi="Calibri"/>
                <w:b w:val="false"/>
                <w:bCs w:val="false"/>
                <w:color w:val="1A1A1A"/>
                <w:sz w:val="17"/>
                <w:szCs w:val="17"/>
              </w:rPr>
              <w:t xml:space="preserve"> pour violation de la loi : la cour d’appel a validé l’intervention de l’employeur dans l’abstrait sans examiner contexte (aménagement de poste vainement demandé), portée (publicité des dessins) et effectivité de l’atteinte à l’honneur du RRH (</w:t>
            </w:r>
            <w:r>
              <w:rPr>
                <w:rFonts w:ascii="Calibri" w:cs="Calibri" w:eastAsia="Calibri" w:hAnsi="Calibri"/>
                <w:b w:val="false"/>
                <w:bCs w:val="false"/>
                <w:color w:val="E91E63"/>
                <w:sz w:val="17"/>
                <w:szCs w:val="17"/>
              </w:rPr>
              <w:t xml:space="preserve">§ 17</w:t>
            </w:r>
            <w:r>
              <w:rPr>
                <w:rFonts w:ascii="Calibri" w:cs="Calibri" w:eastAsia="Calibri" w:hAnsi="Calibri"/>
                <w:b w:val="false"/>
                <w:bCs w:val="false"/>
                <w:color w:val="1A1A1A"/>
                <w:sz w:val="17"/>
                <w:szCs w:val="17"/>
              </w:rPr>
              <w:t xml:space="preserve">). Renvoi devant la CA de Rennes autrement composée.</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Volet syndical</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Le syndicat est </w:t>
            </w:r>
            <w:r>
              <w:rPr>
                <w:rFonts w:ascii="Calibri" w:cs="Calibri" w:eastAsia="Calibri" w:hAnsi="Calibri"/>
                <w:b w:val="false"/>
                <w:bCs w:val="false"/>
                <w:color w:val="1A1A1A"/>
                <w:sz w:val="17"/>
                <w:szCs w:val="17"/>
              </w:rPr>
              <w:t xml:space="preserve">irrecevable</w:t>
            </w:r>
            <w:r>
              <w:rPr>
                <w:rFonts w:ascii="Calibri" w:cs="Calibri" w:eastAsia="Calibri" w:hAnsi="Calibri"/>
                <w:b w:val="false"/>
                <w:bCs w:val="false"/>
                <w:color w:val="1A1A1A"/>
                <w:sz w:val="17"/>
                <w:szCs w:val="17"/>
              </w:rPr>
              <w:t xml:space="preserve"> à demander réparation de l’intérêt collectif lorsqu’</w:t>
            </w:r>
            <w:r>
              <w:rPr>
                <w:rFonts w:ascii="Calibri" w:cs="Calibri" w:eastAsia="Calibri" w:hAnsi="Calibri"/>
                <w:b w:val="false"/>
                <w:bCs w:val="false"/>
                <w:color w:val="1A1A1A"/>
                <w:sz w:val="17"/>
                <w:szCs w:val="17"/>
              </w:rPr>
              <w:t xml:space="preserve">un seul salarié, sans fonction syndicale ou représentative</w:t>
            </w:r>
            <w:r>
              <w:rPr>
                <w:rFonts w:ascii="Calibri" w:cs="Calibri" w:eastAsia="Calibri" w:hAnsi="Calibri"/>
                <w:b w:val="false"/>
                <w:bCs w:val="false"/>
                <w:color w:val="1A1A1A"/>
                <w:sz w:val="17"/>
                <w:szCs w:val="17"/>
              </w:rPr>
              <w:t xml:space="preserve">, allègue une atteinte à sa liberté d’expression (</w:t>
            </w:r>
            <w:r>
              <w:rPr>
                <w:rFonts w:ascii="Calibri" w:cs="Calibri" w:eastAsia="Calibri" w:hAnsi="Calibri"/>
                <w:b w:val="false"/>
                <w:bCs w:val="false"/>
                <w:color w:val="1E88E5"/>
                <w:sz w:val="17"/>
                <w:szCs w:val="17"/>
              </w:rPr>
              <w:t xml:space="preserve">art. L. 2132-3 C. trav.</w:t>
            </w:r>
            <w:r>
              <w:rPr>
                <w:rFonts w:ascii="Calibri" w:cs="Calibri" w:eastAsia="Calibri" w:hAnsi="Calibri"/>
                <w:b w:val="false"/>
                <w:bCs w:val="false"/>
                <w:color w:val="1A1A1A"/>
                <w:sz w:val="17"/>
                <w:szCs w:val="17"/>
              </w:rPr>
              <w:t xml:space="preserve"> ; </w:t>
            </w:r>
            <w:r>
              <w:rPr>
                <w:rFonts w:ascii="Calibri" w:cs="Calibri" w:eastAsia="Calibri" w:hAnsi="Calibri"/>
                <w:b w:val="false"/>
                <w:bCs w:val="false"/>
                <w:color w:val="E91E63"/>
                <w:sz w:val="17"/>
                <w:szCs w:val="17"/>
              </w:rPr>
              <w:t xml:space="preserve">§ 8</w:t>
            </w:r>
            <w:r>
              <w:rPr>
                <w:rFonts w:ascii="Calibri" w:cs="Calibri" w:eastAsia="Calibri" w:hAnsi="Calibri"/>
                <w:b w:val="false"/>
                <w:bCs w:val="false"/>
                <w:color w:val="1A1A1A"/>
                <w:sz w:val="17"/>
                <w:szCs w:val="17"/>
              </w:rPr>
              <w:t xml:space="preserve">).</w:t>
            </w:r>
          </w:p>
        </w:tc>
      </w:tr>
    </w:tbl>
    <w:p>
      <w:pPr>
        <w:spacing w:after="120"/>
      </w:pPr>
    </w:p>
    <w:p>
      <w:pPr>
        <w:pStyle w:val="Heading2"/>
        <w:spacing w:after="110" w:before="260"/>
      </w:pPr>
      <w:r>
        <w:rPr>
          <w:rFonts w:ascii="Calibri" w:cs="Calibri" w:eastAsia="Calibri" w:hAnsi="Calibri"/>
          <w:b/>
          <w:bCs/>
          <w:color w:val="1A1A1A"/>
          <w:spacing w:val="16"/>
          <w:sz w:val="23"/>
          <w:szCs w:val="23"/>
        </w:rPr>
        <w:t xml:space="preserve">Les cinq références ★</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11 DDHC, art. 10 Conv. EDH, art. L. 1121-1 C. trav.</w:t>
      </w:r>
      <w:r>
        <w:rPr>
          <w:rFonts w:ascii="Calibri" w:cs="Calibri" w:eastAsia="Calibri" w:hAnsi="Calibri"/>
          <w:color w:val="1A1A1A"/>
          <w:sz w:val="20"/>
          <w:szCs w:val="20"/>
        </w:rPr>
        <w:t xml:space="preserve"> : le triple visa. L. 1121-1 : « </w:t>
      </w:r>
      <w:r>
        <w:rPr>
          <w:rFonts w:ascii="Calibri" w:cs="Calibri" w:eastAsia="Calibri" w:hAnsi="Calibri"/>
          <w:i/>
          <w:iCs/>
          <w:color w:val="1A1A1A"/>
          <w:sz w:val="20"/>
          <w:szCs w:val="20"/>
        </w:rPr>
        <w:t xml:space="preserve">Nul ne peut apporter aux droits des personnes et aux libertés individuelles et collectives de restrictions qui ne seraient pas justifiées par la nature de la tâche à accomplir ni proportionnées au but recherché</w:t>
      </w:r>
      <w:r>
        <w:rPr>
          <w:rFonts w:ascii="Calibri" w:cs="Calibri" w:eastAsia="Calibri" w:hAnsi="Calibri"/>
          <w:color w:val="1A1A1A"/>
          <w:sz w:val="20"/>
          <w:szCs w:val="20"/>
        </w:rPr>
        <w:t xml:space="preserve"> ».</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Cass. soc., 28 avr. 1988, n° 87-41.804, Clavaud</w:t>
      </w:r>
      <w:r>
        <w:rPr>
          <w:rFonts w:ascii="Calibri" w:cs="Calibri" w:eastAsia="Calibri" w:hAnsi="Calibri"/>
          <w:color w:val="1A1A1A"/>
          <w:sz w:val="20"/>
          <w:szCs w:val="20"/>
        </w:rPr>
        <w:t xml:space="preserve"> : la liberté d’expression du salarié vaut dans l’entreprise et hors de celle-ci ; formule ultérieure « </w:t>
      </w:r>
      <w:r>
        <w:rPr>
          <w:rFonts w:ascii="Calibri" w:cs="Calibri" w:eastAsia="Calibri" w:hAnsi="Calibri"/>
          <w:i/>
          <w:iCs/>
          <w:color w:val="1A1A1A"/>
          <w:sz w:val="20"/>
          <w:szCs w:val="20"/>
        </w:rPr>
        <w:t xml:space="preserve">sauf abus</w:t>
      </w:r>
      <w:r>
        <w:rPr>
          <w:rFonts w:ascii="Calibri" w:cs="Calibri" w:eastAsia="Calibri" w:hAnsi="Calibri"/>
          <w:color w:val="1A1A1A"/>
          <w:sz w:val="20"/>
          <w:szCs w:val="20"/>
        </w:rPr>
        <w:t xml:space="preserve">… » (abus = propos </w:t>
      </w:r>
      <w:r>
        <w:rPr>
          <w:rFonts w:ascii="Calibri" w:cs="Calibri" w:eastAsia="Calibri" w:hAnsi="Calibri"/>
          <w:b/>
          <w:bCs/>
          <w:color w:val="1A1A1A"/>
          <w:sz w:val="20"/>
          <w:szCs w:val="20"/>
        </w:rPr>
        <w:t xml:space="preserve">injurieux, diffamatoires ou excessifs</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Soc., 21 mars 2018, n° 16-20.516</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Cass. soc., 29 juin 2022, n° 20-16.060</w:t>
      </w:r>
      <w:r>
        <w:rPr>
          <w:rFonts w:ascii="Calibri" w:cs="Calibri" w:eastAsia="Calibri" w:hAnsi="Calibri"/>
          <w:color w:val="1A1A1A"/>
          <w:sz w:val="20"/>
          <w:szCs w:val="20"/>
        </w:rPr>
        <w:t xml:space="preserve"> (après </w:t>
      </w:r>
      <w:r>
        <w:rPr>
          <w:rFonts w:ascii="Calibri" w:cs="Calibri" w:eastAsia="Calibri" w:hAnsi="Calibri"/>
          <w:color w:val="E91E63"/>
          <w:sz w:val="20"/>
          <w:szCs w:val="20"/>
        </w:rPr>
        <w:t xml:space="preserve">Soc., 16 févr. 2022, n° 19-17.871</w:t>
      </w:r>
      <w:r>
        <w:rPr>
          <w:rFonts w:ascii="Calibri" w:cs="Calibri" w:eastAsia="Calibri" w:hAnsi="Calibri"/>
          <w:color w:val="1A1A1A"/>
          <w:sz w:val="20"/>
          <w:szCs w:val="20"/>
        </w:rPr>
        <w:t xml:space="preserve">) : le licenciement motivé, </w:t>
      </w:r>
      <w:r>
        <w:rPr>
          <w:rFonts w:ascii="Calibri" w:cs="Calibri" w:eastAsia="Calibri" w:hAnsi="Calibri"/>
          <w:b/>
          <w:bCs/>
          <w:color w:val="1A1A1A"/>
          <w:sz w:val="20"/>
          <w:szCs w:val="20"/>
        </w:rPr>
        <w:t xml:space="preserve">même en partie</w:t>
      </w:r>
      <w:r>
        <w:rPr>
          <w:rFonts w:ascii="Calibri" w:cs="Calibri" w:eastAsia="Calibri" w:hAnsi="Calibri"/>
          <w:color w:val="1A1A1A"/>
          <w:sz w:val="20"/>
          <w:szCs w:val="20"/>
        </w:rPr>
        <w:t xml:space="preserve">, par l’exercice non abusif de la liberté d’expression est nul (« motif contaminant »).</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Cass. soc., 20 avr. 2022, n° 20-10.852 (Tex)</w:t>
      </w:r>
      <w:r>
        <w:rPr>
          <w:rFonts w:ascii="Calibri" w:cs="Calibri" w:eastAsia="Calibri" w:hAnsi="Calibri"/>
          <w:color w:val="1A1A1A"/>
          <w:sz w:val="20"/>
          <w:szCs w:val="20"/>
        </w:rPr>
        <w:t xml:space="preserve"> : premier contrôle explicite de proportionnalité d’un licenciement pour propos (plaisanterie sexiste d’un animateur), licenciement validé.</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gr. ch., 12 sept. 2011, Palomo Sánchez c. Espagne, n° 28955/06</w:t>
      </w:r>
      <w:r>
        <w:rPr>
          <w:rFonts w:ascii="Calibri" w:cs="Calibri" w:eastAsia="Calibri" w:hAnsi="Calibri"/>
          <w:color w:val="1A1A1A"/>
          <w:sz w:val="20"/>
          <w:szCs w:val="20"/>
        </w:rPr>
        <w:t xml:space="preserve"> et </w:t>
      </w:r>
      <w:r>
        <w:rPr>
          <w:rFonts w:ascii="Calibri" w:cs="Calibri" w:eastAsia="Calibri" w:hAnsi="Calibri"/>
          <w:color w:val="E91E63"/>
          <w:sz w:val="20"/>
          <w:szCs w:val="20"/>
        </w:rPr>
        <w:t xml:space="preserve">CEDH, 5 nov. 2019, Herbai c. Hongrie, n° 11608/15</w:t>
      </w:r>
      <w:r>
        <w:rPr>
          <w:rFonts w:ascii="Calibri" w:cs="Calibri" w:eastAsia="Calibri" w:hAnsi="Calibri"/>
          <w:color w:val="1A1A1A"/>
          <w:sz w:val="20"/>
          <w:szCs w:val="20"/>
        </w:rPr>
        <w:t xml:space="preserve"> : grille européenne (nature des propos, motivation, préjudice, gravité de la sanction).</w:t>
      </w:r>
    </w:p>
    <w:p>
      <w:pPr>
        <w:pStyle w:val="Heading2"/>
        <w:spacing w:after="110" w:before="260"/>
      </w:pPr>
      <w:r>
        <w:rPr>
          <w:rFonts w:ascii="Calibri" w:cs="Calibri" w:eastAsia="Calibri" w:hAnsi="Calibri"/>
          <w:b/>
          <w:bCs/>
          <w:color w:val="1A1A1A"/>
          <w:spacing w:val="16"/>
          <w:sz w:val="23"/>
          <w:szCs w:val="23"/>
        </w:rPr>
        <w:t xml:space="preserve">Matrice de plan recommandée</w:t>
      </w:r>
    </w:p>
    <w:tbl>
      <w:tblPr>
        <w:tblW w:type="pct" w:w="100%"/>
        <w:tblBorders>
          <w:top w:val="single" w:color="C9C0B6" w:sz="2"/>
          <w:left w:val="single" w:color="C9C0B6" w:sz="2"/>
          <w:bottom w:val="single" w:color="C9C0B6" w:sz="2"/>
          <w:right w:val="single" w:color="C9C0B6" w:sz="2"/>
          <w:insideH w:val="single" w:color="DCD5CC" w:sz="2"/>
          <w:insideV w:val="single" w:color="DCD5CC" w:sz="2"/>
        </w:tblBorders>
      </w:tblPr>
      <w:tblGrid>
        <w:gridCol w:w="100"/>
        <w:gridCol w:w="100"/>
        <w:gridCol w:w="100"/>
      </w:tblGrid>
      <w:tr>
        <w:trPr>
          <w:tblHeader/>
        </w:trPr>
        <w:tc>
          <w:tcPr>
            <w:tcW w:type="pct" w:w="33.333333333333336%"/>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Partie</w:t>
            </w:r>
          </w:p>
        </w:tc>
        <w:tc>
          <w:tcPr>
            <w:tcW w:type="pct" w:w="33.333333333333336%"/>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Sous-partie</w:t>
            </w:r>
          </w:p>
        </w:tc>
        <w:tc>
          <w:tcPr>
            <w:tcW w:type="pct" w:w="33.333333333333336%"/>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Ce qu’on y met</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I. Un changement de méthode : de l’abus à la mise en balance</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A. Un fondement réaffirmé : la liberté fondamentale du salarié-citoyen</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Triple visa ; « dans l’entreprise et en dehors » (</w:t>
            </w:r>
            <w:r>
              <w:rPr>
                <w:rFonts w:ascii="Calibri" w:cs="Calibri" w:eastAsia="Calibri" w:hAnsi="Calibri"/>
                <w:b w:val="false"/>
                <w:bCs w:val="false"/>
                <w:color w:val="E91E63"/>
                <w:sz w:val="17"/>
                <w:szCs w:val="17"/>
              </w:rPr>
              <w:t xml:space="preserve">Clavaud</w:t>
            </w:r>
            <w:r>
              <w:rPr>
                <w:rFonts w:ascii="Calibri" w:cs="Calibri" w:eastAsia="Calibri" w:hAnsi="Calibri"/>
                <w:b w:val="false"/>
                <w:bCs w:val="false"/>
                <w:color w:val="1A1A1A"/>
                <w:sz w:val="17"/>
                <w:szCs w:val="17"/>
              </w:rPr>
              <w:t xml:space="preserve">) ; nullité (</w:t>
            </w:r>
            <w:r>
              <w:rPr>
                <w:rFonts w:ascii="Calibri" w:cs="Calibri" w:eastAsia="Calibri" w:hAnsi="Calibri"/>
                <w:b w:val="false"/>
                <w:bCs w:val="false"/>
                <w:color w:val="E91E63"/>
                <w:sz w:val="17"/>
                <w:szCs w:val="17"/>
              </w:rPr>
              <w:t xml:space="preserve">§ 11</w:t>
            </w:r>
            <w:r>
              <w:rPr>
                <w:rFonts w:ascii="Calibri" w:cs="Calibri" w:eastAsia="Calibri" w:hAnsi="Calibri"/>
                <w:b w:val="false"/>
                <w:bCs w:val="false"/>
                <w:color w:val="1A1A1A"/>
                <w:sz w:val="17"/>
                <w:szCs w:val="17"/>
              </w:rPr>
              <w:t xml:space="preserve">, L. 1235-3-1) ; disparition du « sauf abus »</w:t>
            </w:r>
          </w:p>
        </w:tc>
      </w:tr>
      <w:tr>
        <w:trPr>
          <w:tblHeader w:val="false"/>
        </w:trPr>
        <w:tc>
          <w:tcPr>
            <w:tcW w:type="pct" w:w="33.333333333333336%"/>
            <w:tcMar>
              <w:top w:type="dxa" w:w="60"/>
              <w:left w:type="dxa" w:w="90"/>
              <w:bottom w:type="dxa" w:w="60"/>
              <w:right w:type="dxa" w:w="90"/>
            </w:tcMar>
          </w:tcPr>
          <w:p>
            <w:pPr>
              <w:spacing w:after="0" w:line="240"/>
            </w:pP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B. Une méthode européanisée : nécessité, adéquation, proportionnalité</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E91E63"/>
                <w:sz w:val="17"/>
                <w:szCs w:val="17"/>
              </w:rPr>
              <w:t xml:space="preserve">§ 12</w:t>
            </w:r>
            <w:r>
              <w:rPr>
                <w:rFonts w:ascii="Calibri" w:cs="Calibri" w:eastAsia="Calibri" w:hAnsi="Calibri"/>
                <w:b w:val="false"/>
                <w:bCs w:val="false"/>
                <w:color w:val="1A1A1A"/>
                <w:sz w:val="17"/>
                <w:szCs w:val="17"/>
              </w:rPr>
              <w:t xml:space="preserve"> ; L. 1121-1 enfin pris au sérieux ; art. 10 § 2 CEDH ; triple test ; critique de l’abus (notion circulaire)</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II. Une mise en œuvre exigeante : l’office renforcé du juge du fond</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A. Quatre éléments d’appréciation appliqués aux caricatures</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E91E63"/>
                <w:sz w:val="17"/>
                <w:szCs w:val="17"/>
              </w:rPr>
              <w:t xml:space="preserve">§ 13 et 17</w:t>
            </w:r>
            <w:r>
              <w:rPr>
                <w:rFonts w:ascii="Calibri" w:cs="Calibri" w:eastAsia="Calibri" w:hAnsi="Calibri"/>
                <w:b w:val="false"/>
                <w:bCs w:val="false"/>
                <w:color w:val="1A1A1A"/>
                <w:sz w:val="17"/>
                <w:szCs w:val="17"/>
              </w:rPr>
              <w:t xml:space="preserve"> : teneur (caricature, satire), contexte (santé, aménagement refusé), portée (remise en main propre, publicité), conséquences (effectivité de l’atteinte à l’honneur)</w:t>
            </w:r>
          </w:p>
        </w:tc>
      </w:tr>
      <w:tr>
        <w:trPr>
          <w:tblHeader w:val="false"/>
        </w:trPr>
        <w:tc>
          <w:tcPr>
            <w:tcW w:type="pct" w:w="33.333333333333336%"/>
            <w:tcMar>
              <w:top w:type="dxa" w:w="60"/>
              <w:left w:type="dxa" w:w="90"/>
              <w:bottom w:type="dxa" w:w="60"/>
              <w:right w:type="dxa" w:w="90"/>
            </w:tcMar>
          </w:tcPr>
          <w:p>
            <w:pPr>
              <w:spacing w:after="0" w:line="240"/>
            </w:pP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B. Une portée ambivalente</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Série du 14 janvier : solutions dans les deux sens ; fin probable de l’automaticité du motif contaminant (</w:t>
            </w:r>
            <w:r>
              <w:rPr>
                <w:rFonts w:ascii="Calibri" w:cs="Calibri" w:eastAsia="Calibri" w:hAnsi="Calibri"/>
                <w:b w:val="false"/>
                <w:bCs w:val="false"/>
                <w:color w:val="E91E63"/>
                <w:sz w:val="17"/>
                <w:szCs w:val="17"/>
              </w:rPr>
              <w:t xml:space="preserve">n° 24-18.877</w:t>
            </w:r>
            <w:r>
              <w:rPr>
                <w:rFonts w:ascii="Calibri" w:cs="Calibri" w:eastAsia="Calibri" w:hAnsi="Calibri"/>
                <w:b w:val="false"/>
                <w:bCs w:val="false"/>
                <w:color w:val="1A1A1A"/>
                <w:sz w:val="17"/>
                <w:szCs w:val="17"/>
              </w:rPr>
              <w:t xml:space="preserve">, inédit) ; syndicat irrecevable ; prévisibilité et casuistique</w:t>
            </w:r>
          </w:p>
        </w:tc>
      </w:tr>
    </w:tbl>
    <w:p>
      <w:pPr>
        <w:spacing w:after="120"/>
      </w:pPr>
    </w:p>
    <w:p>
      <w:pPr>
        <w:pStyle w:val="Heading2"/>
        <w:spacing w:after="110" w:before="260"/>
      </w:pPr>
      <w:r>
        <w:rPr>
          <w:rFonts w:ascii="Calibri" w:cs="Calibri" w:eastAsia="Calibri" w:hAnsi="Calibri"/>
          <w:b/>
          <w:bCs/>
          <w:color w:val="1A1A1A"/>
          <w:spacing w:val="16"/>
          <w:sz w:val="23"/>
          <w:szCs w:val="23"/>
        </w:rPr>
        <w:t xml:space="preserve">Les trois pièges</w:t>
      </w:r>
    </w:p>
    <w:p>
      <w:pPr>
        <w:pStyle w:val="ListParagraph"/>
        <w:numPr>
          <w:ilvl w:val="0"/>
          <w:numId w:val="2"/>
        </w:numPr>
        <w:spacing w:after="70" w:line="264"/>
        <w:jc w:val="both"/>
      </w:pPr>
      <w:r>
        <w:rPr>
          <w:rFonts w:ascii="Calibri" w:cs="Calibri" w:eastAsia="Calibri" w:hAnsi="Calibri"/>
          <w:b/>
          <w:bCs/>
          <w:color w:val="1A1A1A"/>
          <w:sz w:val="20"/>
          <w:szCs w:val="20"/>
        </w:rPr>
        <w:t xml:space="preserve">Piège 1 : « la Cour déclare le licenciement nul ».</w:t>
      </w:r>
      <w:r>
        <w:rPr>
          <w:rFonts w:ascii="Calibri" w:cs="Calibri" w:eastAsia="Calibri" w:hAnsi="Calibri"/>
          <w:color w:val="1A1A1A"/>
          <w:sz w:val="20"/>
          <w:szCs w:val="20"/>
        </w:rPr>
        <w:t xml:space="preserve"> Non : cassation partielle et renvoi. La Cour ne dit pas que les caricatures étaient licites ; elle dit que la cour d’appel n’a pas cherché.</w:t>
      </w:r>
    </w:p>
    <w:p>
      <w:pPr>
        <w:pStyle w:val="ListParagraph"/>
        <w:numPr>
          <w:ilvl w:val="0"/>
          <w:numId w:val="2"/>
        </w:numPr>
        <w:spacing w:after="70" w:line="264"/>
        <w:jc w:val="both"/>
      </w:pPr>
      <w:r>
        <w:rPr>
          <w:rFonts w:ascii="Calibri" w:cs="Calibri" w:eastAsia="Calibri" w:hAnsi="Calibri"/>
          <w:b/>
          <w:bCs/>
          <w:color w:val="1A1A1A"/>
          <w:sz w:val="20"/>
          <w:szCs w:val="20"/>
        </w:rPr>
        <w:t xml:space="preserve">Piège 2 : « quatre critères cumulatifs ».</w:t>
      </w:r>
      <w:r>
        <w:rPr>
          <w:rFonts w:ascii="Calibri" w:cs="Calibri" w:eastAsia="Calibri" w:hAnsi="Calibri"/>
          <w:color w:val="1A1A1A"/>
          <w:sz w:val="20"/>
          <w:szCs w:val="20"/>
        </w:rPr>
        <w:t xml:space="preserve"> La Cour écrit que le juge doit « </w:t>
      </w:r>
      <w:r>
        <w:rPr>
          <w:rFonts w:ascii="Calibri" w:cs="Calibri" w:eastAsia="Calibri" w:hAnsi="Calibri"/>
          <w:i/>
          <w:iCs/>
          <w:color w:val="1A1A1A"/>
          <w:sz w:val="20"/>
          <w:szCs w:val="20"/>
        </w:rPr>
        <w:t xml:space="preserve">prendre en considération</w:t>
      </w:r>
      <w:r>
        <w:rPr>
          <w:rFonts w:ascii="Calibri" w:cs="Calibri" w:eastAsia="Calibri" w:hAnsi="Calibri"/>
          <w:color w:val="1A1A1A"/>
          <w:sz w:val="20"/>
          <w:szCs w:val="20"/>
        </w:rPr>
        <w:t xml:space="preserve"> » ces éléments : ce sont des </w:t>
      </w:r>
      <w:r>
        <w:rPr>
          <w:rFonts w:ascii="Calibri" w:cs="Calibri" w:eastAsia="Calibri" w:hAnsi="Calibri"/>
          <w:b/>
          <w:bCs/>
          <w:color w:val="1A1A1A"/>
          <w:sz w:val="20"/>
          <w:szCs w:val="20"/>
        </w:rPr>
        <w:t xml:space="preserve">éléments d’appréciation</w:t>
      </w:r>
      <w:r>
        <w:rPr>
          <w:rFonts w:ascii="Calibri" w:cs="Calibri" w:eastAsia="Calibri" w:hAnsi="Calibri"/>
          <w:color w:val="1A1A1A"/>
          <w:sz w:val="20"/>
          <w:szCs w:val="20"/>
        </w:rPr>
        <w:t xml:space="preserve"> d’une pesée globale, pas des conditions dont chacune devrait être remplie. Le support du live parle de « critères cumulatifs » : formule à éviter.</w:t>
      </w:r>
    </w:p>
    <w:p>
      <w:pPr>
        <w:pStyle w:val="ListParagraph"/>
        <w:numPr>
          <w:ilvl w:val="0"/>
          <w:numId w:val="2"/>
        </w:numPr>
        <w:spacing w:after="70" w:line="264"/>
        <w:jc w:val="both"/>
      </w:pPr>
      <w:r>
        <w:rPr>
          <w:rFonts w:ascii="Calibri" w:cs="Calibri" w:eastAsia="Calibri" w:hAnsi="Calibri"/>
          <w:b/>
          <w:bCs/>
          <w:color w:val="1A1A1A"/>
          <w:sz w:val="20"/>
          <w:szCs w:val="20"/>
        </w:rPr>
        <w:t xml:space="preserve">Piège 3 : confondre les « salariés ».</w:t>
      </w:r>
      <w:r>
        <w:rPr>
          <w:rFonts w:ascii="Calibri" w:cs="Calibri" w:eastAsia="Calibri" w:hAnsi="Calibri"/>
          <w:color w:val="1A1A1A"/>
          <w:sz w:val="20"/>
          <w:szCs w:val="20"/>
        </w:rPr>
        <w:t xml:space="preserve"> Au </w:t>
      </w:r>
      <w:r>
        <w:rPr>
          <w:rFonts w:ascii="Calibri" w:cs="Calibri" w:eastAsia="Calibri" w:hAnsi="Calibri"/>
          <w:color w:val="E91E63"/>
          <w:sz w:val="20"/>
          <w:szCs w:val="20"/>
        </w:rPr>
        <w:t xml:space="preserve">§ 17</w:t>
      </w:r>
      <w:r>
        <w:rPr>
          <w:rFonts w:ascii="Calibri" w:cs="Calibri" w:eastAsia="Calibri" w:hAnsi="Calibri"/>
          <w:color w:val="1A1A1A"/>
          <w:sz w:val="20"/>
          <w:szCs w:val="20"/>
        </w:rPr>
        <w:t xml:space="preserve">, « </w:t>
      </w:r>
      <w:r>
        <w:rPr>
          <w:rFonts w:ascii="Calibri" w:cs="Calibri" w:eastAsia="Calibri" w:hAnsi="Calibri"/>
          <w:i/>
          <w:iCs/>
          <w:color w:val="1A1A1A"/>
          <w:sz w:val="20"/>
          <w:szCs w:val="20"/>
        </w:rPr>
        <w:t xml:space="preserve">l’effectivité de l’atteinte à l’honneur du salarié qui se serait reconnu dans l’un des dessins</w:t>
      </w:r>
      <w:r>
        <w:rPr>
          <w:rFonts w:ascii="Calibri" w:cs="Calibri" w:eastAsia="Calibri" w:hAnsi="Calibri"/>
          <w:color w:val="1A1A1A"/>
          <w:sz w:val="20"/>
          <w:szCs w:val="20"/>
        </w:rPr>
        <w:t xml:space="preserve"> » vise le </w:t>
      </w:r>
      <w:r>
        <w:rPr>
          <w:rFonts w:ascii="Calibri" w:cs="Calibri" w:eastAsia="Calibri" w:hAnsi="Calibri"/>
          <w:b/>
          <w:bCs/>
          <w:color w:val="1A1A1A"/>
          <w:sz w:val="20"/>
          <w:szCs w:val="20"/>
        </w:rPr>
        <w:t xml:space="preserve">responsable des ressources humaines</w:t>
      </w:r>
      <w:r>
        <w:rPr>
          <w:rFonts w:ascii="Calibri" w:cs="Calibri" w:eastAsia="Calibri" w:hAnsi="Calibri"/>
          <w:color w:val="1A1A1A"/>
          <w:sz w:val="20"/>
          <w:szCs w:val="20"/>
        </w:rPr>
        <w:t xml:space="preserve"> (lui aussi salarié), non l’auteur des dessins.</w:t>
      </w:r>
    </w:p>
    <w:p>
      <w:pPr>
        <w:pStyle w:val="Heading2"/>
        <w:spacing w:after="110" w:before="260"/>
      </w:pPr>
      <w:r>
        <w:rPr>
          <w:rFonts w:ascii="Calibri" w:cs="Calibri" w:eastAsia="Calibri" w:hAnsi="Calibri"/>
          <w:b/>
          <w:bCs/>
          <w:color w:val="1A1A1A"/>
          <w:spacing w:val="16"/>
          <w:sz w:val="23"/>
          <w:szCs w:val="23"/>
        </w:rPr>
        <w:t xml:space="preserve">Les dates qu’il faut avoir justes</w:t>
      </w:r>
    </w:p>
    <w:tbl>
      <w:tblPr>
        <w:tblW w:type="pct" w:w="100%"/>
        <w:tblBorders>
          <w:top w:val="single" w:color="C9C0B6" w:sz="2"/>
          <w:left w:val="single" w:color="C9C0B6" w:sz="2"/>
          <w:bottom w:val="single" w:color="C9C0B6" w:sz="2"/>
          <w:right w:val="single" w:color="C9C0B6" w:sz="2"/>
          <w:insideH w:val="single" w:color="DCD5CC" w:sz="2"/>
          <w:insideV w:val="single" w:color="DCD5CC" w:sz="2"/>
        </w:tblBorders>
      </w:tblPr>
      <w:tblGrid>
        <w:gridCol w:w="100"/>
        <w:gridCol w:w="100"/>
      </w:tblGrid>
      <w:tr>
        <w:trPr>
          <w:tblHeader/>
        </w:trPr>
        <w:tc>
          <w:tcPr>
            <w:tcW w:type="pct" w:w="50%"/>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Date</w:t>
            </w:r>
          </w:p>
        </w:tc>
        <w:tc>
          <w:tcPr>
            <w:tcW w:type="pct" w:w="50%"/>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Fait</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31 déc. 2003</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Embauche (agent de fabrication, puis technicien)</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28 nov. 2017</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Remise en main propre des deux dessins au RRH (</w:t>
            </w:r>
            <w:r>
              <w:rPr>
                <w:rFonts w:ascii="Calibri" w:cs="Calibri" w:eastAsia="Calibri" w:hAnsi="Calibri"/>
                <w:b w:val="false"/>
                <w:bCs w:val="false"/>
                <w:color w:val="E91E63"/>
                <w:sz w:val="17"/>
                <w:szCs w:val="17"/>
              </w:rPr>
              <w:t xml:space="preserve">§ 14</w:t>
            </w:r>
            <w:r>
              <w:rPr>
                <w:rFonts w:ascii="Calibri" w:cs="Calibri" w:eastAsia="Calibri" w:hAnsi="Calibri"/>
                <w:b w:val="false"/>
                <w:bCs w:val="false"/>
                <w:color w:val="1A1A1A"/>
                <w:sz w:val="17"/>
                <w:szCs w:val="17"/>
              </w:rPr>
              <w:t xml:space="preserve">) — et non le 18 novembre, ni en 2012</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22 déc. 2017</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Licenciement pour faute (et non pour faute grave)</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6 sept. 2018</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Saisine du conseil de prud’hommes</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9 mai 2023</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CA Rennes (8e ch. prud’homale) : rejet de la nullité, mais licenciement jugé sans cause réelle et sérieuse (</w:t>
            </w:r>
            <w:r>
              <w:rPr>
                <w:rFonts w:ascii="Calibri" w:cs="Calibri" w:eastAsia="Calibri" w:hAnsi="Calibri"/>
                <w:b w:val="false"/>
                <w:bCs w:val="false"/>
                <w:color w:val="E91E63"/>
                <w:sz w:val="17"/>
                <w:szCs w:val="17"/>
              </w:rPr>
              <w:t xml:space="preserve">§ 18</w:t>
            </w:r>
            <w:r>
              <w:rPr>
                <w:rFonts w:ascii="Calibri" w:cs="Calibri" w:eastAsia="Calibri" w:hAnsi="Calibri"/>
                <w:b w:val="false"/>
                <w:bCs w:val="false"/>
                <w:color w:val="1A1A1A"/>
                <w:sz w:val="17"/>
                <w:szCs w:val="17"/>
              </w:rPr>
              <w:t xml:space="preserve">)</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2 déc. 2025 / 14 janv. 2026</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Audience / arrêt FS-B, cassation partielle</w:t>
            </w:r>
          </w:p>
        </w:tc>
      </w:tr>
    </w:tbl>
    <w:p>
      <w:pPr>
        <w:spacing w:after="120"/>
      </w:pPr>
    </w:p>
    <w:p>
      <w:r>
        <w:br w:type="page"/>
      </w:r>
    </w:p>
    <w:p>
      <w:pPr>
        <w:shd w:fill="F2E9EA" w:val="clear"/>
        <w:spacing w:after="220" w:before="200"/>
        <w:jc w:val="center"/>
      </w:pPr>
      <w:r>
        <w:rPr>
          <w:rFonts w:ascii="Calibri" w:cs="Calibri" w:eastAsia="Calibri" w:hAnsi="Calibri"/>
          <w:b/>
          <w:bCs/>
          <w:color w:val="8C1C2B"/>
          <w:spacing w:val="30"/>
          <w:sz w:val="26"/>
          <w:szCs w:val="26"/>
        </w:rPr>
        <w:t xml:space="preserve">PARTIE I — LE DOSSIER DOCUMENTAIRE</w:t>
      </w:r>
    </w:p>
    <w:p>
      <w:pPr>
        <w:pStyle w:val="Heading1"/>
        <w:pBdr>
          <w:bottom w:val="single" w:color="8C1C2B" w:sz="12" w:space="6"/>
        </w:pBdr>
        <w:spacing w:after="90" w:before="260"/>
      </w:pPr>
      <w:r>
        <w:rPr>
          <w:rFonts w:ascii="Calibri" w:cs="Calibri" w:eastAsia="Calibri" w:hAnsi="Calibri"/>
          <w:b/>
          <w:bCs/>
          <w:color w:val="8C1C2B"/>
          <w:sz w:val="28"/>
          <w:szCs w:val="28"/>
        </w:rPr>
        <w:t xml:space="preserve">1. L’arrêt décodé</w:t>
      </w:r>
    </w:p>
    <w:p>
      <w:pPr>
        <w:pStyle w:val="Heading2"/>
        <w:spacing w:after="110" w:before="260"/>
      </w:pPr>
      <w:r>
        <w:rPr>
          <w:rFonts w:ascii="Calibri" w:cs="Calibri" w:eastAsia="Calibri" w:hAnsi="Calibri"/>
          <w:b/>
          <w:bCs/>
          <w:color w:val="1A1A1A"/>
          <w:spacing w:val="16"/>
          <w:sz w:val="23"/>
          <w:szCs w:val="23"/>
        </w:rPr>
        <w:t xml:space="preserve">1.1 Fiche d’identité</w:t>
      </w:r>
    </w:p>
    <w:tbl>
      <w:tblPr>
        <w:tblW w:type="pct" w:w="100%"/>
        <w:tblBorders>
          <w:top w:val="single" w:color="C9C0B6" w:sz="2"/>
          <w:left w:val="single" w:color="C9C0B6" w:sz="2"/>
          <w:bottom w:val="single" w:color="C9C0B6" w:sz="2"/>
          <w:right w:val="single" w:color="C9C0B6" w:sz="2"/>
          <w:insideH w:val="single" w:color="DCD5CC" w:sz="2"/>
          <w:insideV w:val="single" w:color="DCD5CC" w:sz="2"/>
        </w:tblBorders>
      </w:tblPr>
      <w:tblGrid>
        <w:gridCol w:w="100"/>
        <w:gridCol w:w="100"/>
      </w:tblGrid>
      <w:tr>
        <w:trPr>
          <w:tblHeader/>
        </w:trPr>
        <w:tc>
          <w:tcPr>
            <w:tcW w:type="pct" w:w="50%"/>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Rubrique</w:t>
            </w:r>
          </w:p>
        </w:tc>
        <w:tc>
          <w:tcPr>
            <w:tcW w:type="pct" w:w="50%"/>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Contenu</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Juridiction</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Cour de cassation, chambre sociale, formation de section (FS), arrêt n° 49, </w:t>
            </w:r>
            <w:r>
              <w:rPr>
                <w:rFonts w:ascii="Calibri" w:cs="Calibri" w:eastAsia="Calibri" w:hAnsi="Calibri"/>
                <w:b w:val="false"/>
                <w:bCs w:val="false"/>
                <w:color w:val="1A1A1A"/>
                <w:sz w:val="17"/>
                <w:szCs w:val="17"/>
              </w:rPr>
              <w:t xml:space="preserve">publié au Bulletin (B)</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Date / pourvoi</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14 janvier 2026, n° H 23-19.947 — ECLI:FR:CCASS:2026:SO00049</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Composition</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M. Sommer (président), M. Barincou (rapporteur), M. Gambert (avocat général) ; audience du 2 décembre 2025</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Décision attaquée</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CA Rennes, 8e chambre prud’homale, 9 mai 2023</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Parties</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Demandeurs : M. [G] [L] (technicien) et le syndicat CGT Airbus opérations ; défenderesse : Airbus Atlantic, venant aux droits d’Airbus Opérations</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Visa</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E88E5"/>
                <w:sz w:val="17"/>
                <w:szCs w:val="17"/>
              </w:rPr>
              <w:t xml:space="preserve">Art. 11 DDHC</w:t>
            </w:r>
            <w:r>
              <w:rPr>
                <w:rFonts w:ascii="Calibri" w:cs="Calibri" w:eastAsia="Calibri" w:hAnsi="Calibri"/>
                <w:b w:val="false"/>
                <w:bCs w:val="false"/>
                <w:color w:val="1A1A1A"/>
                <w:sz w:val="17"/>
                <w:szCs w:val="17"/>
              </w:rPr>
              <w:t xml:space="preserve">, </w:t>
            </w:r>
            <w:r>
              <w:rPr>
                <w:rFonts w:ascii="Calibri" w:cs="Calibri" w:eastAsia="Calibri" w:hAnsi="Calibri"/>
                <w:b w:val="false"/>
                <w:bCs w:val="false"/>
                <w:color w:val="1E88E5"/>
                <w:sz w:val="17"/>
                <w:szCs w:val="17"/>
              </w:rPr>
              <w:t xml:space="preserve">art. 10 Conv. EDH</w:t>
            </w:r>
            <w:r>
              <w:rPr>
                <w:rFonts w:ascii="Calibri" w:cs="Calibri" w:eastAsia="Calibri" w:hAnsi="Calibri"/>
                <w:b w:val="false"/>
                <w:bCs w:val="false"/>
                <w:color w:val="1A1A1A"/>
                <w:sz w:val="17"/>
                <w:szCs w:val="17"/>
              </w:rPr>
              <w:t xml:space="preserve">, </w:t>
            </w:r>
            <w:r>
              <w:rPr>
                <w:rFonts w:ascii="Calibri" w:cs="Calibri" w:eastAsia="Calibri" w:hAnsi="Calibri"/>
                <w:b w:val="false"/>
                <w:bCs w:val="false"/>
                <w:color w:val="1E88E5"/>
                <w:sz w:val="17"/>
                <w:szCs w:val="17"/>
              </w:rPr>
              <w:t xml:space="preserve">art. L. 1121-1 C. trav.</w:t>
            </w:r>
            <w:r>
              <w:rPr>
                <w:rFonts w:ascii="Calibri" w:cs="Calibri" w:eastAsia="Calibri" w:hAnsi="Calibri"/>
                <w:b w:val="false"/>
                <w:bCs w:val="false"/>
                <w:color w:val="1A1A1A"/>
                <w:sz w:val="17"/>
                <w:szCs w:val="17"/>
              </w:rPr>
              <w:t xml:space="preserve"> (et, pour le syndicat, </w:t>
            </w:r>
            <w:r>
              <w:rPr>
                <w:rFonts w:ascii="Calibri" w:cs="Calibri" w:eastAsia="Calibri" w:hAnsi="Calibri"/>
                <w:b w:val="false"/>
                <w:bCs w:val="false"/>
                <w:color w:val="1E88E5"/>
                <w:sz w:val="17"/>
                <w:szCs w:val="17"/>
              </w:rPr>
              <w:t xml:space="preserve">art. L. 2132-3 C. trav.</w:t>
            </w:r>
            <w:r>
              <w:rPr>
                <w:rFonts w:ascii="Calibri" w:cs="Calibri" w:eastAsia="Calibri" w:hAnsi="Calibri"/>
                <w:b w:val="false"/>
                <w:bCs w:val="false"/>
                <w:color w:val="1A1A1A"/>
                <w:sz w:val="17"/>
                <w:szCs w:val="17"/>
              </w:rPr>
              <w:t xml:space="preserve">)</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Solution</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Premier moyen (discrimination) : rejet non spécialement motivé (</w:t>
            </w:r>
            <w:r>
              <w:rPr>
                <w:rFonts w:ascii="Calibri" w:cs="Calibri" w:eastAsia="Calibri" w:hAnsi="Calibri"/>
                <w:b w:val="false"/>
                <w:bCs w:val="false"/>
                <w:color w:val="1E88E5"/>
                <w:sz w:val="17"/>
                <w:szCs w:val="17"/>
              </w:rPr>
              <w:t xml:space="preserve">art. 1014 al. 2 CPC</w:t>
            </w:r>
            <w:r>
              <w:rPr>
                <w:rFonts w:ascii="Calibri" w:cs="Calibri" w:eastAsia="Calibri" w:hAnsi="Calibri"/>
                <w:b w:val="false"/>
                <w:bCs w:val="false"/>
                <w:color w:val="1A1A1A"/>
                <w:sz w:val="17"/>
                <w:szCs w:val="17"/>
              </w:rPr>
              <w:t xml:space="preserve">). Second moyen : inopérant pour le syndicat ; </w:t>
            </w:r>
            <w:r>
              <w:rPr>
                <w:rFonts w:ascii="Calibri" w:cs="Calibri" w:eastAsia="Calibri" w:hAnsi="Calibri"/>
                <w:b w:val="false"/>
                <w:bCs w:val="false"/>
                <w:color w:val="1A1A1A"/>
                <w:sz w:val="17"/>
                <w:szCs w:val="17"/>
              </w:rPr>
              <w:t xml:space="preserve">cassation partielle</w:t>
            </w:r>
            <w:r>
              <w:rPr>
                <w:rFonts w:ascii="Calibri" w:cs="Calibri" w:eastAsia="Calibri" w:hAnsi="Calibri"/>
                <w:b w:val="false"/>
                <w:bCs w:val="false"/>
                <w:color w:val="1A1A1A"/>
                <w:sz w:val="17"/>
                <w:szCs w:val="17"/>
              </w:rPr>
              <w:t xml:space="preserve"> pour le salarié ; renvoi CA Rennes autrement composée ; 3 000 € au titre de l’art. 700</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Série</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Même jour, même formule : </w:t>
            </w:r>
            <w:r>
              <w:rPr>
                <w:rFonts w:ascii="Calibri" w:cs="Calibri" w:eastAsia="Calibri" w:hAnsi="Calibri"/>
                <w:b w:val="false"/>
                <w:bCs w:val="false"/>
                <w:color w:val="E91E63"/>
                <w:sz w:val="17"/>
                <w:szCs w:val="17"/>
              </w:rPr>
              <w:t xml:space="preserve">n° 24-13.778</w:t>
            </w:r>
            <w:r>
              <w:rPr>
                <w:rFonts w:ascii="Calibri" w:cs="Calibri" w:eastAsia="Calibri" w:hAnsi="Calibri"/>
                <w:b w:val="false"/>
                <w:bCs w:val="false"/>
                <w:color w:val="1A1A1A"/>
                <w:sz w:val="17"/>
                <w:szCs w:val="17"/>
              </w:rPr>
              <w:t xml:space="preserve"> (rejet), </w:t>
            </w:r>
            <w:r>
              <w:rPr>
                <w:rFonts w:ascii="Calibri" w:cs="Calibri" w:eastAsia="Calibri" w:hAnsi="Calibri"/>
                <w:b w:val="false"/>
                <w:bCs w:val="false"/>
                <w:color w:val="E91E63"/>
                <w:sz w:val="17"/>
                <w:szCs w:val="17"/>
              </w:rPr>
              <w:t xml:space="preserve">n° 24-19.583</w:t>
            </w:r>
            <w:r>
              <w:rPr>
                <w:rFonts w:ascii="Calibri" w:cs="Calibri" w:eastAsia="Calibri" w:hAnsi="Calibri"/>
                <w:b w:val="false"/>
                <w:bCs w:val="false"/>
                <w:color w:val="1A1A1A"/>
                <w:sz w:val="17"/>
                <w:szCs w:val="17"/>
              </w:rPr>
              <w:t xml:space="preserve"> (cassation), tous deux FS-B ; </w:t>
            </w:r>
            <w:r>
              <w:rPr>
                <w:rFonts w:ascii="Calibri" w:cs="Calibri" w:eastAsia="Calibri" w:hAnsi="Calibri"/>
                <w:b w:val="false"/>
                <w:bCs w:val="false"/>
                <w:color w:val="E91E63"/>
                <w:sz w:val="17"/>
                <w:szCs w:val="17"/>
              </w:rPr>
              <w:t xml:space="preserve">n° 23-17.946</w:t>
            </w:r>
            <w:r>
              <w:rPr>
                <w:rFonts w:ascii="Calibri" w:cs="Calibri" w:eastAsia="Calibri" w:hAnsi="Calibri"/>
                <w:b w:val="false"/>
                <w:bCs w:val="false"/>
                <w:color w:val="1A1A1A"/>
                <w:sz w:val="17"/>
                <w:szCs w:val="17"/>
              </w:rPr>
              <w:t xml:space="preserve"> (rejet, FS-B) ; </w:t>
            </w:r>
            <w:r>
              <w:rPr>
                <w:rFonts w:ascii="Calibri" w:cs="Calibri" w:eastAsia="Calibri" w:hAnsi="Calibri"/>
                <w:b w:val="false"/>
                <w:bCs w:val="false"/>
                <w:color w:val="E91E63"/>
                <w:sz w:val="17"/>
                <w:szCs w:val="17"/>
              </w:rPr>
              <w:t xml:space="preserve">n° 24-18.877</w:t>
            </w:r>
            <w:r>
              <w:rPr>
                <w:rFonts w:ascii="Calibri" w:cs="Calibri" w:eastAsia="Calibri" w:hAnsi="Calibri"/>
                <w:b w:val="false"/>
                <w:bCs w:val="false"/>
                <w:color w:val="1A1A1A"/>
                <w:sz w:val="17"/>
                <w:szCs w:val="17"/>
              </w:rPr>
              <w:t xml:space="preserve"> (rejet, inédit)</w:t>
            </w:r>
          </w:p>
        </w:tc>
      </w:tr>
    </w:tbl>
    <w:p>
      <w:pPr>
        <w:spacing w:after="120"/>
      </w:pPr>
    </w:p>
    <w:p>
      <w:pPr>
        <w:pStyle w:val="Heading2"/>
        <w:spacing w:after="110" w:before="260"/>
      </w:pPr>
      <w:r>
        <w:rPr>
          <w:rFonts w:ascii="Calibri" w:cs="Calibri" w:eastAsia="Calibri" w:hAnsi="Calibri"/>
          <w:b/>
          <w:bCs/>
          <w:color w:val="1A1A1A"/>
          <w:spacing w:val="16"/>
          <w:sz w:val="23"/>
          <w:szCs w:val="23"/>
        </w:rPr>
        <w:t xml:space="preserve">1.2 Les faits, tels que les rapporte l’arrêt</w:t>
      </w:r>
    </w:p>
    <w:p>
      <w:pPr>
        <w:pStyle w:val="ListParagraph"/>
        <w:numPr>
          <w:ilvl w:val="0"/>
          <w:numId w:val="2"/>
        </w:numPr>
        <w:spacing w:after="70" w:line="264"/>
        <w:jc w:val="both"/>
      </w:pPr>
      <w:r>
        <w:rPr>
          <w:rFonts w:ascii="Calibri" w:cs="Calibri" w:eastAsia="Calibri" w:hAnsi="Calibri"/>
          <w:color w:val="1A1A1A"/>
          <w:sz w:val="20"/>
          <w:szCs w:val="20"/>
        </w:rPr>
        <w:t xml:space="preserve">Le salarié, engagé le 31 décembre 2003 comme agent de fabrication, est en dernier lieu technicien. Il faisait valoir qu’il avait </w:t>
      </w:r>
      <w:r>
        <w:rPr>
          <w:rFonts w:ascii="Calibri" w:cs="Calibri" w:eastAsia="Calibri" w:hAnsi="Calibri"/>
          <w:b/>
          <w:bCs/>
          <w:color w:val="1A1A1A"/>
          <w:sz w:val="20"/>
          <w:szCs w:val="20"/>
        </w:rPr>
        <w:t xml:space="preserve">vainement sollicité un aménagement de son poste</w:t>
      </w:r>
      <w:r>
        <w:rPr>
          <w:rFonts w:ascii="Calibri" w:cs="Calibri" w:eastAsia="Calibri" w:hAnsi="Calibri"/>
          <w:color w:val="1A1A1A"/>
          <w:sz w:val="20"/>
          <w:szCs w:val="20"/>
        </w:rPr>
        <w:t xml:space="preserve"> en raison de ses problèmes de santé (</w:t>
      </w:r>
      <w:r>
        <w:rPr>
          <w:rFonts w:ascii="Calibri" w:cs="Calibri" w:eastAsia="Calibri" w:hAnsi="Calibri"/>
          <w:color w:val="E91E63"/>
          <w:sz w:val="20"/>
          <w:szCs w:val="20"/>
        </w:rPr>
        <w:t xml:space="preserve">§ 17</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Le </w:t>
      </w:r>
      <w:r>
        <w:rPr>
          <w:rFonts w:ascii="Calibri" w:cs="Calibri" w:eastAsia="Calibri" w:hAnsi="Calibri"/>
          <w:b/>
          <w:bCs/>
          <w:color w:val="1A1A1A"/>
          <w:sz w:val="20"/>
          <w:szCs w:val="20"/>
        </w:rPr>
        <w:t xml:space="preserve">28 novembre 2017</w:t>
      </w:r>
      <w:r>
        <w:rPr>
          <w:rFonts w:ascii="Calibri" w:cs="Calibri" w:eastAsia="Calibri" w:hAnsi="Calibri"/>
          <w:color w:val="1A1A1A"/>
          <w:sz w:val="20"/>
          <w:szCs w:val="20"/>
        </w:rPr>
        <w:t xml:space="preserve">, il remet </w:t>
      </w:r>
      <w:r>
        <w:rPr>
          <w:rFonts w:ascii="Calibri" w:cs="Calibri" w:eastAsia="Calibri" w:hAnsi="Calibri"/>
          <w:b/>
          <w:bCs/>
          <w:color w:val="1A1A1A"/>
          <w:sz w:val="20"/>
          <w:szCs w:val="20"/>
        </w:rPr>
        <w:t xml:space="preserve">personnellement</w:t>
      </w:r>
      <w:r>
        <w:rPr>
          <w:rFonts w:ascii="Calibri" w:cs="Calibri" w:eastAsia="Calibri" w:hAnsi="Calibri"/>
          <w:color w:val="1A1A1A"/>
          <w:sz w:val="20"/>
          <w:szCs w:val="20"/>
        </w:rPr>
        <w:t xml:space="preserve"> au responsable des ressources humaines (RRH) deux dessins qu’il a réalisés (</w:t>
      </w:r>
      <w:r>
        <w:rPr>
          <w:rFonts w:ascii="Calibri" w:cs="Calibri" w:eastAsia="Calibri" w:hAnsi="Calibri"/>
          <w:color w:val="E91E63"/>
          <w:sz w:val="20"/>
          <w:szCs w:val="20"/>
        </w:rPr>
        <w:t xml:space="preserve">§ 14</w:t>
      </w:r>
      <w:r>
        <w:rPr>
          <w:rFonts w:ascii="Calibri" w:cs="Calibri" w:eastAsia="Calibri" w:hAnsi="Calibri"/>
          <w:color w:val="1A1A1A"/>
          <w:sz w:val="20"/>
          <w:szCs w:val="20"/>
        </w:rPr>
        <w:t xml:space="preserve">) :</w:t>
      </w:r>
    </w:p>
    <w:p>
      <w:pPr>
        <w:pStyle w:val="ListParagraph"/>
        <w:numPr>
          <w:ilvl w:val="1"/>
          <w:numId w:val="2"/>
        </w:numPr>
        <w:spacing w:after="70" w:line="264"/>
        <w:jc w:val="both"/>
      </w:pPr>
      <w:r>
        <w:rPr>
          <w:rFonts w:ascii="Calibri" w:cs="Calibri" w:eastAsia="Calibri" w:hAnsi="Calibri"/>
          <w:color w:val="1A1A1A"/>
          <w:sz w:val="20"/>
          <w:szCs w:val="20"/>
        </w:rPr>
        <w:t xml:space="preserve">le premier le représente en habit de travail, les larmes aux yeux, avec la légende « </w:t>
      </w:r>
      <w:r>
        <w:rPr>
          <w:rFonts w:ascii="Calibri" w:cs="Calibri" w:eastAsia="Calibri" w:hAnsi="Calibri"/>
          <w:i/>
          <w:iCs/>
          <w:color w:val="1A1A1A"/>
          <w:sz w:val="20"/>
          <w:szCs w:val="20"/>
        </w:rPr>
        <w:t xml:space="preserve">Ouvrier sérieux, travailleur, innovant, abîmé physiquement mais toujours pertinent, cherche poste désespérément</w:t>
      </w:r>
      <w:r>
        <w:rPr>
          <w:rFonts w:ascii="Calibri" w:cs="Calibri" w:eastAsia="Calibri" w:hAnsi="Calibri"/>
          <w:color w:val="1A1A1A"/>
          <w:sz w:val="20"/>
          <w:szCs w:val="20"/>
        </w:rPr>
        <w:t xml:space="preserve"> » ;</w:t>
      </w:r>
    </w:p>
    <w:p>
      <w:pPr>
        <w:pStyle w:val="ListParagraph"/>
        <w:numPr>
          <w:ilvl w:val="1"/>
          <w:numId w:val="2"/>
        </w:numPr>
        <w:spacing w:after="70" w:line="264"/>
        <w:jc w:val="both"/>
      </w:pPr>
      <w:r>
        <w:rPr>
          <w:rFonts w:ascii="Calibri" w:cs="Calibri" w:eastAsia="Calibri" w:hAnsi="Calibri"/>
          <w:color w:val="1A1A1A"/>
          <w:sz w:val="20"/>
          <w:szCs w:val="20"/>
        </w:rPr>
        <w:t xml:space="preserve">le second représente un homme portant des lunettes jetant des ouvriers dans une poubelle marquée « </w:t>
      </w:r>
      <w:r>
        <w:rPr>
          <w:rFonts w:ascii="Calibri" w:cs="Calibri" w:eastAsia="Calibri" w:hAnsi="Calibri"/>
          <w:i/>
          <w:iCs/>
          <w:color w:val="1A1A1A"/>
          <w:sz w:val="20"/>
          <w:szCs w:val="20"/>
        </w:rPr>
        <w:t xml:space="preserve">non recyclable</w:t>
      </w:r>
      <w:r>
        <w:rPr>
          <w:rFonts w:ascii="Calibri" w:cs="Calibri" w:eastAsia="Calibri" w:hAnsi="Calibri"/>
          <w:color w:val="1A1A1A"/>
          <w:sz w:val="20"/>
          <w:szCs w:val="20"/>
        </w:rPr>
        <w:t xml:space="preserve"> », dans lequel le RRH s’est reconnu.</w:t>
      </w:r>
    </w:p>
    <w:p>
      <w:pPr>
        <w:pStyle w:val="ListParagraph"/>
        <w:numPr>
          <w:ilvl w:val="0"/>
          <w:numId w:val="2"/>
        </w:numPr>
        <w:spacing w:after="70" w:line="264"/>
        <w:jc w:val="both"/>
      </w:pPr>
      <w:r>
        <w:rPr>
          <w:rFonts w:ascii="Calibri" w:cs="Calibri" w:eastAsia="Calibri" w:hAnsi="Calibri"/>
          <w:color w:val="1A1A1A"/>
          <w:sz w:val="20"/>
          <w:szCs w:val="20"/>
        </w:rPr>
        <w:t xml:space="preserve">Il est licencié </w:t>
      </w:r>
      <w:r>
        <w:rPr>
          <w:rFonts w:ascii="Calibri" w:cs="Calibri" w:eastAsia="Calibri" w:hAnsi="Calibri"/>
          <w:b/>
          <w:bCs/>
          <w:color w:val="1A1A1A"/>
          <w:sz w:val="20"/>
          <w:szCs w:val="20"/>
        </w:rPr>
        <w:t xml:space="preserve">pour faute</w:t>
      </w:r>
      <w:r>
        <w:rPr>
          <w:rFonts w:ascii="Calibri" w:cs="Calibri" w:eastAsia="Calibri" w:hAnsi="Calibri"/>
          <w:color w:val="1A1A1A"/>
          <w:sz w:val="20"/>
          <w:szCs w:val="20"/>
        </w:rPr>
        <w:t xml:space="preserve"> le 22 décembre 2017 (</w:t>
      </w:r>
      <w:r>
        <w:rPr>
          <w:rFonts w:ascii="Calibri" w:cs="Calibri" w:eastAsia="Calibri" w:hAnsi="Calibri"/>
          <w:color w:val="E91E63"/>
          <w:sz w:val="20"/>
          <w:szCs w:val="20"/>
        </w:rPr>
        <w:t xml:space="preserve">§ 2</w:t>
      </w:r>
      <w:r>
        <w:rPr>
          <w:rFonts w:ascii="Calibri" w:cs="Calibri" w:eastAsia="Calibri" w:hAnsi="Calibri"/>
          <w:color w:val="1A1A1A"/>
          <w:sz w:val="20"/>
          <w:szCs w:val="20"/>
        </w:rPr>
        <w:t xml:space="preserve">) — pas pour faute grave.</w:t>
      </w:r>
    </w:p>
    <w:p>
      <w:pPr>
        <w:pStyle w:val="ListParagraph"/>
        <w:numPr>
          <w:ilvl w:val="0"/>
          <w:numId w:val="2"/>
        </w:numPr>
        <w:spacing w:after="70" w:line="264"/>
        <w:jc w:val="both"/>
      </w:pPr>
      <w:r>
        <w:rPr>
          <w:rFonts w:ascii="Calibri" w:cs="Calibri" w:eastAsia="Calibri" w:hAnsi="Calibri"/>
          <w:color w:val="1A1A1A"/>
          <w:sz w:val="20"/>
          <w:szCs w:val="20"/>
        </w:rPr>
        <w:t xml:space="preserve">Selon un commentaire syndical (</w:t>
      </w:r>
      <w:r>
        <w:rPr>
          <w:rFonts w:ascii="Calibri" w:cs="Calibri" w:eastAsia="Calibri" w:hAnsi="Calibri"/>
          <w:color w:val="2E7D32"/>
          <w:sz w:val="20"/>
          <w:szCs w:val="20"/>
        </w:rPr>
        <w:t xml:space="preserve">CFDT, « Liberté d’expression du salarié : un nouveau mode d’emploi pour les juges », 2026</w:t>
      </w:r>
      <w:r>
        <w:rPr>
          <w:rFonts w:ascii="Calibri" w:cs="Calibri" w:eastAsia="Calibri" w:hAnsi="Calibri"/>
          <w:color w:val="1A1A1A"/>
          <w:sz w:val="20"/>
          <w:szCs w:val="20"/>
        </w:rPr>
        <w:t xml:space="preserve">), l’employeur invoquait le caractère excessif et injurieux des dessins, l’obligation de chaque salarié de veiller à la santé et à la sécurité des autres et le règlement intérieur ; le conseil de prud’hommes avait </w:t>
      </w:r>
      <w:r>
        <w:rPr>
          <w:rFonts w:ascii="Calibri" w:cs="Calibri" w:eastAsia="Calibri" w:hAnsi="Calibri"/>
          <w:b/>
          <w:bCs/>
          <w:color w:val="1A1A1A"/>
          <w:sz w:val="20"/>
          <w:szCs w:val="20"/>
        </w:rPr>
        <w:t xml:space="preserve">jugé le licenciement nul</w:t>
      </w:r>
      <w:r>
        <w:rPr>
          <w:rFonts w:ascii="Calibri" w:cs="Calibri" w:eastAsia="Calibri" w:hAnsi="Calibri"/>
          <w:color w:val="1A1A1A"/>
          <w:sz w:val="20"/>
          <w:szCs w:val="20"/>
        </w:rPr>
        <w:t xml:space="preserve">. Ces éléments ne figurent pas dans l’arrêt de cassation : à citer avec prudence.</w:t>
      </w:r>
    </w:p>
    <w:p>
      <w:pPr>
        <w:pStyle w:val="Heading2"/>
        <w:spacing w:after="110" w:before="260"/>
      </w:pPr>
      <w:r>
        <w:rPr>
          <w:rFonts w:ascii="Calibri" w:cs="Calibri" w:eastAsia="Calibri" w:hAnsi="Calibri"/>
          <w:b/>
          <w:bCs/>
          <w:color w:val="1A1A1A"/>
          <w:spacing w:val="16"/>
          <w:sz w:val="23"/>
          <w:szCs w:val="23"/>
        </w:rPr>
        <w:t xml:space="preserve">1.3 La procédure</w:t>
      </w:r>
    </w:p>
    <w:tbl>
      <w:tblPr>
        <w:tblW w:type="pct" w:w="100%"/>
        <w:tblBorders>
          <w:top w:val="single" w:color="C9C0B6" w:sz="2"/>
          <w:left w:val="single" w:color="C9C0B6" w:sz="2"/>
          <w:bottom w:val="single" w:color="C9C0B6" w:sz="2"/>
          <w:right w:val="single" w:color="C9C0B6" w:sz="2"/>
          <w:insideH w:val="single" w:color="DCD5CC" w:sz="2"/>
          <w:insideV w:val="single" w:color="DCD5CC" w:sz="2"/>
        </w:tblBorders>
      </w:tblPr>
      <w:tblGrid>
        <w:gridCol w:w="100"/>
        <w:gridCol w:w="100"/>
      </w:tblGrid>
      <w:tr>
        <w:trPr>
          <w:tblHeader/>
        </w:trPr>
        <w:tc>
          <w:tcPr>
            <w:tcW w:type="pct" w:w="50%"/>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Étape</w:t>
            </w:r>
          </w:p>
        </w:tc>
        <w:tc>
          <w:tcPr>
            <w:tcW w:type="pct" w:w="50%"/>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Contenu</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Saisine du CPH (6 sept. 2018)</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Nullité du licenciement (discrimination liée à l’état de santé, atteinte à la liberté d’expression), réintégration sous astreinte ; subsidiairement licenciement sans cause réelle et sérieuse ; dommages-intérêts pour rupture brutale et vexatoire et pour discrimination. Le syndicat demande réparation de l’atteinte à l’intérêt collectif de la profession.</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CA Rennes, 9 mai 2023</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Rejette la nullité et les demandes au titre de la liberté d’expression ; déboute le syndicat ; mais condamne l’employeur à des dommages-intérêts pour licenciement </w:t>
            </w:r>
            <w:r>
              <w:rPr>
                <w:rFonts w:ascii="Calibri" w:cs="Calibri" w:eastAsia="Calibri" w:hAnsi="Calibri"/>
                <w:b w:val="false"/>
                <w:bCs w:val="false"/>
                <w:color w:val="1A1A1A"/>
                <w:sz w:val="17"/>
                <w:szCs w:val="17"/>
              </w:rPr>
              <w:t xml:space="preserve">sans cause réelle et sérieuse</w:t>
            </w:r>
            <w:r>
              <w:rPr>
                <w:rFonts w:ascii="Calibri" w:cs="Calibri" w:eastAsia="Calibri" w:hAnsi="Calibri"/>
                <w:b w:val="false"/>
                <w:bCs w:val="false"/>
                <w:color w:val="1A1A1A"/>
                <w:sz w:val="17"/>
                <w:szCs w:val="17"/>
              </w:rPr>
              <w:t xml:space="preserve"> (ce que révèle le </w:t>
            </w:r>
            <w:r>
              <w:rPr>
                <w:rFonts w:ascii="Calibri" w:cs="Calibri" w:eastAsia="Calibri" w:hAnsi="Calibri"/>
                <w:b w:val="false"/>
                <w:bCs w:val="false"/>
                <w:color w:val="E91E63"/>
                <w:sz w:val="17"/>
                <w:szCs w:val="17"/>
              </w:rPr>
              <w:t xml:space="preserve">§ 18</w:t>
            </w:r>
            <w:r>
              <w:rPr>
                <w:rFonts w:ascii="Calibri" w:cs="Calibri" w:eastAsia="Calibri" w:hAnsi="Calibri"/>
                <w:b w:val="false"/>
                <w:bCs w:val="false"/>
                <w:color w:val="1A1A1A"/>
                <w:sz w:val="17"/>
                <w:szCs w:val="17"/>
              </w:rPr>
              <w:t xml:space="preserve">).</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Pourvoi</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Salarié et syndicat ; deux moyens (le second en trois branches).</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Cass. soc., 14 janv. 2026</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Cassation partielle des chefs relatifs à la liberté d’expression, à la nullité et à la réintégration, et, par voie de conséquence (</w:t>
            </w:r>
            <w:r>
              <w:rPr>
                <w:rFonts w:ascii="Calibri" w:cs="Calibri" w:eastAsia="Calibri" w:hAnsi="Calibri"/>
                <w:b w:val="false"/>
                <w:bCs w:val="false"/>
                <w:color w:val="1E88E5"/>
                <w:sz w:val="17"/>
                <w:szCs w:val="17"/>
              </w:rPr>
              <w:t xml:space="preserve">art. 624 CPC</w:t>
            </w:r>
            <w:r>
              <w:rPr>
                <w:rFonts w:ascii="Calibri" w:cs="Calibri" w:eastAsia="Calibri" w:hAnsi="Calibri"/>
                <w:b w:val="false"/>
                <w:bCs w:val="false"/>
                <w:color w:val="1A1A1A"/>
                <w:sz w:val="17"/>
                <w:szCs w:val="17"/>
              </w:rPr>
              <w:t xml:space="preserve">), des chefs condamnant à des dommages-intérêts pour licenciement sans cause réelle et sérieuse.</w:t>
            </w:r>
          </w:p>
        </w:tc>
      </w:tr>
    </w:tbl>
    <w:p>
      <w:pPr>
        <w:spacing w:after="120"/>
      </w:pPr>
    </w:p>
    <w:p>
      <w:pPr>
        <w:pBdr>
          <w:top w:val="single" w:color="D8CFC4" w:sz="4" w:space="8"/>
          <w:bottom w:val="single" w:color="D8CFC4" w:sz="4" w:space="8"/>
          <w:left w:val="single" w:color="D8CFC4" w:sz="4" w:space="8"/>
          <w:right w:val="single" w:color="D8CFC4" w:sz="4" w:space="8"/>
        </w:pBdr>
        <w:shd w:fill="F7F4F0" w:val="clear"/>
        <w:spacing w:after="120" w:before="120" w:line="264"/>
        <w:ind w:left="140" w:right="140"/>
        <w:jc w:val="both"/>
      </w:pPr>
      <w:r>
        <w:rPr>
          <w:rFonts w:ascii="Calibri" w:cs="Calibri" w:eastAsia="Calibri" w:hAnsi="Calibri"/>
          <w:b/>
          <w:bCs/>
          <w:color w:val="1A1A1A"/>
          <w:sz w:val="19"/>
          <w:szCs w:val="19"/>
        </w:rPr>
        <w:t xml:space="preserve">Observation utile à l’oral.</w:t>
      </w:r>
      <w:r>
        <w:rPr>
          <w:rFonts w:ascii="Calibri" w:cs="Calibri" w:eastAsia="Calibri" w:hAnsi="Calibri"/>
          <w:color w:val="1A1A1A"/>
          <w:sz w:val="19"/>
          <w:szCs w:val="19"/>
        </w:rPr>
        <w:t xml:space="preserve"> La cour d’appel avait donc jugé le licenciement </w:t>
      </w:r>
      <w:r>
        <w:rPr>
          <w:rFonts w:ascii="Calibri" w:cs="Calibri" w:eastAsia="Calibri" w:hAnsi="Calibri"/>
          <w:i/>
          <w:iCs/>
          <w:color w:val="1A1A1A"/>
          <w:sz w:val="19"/>
          <w:szCs w:val="19"/>
        </w:rPr>
        <w:t xml:space="preserve">injustifié</w:t>
      </w:r>
      <w:r>
        <w:rPr>
          <w:rFonts w:ascii="Calibri" w:cs="Calibri" w:eastAsia="Calibri" w:hAnsi="Calibri"/>
          <w:color w:val="1A1A1A"/>
          <w:sz w:val="19"/>
          <w:szCs w:val="19"/>
        </w:rPr>
        <w:t xml:space="preserve"> (sans cause réelle et sérieuse) tout en refusant d’y voir une atteinte à la liberté d’expression. L’enjeu du pourvoi n’était pas de savoir si le salarié gagnerait, mais </w:t>
      </w:r>
      <w:r>
        <w:rPr>
          <w:rFonts w:ascii="Calibri" w:cs="Calibri" w:eastAsia="Calibri" w:hAnsi="Calibri"/>
          <w:b/>
          <w:bCs/>
          <w:color w:val="1A1A1A"/>
          <w:sz w:val="19"/>
          <w:szCs w:val="19"/>
        </w:rPr>
        <w:t xml:space="preserve">comment</w:t>
      </w:r>
      <w:r>
        <w:rPr>
          <w:rFonts w:ascii="Calibri" w:cs="Calibri" w:eastAsia="Calibri" w:hAnsi="Calibri"/>
          <w:color w:val="1A1A1A"/>
          <w:sz w:val="19"/>
          <w:szCs w:val="19"/>
        </w:rPr>
        <w:t xml:space="preserve"> : nullité (réintégration, indemnité d’au moins six mois hors barème, </w:t>
      </w:r>
      <w:r>
        <w:rPr>
          <w:rFonts w:ascii="Calibri" w:cs="Calibri" w:eastAsia="Calibri" w:hAnsi="Calibri"/>
          <w:color w:val="1E88E5"/>
          <w:sz w:val="19"/>
          <w:szCs w:val="19"/>
        </w:rPr>
        <w:t xml:space="preserve">art. L. 1235-3-1 C. trav.</w:t>
      </w:r>
      <w:r>
        <w:rPr>
          <w:rFonts w:ascii="Calibri" w:cs="Calibri" w:eastAsia="Calibri" w:hAnsi="Calibri"/>
          <w:color w:val="1A1A1A"/>
          <w:sz w:val="19"/>
          <w:szCs w:val="19"/>
        </w:rPr>
        <w:t xml:space="preserve">) ou simple absence de cause réelle et sérieuse (indemnité plafonnée par le barème de </w:t>
      </w:r>
      <w:r>
        <w:rPr>
          <w:rFonts w:ascii="Calibri" w:cs="Calibri" w:eastAsia="Calibri" w:hAnsi="Calibri"/>
          <w:color w:val="1E88E5"/>
          <w:sz w:val="19"/>
          <w:szCs w:val="19"/>
        </w:rPr>
        <w:t xml:space="preserve">l’art. L. 1235-3</w:t>
      </w:r>
      <w:r>
        <w:rPr>
          <w:rFonts w:ascii="Calibri" w:cs="Calibri" w:eastAsia="Calibri" w:hAnsi="Calibri"/>
          <w:color w:val="1A1A1A"/>
          <w:sz w:val="19"/>
          <w:szCs w:val="19"/>
        </w:rPr>
        <w:t xml:space="preserve">). C’est pourquoi la cassation s’étend, par indivisibilité, aux dommages-intérêts pour licenciement sans cause réelle et sérieuse (</w:t>
      </w:r>
      <w:r>
        <w:rPr>
          <w:rFonts w:ascii="Calibri" w:cs="Calibri" w:eastAsia="Calibri" w:hAnsi="Calibri"/>
          <w:color w:val="E91E63"/>
          <w:sz w:val="19"/>
          <w:szCs w:val="19"/>
        </w:rPr>
        <w:t xml:space="preserve">§ 18</w:t>
      </w:r>
      <w:r>
        <w:rPr>
          <w:rFonts w:ascii="Calibri" w:cs="Calibri" w:eastAsia="Calibri" w:hAnsi="Calibri"/>
          <w:color w:val="1A1A1A"/>
          <w:sz w:val="19"/>
          <w:szCs w:val="19"/>
        </w:rPr>
        <w:t xml:space="preserve">).</w:t>
      </w:r>
    </w:p>
    <w:p>
      <w:pPr>
        <w:pStyle w:val="Heading2"/>
        <w:spacing w:after="110" w:before="260"/>
      </w:pPr>
      <w:r>
        <w:rPr>
          <w:rFonts w:ascii="Calibri" w:cs="Calibri" w:eastAsia="Calibri" w:hAnsi="Calibri"/>
          <w:b/>
          <w:bCs/>
          <w:color w:val="1A1A1A"/>
          <w:spacing w:val="16"/>
          <w:sz w:val="23"/>
          <w:szCs w:val="23"/>
        </w:rPr>
        <w:t xml:space="preserve">1.4 Ce que soutenait le pourvoi</w:t>
      </w:r>
    </w:p>
    <w:p>
      <w:pPr>
        <w:pStyle w:val="ListParagraph"/>
        <w:numPr>
          <w:ilvl w:val="0"/>
          <w:numId w:val="2"/>
        </w:numPr>
        <w:spacing w:after="70" w:line="264"/>
        <w:jc w:val="both"/>
      </w:pPr>
      <w:r>
        <w:rPr>
          <w:rFonts w:ascii="Calibri" w:cs="Calibri" w:eastAsia="Calibri" w:hAnsi="Calibri"/>
          <w:b/>
          <w:bCs/>
          <w:color w:val="1A1A1A"/>
          <w:sz w:val="20"/>
          <w:szCs w:val="20"/>
        </w:rPr>
        <w:t xml:space="preserve">1re branche</w:t>
      </w:r>
      <w:r>
        <w:rPr>
          <w:rFonts w:ascii="Calibri" w:cs="Calibri" w:eastAsia="Calibri" w:hAnsi="Calibri"/>
          <w:color w:val="1A1A1A"/>
          <w:sz w:val="20"/>
          <w:szCs w:val="20"/>
        </w:rPr>
        <w:t xml:space="preserve"> : la liberté d’expression inclut la </w:t>
      </w:r>
      <w:r>
        <w:rPr>
          <w:rFonts w:ascii="Calibri" w:cs="Calibri" w:eastAsia="Calibri" w:hAnsi="Calibri"/>
          <w:b/>
          <w:bCs/>
          <w:color w:val="1A1A1A"/>
          <w:sz w:val="20"/>
          <w:szCs w:val="20"/>
        </w:rPr>
        <w:t xml:space="preserve">liberté artistique</w:t>
      </w:r>
      <w:r>
        <w:rPr>
          <w:rFonts w:ascii="Calibri" w:cs="Calibri" w:eastAsia="Calibri" w:hAnsi="Calibri"/>
          <w:color w:val="1A1A1A"/>
          <w:sz w:val="20"/>
          <w:szCs w:val="20"/>
        </w:rPr>
        <w:t xml:space="preserve"> ; une œuvre dépourvue de caractère injurieux, diffamatoire ou excessif « </w:t>
      </w:r>
      <w:r>
        <w:rPr>
          <w:rFonts w:ascii="Calibri" w:cs="Calibri" w:eastAsia="Calibri" w:hAnsi="Calibri"/>
          <w:i/>
          <w:iCs/>
          <w:color w:val="1A1A1A"/>
          <w:sz w:val="20"/>
          <w:szCs w:val="20"/>
        </w:rPr>
        <w:t xml:space="preserve">par rapport à ce qu’autorise une caricature</w:t>
      </w:r>
      <w:r>
        <w:rPr>
          <w:rFonts w:ascii="Calibri" w:cs="Calibri" w:eastAsia="Calibri" w:hAnsi="Calibri"/>
          <w:color w:val="1A1A1A"/>
          <w:sz w:val="20"/>
          <w:szCs w:val="20"/>
        </w:rPr>
        <w:t xml:space="preserve"> » ne caractérise pas un abus.</w:t>
      </w:r>
    </w:p>
    <w:p>
      <w:pPr>
        <w:pStyle w:val="ListParagraph"/>
        <w:numPr>
          <w:ilvl w:val="0"/>
          <w:numId w:val="2"/>
        </w:numPr>
        <w:spacing w:after="70" w:line="264"/>
        <w:jc w:val="both"/>
      </w:pPr>
      <w:r>
        <w:rPr>
          <w:rFonts w:ascii="Calibri" w:cs="Calibri" w:eastAsia="Calibri" w:hAnsi="Calibri"/>
          <w:b/>
          <w:bCs/>
          <w:color w:val="1A1A1A"/>
          <w:sz w:val="20"/>
          <w:szCs w:val="20"/>
        </w:rPr>
        <w:t xml:space="preserve">2e branche</w:t>
      </w:r>
      <w:r>
        <w:rPr>
          <w:rFonts w:ascii="Calibri" w:cs="Calibri" w:eastAsia="Calibri" w:hAnsi="Calibri"/>
          <w:color w:val="1A1A1A"/>
          <w:sz w:val="20"/>
          <w:szCs w:val="20"/>
        </w:rPr>
        <w:t xml:space="preserve"> : le salarié jouit de sa liberté d’expression « </w:t>
      </w:r>
      <w:r>
        <w:rPr>
          <w:rFonts w:ascii="Calibri" w:cs="Calibri" w:eastAsia="Calibri" w:hAnsi="Calibri"/>
          <w:i/>
          <w:iCs/>
          <w:color w:val="1A1A1A"/>
          <w:sz w:val="20"/>
          <w:szCs w:val="20"/>
        </w:rPr>
        <w:t xml:space="preserve">sous réserve de respecter ses obligations de discrétion et de loyauté</w:t>
      </w:r>
      <w:r>
        <w:rPr>
          <w:rFonts w:ascii="Calibri" w:cs="Calibri" w:eastAsia="Calibri" w:hAnsi="Calibri"/>
          <w:color w:val="1A1A1A"/>
          <w:sz w:val="20"/>
          <w:szCs w:val="20"/>
        </w:rPr>
        <w:t xml:space="preserve"> » ; en y ajoutant une « </w:t>
      </w:r>
      <w:r>
        <w:rPr>
          <w:rFonts w:ascii="Calibri" w:cs="Calibri" w:eastAsia="Calibri" w:hAnsi="Calibri"/>
          <w:i/>
          <w:iCs/>
          <w:color w:val="1A1A1A"/>
          <w:sz w:val="20"/>
          <w:szCs w:val="20"/>
        </w:rPr>
        <w:t xml:space="preserve">obligation de courtoisie et de délicatesse</w:t>
      </w:r>
      <w:r>
        <w:rPr>
          <w:rFonts w:ascii="Calibri" w:cs="Calibri" w:eastAsia="Calibri" w:hAnsi="Calibri"/>
          <w:color w:val="1A1A1A"/>
          <w:sz w:val="20"/>
          <w:szCs w:val="20"/>
        </w:rPr>
        <w:t xml:space="preserve"> », la cour d’appel a </w:t>
      </w:r>
      <w:r>
        <w:rPr>
          <w:rFonts w:ascii="Calibri" w:cs="Calibri" w:eastAsia="Calibri" w:hAnsi="Calibri"/>
          <w:b/>
          <w:bCs/>
          <w:color w:val="1A1A1A"/>
          <w:sz w:val="20"/>
          <w:szCs w:val="20"/>
        </w:rPr>
        <w:t xml:space="preserve">ajouté une condition à la loi</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3e branche</w:t>
      </w:r>
      <w:r>
        <w:rPr>
          <w:rFonts w:ascii="Calibri" w:cs="Calibri" w:eastAsia="Calibri" w:hAnsi="Calibri"/>
          <w:color w:val="1A1A1A"/>
          <w:sz w:val="20"/>
          <w:szCs w:val="20"/>
        </w:rPr>
        <w:t xml:space="preserve"> : « </w:t>
      </w:r>
      <w:r>
        <w:rPr>
          <w:rFonts w:ascii="Calibri" w:cs="Calibri" w:eastAsia="Calibri" w:hAnsi="Calibri"/>
          <w:i/>
          <w:iCs/>
          <w:color w:val="1A1A1A"/>
          <w:sz w:val="20"/>
          <w:szCs w:val="20"/>
        </w:rPr>
        <w:t xml:space="preserve">sauf abus</w:t>
      </w:r>
      <w:r>
        <w:rPr>
          <w:rFonts w:ascii="Calibri" w:cs="Calibri" w:eastAsia="Calibri" w:hAnsi="Calibri"/>
          <w:color w:val="1A1A1A"/>
          <w:sz w:val="20"/>
          <w:szCs w:val="20"/>
        </w:rPr>
        <w:t xml:space="preserve">, le salarié jouit… » ; le licenciement motivé, même en partie, par l’exercice non abusif de cette liberté est nul ; la cour d’appel n’a caractérisé aucun élément injurieux, diffamatoire ou excessif (manque de base légale).</w:t>
      </w:r>
    </w:p>
    <w:p>
      <w:pPr>
        <w:pBdr>
          <w:top w:val="single" w:color="D8CFC4" w:sz="4" w:space="8"/>
          <w:bottom w:val="single" w:color="D8CFC4" w:sz="4" w:space="8"/>
          <w:left w:val="single" w:color="D8CFC4" w:sz="4" w:space="8"/>
          <w:right w:val="single" w:color="D8CFC4" w:sz="4" w:space="8"/>
        </w:pBdr>
        <w:shd w:fill="F7F4F0" w:val="clear"/>
        <w:spacing w:after="120" w:before="120" w:line="264"/>
        <w:ind w:left="140" w:right="140"/>
        <w:jc w:val="both"/>
      </w:pPr>
      <w:r>
        <w:rPr>
          <w:rFonts w:ascii="Calibri" w:cs="Calibri" w:eastAsia="Calibri" w:hAnsi="Calibri"/>
          <w:b/>
          <w:bCs/>
          <w:color w:val="1A1A1A"/>
          <w:sz w:val="19"/>
          <w:szCs w:val="19"/>
        </w:rPr>
        <w:t xml:space="preserve">Le point décisif.</w:t>
      </w:r>
      <w:r>
        <w:rPr>
          <w:rFonts w:ascii="Calibri" w:cs="Calibri" w:eastAsia="Calibri" w:hAnsi="Calibri"/>
          <w:color w:val="1A1A1A"/>
          <w:sz w:val="19"/>
          <w:szCs w:val="19"/>
        </w:rPr>
        <w:t xml:space="preserve"> Le pourvoi raisonne entièrement en termes d’</w:t>
      </w:r>
      <w:r>
        <w:rPr>
          <w:rFonts w:ascii="Calibri" w:cs="Calibri" w:eastAsia="Calibri" w:hAnsi="Calibri"/>
          <w:b/>
          <w:bCs/>
          <w:color w:val="1A1A1A"/>
          <w:sz w:val="19"/>
          <w:szCs w:val="19"/>
        </w:rPr>
        <w:t xml:space="preserve">abus</w:t>
      </w:r>
      <w:r>
        <w:rPr>
          <w:rFonts w:ascii="Calibri" w:cs="Calibri" w:eastAsia="Calibri" w:hAnsi="Calibri"/>
          <w:color w:val="1A1A1A"/>
          <w:sz w:val="19"/>
          <w:szCs w:val="19"/>
        </w:rPr>
        <w:t xml:space="preserve">. La Cour lui donne raison… sans reprendre ce raisonnement : elle casse pour </w:t>
      </w:r>
      <w:r>
        <w:rPr>
          <w:rFonts w:ascii="Calibri" w:cs="Calibri" w:eastAsia="Calibri" w:hAnsi="Calibri"/>
          <w:b/>
          <w:bCs/>
          <w:color w:val="1A1A1A"/>
          <w:sz w:val="19"/>
          <w:szCs w:val="19"/>
        </w:rPr>
        <w:t xml:space="preserve">violation de la loi</w:t>
      </w:r>
      <w:r>
        <w:rPr>
          <w:rFonts w:ascii="Calibri" w:cs="Calibri" w:eastAsia="Calibri" w:hAnsi="Calibri"/>
          <w:color w:val="1A1A1A"/>
          <w:sz w:val="19"/>
          <w:szCs w:val="19"/>
        </w:rPr>
        <w:t xml:space="preserve"> au regard d’une autre méthode, la mise en balance. C’est la technique classique de la </w:t>
      </w:r>
      <w:r>
        <w:rPr>
          <w:rFonts w:ascii="Calibri" w:cs="Calibri" w:eastAsia="Calibri" w:hAnsi="Calibri"/>
          <w:i/>
          <w:iCs/>
          <w:color w:val="1A1A1A"/>
          <w:sz w:val="19"/>
          <w:szCs w:val="19"/>
        </w:rPr>
        <w:t xml:space="preserve">substitution de motifs de droit</w:t>
      </w:r>
      <w:r>
        <w:rPr>
          <w:rFonts w:ascii="Calibri" w:cs="Calibri" w:eastAsia="Calibri" w:hAnsi="Calibri"/>
          <w:color w:val="1A1A1A"/>
          <w:sz w:val="19"/>
          <w:szCs w:val="19"/>
        </w:rPr>
        <w:t xml:space="preserve"> au service d’un changement de grille : le salarié gagne la cassation, mais pas sur le terrain qu’il avait choisi.</w:t>
      </w:r>
    </w:p>
    <w:p>
      <w:pPr>
        <w:pStyle w:val="Heading2"/>
        <w:spacing w:after="110" w:before="260"/>
      </w:pPr>
      <w:r>
        <w:rPr>
          <w:rFonts w:ascii="Calibri" w:cs="Calibri" w:eastAsia="Calibri" w:hAnsi="Calibri"/>
          <w:b/>
          <w:bCs/>
          <w:color w:val="1A1A1A"/>
          <w:spacing w:val="16"/>
          <w:sz w:val="23"/>
          <w:szCs w:val="23"/>
        </w:rPr>
        <w:t xml:space="preserve">1.5 La réponse de la Cour, paragraphe par paragraphe</w:t>
      </w:r>
    </w:p>
    <w:tbl>
      <w:tblPr>
        <w:tblW w:type="pct" w:w="100%"/>
        <w:tblBorders>
          <w:top w:val="single" w:color="C9C0B6" w:sz="2"/>
          <w:left w:val="single" w:color="C9C0B6" w:sz="2"/>
          <w:bottom w:val="single" w:color="C9C0B6" w:sz="2"/>
          <w:right w:val="single" w:color="C9C0B6" w:sz="2"/>
          <w:insideH w:val="single" w:color="DCD5CC" w:sz="2"/>
          <w:insideV w:val="single" w:color="DCD5CC" w:sz="2"/>
        </w:tblBorders>
      </w:tblPr>
      <w:tblGrid>
        <w:gridCol w:w="100"/>
        <w:gridCol w:w="100"/>
        <w:gridCol w:w="100"/>
      </w:tblGrid>
      <w:tr>
        <w:trPr>
          <w:tblHeader/>
        </w:trPr>
        <w:tc>
          <w:tcPr>
            <w:tcW w:type="pct" w:w="33.333333333333336%"/>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w:t>
            </w:r>
          </w:p>
        </w:tc>
        <w:tc>
          <w:tcPr>
            <w:tcW w:type="pct" w:w="33.333333333333336%"/>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Texte (extraits)</w:t>
            </w:r>
          </w:p>
        </w:tc>
        <w:tc>
          <w:tcPr>
            <w:tcW w:type="pct" w:w="33.333333333333336%"/>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Ce qu’il faut en dire</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7-9</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Art. L. 2132-3 : un syndicat « </w:t>
            </w:r>
            <w:r>
              <w:rPr>
                <w:rFonts w:ascii="Calibri" w:cs="Calibri" w:eastAsia="Calibri" w:hAnsi="Calibri"/>
                <w:b w:val="false"/>
                <w:bCs w:val="false"/>
                <w:i/>
                <w:iCs/>
                <w:color w:val="1A1A1A"/>
                <w:sz w:val="17"/>
                <w:szCs w:val="17"/>
              </w:rPr>
              <w:t xml:space="preserve">n’est pas recevable à agir en réparation du préjudice porté à l’intérêt collectif de la profession lorsqu’un seul salarié, qui n’exerce aucune fonction syndicale ou représentative, allègue une atteinte à sa liberté d’expression</w:t>
            </w:r>
            <w:r>
              <w:rPr>
                <w:rFonts w:ascii="Calibri" w:cs="Calibri" w:eastAsia="Calibri" w:hAnsi="Calibri"/>
                <w:b w:val="false"/>
                <w:bCs w:val="false"/>
                <w:color w:val="1A1A1A"/>
                <w:sz w:val="17"/>
                <w:szCs w:val="17"/>
              </w:rPr>
              <w:t xml:space="preserve"> ».</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Règle nouvelle et précise : l’atteinte individuelle à la liberté d’expression d’un salarié « ordinaire » n’est pas, en soi, une atteinte à l’intérêt collectif. Le moyen est « </w:t>
            </w:r>
            <w:r>
              <w:rPr>
                <w:rFonts w:ascii="Calibri" w:cs="Calibri" w:eastAsia="Calibri" w:hAnsi="Calibri"/>
                <w:b w:val="false"/>
                <w:bCs w:val="false"/>
                <w:i/>
                <w:iCs/>
                <w:color w:val="1A1A1A"/>
                <w:sz w:val="17"/>
                <w:szCs w:val="17"/>
              </w:rPr>
              <w:t xml:space="preserve">inopérant</w:t>
            </w:r>
            <w:r>
              <w:rPr>
                <w:rFonts w:ascii="Calibri" w:cs="Calibri" w:eastAsia="Calibri" w:hAnsi="Calibri"/>
                <w:b w:val="false"/>
                <w:bCs w:val="false"/>
                <w:color w:val="1A1A1A"/>
                <w:sz w:val="17"/>
                <w:szCs w:val="17"/>
              </w:rPr>
              <w:t xml:space="preserve"> ».</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11</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 </w:t>
            </w:r>
            <w:r>
              <w:rPr>
                <w:rFonts w:ascii="Calibri" w:cs="Calibri" w:eastAsia="Calibri" w:hAnsi="Calibri"/>
                <w:b w:val="false"/>
                <w:bCs w:val="false"/>
                <w:i/>
                <w:iCs/>
                <w:color w:val="1A1A1A"/>
                <w:sz w:val="17"/>
                <w:szCs w:val="17"/>
              </w:rPr>
              <w:t xml:space="preserve">Le salarié jouit, dans l’entreprise et en dehors de celle-ci, de sa liberté d’expression, à laquelle seules des restrictions justifiées par la nature de la tâche à accomplir et proportionnées au but recherché peuvent être apportées. Est nul, comme portant atteinte à une liberté fondamentale constitutionnellement garantie, le licenciement intervenu en raison de l’exercice par le salarié de sa liberté d’expression.</w:t>
            </w:r>
            <w:r>
              <w:rPr>
                <w:rFonts w:ascii="Calibri" w:cs="Calibri" w:eastAsia="Calibri" w:hAnsi="Calibri"/>
                <w:b w:val="false"/>
                <w:bCs w:val="false"/>
                <w:color w:val="1A1A1A"/>
                <w:sz w:val="17"/>
                <w:szCs w:val="17"/>
              </w:rPr>
              <w:t xml:space="preserve"> »</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Disparition du « sauf abus »</w:t>
            </w:r>
            <w:r>
              <w:rPr>
                <w:rFonts w:ascii="Calibri" w:cs="Calibri" w:eastAsia="Calibri" w:hAnsi="Calibri"/>
                <w:b w:val="false"/>
                <w:bCs w:val="false"/>
                <w:color w:val="1A1A1A"/>
                <w:sz w:val="17"/>
                <w:szCs w:val="17"/>
              </w:rPr>
              <w:t xml:space="preserve"> ; la limite n’est plus l’abus mais la </w:t>
            </w:r>
            <w:r>
              <w:rPr>
                <w:rFonts w:ascii="Calibri" w:cs="Calibri" w:eastAsia="Calibri" w:hAnsi="Calibri"/>
                <w:b w:val="false"/>
                <w:bCs w:val="false"/>
                <w:color w:val="1A1A1A"/>
                <w:sz w:val="17"/>
                <w:szCs w:val="17"/>
              </w:rPr>
              <w:t xml:space="preserve">restriction justifiée et proportionnée</w:t>
            </w:r>
            <w:r>
              <w:rPr>
                <w:rFonts w:ascii="Calibri" w:cs="Calibri" w:eastAsia="Calibri" w:hAnsi="Calibri"/>
                <w:b w:val="false"/>
                <w:bCs w:val="false"/>
                <w:color w:val="1A1A1A"/>
                <w:sz w:val="17"/>
                <w:szCs w:val="17"/>
              </w:rPr>
              <w:t xml:space="preserve"> de L. 1121-1. La nullité est fondée sur le caractère « </w:t>
            </w:r>
            <w:r>
              <w:rPr>
                <w:rFonts w:ascii="Calibri" w:cs="Calibri" w:eastAsia="Calibri" w:hAnsi="Calibri"/>
                <w:b w:val="false"/>
                <w:bCs w:val="false"/>
                <w:i/>
                <w:iCs/>
                <w:color w:val="1A1A1A"/>
                <w:sz w:val="17"/>
                <w:szCs w:val="17"/>
              </w:rPr>
              <w:t xml:space="preserve">constitutionnellement garanti</w:t>
            </w:r>
            <w:r>
              <w:rPr>
                <w:rFonts w:ascii="Calibri" w:cs="Calibri" w:eastAsia="Calibri" w:hAnsi="Calibri"/>
                <w:b w:val="false"/>
                <w:bCs w:val="false"/>
                <w:color w:val="1A1A1A"/>
                <w:sz w:val="17"/>
                <w:szCs w:val="17"/>
              </w:rPr>
              <w:t xml:space="preserve"> » de la liberté (d’où l’art. 11 DDHC au visa).</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12</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 </w:t>
            </w:r>
            <w:r>
              <w:rPr>
                <w:rFonts w:ascii="Calibri" w:cs="Calibri" w:eastAsia="Calibri" w:hAnsi="Calibri"/>
                <w:b w:val="false"/>
                <w:bCs w:val="false"/>
                <w:i/>
                <w:iCs/>
                <w:color w:val="1A1A1A"/>
                <w:sz w:val="17"/>
                <w:szCs w:val="17"/>
              </w:rPr>
              <w:t xml:space="preserve">Il appartient au juge de mettre en balance ce droit avec celui de l’employeur à la protection de ses intérêts et pour ce faire, d’apprécier la nécessité de la mesure au regard du but poursuivi, son adéquation et son caractère proportionné à cet objectif.</w:t>
            </w:r>
            <w:r>
              <w:rPr>
                <w:rFonts w:ascii="Calibri" w:cs="Calibri" w:eastAsia="Calibri" w:hAnsi="Calibri"/>
                <w:b w:val="false"/>
                <w:bCs w:val="false"/>
                <w:color w:val="1A1A1A"/>
                <w:sz w:val="17"/>
                <w:szCs w:val="17"/>
              </w:rPr>
              <w:t xml:space="preserve"> »</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Cœur de l’arrêt.</w:t>
            </w:r>
            <w:r>
              <w:rPr>
                <w:rFonts w:ascii="Calibri" w:cs="Calibri" w:eastAsia="Calibri" w:hAnsi="Calibri"/>
                <w:b w:val="false"/>
                <w:bCs w:val="false"/>
                <w:color w:val="1A1A1A"/>
                <w:sz w:val="17"/>
                <w:szCs w:val="17"/>
              </w:rPr>
              <w:t xml:space="preserve"> Conflit de droits ; triple test (nécessité, adéquation, proportionnalité au sens strict). Le texte dit « </w:t>
            </w:r>
            <w:r>
              <w:rPr>
                <w:rFonts w:ascii="Calibri" w:cs="Calibri" w:eastAsia="Calibri" w:hAnsi="Calibri"/>
                <w:b w:val="false"/>
                <w:bCs w:val="false"/>
                <w:i/>
                <w:iCs/>
                <w:color w:val="1A1A1A"/>
                <w:sz w:val="17"/>
                <w:szCs w:val="17"/>
              </w:rPr>
              <w:t xml:space="preserve">intérêts</w:t>
            </w:r>
            <w:r>
              <w:rPr>
                <w:rFonts w:ascii="Calibri" w:cs="Calibri" w:eastAsia="Calibri" w:hAnsi="Calibri"/>
                <w:b w:val="false"/>
                <w:bCs w:val="false"/>
                <w:color w:val="1A1A1A"/>
                <w:sz w:val="17"/>
                <w:szCs w:val="17"/>
              </w:rPr>
              <w:t xml:space="preserve"> », pas « intérêts légitimes ».</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13</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 </w:t>
            </w:r>
            <w:r>
              <w:rPr>
                <w:rFonts w:ascii="Calibri" w:cs="Calibri" w:eastAsia="Calibri" w:hAnsi="Calibri"/>
                <w:b w:val="false"/>
                <w:bCs w:val="false"/>
                <w:i/>
                <w:iCs/>
                <w:color w:val="1A1A1A"/>
                <w:sz w:val="17"/>
                <w:szCs w:val="17"/>
              </w:rPr>
              <w:t xml:space="preserve">Il doit pour cela prendre en considération la teneur des propos litigieux, le contexte dans lequel ils ont été prononcés ou écrits, leur portée et leur impact au sein de l’entreprise ainsi que les conséquences négatives causées à l’employeur puis apprécier, en fonction de ces différents critères, si la sanction infligée était nécessaire et proportionnée au but poursuivi.</w:t>
            </w:r>
            <w:r>
              <w:rPr>
                <w:rFonts w:ascii="Calibri" w:cs="Calibri" w:eastAsia="Calibri" w:hAnsi="Calibri"/>
                <w:b w:val="false"/>
                <w:bCs w:val="false"/>
                <w:color w:val="1A1A1A"/>
                <w:sz w:val="17"/>
                <w:szCs w:val="17"/>
              </w:rPr>
              <w:t xml:space="preserve"> »</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Quatre éléments d’appréciation inspirés de la CEDH (</w:t>
            </w:r>
            <w:r>
              <w:rPr>
                <w:rFonts w:ascii="Calibri" w:cs="Calibri" w:eastAsia="Calibri" w:hAnsi="Calibri"/>
                <w:b w:val="false"/>
                <w:bCs w:val="false"/>
                <w:color w:val="E91E63"/>
                <w:sz w:val="17"/>
                <w:szCs w:val="17"/>
              </w:rPr>
              <w:t xml:space="preserve">Palomo Sánchez</w:t>
            </w:r>
            <w:r>
              <w:rPr>
                <w:rFonts w:ascii="Calibri" w:cs="Calibri" w:eastAsia="Calibri" w:hAnsi="Calibri"/>
                <w:b w:val="false"/>
                <w:bCs w:val="false"/>
                <w:color w:val="1A1A1A"/>
                <w:sz w:val="17"/>
                <w:szCs w:val="17"/>
              </w:rPr>
              <w:t xml:space="preserve">, </w:t>
            </w:r>
            <w:r>
              <w:rPr>
                <w:rFonts w:ascii="Calibri" w:cs="Calibri" w:eastAsia="Calibri" w:hAnsi="Calibri"/>
                <w:b w:val="false"/>
                <w:bCs w:val="false"/>
                <w:color w:val="E91E63"/>
                <w:sz w:val="17"/>
                <w:szCs w:val="17"/>
              </w:rPr>
              <w:t xml:space="preserve">Herbai</w:t>
            </w:r>
            <w:r>
              <w:rPr>
                <w:rFonts w:ascii="Calibri" w:cs="Calibri" w:eastAsia="Calibri" w:hAnsi="Calibri"/>
                <w:b w:val="false"/>
                <w:bCs w:val="false"/>
                <w:color w:val="1A1A1A"/>
                <w:sz w:val="17"/>
                <w:szCs w:val="17"/>
              </w:rPr>
              <w:t xml:space="preserve">, </w:t>
            </w:r>
            <w:r>
              <w:rPr>
                <w:rFonts w:ascii="Calibri" w:cs="Calibri" w:eastAsia="Calibri" w:hAnsi="Calibri"/>
                <w:b w:val="false"/>
                <w:bCs w:val="false"/>
                <w:color w:val="E91E63"/>
                <w:sz w:val="17"/>
                <w:szCs w:val="17"/>
              </w:rPr>
              <w:t xml:space="preserve">Dede c. Turquie</w:t>
            </w:r>
            <w:r>
              <w:rPr>
                <w:rFonts w:ascii="Calibri" w:cs="Calibri" w:eastAsia="Calibri" w:hAnsi="Calibri"/>
                <w:b w:val="false"/>
                <w:bCs w:val="false"/>
                <w:color w:val="1A1A1A"/>
                <w:sz w:val="17"/>
                <w:szCs w:val="17"/>
              </w:rPr>
              <w:t xml:space="preserve">). Ils servent la pesée finale de la </w:t>
            </w:r>
            <w:r>
              <w:rPr>
                <w:rFonts w:ascii="Calibri" w:cs="Calibri" w:eastAsia="Calibri" w:hAnsi="Calibri"/>
                <w:b w:val="false"/>
                <w:bCs w:val="false"/>
                <w:color w:val="1A1A1A"/>
                <w:sz w:val="17"/>
                <w:szCs w:val="17"/>
              </w:rPr>
              <w:t xml:space="preserve">sanction</w:t>
            </w:r>
            <w:r>
              <w:rPr>
                <w:rFonts w:ascii="Calibri" w:cs="Calibri" w:eastAsia="Calibri" w:hAnsi="Calibri"/>
                <w:b w:val="false"/>
                <w:bCs w:val="false"/>
                <w:color w:val="1A1A1A"/>
                <w:sz w:val="17"/>
                <w:szCs w:val="17"/>
              </w:rPr>
              <w:t xml:space="preserve">.</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14-16</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Rappel des motifs de la cour d’appel : limite de l’honneur et de la réputation d’un collègue ; caractère artistique impuissant à « </w:t>
            </w:r>
            <w:r>
              <w:rPr>
                <w:rFonts w:ascii="Calibri" w:cs="Calibri" w:eastAsia="Calibri" w:hAnsi="Calibri"/>
                <w:b w:val="false"/>
                <w:bCs w:val="false"/>
                <w:i/>
                <w:iCs/>
                <w:color w:val="1A1A1A"/>
                <w:sz w:val="17"/>
                <w:szCs w:val="17"/>
              </w:rPr>
              <w:t xml:space="preserve">repousser cette limite au-delà de ce qu’autorise l’obligation de courtoisie et de délicatesse</w:t>
            </w:r>
            <w:r>
              <w:rPr>
                <w:rFonts w:ascii="Calibri" w:cs="Calibri" w:eastAsia="Calibri" w:hAnsi="Calibri"/>
                <w:b w:val="false"/>
                <w:bCs w:val="false"/>
                <w:color w:val="1A1A1A"/>
                <w:sz w:val="17"/>
                <w:szCs w:val="17"/>
              </w:rPr>
              <w:t xml:space="preserve"> » ; employeur « </w:t>
            </w:r>
            <w:r>
              <w:rPr>
                <w:rFonts w:ascii="Calibri" w:cs="Calibri" w:eastAsia="Calibri" w:hAnsi="Calibri"/>
                <w:b w:val="false"/>
                <w:bCs w:val="false"/>
                <w:i/>
                <w:iCs/>
                <w:color w:val="1A1A1A"/>
                <w:sz w:val="17"/>
                <w:szCs w:val="17"/>
              </w:rPr>
              <w:t xml:space="preserve">pas illégitime à intervenir</w:t>
            </w:r>
            <w:r>
              <w:rPr>
                <w:rFonts w:ascii="Calibri" w:cs="Calibri" w:eastAsia="Calibri" w:hAnsi="Calibri"/>
                <w:b w:val="false"/>
                <w:bCs w:val="false"/>
                <w:color w:val="1A1A1A"/>
                <w:sz w:val="17"/>
                <w:szCs w:val="17"/>
              </w:rPr>
              <w:t xml:space="preserve"> » pour préserver la santé d’un autre salarié et « </w:t>
            </w:r>
            <w:r>
              <w:rPr>
                <w:rFonts w:ascii="Calibri" w:cs="Calibri" w:eastAsia="Calibri" w:hAnsi="Calibri"/>
                <w:b w:val="false"/>
                <w:bCs w:val="false"/>
                <w:i/>
                <w:iCs/>
                <w:color w:val="1A1A1A"/>
                <w:sz w:val="17"/>
                <w:szCs w:val="17"/>
              </w:rPr>
              <w:t xml:space="preserve">l’harmonie entre les membres du personnel</w:t>
            </w:r>
            <w:r>
              <w:rPr>
                <w:rFonts w:ascii="Calibri" w:cs="Calibri" w:eastAsia="Calibri" w:hAnsi="Calibri"/>
                <w:b w:val="false"/>
                <w:bCs w:val="false"/>
                <w:color w:val="1A1A1A"/>
                <w:sz w:val="17"/>
                <w:szCs w:val="17"/>
              </w:rPr>
              <w:t xml:space="preserve"> ».</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La cour d’appel a raisonné </w:t>
            </w:r>
            <w:r>
              <w:rPr>
                <w:rFonts w:ascii="Calibri" w:cs="Calibri" w:eastAsia="Calibri" w:hAnsi="Calibri"/>
                <w:b w:val="false"/>
                <w:bCs w:val="false"/>
                <w:color w:val="1A1A1A"/>
                <w:sz w:val="17"/>
                <w:szCs w:val="17"/>
              </w:rPr>
              <w:t xml:space="preserve">dans l’abstrait</w:t>
            </w:r>
            <w:r>
              <w:rPr>
                <w:rFonts w:ascii="Calibri" w:cs="Calibri" w:eastAsia="Calibri" w:hAnsi="Calibri"/>
                <w:b w:val="false"/>
                <w:bCs w:val="false"/>
                <w:color w:val="1A1A1A"/>
                <w:sz w:val="17"/>
                <w:szCs w:val="17"/>
              </w:rPr>
              <w:t xml:space="preserve"> : elle a vérifié que l’employeur </w:t>
            </w:r>
            <w:r>
              <w:rPr>
                <w:rFonts w:ascii="Calibri" w:cs="Calibri" w:eastAsia="Calibri" w:hAnsi="Calibri"/>
                <w:b w:val="false"/>
                <w:bCs w:val="false"/>
                <w:i/>
                <w:iCs/>
                <w:color w:val="1A1A1A"/>
                <w:sz w:val="17"/>
                <w:szCs w:val="17"/>
              </w:rPr>
              <w:t xml:space="preserve">pouvait</w:t>
            </w:r>
            <w:r>
              <w:rPr>
                <w:rFonts w:ascii="Calibri" w:cs="Calibri" w:eastAsia="Calibri" w:hAnsi="Calibri"/>
                <w:b w:val="false"/>
                <w:bCs w:val="false"/>
                <w:color w:val="1A1A1A"/>
                <w:sz w:val="17"/>
                <w:szCs w:val="17"/>
              </w:rPr>
              <w:t xml:space="preserve"> restreindre (« </w:t>
            </w:r>
            <w:r>
              <w:rPr>
                <w:rFonts w:ascii="Calibri" w:cs="Calibri" w:eastAsia="Calibri" w:hAnsi="Calibri"/>
                <w:b w:val="false"/>
                <w:bCs w:val="false"/>
                <w:i/>
                <w:iCs/>
                <w:color w:val="1A1A1A"/>
                <w:sz w:val="17"/>
                <w:szCs w:val="17"/>
              </w:rPr>
              <w:t xml:space="preserve">pouvait être justifiée</w:t>
            </w:r>
            <w:r>
              <w:rPr>
                <w:rFonts w:ascii="Calibri" w:cs="Calibri" w:eastAsia="Calibri" w:hAnsi="Calibri"/>
                <w:b w:val="false"/>
                <w:bCs w:val="false"/>
                <w:color w:val="1A1A1A"/>
                <w:sz w:val="17"/>
                <w:szCs w:val="17"/>
              </w:rPr>
              <w:t xml:space="preserve"> »), jamais que </w:t>
            </w:r>
            <w:r>
              <w:rPr>
                <w:rFonts w:ascii="Calibri" w:cs="Calibri" w:eastAsia="Calibri" w:hAnsi="Calibri"/>
                <w:b w:val="false"/>
                <w:bCs w:val="false"/>
                <w:i/>
                <w:iCs/>
                <w:color w:val="1A1A1A"/>
                <w:sz w:val="17"/>
                <w:szCs w:val="17"/>
              </w:rPr>
              <w:t xml:space="preserve">ce</w:t>
            </w:r>
            <w:r>
              <w:rPr>
                <w:rFonts w:ascii="Calibri" w:cs="Calibri" w:eastAsia="Calibri" w:hAnsi="Calibri"/>
                <w:b w:val="false"/>
                <w:bCs w:val="false"/>
                <w:color w:val="1A1A1A"/>
                <w:sz w:val="17"/>
                <w:szCs w:val="17"/>
              </w:rPr>
              <w:t xml:space="preserve"> licenciement était nécessaire et proportionné.</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17</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Cassation : pas d’examen du </w:t>
            </w:r>
            <w:r>
              <w:rPr>
                <w:rFonts w:ascii="Calibri" w:cs="Calibri" w:eastAsia="Calibri" w:hAnsi="Calibri"/>
                <w:b w:val="false"/>
                <w:bCs w:val="false"/>
                <w:color w:val="1A1A1A"/>
                <w:sz w:val="17"/>
                <w:szCs w:val="17"/>
              </w:rPr>
              <w:t xml:space="preserve">contexte</w:t>
            </w:r>
            <w:r>
              <w:rPr>
                <w:rFonts w:ascii="Calibri" w:cs="Calibri" w:eastAsia="Calibri" w:hAnsi="Calibri"/>
                <w:b w:val="false"/>
                <w:bCs w:val="false"/>
                <w:color w:val="1A1A1A"/>
                <w:sz w:val="17"/>
                <w:szCs w:val="17"/>
              </w:rPr>
              <w:t xml:space="preserve"> (aménagement de poste vainement sollicité), de la </w:t>
            </w:r>
            <w:r>
              <w:rPr>
                <w:rFonts w:ascii="Calibri" w:cs="Calibri" w:eastAsia="Calibri" w:hAnsi="Calibri"/>
                <w:b w:val="false"/>
                <w:bCs w:val="false"/>
                <w:color w:val="1A1A1A"/>
                <w:sz w:val="17"/>
                <w:szCs w:val="17"/>
              </w:rPr>
              <w:t xml:space="preserve">portée</w:t>
            </w:r>
            <w:r>
              <w:rPr>
                <w:rFonts w:ascii="Calibri" w:cs="Calibri" w:eastAsia="Calibri" w:hAnsi="Calibri"/>
                <w:b w:val="false"/>
                <w:bCs w:val="false"/>
                <w:color w:val="1A1A1A"/>
                <w:sz w:val="17"/>
                <w:szCs w:val="17"/>
              </w:rPr>
              <w:t xml:space="preserve"> et de l’</w:t>
            </w:r>
            <w:r>
              <w:rPr>
                <w:rFonts w:ascii="Calibri" w:cs="Calibri" w:eastAsia="Calibri" w:hAnsi="Calibri"/>
                <w:b w:val="false"/>
                <w:bCs w:val="false"/>
                <w:color w:val="1A1A1A"/>
                <w:sz w:val="17"/>
                <w:szCs w:val="17"/>
              </w:rPr>
              <w:t xml:space="preserve">impact</w:t>
            </w:r>
            <w:r>
              <w:rPr>
                <w:rFonts w:ascii="Calibri" w:cs="Calibri" w:eastAsia="Calibri" w:hAnsi="Calibri"/>
                <w:b w:val="false"/>
                <w:bCs w:val="false"/>
                <w:color w:val="1A1A1A"/>
                <w:sz w:val="17"/>
                <w:szCs w:val="17"/>
              </w:rPr>
              <w:t xml:space="preserve"> (« </w:t>
            </w:r>
            <w:r>
              <w:rPr>
                <w:rFonts w:ascii="Calibri" w:cs="Calibri" w:eastAsia="Calibri" w:hAnsi="Calibri"/>
                <w:b w:val="false"/>
                <w:bCs w:val="false"/>
                <w:i/>
                <w:iCs/>
                <w:color w:val="1A1A1A"/>
                <w:sz w:val="17"/>
                <w:szCs w:val="17"/>
              </w:rPr>
              <w:t xml:space="preserve">publicité qui leur avait été donnée avant le licenciement</w:t>
            </w:r>
            <w:r>
              <w:rPr>
                <w:rFonts w:ascii="Calibri" w:cs="Calibri" w:eastAsia="Calibri" w:hAnsi="Calibri"/>
                <w:b w:val="false"/>
                <w:bCs w:val="false"/>
                <w:color w:val="1A1A1A"/>
                <w:sz w:val="17"/>
                <w:szCs w:val="17"/>
              </w:rPr>
              <w:t xml:space="preserve"> »), ni de l’</w:t>
            </w:r>
            <w:r>
              <w:rPr>
                <w:rFonts w:ascii="Calibri" w:cs="Calibri" w:eastAsia="Calibri" w:hAnsi="Calibri"/>
                <w:b w:val="false"/>
                <w:bCs w:val="false"/>
                <w:color w:val="1A1A1A"/>
                <w:sz w:val="17"/>
                <w:szCs w:val="17"/>
              </w:rPr>
              <w:t xml:space="preserve">effectivité de l’atteinte à l’honneur</w:t>
            </w:r>
            <w:r>
              <w:rPr>
                <w:rFonts w:ascii="Calibri" w:cs="Calibri" w:eastAsia="Calibri" w:hAnsi="Calibri"/>
                <w:b w:val="false"/>
                <w:bCs w:val="false"/>
                <w:color w:val="1A1A1A"/>
                <w:sz w:val="17"/>
                <w:szCs w:val="17"/>
              </w:rPr>
              <w:t xml:space="preserve"> du RRH.</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Trois des quatre éléments sont visés. Le reproche porte sur l’</w:t>
            </w:r>
            <w:r>
              <w:rPr>
                <w:rFonts w:ascii="Calibri" w:cs="Calibri" w:eastAsia="Calibri" w:hAnsi="Calibri"/>
                <w:b w:val="false"/>
                <w:bCs w:val="false"/>
                <w:color w:val="1A1A1A"/>
                <w:sz w:val="17"/>
                <w:szCs w:val="17"/>
              </w:rPr>
              <w:t xml:space="preserve">office du juge</w:t>
            </w:r>
            <w:r>
              <w:rPr>
                <w:rFonts w:ascii="Calibri" w:cs="Calibri" w:eastAsia="Calibri" w:hAnsi="Calibri"/>
                <w:b w:val="false"/>
                <w:bCs w:val="false"/>
                <w:color w:val="1A1A1A"/>
                <w:sz w:val="17"/>
                <w:szCs w:val="17"/>
              </w:rPr>
              <w:t xml:space="preserve"> : la Cour de cassation contrôle que la méthode a été suivie.</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18</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Portée de la cassation (</w:t>
            </w:r>
            <w:r>
              <w:rPr>
                <w:rFonts w:ascii="Calibri" w:cs="Calibri" w:eastAsia="Calibri" w:hAnsi="Calibri"/>
                <w:b w:val="false"/>
                <w:bCs w:val="false"/>
                <w:color w:val="1E88E5"/>
                <w:sz w:val="17"/>
                <w:szCs w:val="17"/>
              </w:rPr>
              <w:t xml:space="preserve">art. 624 CPC</w:t>
            </w:r>
            <w:r>
              <w:rPr>
                <w:rFonts w:ascii="Calibri" w:cs="Calibri" w:eastAsia="Calibri" w:hAnsi="Calibri"/>
                <w:b w:val="false"/>
                <w:bCs w:val="false"/>
                <w:color w:val="1A1A1A"/>
                <w:sz w:val="17"/>
                <w:szCs w:val="17"/>
              </w:rPr>
              <w:t xml:space="preserve">) : extension aux dommages-intérêts pour licenciement sans cause réelle et sérieuse et au remboursement des allocations chômage.</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Indivisibilité : on ne peut juger « sans cause réelle et sérieuse » ce qui sera peut-être jugé nul.</w:t>
            </w:r>
          </w:p>
        </w:tc>
      </w:tr>
    </w:tbl>
    <w:p>
      <w:pPr>
        <w:spacing w:after="120"/>
      </w:pPr>
    </w:p>
    <w:p>
      <w:pPr>
        <w:pStyle w:val="Heading2"/>
        <w:spacing w:after="110" w:before="260"/>
      </w:pPr>
      <w:r>
        <w:rPr>
          <w:rFonts w:ascii="Calibri" w:cs="Calibri" w:eastAsia="Calibri" w:hAnsi="Calibri"/>
          <w:b/>
          <w:bCs/>
          <w:color w:val="1A1A1A"/>
          <w:spacing w:val="16"/>
          <w:sz w:val="23"/>
          <w:szCs w:val="23"/>
        </w:rPr>
        <w:t xml:space="preserve">1.6 Formules à citer à l’oral</w:t>
      </w:r>
    </w:p>
    <w:p>
      <w:pPr>
        <w:spacing w:after="90" w:before="90" w:line="264"/>
        <w:ind w:left="400" w:right="200"/>
        <w:jc w:val="both"/>
      </w:pPr>
      <w:r>
        <w:rPr>
          <w:rFonts w:ascii="Calibri" w:cs="Calibri" w:eastAsia="Calibri" w:hAnsi="Calibri"/>
          <w:i/>
          <w:iCs/>
          <w:color w:val="1A1A1A"/>
          <w:sz w:val="19"/>
          <w:szCs w:val="19"/>
        </w:rPr>
        <w:t xml:space="preserve">« Il appartient au juge de mettre en balance ce droit avec celui de l’employeur à la protection de ses intérêts » (</w:t>
      </w:r>
      <w:r>
        <w:rPr>
          <w:rFonts w:ascii="Calibri" w:cs="Calibri" w:eastAsia="Calibri" w:hAnsi="Calibri"/>
          <w:i/>
          <w:iCs/>
          <w:color w:val="E91E63"/>
          <w:sz w:val="19"/>
          <w:szCs w:val="19"/>
        </w:rPr>
        <w:t xml:space="preserve">§ 12</w:t>
      </w:r>
      <w:r>
        <w:rPr>
          <w:rFonts w:ascii="Calibri" w:cs="Calibri" w:eastAsia="Calibri" w:hAnsi="Calibri"/>
          <w:i/>
          <w:iCs/>
          <w:color w:val="1A1A1A"/>
          <w:sz w:val="19"/>
          <w:szCs w:val="19"/>
        </w:rPr>
        <w:t xml:space="preserve">).</w:t>
      </w:r>
    </w:p>
    <w:p>
      <w:pPr>
        <w:spacing w:after="90" w:before="90" w:line="264"/>
        <w:ind w:left="400" w:right="200"/>
        <w:jc w:val="both"/>
      </w:pPr>
      <w:r>
        <w:rPr>
          <w:rFonts w:ascii="Calibri" w:cs="Calibri" w:eastAsia="Calibri" w:hAnsi="Calibri"/>
          <w:i/>
          <w:iCs/>
          <w:color w:val="1A1A1A"/>
          <w:sz w:val="19"/>
          <w:szCs w:val="19"/>
        </w:rPr>
        <w:t xml:space="preserve">« La teneur des propos litigieux, le contexte […], leur portée et leur impact au sein de l’entreprise ainsi que les conséquences négatives causées à l’employeur » (</w:t>
      </w:r>
      <w:r>
        <w:rPr>
          <w:rFonts w:ascii="Calibri" w:cs="Calibri" w:eastAsia="Calibri" w:hAnsi="Calibri"/>
          <w:i/>
          <w:iCs/>
          <w:color w:val="E91E63"/>
          <w:sz w:val="19"/>
          <w:szCs w:val="19"/>
        </w:rPr>
        <w:t xml:space="preserve">§ 13</w:t>
      </w:r>
      <w:r>
        <w:rPr>
          <w:rFonts w:ascii="Calibri" w:cs="Calibri" w:eastAsia="Calibri" w:hAnsi="Calibri"/>
          <w:i/>
          <w:iCs/>
          <w:color w:val="1A1A1A"/>
          <w:sz w:val="19"/>
          <w:szCs w:val="19"/>
        </w:rPr>
        <w:t xml:space="preserve">).</w:t>
      </w:r>
    </w:p>
    <w:p>
      <w:pPr>
        <w:spacing w:after="90" w:before="90" w:line="264"/>
        <w:ind w:left="400" w:right="200"/>
        <w:jc w:val="both"/>
      </w:pPr>
      <w:r>
        <w:rPr>
          <w:rFonts w:ascii="Calibri" w:cs="Calibri" w:eastAsia="Calibri" w:hAnsi="Calibri"/>
          <w:i/>
          <w:iCs/>
          <w:color w:val="1A1A1A"/>
          <w:sz w:val="19"/>
          <w:szCs w:val="19"/>
        </w:rPr>
        <w:t xml:space="preserve">« L’effectivité de l’atteinte à l’honneur du salarié qui se serait reconnu dans l’un des dessins » (</w:t>
      </w:r>
      <w:r>
        <w:rPr>
          <w:rFonts w:ascii="Calibri" w:cs="Calibri" w:eastAsia="Calibri" w:hAnsi="Calibri"/>
          <w:i/>
          <w:iCs/>
          <w:color w:val="E91E63"/>
          <w:sz w:val="19"/>
          <w:szCs w:val="19"/>
        </w:rPr>
        <w:t xml:space="preserve">§ 17</w:t>
      </w:r>
      <w:r>
        <w:rPr>
          <w:rFonts w:ascii="Calibri" w:cs="Calibri" w:eastAsia="Calibri" w:hAnsi="Calibri"/>
          <w:i/>
          <w:iCs/>
          <w:color w:val="1A1A1A"/>
          <w:sz w:val="19"/>
          <w:szCs w:val="19"/>
        </w:rPr>
        <w:t xml:space="preserve">) : le conditionnel « se serait reconnu » marque le doute de la Cour.</w:t>
      </w:r>
    </w:p>
    <w:p>
      <w:pPr>
        <w:pStyle w:val="Heading2"/>
        <w:spacing w:after="110" w:before="260"/>
      </w:pPr>
      <w:r>
        <w:rPr>
          <w:rFonts w:ascii="Calibri" w:cs="Calibri" w:eastAsia="Calibri" w:hAnsi="Calibri"/>
          <w:b/>
          <w:bCs/>
          <w:color w:val="1A1A1A"/>
          <w:spacing w:val="16"/>
          <w:sz w:val="23"/>
          <w:szCs w:val="23"/>
        </w:rPr>
        <w:t xml:space="preserve">1.7 Le raisonnement de la cour d’appel, et pourquoi il ne tient plus</w:t>
      </w:r>
    </w:p>
    <w:p>
      <w:pPr>
        <w:spacing w:after="90" w:line="264"/>
        <w:jc w:val="both"/>
      </w:pPr>
      <w:r>
        <w:rPr>
          <w:rFonts w:ascii="Calibri" w:cs="Calibri" w:eastAsia="Calibri" w:hAnsi="Calibri"/>
          <w:color w:val="1A1A1A"/>
          <w:sz w:val="20"/>
          <w:szCs w:val="20"/>
        </w:rPr>
        <w:t xml:space="preserve">La cour d’appel avait construit un raisonnement en deux temps : (1) la liberté de critiquer le management trouve sa limite dans l’honneur et la réputation d’un collègue, mesurée à l’aune d’une « </w:t>
      </w:r>
      <w:r>
        <w:rPr>
          <w:rFonts w:ascii="Calibri" w:cs="Calibri" w:eastAsia="Calibri" w:hAnsi="Calibri"/>
          <w:i/>
          <w:iCs/>
          <w:color w:val="1A1A1A"/>
          <w:sz w:val="20"/>
          <w:szCs w:val="20"/>
        </w:rPr>
        <w:t xml:space="preserve">obligation de courtoisie et de délicatesse</w:t>
      </w:r>
      <w:r>
        <w:rPr>
          <w:rFonts w:ascii="Calibri" w:cs="Calibri" w:eastAsia="Calibri" w:hAnsi="Calibri"/>
          <w:color w:val="1A1A1A"/>
          <w:sz w:val="20"/>
          <w:szCs w:val="20"/>
        </w:rPr>
        <w:t xml:space="preserve"> » ; (2) l’employeur, débiteur de l’obligation de sécurité (</w:t>
      </w:r>
      <w:r>
        <w:rPr>
          <w:rFonts w:ascii="Calibri" w:cs="Calibri" w:eastAsia="Calibri" w:hAnsi="Calibri"/>
          <w:color w:val="1E88E5"/>
          <w:sz w:val="20"/>
          <w:szCs w:val="20"/>
        </w:rPr>
        <w:t xml:space="preserve">art. L. 4121-1 C. trav.</w:t>
      </w:r>
      <w:r>
        <w:rPr>
          <w:rFonts w:ascii="Calibri" w:cs="Calibri" w:eastAsia="Calibri" w:hAnsi="Calibri"/>
          <w:color w:val="1A1A1A"/>
          <w:sz w:val="20"/>
          <w:szCs w:val="20"/>
        </w:rPr>
        <w:t xml:space="preserve">), « </w:t>
      </w:r>
      <w:r>
        <w:rPr>
          <w:rFonts w:ascii="Calibri" w:cs="Calibri" w:eastAsia="Calibri" w:hAnsi="Calibri"/>
          <w:i/>
          <w:iCs/>
          <w:color w:val="1A1A1A"/>
          <w:sz w:val="20"/>
          <w:szCs w:val="20"/>
        </w:rPr>
        <w:t xml:space="preserve">n’était pas illégitime</w:t>
      </w:r>
      <w:r>
        <w:rPr>
          <w:rFonts w:ascii="Calibri" w:cs="Calibri" w:eastAsia="Calibri" w:hAnsi="Calibri"/>
          <w:color w:val="1A1A1A"/>
          <w:sz w:val="20"/>
          <w:szCs w:val="20"/>
        </w:rPr>
        <w:t xml:space="preserve"> » à intervenir pour protéger la santé du RRH et l’harmonie collective. Ce raisonnement pèche à trois titres :</w:t>
      </w:r>
    </w:p>
    <w:p>
      <w:pPr>
        <w:pStyle w:val="ListParagraph"/>
        <w:numPr>
          <w:ilvl w:val="0"/>
          <w:numId w:val="2"/>
        </w:numPr>
        <w:spacing w:after="70" w:line="264"/>
        <w:jc w:val="both"/>
      </w:pPr>
      <w:r>
        <w:rPr>
          <w:rFonts w:ascii="Calibri" w:cs="Calibri" w:eastAsia="Calibri" w:hAnsi="Calibri"/>
          <w:color w:val="1A1A1A"/>
          <w:sz w:val="20"/>
          <w:szCs w:val="20"/>
        </w:rPr>
        <w:t xml:space="preserve">il crée une </w:t>
      </w:r>
      <w:r>
        <w:rPr>
          <w:rFonts w:ascii="Calibri" w:cs="Calibri" w:eastAsia="Calibri" w:hAnsi="Calibri"/>
          <w:b/>
          <w:bCs/>
          <w:color w:val="1A1A1A"/>
          <w:sz w:val="20"/>
          <w:szCs w:val="20"/>
        </w:rPr>
        <w:t xml:space="preserve">obligation de courtoisie et de délicatesse</w:t>
      </w:r>
      <w:r>
        <w:rPr>
          <w:rFonts w:ascii="Calibri" w:cs="Calibri" w:eastAsia="Calibri" w:hAnsi="Calibri"/>
          <w:color w:val="1A1A1A"/>
          <w:sz w:val="20"/>
          <w:szCs w:val="20"/>
        </w:rPr>
        <w:t xml:space="preserve"> sans texte (le pourvoi le dénonçait ; la Cour ne la reprend pas, ce qui vaut désaveu implicite) ;</w:t>
      </w:r>
    </w:p>
    <w:p>
      <w:pPr>
        <w:pStyle w:val="ListParagraph"/>
        <w:numPr>
          <w:ilvl w:val="0"/>
          <w:numId w:val="2"/>
        </w:numPr>
        <w:spacing w:after="70" w:line="264"/>
        <w:jc w:val="both"/>
      </w:pPr>
      <w:r>
        <w:rPr>
          <w:rFonts w:ascii="Calibri" w:cs="Calibri" w:eastAsia="Calibri" w:hAnsi="Calibri"/>
          <w:color w:val="1A1A1A"/>
          <w:sz w:val="20"/>
          <w:szCs w:val="20"/>
        </w:rPr>
        <w:t xml:space="preserve">il se contente d’un </w:t>
      </w:r>
      <w:r>
        <w:rPr>
          <w:rFonts w:ascii="Calibri" w:cs="Calibri" w:eastAsia="Calibri" w:hAnsi="Calibri"/>
          <w:b/>
          <w:bCs/>
          <w:color w:val="1A1A1A"/>
          <w:sz w:val="20"/>
          <w:szCs w:val="20"/>
        </w:rPr>
        <w:t xml:space="preserve">but légitime</w:t>
      </w:r>
      <w:r>
        <w:rPr>
          <w:rFonts w:ascii="Calibri" w:cs="Calibri" w:eastAsia="Calibri" w:hAnsi="Calibri"/>
          <w:color w:val="1A1A1A"/>
          <w:sz w:val="20"/>
          <w:szCs w:val="20"/>
        </w:rPr>
        <w:t xml:space="preserve"> et d’une possibilité abstraite de restriction, alors que L. 1121-1 exige que la restriction </w:t>
      </w:r>
      <w:r>
        <w:rPr>
          <w:rFonts w:ascii="Calibri" w:cs="Calibri" w:eastAsia="Calibri" w:hAnsi="Calibri"/>
          <w:i/>
          <w:iCs/>
          <w:color w:val="1A1A1A"/>
          <w:sz w:val="20"/>
          <w:szCs w:val="20"/>
        </w:rPr>
        <w:t xml:space="preserve">concrète</w:t>
      </w:r>
      <w:r>
        <w:rPr>
          <w:rFonts w:ascii="Calibri" w:cs="Calibri" w:eastAsia="Calibri" w:hAnsi="Calibri"/>
          <w:color w:val="1A1A1A"/>
          <w:sz w:val="20"/>
          <w:szCs w:val="20"/>
        </w:rPr>
        <w:t xml:space="preserve"> soit justifiée et proportionnée ;</w:t>
      </w:r>
    </w:p>
    <w:p>
      <w:pPr>
        <w:pStyle w:val="ListParagraph"/>
        <w:numPr>
          <w:ilvl w:val="0"/>
          <w:numId w:val="2"/>
        </w:numPr>
        <w:spacing w:after="70" w:line="264"/>
        <w:jc w:val="both"/>
      </w:pPr>
      <w:r>
        <w:rPr>
          <w:rFonts w:ascii="Calibri" w:cs="Calibri" w:eastAsia="Calibri" w:hAnsi="Calibri"/>
          <w:color w:val="1A1A1A"/>
          <w:sz w:val="20"/>
          <w:szCs w:val="20"/>
        </w:rPr>
        <w:t xml:space="preserve">il présume l’atteinte à l’honneur du seul fait que le RRH « s’est reconnu », sans vérifier sa réalité, sa diffusion ni ses effets.</w:t>
      </w:r>
    </w:p>
    <w:p>
      <w:r>
        <w:br w:type="page"/>
      </w:r>
    </w:p>
    <w:p>
      <w:pPr>
        <w:pStyle w:val="Heading1"/>
        <w:pBdr>
          <w:bottom w:val="single" w:color="8C1C2B" w:sz="12" w:space="6"/>
        </w:pBdr>
        <w:spacing w:after="90" w:before="260"/>
      </w:pPr>
      <w:r>
        <w:rPr>
          <w:rFonts w:ascii="Calibri" w:cs="Calibri" w:eastAsia="Calibri" w:hAnsi="Calibri"/>
          <w:b/>
          <w:bCs/>
          <w:color w:val="8C1C2B"/>
          <w:sz w:val="28"/>
          <w:szCs w:val="28"/>
        </w:rPr>
        <w:t xml:space="preserve">2. La série du 14 janvier 2026</w:t>
      </w:r>
    </w:p>
    <w:p>
      <w:pPr>
        <w:spacing w:after="90" w:line="264"/>
        <w:jc w:val="both"/>
      </w:pPr>
      <w:r>
        <w:rPr>
          <w:rFonts w:ascii="Calibri" w:cs="Calibri" w:eastAsia="Calibri" w:hAnsi="Calibri"/>
          <w:color w:val="1A1A1A"/>
          <w:sz w:val="20"/>
          <w:szCs w:val="20"/>
        </w:rPr>
        <w:t xml:space="preserve">L’arrêt ne se comprend qu’avec ses « jumeaux ». Tous reprennent mot pour mot les §§ 11 à 13 (sauf la phrase sur la nullité, propre aux arrêts où elle est discutée).</w:t>
      </w:r>
    </w:p>
    <w:tbl>
      <w:tblPr>
        <w:tblW w:type="pct" w:w="100%"/>
        <w:tblBorders>
          <w:top w:val="single" w:color="C9C0B6" w:sz="2"/>
          <w:left w:val="single" w:color="C9C0B6" w:sz="2"/>
          <w:bottom w:val="single" w:color="C9C0B6" w:sz="2"/>
          <w:right w:val="single" w:color="C9C0B6" w:sz="2"/>
          <w:insideH w:val="single" w:color="DCD5CC" w:sz="2"/>
          <w:insideV w:val="single" w:color="DCD5CC" w:sz="2"/>
        </w:tblBorders>
      </w:tblPr>
      <w:tblGrid>
        <w:gridCol w:w="100"/>
        <w:gridCol w:w="100"/>
        <w:gridCol w:w="100"/>
        <w:gridCol w:w="100"/>
      </w:tblGrid>
      <w:tr>
        <w:trPr>
          <w:tblHeader/>
        </w:trPr>
        <w:tc>
          <w:tcPr>
            <w:tcW w:type="pct" w:w="25%"/>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Arrêt</w:t>
            </w:r>
          </w:p>
        </w:tc>
        <w:tc>
          <w:tcPr>
            <w:tcW w:type="pct" w:w="25%"/>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Faits</w:t>
            </w:r>
          </w:p>
        </w:tc>
        <w:tc>
          <w:tcPr>
            <w:tcW w:type="pct" w:w="25%"/>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Solution</w:t>
            </w:r>
          </w:p>
        </w:tc>
        <w:tc>
          <w:tcPr>
            <w:tcW w:type="pct" w:w="25%"/>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Leçon</w:t>
            </w:r>
          </w:p>
        </w:tc>
      </w:tr>
      <w:tr>
        <w:trPr>
          <w:tblHeader w:val="false"/>
        </w:trPr>
        <w:tc>
          <w:tcPr>
            <w:tcW w:type="pct" w:w="25%"/>
            <w:tcMar>
              <w:top w:type="dxa" w:w="60"/>
              <w:left w:type="dxa" w:w="90"/>
              <w:bottom w:type="dxa" w:w="60"/>
              <w:right w:type="dxa" w:w="90"/>
            </w:tcMar>
          </w:tcPr>
          <w:p>
            <w:pPr>
              <w:spacing w:after="0" w:line="240"/>
            </w:pPr>
            <w:r>
              <w:rPr>
                <w:rFonts w:ascii="Calibri" w:cs="Calibri" w:eastAsia="Calibri" w:hAnsi="Calibri"/>
                <w:b w:val="false"/>
                <w:bCs w:val="false"/>
                <w:color w:val="E91E63"/>
                <w:sz w:val="17"/>
                <w:szCs w:val="17"/>
              </w:rPr>
              <w:t xml:space="preserve">n° 24-13.778</w:t>
            </w:r>
            <w:r>
              <w:rPr>
                <w:rFonts w:ascii="Calibri" w:cs="Calibri" w:eastAsia="Calibri" w:hAnsi="Calibri"/>
                <w:b w:val="false"/>
                <w:bCs w:val="false"/>
                <w:color w:val="1A1A1A"/>
                <w:sz w:val="17"/>
                <w:szCs w:val="17"/>
              </w:rPr>
              <w:t xml:space="preserve"> (FS-B, n° 47)</w:t>
            </w:r>
          </w:p>
        </w:tc>
        <w:tc>
          <w:tcPr>
            <w:tcW w:type="pct" w:w="25%"/>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Auxiliaire de vie en EHPAD licenciée (2017) : comportement agressif et refus annoncé de prendre en charge une résidente atteinte d’Alzheimer, exprimé devant le médecin coordinateur.</w:t>
            </w:r>
          </w:p>
        </w:tc>
        <w:tc>
          <w:tcPr>
            <w:tcW w:type="pct" w:w="25%"/>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Rejet</w:t>
            </w:r>
            <w:r>
              <w:rPr>
                <w:rFonts w:ascii="Calibri" w:cs="Calibri" w:eastAsia="Calibri" w:hAnsi="Calibri"/>
                <w:b w:val="false"/>
                <w:bCs w:val="false"/>
                <w:color w:val="1A1A1A"/>
                <w:sz w:val="17"/>
                <w:szCs w:val="17"/>
              </w:rPr>
              <w:t xml:space="preserve"> : la CA a « </w:t>
            </w:r>
            <w:r>
              <w:rPr>
                <w:rFonts w:ascii="Calibri" w:cs="Calibri" w:eastAsia="Calibri" w:hAnsi="Calibri"/>
                <w:b w:val="false"/>
                <w:bCs w:val="false"/>
                <w:i/>
                <w:iCs/>
                <w:color w:val="1A1A1A"/>
                <w:sz w:val="17"/>
                <w:szCs w:val="17"/>
              </w:rPr>
              <w:t xml:space="preserve">exactement déduit</w:t>
            </w:r>
            <w:r>
              <w:rPr>
                <w:rFonts w:ascii="Calibri" w:cs="Calibri" w:eastAsia="Calibri" w:hAnsi="Calibri"/>
                <w:b w:val="false"/>
                <w:bCs w:val="false"/>
                <w:color w:val="1A1A1A"/>
                <w:sz w:val="17"/>
                <w:szCs w:val="17"/>
              </w:rPr>
              <w:t xml:space="preserve"> » que le licenciement ne portait pas une atteinte disproportionnée ; juste équilibre avec la protection de résidents vulnérables.</w:t>
            </w:r>
          </w:p>
        </w:tc>
        <w:tc>
          <w:tcPr>
            <w:tcW w:type="pct" w:w="25%"/>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La mise en balance peut jouer pour l’employeur ; l’« atteinte » est « </w:t>
            </w:r>
            <w:r>
              <w:rPr>
                <w:rFonts w:ascii="Calibri" w:cs="Calibri" w:eastAsia="Calibri" w:hAnsi="Calibri"/>
                <w:b w:val="false"/>
                <w:bCs w:val="false"/>
                <w:i/>
                <w:iCs/>
                <w:color w:val="1A1A1A"/>
                <w:sz w:val="17"/>
                <w:szCs w:val="17"/>
              </w:rPr>
              <w:t xml:space="preserve">prévue par l’article L. 1121-1</w:t>
            </w:r>
            <w:r>
              <w:rPr>
                <w:rFonts w:ascii="Calibri" w:cs="Calibri" w:eastAsia="Calibri" w:hAnsi="Calibri"/>
                <w:b w:val="false"/>
                <w:bCs w:val="false"/>
                <w:color w:val="1A1A1A"/>
                <w:sz w:val="17"/>
                <w:szCs w:val="17"/>
              </w:rPr>
              <w:t xml:space="preserve"> ».</w:t>
            </w:r>
          </w:p>
        </w:tc>
      </w:tr>
      <w:tr>
        <w:trPr>
          <w:tblHeader w:val="false"/>
        </w:trPr>
        <w:tc>
          <w:tcPr>
            <w:tcW w:type="pct" w:w="25%"/>
            <w:tcMar>
              <w:top w:type="dxa" w:w="60"/>
              <w:left w:type="dxa" w:w="90"/>
              <w:bottom w:type="dxa" w:w="60"/>
              <w:right w:type="dxa" w:w="90"/>
            </w:tcMar>
          </w:tcPr>
          <w:p>
            <w:pPr>
              <w:spacing w:after="0" w:line="240"/>
            </w:pPr>
            <w:r>
              <w:rPr>
                <w:rFonts w:ascii="Calibri" w:cs="Calibri" w:eastAsia="Calibri" w:hAnsi="Calibri"/>
                <w:b w:val="false"/>
                <w:bCs w:val="false"/>
                <w:color w:val="E91E63"/>
                <w:sz w:val="17"/>
                <w:szCs w:val="17"/>
              </w:rPr>
              <w:t xml:space="preserve">n° 24-19.583</w:t>
            </w:r>
            <w:r>
              <w:rPr>
                <w:rFonts w:ascii="Calibri" w:cs="Calibri" w:eastAsia="Calibri" w:hAnsi="Calibri"/>
                <w:b w:val="false"/>
                <w:bCs w:val="false"/>
                <w:color w:val="1A1A1A"/>
                <w:sz w:val="17"/>
                <w:szCs w:val="17"/>
              </w:rPr>
              <w:t xml:space="preserve"> (FS-B, n° 48)</w:t>
            </w:r>
          </w:p>
        </w:tc>
        <w:tc>
          <w:tcPr>
            <w:tcW w:type="pct" w:w="25%"/>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Directrice de pôle enfance licenciée pour faute grave (2020) ; la CA avait annulé le licenciement car l’un des propos (demande au président d’assister à l’entretien « sans aucune distorsion ») n’était ni injurieux, ni diffamatoire, ni excessif.</w:t>
            </w:r>
          </w:p>
        </w:tc>
        <w:tc>
          <w:tcPr>
            <w:tcW w:type="pct" w:w="25%"/>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Cassation</w:t>
            </w:r>
            <w:r>
              <w:rPr>
                <w:rFonts w:ascii="Calibri" w:cs="Calibri" w:eastAsia="Calibri" w:hAnsi="Calibri"/>
                <w:b w:val="false"/>
                <w:bCs w:val="false"/>
                <w:color w:val="1A1A1A"/>
                <w:sz w:val="17"/>
                <w:szCs w:val="17"/>
              </w:rPr>
              <w:t xml:space="preserve"> (renvoi CA Besançon) : la CA devait examiner </w:t>
            </w:r>
            <w:r>
              <w:rPr>
                <w:rFonts w:ascii="Calibri" w:cs="Calibri" w:eastAsia="Calibri" w:hAnsi="Calibri"/>
                <w:b w:val="false"/>
                <w:bCs w:val="false"/>
                <w:color w:val="1A1A1A"/>
                <w:sz w:val="17"/>
                <w:szCs w:val="17"/>
              </w:rPr>
              <w:t xml:space="preserve">l’ensemble</w:t>
            </w:r>
            <w:r>
              <w:rPr>
                <w:rFonts w:ascii="Calibri" w:cs="Calibri" w:eastAsia="Calibri" w:hAnsi="Calibri"/>
                <w:b w:val="false"/>
                <w:bCs w:val="false"/>
                <w:color w:val="1A1A1A"/>
                <w:sz w:val="17"/>
                <w:szCs w:val="17"/>
              </w:rPr>
              <w:t xml:space="preserve"> des propos, leur contexte, leur portée et la nécessité du licenciement.</w:t>
            </w:r>
          </w:p>
        </w:tc>
        <w:tc>
          <w:tcPr>
            <w:tcW w:type="pct" w:w="25%"/>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Fin du raisonnement « propos par propos » fondé sur l’abus ; appréciation globale.</w:t>
            </w:r>
          </w:p>
        </w:tc>
      </w:tr>
      <w:tr>
        <w:trPr>
          <w:tblHeader w:val="false"/>
        </w:trPr>
        <w:tc>
          <w:tcPr>
            <w:tcW w:type="pct" w:w="25%"/>
            <w:tcMar>
              <w:top w:type="dxa" w:w="60"/>
              <w:left w:type="dxa" w:w="90"/>
              <w:bottom w:type="dxa" w:w="60"/>
              <w:right w:type="dxa" w:w="90"/>
            </w:tcMar>
          </w:tcPr>
          <w:p>
            <w:pPr>
              <w:spacing w:after="0" w:line="240"/>
            </w:pPr>
            <w:r>
              <w:rPr>
                <w:rFonts w:ascii="Calibri" w:cs="Calibri" w:eastAsia="Calibri" w:hAnsi="Calibri"/>
                <w:b w:val="false"/>
                <w:bCs w:val="false"/>
                <w:color w:val="E91E63"/>
                <w:sz w:val="17"/>
                <w:szCs w:val="17"/>
              </w:rPr>
              <w:t xml:space="preserve">n° 23-19.947</w:t>
            </w:r>
            <w:r>
              <w:rPr>
                <w:rFonts w:ascii="Calibri" w:cs="Calibri" w:eastAsia="Calibri" w:hAnsi="Calibri"/>
                <w:b w:val="false"/>
                <w:bCs w:val="false"/>
                <w:color w:val="1A1A1A"/>
                <w:sz w:val="17"/>
                <w:szCs w:val="17"/>
              </w:rPr>
              <w:t xml:space="preserve"> (FS-B, n° 49)</w:t>
            </w:r>
          </w:p>
        </w:tc>
        <w:tc>
          <w:tcPr>
            <w:tcW w:type="pct" w:w="25%"/>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Caricatures remises au RRH.</w:t>
            </w:r>
          </w:p>
        </w:tc>
        <w:tc>
          <w:tcPr>
            <w:tcW w:type="pct" w:w="25%"/>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Cassation partielle</w:t>
            </w:r>
            <w:r>
              <w:rPr>
                <w:rFonts w:ascii="Calibri" w:cs="Calibri" w:eastAsia="Calibri" w:hAnsi="Calibri"/>
                <w:b w:val="false"/>
                <w:bCs w:val="false"/>
                <w:color w:val="1A1A1A"/>
                <w:sz w:val="17"/>
                <w:szCs w:val="17"/>
              </w:rPr>
              <w:t xml:space="preserve">.</w:t>
            </w:r>
          </w:p>
        </w:tc>
        <w:tc>
          <w:tcPr>
            <w:tcW w:type="pct" w:w="25%"/>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La mise en balance peut jouer pour le salarié : le contexte (santé, demandes ignorées) compte.</w:t>
            </w:r>
          </w:p>
        </w:tc>
      </w:tr>
      <w:tr>
        <w:trPr>
          <w:tblHeader w:val="false"/>
        </w:trPr>
        <w:tc>
          <w:tcPr>
            <w:tcW w:type="pct" w:w="25%"/>
            <w:tcMar>
              <w:top w:type="dxa" w:w="60"/>
              <w:left w:type="dxa" w:w="90"/>
              <w:bottom w:type="dxa" w:w="60"/>
              <w:right w:type="dxa" w:w="90"/>
            </w:tcMar>
          </w:tcPr>
          <w:p>
            <w:pPr>
              <w:spacing w:after="0" w:line="240"/>
            </w:pPr>
            <w:r>
              <w:rPr>
                <w:rFonts w:ascii="Calibri" w:cs="Calibri" w:eastAsia="Calibri" w:hAnsi="Calibri"/>
                <w:b w:val="false"/>
                <w:bCs w:val="false"/>
                <w:color w:val="E91E63"/>
                <w:sz w:val="17"/>
                <w:szCs w:val="17"/>
              </w:rPr>
              <w:t xml:space="preserve">n° 23-17.946</w:t>
            </w:r>
            <w:r>
              <w:rPr>
                <w:rFonts w:ascii="Calibri" w:cs="Calibri" w:eastAsia="Calibri" w:hAnsi="Calibri"/>
                <w:b w:val="false"/>
                <w:bCs w:val="false"/>
                <w:color w:val="1A1A1A"/>
                <w:sz w:val="17"/>
                <w:szCs w:val="17"/>
              </w:rPr>
              <w:t xml:space="preserve"> (FS-B, n° 50)</w:t>
            </w:r>
          </w:p>
        </w:tc>
        <w:tc>
          <w:tcPr>
            <w:tcW w:type="pct" w:w="25%"/>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Salariée d’une école de musique ; courriel au président sur les frais de la directrice ; licenciement pour insuffisance et déloyauté.</w:t>
            </w:r>
          </w:p>
        </w:tc>
        <w:tc>
          <w:tcPr>
            <w:tcW w:type="pct" w:w="25%"/>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Rejet</w:t>
            </w:r>
            <w:r>
              <w:rPr>
                <w:rFonts w:ascii="Calibri" w:cs="Calibri" w:eastAsia="Calibri" w:hAnsi="Calibri"/>
                <w:b w:val="false"/>
                <w:bCs w:val="false"/>
                <w:color w:val="1A1A1A"/>
                <w:sz w:val="17"/>
                <w:szCs w:val="17"/>
              </w:rPr>
              <w:t xml:space="preserve"> : la lettre de licenciement ne reprochait pas l’exercice de la liberté d’expression mais le contournement de la hiérarchie.</w:t>
            </w:r>
          </w:p>
        </w:tc>
        <w:tc>
          <w:tcPr>
            <w:tcW w:type="pct" w:w="25%"/>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Question préalable : le comportement </w:t>
            </w:r>
            <w:r>
              <w:rPr>
                <w:rFonts w:ascii="Calibri" w:cs="Calibri" w:eastAsia="Calibri" w:hAnsi="Calibri"/>
                <w:b w:val="false"/>
                <w:bCs w:val="false"/>
                <w:i/>
                <w:iCs/>
                <w:color w:val="1A1A1A"/>
                <w:sz w:val="17"/>
                <w:szCs w:val="17"/>
              </w:rPr>
              <w:t xml:space="preserve">relève-t-il</w:t>
            </w:r>
            <w:r>
              <w:rPr>
                <w:rFonts w:ascii="Calibri" w:cs="Calibri" w:eastAsia="Calibri" w:hAnsi="Calibri"/>
                <w:b w:val="false"/>
                <w:bCs w:val="false"/>
                <w:color w:val="1A1A1A"/>
                <w:sz w:val="17"/>
                <w:szCs w:val="17"/>
              </w:rPr>
              <w:t xml:space="preserve"> de la liberté d’expression ?</w:t>
            </w:r>
          </w:p>
        </w:tc>
      </w:tr>
      <w:tr>
        <w:trPr>
          <w:tblHeader w:val="false"/>
        </w:trPr>
        <w:tc>
          <w:tcPr>
            <w:tcW w:type="pct" w:w="25%"/>
            <w:tcMar>
              <w:top w:type="dxa" w:w="60"/>
              <w:left w:type="dxa" w:w="90"/>
              <w:bottom w:type="dxa" w:w="60"/>
              <w:right w:type="dxa" w:w="90"/>
            </w:tcMar>
          </w:tcPr>
          <w:p>
            <w:pPr>
              <w:spacing w:after="0" w:line="240"/>
            </w:pPr>
            <w:r>
              <w:rPr>
                <w:rFonts w:ascii="Calibri" w:cs="Calibri" w:eastAsia="Calibri" w:hAnsi="Calibri"/>
                <w:b w:val="false"/>
                <w:bCs w:val="false"/>
                <w:color w:val="E91E63"/>
                <w:sz w:val="17"/>
                <w:szCs w:val="17"/>
              </w:rPr>
              <w:t xml:space="preserve">n° 24-18.877</w:t>
            </w:r>
            <w:r>
              <w:rPr>
                <w:rFonts w:ascii="Calibri" w:cs="Calibri" w:eastAsia="Calibri" w:hAnsi="Calibri"/>
                <w:b w:val="false"/>
                <w:bCs w:val="false"/>
                <w:color w:val="1A1A1A"/>
                <w:sz w:val="17"/>
                <w:szCs w:val="17"/>
              </w:rPr>
              <w:t xml:space="preserve"> (</w:t>
            </w:r>
            <w:r>
              <w:rPr>
                <w:rFonts w:ascii="Calibri" w:cs="Calibri" w:eastAsia="Calibri" w:hAnsi="Calibri"/>
                <w:b w:val="false"/>
                <w:bCs w:val="false"/>
                <w:color w:val="1A1A1A"/>
                <w:sz w:val="17"/>
                <w:szCs w:val="17"/>
              </w:rPr>
              <w:t xml:space="preserve">inédit</w:t>
            </w:r>
            <w:r>
              <w:rPr>
                <w:rFonts w:ascii="Calibri" w:cs="Calibri" w:eastAsia="Calibri" w:hAnsi="Calibri"/>
                <w:b w:val="false"/>
                <w:bCs w:val="false"/>
                <w:color w:val="1A1A1A"/>
                <w:sz w:val="17"/>
                <w:szCs w:val="17"/>
              </w:rPr>
              <w:t xml:space="preserve">)</w:t>
            </w:r>
          </w:p>
        </w:tc>
        <w:tc>
          <w:tcPr>
            <w:tcW w:type="pct" w:w="25%"/>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Chargée de webmarketing licenciée pour faute grave (2020) : messages dénigrants et insultants (« casse couilles »), d’autres non fautifs (craintes Covid).</w:t>
            </w:r>
          </w:p>
        </w:tc>
        <w:tc>
          <w:tcPr>
            <w:tcW w:type="pct" w:w="25%"/>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Rejet</w:t>
            </w:r>
            <w:r>
              <w:rPr>
                <w:rFonts w:ascii="Calibri" w:cs="Calibri" w:eastAsia="Calibri" w:hAnsi="Calibri"/>
                <w:b w:val="false"/>
                <w:bCs w:val="false"/>
                <w:color w:val="1A1A1A"/>
                <w:sz w:val="17"/>
                <w:szCs w:val="17"/>
              </w:rPr>
              <w:t xml:space="preserve"> : licenciement nécessaire et proportionné « </w:t>
            </w:r>
            <w:r>
              <w:rPr>
                <w:rFonts w:ascii="Calibri" w:cs="Calibri" w:eastAsia="Calibri" w:hAnsi="Calibri"/>
                <w:b w:val="false"/>
                <w:bCs w:val="false"/>
                <w:i/>
                <w:iCs/>
                <w:color w:val="1A1A1A"/>
                <w:sz w:val="17"/>
                <w:szCs w:val="17"/>
              </w:rPr>
              <w:t xml:space="preserve">peu important que d’autres [messages], visés par la lettre de licenciement, ne le soient pas</w:t>
            </w:r>
            <w:r>
              <w:rPr>
                <w:rFonts w:ascii="Calibri" w:cs="Calibri" w:eastAsia="Calibri" w:hAnsi="Calibri"/>
                <w:b w:val="false"/>
                <w:bCs w:val="false"/>
                <w:color w:val="1A1A1A"/>
                <w:sz w:val="17"/>
                <w:szCs w:val="17"/>
              </w:rPr>
              <w:t xml:space="preserve"> ».</w:t>
            </w:r>
          </w:p>
        </w:tc>
        <w:tc>
          <w:tcPr>
            <w:tcW w:type="pct" w:w="25%"/>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Remise en cause de l’automaticité du « motif contaminant »</w:t>
            </w:r>
            <w:r>
              <w:rPr>
                <w:rFonts w:ascii="Calibri" w:cs="Calibri" w:eastAsia="Calibri" w:hAnsi="Calibri"/>
                <w:b w:val="false"/>
                <w:bCs w:val="false"/>
                <w:color w:val="1A1A1A"/>
                <w:sz w:val="17"/>
                <w:szCs w:val="17"/>
              </w:rPr>
              <w:t xml:space="preserve"> : la pesée est globale.</w:t>
            </w:r>
          </w:p>
        </w:tc>
      </w:tr>
    </w:tbl>
    <w:p>
      <w:pPr>
        <w:spacing w:after="120"/>
      </w:pPr>
    </w:p>
    <w:p>
      <w:pPr>
        <w:pBdr>
          <w:top w:val="single" w:color="D8CFC4" w:sz="4" w:space="8"/>
          <w:bottom w:val="single" w:color="D8CFC4" w:sz="4" w:space="8"/>
          <w:left w:val="single" w:color="D8CFC4" w:sz="4" w:space="8"/>
          <w:right w:val="single" w:color="D8CFC4" w:sz="4" w:space="8"/>
        </w:pBdr>
        <w:shd w:fill="F7F4F0" w:val="clear"/>
        <w:spacing w:after="120" w:before="120" w:line="264"/>
        <w:ind w:left="140" w:right="140"/>
        <w:jc w:val="both"/>
      </w:pPr>
      <w:r>
        <w:rPr>
          <w:rFonts w:ascii="Calibri" w:cs="Calibri" w:eastAsia="Calibri" w:hAnsi="Calibri"/>
          <w:b/>
          <w:bCs/>
          <w:color w:val="1A1A1A"/>
          <w:sz w:val="19"/>
          <w:szCs w:val="19"/>
        </w:rPr>
        <w:t xml:space="preserve">Erreurs du support et du chat sur la série.</w:t>
      </w:r>
      <w:r>
        <w:rPr>
          <w:rFonts w:ascii="Calibri" w:cs="Calibri" w:eastAsia="Calibri" w:hAnsi="Calibri"/>
          <w:color w:val="1A1A1A"/>
          <w:sz w:val="19"/>
          <w:szCs w:val="19"/>
        </w:rPr>
        <w:t xml:space="preserve"> Le support du live range </w:t>
      </w:r>
      <w:r>
        <w:rPr>
          <w:rFonts w:ascii="Calibri" w:cs="Calibri" w:eastAsia="Calibri" w:hAnsi="Calibri"/>
          <w:color w:val="E91E63"/>
          <w:sz w:val="19"/>
          <w:szCs w:val="19"/>
        </w:rPr>
        <w:t xml:space="preserve">n° 24-18.877</w:t>
      </w:r>
      <w:r>
        <w:rPr>
          <w:rFonts w:ascii="Calibri" w:cs="Calibri" w:eastAsia="Calibri" w:hAnsi="Calibri"/>
          <w:color w:val="1A1A1A"/>
          <w:sz w:val="19"/>
          <w:szCs w:val="19"/>
        </w:rPr>
        <w:t xml:space="preserve"> parmi les décisions « </w:t>
      </w:r>
      <w:r>
        <w:rPr>
          <w:rFonts w:ascii="Calibri" w:cs="Calibri" w:eastAsia="Calibri" w:hAnsi="Calibri"/>
          <w:i/>
          <w:iCs/>
          <w:color w:val="1A1A1A"/>
          <w:sz w:val="19"/>
          <w:szCs w:val="19"/>
        </w:rPr>
        <w:t xml:space="preserve">publiées au Bulletin</w:t>
      </w:r>
      <w:r>
        <w:rPr>
          <w:rFonts w:ascii="Calibri" w:cs="Calibri" w:eastAsia="Calibri" w:hAnsi="Calibri"/>
          <w:color w:val="1A1A1A"/>
          <w:sz w:val="19"/>
          <w:szCs w:val="19"/>
        </w:rPr>
        <w:t xml:space="preserve"> » : il est </w:t>
      </w:r>
      <w:r>
        <w:rPr>
          <w:rFonts w:ascii="Calibri" w:cs="Calibri" w:eastAsia="Calibri" w:hAnsi="Calibri"/>
          <w:b/>
          <w:bCs/>
          <w:color w:val="1A1A1A"/>
          <w:sz w:val="19"/>
          <w:szCs w:val="19"/>
        </w:rPr>
        <w:t xml:space="preserve">inédit</w:t>
      </w:r>
      <w:r>
        <w:rPr>
          <w:rFonts w:ascii="Calibri" w:cs="Calibri" w:eastAsia="Calibri" w:hAnsi="Calibri"/>
          <w:color w:val="1A1A1A"/>
          <w:sz w:val="19"/>
          <w:szCs w:val="19"/>
        </w:rPr>
        <w:t xml:space="preserve"> (Légifrance). À l’inverse, il omet </w:t>
      </w:r>
      <w:r>
        <w:rPr>
          <w:rFonts w:ascii="Calibri" w:cs="Calibri" w:eastAsia="Calibri" w:hAnsi="Calibri"/>
          <w:color w:val="E91E63"/>
          <w:sz w:val="19"/>
          <w:szCs w:val="19"/>
        </w:rPr>
        <w:t xml:space="preserve">n° 23-17.946</w:t>
      </w:r>
      <w:r>
        <w:rPr>
          <w:rFonts w:ascii="Calibri" w:cs="Calibri" w:eastAsia="Calibri" w:hAnsi="Calibri"/>
          <w:color w:val="1A1A1A"/>
          <w:sz w:val="19"/>
          <w:szCs w:val="19"/>
        </w:rPr>
        <w:t xml:space="preserve">, publié. Dans le chat, une élève (Emma L) écrit que la directrice a vu son licenciement « </w:t>
      </w:r>
      <w:r>
        <w:rPr>
          <w:rFonts w:ascii="Calibri" w:cs="Calibri" w:eastAsia="Calibri" w:hAnsi="Calibri"/>
          <w:i/>
          <w:iCs/>
          <w:color w:val="1A1A1A"/>
          <w:sz w:val="19"/>
          <w:szCs w:val="19"/>
        </w:rPr>
        <w:t xml:space="preserve">déclaré nul</w:t>
      </w:r>
      <w:r>
        <w:rPr>
          <w:rFonts w:ascii="Calibri" w:cs="Calibri" w:eastAsia="Calibri" w:hAnsi="Calibri"/>
          <w:color w:val="1A1A1A"/>
          <w:sz w:val="19"/>
          <w:szCs w:val="19"/>
        </w:rPr>
        <w:t xml:space="preserve"> » : c’est la cour d’appel qui l’avait annulé ; la Cour de cassation </w:t>
      </w:r>
      <w:r>
        <w:rPr>
          <w:rFonts w:ascii="Calibri" w:cs="Calibri" w:eastAsia="Calibri" w:hAnsi="Calibri"/>
          <w:b/>
          <w:bCs/>
          <w:color w:val="1A1A1A"/>
          <w:sz w:val="19"/>
          <w:szCs w:val="19"/>
        </w:rPr>
        <w:t xml:space="preserve">casse</w:t>
      </w:r>
      <w:r>
        <w:rPr>
          <w:rFonts w:ascii="Calibri" w:cs="Calibri" w:eastAsia="Calibri" w:hAnsi="Calibri"/>
          <w:color w:val="1A1A1A"/>
          <w:sz w:val="19"/>
          <w:szCs w:val="19"/>
        </w:rPr>
        <w:t xml:space="preserve"> cette annulation.</w:t>
      </w:r>
    </w:p>
    <w:p>
      <w:pPr>
        <w:pStyle w:val="Heading1"/>
        <w:pBdr>
          <w:bottom w:val="single" w:color="8C1C2B" w:sz="12" w:space="6"/>
        </w:pBdr>
        <w:spacing w:after="90" w:before="260"/>
      </w:pPr>
      <w:r>
        <w:rPr>
          <w:rFonts w:ascii="Calibri" w:cs="Calibri" w:eastAsia="Calibri" w:hAnsi="Calibri"/>
          <w:b/>
          <w:bCs/>
          <w:color w:val="8C1C2B"/>
          <w:sz w:val="28"/>
          <w:szCs w:val="28"/>
        </w:rPr>
        <w:t xml:space="preserve">3. Les outils procéduraux à maîtriser</w:t>
      </w:r>
    </w:p>
    <w:p>
      <w:pPr>
        <w:pStyle w:val="ListParagraph"/>
        <w:numPr>
          <w:ilvl w:val="0"/>
          <w:numId w:val="2"/>
        </w:numPr>
        <w:spacing w:after="70" w:line="264"/>
        <w:jc w:val="both"/>
      </w:pPr>
      <w:r>
        <w:rPr>
          <w:rFonts w:ascii="Calibri" w:cs="Calibri" w:eastAsia="Calibri" w:hAnsi="Calibri"/>
          <w:b/>
          <w:bCs/>
          <w:color w:val="1A1A1A"/>
          <w:sz w:val="20"/>
          <w:szCs w:val="20"/>
        </w:rPr>
        <w:t xml:space="preserve">Cassation pour violation de la loi (et non manque de base légale)</w:t>
      </w:r>
      <w:r>
        <w:rPr>
          <w:rFonts w:ascii="Calibri" w:cs="Calibri" w:eastAsia="Calibri" w:hAnsi="Calibri"/>
          <w:color w:val="1A1A1A"/>
          <w:sz w:val="20"/>
          <w:szCs w:val="20"/>
        </w:rPr>
        <w:t xml:space="preserve"> : la Cour reproche une erreur de méthode, non une simple insuffisance de motivation. Elle érige la mise en balance en </w:t>
      </w:r>
      <w:r>
        <w:rPr>
          <w:rFonts w:ascii="Calibri" w:cs="Calibri" w:eastAsia="Calibri" w:hAnsi="Calibri"/>
          <w:b/>
          <w:bCs/>
          <w:color w:val="1A1A1A"/>
          <w:sz w:val="20"/>
          <w:szCs w:val="20"/>
        </w:rPr>
        <w:t xml:space="preserve">règle de droit</w:t>
      </w:r>
      <w:r>
        <w:rPr>
          <w:rFonts w:ascii="Calibri" w:cs="Calibri" w:eastAsia="Calibri" w:hAnsi="Calibri"/>
          <w:color w:val="1A1A1A"/>
          <w:sz w:val="20"/>
          <w:szCs w:val="20"/>
        </w:rPr>
        <w:t xml:space="preserve"> dont elle contrôle le respect (contrôle normatif).</w:t>
      </w:r>
    </w:p>
    <w:p>
      <w:pPr>
        <w:pStyle w:val="ListParagraph"/>
        <w:numPr>
          <w:ilvl w:val="0"/>
          <w:numId w:val="2"/>
        </w:numPr>
        <w:spacing w:after="70" w:line="264"/>
        <w:jc w:val="both"/>
      </w:pPr>
      <w:r>
        <w:rPr>
          <w:rFonts w:ascii="Calibri" w:cs="Calibri" w:eastAsia="Calibri" w:hAnsi="Calibri"/>
          <w:b/>
          <w:bCs/>
          <w:color w:val="1A1A1A"/>
          <w:sz w:val="20"/>
          <w:szCs w:val="20"/>
        </w:rPr>
        <w:t xml:space="preserve">Art. 1014 al. 2 CPC</w:t>
      </w:r>
      <w:r>
        <w:rPr>
          <w:rFonts w:ascii="Calibri" w:cs="Calibri" w:eastAsia="Calibri" w:hAnsi="Calibri"/>
          <w:color w:val="1A1A1A"/>
          <w:sz w:val="20"/>
          <w:szCs w:val="20"/>
        </w:rPr>
        <w:t xml:space="preserve"> : rejet non spécialement motivé du premier moyen (discrimination liée à l’état de santé). Ne pas en tirer de conclusion sur le fond.</w:t>
      </w:r>
    </w:p>
    <w:p>
      <w:pPr>
        <w:pStyle w:val="ListParagraph"/>
        <w:numPr>
          <w:ilvl w:val="0"/>
          <w:numId w:val="2"/>
        </w:numPr>
        <w:spacing w:after="70" w:line="264"/>
        <w:jc w:val="both"/>
      </w:pPr>
      <w:r>
        <w:rPr>
          <w:rFonts w:ascii="Calibri" w:cs="Calibri" w:eastAsia="Calibri" w:hAnsi="Calibri"/>
          <w:b/>
          <w:bCs/>
          <w:color w:val="1A1A1A"/>
          <w:sz w:val="20"/>
          <w:szCs w:val="20"/>
        </w:rPr>
        <w:t xml:space="preserve">Moyen « inopérant »</w:t>
      </w:r>
      <w:r>
        <w:rPr>
          <w:rFonts w:ascii="Calibri" w:cs="Calibri" w:eastAsia="Calibri" w:hAnsi="Calibri"/>
          <w:color w:val="1A1A1A"/>
          <w:sz w:val="20"/>
          <w:szCs w:val="20"/>
        </w:rPr>
        <w:t xml:space="preserve"> (syndicat) : le moyen ne peut entraîner la cassation car, même fondé, la demande était irrecevable.</w:t>
      </w:r>
    </w:p>
    <w:p>
      <w:pPr>
        <w:pStyle w:val="ListParagraph"/>
        <w:numPr>
          <w:ilvl w:val="0"/>
          <w:numId w:val="2"/>
        </w:numPr>
        <w:spacing w:after="70" w:line="264"/>
        <w:jc w:val="both"/>
      </w:pPr>
      <w:r>
        <w:rPr>
          <w:rFonts w:ascii="Calibri" w:cs="Calibri" w:eastAsia="Calibri" w:hAnsi="Calibri"/>
          <w:b/>
          <w:bCs/>
          <w:color w:val="1A1A1A"/>
          <w:sz w:val="20"/>
          <w:szCs w:val="20"/>
        </w:rPr>
        <w:t xml:space="preserve">Art. 624 CPC</w:t>
      </w:r>
      <w:r>
        <w:rPr>
          <w:rFonts w:ascii="Calibri" w:cs="Calibri" w:eastAsia="Calibri" w:hAnsi="Calibri"/>
          <w:color w:val="1A1A1A"/>
          <w:sz w:val="20"/>
          <w:szCs w:val="20"/>
        </w:rPr>
        <w:t xml:space="preserve"> : cassation par voie de conséquence des chefs indivisibles.</w:t>
      </w:r>
    </w:p>
    <w:p>
      <w:pPr>
        <w:pStyle w:val="ListParagraph"/>
        <w:numPr>
          <w:ilvl w:val="0"/>
          <w:numId w:val="2"/>
        </w:numPr>
        <w:spacing w:after="70" w:line="264"/>
        <w:jc w:val="both"/>
      </w:pPr>
      <w:r>
        <w:rPr>
          <w:rFonts w:ascii="Calibri" w:cs="Calibri" w:eastAsia="Calibri" w:hAnsi="Calibri"/>
          <w:b/>
          <w:bCs/>
          <w:color w:val="1A1A1A"/>
          <w:sz w:val="20"/>
          <w:szCs w:val="20"/>
        </w:rPr>
        <w:t xml:space="preserve">Formation FS-B</w:t>
      </w:r>
      <w:r>
        <w:rPr>
          <w:rFonts w:ascii="Calibri" w:cs="Calibri" w:eastAsia="Calibri" w:hAnsi="Calibri"/>
          <w:color w:val="1A1A1A"/>
          <w:sz w:val="20"/>
          <w:szCs w:val="20"/>
        </w:rPr>
        <w:t xml:space="preserve"> : formation de section, publication au Bulletin ; la série de quatre arrêts FS-B le même jour signale un arrêt de principe.</w:t>
      </w:r>
    </w:p>
    <w:p>
      <w:r>
        <w:br w:type="page"/>
      </w:r>
    </w:p>
    <w:p>
      <w:pPr>
        <w:pStyle w:val="Heading1"/>
        <w:pBdr>
          <w:bottom w:val="single" w:color="8C1C2B" w:sz="12" w:space="6"/>
        </w:pBdr>
        <w:spacing w:after="90" w:before="260"/>
      </w:pPr>
      <w:r>
        <w:rPr>
          <w:rFonts w:ascii="Calibri" w:cs="Calibri" w:eastAsia="Calibri" w:hAnsi="Calibri"/>
          <w:b/>
          <w:bCs/>
          <w:color w:val="8C1C2B"/>
          <w:sz w:val="28"/>
          <w:szCs w:val="28"/>
        </w:rPr>
        <w:t xml:space="preserve">4. L’architecture textuelle</w:t>
      </w:r>
    </w:p>
    <w:tbl>
      <w:tblPr>
        <w:tblW w:type="pct" w:w="100%"/>
        <w:tblBorders>
          <w:top w:val="single" w:color="C9C0B6" w:sz="2"/>
          <w:left w:val="single" w:color="C9C0B6" w:sz="2"/>
          <w:bottom w:val="single" w:color="C9C0B6" w:sz="2"/>
          <w:right w:val="single" w:color="C9C0B6" w:sz="2"/>
          <w:insideH w:val="single" w:color="DCD5CC" w:sz="2"/>
          <w:insideV w:val="single" w:color="DCD5CC" w:sz="2"/>
        </w:tblBorders>
      </w:tblPr>
      <w:tblGrid>
        <w:gridCol w:w="100"/>
        <w:gridCol w:w="100"/>
        <w:gridCol w:w="100"/>
      </w:tblGrid>
      <w:tr>
        <w:trPr>
          <w:tblHeader/>
        </w:trPr>
        <w:tc>
          <w:tcPr>
            <w:tcW w:type="pct" w:w="33.333333333333336%"/>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Niveau</w:t>
            </w:r>
          </w:p>
        </w:tc>
        <w:tc>
          <w:tcPr>
            <w:tcW w:type="pct" w:w="33.333333333333336%"/>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Texte</w:t>
            </w:r>
          </w:p>
        </w:tc>
        <w:tc>
          <w:tcPr>
            <w:tcW w:type="pct" w:w="33.333333333333336%"/>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Apport</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Constitutionnel</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E88E5"/>
                <w:sz w:val="17"/>
                <w:szCs w:val="17"/>
              </w:rPr>
              <w:t xml:space="preserve">Art. 11 DDHC</w:t>
            </w:r>
            <w:r>
              <w:rPr>
                <w:rFonts w:ascii="Calibri" w:cs="Calibri" w:eastAsia="Calibri" w:hAnsi="Calibri"/>
                <w:b w:val="false"/>
                <w:bCs w:val="false"/>
                <w:color w:val="1A1A1A"/>
                <w:sz w:val="17"/>
                <w:szCs w:val="17"/>
              </w:rPr>
              <w:t xml:space="preserve"> : « </w:t>
            </w:r>
            <w:r>
              <w:rPr>
                <w:rFonts w:ascii="Calibri" w:cs="Calibri" w:eastAsia="Calibri" w:hAnsi="Calibri"/>
                <w:b w:val="false"/>
                <w:bCs w:val="false"/>
                <w:i/>
                <w:iCs/>
                <w:color w:val="1A1A1A"/>
                <w:sz w:val="17"/>
                <w:szCs w:val="17"/>
              </w:rPr>
              <w:t xml:space="preserve">La libre communication des pensées et des opinions est un des droits les plus précieux de l’Homme : tout Citoyen peut donc parler, écrire, imprimer librement, sauf à répondre de l’abus de cette liberté dans les cas déterminés par la Loi.</w:t>
            </w:r>
            <w:r>
              <w:rPr>
                <w:rFonts w:ascii="Calibri" w:cs="Calibri" w:eastAsia="Calibri" w:hAnsi="Calibri"/>
                <w:b w:val="false"/>
                <w:bCs w:val="false"/>
                <w:color w:val="1A1A1A"/>
                <w:sz w:val="17"/>
                <w:szCs w:val="17"/>
              </w:rPr>
              <w:t xml:space="preserve"> »</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Fonde la nullité (« liberté fondamentale constitutionnellement garantie »). Ironie : c’est l’art. 11 qui parle d’« abus »… mais d’abus défini </w:t>
            </w:r>
            <w:r>
              <w:rPr>
                <w:rFonts w:ascii="Calibri" w:cs="Calibri" w:eastAsia="Calibri" w:hAnsi="Calibri"/>
                <w:b w:val="false"/>
                <w:bCs w:val="false"/>
                <w:i/>
                <w:iCs/>
                <w:color w:val="1A1A1A"/>
                <w:sz w:val="17"/>
                <w:szCs w:val="17"/>
              </w:rPr>
              <w:t xml:space="preserve">par la loi</w:t>
            </w:r>
            <w:r>
              <w:rPr>
                <w:rFonts w:ascii="Calibri" w:cs="Calibri" w:eastAsia="Calibri" w:hAnsi="Calibri"/>
                <w:b w:val="false"/>
                <w:bCs w:val="false"/>
                <w:color w:val="1A1A1A"/>
                <w:sz w:val="17"/>
                <w:szCs w:val="17"/>
              </w:rPr>
              <w:t xml:space="preserve">, ce que n’étaient pas les critères jurisprudentiels.</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Constitutionnel</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E88E5"/>
                <w:sz w:val="17"/>
                <w:szCs w:val="17"/>
              </w:rPr>
              <w:t xml:space="preserve">Art. 4 DDHC</w:t>
            </w:r>
            <w:r>
              <w:rPr>
                <w:rFonts w:ascii="Calibri" w:cs="Calibri" w:eastAsia="Calibri" w:hAnsi="Calibri"/>
                <w:b w:val="false"/>
                <w:bCs w:val="false"/>
                <w:color w:val="1A1A1A"/>
                <w:sz w:val="17"/>
                <w:szCs w:val="17"/>
              </w:rPr>
              <w:t xml:space="preserve"> : la liberté consiste à faire tout ce qui ne nuit pas à autrui ; bornes déterminées par la loi.</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Fondement de la logique des « droits d’autrui » (plan du correcteur, II B).</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Constitutionnel</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E88E5"/>
                <w:sz w:val="17"/>
                <w:szCs w:val="17"/>
              </w:rPr>
              <w:t xml:space="preserve">Préambule 1946, al. 6 et 8</w:t>
            </w:r>
            <w:r>
              <w:rPr>
                <w:rFonts w:ascii="Calibri" w:cs="Calibri" w:eastAsia="Calibri" w:hAnsi="Calibri"/>
                <w:b w:val="false"/>
                <w:bCs w:val="false"/>
                <w:color w:val="1A1A1A"/>
                <w:sz w:val="17"/>
                <w:szCs w:val="17"/>
              </w:rPr>
              <w:t xml:space="preserve"> : liberté syndicale ; participation des travailleurs à la détermination collective des conditions de travail.</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Expression collective, rôle du syndicat.</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Conventionnel</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E88E5"/>
                <w:sz w:val="17"/>
                <w:szCs w:val="17"/>
              </w:rPr>
              <w:t xml:space="preserve">Art. 10 Conv. EDH</w:t>
            </w:r>
            <w:r>
              <w:rPr>
                <w:rFonts w:ascii="Calibri" w:cs="Calibri" w:eastAsia="Calibri" w:hAnsi="Calibri"/>
                <w:b w:val="false"/>
                <w:bCs w:val="false"/>
                <w:color w:val="1A1A1A"/>
                <w:sz w:val="17"/>
                <w:szCs w:val="17"/>
              </w:rPr>
              <w:t xml:space="preserve"> : § 1 liberté d’expression ; § 2 restrictions « </w:t>
            </w:r>
            <w:r>
              <w:rPr>
                <w:rFonts w:ascii="Calibri" w:cs="Calibri" w:eastAsia="Calibri" w:hAnsi="Calibri"/>
                <w:b w:val="false"/>
                <w:bCs w:val="false"/>
                <w:i/>
                <w:iCs/>
                <w:color w:val="1A1A1A"/>
                <w:sz w:val="17"/>
                <w:szCs w:val="17"/>
              </w:rPr>
              <w:t xml:space="preserve">prévues par la loi</w:t>
            </w:r>
            <w:r>
              <w:rPr>
                <w:rFonts w:ascii="Calibri" w:cs="Calibri" w:eastAsia="Calibri" w:hAnsi="Calibri"/>
                <w:b w:val="false"/>
                <w:bCs w:val="false"/>
                <w:color w:val="1A1A1A"/>
                <w:sz w:val="17"/>
                <w:szCs w:val="17"/>
              </w:rPr>
              <w:t xml:space="preserve"> », « </w:t>
            </w:r>
            <w:r>
              <w:rPr>
                <w:rFonts w:ascii="Calibri" w:cs="Calibri" w:eastAsia="Calibri" w:hAnsi="Calibri"/>
                <w:b w:val="false"/>
                <w:bCs w:val="false"/>
                <w:i/>
                <w:iCs/>
                <w:color w:val="1A1A1A"/>
                <w:sz w:val="17"/>
                <w:szCs w:val="17"/>
              </w:rPr>
              <w:t xml:space="preserve">nécessaires dans une société démocratique</w:t>
            </w:r>
            <w:r>
              <w:rPr>
                <w:rFonts w:ascii="Calibri" w:cs="Calibri" w:eastAsia="Calibri" w:hAnsi="Calibri"/>
                <w:b w:val="false"/>
                <w:bCs w:val="false"/>
                <w:color w:val="1A1A1A"/>
                <w:sz w:val="17"/>
                <w:szCs w:val="17"/>
              </w:rPr>
              <w:t xml:space="preserve"> », notamment à « </w:t>
            </w:r>
            <w:r>
              <w:rPr>
                <w:rFonts w:ascii="Calibri" w:cs="Calibri" w:eastAsia="Calibri" w:hAnsi="Calibri"/>
                <w:b w:val="false"/>
                <w:bCs w:val="false"/>
                <w:i/>
                <w:iCs/>
                <w:color w:val="1A1A1A"/>
                <w:sz w:val="17"/>
                <w:szCs w:val="17"/>
              </w:rPr>
              <w:t xml:space="preserve">la protection de la réputation ou des droits d’autrui</w:t>
            </w:r>
            <w:r>
              <w:rPr>
                <w:rFonts w:ascii="Calibri" w:cs="Calibri" w:eastAsia="Calibri" w:hAnsi="Calibri"/>
                <w:b w:val="false"/>
                <w:bCs w:val="false"/>
                <w:color w:val="1A1A1A"/>
                <w:sz w:val="17"/>
                <w:szCs w:val="17"/>
              </w:rPr>
              <w:t xml:space="preserve"> ».</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Matrice de la mise en balance ; effet horizontal via les obligations positives de l’État.</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Conventionnel</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E88E5"/>
                <w:sz w:val="17"/>
                <w:szCs w:val="17"/>
              </w:rPr>
              <w:t xml:space="preserve">Art. 8 Conv. EDH</w:t>
            </w:r>
            <w:r>
              <w:rPr>
                <w:rFonts w:ascii="Calibri" w:cs="Calibri" w:eastAsia="Calibri" w:hAnsi="Calibri"/>
                <w:b w:val="false"/>
                <w:bCs w:val="false"/>
                <w:color w:val="1A1A1A"/>
                <w:sz w:val="17"/>
                <w:szCs w:val="17"/>
              </w:rPr>
              <w:t xml:space="preserve"> : vie privée, qui inclut la réputation.</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Droit concurrent du RRH caricaturé.</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UE</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E88E5"/>
                <w:sz w:val="17"/>
                <w:szCs w:val="17"/>
              </w:rPr>
              <w:t xml:space="preserve">Art. 11 Charte DFUE</w:t>
            </w:r>
            <w:r>
              <w:rPr>
                <w:rFonts w:ascii="Calibri" w:cs="Calibri" w:eastAsia="Calibri" w:hAnsi="Calibri"/>
                <w:b w:val="false"/>
                <w:bCs w:val="false"/>
                <w:color w:val="1A1A1A"/>
                <w:sz w:val="17"/>
                <w:szCs w:val="17"/>
              </w:rPr>
              <w:t xml:space="preserve"> : liberté d’expression et d’information.</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Peu utile ici (pas de mise en œuvre du droit de l’Union).</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Législatif</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E88E5"/>
                <w:sz w:val="17"/>
                <w:szCs w:val="17"/>
              </w:rPr>
              <w:t xml:space="preserve">Art. L. 1121-1 C. trav.</w:t>
            </w:r>
            <w:r>
              <w:rPr>
                <w:rFonts w:ascii="Calibri" w:cs="Calibri" w:eastAsia="Calibri" w:hAnsi="Calibri"/>
                <w:b w:val="false"/>
                <w:bCs w:val="false"/>
                <w:color w:val="1A1A1A"/>
                <w:sz w:val="17"/>
                <w:szCs w:val="17"/>
              </w:rPr>
              <w:t xml:space="preserve"> (loi n° 92-1446 du 31 déc. 1992)</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Pivot</w:t>
            </w:r>
            <w:r>
              <w:rPr>
                <w:rFonts w:ascii="Calibri" w:cs="Calibri" w:eastAsia="Calibri" w:hAnsi="Calibri"/>
                <w:b w:val="false"/>
                <w:bCs w:val="false"/>
                <w:color w:val="1A1A1A"/>
                <w:sz w:val="17"/>
                <w:szCs w:val="17"/>
              </w:rPr>
              <w:t xml:space="preserve"> : restriction justifiée par la nature de la tâche et proportionnée au but.</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Législatif</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E88E5"/>
                <w:sz w:val="17"/>
                <w:szCs w:val="17"/>
              </w:rPr>
              <w:t xml:space="preserve">Art. L. 1321-3 C. trav.</w:t>
            </w:r>
            <w:r>
              <w:rPr>
                <w:rFonts w:ascii="Calibri" w:cs="Calibri" w:eastAsia="Calibri" w:hAnsi="Calibri"/>
                <w:b w:val="false"/>
                <w:bCs w:val="false"/>
                <w:color w:val="1A1A1A"/>
                <w:sz w:val="17"/>
                <w:szCs w:val="17"/>
              </w:rPr>
              <w:t xml:space="preserve"> : le règlement intérieur ne peut apporter de restrictions injustifiées ou disproportionnées.</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Même logique pour la norme d’entreprise.</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Législatif</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E88E5"/>
                <w:sz w:val="17"/>
                <w:szCs w:val="17"/>
              </w:rPr>
              <w:t xml:space="preserve">Art. L. 2281-1 s. C. trav.</w:t>
            </w:r>
            <w:r>
              <w:rPr>
                <w:rFonts w:ascii="Calibri" w:cs="Calibri" w:eastAsia="Calibri" w:hAnsi="Calibri"/>
                <w:b w:val="false"/>
                <w:bCs w:val="false"/>
                <w:color w:val="1A1A1A"/>
                <w:sz w:val="17"/>
                <w:szCs w:val="17"/>
              </w:rPr>
              <w:t xml:space="preserve"> : droit à l’expression directe et collective sur le contenu, les conditions d’exercice et l’organisation du travail (lois Auroux, 1982) ; </w:t>
            </w:r>
            <w:r>
              <w:rPr>
                <w:rFonts w:ascii="Calibri" w:cs="Calibri" w:eastAsia="Calibri" w:hAnsi="Calibri"/>
                <w:b w:val="false"/>
                <w:bCs w:val="false"/>
                <w:color w:val="1E88E5"/>
                <w:sz w:val="17"/>
                <w:szCs w:val="17"/>
              </w:rPr>
              <w:t xml:space="preserve">L. 2281-3</w:t>
            </w:r>
            <w:r>
              <w:rPr>
                <w:rFonts w:ascii="Calibri" w:cs="Calibri" w:eastAsia="Calibri" w:hAnsi="Calibri"/>
                <w:b w:val="false"/>
                <w:bCs w:val="false"/>
                <w:color w:val="1A1A1A"/>
                <w:sz w:val="17"/>
                <w:szCs w:val="17"/>
              </w:rPr>
              <w:t xml:space="preserve"> : les opinions émises ne peuvent motiver une sanction ou un licenciement.</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À distinguer de la liberté d’expression individuelle (la CA de Dijon les avait confondues dans </w:t>
            </w:r>
            <w:r>
              <w:rPr>
                <w:rFonts w:ascii="Calibri" w:cs="Calibri" w:eastAsia="Calibri" w:hAnsi="Calibri"/>
                <w:b w:val="false"/>
                <w:bCs w:val="false"/>
                <w:color w:val="E91E63"/>
                <w:sz w:val="17"/>
                <w:szCs w:val="17"/>
              </w:rPr>
              <w:t xml:space="preserve">n° 24-19.583</w:t>
            </w:r>
            <w:r>
              <w:rPr>
                <w:rFonts w:ascii="Calibri" w:cs="Calibri" w:eastAsia="Calibri" w:hAnsi="Calibri"/>
                <w:b w:val="false"/>
                <w:bCs w:val="false"/>
                <w:color w:val="1A1A1A"/>
                <w:sz w:val="17"/>
                <w:szCs w:val="17"/>
              </w:rPr>
              <w:t xml:space="preserve">).</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Législatif</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E88E5"/>
                <w:sz w:val="17"/>
                <w:szCs w:val="17"/>
              </w:rPr>
              <w:t xml:space="preserve">Art. L. 1235-3-1 C. trav.</w:t>
            </w:r>
            <w:r>
              <w:rPr>
                <w:rFonts w:ascii="Calibri" w:cs="Calibri" w:eastAsia="Calibri" w:hAnsi="Calibri"/>
                <w:b w:val="false"/>
                <w:bCs w:val="false"/>
                <w:color w:val="1A1A1A"/>
                <w:sz w:val="17"/>
                <w:szCs w:val="17"/>
              </w:rPr>
              <w:t xml:space="preserve"> : nullité pour violation d’une liberté fondamentale ; indemnité d’au moins six mois de salaire, barème écarté.</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Enjeu concret du litige.</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Législatif</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E88E5"/>
                <w:sz w:val="17"/>
                <w:szCs w:val="17"/>
              </w:rPr>
              <w:t xml:space="preserve">Art. L. 4121-1 C. trav.</w:t>
            </w:r>
            <w:r>
              <w:rPr>
                <w:rFonts w:ascii="Calibri" w:cs="Calibri" w:eastAsia="Calibri" w:hAnsi="Calibri"/>
                <w:b w:val="false"/>
                <w:bCs w:val="false"/>
                <w:color w:val="1A1A1A"/>
                <w:sz w:val="17"/>
                <w:szCs w:val="17"/>
              </w:rPr>
              <w:t xml:space="preserve"> : obligation de sécurité de l’employeur ; </w:t>
            </w:r>
            <w:r>
              <w:rPr>
                <w:rFonts w:ascii="Calibri" w:cs="Calibri" w:eastAsia="Calibri" w:hAnsi="Calibri"/>
                <w:b w:val="false"/>
                <w:bCs w:val="false"/>
                <w:color w:val="1E88E5"/>
                <w:sz w:val="17"/>
                <w:szCs w:val="17"/>
              </w:rPr>
              <w:t xml:space="preserve">L. 4122-1</w:t>
            </w:r>
            <w:r>
              <w:rPr>
                <w:rFonts w:ascii="Calibri" w:cs="Calibri" w:eastAsia="Calibri" w:hAnsi="Calibri"/>
                <w:b w:val="false"/>
                <w:bCs w:val="false"/>
                <w:color w:val="1A1A1A"/>
                <w:sz w:val="17"/>
                <w:szCs w:val="17"/>
              </w:rPr>
              <w:t xml:space="preserve"> : obligation de chaque travailleur de prendre soin de la santé des autres.</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Le « but » invoqué par l’employeur et la CA.</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Législatif</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E88E5"/>
                <w:sz w:val="17"/>
                <w:szCs w:val="17"/>
              </w:rPr>
              <w:t xml:space="preserve">Art. L. 2132-3 C. trav.</w:t>
            </w:r>
            <w:r>
              <w:rPr>
                <w:rFonts w:ascii="Calibri" w:cs="Calibri" w:eastAsia="Calibri" w:hAnsi="Calibri"/>
                <w:b w:val="false"/>
                <w:bCs w:val="false"/>
                <w:color w:val="1A1A1A"/>
                <w:sz w:val="17"/>
                <w:szCs w:val="17"/>
              </w:rPr>
              <w:t xml:space="preserve"> : action des syndicats pour l’intérêt collectif de la profession.</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Irrecevabilité du syndicat (§ 8).</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Législatif</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E88E5"/>
                <w:sz w:val="17"/>
                <w:szCs w:val="17"/>
              </w:rPr>
              <w:t xml:space="preserve">Loi n° 2016-1691 du 9 déc. 2016 (Sapin II)</w:t>
            </w:r>
            <w:r>
              <w:rPr>
                <w:rFonts w:ascii="Calibri" w:cs="Calibri" w:eastAsia="Calibri" w:hAnsi="Calibri"/>
                <w:b w:val="false"/>
                <w:bCs w:val="false"/>
                <w:color w:val="1A1A1A"/>
                <w:sz w:val="17"/>
                <w:szCs w:val="17"/>
              </w:rPr>
              <w:t xml:space="preserve">, mod. </w:t>
            </w:r>
            <w:r>
              <w:rPr>
                <w:rFonts w:ascii="Calibri" w:cs="Calibri" w:eastAsia="Calibri" w:hAnsi="Calibri"/>
                <w:b w:val="false"/>
                <w:bCs w:val="false"/>
                <w:color w:val="1E88E5"/>
                <w:sz w:val="17"/>
                <w:szCs w:val="17"/>
              </w:rPr>
              <w:t xml:space="preserve">loi n° 2022-401 du 21 mars 2022</w:t>
            </w:r>
            <w:r>
              <w:rPr>
                <w:rFonts w:ascii="Calibri" w:cs="Calibri" w:eastAsia="Calibri" w:hAnsi="Calibri"/>
                <w:b w:val="false"/>
                <w:bCs w:val="false"/>
                <w:color w:val="1A1A1A"/>
                <w:sz w:val="17"/>
                <w:szCs w:val="17"/>
              </w:rPr>
              <w:t xml:space="preserve"> : statut du lanceur d’alerte.</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Ouverture : régime spécial et protecteur, distinct du droit commun de l’expression.</w:t>
            </w:r>
          </w:p>
        </w:tc>
      </w:tr>
    </w:tbl>
    <w:p>
      <w:pPr>
        <w:spacing w:after="120"/>
      </w:pPr>
    </w:p>
    <w:p>
      <w:r>
        <w:br w:type="page"/>
      </w:r>
    </w:p>
    <w:p>
      <w:pPr>
        <w:pStyle w:val="Heading1"/>
        <w:pBdr>
          <w:bottom w:val="single" w:color="8C1C2B" w:sz="12" w:space="6"/>
        </w:pBdr>
        <w:spacing w:after="90" w:before="260"/>
      </w:pPr>
      <w:r>
        <w:rPr>
          <w:rFonts w:ascii="Calibri" w:cs="Calibri" w:eastAsia="Calibri" w:hAnsi="Calibri"/>
          <w:b/>
          <w:bCs/>
          <w:color w:val="8C1C2B"/>
          <w:sz w:val="28"/>
          <w:szCs w:val="28"/>
        </w:rPr>
        <w:t xml:space="preserve">5. La ligne jurisprudentielle</w:t>
      </w:r>
    </w:p>
    <w:p>
      <w:pPr>
        <w:pStyle w:val="Heading2"/>
        <w:spacing w:after="110" w:before="260"/>
      </w:pPr>
      <w:r>
        <w:rPr>
          <w:rFonts w:ascii="Calibri" w:cs="Calibri" w:eastAsia="Calibri" w:hAnsi="Calibri"/>
          <w:b/>
          <w:bCs/>
          <w:color w:val="1A1A1A"/>
          <w:spacing w:val="16"/>
          <w:sz w:val="23"/>
          <w:szCs w:val="23"/>
        </w:rPr>
        <w:t xml:space="preserve">5.1 En droit interne</w:t>
      </w:r>
    </w:p>
    <w:tbl>
      <w:tblPr>
        <w:tblW w:type="pct" w:w="100%"/>
        <w:tblBorders>
          <w:top w:val="single" w:color="C9C0B6" w:sz="2"/>
          <w:left w:val="single" w:color="C9C0B6" w:sz="2"/>
          <w:bottom w:val="single" w:color="C9C0B6" w:sz="2"/>
          <w:right w:val="single" w:color="C9C0B6" w:sz="2"/>
          <w:insideH w:val="single" w:color="DCD5CC" w:sz="2"/>
          <w:insideV w:val="single" w:color="DCD5CC" w:sz="2"/>
        </w:tblBorders>
      </w:tblPr>
      <w:tblGrid>
        <w:gridCol w:w="100"/>
        <w:gridCol w:w="100"/>
      </w:tblGrid>
      <w:tr>
        <w:trPr>
          <w:tblHeader/>
        </w:trPr>
        <w:tc>
          <w:tcPr>
            <w:tcW w:type="pct" w:w="50%"/>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Décision</w:t>
            </w:r>
          </w:p>
        </w:tc>
        <w:tc>
          <w:tcPr>
            <w:tcW w:type="pct" w:w="50%"/>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Apport</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E91E63"/>
                <w:sz w:val="17"/>
                <w:szCs w:val="17"/>
              </w:rPr>
              <w:t xml:space="preserve">Cass. soc., 28 avr. 1988, n° 87-41.804, Clavaud</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Salarié de Dunlop critiquant ses conditions de travail dans la presse : l’expression s’exerce dans l’entreprise et, </w:t>
            </w:r>
            <w:r>
              <w:rPr>
                <w:rFonts w:ascii="Calibri" w:cs="Calibri" w:eastAsia="Calibri" w:hAnsi="Calibri"/>
                <w:b w:val="false"/>
                <w:bCs w:val="false"/>
                <w:i/>
                <w:iCs/>
                <w:color w:val="1A1A1A"/>
                <w:sz w:val="17"/>
                <w:szCs w:val="17"/>
              </w:rPr>
              <w:t xml:space="preserve">sauf abus</w:t>
            </w:r>
            <w:r>
              <w:rPr>
                <w:rFonts w:ascii="Calibri" w:cs="Calibri" w:eastAsia="Calibri" w:hAnsi="Calibri"/>
                <w:b w:val="false"/>
                <w:bCs w:val="false"/>
                <w:color w:val="1A1A1A"/>
                <w:sz w:val="17"/>
                <w:szCs w:val="17"/>
              </w:rPr>
              <w:t xml:space="preserve">, hors de celle-ci ; nullité du licenciement.</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E91E63"/>
                <w:sz w:val="17"/>
                <w:szCs w:val="17"/>
              </w:rPr>
              <w:t xml:space="preserve">Cass. soc., 14 déc. 1999, n° 97-41.995, Pierre</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Formule classique : « </w:t>
            </w:r>
            <w:r>
              <w:rPr>
                <w:rFonts w:ascii="Calibri" w:cs="Calibri" w:eastAsia="Calibri" w:hAnsi="Calibri"/>
                <w:b w:val="false"/>
                <w:bCs w:val="false"/>
                <w:i/>
                <w:iCs/>
                <w:color w:val="1A1A1A"/>
                <w:sz w:val="17"/>
                <w:szCs w:val="17"/>
              </w:rPr>
              <w:t xml:space="preserve">sauf abus, le salarié jouit, dans l’entreprise et en dehors de celle-ci, de sa liberté d’expression</w:t>
            </w:r>
            <w:r>
              <w:rPr>
                <w:rFonts w:ascii="Calibri" w:cs="Calibri" w:eastAsia="Calibri" w:hAnsi="Calibri"/>
                <w:b w:val="false"/>
                <w:bCs w:val="false"/>
                <w:color w:val="1A1A1A"/>
                <w:sz w:val="17"/>
                <w:szCs w:val="17"/>
              </w:rPr>
              <w:t xml:space="preserve"> ».</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E91E63"/>
                <w:sz w:val="17"/>
                <w:szCs w:val="17"/>
              </w:rPr>
              <w:t xml:space="preserve">Cass. soc., 22 juin 2004, n° 02-42.446</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Reprise de la formule, avec la référence aux restrictions justifiées et proportionnées.</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E91E63"/>
                <w:sz w:val="17"/>
                <w:szCs w:val="17"/>
              </w:rPr>
              <w:t xml:space="preserve">Cass. soc., 28 avr. 2011, n° 10-30.107</w:t>
            </w:r>
            <w:r>
              <w:rPr>
                <w:rFonts w:ascii="Calibri" w:cs="Calibri" w:eastAsia="Calibri" w:hAnsi="Calibri"/>
                <w:b w:val="false"/>
                <w:bCs w:val="false"/>
                <w:color w:val="1A1A1A"/>
                <w:sz w:val="17"/>
                <w:szCs w:val="17"/>
              </w:rPr>
              <w:t xml:space="preserve"> ; </w:t>
            </w:r>
            <w:r>
              <w:rPr>
                <w:rFonts w:ascii="Calibri" w:cs="Calibri" w:eastAsia="Calibri" w:hAnsi="Calibri"/>
                <w:b w:val="false"/>
                <w:bCs w:val="false"/>
                <w:color w:val="E91E63"/>
                <w:sz w:val="17"/>
                <w:szCs w:val="17"/>
              </w:rPr>
              <w:t xml:space="preserve">27 mars 2013, n° 11-19.734</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Éléments d’appréciation de l’abus (contexte, publicité, fonctions) ; seul l’abus justifie le licenciement.</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E91E63"/>
                <w:sz w:val="17"/>
                <w:szCs w:val="17"/>
              </w:rPr>
              <w:t xml:space="preserve">Cass. soc., 23 sept. 2015, n° 14-14.021</w:t>
            </w:r>
            <w:r>
              <w:rPr>
                <w:rFonts w:ascii="Calibri" w:cs="Calibri" w:eastAsia="Calibri" w:hAnsi="Calibri"/>
                <w:b w:val="false"/>
                <w:bCs w:val="false"/>
                <w:color w:val="1A1A1A"/>
                <w:sz w:val="17"/>
                <w:szCs w:val="17"/>
              </w:rPr>
              <w:t xml:space="preserve"> ; </w:t>
            </w:r>
            <w:r>
              <w:rPr>
                <w:rFonts w:ascii="Calibri" w:cs="Calibri" w:eastAsia="Calibri" w:hAnsi="Calibri"/>
                <w:b w:val="false"/>
                <w:bCs w:val="false"/>
                <w:color w:val="E91E63"/>
                <w:sz w:val="17"/>
                <w:szCs w:val="17"/>
              </w:rPr>
              <w:t xml:space="preserve">21 mars 2018, n° 16-20.516</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Pas de sanction sans abus ; abus = propos « </w:t>
            </w:r>
            <w:r>
              <w:rPr>
                <w:rFonts w:ascii="Calibri" w:cs="Calibri" w:eastAsia="Calibri" w:hAnsi="Calibri"/>
                <w:b w:val="false"/>
                <w:bCs w:val="false"/>
                <w:i/>
                <w:iCs/>
                <w:color w:val="1A1A1A"/>
                <w:sz w:val="17"/>
                <w:szCs w:val="17"/>
              </w:rPr>
              <w:t xml:space="preserve">injurieux, diffamatoires ou excessifs</w:t>
            </w:r>
            <w:r>
              <w:rPr>
                <w:rFonts w:ascii="Calibri" w:cs="Calibri" w:eastAsia="Calibri" w:hAnsi="Calibri"/>
                <w:b w:val="false"/>
                <w:bCs w:val="false"/>
                <w:color w:val="1A1A1A"/>
                <w:sz w:val="17"/>
                <w:szCs w:val="17"/>
              </w:rPr>
              <w:t xml:space="preserve"> ».</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E91E63"/>
                <w:sz w:val="17"/>
                <w:szCs w:val="17"/>
              </w:rPr>
              <w:t xml:space="preserve">Cass. soc., 30 juin 2016, n° 15-10.557</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Nullité du licenciement du salarié qui relate de bonne foi des faits délictueux (art. 10 CEDH) : la lignée « lanceur d’alerte » avant Sapin II.</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E91E63"/>
                <w:sz w:val="17"/>
                <w:szCs w:val="17"/>
              </w:rPr>
              <w:t xml:space="preserve">Cass. soc., 16 févr. 2022, n° 19-17.871</w:t>
            </w:r>
            <w:r>
              <w:rPr>
                <w:rFonts w:ascii="Calibri" w:cs="Calibri" w:eastAsia="Calibri" w:hAnsi="Calibri"/>
                <w:b w:val="false"/>
                <w:bCs w:val="false"/>
                <w:color w:val="1A1A1A"/>
                <w:sz w:val="17"/>
                <w:szCs w:val="17"/>
              </w:rPr>
              <w:t xml:space="preserve"> ; </w:t>
            </w:r>
            <w:r>
              <w:rPr>
                <w:rFonts w:ascii="Calibri" w:cs="Calibri" w:eastAsia="Calibri" w:hAnsi="Calibri"/>
                <w:b w:val="false"/>
                <w:bCs w:val="false"/>
                <w:color w:val="E91E63"/>
                <w:sz w:val="17"/>
                <w:szCs w:val="17"/>
              </w:rPr>
              <w:t xml:space="preserve">29 juin 2022, n° 20-16.060</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Nullité du licenciement motivé, </w:t>
            </w:r>
            <w:r>
              <w:rPr>
                <w:rFonts w:ascii="Calibri" w:cs="Calibri" w:eastAsia="Calibri" w:hAnsi="Calibri"/>
                <w:b w:val="false"/>
                <w:bCs w:val="false"/>
                <w:color w:val="1A1A1A"/>
                <w:sz w:val="17"/>
                <w:szCs w:val="17"/>
              </w:rPr>
              <w:t xml:space="preserve">même en partie</w:t>
            </w:r>
            <w:r>
              <w:rPr>
                <w:rFonts w:ascii="Calibri" w:cs="Calibri" w:eastAsia="Calibri" w:hAnsi="Calibri"/>
                <w:b w:val="false"/>
                <w:bCs w:val="false"/>
                <w:color w:val="1A1A1A"/>
                <w:sz w:val="17"/>
                <w:szCs w:val="17"/>
              </w:rPr>
              <w:t xml:space="preserve">, par l’exercice non abusif de la liberté d’expression (« </w:t>
            </w:r>
            <w:r>
              <w:rPr>
                <w:rFonts w:ascii="Calibri" w:cs="Calibri" w:eastAsia="Calibri" w:hAnsi="Calibri"/>
                <w:b w:val="false"/>
                <w:bCs w:val="false"/>
                <w:color w:val="1A1A1A"/>
                <w:sz w:val="17"/>
                <w:szCs w:val="17"/>
              </w:rPr>
              <w:t xml:space="preserve">motif contaminant</w:t>
            </w:r>
            <w:r>
              <w:rPr>
                <w:rFonts w:ascii="Calibri" w:cs="Calibri" w:eastAsia="Calibri" w:hAnsi="Calibri"/>
                <w:b w:val="false"/>
                <w:bCs w:val="false"/>
                <w:color w:val="1A1A1A"/>
                <w:sz w:val="17"/>
                <w:szCs w:val="17"/>
              </w:rPr>
              <w:t xml:space="preserve"> »).</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E91E63"/>
                <w:sz w:val="17"/>
                <w:szCs w:val="17"/>
              </w:rPr>
              <w:t xml:space="preserve">Cass. soc., 20 avr. 2022, n° 20-10.852, Tex</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Animateur licencié pour une plaisanterie sexiste à la télévision : premier contrôle explicite de proportionnalité (but légitime de lutte contre les violences faites aux femmes) ; licenciement validé. </w:t>
            </w:r>
            <w:r>
              <w:rPr>
                <w:rFonts w:ascii="Calibri" w:cs="Calibri" w:eastAsia="Calibri" w:hAnsi="Calibri"/>
                <w:b w:val="false"/>
                <w:bCs w:val="false"/>
                <w:color w:val="2E7D32"/>
                <w:sz w:val="17"/>
                <w:szCs w:val="17"/>
              </w:rPr>
              <w:t xml:space="preserve">Pour un commentaire syndical (FO, P. Drevon, août 2026)</w:t>
            </w:r>
            <w:r>
              <w:rPr>
                <w:rFonts w:ascii="Calibri" w:cs="Calibri" w:eastAsia="Calibri" w:hAnsi="Calibri"/>
                <w:b w:val="false"/>
                <w:bCs w:val="false"/>
                <w:color w:val="1A1A1A"/>
                <w:sz w:val="17"/>
                <w:szCs w:val="17"/>
              </w:rPr>
              <w:t xml:space="preserve">, c’est le point de départ du revirement.</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E91E63"/>
                <w:sz w:val="17"/>
                <w:szCs w:val="17"/>
              </w:rPr>
              <w:t xml:space="preserve">Cass. soc., 9 nov. 2022, n° 21-15.208, Cubik Partners</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Refus d’adhérer à la valeur « fun &amp; pro » (séminaires alcoolisés) : exercice de la liberté d’expression et d’opinion ; licenciement nul. Pas une décision sur des « critères de proportionnalité ».</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E91E63"/>
                <w:sz w:val="17"/>
                <w:szCs w:val="17"/>
              </w:rPr>
              <w:t xml:space="preserve">Ass. plén., 22 déc. 2023, n° 20-20.648</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Preuve déloyale admissible si indispensable et proportionnée : généralisation de la mise en balance par la Cour de cassation.</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E91E63"/>
                <w:sz w:val="17"/>
                <w:szCs w:val="17"/>
              </w:rPr>
              <w:t xml:space="preserve">Cass. soc., 10 sept. 2025, n° 24-12.595</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La lettre de l’avocat refusant une rupture conventionnelle n’est pas un exercice de la liberté d’expression du salarié : question préalable de qualification.</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E91E63"/>
                <w:sz w:val="17"/>
                <w:szCs w:val="17"/>
              </w:rPr>
              <w:t xml:space="preserve">Cass. soc., 14 janv. 2026 (série)</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Abandon du « sauf abus » ; mise en balance ; quatre éléments d’appréciation.</w:t>
            </w:r>
          </w:p>
        </w:tc>
      </w:tr>
    </w:tbl>
    <w:p>
      <w:pPr>
        <w:spacing w:after="120"/>
      </w:pPr>
    </w:p>
    <w:p>
      <w:pPr>
        <w:pStyle w:val="Heading2"/>
        <w:spacing w:after="110" w:before="260"/>
      </w:pPr>
      <w:r>
        <w:rPr>
          <w:rFonts w:ascii="Calibri" w:cs="Calibri" w:eastAsia="Calibri" w:hAnsi="Calibri"/>
          <w:b/>
          <w:bCs/>
          <w:color w:val="1A1A1A"/>
          <w:spacing w:val="16"/>
          <w:sz w:val="23"/>
          <w:szCs w:val="23"/>
        </w:rPr>
        <w:t xml:space="preserve">5.2 La jurisprudence européenne</w:t>
      </w:r>
    </w:p>
    <w:tbl>
      <w:tblPr>
        <w:tblW w:type="pct" w:w="100%"/>
        <w:tblBorders>
          <w:top w:val="single" w:color="C9C0B6" w:sz="2"/>
          <w:left w:val="single" w:color="C9C0B6" w:sz="2"/>
          <w:bottom w:val="single" w:color="C9C0B6" w:sz="2"/>
          <w:right w:val="single" w:color="C9C0B6" w:sz="2"/>
          <w:insideH w:val="single" w:color="DCD5CC" w:sz="2"/>
          <w:insideV w:val="single" w:color="DCD5CC" w:sz="2"/>
        </w:tblBorders>
      </w:tblPr>
      <w:tblGrid>
        <w:gridCol w:w="100"/>
        <w:gridCol w:w="100"/>
      </w:tblGrid>
      <w:tr>
        <w:trPr>
          <w:tblHeader/>
        </w:trPr>
        <w:tc>
          <w:tcPr>
            <w:tcW w:type="pct" w:w="50%"/>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Décision</w:t>
            </w:r>
          </w:p>
        </w:tc>
        <w:tc>
          <w:tcPr>
            <w:tcW w:type="pct" w:w="50%"/>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Apport</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E91E63"/>
                <w:sz w:val="17"/>
                <w:szCs w:val="17"/>
              </w:rPr>
              <w:t xml:space="preserve">CEDH, 7 déc. 1976, Handyside c. Royaume-Uni, n° 5493/72</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La liberté d’expression vaut pour les idées qui « </w:t>
            </w:r>
            <w:r>
              <w:rPr>
                <w:rFonts w:ascii="Calibri" w:cs="Calibri" w:eastAsia="Calibri" w:hAnsi="Calibri"/>
                <w:b w:val="false"/>
                <w:bCs w:val="false"/>
                <w:i/>
                <w:iCs/>
                <w:color w:val="1A1A1A"/>
                <w:sz w:val="17"/>
                <w:szCs w:val="17"/>
              </w:rPr>
              <w:t xml:space="preserve">heurtent, choquent ou inquiètent</w:t>
            </w:r>
            <w:r>
              <w:rPr>
                <w:rFonts w:ascii="Calibri" w:cs="Calibri" w:eastAsia="Calibri" w:hAnsi="Calibri"/>
                <w:b w:val="false"/>
                <w:bCs w:val="false"/>
                <w:color w:val="1A1A1A"/>
                <w:sz w:val="17"/>
                <w:szCs w:val="17"/>
              </w:rPr>
              <w:t xml:space="preserve"> ».</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E91E63"/>
                <w:sz w:val="17"/>
                <w:szCs w:val="17"/>
              </w:rPr>
              <w:t xml:space="preserve">CEDH, 24 mai 1988, Müller c. Suisse</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L’expression artistique relève de l’art. 10.</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E91E63"/>
                <w:sz w:val="17"/>
                <w:szCs w:val="17"/>
              </w:rPr>
              <w:t xml:space="preserve">CEDH, 29 févr. 2000, Fuentes Bobo c. Espagne, n° 39293/98</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Art. 10 applicable aux relations de travail de droit privé ; obligation positive de l’État.</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E91E63"/>
                <w:sz w:val="17"/>
                <w:szCs w:val="17"/>
              </w:rPr>
              <w:t xml:space="preserve">CEDH, 25 janv. 2007, Vereinigung Bildender Künstler c. Autriche</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La satire, forme d’expression artistique et de commentaire social, exagère et déforme par nature ; vigilance accrue envers son ingérence.</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E91E63"/>
                <w:sz w:val="17"/>
                <w:szCs w:val="17"/>
              </w:rPr>
              <w:t xml:space="preserve">CEDH, 8 déc. 2009, Aguilera Jiménez c. Espagne, n° 28389/06</w:t>
            </w:r>
            <w:r>
              <w:rPr>
                <w:rFonts w:ascii="Calibri" w:cs="Calibri" w:eastAsia="Calibri" w:hAnsi="Calibri"/>
                <w:b w:val="false"/>
                <w:bCs w:val="false"/>
                <w:color w:val="1A1A1A"/>
                <w:sz w:val="17"/>
                <w:szCs w:val="17"/>
              </w:rPr>
              <w:t xml:space="preserve"> et </w:t>
            </w:r>
            <w:r>
              <w:rPr>
                <w:rFonts w:ascii="Calibri" w:cs="Calibri" w:eastAsia="Calibri" w:hAnsi="Calibri"/>
                <w:b w:val="false"/>
                <w:bCs w:val="false"/>
                <w:color w:val="E91E63"/>
                <w:sz w:val="17"/>
                <w:szCs w:val="17"/>
              </w:rPr>
              <w:t xml:space="preserve">CEDH, gr. ch., 12 sept. 2011, Palomo Sánchez c. Espagne, n° 28955/06</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Licenciement de délégués syndicaux après la publication d’une caricature humiliante du DRH et de deux collègues : </w:t>
            </w:r>
            <w:r>
              <w:rPr>
                <w:rFonts w:ascii="Calibri" w:cs="Calibri" w:eastAsia="Calibri" w:hAnsi="Calibri"/>
                <w:b w:val="false"/>
                <w:bCs w:val="false"/>
                <w:color w:val="1A1A1A"/>
                <w:sz w:val="17"/>
                <w:szCs w:val="17"/>
              </w:rPr>
              <w:t xml:space="preserve">non-violation</w:t>
            </w:r>
            <w:r>
              <w:rPr>
                <w:rFonts w:ascii="Calibri" w:cs="Calibri" w:eastAsia="Calibri" w:hAnsi="Calibri"/>
                <w:b w:val="false"/>
                <w:bCs w:val="false"/>
                <w:color w:val="1A1A1A"/>
                <w:sz w:val="17"/>
                <w:szCs w:val="17"/>
              </w:rPr>
              <w:t xml:space="preserve"> ; la critique est permise mais pas l’offense gratuite ; la confiance mutuelle dans la relation de travail compte. </w:t>
            </w:r>
            <w:r>
              <w:rPr>
                <w:rFonts w:ascii="Calibri" w:cs="Calibri" w:eastAsia="Calibri" w:hAnsi="Calibri"/>
                <w:b w:val="false"/>
                <w:bCs w:val="false"/>
                <w:color w:val="1A1A1A"/>
                <w:sz w:val="17"/>
                <w:szCs w:val="17"/>
              </w:rPr>
              <w:t xml:space="preserve">Le précédent le plus proche des faits.</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E91E63"/>
                <w:sz w:val="17"/>
                <w:szCs w:val="17"/>
              </w:rPr>
              <w:t xml:space="preserve">CEDH, 21 juill. 2011, Heinisch c. Allemagne</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Protection de l’alerte interne (lanceur d’alerte).</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E91E63"/>
                <w:sz w:val="17"/>
                <w:szCs w:val="17"/>
              </w:rPr>
              <w:t xml:space="preserve">CEDH, gr. ch., 7 févr. 2012, Axel Springer AG c. Allemagne, n° 39954/08</w:t>
            </w:r>
            <w:r>
              <w:rPr>
                <w:rFonts w:ascii="Calibri" w:cs="Calibri" w:eastAsia="Calibri" w:hAnsi="Calibri"/>
                <w:b w:val="false"/>
                <w:bCs w:val="false"/>
                <w:color w:val="1A1A1A"/>
                <w:sz w:val="17"/>
                <w:szCs w:val="17"/>
              </w:rPr>
              <w:t xml:space="preserve"> et </w:t>
            </w:r>
            <w:r>
              <w:rPr>
                <w:rFonts w:ascii="Calibri" w:cs="Calibri" w:eastAsia="Calibri" w:hAnsi="Calibri"/>
                <w:b w:val="false"/>
                <w:bCs w:val="false"/>
                <w:color w:val="E91E63"/>
                <w:sz w:val="17"/>
                <w:szCs w:val="17"/>
              </w:rPr>
              <w:t xml:space="preserve">Von Hannover c. Allemagne (n° 2), n° 40660/08 et 60641/08</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Critères de mise en balance art. 10 / art. 8 (réputation).</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E91E63"/>
                <w:sz w:val="17"/>
                <w:szCs w:val="17"/>
              </w:rPr>
              <w:t xml:space="preserve">CEDH, 5 nov. 2019, Herbai c. Hongrie, n° 11608/15</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Grille de l’expression au travail : nature des propos, motivation de l’auteur, préjudice causé à l’employeur, gravité de la sanction.</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E91E63"/>
                <w:sz w:val="17"/>
                <w:szCs w:val="17"/>
              </w:rPr>
              <w:t xml:space="preserve">CEDH, 15 juin 2021, Melike c. Turquie, n° 35786/19</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Licenciement pour des « j’aime » sur Facebook : violation ; impact réel des propos à apprécier.</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E91E63"/>
                <w:sz w:val="17"/>
                <w:szCs w:val="17"/>
              </w:rPr>
              <w:t xml:space="preserve">CEDH, gr. ch., 14 févr. 2023, Halet c. Luxembourg</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Lanceur d’alerte : mise en balance intérêt public / préjudice de l’employeur.</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E91E63"/>
                <w:sz w:val="17"/>
                <w:szCs w:val="17"/>
              </w:rPr>
              <w:t xml:space="preserve">CEDH, 20 févr. 2024, Dede c. Turquie, n° 48340/20</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Synthèse des critères (teneur, contexte, portée, conséquences, sévérité de la sanction) que reprend presque littéralement le § 13.</w:t>
            </w:r>
          </w:p>
        </w:tc>
      </w:tr>
    </w:tbl>
    <w:p>
      <w:pPr>
        <w:spacing w:after="120"/>
      </w:pPr>
    </w:p>
    <w:p>
      <w:pPr>
        <w:pStyle w:val="Heading2"/>
        <w:spacing w:after="110" w:before="260"/>
      </w:pPr>
      <w:r>
        <w:rPr>
          <w:rFonts w:ascii="Calibri" w:cs="Calibri" w:eastAsia="Calibri" w:hAnsi="Calibri"/>
          <w:b/>
          <w:bCs/>
          <w:color w:val="1A1A1A"/>
          <w:spacing w:val="16"/>
          <w:sz w:val="23"/>
          <w:szCs w:val="23"/>
        </w:rPr>
        <w:t xml:space="preserve">5.3 Doctrine et commentaires sur la série</w:t>
      </w:r>
    </w:p>
    <w:p>
      <w:pPr>
        <w:pStyle w:val="ListParagraph"/>
        <w:numPr>
          <w:ilvl w:val="0"/>
          <w:numId w:val="2"/>
        </w:numPr>
        <w:spacing w:after="70" w:line="264"/>
        <w:jc w:val="both"/>
      </w:pPr>
      <w:r>
        <w:rPr>
          <w:rFonts w:ascii="Calibri" w:cs="Calibri" w:eastAsia="Calibri" w:hAnsi="Calibri"/>
          <w:color w:val="2E7D32"/>
          <w:sz w:val="20"/>
          <w:szCs w:val="20"/>
        </w:rPr>
        <w:t xml:space="preserve">CFDT, « Liberté d’expression du salarié : un nouveau mode d’emploi pour les juges » (2026)</w:t>
      </w:r>
      <w:r>
        <w:rPr>
          <w:rFonts w:ascii="Calibri" w:cs="Calibri" w:eastAsia="Calibri" w:hAnsi="Calibri"/>
          <w:color w:val="1A1A1A"/>
          <w:sz w:val="20"/>
          <w:szCs w:val="20"/>
        </w:rPr>
        <w:t xml:space="preserve"> : rapproche les critères du § 13 de </w:t>
      </w:r>
      <w:r>
        <w:rPr>
          <w:rFonts w:ascii="Calibri" w:cs="Calibri" w:eastAsia="Calibri" w:hAnsi="Calibri"/>
          <w:color w:val="E91E63"/>
          <w:sz w:val="20"/>
          <w:szCs w:val="20"/>
        </w:rPr>
        <w:t xml:space="preserve">Dede c. Turquie</w:t>
      </w:r>
      <w:r>
        <w:rPr>
          <w:rFonts w:ascii="Calibri" w:cs="Calibri" w:eastAsia="Calibri" w:hAnsi="Calibri"/>
          <w:color w:val="1A1A1A"/>
          <w:sz w:val="20"/>
          <w:szCs w:val="20"/>
        </w:rPr>
        <w:t xml:space="preserve"> et de </w:t>
      </w:r>
      <w:r>
        <w:rPr>
          <w:rFonts w:ascii="Calibri" w:cs="Calibri" w:eastAsia="Calibri" w:hAnsi="Calibri"/>
          <w:color w:val="E91E63"/>
          <w:sz w:val="20"/>
          <w:szCs w:val="20"/>
        </w:rPr>
        <w:t xml:space="preserve">Palomo Sánchez</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2E7D32"/>
          <w:sz w:val="20"/>
          <w:szCs w:val="20"/>
        </w:rPr>
        <w:t xml:space="preserve">P. Drevon (FO), « La liberté d’expression encadrée par le juge : de l’abus à l’atteinte » (5 août 2026)</w:t>
      </w:r>
      <w:r>
        <w:rPr>
          <w:rFonts w:ascii="Calibri" w:cs="Calibri" w:eastAsia="Calibri" w:hAnsi="Calibri"/>
          <w:color w:val="1A1A1A"/>
          <w:sz w:val="20"/>
          <w:szCs w:val="20"/>
        </w:rPr>
        <w:t xml:space="preserve"> : « </w:t>
      </w:r>
      <w:r>
        <w:rPr>
          <w:rFonts w:ascii="Calibri" w:cs="Calibri" w:eastAsia="Calibri" w:hAnsi="Calibri"/>
          <w:i/>
          <w:iCs/>
          <w:color w:val="1A1A1A"/>
          <w:sz w:val="20"/>
          <w:szCs w:val="20"/>
        </w:rPr>
        <w:t xml:space="preserve">la notion d’abus disparaît de cette recherche</w:t>
      </w:r>
      <w:r>
        <w:rPr>
          <w:rFonts w:ascii="Calibri" w:cs="Calibri" w:eastAsia="Calibri" w:hAnsi="Calibri"/>
          <w:color w:val="1A1A1A"/>
          <w:sz w:val="20"/>
          <w:szCs w:val="20"/>
        </w:rPr>
        <w:t xml:space="preserve"> » ; inquiétude sur l’effet réel pour les salariés.</w:t>
      </w:r>
    </w:p>
    <w:p>
      <w:pPr>
        <w:pStyle w:val="ListParagraph"/>
        <w:numPr>
          <w:ilvl w:val="0"/>
          <w:numId w:val="2"/>
        </w:numPr>
        <w:spacing w:after="70" w:line="264"/>
        <w:jc w:val="both"/>
      </w:pPr>
      <w:r>
        <w:rPr>
          <w:rFonts w:ascii="Calibri" w:cs="Calibri" w:eastAsia="Calibri" w:hAnsi="Calibri"/>
          <w:color w:val="2E7D32"/>
          <w:sz w:val="20"/>
          <w:szCs w:val="20"/>
        </w:rPr>
        <w:t xml:space="preserve">M. Pépin (DLA Piper), Brèves droit social, avril 2026</w:t>
      </w:r>
      <w:r>
        <w:rPr>
          <w:rFonts w:ascii="Calibri" w:cs="Calibri" w:eastAsia="Calibri" w:hAnsi="Calibri"/>
          <w:color w:val="1A1A1A"/>
          <w:sz w:val="20"/>
          <w:szCs w:val="20"/>
        </w:rPr>
        <w:t xml:space="preserve"> : plus nuancée ; l’apport principal serait la « </w:t>
      </w:r>
      <w:r>
        <w:rPr>
          <w:rFonts w:ascii="Calibri" w:cs="Calibri" w:eastAsia="Calibri" w:hAnsi="Calibri"/>
          <w:i/>
          <w:iCs/>
          <w:color w:val="1A1A1A"/>
          <w:sz w:val="20"/>
          <w:szCs w:val="20"/>
        </w:rPr>
        <w:t xml:space="preserve">formalisation d’une méthodologie désormais explicite</w:t>
      </w:r>
      <w:r>
        <w:rPr>
          <w:rFonts w:ascii="Calibri" w:cs="Calibri" w:eastAsia="Calibri" w:hAnsi="Calibri"/>
          <w:color w:val="1A1A1A"/>
          <w:sz w:val="20"/>
          <w:szCs w:val="20"/>
        </w:rPr>
        <w:t xml:space="preserve"> », les juges intégrant déjà contexte et impact dans l’abus.</w:t>
      </w:r>
    </w:p>
    <w:p>
      <w:pPr>
        <w:pStyle w:val="ListParagraph"/>
        <w:numPr>
          <w:ilvl w:val="0"/>
          <w:numId w:val="2"/>
        </w:numPr>
        <w:spacing w:after="70" w:line="264"/>
        <w:jc w:val="both"/>
      </w:pPr>
      <w:r>
        <w:rPr>
          <w:rFonts w:ascii="Calibri" w:cs="Calibri" w:eastAsia="Calibri" w:hAnsi="Calibri"/>
          <w:color w:val="2E7D32"/>
          <w:sz w:val="20"/>
          <w:szCs w:val="20"/>
        </w:rPr>
        <w:t xml:space="preserve">Sancy Avocats, « La Cour de cassation réécrit les règles » (2026)</w:t>
      </w:r>
      <w:r>
        <w:rPr>
          <w:rFonts w:ascii="Calibri" w:cs="Calibri" w:eastAsia="Calibri" w:hAnsi="Calibri"/>
          <w:color w:val="1A1A1A"/>
          <w:sz w:val="20"/>
          <w:szCs w:val="20"/>
        </w:rPr>
        <w:t xml:space="preserve"> : critique du critère d’« excès », jugé circulaire.</w:t>
      </w:r>
    </w:p>
    <w:p>
      <w:pPr>
        <w:pStyle w:val="ListParagraph"/>
        <w:numPr>
          <w:ilvl w:val="0"/>
          <w:numId w:val="2"/>
        </w:numPr>
        <w:spacing w:after="70" w:line="264"/>
        <w:jc w:val="both"/>
      </w:pPr>
      <w:r>
        <w:rPr>
          <w:rFonts w:ascii="Calibri" w:cs="Calibri" w:eastAsia="Calibri" w:hAnsi="Calibri"/>
          <w:color w:val="2E7D32"/>
          <w:sz w:val="20"/>
          <w:szCs w:val="20"/>
        </w:rPr>
        <w:t xml:space="preserve">« L’européanisation du contrôle de l’atteinte à la liberté d’expression du salarié », Bull. Joly Travail 2026, n° 2</w:t>
      </w:r>
      <w:r>
        <w:rPr>
          <w:rFonts w:ascii="Calibri" w:cs="Calibri" w:eastAsia="Calibri" w:hAnsi="Calibri"/>
          <w:color w:val="1A1A1A"/>
          <w:sz w:val="20"/>
          <w:szCs w:val="20"/>
        </w:rPr>
        <w:t xml:space="preserve"> : le titre résume la thèse dominante.</w:t>
      </w:r>
    </w:p>
    <w:p>
      <w:r>
        <w:br w:type="page"/>
      </w:r>
    </w:p>
    <w:p>
      <w:pPr>
        <w:pStyle w:val="Heading1"/>
        <w:pBdr>
          <w:bottom w:val="single" w:color="8C1C2B" w:sz="12" w:space="6"/>
        </w:pBdr>
        <w:spacing w:after="90" w:before="260"/>
      </w:pPr>
      <w:r>
        <w:rPr>
          <w:rFonts w:ascii="Calibri" w:cs="Calibri" w:eastAsia="Calibri" w:hAnsi="Calibri"/>
          <w:b/>
          <w:bCs/>
          <w:color w:val="8C1C2B"/>
          <w:sz w:val="28"/>
          <w:szCs w:val="28"/>
        </w:rPr>
        <w:t xml:space="preserve">6. L’actualité à mobiliser</w:t>
      </w:r>
    </w:p>
    <w:p>
      <w:pPr>
        <w:pStyle w:val="ListParagraph"/>
        <w:numPr>
          <w:ilvl w:val="0"/>
          <w:numId w:val="2"/>
        </w:numPr>
        <w:spacing w:after="70" w:line="264"/>
        <w:jc w:val="both"/>
      </w:pPr>
      <w:r>
        <w:rPr>
          <w:rFonts w:ascii="Calibri" w:cs="Calibri" w:eastAsia="Calibri" w:hAnsi="Calibri"/>
          <w:color w:val="E91E63"/>
          <w:sz w:val="20"/>
          <w:szCs w:val="20"/>
        </w:rPr>
        <w:t xml:space="preserve">Cons. const., n° 2026-911 DC du 14 août 2026</w:t>
      </w:r>
      <w:r>
        <w:rPr>
          <w:rFonts w:ascii="Calibri" w:cs="Calibri" w:eastAsia="Calibri" w:hAnsi="Calibri"/>
          <w:color w:val="1A1A1A"/>
          <w:sz w:val="20"/>
          <w:szCs w:val="20"/>
        </w:rPr>
        <w:t xml:space="preserve"> : censure de l’art. 1er de la loi interdisant les réseaux sociaux aux moins de 15 ans, pour </w:t>
      </w:r>
      <w:r>
        <w:rPr>
          <w:rFonts w:ascii="Calibri" w:cs="Calibri" w:eastAsia="Calibri" w:hAnsi="Calibri"/>
          <w:b/>
          <w:bCs/>
          <w:color w:val="1A1A1A"/>
          <w:sz w:val="20"/>
          <w:szCs w:val="20"/>
        </w:rPr>
        <w:t xml:space="preserve">atteinte disproportionnée à la liberté d’expression et de communication</w:t>
      </w:r>
      <w:r>
        <w:rPr>
          <w:rFonts w:ascii="Calibri" w:cs="Calibri" w:eastAsia="Calibri" w:hAnsi="Calibri"/>
          <w:color w:val="1A1A1A"/>
          <w:sz w:val="20"/>
          <w:szCs w:val="20"/>
        </w:rPr>
        <w:t xml:space="preserve"> et atteinte au droit au respect de la vie privée (contrôle d’âge imposé à tous). Excellente accroche (Axelle B l’a vu).</w:t>
      </w:r>
    </w:p>
    <w:p>
      <w:pPr>
        <w:pStyle w:val="ListParagraph"/>
        <w:numPr>
          <w:ilvl w:val="0"/>
          <w:numId w:val="2"/>
        </w:numPr>
        <w:spacing w:after="70" w:line="264"/>
        <w:jc w:val="both"/>
      </w:pPr>
      <w:r>
        <w:rPr>
          <w:rFonts w:ascii="Calibri" w:cs="Calibri" w:eastAsia="Calibri" w:hAnsi="Calibri"/>
          <w:b/>
          <w:bCs/>
          <w:color w:val="1A1A1A"/>
          <w:sz w:val="20"/>
          <w:szCs w:val="20"/>
        </w:rPr>
        <w:t xml:space="preserve">Mouvement lycéen d’octobre 2026</w:t>
      </w:r>
      <w:r>
        <w:rPr>
          <w:rFonts w:ascii="Calibri" w:cs="Calibri" w:eastAsia="Calibri" w:hAnsi="Calibri"/>
          <w:color w:val="1A1A1A"/>
          <w:sz w:val="20"/>
          <w:szCs w:val="20"/>
        </w:rPr>
        <w:t xml:space="preserve"> : interdictions de rassemblement et d’équipements de protection ; </w:t>
      </w:r>
      <w:r>
        <w:rPr>
          <w:rFonts w:ascii="Calibri" w:cs="Calibri" w:eastAsia="Calibri" w:hAnsi="Calibri"/>
          <w:color w:val="E91E63"/>
          <w:sz w:val="20"/>
          <w:szCs w:val="20"/>
        </w:rPr>
        <w:t xml:space="preserve">CE, ord., 9 oct. 2026</w:t>
      </w:r>
      <w:r>
        <w:rPr>
          <w:rFonts w:ascii="Calibri" w:cs="Calibri" w:eastAsia="Calibri" w:hAnsi="Calibri"/>
          <w:color w:val="1A1A1A"/>
          <w:sz w:val="20"/>
          <w:szCs w:val="20"/>
        </w:rPr>
        <w:t xml:space="preserve"> (arrêté du préfet de police du 7 oct.) : refus de suspension ; puis réserves d’interprétation sur un arrêté de l’Hérault (masques médicaux non visés, contravention de 2e classe). </w:t>
      </w:r>
      <w:r>
        <w:rPr>
          <w:rFonts w:ascii="Calibri" w:cs="Calibri" w:eastAsia="Calibri" w:hAnsi="Calibri"/>
          <w:color w:val="E91E63"/>
          <w:sz w:val="20"/>
          <w:szCs w:val="20"/>
        </w:rPr>
        <w:t xml:space="preserve">CEDH, 20 mai 2025, Russ c. Allemagne, n° 44241/20</w:t>
      </w:r>
      <w:r>
        <w:rPr>
          <w:rFonts w:ascii="Calibri" w:cs="Calibri" w:eastAsia="Calibri" w:hAnsi="Calibri"/>
          <w:color w:val="1A1A1A"/>
          <w:sz w:val="20"/>
          <w:szCs w:val="20"/>
        </w:rPr>
        <w:t xml:space="preserve"> : violation de l’art. 11 faute de motifs suffisants pour condamner un manifestant pacifique porteur d’une visière. Même logique : </w:t>
      </w:r>
      <w:r>
        <w:rPr>
          <w:rFonts w:ascii="Calibri" w:cs="Calibri" w:eastAsia="Calibri" w:hAnsi="Calibri"/>
          <w:b/>
          <w:bCs/>
          <w:color w:val="1A1A1A"/>
          <w:sz w:val="20"/>
          <w:szCs w:val="20"/>
        </w:rPr>
        <w:t xml:space="preserve">justification concrète</w:t>
      </w:r>
      <w:r>
        <w:rPr>
          <w:rFonts w:ascii="Calibri" w:cs="Calibri" w:eastAsia="Calibri" w:hAnsi="Calibri"/>
          <w:color w:val="1A1A1A"/>
          <w:sz w:val="20"/>
          <w:szCs w:val="20"/>
        </w:rPr>
        <w:t xml:space="preserve"> de la restriction.</w:t>
      </w:r>
    </w:p>
    <w:p>
      <w:pPr>
        <w:pStyle w:val="ListParagraph"/>
        <w:numPr>
          <w:ilvl w:val="0"/>
          <w:numId w:val="2"/>
        </w:numPr>
        <w:spacing w:after="70" w:line="264"/>
        <w:jc w:val="both"/>
      </w:pPr>
      <w:r>
        <w:rPr>
          <w:rFonts w:ascii="Calibri" w:cs="Calibri" w:eastAsia="Calibri" w:hAnsi="Calibri"/>
          <w:color w:val="1E88E5"/>
          <w:sz w:val="20"/>
          <w:szCs w:val="20"/>
        </w:rPr>
        <w:t xml:space="preserve">Directive (UE) 2024/1069 du 11 avril 2024</w:t>
      </w:r>
      <w:r>
        <w:rPr>
          <w:rFonts w:ascii="Calibri" w:cs="Calibri" w:eastAsia="Calibri" w:hAnsi="Calibri"/>
          <w:color w:val="1A1A1A"/>
          <w:sz w:val="20"/>
          <w:szCs w:val="20"/>
        </w:rPr>
        <w:t xml:space="preserve"> (procédures-bâillons) transposée par le </w:t>
      </w:r>
      <w:r>
        <w:rPr>
          <w:rFonts w:ascii="Calibri" w:cs="Calibri" w:eastAsia="Calibri" w:hAnsi="Calibri"/>
          <w:color w:val="1E88E5"/>
          <w:sz w:val="20"/>
          <w:szCs w:val="20"/>
        </w:rPr>
        <w:t xml:space="preserve">décret n° 2026-337 du 30 avril 2026</w:t>
      </w:r>
      <w:r>
        <w:rPr>
          <w:rFonts w:ascii="Calibri" w:cs="Calibri" w:eastAsia="Calibri" w:hAnsi="Calibri"/>
          <w:color w:val="1A1A1A"/>
          <w:sz w:val="20"/>
          <w:szCs w:val="20"/>
        </w:rPr>
        <w:t xml:space="preserve"> (art. 499-1 s. CPC : rejet des demandes manifestement infondées, provision, frais à la charge du demandeur abusif), en vigueur le 7 mai 2026, transposition critiquée comme minimale.</w:t>
      </w:r>
    </w:p>
    <w:p>
      <w:pPr>
        <w:pStyle w:val="ListParagraph"/>
        <w:numPr>
          <w:ilvl w:val="0"/>
          <w:numId w:val="2"/>
        </w:numPr>
        <w:spacing w:after="70" w:line="264"/>
        <w:jc w:val="both"/>
      </w:pPr>
      <w:r>
        <w:rPr>
          <w:rFonts w:ascii="Calibri" w:cs="Calibri" w:eastAsia="Calibri" w:hAnsi="Calibri"/>
          <w:b/>
          <w:bCs/>
          <w:color w:val="1A1A1A"/>
          <w:sz w:val="20"/>
          <w:szCs w:val="20"/>
        </w:rPr>
        <w:t xml:space="preserve">Loi « intégrale » contre les violences sexistes et sexuelles</w:t>
      </w:r>
      <w:r>
        <w:rPr>
          <w:rFonts w:ascii="Calibri" w:cs="Calibri" w:eastAsia="Calibri" w:hAnsi="Calibri"/>
          <w:color w:val="1A1A1A"/>
          <w:sz w:val="20"/>
          <w:szCs w:val="20"/>
        </w:rPr>
        <w:t xml:space="preserve"> adoptée à l’unanimité en première lecture par l’Assemblée nationale le 13 octobre 2026 : rappel que la protection de la dignité et de la santé des salariés (harcèlement, propos sexistes) reste un « but » légitime de restriction (cf. </w:t>
      </w:r>
      <w:r>
        <w:rPr>
          <w:rFonts w:ascii="Calibri" w:cs="Calibri" w:eastAsia="Calibri" w:hAnsi="Calibri"/>
          <w:color w:val="E91E63"/>
          <w:sz w:val="20"/>
          <w:szCs w:val="20"/>
        </w:rPr>
        <w:t xml:space="preserve">Tex</w:t>
      </w:r>
      <w:r>
        <w:rPr>
          <w:rFonts w:ascii="Calibri" w:cs="Calibri" w:eastAsia="Calibri" w:hAnsi="Calibri"/>
          <w:color w:val="1A1A1A"/>
          <w:sz w:val="20"/>
          <w:szCs w:val="20"/>
        </w:rPr>
        <w:t xml:space="preserve">).</w:t>
      </w:r>
    </w:p>
    <w:p>
      <w:r>
        <w:br w:type="page"/>
      </w:r>
    </w:p>
    <w:p>
      <w:pPr>
        <w:shd w:fill="F2E9EA" w:val="clear"/>
        <w:spacing w:after="220" w:before="200"/>
        <w:jc w:val="center"/>
      </w:pPr>
      <w:r>
        <w:rPr>
          <w:rFonts w:ascii="Calibri" w:cs="Calibri" w:eastAsia="Calibri" w:hAnsi="Calibri"/>
          <w:b/>
          <w:bCs/>
          <w:color w:val="8C1C2B"/>
          <w:spacing w:val="30"/>
          <w:sz w:val="26"/>
          <w:szCs w:val="26"/>
        </w:rPr>
        <w:t xml:space="preserve">PARTIE II — LE COMMENTAIRE</w:t>
      </w:r>
    </w:p>
    <w:p>
      <w:pPr>
        <w:pStyle w:val="Heading1"/>
        <w:pBdr>
          <w:bottom w:val="single" w:color="8C1C2B" w:sz="12" w:space="6"/>
        </w:pBdr>
        <w:spacing w:after="90" w:before="260"/>
      </w:pPr>
      <w:r>
        <w:rPr>
          <w:rFonts w:ascii="Calibri" w:cs="Calibri" w:eastAsia="Calibri" w:hAnsi="Calibri"/>
          <w:b/>
          <w:bCs/>
          <w:color w:val="8C1C2B"/>
          <w:sz w:val="28"/>
          <w:szCs w:val="28"/>
        </w:rPr>
        <w:t xml:space="preserve">1. Ce que le jury attend</w:t>
      </w:r>
    </w:p>
    <w:p>
      <w:pPr>
        <w:pStyle w:val="ListParagraph"/>
        <w:numPr>
          <w:ilvl w:val="0"/>
          <w:numId w:val="2"/>
        </w:numPr>
        <w:spacing w:after="70" w:line="264"/>
        <w:jc w:val="both"/>
      </w:pPr>
      <w:r>
        <w:rPr>
          <w:rFonts w:ascii="Calibri" w:cs="Calibri" w:eastAsia="Calibri" w:hAnsi="Calibri"/>
          <w:b/>
          <w:bCs/>
          <w:color w:val="1A1A1A"/>
          <w:sz w:val="20"/>
          <w:szCs w:val="20"/>
        </w:rPr>
        <w:t xml:space="preserve">Situer l’arrêt</w:t>
      </w:r>
      <w:r>
        <w:rPr>
          <w:rFonts w:ascii="Calibri" w:cs="Calibri" w:eastAsia="Calibri" w:hAnsi="Calibri"/>
          <w:color w:val="1A1A1A"/>
          <w:sz w:val="20"/>
          <w:szCs w:val="20"/>
        </w:rPr>
        <w:t xml:space="preserve"> : un arrêt de principe (FS-B, série de quatre arrêts publiés le même jour) qui change la </w:t>
      </w:r>
      <w:r>
        <w:rPr>
          <w:rFonts w:ascii="Calibri" w:cs="Calibri" w:eastAsia="Calibri" w:hAnsi="Calibri"/>
          <w:i/>
          <w:iCs/>
          <w:color w:val="1A1A1A"/>
          <w:sz w:val="20"/>
          <w:szCs w:val="20"/>
        </w:rPr>
        <w:t xml:space="preserve">méthode</w:t>
      </w:r>
      <w:r>
        <w:rPr>
          <w:rFonts w:ascii="Calibri" w:cs="Calibri" w:eastAsia="Calibri" w:hAnsi="Calibri"/>
          <w:color w:val="1A1A1A"/>
          <w:sz w:val="20"/>
          <w:szCs w:val="20"/>
        </w:rPr>
        <w:t xml:space="preserve"> de contrôle, non la valeur de la liberté.</w:t>
      </w:r>
    </w:p>
    <w:p>
      <w:pPr>
        <w:pStyle w:val="ListParagraph"/>
        <w:numPr>
          <w:ilvl w:val="0"/>
          <w:numId w:val="2"/>
        </w:numPr>
        <w:spacing w:after="70" w:line="264"/>
        <w:jc w:val="both"/>
      </w:pPr>
      <w:r>
        <w:rPr>
          <w:rFonts w:ascii="Calibri" w:cs="Calibri" w:eastAsia="Calibri" w:hAnsi="Calibri"/>
          <w:b/>
          <w:bCs/>
          <w:color w:val="1A1A1A"/>
          <w:sz w:val="20"/>
          <w:szCs w:val="20"/>
        </w:rPr>
        <w:t xml:space="preserve">Expliquer le revirement</w:t>
      </w:r>
      <w:r>
        <w:rPr>
          <w:rFonts w:ascii="Calibri" w:cs="Calibri" w:eastAsia="Calibri" w:hAnsi="Calibri"/>
          <w:color w:val="1A1A1A"/>
          <w:sz w:val="20"/>
          <w:szCs w:val="20"/>
        </w:rPr>
        <w:t xml:space="preserve"> : de l’abus (propos injurieux, diffamatoires ou excessifs) à la mise en balance (nécessité, adéquation, proportionnalité), sous l’influence de la CEDH.</w:t>
      </w:r>
    </w:p>
    <w:p>
      <w:pPr>
        <w:pStyle w:val="ListParagraph"/>
        <w:numPr>
          <w:ilvl w:val="0"/>
          <w:numId w:val="2"/>
        </w:numPr>
        <w:spacing w:after="70" w:line="264"/>
        <w:jc w:val="both"/>
      </w:pPr>
      <w:r>
        <w:rPr>
          <w:rFonts w:ascii="Calibri" w:cs="Calibri" w:eastAsia="Calibri" w:hAnsi="Calibri"/>
          <w:b/>
          <w:bCs/>
          <w:color w:val="1A1A1A"/>
          <w:sz w:val="20"/>
          <w:szCs w:val="20"/>
        </w:rPr>
        <w:t xml:space="preserve">Appliquer aux faits</w:t>
      </w:r>
      <w:r>
        <w:rPr>
          <w:rFonts w:ascii="Calibri" w:cs="Calibri" w:eastAsia="Calibri" w:hAnsi="Calibri"/>
          <w:color w:val="1A1A1A"/>
          <w:sz w:val="20"/>
          <w:szCs w:val="20"/>
        </w:rPr>
        <w:t xml:space="preserve"> : des caricatures, un salarié malade dont les demandes d’aménagement sont restées sans réponse, un RRH qui « se serait reconnu ». C’est ce qui donne de la chair à l’exposé.</w:t>
      </w:r>
    </w:p>
    <w:p>
      <w:pPr>
        <w:pStyle w:val="ListParagraph"/>
        <w:numPr>
          <w:ilvl w:val="0"/>
          <w:numId w:val="2"/>
        </w:numPr>
        <w:spacing w:after="70" w:line="264"/>
        <w:jc w:val="both"/>
      </w:pPr>
      <w:r>
        <w:rPr>
          <w:rFonts w:ascii="Calibri" w:cs="Calibri" w:eastAsia="Calibri" w:hAnsi="Calibri"/>
          <w:b/>
          <w:bCs/>
          <w:color w:val="1A1A1A"/>
          <w:sz w:val="20"/>
          <w:szCs w:val="20"/>
        </w:rPr>
        <w:t xml:space="preserve">Prendre position</w:t>
      </w:r>
      <w:r>
        <w:rPr>
          <w:rFonts w:ascii="Calibri" w:cs="Calibri" w:eastAsia="Calibri" w:hAnsi="Calibri"/>
          <w:color w:val="1A1A1A"/>
          <w:sz w:val="20"/>
          <w:szCs w:val="20"/>
        </w:rPr>
        <w:t xml:space="preserve"> sur la portée : progrès de la protection ou incertitude ? Le jury attend une appréciation, pas un éloge.</w:t>
      </w:r>
    </w:p>
    <w:p>
      <w:pPr>
        <w:pStyle w:val="ListParagraph"/>
        <w:numPr>
          <w:ilvl w:val="0"/>
          <w:numId w:val="2"/>
        </w:numPr>
        <w:spacing w:after="70" w:line="264"/>
        <w:jc w:val="both"/>
      </w:pPr>
      <w:r>
        <w:rPr>
          <w:rFonts w:ascii="Calibri" w:cs="Calibri" w:eastAsia="Calibri" w:hAnsi="Calibri"/>
          <w:b/>
          <w:bCs/>
          <w:color w:val="1A1A1A"/>
          <w:sz w:val="20"/>
          <w:szCs w:val="20"/>
        </w:rPr>
        <w:t xml:space="preserve">Être exact sur la procédure</w:t>
      </w:r>
      <w:r>
        <w:rPr>
          <w:rFonts w:ascii="Calibri" w:cs="Calibri" w:eastAsia="Calibri" w:hAnsi="Calibri"/>
          <w:color w:val="1A1A1A"/>
          <w:sz w:val="20"/>
          <w:szCs w:val="20"/>
        </w:rPr>
        <w:t xml:space="preserve"> : cassation partielle, renvoi, irrecevabilité du syndicat.</w:t>
      </w:r>
    </w:p>
    <w:p>
      <w:pPr>
        <w:pStyle w:val="Heading1"/>
        <w:pBdr>
          <w:bottom w:val="single" w:color="8C1C2B" w:sz="12" w:space="6"/>
        </w:pBdr>
        <w:spacing w:after="90" w:before="260"/>
      </w:pPr>
      <w:r>
        <w:rPr>
          <w:rFonts w:ascii="Calibri" w:cs="Calibri" w:eastAsia="Calibri" w:hAnsi="Calibri"/>
          <w:b/>
          <w:bCs/>
          <w:color w:val="8C1C2B"/>
          <w:sz w:val="28"/>
          <w:szCs w:val="28"/>
        </w:rPr>
        <w:t xml:space="preserve">2. L’heure de préparation</w:t>
      </w:r>
    </w:p>
    <w:tbl>
      <w:tblPr>
        <w:tblW w:type="pct" w:w="100%"/>
        <w:tblBorders>
          <w:top w:val="single" w:color="C9C0B6" w:sz="2"/>
          <w:left w:val="single" w:color="C9C0B6" w:sz="2"/>
          <w:bottom w:val="single" w:color="C9C0B6" w:sz="2"/>
          <w:right w:val="single" w:color="C9C0B6" w:sz="2"/>
          <w:insideH w:val="single" w:color="DCD5CC" w:sz="2"/>
          <w:insideV w:val="single" w:color="DCD5CC" w:sz="2"/>
        </w:tblBorders>
      </w:tblPr>
      <w:tblGrid>
        <w:gridCol w:w="100"/>
        <w:gridCol w:w="100"/>
        <w:gridCol w:w="100"/>
      </w:tblGrid>
      <w:tr>
        <w:trPr>
          <w:tblHeader/>
        </w:trPr>
        <w:tc>
          <w:tcPr>
            <w:tcW w:type="pct" w:w="33.333333333333336%"/>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Temps</w:t>
            </w:r>
          </w:p>
        </w:tc>
        <w:tc>
          <w:tcPr>
            <w:tcW w:type="pct" w:w="33.333333333333336%"/>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Tâche</w:t>
            </w:r>
          </w:p>
        </w:tc>
        <w:tc>
          <w:tcPr>
            <w:tcW w:type="pct" w:w="33.333333333333336%"/>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Conseil</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0-10 min</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Lire l’arrêt deux fois ; surligner visa, §§ 11-13, § 17, dispositif</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Repérer immédiatement ce qui manque dans la réponse par rapport au moyen (« sauf abus »)</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10-20 min</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Fiche d’identité, faits, procédure, prétentions, problème de droit</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Vérifier les dates (28 nov. 2017, 22 déc. 2017, 6 sept. 2018, 9 mai 2023)</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20-35 min</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Plan : deux idées, quatre sous-parties ; tester chaque sous-partie avec un paragraphe de l’arrêt</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Une sous-partie sans paragraphe de l’arrêt est hors sujet</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35-50 min</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Introduction et transitions rédigées ; mots-clés seulement pour le corps</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L’introduction se lit, le développement se parle</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50-60 min</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Conclusion, ouverture, liste de relances probables</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Préparer deux réponses : « est-ce un recul ? » et « que va juger la cour de renvoi ? »</w:t>
            </w:r>
          </w:p>
        </w:tc>
      </w:tr>
    </w:tbl>
    <w:p>
      <w:pPr>
        <w:spacing w:after="120"/>
      </w:pPr>
    </w:p>
    <w:p>
      <w:r>
        <w:br w:type="page"/>
      </w:r>
    </w:p>
    <w:p>
      <w:pPr>
        <w:pStyle w:val="Heading1"/>
        <w:pBdr>
          <w:bottom w:val="single" w:color="8C1C2B" w:sz="12" w:space="6"/>
        </w:pBdr>
        <w:spacing w:after="90" w:before="260"/>
      </w:pPr>
      <w:r>
        <w:rPr>
          <w:rFonts w:ascii="Calibri" w:cs="Calibri" w:eastAsia="Calibri" w:hAnsi="Calibri"/>
          <w:b/>
          <w:bCs/>
          <w:color w:val="8C1C2B"/>
          <w:sz w:val="28"/>
          <w:szCs w:val="28"/>
        </w:rPr>
        <w:t xml:space="preserve">3. L’introduction rédigée</w:t>
      </w:r>
    </w:p>
    <w:p>
      <w:pPr>
        <w:pStyle w:val="Heading3"/>
        <w:spacing w:after="80" w:before="200"/>
      </w:pPr>
      <w:r>
        <w:rPr>
          <w:rFonts w:ascii="Calibri" w:cs="Calibri" w:eastAsia="Calibri" w:hAnsi="Calibri"/>
          <w:b/>
          <w:bCs/>
          <w:i/>
          <w:iCs/>
          <w:color w:val="1A1A1A"/>
          <w:sz w:val="21"/>
          <w:szCs w:val="21"/>
        </w:rPr>
        <w:t xml:space="preserve">Accroche</w:t>
      </w:r>
    </w:p>
    <w:p>
      <w:pPr>
        <w:spacing w:after="110" w:line="288"/>
        <w:ind w:left="180" w:right="180"/>
        <w:jc w:val="both"/>
      </w:pPr>
      <w:r>
        <w:rPr>
          <w:rFonts w:ascii="Calibri" w:cs="Calibri" w:eastAsia="Calibri" w:hAnsi="Calibri"/>
          <w:color w:val="1A1A1A"/>
          <w:sz w:val="20"/>
          <w:szCs w:val="20"/>
        </w:rPr>
        <w:t xml:space="preserve">« </w:t>
      </w:r>
      <w:r>
        <w:rPr>
          <w:rFonts w:ascii="Calibri" w:cs="Calibri" w:eastAsia="Calibri" w:hAnsi="Calibri"/>
          <w:i/>
          <w:iCs/>
          <w:color w:val="1A1A1A"/>
          <w:sz w:val="20"/>
          <w:szCs w:val="20"/>
        </w:rPr>
        <w:t xml:space="preserve">La libre communication des pensées et des opinions est un des droits les plus précieux de l’Homme</w:t>
      </w:r>
      <w:r>
        <w:rPr>
          <w:rFonts w:ascii="Calibri" w:cs="Calibri" w:eastAsia="Calibri" w:hAnsi="Calibri"/>
          <w:color w:val="1A1A1A"/>
          <w:sz w:val="20"/>
          <w:szCs w:val="20"/>
        </w:rPr>
        <w:t xml:space="preserve"> ». En plaçant l’</w:t>
      </w:r>
      <w:r>
        <w:rPr>
          <w:rFonts w:ascii="Calibri" w:cs="Calibri" w:eastAsia="Calibri" w:hAnsi="Calibri"/>
          <w:color w:val="1E88E5"/>
          <w:sz w:val="20"/>
          <w:szCs w:val="20"/>
        </w:rPr>
        <w:t xml:space="preserve">article 11 de la Déclaration de 1789</w:t>
      </w:r>
      <w:r>
        <w:rPr>
          <w:rFonts w:ascii="Calibri" w:cs="Calibri" w:eastAsia="Calibri" w:hAnsi="Calibri"/>
          <w:color w:val="1A1A1A"/>
          <w:sz w:val="20"/>
          <w:szCs w:val="20"/>
        </w:rPr>
        <w:t xml:space="preserve"> en tête de son visa, la chambre sociale rappelle que le salarié ne laisse pas sa qualité de citoyen au vestiaire. Mais elle rappelle aussi, en creux, que ce même article réserve « </w:t>
      </w:r>
      <w:r>
        <w:rPr>
          <w:rFonts w:ascii="Calibri" w:cs="Calibri" w:eastAsia="Calibri" w:hAnsi="Calibri"/>
          <w:i/>
          <w:iCs/>
          <w:color w:val="1A1A1A"/>
          <w:sz w:val="20"/>
          <w:szCs w:val="20"/>
        </w:rPr>
        <w:t xml:space="preserve">l’abus de cette liberté dans les cas déterminés par la loi</w:t>
      </w:r>
      <w:r>
        <w:rPr>
          <w:rFonts w:ascii="Calibri" w:cs="Calibri" w:eastAsia="Calibri" w:hAnsi="Calibri"/>
          <w:color w:val="1A1A1A"/>
          <w:sz w:val="20"/>
          <w:szCs w:val="20"/>
        </w:rPr>
        <w:t xml:space="preserve"> ». Or, depuis près de quarante ans, l’abus du salarié était défini non par la loi mais par le juge. C’est cette construction que remet en cause l’arrêt rendu par la chambre sociale de la Cour de cassation le </w:t>
      </w:r>
      <w:r>
        <w:rPr>
          <w:rFonts w:ascii="Calibri" w:cs="Calibri" w:eastAsia="Calibri" w:hAnsi="Calibri"/>
          <w:color w:val="E91E63"/>
          <w:sz w:val="20"/>
          <w:szCs w:val="20"/>
        </w:rPr>
        <w:t xml:space="preserve">14 janvier 2026</w:t>
      </w:r>
      <w:r>
        <w:rPr>
          <w:rFonts w:ascii="Calibri" w:cs="Calibri" w:eastAsia="Calibri" w:hAnsi="Calibri"/>
          <w:color w:val="1A1A1A"/>
          <w:sz w:val="20"/>
          <w:szCs w:val="20"/>
        </w:rPr>
        <w:t xml:space="preserve">, publié au Bulletin.</w:t>
      </w:r>
    </w:p>
    <w:p>
      <w:pPr>
        <w:pStyle w:val="Heading3"/>
        <w:spacing w:after="80" w:before="200"/>
      </w:pPr>
      <w:r>
        <w:rPr>
          <w:rFonts w:ascii="Calibri" w:cs="Calibri" w:eastAsia="Calibri" w:hAnsi="Calibri"/>
          <w:b/>
          <w:bCs/>
          <w:i/>
          <w:iCs/>
          <w:color w:val="1A1A1A"/>
          <w:sz w:val="21"/>
          <w:szCs w:val="21"/>
        </w:rPr>
        <w:t xml:space="preserve">Faits</w:t>
      </w:r>
    </w:p>
    <w:p>
      <w:pPr>
        <w:spacing w:after="110" w:line="288"/>
        <w:ind w:left="180" w:right="180"/>
        <w:jc w:val="both"/>
      </w:pPr>
      <w:r>
        <w:rPr>
          <w:rFonts w:ascii="Calibri" w:cs="Calibri" w:eastAsia="Calibri" w:hAnsi="Calibri"/>
          <w:color w:val="1A1A1A"/>
          <w:sz w:val="20"/>
          <w:szCs w:val="20"/>
        </w:rPr>
        <w:t xml:space="preserve">Un technicien de la société Airbus Opérations, engagé en 2003, avait vainement sollicité l’aménagement de son poste en raison de ses problèmes de santé. Le 28 novembre 2017, il remit en main propre au responsable des ressources humaines deux dessins de sa main : l’un le représentait en larmes, avec la légende « </w:t>
      </w:r>
      <w:r>
        <w:rPr>
          <w:rFonts w:ascii="Calibri" w:cs="Calibri" w:eastAsia="Calibri" w:hAnsi="Calibri"/>
          <w:i/>
          <w:iCs/>
          <w:color w:val="1A1A1A"/>
          <w:sz w:val="20"/>
          <w:szCs w:val="20"/>
        </w:rPr>
        <w:t xml:space="preserve">Ouvrier sérieux, travailleur, innovant, abîmé physiquement mais toujours pertinent, cherche poste désespérément</w:t>
      </w:r>
      <w:r>
        <w:rPr>
          <w:rFonts w:ascii="Calibri" w:cs="Calibri" w:eastAsia="Calibri" w:hAnsi="Calibri"/>
          <w:color w:val="1A1A1A"/>
          <w:sz w:val="20"/>
          <w:szCs w:val="20"/>
        </w:rPr>
        <w:t xml:space="preserve"> » ; l’autre, un homme à lunettes jetant des ouvriers dans une poubelle « </w:t>
      </w:r>
      <w:r>
        <w:rPr>
          <w:rFonts w:ascii="Calibri" w:cs="Calibri" w:eastAsia="Calibri" w:hAnsi="Calibri"/>
          <w:i/>
          <w:iCs/>
          <w:color w:val="1A1A1A"/>
          <w:sz w:val="20"/>
          <w:szCs w:val="20"/>
        </w:rPr>
        <w:t xml:space="preserve">non recyclable</w:t>
      </w:r>
      <w:r>
        <w:rPr>
          <w:rFonts w:ascii="Calibri" w:cs="Calibri" w:eastAsia="Calibri" w:hAnsi="Calibri"/>
          <w:color w:val="1A1A1A"/>
          <w:sz w:val="20"/>
          <w:szCs w:val="20"/>
        </w:rPr>
        <w:t xml:space="preserve"> », dans lequel le responsable des ressources humaines se reconnut. Le salarié fut licencié pour faute le 22 décembre 2017.</w:t>
      </w:r>
    </w:p>
    <w:p>
      <w:pPr>
        <w:pStyle w:val="Heading3"/>
        <w:spacing w:after="80" w:before="200"/>
      </w:pPr>
      <w:r>
        <w:rPr>
          <w:rFonts w:ascii="Calibri" w:cs="Calibri" w:eastAsia="Calibri" w:hAnsi="Calibri"/>
          <w:b/>
          <w:bCs/>
          <w:i/>
          <w:iCs/>
          <w:color w:val="1A1A1A"/>
          <w:sz w:val="21"/>
          <w:szCs w:val="21"/>
        </w:rPr>
        <w:t xml:space="preserve">Procédure et prétentions</w:t>
      </w:r>
    </w:p>
    <w:p>
      <w:pPr>
        <w:spacing w:after="110" w:line="288"/>
        <w:ind w:left="180" w:right="180"/>
        <w:jc w:val="both"/>
      </w:pPr>
      <w:r>
        <w:rPr>
          <w:rFonts w:ascii="Calibri" w:cs="Calibri" w:eastAsia="Calibri" w:hAnsi="Calibri"/>
          <w:color w:val="1A1A1A"/>
          <w:sz w:val="20"/>
          <w:szCs w:val="20"/>
        </w:rPr>
        <w:t xml:space="preserve">Invoquant une discrimination liée à son état de santé et une atteinte à sa liberté d’expression, il saisit le conseil de prud’hommes le 6 septembre 2018 afin d’obtenir la nullité de son licenciement et sa réintégration ; un syndicat intervint pour l’intérêt collectif de la profession. Par un arrêt du 9 mai 2023, la cour d’appel de Rennes jugea le licenciement sans cause réelle et sérieuse, mais refusa d’en prononcer la nullité : la liberté de critiquer le management trouvait sa limite dans l’honneur d’un collègue, apprécié au regard d’une « </w:t>
      </w:r>
      <w:r>
        <w:rPr>
          <w:rFonts w:ascii="Calibri" w:cs="Calibri" w:eastAsia="Calibri" w:hAnsi="Calibri"/>
          <w:i/>
          <w:iCs/>
          <w:color w:val="1A1A1A"/>
          <w:sz w:val="20"/>
          <w:szCs w:val="20"/>
        </w:rPr>
        <w:t xml:space="preserve">obligation de courtoisie et de délicatesse</w:t>
      </w:r>
      <w:r>
        <w:rPr>
          <w:rFonts w:ascii="Calibri" w:cs="Calibri" w:eastAsia="Calibri" w:hAnsi="Calibri"/>
          <w:color w:val="1A1A1A"/>
          <w:sz w:val="20"/>
          <w:szCs w:val="20"/>
        </w:rPr>
        <w:t xml:space="preserve"> », et l’employeur n’était « </w:t>
      </w:r>
      <w:r>
        <w:rPr>
          <w:rFonts w:ascii="Calibri" w:cs="Calibri" w:eastAsia="Calibri" w:hAnsi="Calibri"/>
          <w:i/>
          <w:iCs/>
          <w:color w:val="1A1A1A"/>
          <w:sz w:val="20"/>
          <w:szCs w:val="20"/>
        </w:rPr>
        <w:t xml:space="preserve">pas illégitime</w:t>
      </w:r>
      <w:r>
        <w:rPr>
          <w:rFonts w:ascii="Calibri" w:cs="Calibri" w:eastAsia="Calibri" w:hAnsi="Calibri"/>
          <w:color w:val="1A1A1A"/>
          <w:sz w:val="20"/>
          <w:szCs w:val="20"/>
        </w:rPr>
        <w:t xml:space="preserve"> » à intervenir pour préserver la santé d’un autre salarié et l’harmonie du personnel. Le salarié et le syndicat formèrent un pourvoi, soutenant qu’aucun élément injurieux, diffamatoire ou excessif n’avait été caractérisé et que la cour d’appel avait ajouté une condition à la loi.</w:t>
      </w:r>
    </w:p>
    <w:p>
      <w:pPr>
        <w:pStyle w:val="Heading3"/>
        <w:spacing w:after="80" w:before="200"/>
      </w:pPr>
      <w:r>
        <w:rPr>
          <w:rFonts w:ascii="Calibri" w:cs="Calibri" w:eastAsia="Calibri" w:hAnsi="Calibri"/>
          <w:b/>
          <w:bCs/>
          <w:i/>
          <w:iCs/>
          <w:color w:val="1A1A1A"/>
          <w:sz w:val="21"/>
          <w:szCs w:val="21"/>
        </w:rPr>
        <w:t xml:space="preserve">Problème de droit</w:t>
      </w:r>
    </w:p>
    <w:p>
      <w:pPr>
        <w:spacing w:after="110" w:line="288"/>
        <w:ind w:left="180" w:right="180"/>
        <w:jc w:val="both"/>
      </w:pPr>
      <w:r>
        <w:rPr>
          <w:rFonts w:ascii="Calibri" w:cs="Calibri" w:eastAsia="Calibri" w:hAnsi="Calibri"/>
          <w:color w:val="1A1A1A"/>
          <w:sz w:val="20"/>
          <w:szCs w:val="20"/>
        </w:rPr>
        <w:t xml:space="preserve">La question posée à la Cour de cassation était la suivante : </w:t>
      </w:r>
      <w:r>
        <w:rPr>
          <w:rFonts w:ascii="Calibri" w:cs="Calibri" w:eastAsia="Calibri" w:hAnsi="Calibri"/>
          <w:b/>
          <w:bCs/>
          <w:color w:val="1A1A1A"/>
          <w:sz w:val="20"/>
          <w:szCs w:val="20"/>
        </w:rPr>
        <w:t xml:space="preserve">comment le juge doit-il apprécier la licéité d’une sanction disciplinaire qui atteint l’exercice, par le salarié, de sa liberté d’expression ?</w:t>
      </w:r>
      <w:r>
        <w:rPr>
          <w:rFonts w:ascii="Calibri" w:cs="Calibri" w:eastAsia="Calibri" w:hAnsi="Calibri"/>
          <w:color w:val="1A1A1A"/>
          <w:sz w:val="20"/>
          <w:szCs w:val="20"/>
        </w:rPr>
        <w:t xml:space="preserve"> Suffit-il que l’employeur poursuive un but légitime, ou faut-il, au-delà, que la sanction soit concrètement nécessaire et proportionnée ?</w:t>
      </w:r>
    </w:p>
    <w:p>
      <w:pPr>
        <w:pStyle w:val="Heading3"/>
        <w:spacing w:after="80" w:before="200"/>
      </w:pPr>
      <w:r>
        <w:rPr>
          <w:rFonts w:ascii="Calibri" w:cs="Calibri" w:eastAsia="Calibri" w:hAnsi="Calibri"/>
          <w:b/>
          <w:bCs/>
          <w:i/>
          <w:iCs/>
          <w:color w:val="1A1A1A"/>
          <w:sz w:val="21"/>
          <w:szCs w:val="21"/>
        </w:rPr>
        <w:t xml:space="preserve">Solution</w:t>
      </w:r>
    </w:p>
    <w:p>
      <w:pPr>
        <w:spacing w:after="110" w:line="288"/>
        <w:ind w:left="180" w:right="180"/>
        <w:jc w:val="both"/>
      </w:pPr>
      <w:r>
        <w:rPr>
          <w:rFonts w:ascii="Calibri" w:cs="Calibri" w:eastAsia="Calibri" w:hAnsi="Calibri"/>
          <w:color w:val="1A1A1A"/>
          <w:sz w:val="20"/>
          <w:szCs w:val="20"/>
        </w:rPr>
        <w:t xml:space="preserve">Après avoir déclaré irrecevable l’action du syndicat, faute d’atteinte à l’intérêt collectif lorsqu’un seul salarié sans mandat se prétend victime, la Cour casse partiellement l’arrêt. Au visa des articles 11 de la Déclaration, 10 de la Convention européenne et L. 1121-1 du code du travail, elle juge que le salarié jouit de sa liberté d’expression dans l’entreprise et en dehors, sous réserve des seules restrictions justifiées et proportionnées, et que le licenciement prononcé en raison de son exercice est nul. Surtout, elle impose au juge de « </w:t>
      </w:r>
      <w:r>
        <w:rPr>
          <w:rFonts w:ascii="Calibri" w:cs="Calibri" w:eastAsia="Calibri" w:hAnsi="Calibri"/>
          <w:i/>
          <w:iCs/>
          <w:color w:val="1A1A1A"/>
          <w:sz w:val="20"/>
          <w:szCs w:val="20"/>
        </w:rPr>
        <w:t xml:space="preserve">mettre en balance</w:t>
      </w:r>
      <w:r>
        <w:rPr>
          <w:rFonts w:ascii="Calibri" w:cs="Calibri" w:eastAsia="Calibri" w:hAnsi="Calibri"/>
          <w:color w:val="1A1A1A"/>
          <w:sz w:val="20"/>
          <w:szCs w:val="20"/>
        </w:rPr>
        <w:t xml:space="preserve"> » cette liberté avec le droit de l’employeur à la protection de ses intérêts, en appréciant la nécessité, l’adéquation et la proportionnalité de la sanction au regard de la teneur des propos, de leur contexte, de leur portée et de leurs conséquences. Faute d’avoir examiné le contexte de la remise des dessins, leur publicité et l’effectivité de l’atteinte à l’honneur, la cour d’appel a violé ces textes.</w:t>
      </w:r>
    </w:p>
    <w:p>
      <w:pPr>
        <w:pStyle w:val="Heading3"/>
        <w:spacing w:after="80" w:before="200"/>
      </w:pPr>
      <w:r>
        <w:rPr>
          <w:rFonts w:ascii="Calibri" w:cs="Calibri" w:eastAsia="Calibri" w:hAnsi="Calibri"/>
          <w:b/>
          <w:bCs/>
          <w:i/>
          <w:iCs/>
          <w:color w:val="1A1A1A"/>
          <w:sz w:val="21"/>
          <w:szCs w:val="21"/>
        </w:rPr>
        <w:t xml:space="preserve">Intérêt</w:t>
      </w:r>
    </w:p>
    <w:p>
      <w:pPr>
        <w:spacing w:after="110" w:line="288"/>
        <w:ind w:left="180" w:right="180"/>
        <w:jc w:val="both"/>
      </w:pPr>
      <w:r>
        <w:rPr>
          <w:rFonts w:ascii="Calibri" w:cs="Calibri" w:eastAsia="Calibri" w:hAnsi="Calibri"/>
          <w:color w:val="1A1A1A"/>
          <w:sz w:val="20"/>
          <w:szCs w:val="20"/>
        </w:rPr>
        <w:t xml:space="preserve">L’intérêt de l’arrêt est double. Théorique d’abord : la formule « </w:t>
      </w:r>
      <w:r>
        <w:rPr>
          <w:rFonts w:ascii="Calibri" w:cs="Calibri" w:eastAsia="Calibri" w:hAnsi="Calibri"/>
          <w:i/>
          <w:iCs/>
          <w:color w:val="1A1A1A"/>
          <w:sz w:val="20"/>
          <w:szCs w:val="20"/>
        </w:rPr>
        <w:t xml:space="preserve">sauf abus</w:t>
      </w:r>
      <w:r>
        <w:rPr>
          <w:rFonts w:ascii="Calibri" w:cs="Calibri" w:eastAsia="Calibri" w:hAnsi="Calibri"/>
          <w:color w:val="1A1A1A"/>
          <w:sz w:val="20"/>
          <w:szCs w:val="20"/>
        </w:rPr>
        <w:t xml:space="preserve"> », héritée de l’arrêt </w:t>
      </w:r>
      <w:r>
        <w:rPr>
          <w:rFonts w:ascii="Calibri" w:cs="Calibri" w:eastAsia="Calibri" w:hAnsi="Calibri"/>
          <w:color w:val="E91E63"/>
          <w:sz w:val="20"/>
          <w:szCs w:val="20"/>
        </w:rPr>
        <w:t xml:space="preserve">Clavaud</w:t>
      </w:r>
      <w:r>
        <w:rPr>
          <w:rFonts w:ascii="Calibri" w:cs="Calibri" w:eastAsia="Calibri" w:hAnsi="Calibri"/>
          <w:color w:val="1A1A1A"/>
          <w:sz w:val="20"/>
          <w:szCs w:val="20"/>
        </w:rPr>
        <w:t xml:space="preserve"> de 1988, disparaît au profit d’une méthode de proportionnalité directement inspirée de la Cour européenne des droits de l’homme. Pratique ensuite : l’office du juge du fond est redéfini, et l’issue des litiges dépendra désormais d’une pesée concrète dont la série d’arrêts du même jour montre qu’elle peut profiter aussi bien au salarié qu’à l’employeur.</w:t>
      </w:r>
    </w:p>
    <w:p>
      <w:pPr>
        <w:pStyle w:val="Heading3"/>
        <w:spacing w:after="80" w:before="200"/>
      </w:pPr>
      <w:r>
        <w:rPr>
          <w:rFonts w:ascii="Calibri" w:cs="Calibri" w:eastAsia="Calibri" w:hAnsi="Calibri"/>
          <w:b/>
          <w:bCs/>
          <w:i/>
          <w:iCs/>
          <w:color w:val="1A1A1A"/>
          <w:sz w:val="21"/>
          <w:szCs w:val="21"/>
        </w:rPr>
        <w:t xml:space="preserve">Annonce du plan</w:t>
      </w:r>
    </w:p>
    <w:p>
      <w:pPr>
        <w:spacing w:after="110" w:line="288"/>
        <w:ind w:left="180" w:right="180"/>
        <w:jc w:val="both"/>
      </w:pPr>
      <w:r>
        <w:rPr>
          <w:rFonts w:ascii="Calibri" w:cs="Calibri" w:eastAsia="Calibri" w:hAnsi="Calibri"/>
          <w:color w:val="1A1A1A"/>
          <w:sz w:val="20"/>
          <w:szCs w:val="20"/>
        </w:rPr>
        <w:t xml:space="preserve">La Cour opère ainsi un </w:t>
      </w:r>
      <w:r>
        <w:rPr>
          <w:rFonts w:ascii="Calibri" w:cs="Calibri" w:eastAsia="Calibri" w:hAnsi="Calibri"/>
          <w:b/>
          <w:bCs/>
          <w:color w:val="1A1A1A"/>
          <w:sz w:val="20"/>
          <w:szCs w:val="20"/>
        </w:rPr>
        <w:t xml:space="preserve">changement de méthode</w:t>
      </w:r>
      <w:r>
        <w:rPr>
          <w:rFonts w:ascii="Calibri" w:cs="Calibri" w:eastAsia="Calibri" w:hAnsi="Calibri"/>
          <w:color w:val="1A1A1A"/>
          <w:sz w:val="20"/>
          <w:szCs w:val="20"/>
        </w:rPr>
        <w:t xml:space="preserve">, de l’abus à la mise en balance (I), dont elle exige une </w:t>
      </w:r>
      <w:r>
        <w:rPr>
          <w:rFonts w:ascii="Calibri" w:cs="Calibri" w:eastAsia="Calibri" w:hAnsi="Calibri"/>
          <w:b/>
          <w:bCs/>
          <w:color w:val="1A1A1A"/>
          <w:sz w:val="20"/>
          <w:szCs w:val="20"/>
        </w:rPr>
        <w:t xml:space="preserve">mise en œuvre concrète</w:t>
      </w:r>
      <w:r>
        <w:rPr>
          <w:rFonts w:ascii="Calibri" w:cs="Calibri" w:eastAsia="Calibri" w:hAnsi="Calibri"/>
          <w:color w:val="1A1A1A"/>
          <w:sz w:val="20"/>
          <w:szCs w:val="20"/>
        </w:rPr>
        <w:t xml:space="preserve"> par les juges du fond (II).</w:t>
      </w:r>
    </w:p>
    <w:p>
      <w:r>
        <w:br w:type="page"/>
      </w:r>
    </w:p>
    <w:p>
      <w:pPr>
        <w:pStyle w:val="Heading1"/>
        <w:pBdr>
          <w:bottom w:val="single" w:color="8C1C2B" w:sz="12" w:space="6"/>
        </w:pBdr>
        <w:spacing w:after="90" w:before="260"/>
      </w:pPr>
      <w:r>
        <w:rPr>
          <w:rFonts w:ascii="Calibri" w:cs="Calibri" w:eastAsia="Calibri" w:hAnsi="Calibri"/>
          <w:b/>
          <w:bCs/>
          <w:color w:val="8C1C2B"/>
          <w:sz w:val="28"/>
          <w:szCs w:val="28"/>
        </w:rPr>
        <w:t xml:space="preserve">4. Le plan détaillé</w:t>
      </w:r>
    </w:p>
    <w:p>
      <w:pPr>
        <w:pStyle w:val="Heading2"/>
        <w:spacing w:after="110" w:before="260"/>
      </w:pPr>
      <w:r>
        <w:rPr>
          <w:rFonts w:ascii="Calibri" w:cs="Calibri" w:eastAsia="Calibri" w:hAnsi="Calibri"/>
          <w:b/>
          <w:bCs/>
          <w:color w:val="1A1A1A"/>
          <w:spacing w:val="16"/>
          <w:sz w:val="23"/>
          <w:szCs w:val="23"/>
        </w:rPr>
        <w:t xml:space="preserve">I. Un changement de méthode : de l’abus à la mise en balance</w:t>
      </w:r>
    </w:p>
    <w:p>
      <w:pPr>
        <w:spacing w:after="90" w:line="264"/>
        <w:jc w:val="both"/>
      </w:pPr>
      <w:r>
        <w:rPr>
          <w:rFonts w:ascii="Calibri" w:cs="Calibri" w:eastAsia="Calibri" w:hAnsi="Calibri"/>
          <w:i/>
          <w:iCs/>
          <w:color w:val="1A1A1A"/>
          <w:sz w:val="20"/>
          <w:szCs w:val="20"/>
        </w:rPr>
        <w:t xml:space="preserve">Chapeau</w:t>
      </w:r>
      <w:r>
        <w:rPr>
          <w:rFonts w:ascii="Calibri" w:cs="Calibri" w:eastAsia="Calibri" w:hAnsi="Calibri"/>
          <w:color w:val="1A1A1A"/>
          <w:sz w:val="20"/>
          <w:szCs w:val="20"/>
        </w:rPr>
        <w:t xml:space="preserve"> : la Cour réaffirme le fondement de la liberté d’expression du salarié et la sanction de nullité (A), mais en modifie la limite : l’abus cède la place à une mise en balance d’inspiration européenne (B).</w:t>
      </w:r>
    </w:p>
    <w:p>
      <w:pPr>
        <w:pStyle w:val="Heading3"/>
        <w:spacing w:after="80" w:before="200"/>
      </w:pPr>
      <w:r>
        <w:rPr>
          <w:rFonts w:ascii="Calibri" w:cs="Calibri" w:eastAsia="Calibri" w:hAnsi="Calibri"/>
          <w:b/>
          <w:bCs/>
          <w:i/>
          <w:iCs/>
          <w:color w:val="1A1A1A"/>
          <w:sz w:val="21"/>
          <w:szCs w:val="21"/>
        </w:rPr>
        <w:t xml:space="preserve">A. Un fondement réaffirmé : la liberté fondamentale du salarié-citoyen</w:t>
      </w:r>
    </w:p>
    <w:p>
      <w:pPr>
        <w:pStyle w:val="ListParagraph"/>
        <w:numPr>
          <w:ilvl w:val="0"/>
          <w:numId w:val="2"/>
        </w:numPr>
        <w:spacing w:after="70" w:line="264"/>
        <w:jc w:val="both"/>
      </w:pPr>
      <w:r>
        <w:rPr>
          <w:rFonts w:ascii="Calibri" w:cs="Calibri" w:eastAsia="Calibri" w:hAnsi="Calibri"/>
          <w:b/>
          <w:bCs/>
          <w:color w:val="1A1A1A"/>
          <w:sz w:val="20"/>
          <w:szCs w:val="20"/>
        </w:rPr>
        <w:t xml:space="preserve">Le triple visa</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11 DDHC</w:t>
      </w:r>
      <w:r>
        <w:rPr>
          <w:rFonts w:ascii="Calibri" w:cs="Calibri" w:eastAsia="Calibri" w:hAnsi="Calibri"/>
          <w:color w:val="1A1A1A"/>
          <w:sz w:val="20"/>
          <w:szCs w:val="20"/>
        </w:rPr>
        <w:t xml:space="preserve"> (valeur constitutionnelle), </w:t>
      </w:r>
      <w:r>
        <w:rPr>
          <w:rFonts w:ascii="Calibri" w:cs="Calibri" w:eastAsia="Calibri" w:hAnsi="Calibri"/>
          <w:color w:val="1E88E5"/>
          <w:sz w:val="20"/>
          <w:szCs w:val="20"/>
        </w:rPr>
        <w:t xml:space="preserve">art. 10 CEDH</w:t>
      </w:r>
      <w:r>
        <w:rPr>
          <w:rFonts w:ascii="Calibri" w:cs="Calibri" w:eastAsia="Calibri" w:hAnsi="Calibri"/>
          <w:color w:val="1A1A1A"/>
          <w:sz w:val="20"/>
          <w:szCs w:val="20"/>
        </w:rPr>
        <w:t xml:space="preserve"> (exigence conventionnelle et effet horizontal, </w:t>
      </w:r>
      <w:r>
        <w:rPr>
          <w:rFonts w:ascii="Calibri" w:cs="Calibri" w:eastAsia="Calibri" w:hAnsi="Calibri"/>
          <w:color w:val="E91E63"/>
          <w:sz w:val="20"/>
          <w:szCs w:val="20"/>
        </w:rPr>
        <w:t xml:space="preserve">Fuentes Bobo</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L. 1121-1 C. trav.</w:t>
      </w:r>
      <w:r>
        <w:rPr>
          <w:rFonts w:ascii="Calibri" w:cs="Calibri" w:eastAsia="Calibri" w:hAnsi="Calibri"/>
          <w:color w:val="1A1A1A"/>
          <w:sz w:val="20"/>
          <w:szCs w:val="20"/>
        </w:rPr>
        <w:t xml:space="preserve"> (traduction législative). L’articulation des trois sources est une constante depuis </w:t>
      </w:r>
      <w:r>
        <w:rPr>
          <w:rFonts w:ascii="Calibri" w:cs="Calibri" w:eastAsia="Calibri" w:hAnsi="Calibri"/>
          <w:color w:val="E91E63"/>
          <w:sz w:val="20"/>
          <w:szCs w:val="20"/>
        </w:rPr>
        <w:t xml:space="preserve">Soc., 22 juin 2004</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 Dans l’entreprise et en dehors de celle-ci »</w:t>
      </w:r>
      <w:r>
        <w:rPr>
          <w:rFonts w:ascii="Calibri" w:cs="Calibri" w:eastAsia="Calibri" w:hAnsi="Calibri"/>
          <w:color w:val="1A1A1A"/>
          <w:sz w:val="20"/>
          <w:szCs w:val="20"/>
        </w:rPr>
        <w:t xml:space="preserve"> : formule de continuité (</w:t>
      </w:r>
      <w:r>
        <w:rPr>
          <w:rFonts w:ascii="Calibri" w:cs="Calibri" w:eastAsia="Calibri" w:hAnsi="Calibri"/>
          <w:color w:val="E91E63"/>
          <w:sz w:val="20"/>
          <w:szCs w:val="20"/>
        </w:rPr>
        <w:t xml:space="preserve">Clavaud</w:t>
      </w:r>
      <w:r>
        <w:rPr>
          <w:rFonts w:ascii="Calibri" w:cs="Calibri" w:eastAsia="Calibri" w:hAnsi="Calibri"/>
          <w:color w:val="1A1A1A"/>
          <w:sz w:val="20"/>
          <w:szCs w:val="20"/>
        </w:rPr>
        <w:t xml:space="preserve">, 1988 ; </w:t>
      </w:r>
      <w:r>
        <w:rPr>
          <w:rFonts w:ascii="Calibri" w:cs="Calibri" w:eastAsia="Calibri" w:hAnsi="Calibri"/>
          <w:color w:val="E91E63"/>
          <w:sz w:val="20"/>
          <w:szCs w:val="20"/>
        </w:rPr>
        <w:t xml:space="preserve">Pierre</w:t>
      </w:r>
      <w:r>
        <w:rPr>
          <w:rFonts w:ascii="Calibri" w:cs="Calibri" w:eastAsia="Calibri" w:hAnsi="Calibri"/>
          <w:color w:val="1A1A1A"/>
          <w:sz w:val="20"/>
          <w:szCs w:val="20"/>
        </w:rPr>
        <w:t xml:space="preserve">, 1999). Le salarié reste un citoyen ; la subordination ne suspend pas ses libertés.</w:t>
      </w:r>
    </w:p>
    <w:p>
      <w:pPr>
        <w:pStyle w:val="ListParagraph"/>
        <w:numPr>
          <w:ilvl w:val="0"/>
          <w:numId w:val="2"/>
        </w:numPr>
        <w:spacing w:after="70" w:line="264"/>
        <w:jc w:val="both"/>
      </w:pPr>
      <w:r>
        <w:rPr>
          <w:rFonts w:ascii="Calibri" w:cs="Calibri" w:eastAsia="Calibri" w:hAnsi="Calibri"/>
          <w:b/>
          <w:bCs/>
          <w:color w:val="1A1A1A"/>
          <w:sz w:val="20"/>
          <w:szCs w:val="20"/>
        </w:rPr>
        <w:t xml:space="preserve">Une liberté qui inclut la critique et la satire</w:t>
      </w:r>
      <w:r>
        <w:rPr>
          <w:rFonts w:ascii="Calibri" w:cs="Calibri" w:eastAsia="Calibri" w:hAnsi="Calibri"/>
          <w:color w:val="1A1A1A"/>
          <w:sz w:val="20"/>
          <w:szCs w:val="20"/>
        </w:rPr>
        <w:t xml:space="preserve"> : l’arrêt reprend sans la contester l’idée que la critique des méthodes de management relève de la liberté d’expression ; l’expression artistique est couverte (</w:t>
      </w:r>
      <w:r>
        <w:rPr>
          <w:rFonts w:ascii="Calibri" w:cs="Calibri" w:eastAsia="Calibri" w:hAnsi="Calibri"/>
          <w:color w:val="E91E63"/>
          <w:sz w:val="20"/>
          <w:szCs w:val="20"/>
        </w:rPr>
        <w:t xml:space="preserve">Müller c. Suisse</w:t>
      </w:r>
      <w:r>
        <w:rPr>
          <w:rFonts w:ascii="Calibri" w:cs="Calibri" w:eastAsia="Calibri" w:hAnsi="Calibri"/>
          <w:color w:val="1A1A1A"/>
          <w:sz w:val="20"/>
          <w:szCs w:val="20"/>
        </w:rPr>
        <w:t xml:space="preserve"> ; satire : </w:t>
      </w:r>
      <w:r>
        <w:rPr>
          <w:rFonts w:ascii="Calibri" w:cs="Calibri" w:eastAsia="Calibri" w:hAnsi="Calibri"/>
          <w:color w:val="E91E63"/>
          <w:sz w:val="20"/>
          <w:szCs w:val="20"/>
        </w:rPr>
        <w:t xml:space="preserve">Vereinigung Bildender Künstler</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La sanction : la nullité</w:t>
      </w:r>
      <w:r>
        <w:rPr>
          <w:rFonts w:ascii="Calibri" w:cs="Calibri" w:eastAsia="Calibri" w:hAnsi="Calibri"/>
          <w:color w:val="1A1A1A"/>
          <w:sz w:val="20"/>
          <w:szCs w:val="20"/>
        </w:rPr>
        <w:t xml:space="preserve"> « </w:t>
      </w:r>
      <w:r>
        <w:rPr>
          <w:rFonts w:ascii="Calibri" w:cs="Calibri" w:eastAsia="Calibri" w:hAnsi="Calibri"/>
          <w:i/>
          <w:iCs/>
          <w:color w:val="1A1A1A"/>
          <w:sz w:val="20"/>
          <w:szCs w:val="20"/>
        </w:rPr>
        <w:t xml:space="preserve">comme portant atteinte à une liberté fondamentale constitutionnellement garantie</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 11</w:t>
      </w:r>
      <w:r>
        <w:rPr>
          <w:rFonts w:ascii="Calibri" w:cs="Calibri" w:eastAsia="Calibri" w:hAnsi="Calibri"/>
          <w:color w:val="1A1A1A"/>
          <w:sz w:val="20"/>
          <w:szCs w:val="20"/>
        </w:rPr>
        <w:t xml:space="preserve">) ; continuité avec </w:t>
      </w:r>
      <w:r>
        <w:rPr>
          <w:rFonts w:ascii="Calibri" w:cs="Calibri" w:eastAsia="Calibri" w:hAnsi="Calibri"/>
          <w:color w:val="E91E63"/>
          <w:sz w:val="20"/>
          <w:szCs w:val="20"/>
        </w:rPr>
        <w:t xml:space="preserve">Soc., 16 févr. 2022</w:t>
      </w:r>
      <w:r>
        <w:rPr>
          <w:rFonts w:ascii="Calibri" w:cs="Calibri" w:eastAsia="Calibri" w:hAnsi="Calibri"/>
          <w:color w:val="1A1A1A"/>
          <w:sz w:val="20"/>
          <w:szCs w:val="20"/>
        </w:rPr>
        <w:t xml:space="preserve"> et </w:t>
      </w:r>
      <w:r>
        <w:rPr>
          <w:rFonts w:ascii="Calibri" w:cs="Calibri" w:eastAsia="Calibri" w:hAnsi="Calibri"/>
          <w:color w:val="E91E63"/>
          <w:sz w:val="20"/>
          <w:szCs w:val="20"/>
        </w:rPr>
        <w:t xml:space="preserve">29 juin 2022</w:t>
      </w:r>
      <w:r>
        <w:rPr>
          <w:rFonts w:ascii="Calibri" w:cs="Calibri" w:eastAsia="Calibri" w:hAnsi="Calibri"/>
          <w:color w:val="1A1A1A"/>
          <w:sz w:val="20"/>
          <w:szCs w:val="20"/>
        </w:rPr>
        <w:t xml:space="preserve"> ; conséquences : réintégration ou indemnité d’au moins six mois hors barème (</w:t>
      </w:r>
      <w:r>
        <w:rPr>
          <w:rFonts w:ascii="Calibri" w:cs="Calibri" w:eastAsia="Calibri" w:hAnsi="Calibri"/>
          <w:color w:val="1E88E5"/>
          <w:sz w:val="20"/>
          <w:szCs w:val="20"/>
        </w:rPr>
        <w:t xml:space="preserve">L. 1235-3-1</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Le volet syndical</w:t>
      </w:r>
      <w:r>
        <w:rPr>
          <w:rFonts w:ascii="Calibri" w:cs="Calibri" w:eastAsia="Calibri" w:hAnsi="Calibri"/>
          <w:color w:val="1A1A1A"/>
          <w:sz w:val="20"/>
          <w:szCs w:val="20"/>
        </w:rPr>
        <w:t xml:space="preserve"> (bref) : irrecevabilité du syndicat lorsque l’atteinte ne concerne qu’un salarié sans mandat (</w:t>
      </w:r>
      <w:r>
        <w:rPr>
          <w:rFonts w:ascii="Calibri" w:cs="Calibri" w:eastAsia="Calibri" w:hAnsi="Calibri"/>
          <w:color w:val="1E88E5"/>
          <w:sz w:val="20"/>
          <w:szCs w:val="20"/>
        </w:rPr>
        <w:t xml:space="preserve">L. 2132-3</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 8</w:t>
      </w:r>
      <w:r>
        <w:rPr>
          <w:rFonts w:ascii="Calibri" w:cs="Calibri" w:eastAsia="Calibri" w:hAnsi="Calibri"/>
          <w:color w:val="1A1A1A"/>
          <w:sz w:val="20"/>
          <w:szCs w:val="20"/>
        </w:rPr>
        <w:t xml:space="preserve">) : la liberté d’expression est ici défendue comme une liberté </w:t>
      </w:r>
      <w:r>
        <w:rPr>
          <w:rFonts w:ascii="Calibri" w:cs="Calibri" w:eastAsia="Calibri" w:hAnsi="Calibri"/>
          <w:i/>
          <w:iCs/>
          <w:color w:val="1A1A1A"/>
          <w:sz w:val="20"/>
          <w:szCs w:val="20"/>
        </w:rPr>
        <w:t xml:space="preserve">individuelle</w:t>
      </w:r>
      <w:r>
        <w:rPr>
          <w:rFonts w:ascii="Calibri" w:cs="Calibri" w:eastAsia="Calibri" w:hAnsi="Calibri"/>
          <w:color w:val="1A1A1A"/>
          <w:sz w:val="20"/>
          <w:szCs w:val="20"/>
        </w:rPr>
        <w:t xml:space="preserve">.</w:t>
      </w:r>
    </w:p>
    <w:p>
      <w:pPr>
        <w:pStyle w:val="Heading3"/>
        <w:spacing w:after="80" w:before="200"/>
      </w:pPr>
      <w:r>
        <w:rPr>
          <w:rFonts w:ascii="Calibri" w:cs="Calibri" w:eastAsia="Calibri" w:hAnsi="Calibri"/>
          <w:b/>
          <w:bCs/>
          <w:i/>
          <w:iCs/>
          <w:color w:val="1A1A1A"/>
          <w:sz w:val="21"/>
          <w:szCs w:val="21"/>
        </w:rPr>
        <w:t xml:space="preserve">B. Une méthode européanisée : nécessité, adéquation, proportionnalité</w:t>
      </w:r>
    </w:p>
    <w:p>
      <w:pPr>
        <w:pStyle w:val="ListParagraph"/>
        <w:numPr>
          <w:ilvl w:val="0"/>
          <w:numId w:val="2"/>
        </w:numPr>
        <w:spacing w:after="70" w:line="264"/>
        <w:jc w:val="both"/>
      </w:pPr>
      <w:r>
        <w:rPr>
          <w:rFonts w:ascii="Calibri" w:cs="Calibri" w:eastAsia="Calibri" w:hAnsi="Calibri"/>
          <w:b/>
          <w:bCs/>
          <w:color w:val="1A1A1A"/>
          <w:sz w:val="20"/>
          <w:szCs w:val="20"/>
        </w:rPr>
        <w:t xml:space="preserve">La disparition du « sauf abus »</w:t>
      </w:r>
      <w:r>
        <w:rPr>
          <w:rFonts w:ascii="Calibri" w:cs="Calibri" w:eastAsia="Calibri" w:hAnsi="Calibri"/>
          <w:color w:val="1A1A1A"/>
          <w:sz w:val="20"/>
          <w:szCs w:val="20"/>
        </w:rPr>
        <w:t xml:space="preserve"> : comparer le moyen (</w:t>
      </w:r>
      <w:r>
        <w:rPr>
          <w:rFonts w:ascii="Calibri" w:cs="Calibri" w:eastAsia="Calibri" w:hAnsi="Calibri"/>
          <w:color w:val="E91E63"/>
          <w:sz w:val="20"/>
          <w:szCs w:val="20"/>
        </w:rPr>
        <w:t xml:space="preserve">§ 10, 3°</w:t>
      </w:r>
      <w:r>
        <w:rPr>
          <w:rFonts w:ascii="Calibri" w:cs="Calibri" w:eastAsia="Calibri" w:hAnsi="Calibri"/>
          <w:color w:val="1A1A1A"/>
          <w:sz w:val="20"/>
          <w:szCs w:val="20"/>
        </w:rPr>
        <w:t xml:space="preserve">) et la réponse (</w:t>
      </w:r>
      <w:r>
        <w:rPr>
          <w:rFonts w:ascii="Calibri" w:cs="Calibri" w:eastAsia="Calibri" w:hAnsi="Calibri"/>
          <w:color w:val="E91E63"/>
          <w:sz w:val="20"/>
          <w:szCs w:val="20"/>
        </w:rPr>
        <w:t xml:space="preserve">§ 11</w:t>
      </w:r>
      <w:r>
        <w:rPr>
          <w:rFonts w:ascii="Calibri" w:cs="Calibri" w:eastAsia="Calibri" w:hAnsi="Calibri"/>
          <w:color w:val="1A1A1A"/>
          <w:sz w:val="20"/>
          <w:szCs w:val="20"/>
        </w:rPr>
        <w:t xml:space="preserve">). La limite n’est plus l’abus (propos injurieux, diffamatoires ou excessifs, </w:t>
      </w:r>
      <w:r>
        <w:rPr>
          <w:rFonts w:ascii="Calibri" w:cs="Calibri" w:eastAsia="Calibri" w:hAnsi="Calibri"/>
          <w:color w:val="E91E63"/>
          <w:sz w:val="20"/>
          <w:szCs w:val="20"/>
        </w:rPr>
        <w:t xml:space="preserve">Soc., 21 mars 2018</w:t>
      </w:r>
      <w:r>
        <w:rPr>
          <w:rFonts w:ascii="Calibri" w:cs="Calibri" w:eastAsia="Calibri" w:hAnsi="Calibri"/>
          <w:color w:val="1A1A1A"/>
          <w:sz w:val="20"/>
          <w:szCs w:val="20"/>
        </w:rPr>
        <w:t xml:space="preserve">), mais la restriction « </w:t>
      </w:r>
      <w:r>
        <w:rPr>
          <w:rFonts w:ascii="Calibri" w:cs="Calibri" w:eastAsia="Calibri" w:hAnsi="Calibri"/>
          <w:i/>
          <w:iCs/>
          <w:color w:val="1A1A1A"/>
          <w:sz w:val="20"/>
          <w:szCs w:val="20"/>
        </w:rPr>
        <w:t xml:space="preserve">justifiée par la nature de la tâche à accomplir et proportionnée au but recherché</w:t>
      </w:r>
      <w:r>
        <w:rPr>
          <w:rFonts w:ascii="Calibri" w:cs="Calibri" w:eastAsia="Calibri" w:hAnsi="Calibri"/>
          <w:color w:val="1A1A1A"/>
          <w:sz w:val="20"/>
          <w:szCs w:val="20"/>
        </w:rPr>
        <w:t xml:space="preserve"> ».</w:t>
      </w:r>
    </w:p>
    <w:p>
      <w:pPr>
        <w:pStyle w:val="ListParagraph"/>
        <w:numPr>
          <w:ilvl w:val="0"/>
          <w:numId w:val="2"/>
        </w:numPr>
        <w:spacing w:after="70" w:line="264"/>
        <w:jc w:val="both"/>
      </w:pPr>
      <w:r>
        <w:rPr>
          <w:rFonts w:ascii="Calibri" w:cs="Calibri" w:eastAsia="Calibri" w:hAnsi="Calibri"/>
          <w:b/>
          <w:bCs/>
          <w:color w:val="1A1A1A"/>
          <w:sz w:val="20"/>
          <w:szCs w:val="20"/>
        </w:rPr>
        <w:t xml:space="preserve">Pourquoi abandonner l’abus ?</w:t>
      </w:r>
      <w:r>
        <w:rPr>
          <w:rFonts w:ascii="Calibri" w:cs="Calibri" w:eastAsia="Calibri" w:hAnsi="Calibri"/>
          <w:color w:val="1A1A1A"/>
          <w:sz w:val="20"/>
          <w:szCs w:val="20"/>
        </w:rPr>
        <w:t xml:space="preserve"> Notion circulaire (l’« excès » se définit par le dépassement d’une limite qu’il prétend fixer) ; appréciation propos par propos ; méthode qui ignore la sanction elle-même : on jugeait les propos, pas la mesure. La cour d’appel en offre une illustration, en substituant à l’abus une « obligation de courtoisie et de délicatesse » sans texte.</w:t>
      </w:r>
    </w:p>
    <w:p>
      <w:pPr>
        <w:pStyle w:val="ListParagraph"/>
        <w:numPr>
          <w:ilvl w:val="0"/>
          <w:numId w:val="2"/>
        </w:numPr>
        <w:spacing w:after="70" w:line="264"/>
        <w:jc w:val="both"/>
      </w:pPr>
      <w:r>
        <w:rPr>
          <w:rFonts w:ascii="Calibri" w:cs="Calibri" w:eastAsia="Calibri" w:hAnsi="Calibri"/>
          <w:b/>
          <w:bCs/>
          <w:color w:val="1A1A1A"/>
          <w:sz w:val="20"/>
          <w:szCs w:val="20"/>
        </w:rPr>
        <w:t xml:space="preserve">La mise en balance</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 12</w:t>
      </w:r>
      <w:r>
        <w:rPr>
          <w:rFonts w:ascii="Calibri" w:cs="Calibri" w:eastAsia="Calibri" w:hAnsi="Calibri"/>
          <w:color w:val="1A1A1A"/>
          <w:sz w:val="20"/>
          <w:szCs w:val="20"/>
        </w:rPr>
        <w:t xml:space="preserve">) : conflit entre deux droits, la liberté du salarié et « </w:t>
      </w:r>
      <w:r>
        <w:rPr>
          <w:rFonts w:ascii="Calibri" w:cs="Calibri" w:eastAsia="Calibri" w:hAnsi="Calibri"/>
          <w:i/>
          <w:iCs/>
          <w:color w:val="1A1A1A"/>
          <w:sz w:val="20"/>
          <w:szCs w:val="20"/>
        </w:rPr>
        <w:t xml:space="preserve">le droit de l’employeur à la protection de ses intérêts</w:t>
      </w:r>
      <w:r>
        <w:rPr>
          <w:rFonts w:ascii="Calibri" w:cs="Calibri" w:eastAsia="Calibri" w:hAnsi="Calibri"/>
          <w:color w:val="1A1A1A"/>
          <w:sz w:val="20"/>
          <w:szCs w:val="20"/>
        </w:rPr>
        <w:t xml:space="preserve"> » (liberté d’entreprendre, </w:t>
      </w:r>
      <w:r>
        <w:rPr>
          <w:rFonts w:ascii="Calibri" w:cs="Calibri" w:eastAsia="Calibri" w:hAnsi="Calibri"/>
          <w:color w:val="1E88E5"/>
          <w:sz w:val="20"/>
          <w:szCs w:val="20"/>
        </w:rPr>
        <w:t xml:space="preserve">art. 4 DDHC</w:t>
      </w:r>
      <w:r>
        <w:rPr>
          <w:rFonts w:ascii="Calibri" w:cs="Calibri" w:eastAsia="Calibri" w:hAnsi="Calibri"/>
          <w:color w:val="1A1A1A"/>
          <w:sz w:val="20"/>
          <w:szCs w:val="20"/>
        </w:rPr>
        <w:t xml:space="preserve"> ; obligation de sécurité, </w:t>
      </w:r>
      <w:r>
        <w:rPr>
          <w:rFonts w:ascii="Calibri" w:cs="Calibri" w:eastAsia="Calibri" w:hAnsi="Calibri"/>
          <w:color w:val="1E88E5"/>
          <w:sz w:val="20"/>
          <w:szCs w:val="20"/>
        </w:rPr>
        <w:t xml:space="preserve">L. 4121-1</w:t>
      </w:r>
      <w:r>
        <w:rPr>
          <w:rFonts w:ascii="Calibri" w:cs="Calibri" w:eastAsia="Calibri" w:hAnsi="Calibri"/>
          <w:color w:val="1A1A1A"/>
          <w:sz w:val="20"/>
          <w:szCs w:val="20"/>
        </w:rPr>
        <w:t xml:space="preserve">). Triple test de nécessité, d’adéquation et de proportionnalité, familier du Conseil constitutionnel (« </w:t>
      </w:r>
      <w:r>
        <w:rPr>
          <w:rFonts w:ascii="Calibri" w:cs="Calibri" w:eastAsia="Calibri" w:hAnsi="Calibri"/>
          <w:i/>
          <w:iCs/>
          <w:color w:val="1A1A1A"/>
          <w:sz w:val="20"/>
          <w:szCs w:val="20"/>
        </w:rPr>
        <w:t xml:space="preserve">adaptées, nécessaires et proportionnées</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n° 2008-562 DC du 21 févr. 2008</w:t>
      </w:r>
      <w:r>
        <w:rPr>
          <w:rFonts w:ascii="Calibri" w:cs="Calibri" w:eastAsia="Calibri" w:hAnsi="Calibri"/>
          <w:color w:val="1A1A1A"/>
          <w:sz w:val="20"/>
          <w:szCs w:val="20"/>
        </w:rPr>
        <w:t xml:space="preserve">) et du Conseil d’État.</w:t>
      </w:r>
    </w:p>
    <w:p>
      <w:pPr>
        <w:pStyle w:val="ListParagraph"/>
        <w:numPr>
          <w:ilvl w:val="0"/>
          <w:numId w:val="2"/>
        </w:numPr>
        <w:spacing w:after="70" w:line="264"/>
        <w:jc w:val="both"/>
      </w:pPr>
      <w:r>
        <w:rPr>
          <w:rFonts w:ascii="Calibri" w:cs="Calibri" w:eastAsia="Calibri" w:hAnsi="Calibri"/>
          <w:b/>
          <w:bCs/>
          <w:color w:val="1A1A1A"/>
          <w:sz w:val="20"/>
          <w:szCs w:val="20"/>
        </w:rPr>
        <w:t xml:space="preserve">L’inspiration européenne</w:t>
      </w:r>
      <w:r>
        <w:rPr>
          <w:rFonts w:ascii="Calibri" w:cs="Calibri" w:eastAsia="Calibri" w:hAnsi="Calibri"/>
          <w:color w:val="1A1A1A"/>
          <w:sz w:val="20"/>
          <w:szCs w:val="20"/>
        </w:rPr>
        <w:t xml:space="preserve"> : art. 10 § 2 (« </w:t>
      </w:r>
      <w:r>
        <w:rPr>
          <w:rFonts w:ascii="Calibri" w:cs="Calibri" w:eastAsia="Calibri" w:hAnsi="Calibri"/>
          <w:i/>
          <w:iCs/>
          <w:color w:val="1A1A1A"/>
          <w:sz w:val="20"/>
          <w:szCs w:val="20"/>
        </w:rPr>
        <w:t xml:space="preserve">nécessaire dans une société démocratique</w:t>
      </w:r>
      <w:r>
        <w:rPr>
          <w:rFonts w:ascii="Calibri" w:cs="Calibri" w:eastAsia="Calibri" w:hAnsi="Calibri"/>
          <w:color w:val="1A1A1A"/>
          <w:sz w:val="20"/>
          <w:szCs w:val="20"/>
        </w:rPr>
        <w:t xml:space="preserve"> », « </w:t>
      </w:r>
      <w:r>
        <w:rPr>
          <w:rFonts w:ascii="Calibri" w:cs="Calibri" w:eastAsia="Calibri" w:hAnsi="Calibri"/>
          <w:i/>
          <w:iCs/>
          <w:color w:val="1A1A1A"/>
          <w:sz w:val="20"/>
          <w:szCs w:val="20"/>
        </w:rPr>
        <w:t xml:space="preserve">protection de la réputation ou des droits d’autrui</w:t>
      </w:r>
      <w:r>
        <w:rPr>
          <w:rFonts w:ascii="Calibri" w:cs="Calibri" w:eastAsia="Calibri" w:hAnsi="Calibri"/>
          <w:color w:val="1A1A1A"/>
          <w:sz w:val="20"/>
          <w:szCs w:val="20"/>
        </w:rPr>
        <w:t xml:space="preserve"> ») ; la chambre sociale aligne sa méthode sur celle de Strasbourg pour prévenir des condamnations et s’inscrit dans le mouvement général de la Cour de cassation (</w:t>
      </w:r>
      <w:r>
        <w:rPr>
          <w:rFonts w:ascii="Calibri" w:cs="Calibri" w:eastAsia="Calibri" w:hAnsi="Calibri"/>
          <w:color w:val="E91E63"/>
          <w:sz w:val="20"/>
          <w:szCs w:val="20"/>
        </w:rPr>
        <w:t xml:space="preserve">Ass. plén., 22 déc. 2023</w:t>
      </w:r>
      <w:r>
        <w:rPr>
          <w:rFonts w:ascii="Calibri" w:cs="Calibri" w:eastAsia="Calibri" w:hAnsi="Calibri"/>
          <w:color w:val="1A1A1A"/>
          <w:sz w:val="20"/>
          <w:szCs w:val="20"/>
        </w:rPr>
        <w:t xml:space="preserve">, preuve déloyale ; </w:t>
      </w:r>
      <w:r>
        <w:rPr>
          <w:rFonts w:ascii="Calibri" w:cs="Calibri" w:eastAsia="Calibri" w:hAnsi="Calibri"/>
          <w:color w:val="E91E63"/>
          <w:sz w:val="20"/>
          <w:szCs w:val="20"/>
        </w:rPr>
        <w:t xml:space="preserve">Tex</w:t>
      </w:r>
      <w:r>
        <w:rPr>
          <w:rFonts w:ascii="Calibri" w:cs="Calibri" w:eastAsia="Calibri" w:hAnsi="Calibri"/>
          <w:color w:val="1A1A1A"/>
          <w:sz w:val="20"/>
          <w:szCs w:val="20"/>
        </w:rPr>
        <w:t xml:space="preserve">, 2022).</w:t>
      </w:r>
    </w:p>
    <w:p>
      <w:pPr>
        <w:spacing w:after="90" w:line="264"/>
        <w:jc w:val="both"/>
      </w:pPr>
      <w:r>
        <w:rPr>
          <w:rFonts w:ascii="Calibri" w:cs="Calibri" w:eastAsia="Calibri" w:hAnsi="Calibri"/>
          <w:i/>
          <w:iCs/>
          <w:color w:val="1A1A1A"/>
          <w:sz w:val="20"/>
          <w:szCs w:val="20"/>
        </w:rPr>
        <w:t xml:space="preserve">Transition</w:t>
      </w:r>
      <w:r>
        <w:rPr>
          <w:rFonts w:ascii="Calibri" w:cs="Calibri" w:eastAsia="Calibri" w:hAnsi="Calibri"/>
          <w:color w:val="1A1A1A"/>
          <w:sz w:val="20"/>
          <w:szCs w:val="20"/>
        </w:rPr>
        <w:t xml:space="preserve"> : une méthode ne vaut que par ses critères et par la manière dont le juge les applique. Or la Cour ne se contente pas d’énoncer un principe : elle en détaille la mise en œuvre et sanctionne la cour d’appel qui s’en est dispensée.</w:t>
      </w:r>
    </w:p>
    <w:p>
      <w:pPr>
        <w:pStyle w:val="Heading2"/>
        <w:spacing w:after="110" w:before="260"/>
      </w:pPr>
      <w:r>
        <w:rPr>
          <w:rFonts w:ascii="Calibri" w:cs="Calibri" w:eastAsia="Calibri" w:hAnsi="Calibri"/>
          <w:b/>
          <w:bCs/>
          <w:color w:val="1A1A1A"/>
          <w:spacing w:val="16"/>
          <w:sz w:val="23"/>
          <w:szCs w:val="23"/>
        </w:rPr>
        <w:t xml:space="preserve">II. Une mise en œuvre exigeante : l’office renforcé du juge du fond</w:t>
      </w:r>
    </w:p>
    <w:p>
      <w:pPr>
        <w:spacing w:after="90" w:line="264"/>
        <w:jc w:val="both"/>
      </w:pPr>
      <w:r>
        <w:rPr>
          <w:rFonts w:ascii="Calibri" w:cs="Calibri" w:eastAsia="Calibri" w:hAnsi="Calibri"/>
          <w:i/>
          <w:iCs/>
          <w:color w:val="1A1A1A"/>
          <w:sz w:val="20"/>
          <w:szCs w:val="20"/>
        </w:rPr>
        <w:t xml:space="preserve">Chapeau</w:t>
      </w:r>
      <w:r>
        <w:rPr>
          <w:rFonts w:ascii="Calibri" w:cs="Calibri" w:eastAsia="Calibri" w:hAnsi="Calibri"/>
          <w:color w:val="1A1A1A"/>
          <w:sz w:val="20"/>
          <w:szCs w:val="20"/>
        </w:rPr>
        <w:t xml:space="preserve"> : la Cour fournit au juge quatre éléments d’appréciation qu’elle applique aux caricatures (A), ce qui confère à l’arrêt une portée réelle mais ambivalente (B).</w:t>
      </w:r>
    </w:p>
    <w:p>
      <w:pPr>
        <w:pStyle w:val="Heading3"/>
        <w:spacing w:after="80" w:before="200"/>
      </w:pPr>
      <w:r>
        <w:rPr>
          <w:rFonts w:ascii="Calibri" w:cs="Calibri" w:eastAsia="Calibri" w:hAnsi="Calibri"/>
          <w:b/>
          <w:bCs/>
          <w:i/>
          <w:iCs/>
          <w:color w:val="1A1A1A"/>
          <w:sz w:val="21"/>
          <w:szCs w:val="21"/>
        </w:rPr>
        <w:t xml:space="preserve">A. Quatre éléments d’appréciation appliqués aux caricatures</w:t>
      </w:r>
    </w:p>
    <w:p>
      <w:pPr>
        <w:pStyle w:val="ListParagraph"/>
        <w:numPr>
          <w:ilvl w:val="0"/>
          <w:numId w:val="2"/>
        </w:numPr>
        <w:spacing w:after="70" w:line="264"/>
        <w:jc w:val="both"/>
      </w:pPr>
      <w:r>
        <w:rPr>
          <w:rFonts w:ascii="Calibri" w:cs="Calibri" w:eastAsia="Calibri" w:hAnsi="Calibri"/>
          <w:b/>
          <w:bCs/>
          <w:color w:val="1A1A1A"/>
          <w:sz w:val="20"/>
          <w:szCs w:val="20"/>
        </w:rPr>
        <w:t xml:space="preserve">La teneur des propos</w:t>
      </w:r>
      <w:r>
        <w:rPr>
          <w:rFonts w:ascii="Calibri" w:cs="Calibri" w:eastAsia="Calibri" w:hAnsi="Calibri"/>
          <w:color w:val="1A1A1A"/>
          <w:sz w:val="20"/>
          <w:szCs w:val="20"/>
        </w:rPr>
        <w:t xml:space="preserve"> : une caricature exagère par nature ; le premier dessin est un autoportrait de souffrance, le second une satire de la gestion du personnel (« non recyclable »). Le registre satirique appelle une tolérance accrue (</w:t>
      </w:r>
      <w:r>
        <w:rPr>
          <w:rFonts w:ascii="Calibri" w:cs="Calibri" w:eastAsia="Calibri" w:hAnsi="Calibri"/>
          <w:color w:val="E91E63"/>
          <w:sz w:val="20"/>
          <w:szCs w:val="20"/>
        </w:rPr>
        <w:t xml:space="preserve">Vereinigung Bildender Künstler</w:t>
      </w:r>
      <w:r>
        <w:rPr>
          <w:rFonts w:ascii="Calibri" w:cs="Calibri" w:eastAsia="Calibri" w:hAnsi="Calibri"/>
          <w:color w:val="1A1A1A"/>
          <w:sz w:val="20"/>
          <w:szCs w:val="20"/>
        </w:rPr>
        <w:t xml:space="preserve">), sans immunité (</w:t>
      </w:r>
      <w:r>
        <w:rPr>
          <w:rFonts w:ascii="Calibri" w:cs="Calibri" w:eastAsia="Calibri" w:hAnsi="Calibri"/>
          <w:color w:val="E91E63"/>
          <w:sz w:val="20"/>
          <w:szCs w:val="20"/>
        </w:rPr>
        <w:t xml:space="preserve">Palomo Sánchez</w:t>
      </w:r>
      <w:r>
        <w:rPr>
          <w:rFonts w:ascii="Calibri" w:cs="Calibri" w:eastAsia="Calibri" w:hAnsi="Calibri"/>
          <w:color w:val="1A1A1A"/>
          <w:sz w:val="20"/>
          <w:szCs w:val="20"/>
        </w:rPr>
        <w:t xml:space="preserve"> : la caricature humiliante peut justifier un licenciement).</w:t>
      </w:r>
    </w:p>
    <w:p>
      <w:pPr>
        <w:pStyle w:val="ListParagraph"/>
        <w:numPr>
          <w:ilvl w:val="0"/>
          <w:numId w:val="2"/>
        </w:numPr>
        <w:spacing w:after="70" w:line="264"/>
        <w:jc w:val="both"/>
      </w:pPr>
      <w:r>
        <w:rPr>
          <w:rFonts w:ascii="Calibri" w:cs="Calibri" w:eastAsia="Calibri" w:hAnsi="Calibri"/>
          <w:b/>
          <w:bCs/>
          <w:color w:val="1A1A1A"/>
          <w:sz w:val="20"/>
          <w:szCs w:val="20"/>
        </w:rPr>
        <w:t xml:space="preserve">Le contexte</w:t>
      </w:r>
      <w:r>
        <w:rPr>
          <w:rFonts w:ascii="Calibri" w:cs="Calibri" w:eastAsia="Calibri" w:hAnsi="Calibri"/>
          <w:color w:val="1A1A1A"/>
          <w:sz w:val="20"/>
          <w:szCs w:val="20"/>
        </w:rPr>
        <w:t xml:space="preserve"> : un salarié malade, des demandes d’aménagement restées sans réponse. Le dessin est la réponse à un silence ; il relève de la protestation plus que de l’agression. C’est le premier grief retenu au </w:t>
      </w:r>
      <w:r>
        <w:rPr>
          <w:rFonts w:ascii="Calibri" w:cs="Calibri" w:eastAsia="Calibri" w:hAnsi="Calibri"/>
          <w:color w:val="E91E63"/>
          <w:sz w:val="20"/>
          <w:szCs w:val="20"/>
        </w:rPr>
        <w:t xml:space="preserve">§ 17</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La portée et l’impact</w:t>
      </w:r>
      <w:r>
        <w:rPr>
          <w:rFonts w:ascii="Calibri" w:cs="Calibri" w:eastAsia="Calibri" w:hAnsi="Calibri"/>
          <w:color w:val="1A1A1A"/>
          <w:sz w:val="20"/>
          <w:szCs w:val="20"/>
        </w:rPr>
        <w:t xml:space="preserve"> : remise </w:t>
      </w:r>
      <w:r>
        <w:rPr>
          <w:rFonts w:ascii="Calibri" w:cs="Calibri" w:eastAsia="Calibri" w:hAnsi="Calibri"/>
          <w:i/>
          <w:iCs/>
          <w:color w:val="1A1A1A"/>
          <w:sz w:val="20"/>
          <w:szCs w:val="20"/>
        </w:rPr>
        <w:t xml:space="preserve">personnelle</w:t>
      </w:r>
      <w:r>
        <w:rPr>
          <w:rFonts w:ascii="Calibri" w:cs="Calibri" w:eastAsia="Calibri" w:hAnsi="Calibri"/>
          <w:color w:val="1A1A1A"/>
          <w:sz w:val="20"/>
          <w:szCs w:val="20"/>
        </w:rPr>
        <w:t xml:space="preserve"> au RRH, non diffusion publique ; la Cour demande de vérifier la « </w:t>
      </w:r>
      <w:r>
        <w:rPr>
          <w:rFonts w:ascii="Calibri" w:cs="Calibri" w:eastAsia="Calibri" w:hAnsi="Calibri"/>
          <w:i/>
          <w:iCs/>
          <w:color w:val="1A1A1A"/>
          <w:sz w:val="20"/>
          <w:szCs w:val="20"/>
        </w:rPr>
        <w:t xml:space="preserve">publicité</w:t>
      </w:r>
      <w:r>
        <w:rPr>
          <w:rFonts w:ascii="Calibri" w:cs="Calibri" w:eastAsia="Calibri" w:hAnsi="Calibri"/>
          <w:color w:val="1A1A1A"/>
          <w:sz w:val="20"/>
          <w:szCs w:val="20"/>
        </w:rPr>
        <w:t xml:space="preserve"> » donnée aux dessins avant le licenciement. Une critique adressée à la hiérarchie n’a pas la même portée qu’une diffusion à tout le personnel (comparer </w:t>
      </w:r>
      <w:r>
        <w:rPr>
          <w:rFonts w:ascii="Calibri" w:cs="Calibri" w:eastAsia="Calibri" w:hAnsi="Calibri"/>
          <w:color w:val="E91E63"/>
          <w:sz w:val="20"/>
          <w:szCs w:val="20"/>
        </w:rPr>
        <w:t xml:space="preserve">Melike c. Turquie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Les conséquences négatives</w:t>
      </w:r>
      <w:r>
        <w:rPr>
          <w:rFonts w:ascii="Calibri" w:cs="Calibri" w:eastAsia="Calibri" w:hAnsi="Calibri"/>
          <w:color w:val="1A1A1A"/>
          <w:sz w:val="20"/>
          <w:szCs w:val="20"/>
        </w:rPr>
        <w:t xml:space="preserve"> : la Cour exige l’« </w:t>
      </w:r>
      <w:r>
        <w:rPr>
          <w:rFonts w:ascii="Calibri" w:cs="Calibri" w:eastAsia="Calibri" w:hAnsi="Calibri"/>
          <w:i/>
          <w:iCs/>
          <w:color w:val="1A1A1A"/>
          <w:sz w:val="20"/>
          <w:szCs w:val="20"/>
        </w:rPr>
        <w:t xml:space="preserve">effectivité</w:t>
      </w:r>
      <w:r>
        <w:rPr>
          <w:rFonts w:ascii="Calibri" w:cs="Calibri" w:eastAsia="Calibri" w:hAnsi="Calibri"/>
          <w:color w:val="1A1A1A"/>
          <w:sz w:val="20"/>
          <w:szCs w:val="20"/>
        </w:rPr>
        <w:t xml:space="preserve"> » de l’atteinte à l’honneur du RRH « </w:t>
      </w:r>
      <w:r>
        <w:rPr>
          <w:rFonts w:ascii="Calibri" w:cs="Calibri" w:eastAsia="Calibri" w:hAnsi="Calibri"/>
          <w:i/>
          <w:iCs/>
          <w:color w:val="1A1A1A"/>
          <w:sz w:val="20"/>
          <w:szCs w:val="20"/>
        </w:rPr>
        <w:t xml:space="preserve">qui se serait reconnu</w:t>
      </w:r>
      <w:r>
        <w:rPr>
          <w:rFonts w:ascii="Calibri" w:cs="Calibri" w:eastAsia="Calibri" w:hAnsi="Calibri"/>
          <w:color w:val="1A1A1A"/>
          <w:sz w:val="20"/>
          <w:szCs w:val="20"/>
        </w:rPr>
        <w:t xml:space="preserve"> » ; l’atteinte ne se présume pas du ressenti de la personne visée.</w:t>
      </w:r>
    </w:p>
    <w:p>
      <w:pPr>
        <w:pStyle w:val="ListParagraph"/>
        <w:numPr>
          <w:ilvl w:val="0"/>
          <w:numId w:val="2"/>
        </w:numPr>
        <w:spacing w:after="70" w:line="264"/>
        <w:jc w:val="both"/>
      </w:pPr>
      <w:r>
        <w:rPr>
          <w:rFonts w:ascii="Calibri" w:cs="Calibri" w:eastAsia="Calibri" w:hAnsi="Calibri"/>
          <w:b/>
          <w:bCs/>
          <w:color w:val="1A1A1A"/>
          <w:sz w:val="20"/>
          <w:szCs w:val="20"/>
        </w:rPr>
        <w:t xml:space="preserve">La pesée finale porte sur la sanction</w:t>
      </w:r>
      <w:r>
        <w:rPr>
          <w:rFonts w:ascii="Calibri" w:cs="Calibri" w:eastAsia="Calibri" w:hAnsi="Calibri"/>
          <w:color w:val="1A1A1A"/>
          <w:sz w:val="20"/>
          <w:szCs w:val="20"/>
        </w:rPr>
        <w:t xml:space="preserve"> : le licenciement, sanction la plus grave, était-il nécessaire ? Une mesure moins attentatoire (entretien, rappel à l’ordre, avertissement, réponse aux demandes d’aménagement) aurait-elle suffi ? C’est l’apport du critère de nécessité.</w:t>
      </w:r>
    </w:p>
    <w:p>
      <w:pPr>
        <w:pStyle w:val="ListParagraph"/>
        <w:numPr>
          <w:ilvl w:val="0"/>
          <w:numId w:val="2"/>
        </w:numPr>
        <w:spacing w:after="70" w:line="264"/>
        <w:jc w:val="both"/>
      </w:pPr>
      <w:r>
        <w:rPr>
          <w:rFonts w:ascii="Calibri" w:cs="Calibri" w:eastAsia="Calibri" w:hAnsi="Calibri"/>
          <w:b/>
          <w:bCs/>
          <w:color w:val="1A1A1A"/>
          <w:sz w:val="20"/>
          <w:szCs w:val="20"/>
        </w:rPr>
        <w:t xml:space="preserve">Le contrôle de la Cour de cassation</w:t>
      </w:r>
      <w:r>
        <w:rPr>
          <w:rFonts w:ascii="Calibri" w:cs="Calibri" w:eastAsia="Calibri" w:hAnsi="Calibri"/>
          <w:color w:val="1A1A1A"/>
          <w:sz w:val="20"/>
          <w:szCs w:val="20"/>
        </w:rPr>
        <w:t xml:space="preserve"> : cassation pour </w:t>
      </w:r>
      <w:r>
        <w:rPr>
          <w:rFonts w:ascii="Calibri" w:cs="Calibri" w:eastAsia="Calibri" w:hAnsi="Calibri"/>
          <w:b/>
          <w:bCs/>
          <w:color w:val="1A1A1A"/>
          <w:sz w:val="20"/>
          <w:szCs w:val="20"/>
        </w:rPr>
        <w:t xml:space="preserve">violation de la loi</w:t>
      </w:r>
      <w:r>
        <w:rPr>
          <w:rFonts w:ascii="Calibri" w:cs="Calibri" w:eastAsia="Calibri" w:hAnsi="Calibri"/>
          <w:color w:val="1A1A1A"/>
          <w:sz w:val="20"/>
          <w:szCs w:val="20"/>
        </w:rPr>
        <w:t xml:space="preserve">, non pour simple manque de base légale ; la Cour contrôle la méthode (contrôle normatif) et laisse la pesée aux juges du fond. Elle ne dit pas que le licenciement est nul : la cour de renvoi pourra conclure dans un sens ou dans l’autre.</w:t>
      </w:r>
    </w:p>
    <w:p>
      <w:pPr>
        <w:pStyle w:val="Heading3"/>
        <w:spacing w:after="80" w:before="200"/>
      </w:pPr>
      <w:r>
        <w:rPr>
          <w:rFonts w:ascii="Calibri" w:cs="Calibri" w:eastAsia="Calibri" w:hAnsi="Calibri"/>
          <w:b/>
          <w:bCs/>
          <w:i/>
          <w:iCs/>
          <w:color w:val="1A1A1A"/>
          <w:sz w:val="21"/>
          <w:szCs w:val="21"/>
        </w:rPr>
        <w:t xml:space="preserve">B. Une portée ambivalente</w:t>
      </w:r>
    </w:p>
    <w:p>
      <w:pPr>
        <w:pStyle w:val="ListParagraph"/>
        <w:numPr>
          <w:ilvl w:val="0"/>
          <w:numId w:val="2"/>
        </w:numPr>
        <w:spacing w:after="70" w:line="264"/>
        <w:jc w:val="both"/>
      </w:pPr>
      <w:r>
        <w:rPr>
          <w:rFonts w:ascii="Calibri" w:cs="Calibri" w:eastAsia="Calibri" w:hAnsi="Calibri"/>
          <w:b/>
          <w:bCs/>
          <w:color w:val="1A1A1A"/>
          <w:sz w:val="20"/>
          <w:szCs w:val="20"/>
        </w:rPr>
        <w:t xml:space="preserve">Un progrès pour le salarié dans l’espèce</w:t>
      </w:r>
      <w:r>
        <w:rPr>
          <w:rFonts w:ascii="Calibri" w:cs="Calibri" w:eastAsia="Calibri" w:hAnsi="Calibri"/>
          <w:color w:val="1A1A1A"/>
          <w:sz w:val="20"/>
          <w:szCs w:val="20"/>
        </w:rPr>
        <w:t xml:space="preserve"> : le contexte personnel (santé, demandes ignorées) entre dans la balance ; la « courtoisie » cesse d’être un critère autonome ; l’employeur doit prouver des conséquences réelles.</w:t>
      </w:r>
    </w:p>
    <w:p>
      <w:pPr>
        <w:pStyle w:val="ListParagraph"/>
        <w:numPr>
          <w:ilvl w:val="0"/>
          <w:numId w:val="2"/>
        </w:numPr>
        <w:spacing w:after="70" w:line="264"/>
        <w:jc w:val="both"/>
      </w:pPr>
      <w:r>
        <w:rPr>
          <w:rFonts w:ascii="Calibri" w:cs="Calibri" w:eastAsia="Calibri" w:hAnsi="Calibri"/>
          <w:b/>
          <w:bCs/>
          <w:color w:val="1A1A1A"/>
          <w:sz w:val="20"/>
          <w:szCs w:val="20"/>
        </w:rPr>
        <w:t xml:space="preserve">Mais une méthode réversible</w:t>
      </w:r>
      <w:r>
        <w:rPr>
          <w:rFonts w:ascii="Calibri" w:cs="Calibri" w:eastAsia="Calibri" w:hAnsi="Calibri"/>
          <w:color w:val="1A1A1A"/>
          <w:sz w:val="20"/>
          <w:szCs w:val="20"/>
        </w:rPr>
        <w:t xml:space="preserve"> : le même jour, la mise en balance valide le licenciement de l’auxiliaire de vie (</w:t>
      </w:r>
      <w:r>
        <w:rPr>
          <w:rFonts w:ascii="Calibri" w:cs="Calibri" w:eastAsia="Calibri" w:hAnsi="Calibri"/>
          <w:color w:val="E91E63"/>
          <w:sz w:val="20"/>
          <w:szCs w:val="20"/>
        </w:rPr>
        <w:t xml:space="preserve">n° 24-13.778</w:t>
      </w:r>
      <w:r>
        <w:rPr>
          <w:rFonts w:ascii="Calibri" w:cs="Calibri" w:eastAsia="Calibri" w:hAnsi="Calibri"/>
          <w:color w:val="1A1A1A"/>
          <w:sz w:val="20"/>
          <w:szCs w:val="20"/>
        </w:rPr>
        <w:t xml:space="preserve">) et censure l’annulation prononcée au profit de la directrice (</w:t>
      </w:r>
      <w:r>
        <w:rPr>
          <w:rFonts w:ascii="Calibri" w:cs="Calibri" w:eastAsia="Calibri" w:hAnsi="Calibri"/>
          <w:color w:val="E91E63"/>
          <w:sz w:val="20"/>
          <w:szCs w:val="20"/>
        </w:rPr>
        <w:t xml:space="preserve">n° 24-19.583</w:t>
      </w:r>
      <w:r>
        <w:rPr>
          <w:rFonts w:ascii="Calibri" w:cs="Calibri" w:eastAsia="Calibri" w:hAnsi="Calibri"/>
          <w:color w:val="1A1A1A"/>
          <w:sz w:val="20"/>
          <w:szCs w:val="20"/>
        </w:rPr>
        <w:t xml:space="preserve">) ; dans un arrêt inédit (</w:t>
      </w:r>
      <w:r>
        <w:rPr>
          <w:rFonts w:ascii="Calibri" w:cs="Calibri" w:eastAsia="Calibri" w:hAnsi="Calibri"/>
          <w:color w:val="E91E63"/>
          <w:sz w:val="20"/>
          <w:szCs w:val="20"/>
        </w:rPr>
        <w:t xml:space="preserve">n° 24-18.877</w:t>
      </w:r>
      <w:r>
        <w:rPr>
          <w:rFonts w:ascii="Calibri" w:cs="Calibri" w:eastAsia="Calibri" w:hAnsi="Calibri"/>
          <w:color w:val="1A1A1A"/>
          <w:sz w:val="20"/>
          <w:szCs w:val="20"/>
        </w:rPr>
        <w:t xml:space="preserve">), la Cour admet qu’un licenciement fondé en partie sur des messages non fautifs reste valable « </w:t>
      </w:r>
      <w:r>
        <w:rPr>
          <w:rFonts w:ascii="Calibri" w:cs="Calibri" w:eastAsia="Calibri" w:hAnsi="Calibri"/>
          <w:i/>
          <w:iCs/>
          <w:color w:val="1A1A1A"/>
          <w:sz w:val="20"/>
          <w:szCs w:val="20"/>
        </w:rPr>
        <w:t xml:space="preserve">peu important que d’autres […] ne le soient pas</w:t>
      </w:r>
      <w:r>
        <w:rPr>
          <w:rFonts w:ascii="Calibri" w:cs="Calibri" w:eastAsia="Calibri" w:hAnsi="Calibri"/>
          <w:color w:val="1A1A1A"/>
          <w:sz w:val="20"/>
          <w:szCs w:val="20"/>
        </w:rPr>
        <w:t xml:space="preserve"> » : le </w:t>
      </w:r>
      <w:r>
        <w:rPr>
          <w:rFonts w:ascii="Calibri" w:cs="Calibri" w:eastAsia="Calibri" w:hAnsi="Calibri"/>
          <w:b/>
          <w:bCs/>
          <w:color w:val="1A1A1A"/>
          <w:sz w:val="20"/>
          <w:szCs w:val="20"/>
        </w:rPr>
        <w:t xml:space="preserve">motif contaminant</w:t>
      </w:r>
      <w:r>
        <w:rPr>
          <w:rFonts w:ascii="Calibri" w:cs="Calibri" w:eastAsia="Calibri" w:hAnsi="Calibri"/>
          <w:color w:val="1A1A1A"/>
          <w:sz w:val="20"/>
          <w:szCs w:val="20"/>
        </w:rPr>
        <w:t xml:space="preserve"> perd son automaticité.</w:t>
      </w:r>
    </w:p>
    <w:p>
      <w:pPr>
        <w:pStyle w:val="ListParagraph"/>
        <w:numPr>
          <w:ilvl w:val="0"/>
          <w:numId w:val="2"/>
        </w:numPr>
        <w:spacing w:after="70" w:line="264"/>
        <w:jc w:val="both"/>
      </w:pPr>
      <w:r>
        <w:rPr>
          <w:rFonts w:ascii="Calibri" w:cs="Calibri" w:eastAsia="Calibri" w:hAnsi="Calibri"/>
          <w:b/>
          <w:bCs/>
          <w:color w:val="1A1A1A"/>
          <w:sz w:val="20"/>
          <w:szCs w:val="20"/>
        </w:rPr>
        <w:t xml:space="preserve">Une prévisibilité amoindrie</w:t>
      </w:r>
      <w:r>
        <w:rPr>
          <w:rFonts w:ascii="Calibri" w:cs="Calibri" w:eastAsia="Calibri" w:hAnsi="Calibri"/>
          <w:color w:val="1A1A1A"/>
          <w:sz w:val="20"/>
          <w:szCs w:val="20"/>
        </w:rPr>
        <w:t xml:space="preserve"> : la casuistique remplace une règle (abus/pas d’abus) ; risque de divergences entre cours d’appel ; la Cour de cassation contrôlera la motivation plus que le résultat. Critique : la proportionnalité « in concreto » transfère au juge une part d’arbitrage autrefois figée par une règle (</w:t>
      </w:r>
      <w:r>
        <w:rPr>
          <w:rFonts w:ascii="Calibri" w:cs="Calibri" w:eastAsia="Calibri" w:hAnsi="Calibri"/>
          <w:color w:val="2E7D32"/>
          <w:sz w:val="20"/>
          <w:szCs w:val="20"/>
        </w:rPr>
        <w:t xml:space="preserve">DLA Piper, avril 2026</w:t>
      </w:r>
      <w:r>
        <w:rPr>
          <w:rFonts w:ascii="Calibri" w:cs="Calibri" w:eastAsia="Calibri" w:hAnsi="Calibri"/>
          <w:color w:val="1A1A1A"/>
          <w:sz w:val="20"/>
          <w:szCs w:val="20"/>
        </w:rPr>
        <w:t xml:space="preserve"> ; inquiétude exprimée par </w:t>
      </w:r>
      <w:r>
        <w:rPr>
          <w:rFonts w:ascii="Calibri" w:cs="Calibri" w:eastAsia="Calibri" w:hAnsi="Calibri"/>
          <w:color w:val="2E7D32"/>
          <w:sz w:val="20"/>
          <w:szCs w:val="20"/>
        </w:rPr>
        <w:t xml:space="preserve">FO, août 2026</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Une cohérence européenne</w:t>
      </w:r>
      <w:r>
        <w:rPr>
          <w:rFonts w:ascii="Calibri" w:cs="Calibri" w:eastAsia="Calibri" w:hAnsi="Calibri"/>
          <w:color w:val="1A1A1A"/>
          <w:sz w:val="20"/>
          <w:szCs w:val="20"/>
        </w:rPr>
        <w:t xml:space="preserve"> : la méthode réduit le risque de condamnation par la CEDH et rapproche le droit du travail du droit commun des libertés (même vocabulaire que le Conseil constitutionnel dans </w:t>
      </w:r>
      <w:r>
        <w:rPr>
          <w:rFonts w:ascii="Calibri" w:cs="Calibri" w:eastAsia="Calibri" w:hAnsi="Calibri"/>
          <w:color w:val="E91E63"/>
          <w:sz w:val="20"/>
          <w:szCs w:val="20"/>
        </w:rPr>
        <w:t xml:space="preserve">n° 2026-911 DC</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Ouvertures</w:t>
      </w:r>
      <w:r>
        <w:rPr>
          <w:rFonts w:ascii="Calibri" w:cs="Calibri" w:eastAsia="Calibri" w:hAnsi="Calibri"/>
          <w:color w:val="1A1A1A"/>
          <w:sz w:val="20"/>
          <w:szCs w:val="20"/>
        </w:rPr>
        <w:t xml:space="preserve"> : articulation avec le statut du lanceur d’alerte (</w:t>
      </w:r>
      <w:r>
        <w:rPr>
          <w:rFonts w:ascii="Calibri" w:cs="Calibri" w:eastAsia="Calibri" w:hAnsi="Calibri"/>
          <w:color w:val="1E88E5"/>
          <w:sz w:val="20"/>
          <w:szCs w:val="20"/>
        </w:rPr>
        <w:t xml:space="preserve">loi Sapin II</w:t>
      </w:r>
      <w:r>
        <w:rPr>
          <w:rFonts w:ascii="Calibri" w:cs="Calibri" w:eastAsia="Calibri" w:hAnsi="Calibri"/>
          <w:color w:val="1A1A1A"/>
          <w:sz w:val="20"/>
          <w:szCs w:val="20"/>
        </w:rPr>
        <w:t xml:space="preserve"> modifiée en 2022), régime spécial où la balance est déjà faite par la loi ; sort de la liberté d’expression sur les réseaux sociaux privés.</w:t>
      </w:r>
    </w:p>
    <w:p>
      <w:r>
        <w:br w:type="page"/>
      </w:r>
    </w:p>
    <w:p>
      <w:pPr>
        <w:pStyle w:val="Heading1"/>
        <w:pBdr>
          <w:bottom w:val="single" w:color="8C1C2B" w:sz="12" w:space="6"/>
        </w:pBdr>
        <w:spacing w:after="90" w:before="260"/>
      </w:pPr>
      <w:r>
        <w:rPr>
          <w:rFonts w:ascii="Calibri" w:cs="Calibri" w:eastAsia="Calibri" w:hAnsi="Calibri"/>
          <w:b/>
          <w:bCs/>
          <w:color w:val="8C1C2B"/>
          <w:sz w:val="28"/>
          <w:szCs w:val="28"/>
        </w:rPr>
        <w:t xml:space="preserve">5. Conclusion et ouverture</w:t>
      </w:r>
    </w:p>
    <w:p>
      <w:pPr>
        <w:spacing w:after="110" w:line="288"/>
        <w:ind w:left="180" w:right="180"/>
        <w:jc w:val="both"/>
      </w:pPr>
      <w:r>
        <w:rPr>
          <w:rFonts w:ascii="Calibri" w:cs="Calibri" w:eastAsia="Calibri" w:hAnsi="Calibri"/>
          <w:color w:val="1A1A1A"/>
          <w:sz w:val="20"/>
          <w:szCs w:val="20"/>
        </w:rPr>
        <w:t xml:space="preserve">Par cet arrêt, la chambre sociale ne retire rien à la valeur de la liberté d’expression du salarié : elle en change la grammaire. À la question binaire de l’abus succède une pesée, et à la qualification des propos succède le contrôle de la sanction. Pour le technicien d’Airbus, la méthode ouvre une chance : celle que son dessin soit lu comme le cri d’un salarié malade plutôt que comme une offense. Pour l’ensemble des salariés, elle ouvre une incertitude, que la série du 14 janvier montre déjà jouer dans les deux sens.</w:t>
      </w:r>
    </w:p>
    <w:p>
      <w:pPr>
        <w:spacing w:after="110" w:line="288"/>
        <w:ind w:left="180" w:right="180"/>
        <w:jc w:val="both"/>
      </w:pPr>
      <w:r>
        <w:rPr>
          <w:rFonts w:ascii="Calibri" w:cs="Calibri" w:eastAsia="Calibri" w:hAnsi="Calibri"/>
          <w:i/>
          <w:iCs/>
          <w:color w:val="1A1A1A"/>
          <w:sz w:val="20"/>
          <w:szCs w:val="20"/>
        </w:rPr>
        <w:t xml:space="preserve">Ouverture</w:t>
      </w:r>
      <w:r>
        <w:rPr>
          <w:rFonts w:ascii="Calibri" w:cs="Calibri" w:eastAsia="Calibri" w:hAnsi="Calibri"/>
          <w:color w:val="1A1A1A"/>
          <w:sz w:val="20"/>
          <w:szCs w:val="20"/>
        </w:rPr>
        <w:t xml:space="preserve"> : reste à savoir si la mise en balance absorbera aussi le régime des lanceurs d’alerte, où le législateur a lui-même fixé les termes de la pesée, ou si elle demeurera, comme l’a montré récemment le Conseil constitutionnel en censurant l’interdiction des réseaux sociaux aux mineurs, le langage commun de toutes les libertés.</w:t>
      </w:r>
    </w:p>
    <w:p>
      <w:pPr>
        <w:pStyle w:val="Heading1"/>
        <w:pBdr>
          <w:bottom w:val="single" w:color="8C1C2B" w:sz="12" w:space="6"/>
        </w:pBdr>
        <w:spacing w:after="90" w:before="260"/>
      </w:pPr>
      <w:r>
        <w:rPr>
          <w:rFonts w:ascii="Calibri" w:cs="Calibri" w:eastAsia="Calibri" w:hAnsi="Calibri"/>
          <w:b/>
          <w:bCs/>
          <w:color w:val="8C1C2B"/>
          <w:sz w:val="28"/>
          <w:szCs w:val="28"/>
        </w:rPr>
        <w:t xml:space="preserve">6. Le plan du correcteur, comparé au plan recommandé</w:t>
      </w:r>
    </w:p>
    <w:tbl>
      <w:tblPr>
        <w:tblW w:type="pct" w:w="100%"/>
        <w:tblBorders>
          <w:top w:val="single" w:color="C9C0B6" w:sz="2"/>
          <w:left w:val="single" w:color="C9C0B6" w:sz="2"/>
          <w:bottom w:val="single" w:color="C9C0B6" w:sz="2"/>
          <w:right w:val="single" w:color="C9C0B6" w:sz="2"/>
          <w:insideH w:val="single" w:color="DCD5CC" w:sz="2"/>
          <w:insideV w:val="single" w:color="DCD5CC" w:sz="2"/>
        </w:tblBorders>
      </w:tblPr>
      <w:tblGrid>
        <w:gridCol w:w="100"/>
        <w:gridCol w:w="100"/>
        <w:gridCol w:w="100"/>
      </w:tblGrid>
      <w:tr>
        <w:trPr>
          <w:tblHeader/>
        </w:trPr>
        <w:tc>
          <w:tcPr>
            <w:tcW w:type="pct" w:w="33.333333333333336%"/>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Plan du correcteur (M. Poyet)</w:t>
            </w:r>
          </w:p>
        </w:tc>
        <w:tc>
          <w:tcPr>
            <w:tcW w:type="pct" w:w="33.333333333333336%"/>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Plan recommandé ici</w:t>
            </w:r>
          </w:p>
        </w:tc>
        <w:tc>
          <w:tcPr>
            <w:tcW w:type="pct" w:w="33.333333333333336%"/>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Commentaire</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I. Une nouvelle grille de lecture des limites à l’expression du salarié — A. Une nouvelle méthode de détermination des limites ; B. Les éléments d’appréciation de la licéité de l’atteinte</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I. De l’abus à la mise en balance — A. Fondement réaffirmé ; B. Méthode européanisée</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Le I du correcteur réunit méthode et critères ; le plan recommandé place les critères en II pour les appliquer aux faits.</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II. Liberté d’expression du salarié ou du citoyen ? — A. L’objet singulier : les conditions de la subordination ; B. Une nouvelle conception : de la tempérance aux droits d’autrui</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II. Une mise en œuvre exigeante — A. Quatre éléments appliqués aux caricatures ; B. Portée ambivalente</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Le II du correcteur est plus conceptuel et plus élégant ; il exige une vraie maîtrise : montrer que l’expression du salarié porte sur ses conditions de travail (critique du management, santé) et que la limite passe d’une vertu (tempérance, courtoisie) aux droits d’autrui (honneur du RRH, intérêts de l’employeur, art. 4 DDHC, art. 10 § 2 CEDH).</w:t>
            </w:r>
          </w:p>
        </w:tc>
      </w:tr>
    </w:tbl>
    <w:p>
      <w:pPr>
        <w:spacing w:after="120"/>
      </w:pPr>
    </w:p>
    <w:p>
      <w:pPr>
        <w:pBdr>
          <w:top w:val="single" w:color="D8CFC4" w:sz="4" w:space="8"/>
          <w:bottom w:val="single" w:color="D8CFC4" w:sz="4" w:space="8"/>
          <w:left w:val="single" w:color="D8CFC4" w:sz="4" w:space="8"/>
          <w:right w:val="single" w:color="D8CFC4" w:sz="4" w:space="8"/>
        </w:pBdr>
        <w:shd w:fill="F7F4F0" w:val="clear"/>
        <w:spacing w:after="120" w:before="120" w:line="264"/>
        <w:ind w:left="140" w:right="140"/>
        <w:jc w:val="both"/>
      </w:pPr>
      <w:r>
        <w:rPr>
          <w:rFonts w:ascii="Calibri" w:cs="Calibri" w:eastAsia="Calibri" w:hAnsi="Calibri"/>
          <w:b/>
          <w:bCs/>
          <w:color w:val="1A1A1A"/>
          <w:sz w:val="19"/>
          <w:szCs w:val="19"/>
        </w:rPr>
        <w:t xml:space="preserve">Comment remplir le II du correcteur.</w:t>
      </w:r>
      <w:r>
        <w:rPr>
          <w:rFonts w:ascii="Calibri" w:cs="Calibri" w:eastAsia="Calibri" w:hAnsi="Calibri"/>
          <w:color w:val="1A1A1A"/>
          <w:sz w:val="19"/>
          <w:szCs w:val="19"/>
        </w:rPr>
        <w:t xml:space="preserve"> </w:t>
      </w:r>
      <w:r>
        <w:rPr>
          <w:rFonts w:ascii="Calibri" w:cs="Calibri" w:eastAsia="Calibri" w:hAnsi="Calibri"/>
          <w:b/>
          <w:bCs/>
          <w:color w:val="1A1A1A"/>
          <w:sz w:val="19"/>
          <w:szCs w:val="19"/>
        </w:rPr>
        <w:t xml:space="preserve">II A (subordination)</w:t>
      </w:r>
      <w:r>
        <w:rPr>
          <w:rFonts w:ascii="Calibri" w:cs="Calibri" w:eastAsia="Calibri" w:hAnsi="Calibri"/>
          <w:color w:val="1A1A1A"/>
          <w:sz w:val="19"/>
          <w:szCs w:val="19"/>
        </w:rPr>
        <w:t xml:space="preserve"> : l’objet de l’expression du salarié est singulier, car il porte souvent sur le travail lui-même (management, conditions de travail, santé) ; c’est ce que vise « </w:t>
      </w:r>
      <w:r>
        <w:rPr>
          <w:rFonts w:ascii="Calibri" w:cs="Calibri" w:eastAsia="Calibri" w:hAnsi="Calibri"/>
          <w:i/>
          <w:iCs/>
          <w:color w:val="1A1A1A"/>
          <w:sz w:val="19"/>
          <w:szCs w:val="19"/>
        </w:rPr>
        <w:t xml:space="preserve">la nature de la tâche à accomplir</w:t>
      </w:r>
      <w:r>
        <w:rPr>
          <w:rFonts w:ascii="Calibri" w:cs="Calibri" w:eastAsia="Calibri" w:hAnsi="Calibri"/>
          <w:color w:val="1A1A1A"/>
          <w:sz w:val="19"/>
          <w:szCs w:val="19"/>
        </w:rPr>
        <w:t xml:space="preserve"> » ; le contexte de subordination explique à la fois la protection (critique de l’employeur) et la limite (intérêts de l’entreprise) ; distinction avec le droit d’expression directe et collective (</w:t>
      </w:r>
      <w:r>
        <w:rPr>
          <w:rFonts w:ascii="Calibri" w:cs="Calibri" w:eastAsia="Calibri" w:hAnsi="Calibri"/>
          <w:color w:val="1E88E5"/>
          <w:sz w:val="19"/>
          <w:szCs w:val="19"/>
        </w:rPr>
        <w:t xml:space="preserve">L. 2281-1</w:t>
      </w:r>
      <w:r>
        <w:rPr>
          <w:rFonts w:ascii="Calibri" w:cs="Calibri" w:eastAsia="Calibri" w:hAnsi="Calibri"/>
          <w:color w:val="1A1A1A"/>
          <w:sz w:val="19"/>
          <w:szCs w:val="19"/>
        </w:rPr>
        <w:t xml:space="preserve">). </w:t>
      </w:r>
      <w:r>
        <w:rPr>
          <w:rFonts w:ascii="Calibri" w:cs="Calibri" w:eastAsia="Calibri" w:hAnsi="Calibri"/>
          <w:b/>
          <w:bCs/>
          <w:color w:val="1A1A1A"/>
          <w:sz w:val="19"/>
          <w:szCs w:val="19"/>
        </w:rPr>
        <w:t xml:space="preserve">II B (de la tempérance aux droits d’autrui)</w:t>
      </w:r>
      <w:r>
        <w:rPr>
          <w:rFonts w:ascii="Calibri" w:cs="Calibri" w:eastAsia="Calibri" w:hAnsi="Calibri"/>
          <w:color w:val="1A1A1A"/>
          <w:sz w:val="19"/>
          <w:szCs w:val="19"/>
        </w:rPr>
        <w:t xml:space="preserve"> : la cour d’appel jugeait selon une vertu, la « courtoisie et délicatesse » ; la Cour juge selon des droits concurrents, l’honneur du RRH (</w:t>
      </w:r>
      <w:r>
        <w:rPr>
          <w:rFonts w:ascii="Calibri" w:cs="Calibri" w:eastAsia="Calibri" w:hAnsi="Calibri"/>
          <w:color w:val="1E88E5"/>
          <w:sz w:val="19"/>
          <w:szCs w:val="19"/>
        </w:rPr>
        <w:t xml:space="preserve">art. 8 CEDH</w:t>
      </w:r>
      <w:r>
        <w:rPr>
          <w:rFonts w:ascii="Calibri" w:cs="Calibri" w:eastAsia="Calibri" w:hAnsi="Calibri"/>
          <w:color w:val="1A1A1A"/>
          <w:sz w:val="19"/>
          <w:szCs w:val="19"/>
        </w:rPr>
        <w:t xml:space="preserve">) et la protection des intérêts de l’employeur ; on passe d’une morale du comportement à un conflit de droits arbitré par la proportionnalité.</w:t>
      </w:r>
    </w:p>
    <w:p>
      <w:pPr>
        <w:pStyle w:val="Heading1"/>
        <w:pBdr>
          <w:bottom w:val="single" w:color="8C1C2B" w:sz="12" w:space="6"/>
        </w:pBdr>
        <w:spacing w:after="90" w:before="260"/>
      </w:pPr>
      <w:r>
        <w:rPr>
          <w:rFonts w:ascii="Calibri" w:cs="Calibri" w:eastAsia="Calibri" w:hAnsi="Calibri"/>
          <w:b/>
          <w:bCs/>
          <w:color w:val="8C1C2B"/>
          <w:sz w:val="28"/>
          <w:szCs w:val="28"/>
        </w:rPr>
        <w:t xml:space="preserve">7. Un plan alternatif</w:t>
      </w:r>
    </w:p>
    <w:tbl>
      <w:tblPr>
        <w:tblW w:type="pct" w:w="100%"/>
        <w:tblBorders>
          <w:top w:val="single" w:color="C9C0B6" w:sz="2"/>
          <w:left w:val="single" w:color="C9C0B6" w:sz="2"/>
          <w:bottom w:val="single" w:color="C9C0B6" w:sz="2"/>
          <w:right w:val="single" w:color="C9C0B6" w:sz="2"/>
          <w:insideH w:val="single" w:color="DCD5CC" w:sz="2"/>
          <w:insideV w:val="single" w:color="DCD5CC" w:sz="2"/>
        </w:tblBorders>
      </w:tblPr>
      <w:tblGrid>
        <w:gridCol w:w="100"/>
        <w:gridCol w:w="100"/>
      </w:tblGrid>
      <w:tr>
        <w:trPr>
          <w:tblHeader/>
        </w:trPr>
        <w:tc>
          <w:tcPr>
            <w:tcW w:type="pct" w:w="50%"/>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Partie</w:t>
            </w:r>
          </w:p>
        </w:tc>
        <w:tc>
          <w:tcPr>
            <w:tcW w:type="pct" w:w="50%"/>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Sous-parties</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I. La liberté d’expression du salarié, une liberté fondamentale protégée par la nullité</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A. Une liberté constitutionnellement et conventionnellement garantie dans l’entreprise ; B. Une protection limitée à la dimension individuelle (nullité ; irrecevabilité du syndicat)</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II. La liberté d’expression du salarié, une liberté soumise à la proportionnalité</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A. L’abandon de l’abus au profit de la mise en balance ; B. Une mise en balance concrète au résultat incertain</w:t>
            </w:r>
          </w:p>
        </w:tc>
      </w:tr>
    </w:tbl>
    <w:p>
      <w:pPr>
        <w:spacing w:after="120"/>
      </w:pPr>
    </w:p>
    <w:p>
      <w:pPr>
        <w:spacing w:after="90" w:line="264"/>
        <w:jc w:val="both"/>
      </w:pPr>
      <w:r>
        <w:rPr>
          <w:rFonts w:ascii="Calibri" w:cs="Calibri" w:eastAsia="Calibri" w:hAnsi="Calibri"/>
          <w:color w:val="1A1A1A"/>
          <w:sz w:val="20"/>
          <w:szCs w:val="20"/>
        </w:rPr>
        <w:t xml:space="preserve">Ce plan est plus classique (« principe / limites ») et donc plus sûr pour un candidat moins à l’aise ; il valorise le volet syndical que le plan recommandé traite brièvement.</w:t>
      </w:r>
    </w:p>
    <w:p>
      <w:pPr>
        <w:pStyle w:val="Heading1"/>
        <w:pBdr>
          <w:bottom w:val="single" w:color="8C1C2B" w:sz="12" w:space="6"/>
        </w:pBdr>
        <w:spacing w:after="90" w:before="260"/>
      </w:pPr>
      <w:r>
        <w:rPr>
          <w:rFonts w:ascii="Calibri" w:cs="Calibri" w:eastAsia="Calibri" w:hAnsi="Calibri"/>
          <w:b/>
          <w:bCs/>
          <w:color w:val="8C1C2B"/>
          <w:sz w:val="28"/>
          <w:szCs w:val="28"/>
        </w:rPr>
        <w:t xml:space="preserve">8. Les relances du jury</w:t>
      </w:r>
    </w:p>
    <w:tbl>
      <w:tblPr>
        <w:tblW w:type="pct" w:w="100%"/>
        <w:tblBorders>
          <w:top w:val="single" w:color="C9C0B6" w:sz="2"/>
          <w:left w:val="single" w:color="C9C0B6" w:sz="2"/>
          <w:bottom w:val="single" w:color="C9C0B6" w:sz="2"/>
          <w:right w:val="single" w:color="C9C0B6" w:sz="2"/>
          <w:insideH w:val="single" w:color="DCD5CC" w:sz="2"/>
          <w:insideV w:val="single" w:color="DCD5CC" w:sz="2"/>
        </w:tblBorders>
      </w:tblPr>
      <w:tblGrid>
        <w:gridCol w:w="100"/>
        <w:gridCol w:w="100"/>
      </w:tblGrid>
      <w:tr>
        <w:trPr>
          <w:tblHeader/>
        </w:trPr>
        <w:tc>
          <w:tcPr>
            <w:tcW w:type="pct" w:w="50%"/>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Question</w:t>
            </w:r>
          </w:p>
        </w:tc>
        <w:tc>
          <w:tcPr>
            <w:tcW w:type="pct" w:w="50%"/>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Éléments de réponse</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La Cour a-t-elle dit que le licenciement était nul ?</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Non. Cassation partielle et renvoi ; la cour de renvoi pèsera les quatre éléments. Le licenciement pourra être jugé nul, ou seulement sans cause réelle et sérieuse, voire justifié.</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Pourquoi l’article 11 de la DDHC au visa ?</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Pour fonder la nullité (liberté « constitutionnellement garantie ») et l’éviction du barème (L. 1235-3-1).</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Ce revirement protège-t-il davantage le salarié ?</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Pas nécessairement : méthode réversible (</w:t>
            </w:r>
            <w:r>
              <w:rPr>
                <w:rFonts w:ascii="Calibri" w:cs="Calibri" w:eastAsia="Calibri" w:hAnsi="Calibri"/>
                <w:b w:val="false"/>
                <w:bCs w:val="false"/>
                <w:color w:val="E91E63"/>
                <w:sz w:val="17"/>
                <w:szCs w:val="17"/>
              </w:rPr>
              <w:t xml:space="preserve">n° 24-13.778</w:t>
            </w:r>
            <w:r>
              <w:rPr>
                <w:rFonts w:ascii="Calibri" w:cs="Calibri" w:eastAsia="Calibri" w:hAnsi="Calibri"/>
                <w:b w:val="false"/>
                <w:bCs w:val="false"/>
                <w:color w:val="1A1A1A"/>
                <w:sz w:val="17"/>
                <w:szCs w:val="17"/>
              </w:rPr>
              <w:t xml:space="preserve">, </w:t>
            </w:r>
            <w:r>
              <w:rPr>
                <w:rFonts w:ascii="Calibri" w:cs="Calibri" w:eastAsia="Calibri" w:hAnsi="Calibri"/>
                <w:b w:val="false"/>
                <w:bCs w:val="false"/>
                <w:color w:val="E91E63"/>
                <w:sz w:val="17"/>
                <w:szCs w:val="17"/>
              </w:rPr>
              <w:t xml:space="preserve">n° 24-19.583</w:t>
            </w:r>
            <w:r>
              <w:rPr>
                <w:rFonts w:ascii="Calibri" w:cs="Calibri" w:eastAsia="Calibri" w:hAnsi="Calibri"/>
                <w:b w:val="false"/>
                <w:bCs w:val="false"/>
                <w:color w:val="1A1A1A"/>
                <w:sz w:val="17"/>
                <w:szCs w:val="17"/>
              </w:rPr>
              <w:t xml:space="preserve">, </w:t>
            </w:r>
            <w:r>
              <w:rPr>
                <w:rFonts w:ascii="Calibri" w:cs="Calibri" w:eastAsia="Calibri" w:hAnsi="Calibri"/>
                <w:b w:val="false"/>
                <w:bCs w:val="false"/>
                <w:color w:val="E91E63"/>
                <w:sz w:val="17"/>
                <w:szCs w:val="17"/>
              </w:rPr>
              <w:t xml:space="preserve">n° 24-18.877</w:t>
            </w:r>
            <w:r>
              <w:rPr>
                <w:rFonts w:ascii="Calibri" w:cs="Calibri" w:eastAsia="Calibri" w:hAnsi="Calibri"/>
                <w:b w:val="false"/>
                <w:bCs w:val="false"/>
                <w:color w:val="1A1A1A"/>
                <w:sz w:val="17"/>
                <w:szCs w:val="17"/>
              </w:rPr>
              <w:t xml:space="preserve">). Il protège mieux le salarié dont le contexte explique les propos ; moins celui qui comptait sur l’automaticité du motif contaminant.</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Qu’est-ce qu’un abus de la liberté d’expression ?</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Avant 2026 : propos injurieux, diffamatoires ou excessifs, appréciés selon le contexte, la publicité, les fonctions. L’art. 11 DDHC parle d’abus « </w:t>
            </w:r>
            <w:r>
              <w:rPr>
                <w:rFonts w:ascii="Calibri" w:cs="Calibri" w:eastAsia="Calibri" w:hAnsi="Calibri"/>
                <w:b w:val="false"/>
                <w:bCs w:val="false"/>
                <w:i/>
                <w:iCs/>
                <w:color w:val="1A1A1A"/>
                <w:sz w:val="17"/>
                <w:szCs w:val="17"/>
              </w:rPr>
              <w:t xml:space="preserve">dans les cas déterminés par la loi</w:t>
            </w:r>
            <w:r>
              <w:rPr>
                <w:rFonts w:ascii="Calibri" w:cs="Calibri" w:eastAsia="Calibri" w:hAnsi="Calibri"/>
                <w:b w:val="false"/>
                <w:bCs w:val="false"/>
                <w:color w:val="1A1A1A"/>
                <w:sz w:val="17"/>
                <w:szCs w:val="17"/>
              </w:rPr>
              <w:t xml:space="preserve"> » (loi de 1881).</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Que pensez-vous de l’« obligation de courtoisie et de délicatesse » ?</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Sans texte en droit du travail (à la différence de la déontologie de l’avocat) ; la Cour ne la reprend pas ; elle peut au mieux devenir un élément de la « teneur » des propos.</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Le salarié pouvait-il invoquer le statut de lanceur d’alerte ?</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Non : pas de signalement d’un crime, d’un délit ou d’une menace pour l’intérêt général au sens de Sapin II ; il s’agit d’une critique de sa situation personnelle.</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Pourquoi le syndicat est-il irrecevable ?</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L’intérêt collectif suppose un préjudice pour la profession ; une atteinte individuelle à un salarié sans mandat ne le caractérise pas (§ 8). Ce serait différent pour un délégué syndical.</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Comparez avec la CEDH.</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E91E63"/>
                <w:sz w:val="17"/>
                <w:szCs w:val="17"/>
              </w:rPr>
              <w:t xml:space="preserve">Palomo Sánchez</w:t>
            </w:r>
            <w:r>
              <w:rPr>
                <w:rFonts w:ascii="Calibri" w:cs="Calibri" w:eastAsia="Calibri" w:hAnsi="Calibri"/>
                <w:b w:val="false"/>
                <w:bCs w:val="false"/>
                <w:color w:val="1A1A1A"/>
                <w:sz w:val="17"/>
                <w:szCs w:val="17"/>
              </w:rPr>
              <w:t xml:space="preserve"> : caricature de DRH, non-violation ; la Cour de cassation adopte la méthode européenne, qui ne garantit pas le résultat favorable au salarié.</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Et le juge administratif ?</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Même triple test pour les mesures de police (</w:t>
            </w:r>
            <w:r>
              <w:rPr>
                <w:rFonts w:ascii="Calibri" w:cs="Calibri" w:eastAsia="Calibri" w:hAnsi="Calibri"/>
                <w:b w:val="false"/>
                <w:bCs w:val="false"/>
                <w:color w:val="E91E63"/>
                <w:sz w:val="17"/>
                <w:szCs w:val="17"/>
              </w:rPr>
              <w:t xml:space="preserve">CE, 19 mai 1933, Benjamin</w:t>
            </w:r>
            <w:r>
              <w:rPr>
                <w:rFonts w:ascii="Calibri" w:cs="Calibri" w:eastAsia="Calibri" w:hAnsi="Calibri"/>
                <w:b w:val="false"/>
                <w:bCs w:val="false"/>
                <w:color w:val="1A1A1A"/>
                <w:sz w:val="17"/>
                <w:szCs w:val="17"/>
              </w:rPr>
              <w:t xml:space="preserve"> ; </w:t>
            </w:r>
            <w:r>
              <w:rPr>
                <w:rFonts w:ascii="Calibri" w:cs="Calibri" w:eastAsia="Calibri" w:hAnsi="Calibri"/>
                <w:b w:val="false"/>
                <w:bCs w:val="false"/>
                <w:color w:val="E91E63"/>
                <w:sz w:val="17"/>
                <w:szCs w:val="17"/>
              </w:rPr>
              <w:t xml:space="preserve">CE, Ass., 26 oct. 2011, Association pour la promotion de l’image</w:t>
            </w:r>
            <w:r>
              <w:rPr>
                <w:rFonts w:ascii="Calibri" w:cs="Calibri" w:eastAsia="Calibri" w:hAnsi="Calibri"/>
                <w:b w:val="false"/>
                <w:bCs w:val="false"/>
                <w:color w:val="1A1A1A"/>
                <w:sz w:val="17"/>
                <w:szCs w:val="17"/>
              </w:rPr>
              <w:t xml:space="preserve">) ; pour les agents publics, obligation de réserve appréciée selon les fonctions.</w:t>
            </w:r>
          </w:p>
        </w:tc>
      </w:tr>
    </w:tbl>
    <w:p>
      <w:pPr>
        <w:spacing w:after="120"/>
      </w:pPr>
    </w:p>
    <w:p>
      <w:r>
        <w:br w:type="page"/>
      </w:r>
    </w:p>
    <w:p>
      <w:pPr>
        <w:shd w:fill="F2E9EA" w:val="clear"/>
        <w:spacing w:after="220" w:before="200"/>
        <w:jc w:val="center"/>
      </w:pPr>
      <w:r>
        <w:rPr>
          <w:rFonts w:ascii="Calibri" w:cs="Calibri" w:eastAsia="Calibri" w:hAnsi="Calibri"/>
          <w:b/>
          <w:bCs/>
          <w:color w:val="8C1C2B"/>
          <w:spacing w:val="30"/>
          <w:sz w:val="26"/>
          <w:szCs w:val="26"/>
        </w:rPr>
        <w:t xml:space="preserve">PARTIE III — CORRECTION DES PLANS</w:t>
      </w:r>
    </w:p>
    <w:p>
      <w:pPr>
        <w:spacing w:after="90" w:line="264"/>
        <w:jc w:val="both"/>
      </w:pPr>
      <w:r>
        <w:rPr>
          <w:rFonts w:ascii="Calibri" w:cs="Calibri" w:eastAsia="Calibri" w:hAnsi="Calibri"/>
          <w:color w:val="1A1A1A"/>
          <w:sz w:val="20"/>
          <w:szCs w:val="20"/>
        </w:rPr>
        <w:t xml:space="preserve">Les notes sont </w:t>
      </w:r>
      <w:r>
        <w:rPr>
          <w:rFonts w:ascii="Calibri" w:cs="Calibri" w:eastAsia="Calibri" w:hAnsi="Calibri"/>
          <w:b/>
          <w:bCs/>
          <w:color w:val="1A1A1A"/>
          <w:sz w:val="20"/>
          <w:szCs w:val="20"/>
        </w:rPr>
        <w:t xml:space="preserve">indicatives</w:t>
      </w:r>
      <w:r>
        <w:rPr>
          <w:rFonts w:ascii="Calibri" w:cs="Calibri" w:eastAsia="Calibri" w:hAnsi="Calibri"/>
          <w:color w:val="1A1A1A"/>
          <w:sz w:val="20"/>
          <w:szCs w:val="20"/>
        </w:rPr>
        <w:t xml:space="preserve"> et portent sur ce qui a été posté dans le chat (souvent un plan sans développement). Elles intègrent la latitude réelle d’un jury : un plan imparfait mais exact et défendu avec aisance peut obtenir davantage ; une erreur sur la solution (« la Cour déclare le licenciement nul ») coûte cher quelle que soit la qualité du reste.</w:t>
      </w:r>
    </w:p>
    <w:p>
      <w:pPr>
        <w:pStyle w:val="Heading2"/>
        <w:spacing w:after="110" w:before="260"/>
      </w:pPr>
      <w:r>
        <w:rPr>
          <w:rFonts w:ascii="Calibri" w:cs="Calibri" w:eastAsia="Calibri" w:hAnsi="Calibri"/>
          <w:b/>
          <w:bCs/>
          <w:color w:val="1A1A1A"/>
          <w:spacing w:val="16"/>
          <w:sz w:val="23"/>
          <w:szCs w:val="23"/>
        </w:rPr>
        <w:t xml:space="preserve">1. Les plans analysés en détail</w:t>
      </w:r>
    </w:p>
    <w:p>
      <w:pPr>
        <w:pStyle w:val="Heading3"/>
        <w:spacing w:after="80" w:before="200"/>
      </w:pPr>
      <w:r>
        <w:rPr>
          <w:rFonts w:ascii="Calibri" w:cs="Calibri" w:eastAsia="Calibri" w:hAnsi="Calibri"/>
          <w:b/>
          <w:bCs/>
          <w:i/>
          <w:iCs/>
          <w:color w:val="1A1A1A"/>
          <w:sz w:val="21"/>
          <w:szCs w:val="21"/>
        </w:rPr>
        <w:t xml:space="preserve">Luna P — le plan le plus solide du live</w:t>
      </w:r>
    </w:p>
    <w:p>
      <w:pPr>
        <w:pBdr>
          <w:left w:val="single" w:color="8C1C2B" w:sz="12" w:space="10"/>
        </w:pBdr>
        <w:spacing w:after="90" w:line="264"/>
        <w:ind w:left="260"/>
        <w:jc w:val="both"/>
      </w:pPr>
      <w:r>
        <w:rPr>
          <w:rFonts w:ascii="Calibri" w:cs="Calibri" w:eastAsia="Calibri" w:hAnsi="Calibri"/>
          <w:color w:val="1A1A1A"/>
          <w:sz w:val="20"/>
          <w:szCs w:val="20"/>
        </w:rPr>
        <w:t xml:space="preserve">Problématique : un employeur peut-il licencier un salarié qui dénonce par la caricature le manque de prise en compte de son état de santé ?</w:t>
      </w:r>
    </w:p>
    <w:p>
      <w:pPr>
        <w:pBdr>
          <w:left w:val="single" w:color="8C1C2B" w:sz="12" w:space="10"/>
        </w:pBdr>
        <w:spacing w:after="90" w:line="264"/>
        <w:ind w:left="260"/>
        <w:jc w:val="both"/>
      </w:pPr>
      <w:r>
        <w:rPr>
          <w:rFonts w:ascii="Calibri" w:cs="Calibri" w:eastAsia="Calibri" w:hAnsi="Calibri"/>
          <w:color w:val="1A1A1A"/>
          <w:sz w:val="20"/>
          <w:szCs w:val="20"/>
        </w:rPr>
        <w:t xml:space="preserve">I. La nécessaire protection de la liberté d’expression du salarié — A. La reconnaissance d’une liberté fondamentale applicable dans l’entreprise ; B. La limitation de cette liberté par la proportionnalité</w:t>
      </w:r>
    </w:p>
    <w:p>
      <w:pPr>
        <w:pBdr>
          <w:left w:val="single" w:color="8C1C2B" w:sz="12" w:space="10"/>
        </w:pBdr>
        <w:spacing w:after="90" w:line="264"/>
        <w:ind w:left="260"/>
        <w:jc w:val="both"/>
      </w:pPr>
      <w:r>
        <w:rPr>
          <w:rFonts w:ascii="Calibri" w:cs="Calibri" w:eastAsia="Calibri" w:hAnsi="Calibri"/>
          <w:color w:val="1A1A1A"/>
          <w:sz w:val="20"/>
          <w:szCs w:val="20"/>
        </w:rPr>
        <w:t xml:space="preserve">II. L’encadrement du pouvoir disciplinaire par un contrôle in concreto — A. La mise en balance concrète des intérêts en présence ; B. La critique d’une appréciation insuffisamment circonstanciée par les juges du fond</w:t>
      </w:r>
    </w:p>
    <w:p>
      <w:pPr>
        <w:spacing w:after="70" w:before="170"/>
      </w:pPr>
      <w:r>
        <w:rPr>
          <w:rFonts w:ascii="Calibri" w:cs="Calibri" w:eastAsia="Calibri" w:hAnsi="Calibri"/>
          <w:b/>
          <w:bCs/>
          <w:color w:val="1A1A1A"/>
          <w:sz w:val="20"/>
          <w:szCs w:val="20"/>
        </w:rPr>
        <w:t xml:space="preserve">Ce qui tient</w:t>
      </w:r>
    </w:p>
    <w:p>
      <w:pPr>
        <w:pStyle w:val="ListParagraph"/>
        <w:numPr>
          <w:ilvl w:val="0"/>
          <w:numId w:val="2"/>
        </w:numPr>
        <w:spacing w:after="70" w:line="264"/>
        <w:jc w:val="both"/>
      </w:pPr>
      <w:r>
        <w:rPr>
          <w:rFonts w:ascii="Calibri" w:cs="Calibri" w:eastAsia="Calibri" w:hAnsi="Calibri"/>
          <w:color w:val="1A1A1A"/>
          <w:sz w:val="20"/>
          <w:szCs w:val="20"/>
        </w:rPr>
        <w:t xml:space="preserve">Faits et procédure </w:t>
      </w:r>
      <w:r>
        <w:rPr>
          <w:rFonts w:ascii="Calibri" w:cs="Calibri" w:eastAsia="Calibri" w:hAnsi="Calibri"/>
          <w:b/>
          <w:bCs/>
          <w:color w:val="1A1A1A"/>
          <w:sz w:val="20"/>
          <w:szCs w:val="20"/>
        </w:rPr>
        <w:t xml:space="preserve">exacts et complets</w:t>
      </w:r>
      <w:r>
        <w:rPr>
          <w:rFonts w:ascii="Calibri" w:cs="Calibri" w:eastAsia="Calibri" w:hAnsi="Calibri"/>
          <w:color w:val="1A1A1A"/>
          <w:sz w:val="20"/>
          <w:szCs w:val="20"/>
        </w:rPr>
        <w:t xml:space="preserve"> : dates du licenciement et de la saisine (6 sept. 2018), intervention du syndicat, et surtout la condamnation en appel pour licenciement </w:t>
      </w:r>
      <w:r>
        <w:rPr>
          <w:rFonts w:ascii="Calibri" w:cs="Calibri" w:eastAsia="Calibri" w:hAnsi="Calibri"/>
          <w:b/>
          <w:bCs/>
          <w:color w:val="1A1A1A"/>
          <w:sz w:val="20"/>
          <w:szCs w:val="20"/>
        </w:rPr>
        <w:t xml:space="preserve">sans cause réelle et sérieuse</w:t>
      </w:r>
      <w:r>
        <w:rPr>
          <w:rFonts w:ascii="Calibri" w:cs="Calibri" w:eastAsia="Calibri" w:hAnsi="Calibri"/>
          <w:color w:val="1A1A1A"/>
          <w:sz w:val="20"/>
          <w:szCs w:val="20"/>
        </w:rPr>
        <w:t xml:space="preserve">, que presque personne n’a vue.</w:t>
      </w:r>
    </w:p>
    <w:p>
      <w:pPr>
        <w:pStyle w:val="ListParagraph"/>
        <w:numPr>
          <w:ilvl w:val="0"/>
          <w:numId w:val="2"/>
        </w:numPr>
        <w:spacing w:after="70" w:line="264"/>
        <w:jc w:val="both"/>
      </w:pPr>
      <w:r>
        <w:rPr>
          <w:rFonts w:ascii="Calibri" w:cs="Calibri" w:eastAsia="Calibri" w:hAnsi="Calibri"/>
          <w:color w:val="1A1A1A"/>
          <w:sz w:val="20"/>
          <w:szCs w:val="20"/>
        </w:rPr>
        <w:t xml:space="preserve">La mise en garde finale est exactement ce que le jury veut entendre : la cassation « </w:t>
      </w:r>
      <w:r>
        <w:rPr>
          <w:rFonts w:ascii="Calibri" w:cs="Calibri" w:eastAsia="Calibri" w:hAnsi="Calibri"/>
          <w:i/>
          <w:iCs/>
          <w:color w:val="1A1A1A"/>
          <w:sz w:val="20"/>
          <w:szCs w:val="20"/>
        </w:rPr>
        <w:t xml:space="preserve">ne signifie pas que les dessins étaient licites ni que le licenciement était définitivement nul</w:t>
      </w:r>
      <w:r>
        <w:rPr>
          <w:rFonts w:ascii="Calibri" w:cs="Calibri" w:eastAsia="Calibri" w:hAnsi="Calibri"/>
          <w:color w:val="1A1A1A"/>
          <w:sz w:val="20"/>
          <w:szCs w:val="20"/>
        </w:rPr>
        <w:t xml:space="preserve"> ».</w:t>
      </w:r>
    </w:p>
    <w:p>
      <w:pPr>
        <w:pStyle w:val="ListParagraph"/>
        <w:numPr>
          <w:ilvl w:val="0"/>
          <w:numId w:val="2"/>
        </w:numPr>
        <w:spacing w:after="70" w:line="264"/>
        <w:jc w:val="both"/>
      </w:pPr>
      <w:r>
        <w:rPr>
          <w:rFonts w:ascii="Calibri" w:cs="Calibri" w:eastAsia="Calibri" w:hAnsi="Calibri"/>
          <w:color w:val="1A1A1A"/>
          <w:sz w:val="20"/>
          <w:szCs w:val="20"/>
        </w:rPr>
        <w:t xml:space="preserve">II B colle au </w:t>
      </w:r>
      <w:r>
        <w:rPr>
          <w:rFonts w:ascii="Calibri" w:cs="Calibri" w:eastAsia="Calibri" w:hAnsi="Calibri"/>
          <w:color w:val="E91E63"/>
          <w:sz w:val="20"/>
          <w:szCs w:val="20"/>
        </w:rPr>
        <w:t xml:space="preserve">§ 17</w:t>
      </w:r>
      <w:r>
        <w:rPr>
          <w:rFonts w:ascii="Calibri" w:cs="Calibri" w:eastAsia="Calibri" w:hAnsi="Calibri"/>
          <w:color w:val="1A1A1A"/>
          <w:sz w:val="20"/>
          <w:szCs w:val="20"/>
        </w:rPr>
        <w:t xml:space="preserve"> ; bonne distinction entre critique adressée à la hiérarchie et diffusion publique.</w:t>
      </w:r>
    </w:p>
    <w:p>
      <w:pPr>
        <w:spacing w:after="70" w:before="170"/>
      </w:pPr>
      <w:r>
        <w:rPr>
          <w:rFonts w:ascii="Calibri" w:cs="Calibri" w:eastAsia="Calibri" w:hAnsi="Calibri"/>
          <w:b/>
          <w:bCs/>
          <w:color w:val="1A1A1A"/>
          <w:sz w:val="20"/>
          <w:szCs w:val="20"/>
        </w:rPr>
        <w:t xml:space="preserve">Ce qui ne tient pas</w:t>
      </w:r>
    </w:p>
    <w:p>
      <w:pPr>
        <w:pStyle w:val="ListParagraph"/>
        <w:numPr>
          <w:ilvl w:val="0"/>
          <w:numId w:val="2"/>
        </w:numPr>
        <w:spacing w:after="70" w:line="264"/>
        <w:jc w:val="both"/>
      </w:pPr>
      <w:r>
        <w:rPr>
          <w:rFonts w:ascii="Calibri" w:cs="Calibri" w:eastAsia="Calibri" w:hAnsi="Calibri"/>
          <w:color w:val="1A1A1A"/>
          <w:sz w:val="20"/>
          <w:szCs w:val="20"/>
        </w:rPr>
        <w:t xml:space="preserve">Le revirement n’est pas identifié : en I B, « </w:t>
      </w:r>
      <w:r>
        <w:rPr>
          <w:rFonts w:ascii="Calibri" w:cs="Calibri" w:eastAsia="Calibri" w:hAnsi="Calibri"/>
          <w:i/>
          <w:iCs/>
          <w:color w:val="1A1A1A"/>
          <w:sz w:val="20"/>
          <w:szCs w:val="20"/>
        </w:rPr>
        <w:t xml:space="preserve">vérification in concreto que l’exercice de la liberté dépasse les limites admissibles (abus de droit)</w:t>
      </w:r>
      <w:r>
        <w:rPr>
          <w:rFonts w:ascii="Calibri" w:cs="Calibri" w:eastAsia="Calibri" w:hAnsi="Calibri"/>
          <w:color w:val="1A1A1A"/>
          <w:sz w:val="20"/>
          <w:szCs w:val="20"/>
        </w:rPr>
        <w:t xml:space="preserve"> » applique encore l’ancienne grille.</w:t>
      </w:r>
    </w:p>
    <w:p>
      <w:pPr>
        <w:pStyle w:val="ListParagraph"/>
        <w:numPr>
          <w:ilvl w:val="0"/>
          <w:numId w:val="2"/>
        </w:numPr>
        <w:spacing w:after="70" w:line="264"/>
        <w:jc w:val="both"/>
      </w:pPr>
      <w:r>
        <w:rPr>
          <w:rFonts w:ascii="Calibri" w:cs="Calibri" w:eastAsia="Calibri" w:hAnsi="Calibri"/>
          <w:color w:val="1A1A1A"/>
          <w:sz w:val="20"/>
          <w:szCs w:val="20"/>
        </w:rPr>
        <w:t xml:space="preserve">Problématique trop factuelle ; elle ne fait pas apparaître la question de méthode.</w:t>
      </w:r>
    </w:p>
    <w:p>
      <w:pPr>
        <w:pStyle w:val="ListParagraph"/>
        <w:numPr>
          <w:ilvl w:val="0"/>
          <w:numId w:val="2"/>
        </w:numPr>
        <w:spacing w:after="70" w:line="264"/>
        <w:jc w:val="both"/>
      </w:pPr>
      <w:r>
        <w:rPr>
          <w:rFonts w:ascii="Calibri" w:cs="Calibri" w:eastAsia="Calibri" w:hAnsi="Calibri"/>
          <w:color w:val="1A1A1A"/>
          <w:sz w:val="20"/>
          <w:szCs w:val="20"/>
        </w:rPr>
        <w:t xml:space="preserve">Le syndicat est évoqué dans les faits mais sa solution (irrecevabilité) disparaît de l’analyse.</w:t>
      </w:r>
    </w:p>
    <w:p>
      <w:pPr>
        <w:spacing w:after="70" w:before="170"/>
      </w:pPr>
      <w:r>
        <w:rPr>
          <w:rFonts w:ascii="Calibri" w:cs="Calibri" w:eastAsia="Calibri" w:hAnsi="Calibri"/>
          <w:b/>
          <w:bCs/>
          <w:color w:val="1A1A1A"/>
          <w:sz w:val="20"/>
          <w:szCs w:val="20"/>
        </w:rPr>
        <w:t xml:space="preserve">Le rattrapage</w:t>
      </w:r>
    </w:p>
    <w:p>
      <w:pPr>
        <w:spacing w:after="90" w:line="264"/>
        <w:jc w:val="both"/>
      </w:pPr>
      <w:r>
        <w:rPr>
          <w:rFonts w:ascii="Calibri" w:cs="Calibri" w:eastAsia="Calibri" w:hAnsi="Calibri"/>
          <w:color w:val="1A1A1A"/>
          <w:sz w:val="20"/>
          <w:szCs w:val="20"/>
        </w:rPr>
        <w:t xml:space="preserve">Reformuler le problème de droit (« comment le juge apprécie-t-il… ») et intituler I B « L’abandon de l’abus au profit de la proportionnalité ». Le reste peut être conservé.</w:t>
      </w:r>
    </w:p>
    <w:p>
      <w:pPr>
        <w:spacing w:after="90" w:line="264"/>
        <w:jc w:val="both"/>
      </w:pPr>
      <w:r>
        <w:rPr>
          <w:rFonts w:ascii="Calibri" w:cs="Calibri" w:eastAsia="Calibri" w:hAnsi="Calibri"/>
          <w:b/>
          <w:bCs/>
          <w:color w:val="1A1A1A"/>
          <w:sz w:val="20"/>
          <w:szCs w:val="20"/>
        </w:rPr>
        <w:t xml:space="preserve">Note indicative (plan et introduction tels que postés) : 14/20</w:t>
      </w:r>
    </w:p>
    <w:p>
      <w:pPr>
        <w:pStyle w:val="Heading3"/>
        <w:spacing w:after="80" w:before="200"/>
      </w:pPr>
      <w:r>
        <w:rPr>
          <w:rFonts w:ascii="Calibri" w:cs="Calibri" w:eastAsia="Calibri" w:hAnsi="Calibri"/>
          <w:b/>
          <w:bCs/>
          <w:i/>
          <w:iCs/>
          <w:color w:val="1A1A1A"/>
          <w:sz w:val="21"/>
          <w:szCs w:val="21"/>
        </w:rPr>
        <w:t xml:space="preserve">Nassim E — une introduction de grande qualité, une date fausse</w:t>
      </w:r>
    </w:p>
    <w:p>
      <w:pPr>
        <w:pBdr>
          <w:left w:val="single" w:color="8C1C2B" w:sz="12" w:space="10"/>
        </w:pBdr>
        <w:spacing w:after="90" w:line="264"/>
        <w:ind w:left="260"/>
        <w:jc w:val="both"/>
      </w:pPr>
      <w:r>
        <w:rPr>
          <w:rFonts w:ascii="Calibri" w:cs="Calibri" w:eastAsia="Calibri" w:hAnsi="Calibri"/>
          <w:color w:val="1A1A1A"/>
          <w:sz w:val="20"/>
          <w:szCs w:val="20"/>
        </w:rPr>
        <w:t xml:space="preserve">I. La liberté d’expression artistique, limite au pouvoir disciplinaire de l’employeur — A. La consécration de la liberté d’expression incluant la liberté artistique et la caricature ; B. L’interdiction de prononcer un licenciement fondé sur l’exercice non abusif d’une liberté fondamentale</w:t>
      </w:r>
    </w:p>
    <w:p>
      <w:pPr>
        <w:pBdr>
          <w:left w:val="single" w:color="8C1C2B" w:sz="12" w:space="10"/>
        </w:pBdr>
        <w:spacing w:after="90" w:line="264"/>
        <w:ind w:left="260"/>
        <w:jc w:val="both"/>
      </w:pPr>
      <w:r>
        <w:rPr>
          <w:rFonts w:ascii="Calibri" w:cs="Calibri" w:eastAsia="Calibri" w:hAnsi="Calibri"/>
          <w:color w:val="1A1A1A"/>
          <w:sz w:val="20"/>
          <w:szCs w:val="20"/>
        </w:rPr>
        <w:t xml:space="preserve">II. L’exigence d’un contrôle de proportionnalité concret encadrant l’office des juges du fond — A. L’obligation d’une analyse rigoureuse du contexte factuel et des conditions de travail du salarié ; B. L’appréciation indispensable de la portée, de l’impact des œuvres et de l’effectivité de l’atteinte à l’honneur</w:t>
      </w:r>
    </w:p>
    <w:p>
      <w:pPr>
        <w:spacing w:after="70" w:before="170"/>
      </w:pPr>
      <w:r>
        <w:rPr>
          <w:rFonts w:ascii="Calibri" w:cs="Calibri" w:eastAsia="Calibri" w:hAnsi="Calibri"/>
          <w:b/>
          <w:bCs/>
          <w:color w:val="1A1A1A"/>
          <w:sz w:val="20"/>
          <w:szCs w:val="20"/>
        </w:rPr>
        <w:t xml:space="preserve">Ce qui tient</w:t>
      </w:r>
    </w:p>
    <w:p>
      <w:pPr>
        <w:pStyle w:val="ListParagraph"/>
        <w:numPr>
          <w:ilvl w:val="0"/>
          <w:numId w:val="2"/>
        </w:numPr>
        <w:spacing w:after="70" w:line="264"/>
        <w:jc w:val="both"/>
      </w:pPr>
      <w:r>
        <w:rPr>
          <w:rFonts w:ascii="Calibri" w:cs="Calibri" w:eastAsia="Calibri" w:hAnsi="Calibri"/>
          <w:color w:val="1A1A1A"/>
          <w:sz w:val="20"/>
          <w:szCs w:val="20"/>
        </w:rPr>
        <w:t xml:space="preserve">Accroche par l’art. 11 DDHC, présentation des deux dessins fidèle au </w:t>
      </w:r>
      <w:r>
        <w:rPr>
          <w:rFonts w:ascii="Calibri" w:cs="Calibri" w:eastAsia="Calibri" w:hAnsi="Calibri"/>
          <w:color w:val="E91E63"/>
          <w:sz w:val="20"/>
          <w:szCs w:val="20"/>
        </w:rPr>
        <w:t xml:space="preserve">§ 14</w:t>
      </w:r>
      <w:r>
        <w:rPr>
          <w:rFonts w:ascii="Calibri" w:cs="Calibri" w:eastAsia="Calibri" w:hAnsi="Calibri"/>
          <w:color w:val="1A1A1A"/>
          <w:sz w:val="20"/>
          <w:szCs w:val="20"/>
        </w:rPr>
        <w:t xml:space="preserve">, problématique qui oppose clairement les deux thèses.</w:t>
      </w:r>
    </w:p>
    <w:p>
      <w:pPr>
        <w:pStyle w:val="ListParagraph"/>
        <w:numPr>
          <w:ilvl w:val="0"/>
          <w:numId w:val="2"/>
        </w:numPr>
        <w:spacing w:after="70" w:line="264"/>
        <w:jc w:val="both"/>
      </w:pPr>
      <w:r>
        <w:rPr>
          <w:rFonts w:ascii="Calibri" w:cs="Calibri" w:eastAsia="Calibri" w:hAnsi="Calibri"/>
          <w:color w:val="1A1A1A"/>
          <w:sz w:val="20"/>
          <w:szCs w:val="20"/>
        </w:rPr>
        <w:t xml:space="preserve">Le II est le meilleur du chat sur l’office du juge : il suit le </w:t>
      </w:r>
      <w:r>
        <w:rPr>
          <w:rFonts w:ascii="Calibri" w:cs="Calibri" w:eastAsia="Calibri" w:hAnsi="Calibri"/>
          <w:color w:val="E91E63"/>
          <w:sz w:val="20"/>
          <w:szCs w:val="20"/>
        </w:rPr>
        <w:t xml:space="preserve">§ 17</w:t>
      </w:r>
      <w:r>
        <w:rPr>
          <w:rFonts w:ascii="Calibri" w:cs="Calibri" w:eastAsia="Calibri" w:hAnsi="Calibri"/>
          <w:color w:val="1A1A1A"/>
          <w:sz w:val="20"/>
          <w:szCs w:val="20"/>
        </w:rPr>
        <w:t xml:space="preserve"> élément par élément.</w:t>
      </w:r>
    </w:p>
    <w:p>
      <w:pPr>
        <w:spacing w:after="70" w:before="170"/>
      </w:pPr>
      <w:r>
        <w:rPr>
          <w:rFonts w:ascii="Calibri" w:cs="Calibri" w:eastAsia="Calibri" w:hAnsi="Calibri"/>
          <w:b/>
          <w:bCs/>
          <w:color w:val="1A1A1A"/>
          <w:sz w:val="20"/>
          <w:szCs w:val="20"/>
        </w:rPr>
        <w:t xml:space="preserve">Ce qui ne tient pas</w:t>
      </w:r>
    </w:p>
    <w:p>
      <w:pPr>
        <w:pStyle w:val="ListParagraph"/>
        <w:numPr>
          <w:ilvl w:val="0"/>
          <w:numId w:val="2"/>
        </w:numPr>
        <w:spacing w:after="70" w:line="264"/>
        <w:jc w:val="both"/>
      </w:pPr>
      <w:r>
        <w:rPr>
          <w:rFonts w:ascii="Calibri" w:cs="Calibri" w:eastAsia="Calibri" w:hAnsi="Calibri"/>
          <w:b/>
          <w:bCs/>
          <w:color w:val="1A1A1A"/>
          <w:sz w:val="20"/>
          <w:szCs w:val="20"/>
        </w:rPr>
        <w:t xml:space="preserve">Date erronée</w:t>
      </w:r>
      <w:r>
        <w:rPr>
          <w:rFonts w:ascii="Calibri" w:cs="Calibri" w:eastAsia="Calibri" w:hAnsi="Calibri"/>
          <w:color w:val="1A1A1A"/>
          <w:sz w:val="20"/>
          <w:szCs w:val="20"/>
        </w:rPr>
        <w:t xml:space="preserve"> : « 28 novembre 2012 » ; c’est le </w:t>
      </w:r>
      <w:r>
        <w:rPr>
          <w:rFonts w:ascii="Calibri" w:cs="Calibri" w:eastAsia="Calibri" w:hAnsi="Calibri"/>
          <w:b/>
          <w:bCs/>
          <w:color w:val="1A1A1A"/>
          <w:sz w:val="20"/>
          <w:szCs w:val="20"/>
        </w:rPr>
        <w:t xml:space="preserve">28 novembre 2017</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I A : la Cour ne « consacre » pas la liberté artistique ; c’est le pourvoi qui l’invoque (</w:t>
      </w:r>
      <w:r>
        <w:rPr>
          <w:rFonts w:ascii="Calibri" w:cs="Calibri" w:eastAsia="Calibri" w:hAnsi="Calibri"/>
          <w:color w:val="E91E63"/>
          <w:sz w:val="20"/>
          <w:szCs w:val="20"/>
        </w:rPr>
        <w:t xml:space="preserve">§ 10, 1°</w:t>
      </w:r>
      <w:r>
        <w:rPr>
          <w:rFonts w:ascii="Calibri" w:cs="Calibri" w:eastAsia="Calibri" w:hAnsi="Calibri"/>
          <w:color w:val="1A1A1A"/>
          <w:sz w:val="20"/>
          <w:szCs w:val="20"/>
        </w:rPr>
        <w:t xml:space="preserve">) ; la Cour n’en dit rien.</w:t>
      </w:r>
    </w:p>
    <w:p>
      <w:pPr>
        <w:pStyle w:val="ListParagraph"/>
        <w:numPr>
          <w:ilvl w:val="0"/>
          <w:numId w:val="2"/>
        </w:numPr>
        <w:spacing w:after="70" w:line="264"/>
        <w:jc w:val="both"/>
      </w:pPr>
      <w:r>
        <w:rPr>
          <w:rFonts w:ascii="Calibri" w:cs="Calibri" w:eastAsia="Calibri" w:hAnsi="Calibri"/>
          <w:color w:val="1A1A1A"/>
          <w:sz w:val="20"/>
          <w:szCs w:val="20"/>
        </w:rPr>
        <w:t xml:space="preserve">I B : « exercice non abusif » est la formule que la Cour abandonne précisément ; le titre est à contre-courant de l’arrêt.</w:t>
      </w:r>
    </w:p>
    <w:p>
      <w:pPr>
        <w:spacing w:after="70" w:before="170"/>
      </w:pPr>
      <w:r>
        <w:rPr>
          <w:rFonts w:ascii="Calibri" w:cs="Calibri" w:eastAsia="Calibri" w:hAnsi="Calibri"/>
          <w:b/>
          <w:bCs/>
          <w:color w:val="1A1A1A"/>
          <w:sz w:val="20"/>
          <w:szCs w:val="20"/>
        </w:rPr>
        <w:t xml:space="preserve">Le rattrapage</w:t>
      </w:r>
    </w:p>
    <w:p>
      <w:pPr>
        <w:spacing w:after="90" w:line="264"/>
        <w:jc w:val="both"/>
      </w:pPr>
      <w:r>
        <w:rPr>
          <w:rFonts w:ascii="Calibri" w:cs="Calibri" w:eastAsia="Calibri" w:hAnsi="Calibri"/>
          <w:color w:val="1A1A1A"/>
          <w:sz w:val="20"/>
          <w:szCs w:val="20"/>
        </w:rPr>
        <w:t xml:space="preserve">I B devient « Une liberté désormais limitée par la seule exigence de proportionnalité » ; I A parle de « liberté d’expression, y compris satirique » en s’appuyant sur la CEDH plutôt que sur l’arrêt.</w:t>
      </w:r>
    </w:p>
    <w:p>
      <w:pPr>
        <w:spacing w:after="90" w:line="264"/>
        <w:jc w:val="both"/>
      </w:pPr>
      <w:r>
        <w:rPr>
          <w:rFonts w:ascii="Calibri" w:cs="Calibri" w:eastAsia="Calibri" w:hAnsi="Calibri"/>
          <w:b/>
          <w:bCs/>
          <w:color w:val="1A1A1A"/>
          <w:sz w:val="20"/>
          <w:szCs w:val="20"/>
        </w:rPr>
        <w:t xml:space="preserve">Note indicative (plan et introduction tels que postés) : 13/20</w:t>
      </w:r>
    </w:p>
    <w:p>
      <w:pPr>
        <w:pStyle w:val="Heading3"/>
        <w:spacing w:after="80" w:before="200"/>
      </w:pPr>
      <w:r>
        <w:rPr>
          <w:rFonts w:ascii="Calibri" w:cs="Calibri" w:eastAsia="Calibri" w:hAnsi="Calibri"/>
          <w:b/>
          <w:bCs/>
          <w:i/>
          <w:iCs/>
          <w:color w:val="1A1A1A"/>
          <w:sz w:val="21"/>
          <w:szCs w:val="21"/>
        </w:rPr>
        <w:t xml:space="preserve">Charles P — le seul à exploiter le volet syndical</w:t>
      </w:r>
    </w:p>
    <w:p>
      <w:pPr>
        <w:pBdr>
          <w:left w:val="single" w:color="8C1C2B" w:sz="12" w:space="10"/>
        </w:pBdr>
        <w:spacing w:after="90" w:line="264"/>
        <w:ind w:left="260"/>
        <w:jc w:val="both"/>
      </w:pPr>
      <w:r>
        <w:rPr>
          <w:rFonts w:ascii="Calibri" w:cs="Calibri" w:eastAsia="Calibri" w:hAnsi="Calibri"/>
          <w:color w:val="1A1A1A"/>
          <w:sz w:val="20"/>
          <w:szCs w:val="20"/>
        </w:rPr>
        <w:t xml:space="preserve">Accroche : « Je ne suis pas d’accord avec ce que vous dites… » (Evelyn Beatrice Hall, résumant la pensée de Voltaire)</w:t>
      </w:r>
    </w:p>
    <w:p>
      <w:pPr>
        <w:pBdr>
          <w:left w:val="single" w:color="8C1C2B" w:sz="12" w:space="10"/>
        </w:pBdr>
        <w:spacing w:after="90" w:line="264"/>
        <w:ind w:left="260"/>
        <w:jc w:val="both"/>
      </w:pPr>
      <w:r>
        <w:rPr>
          <w:rFonts w:ascii="Calibri" w:cs="Calibri" w:eastAsia="Calibri" w:hAnsi="Calibri"/>
          <w:color w:val="1A1A1A"/>
          <w:sz w:val="20"/>
          <w:szCs w:val="20"/>
        </w:rPr>
        <w:t xml:space="preserve">I. Le cadre de la protection — A. L’interdiction de licenciement à raison de l’exercice de la liberté d’expression ; B. L’absence de compétence syndicale en cas d’atteinte à la liberté d’expression d’un seul salarié</w:t>
      </w:r>
    </w:p>
    <w:p>
      <w:pPr>
        <w:pBdr>
          <w:left w:val="single" w:color="8C1C2B" w:sz="12" w:space="10"/>
        </w:pBdr>
        <w:spacing w:after="90" w:line="264"/>
        <w:ind w:left="260"/>
        <w:jc w:val="both"/>
      </w:pPr>
      <w:r>
        <w:rPr>
          <w:rFonts w:ascii="Calibri" w:cs="Calibri" w:eastAsia="Calibri" w:hAnsi="Calibri"/>
          <w:color w:val="1A1A1A"/>
          <w:sz w:val="20"/>
          <w:szCs w:val="20"/>
        </w:rPr>
        <w:t xml:space="preserve">II. La limite par la proportionnalité — A. La tolérance d’une restriction proportionnée ; B. Les modalités du contrôle de proportionnalité</w:t>
      </w:r>
    </w:p>
    <w:p>
      <w:pPr>
        <w:spacing w:after="70" w:before="170"/>
      </w:pPr>
      <w:r>
        <w:rPr>
          <w:rFonts w:ascii="Calibri" w:cs="Calibri" w:eastAsia="Calibri" w:hAnsi="Calibri"/>
          <w:b/>
          <w:bCs/>
          <w:color w:val="1A1A1A"/>
          <w:sz w:val="20"/>
          <w:szCs w:val="20"/>
        </w:rPr>
        <w:t xml:space="preserve">Ce qui tient</w:t>
      </w:r>
    </w:p>
    <w:p>
      <w:pPr>
        <w:pStyle w:val="ListParagraph"/>
        <w:numPr>
          <w:ilvl w:val="0"/>
          <w:numId w:val="2"/>
        </w:numPr>
        <w:spacing w:after="70" w:line="264"/>
        <w:jc w:val="both"/>
      </w:pPr>
      <w:r>
        <w:rPr>
          <w:rFonts w:ascii="Calibri" w:cs="Calibri" w:eastAsia="Calibri" w:hAnsi="Calibri"/>
          <w:color w:val="1A1A1A"/>
          <w:sz w:val="20"/>
          <w:szCs w:val="20"/>
        </w:rPr>
        <w:t xml:space="preserve">Attribution correcte de la citation (souvent attribuée à tort à Voltaire).</w:t>
      </w:r>
    </w:p>
    <w:p>
      <w:pPr>
        <w:pStyle w:val="ListParagraph"/>
        <w:numPr>
          <w:ilvl w:val="0"/>
          <w:numId w:val="2"/>
        </w:numPr>
        <w:spacing w:after="70" w:line="264"/>
        <w:jc w:val="both"/>
      </w:pPr>
      <w:r>
        <w:rPr>
          <w:rFonts w:ascii="Calibri" w:cs="Calibri" w:eastAsia="Calibri" w:hAnsi="Calibri"/>
          <w:color w:val="1A1A1A"/>
          <w:sz w:val="20"/>
          <w:szCs w:val="20"/>
        </w:rPr>
        <w:t xml:space="preserve">Le volet syndical (</w:t>
      </w:r>
      <w:r>
        <w:rPr>
          <w:rFonts w:ascii="Calibri" w:cs="Calibri" w:eastAsia="Calibri" w:hAnsi="Calibri"/>
          <w:color w:val="1E88E5"/>
          <w:sz w:val="20"/>
          <w:szCs w:val="20"/>
        </w:rPr>
        <w:t xml:space="preserve">L. 2132-3</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 8</w:t>
      </w:r>
      <w:r>
        <w:rPr>
          <w:rFonts w:ascii="Calibri" w:cs="Calibri" w:eastAsia="Calibri" w:hAnsi="Calibri"/>
          <w:color w:val="1A1A1A"/>
          <w:sz w:val="20"/>
          <w:szCs w:val="20"/>
        </w:rPr>
        <w:t xml:space="preserve">) est analysé, avec </w:t>
      </w:r>
      <w:r>
        <w:rPr>
          <w:rFonts w:ascii="Calibri" w:cs="Calibri" w:eastAsia="Calibri" w:hAnsi="Calibri"/>
          <w:color w:val="E91E63"/>
          <w:sz w:val="20"/>
          <w:szCs w:val="20"/>
        </w:rPr>
        <w:t xml:space="preserve">CEDH, 27 oct. 1975, Syndicat national de la police belge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Intérêt bien formulé : conceptions européenne et américaine de la liberté d’expression.</w:t>
      </w:r>
    </w:p>
    <w:p>
      <w:pPr>
        <w:spacing w:after="70" w:before="170"/>
      </w:pPr>
      <w:r>
        <w:rPr>
          <w:rFonts w:ascii="Calibri" w:cs="Calibri" w:eastAsia="Calibri" w:hAnsi="Calibri"/>
          <w:b/>
          <w:bCs/>
          <w:color w:val="1A1A1A"/>
          <w:sz w:val="20"/>
          <w:szCs w:val="20"/>
        </w:rPr>
        <w:t xml:space="preserve">Ce qui ne tient pas</w:t>
      </w:r>
    </w:p>
    <w:p>
      <w:pPr>
        <w:pStyle w:val="ListParagraph"/>
        <w:numPr>
          <w:ilvl w:val="0"/>
          <w:numId w:val="2"/>
        </w:numPr>
        <w:spacing w:after="70" w:line="264"/>
        <w:jc w:val="both"/>
      </w:pPr>
      <w:r>
        <w:rPr>
          <w:rFonts w:ascii="Calibri" w:cs="Calibri" w:eastAsia="Calibri" w:hAnsi="Calibri"/>
          <w:b/>
          <w:bCs/>
          <w:color w:val="1A1A1A"/>
          <w:sz w:val="20"/>
          <w:szCs w:val="20"/>
        </w:rPr>
        <w:t xml:space="preserve">« Art. 10 DDHC »</w:t>
      </w:r>
      <w:r>
        <w:rPr>
          <w:rFonts w:ascii="Calibri" w:cs="Calibri" w:eastAsia="Calibri" w:hAnsi="Calibri"/>
          <w:color w:val="1A1A1A"/>
          <w:sz w:val="20"/>
          <w:szCs w:val="20"/>
        </w:rPr>
        <w:t xml:space="preserve"> cité comme garantie de la liberté d’expression : c’est l’</w:t>
      </w:r>
      <w:r>
        <w:rPr>
          <w:rFonts w:ascii="Calibri" w:cs="Calibri" w:eastAsia="Calibri" w:hAnsi="Calibri"/>
          <w:color w:val="1E88E5"/>
          <w:sz w:val="20"/>
          <w:szCs w:val="20"/>
        </w:rPr>
        <w:t xml:space="preserve">art. 11</w:t>
      </w:r>
      <w:r>
        <w:rPr>
          <w:rFonts w:ascii="Calibri" w:cs="Calibri" w:eastAsia="Calibri" w:hAnsi="Calibri"/>
          <w:color w:val="1A1A1A"/>
          <w:sz w:val="20"/>
          <w:szCs w:val="20"/>
        </w:rPr>
        <w:t xml:space="preserve"> (l’art. 10 vise les opinions, « même religieuses »).</w:t>
      </w:r>
    </w:p>
    <w:p>
      <w:pPr>
        <w:pStyle w:val="ListParagraph"/>
        <w:numPr>
          <w:ilvl w:val="0"/>
          <w:numId w:val="2"/>
        </w:numPr>
        <w:spacing w:after="70" w:line="264"/>
        <w:jc w:val="both"/>
      </w:pPr>
      <w:r>
        <w:rPr>
          <w:rFonts w:ascii="Calibri" w:cs="Calibri" w:eastAsia="Calibri" w:hAnsi="Calibri"/>
          <w:color w:val="1A1A1A"/>
          <w:sz w:val="20"/>
          <w:szCs w:val="20"/>
        </w:rPr>
        <w:t xml:space="preserve">Déséquilibre : une sous-partie entière pour l’irrecevabilité du syndicat, point secondaire.</w:t>
      </w:r>
    </w:p>
    <w:p>
      <w:pPr>
        <w:pStyle w:val="ListParagraph"/>
        <w:numPr>
          <w:ilvl w:val="0"/>
          <w:numId w:val="2"/>
        </w:numPr>
        <w:spacing w:after="70" w:line="264"/>
        <w:jc w:val="both"/>
      </w:pPr>
      <w:r>
        <w:rPr>
          <w:rFonts w:ascii="Calibri" w:cs="Calibri" w:eastAsia="Calibri" w:hAnsi="Calibri"/>
          <w:color w:val="1A1A1A"/>
          <w:sz w:val="20"/>
          <w:szCs w:val="20"/>
        </w:rPr>
        <w:t xml:space="preserve">« Absence de compétence syndicale » : il s’agit de </w:t>
      </w:r>
      <w:r>
        <w:rPr>
          <w:rFonts w:ascii="Calibri" w:cs="Calibri" w:eastAsia="Calibri" w:hAnsi="Calibri"/>
          <w:b/>
          <w:bCs/>
          <w:color w:val="1A1A1A"/>
          <w:sz w:val="20"/>
          <w:szCs w:val="20"/>
        </w:rPr>
        <w:t xml:space="preserve">recevabilité</w:t>
      </w:r>
      <w:r>
        <w:rPr>
          <w:rFonts w:ascii="Calibri" w:cs="Calibri" w:eastAsia="Calibri" w:hAnsi="Calibri"/>
          <w:color w:val="1A1A1A"/>
          <w:sz w:val="20"/>
          <w:szCs w:val="20"/>
        </w:rPr>
        <w:t xml:space="preserve"> (intérêt à agir), non de compétence.</w:t>
      </w:r>
    </w:p>
    <w:p>
      <w:pPr>
        <w:pStyle w:val="ListParagraph"/>
        <w:numPr>
          <w:ilvl w:val="0"/>
          <w:numId w:val="2"/>
        </w:numPr>
        <w:spacing w:after="70" w:line="264"/>
        <w:jc w:val="both"/>
      </w:pPr>
      <w:r>
        <w:rPr>
          <w:rFonts w:ascii="Calibri" w:cs="Calibri" w:eastAsia="Calibri" w:hAnsi="Calibri"/>
          <w:color w:val="1A1A1A"/>
          <w:sz w:val="20"/>
          <w:szCs w:val="20"/>
        </w:rPr>
        <w:t xml:space="preserve">Le II paraphrase les §§ 12-13 sans dire ce qu’ils changent.</w:t>
      </w:r>
    </w:p>
    <w:p>
      <w:pPr>
        <w:spacing w:after="70" w:before="170"/>
      </w:pPr>
      <w:r>
        <w:rPr>
          <w:rFonts w:ascii="Calibri" w:cs="Calibri" w:eastAsia="Calibri" w:hAnsi="Calibri"/>
          <w:b/>
          <w:bCs/>
          <w:color w:val="1A1A1A"/>
          <w:sz w:val="20"/>
          <w:szCs w:val="20"/>
        </w:rPr>
        <w:t xml:space="preserve">Le rattrapage</w:t>
      </w:r>
    </w:p>
    <w:p>
      <w:pPr>
        <w:spacing w:after="90" w:line="264"/>
        <w:jc w:val="both"/>
      </w:pPr>
      <w:r>
        <w:rPr>
          <w:rFonts w:ascii="Calibri" w:cs="Calibri" w:eastAsia="Calibri" w:hAnsi="Calibri"/>
          <w:color w:val="1A1A1A"/>
          <w:sz w:val="20"/>
          <w:szCs w:val="20"/>
        </w:rPr>
        <w:t xml:space="preserve">Fusionner I A et le syndicat dans un I B « Une protection individuelle sanctionnée par la nullité » ; consacrer un développement à la disparition de l’abus.</w:t>
      </w:r>
    </w:p>
    <w:p>
      <w:pPr>
        <w:spacing w:after="90" w:line="264"/>
        <w:jc w:val="both"/>
      </w:pPr>
      <w:r>
        <w:rPr>
          <w:rFonts w:ascii="Calibri" w:cs="Calibri" w:eastAsia="Calibri" w:hAnsi="Calibri"/>
          <w:b/>
          <w:bCs/>
          <w:color w:val="1A1A1A"/>
          <w:sz w:val="20"/>
          <w:szCs w:val="20"/>
        </w:rPr>
        <w:t xml:space="preserve">Note indicative (plan et introduction tels que postés) : 12/20</w:t>
      </w:r>
    </w:p>
    <w:p>
      <w:pPr>
        <w:pStyle w:val="Heading3"/>
        <w:spacing w:after="80" w:before="200"/>
      </w:pPr>
      <w:r>
        <w:rPr>
          <w:rFonts w:ascii="Calibri" w:cs="Calibri" w:eastAsia="Calibri" w:hAnsi="Calibri"/>
          <w:b/>
          <w:bCs/>
          <w:i/>
          <w:iCs/>
          <w:color w:val="1A1A1A"/>
          <w:sz w:val="21"/>
          <w:szCs w:val="21"/>
        </w:rPr>
        <w:t xml:space="preserve">Deokjin L — riche, mais des références introuvables</w:t>
      </w:r>
    </w:p>
    <w:p>
      <w:pPr>
        <w:pBdr>
          <w:left w:val="single" w:color="8C1C2B" w:sz="12" w:space="10"/>
        </w:pBdr>
        <w:spacing w:after="90" w:line="264"/>
        <w:ind w:left="260"/>
        <w:jc w:val="both"/>
      </w:pPr>
      <w:r>
        <w:rPr>
          <w:rFonts w:ascii="Calibri" w:cs="Calibri" w:eastAsia="Calibri" w:hAnsi="Calibri"/>
          <w:color w:val="1A1A1A"/>
          <w:sz w:val="20"/>
          <w:szCs w:val="20"/>
        </w:rPr>
        <w:t xml:space="preserve">I. Une appréciation extensive de l’applicabilité de la liberté d’expression — A. Un rappel de la nature fondamentale ; B. Le juge judiciaire garant de l’effet direct de la liberté d’expression</w:t>
      </w:r>
    </w:p>
    <w:p>
      <w:pPr>
        <w:pBdr>
          <w:left w:val="single" w:color="8C1C2B" w:sz="12" w:space="10"/>
        </w:pBdr>
        <w:spacing w:after="90" w:line="264"/>
        <w:ind w:left="260"/>
        <w:jc w:val="both"/>
      </w:pPr>
      <w:r>
        <w:rPr>
          <w:rFonts w:ascii="Calibri" w:cs="Calibri" w:eastAsia="Calibri" w:hAnsi="Calibri"/>
          <w:color w:val="1A1A1A"/>
          <w:sz w:val="20"/>
          <w:szCs w:val="20"/>
        </w:rPr>
        <w:t xml:space="preserve">II. La mise en œuvre d’un contrôle concret de proportionnalité de la restriction — A. La reconnaissance des possibles restrictions ; B. Un examen concret de la proportionnalité du licenciement</w:t>
      </w:r>
    </w:p>
    <w:p>
      <w:pPr>
        <w:spacing w:after="70" w:before="170"/>
      </w:pPr>
      <w:r>
        <w:rPr>
          <w:rFonts w:ascii="Calibri" w:cs="Calibri" w:eastAsia="Calibri" w:hAnsi="Calibri"/>
          <w:b/>
          <w:bCs/>
          <w:color w:val="1A1A1A"/>
          <w:sz w:val="20"/>
          <w:szCs w:val="20"/>
        </w:rPr>
        <w:t xml:space="preserve">Ce qui tient</w:t>
      </w:r>
    </w:p>
    <w:p>
      <w:pPr>
        <w:pStyle w:val="ListParagraph"/>
        <w:numPr>
          <w:ilvl w:val="0"/>
          <w:numId w:val="2"/>
        </w:numPr>
        <w:spacing w:after="70" w:line="264"/>
        <w:jc w:val="both"/>
      </w:pPr>
      <w:r>
        <w:rPr>
          <w:rFonts w:ascii="Calibri" w:cs="Calibri" w:eastAsia="Calibri" w:hAnsi="Calibri"/>
          <w:color w:val="1A1A1A"/>
          <w:sz w:val="20"/>
          <w:szCs w:val="20"/>
        </w:rPr>
        <w:t xml:space="preserve">Effet horizontal et rôle du juge judiciaire : bonne idée, rarement vue.</w:t>
      </w:r>
    </w:p>
    <w:p>
      <w:pPr>
        <w:pStyle w:val="ListParagraph"/>
        <w:numPr>
          <w:ilvl w:val="0"/>
          <w:numId w:val="2"/>
        </w:numPr>
        <w:spacing w:after="70" w:line="264"/>
        <w:jc w:val="both"/>
      </w:pPr>
      <w:r>
        <w:rPr>
          <w:rFonts w:ascii="Calibri" w:cs="Calibri" w:eastAsia="Calibri" w:hAnsi="Calibri"/>
          <w:color w:val="1A1A1A"/>
          <w:sz w:val="20"/>
          <w:szCs w:val="20"/>
        </w:rPr>
        <w:t xml:space="preserve">Art. 10 § 2 et </w:t>
      </w:r>
      <w:r>
        <w:rPr>
          <w:rFonts w:ascii="Calibri" w:cs="Calibri" w:eastAsia="Calibri" w:hAnsi="Calibri"/>
          <w:color w:val="1E88E5"/>
          <w:sz w:val="20"/>
          <w:szCs w:val="20"/>
        </w:rPr>
        <w:t xml:space="preserve">art. 8 CEDH</w:t>
      </w:r>
      <w:r>
        <w:rPr>
          <w:rFonts w:ascii="Calibri" w:cs="Calibri" w:eastAsia="Calibri" w:hAnsi="Calibri"/>
          <w:color w:val="1A1A1A"/>
          <w:sz w:val="20"/>
          <w:szCs w:val="20"/>
        </w:rPr>
        <w:t xml:space="preserve"> (réputation) ; </w:t>
      </w:r>
      <w:r>
        <w:rPr>
          <w:rFonts w:ascii="Calibri" w:cs="Calibri" w:eastAsia="Calibri" w:hAnsi="Calibri"/>
          <w:color w:val="E91E63"/>
          <w:sz w:val="20"/>
          <w:szCs w:val="20"/>
        </w:rPr>
        <w:t xml:space="preserve">Axel Springer</w:t>
      </w:r>
      <w:r>
        <w:rPr>
          <w:rFonts w:ascii="Calibri" w:cs="Calibri" w:eastAsia="Calibri" w:hAnsi="Calibri"/>
          <w:color w:val="1A1A1A"/>
          <w:sz w:val="20"/>
          <w:szCs w:val="20"/>
        </w:rPr>
        <w:t xml:space="preserve"> pour la technique de mise en balance ; « effectivité de l’atteinte à l’honneur » bien relevée.</w:t>
      </w:r>
    </w:p>
    <w:p>
      <w:pPr>
        <w:spacing w:after="70" w:before="170"/>
      </w:pPr>
      <w:r>
        <w:rPr>
          <w:rFonts w:ascii="Calibri" w:cs="Calibri" w:eastAsia="Calibri" w:hAnsi="Calibri"/>
          <w:b/>
          <w:bCs/>
          <w:color w:val="1A1A1A"/>
          <w:sz w:val="20"/>
          <w:szCs w:val="20"/>
        </w:rPr>
        <w:t xml:space="preserve">Ce qui ne tient pas</w:t>
      </w:r>
    </w:p>
    <w:p>
      <w:pPr>
        <w:pStyle w:val="ListParagraph"/>
        <w:numPr>
          <w:ilvl w:val="0"/>
          <w:numId w:val="2"/>
        </w:numPr>
        <w:spacing w:after="70" w:line="264"/>
        <w:jc w:val="both"/>
      </w:pPr>
      <w:r>
        <w:rPr>
          <w:rFonts w:ascii="Calibri" w:cs="Calibri" w:eastAsia="Calibri" w:hAnsi="Calibri"/>
          <w:color w:val="1A1A1A"/>
          <w:sz w:val="20"/>
          <w:szCs w:val="20"/>
        </w:rPr>
        <w:t xml:space="preserve">Références non identifiables : « JP Respino », « Mel Yedei » ; « Van Hoover 2 » désigne </w:t>
      </w:r>
      <w:r>
        <w:rPr>
          <w:rFonts w:ascii="Calibri" w:cs="Calibri" w:eastAsia="Calibri" w:hAnsi="Calibri"/>
          <w:color w:val="E91E63"/>
          <w:sz w:val="20"/>
          <w:szCs w:val="20"/>
        </w:rPr>
        <w:t xml:space="preserve">Von Hannover c. Allemagne (n° 2)</w:t>
      </w:r>
      <w:r>
        <w:rPr>
          <w:rFonts w:ascii="Calibri" w:cs="Calibri" w:eastAsia="Calibri" w:hAnsi="Calibri"/>
          <w:color w:val="1A1A1A"/>
          <w:sz w:val="20"/>
          <w:szCs w:val="20"/>
        </w:rPr>
        <w:t xml:space="preserve">, gr. ch., 7 févr. 2012.</w:t>
      </w:r>
    </w:p>
    <w:p>
      <w:pPr>
        <w:pStyle w:val="ListParagraph"/>
        <w:numPr>
          <w:ilvl w:val="0"/>
          <w:numId w:val="2"/>
        </w:numPr>
        <w:spacing w:after="70" w:line="264"/>
        <w:jc w:val="both"/>
      </w:pPr>
      <w:r>
        <w:rPr>
          <w:rFonts w:ascii="Calibri" w:cs="Calibri" w:eastAsia="Calibri" w:hAnsi="Calibri"/>
          <w:color w:val="1A1A1A"/>
          <w:sz w:val="20"/>
          <w:szCs w:val="20"/>
        </w:rPr>
        <w:t xml:space="preserve">« Cass. soc., 14 janv. 2014 validant la clause de non-critique » : référence non retrouvée ; à ne pas citer à l’oral sans certitude.</w:t>
      </w:r>
    </w:p>
    <w:p>
      <w:pPr>
        <w:pStyle w:val="ListParagraph"/>
        <w:numPr>
          <w:ilvl w:val="0"/>
          <w:numId w:val="2"/>
        </w:numPr>
        <w:spacing w:after="70" w:line="264"/>
        <w:jc w:val="both"/>
      </w:pPr>
      <w:r>
        <w:rPr>
          <w:rFonts w:ascii="Calibri" w:cs="Calibri" w:eastAsia="Calibri" w:hAnsi="Calibri"/>
          <w:color w:val="E91E63"/>
          <w:sz w:val="20"/>
          <w:szCs w:val="20"/>
        </w:rPr>
        <w:t xml:space="preserve">Baby Loup</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Ass. plén., 25 juin 2014</w:t>
      </w:r>
      <w:r>
        <w:rPr>
          <w:rFonts w:ascii="Calibri" w:cs="Calibri" w:eastAsia="Calibri" w:hAnsi="Calibri"/>
          <w:color w:val="1A1A1A"/>
          <w:sz w:val="20"/>
          <w:szCs w:val="20"/>
        </w:rPr>
        <w:t xml:space="preserve">) concerne une restriction à la liberté religieuse prévue par le règlement intérieur : l’analogie avec « la nature de la tâche » est possible mais doit être expliquée.</w:t>
      </w:r>
    </w:p>
    <w:p>
      <w:pPr>
        <w:pStyle w:val="ListParagraph"/>
        <w:numPr>
          <w:ilvl w:val="0"/>
          <w:numId w:val="2"/>
        </w:numPr>
        <w:spacing w:after="70" w:line="264"/>
        <w:jc w:val="both"/>
      </w:pPr>
      <w:r>
        <w:rPr>
          <w:rFonts w:ascii="Calibri" w:cs="Calibri" w:eastAsia="Calibri" w:hAnsi="Calibri"/>
          <w:color w:val="1A1A1A"/>
          <w:sz w:val="20"/>
          <w:szCs w:val="20"/>
        </w:rPr>
        <w:t xml:space="preserve">L’abandon de l’abus n’est pas nommé.</w:t>
      </w:r>
    </w:p>
    <w:p>
      <w:pPr>
        <w:spacing w:after="70" w:before="170"/>
      </w:pPr>
      <w:r>
        <w:rPr>
          <w:rFonts w:ascii="Calibri" w:cs="Calibri" w:eastAsia="Calibri" w:hAnsi="Calibri"/>
          <w:b/>
          <w:bCs/>
          <w:color w:val="1A1A1A"/>
          <w:sz w:val="20"/>
          <w:szCs w:val="20"/>
        </w:rPr>
        <w:t xml:space="preserve">Le rattrapage</w:t>
      </w:r>
    </w:p>
    <w:p>
      <w:pPr>
        <w:spacing w:after="90" w:line="264"/>
        <w:jc w:val="both"/>
      </w:pPr>
      <w:r>
        <w:rPr>
          <w:rFonts w:ascii="Calibri" w:cs="Calibri" w:eastAsia="Calibri" w:hAnsi="Calibri"/>
          <w:color w:val="1A1A1A"/>
          <w:sz w:val="20"/>
          <w:szCs w:val="20"/>
        </w:rPr>
        <w:t xml:space="preserve">Ne garder que les références sûres ; transformer I B en « une protection sanctionnée par la nullité » et II A en « de l’abus à la mise en balance ».</w:t>
      </w:r>
    </w:p>
    <w:p>
      <w:pPr>
        <w:spacing w:after="90" w:line="264"/>
        <w:jc w:val="both"/>
      </w:pPr>
      <w:r>
        <w:rPr>
          <w:rFonts w:ascii="Calibri" w:cs="Calibri" w:eastAsia="Calibri" w:hAnsi="Calibri"/>
          <w:b/>
          <w:bCs/>
          <w:color w:val="1A1A1A"/>
          <w:sz w:val="20"/>
          <w:szCs w:val="20"/>
        </w:rPr>
        <w:t xml:space="preserve">Note indicative (plan et introduction tels que postés) : 12/20</w:t>
      </w:r>
    </w:p>
    <w:p>
      <w:pPr>
        <w:pStyle w:val="Heading3"/>
        <w:spacing w:after="80" w:before="200"/>
      </w:pPr>
      <w:r>
        <w:rPr>
          <w:rFonts w:ascii="Calibri" w:cs="Calibri" w:eastAsia="Calibri" w:hAnsi="Calibri"/>
          <w:b/>
          <w:bCs/>
          <w:i/>
          <w:iCs/>
          <w:color w:val="1A1A1A"/>
          <w:sz w:val="21"/>
          <w:szCs w:val="21"/>
        </w:rPr>
        <w:t xml:space="preserve">Axelle B — une excellente accroche d’actualité</w:t>
      </w:r>
    </w:p>
    <w:p>
      <w:pPr>
        <w:pBdr>
          <w:left w:val="single" w:color="8C1C2B" w:sz="12" w:space="10"/>
        </w:pBdr>
        <w:spacing w:after="90" w:line="264"/>
        <w:ind w:left="260"/>
        <w:jc w:val="both"/>
      </w:pPr>
      <w:r>
        <w:rPr>
          <w:rFonts w:ascii="Calibri" w:cs="Calibri" w:eastAsia="Calibri" w:hAnsi="Calibri"/>
          <w:color w:val="1A1A1A"/>
          <w:sz w:val="20"/>
          <w:szCs w:val="20"/>
        </w:rPr>
        <w:t xml:space="preserve">Accroche : censure par le Conseil constitutionnel de la loi interdisant les réseaux sociaux aux moins de 15 ans</w:t>
      </w:r>
    </w:p>
    <w:p>
      <w:pPr>
        <w:pBdr>
          <w:left w:val="single" w:color="8C1C2B" w:sz="12" w:space="10"/>
        </w:pBdr>
        <w:spacing w:after="90" w:line="264"/>
        <w:ind w:left="260"/>
        <w:jc w:val="both"/>
      </w:pPr>
      <w:r>
        <w:rPr>
          <w:rFonts w:ascii="Calibri" w:cs="Calibri" w:eastAsia="Calibri" w:hAnsi="Calibri"/>
          <w:color w:val="1A1A1A"/>
          <w:sz w:val="20"/>
          <w:szCs w:val="20"/>
        </w:rPr>
        <w:t xml:space="preserve">I. La réaffirmation de la liberté d’expression comme liberté fondamentale — A. Protection conventionnelle et constitutionnelle ; B. L’affirmation de la liberté d’expression en entreprise</w:t>
      </w:r>
    </w:p>
    <w:p>
      <w:pPr>
        <w:pBdr>
          <w:left w:val="single" w:color="8C1C2B" w:sz="12" w:space="10"/>
        </w:pBdr>
        <w:spacing w:after="90" w:line="264"/>
        <w:ind w:left="260"/>
        <w:jc w:val="both"/>
      </w:pPr>
      <w:r>
        <w:rPr>
          <w:rFonts w:ascii="Calibri" w:cs="Calibri" w:eastAsia="Calibri" w:hAnsi="Calibri"/>
          <w:color w:val="1A1A1A"/>
          <w:sz w:val="20"/>
          <w:szCs w:val="20"/>
        </w:rPr>
        <w:t xml:space="preserve">II. La mise en balance — A. L’application d’un contrôle de proportionnalité (abandon de la jurisprudence antérieure) ; B. L’application in concreto des critères du contrôle</w:t>
      </w:r>
    </w:p>
    <w:p>
      <w:pPr>
        <w:spacing w:after="70" w:before="170"/>
      </w:pPr>
      <w:r>
        <w:rPr>
          <w:rFonts w:ascii="Calibri" w:cs="Calibri" w:eastAsia="Calibri" w:hAnsi="Calibri"/>
          <w:b/>
          <w:bCs/>
          <w:color w:val="1A1A1A"/>
          <w:sz w:val="20"/>
          <w:szCs w:val="20"/>
        </w:rPr>
        <w:t xml:space="preserve">Ce qui tient</w:t>
      </w:r>
    </w:p>
    <w:p>
      <w:pPr>
        <w:pStyle w:val="ListParagraph"/>
        <w:numPr>
          <w:ilvl w:val="0"/>
          <w:numId w:val="2"/>
        </w:numPr>
        <w:spacing w:after="70" w:line="264"/>
        <w:jc w:val="both"/>
      </w:pPr>
      <w:r>
        <w:rPr>
          <w:rFonts w:ascii="Calibri" w:cs="Calibri" w:eastAsia="Calibri" w:hAnsi="Calibri"/>
          <w:color w:val="1A1A1A"/>
          <w:sz w:val="20"/>
          <w:szCs w:val="20"/>
        </w:rPr>
        <w:t xml:space="preserve">Accroche </w:t>
      </w:r>
      <w:r>
        <w:rPr>
          <w:rFonts w:ascii="Calibri" w:cs="Calibri" w:eastAsia="Calibri" w:hAnsi="Calibri"/>
          <w:b/>
          <w:bCs/>
          <w:color w:val="1A1A1A"/>
          <w:sz w:val="20"/>
          <w:szCs w:val="20"/>
        </w:rPr>
        <w:t xml:space="preserve">exacte</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n° 2026-911 DC du 14 août 2026</w:t>
      </w:r>
      <w:r>
        <w:rPr>
          <w:rFonts w:ascii="Calibri" w:cs="Calibri" w:eastAsia="Calibri" w:hAnsi="Calibri"/>
          <w:color w:val="1A1A1A"/>
          <w:sz w:val="20"/>
          <w:szCs w:val="20"/>
        </w:rPr>
        <w:t xml:space="preserve">, censure de l’art. 1er pour atteinte disproportionnée à la liberté d’expression et de communication (et à la vie privée).</w:t>
      </w:r>
    </w:p>
    <w:p>
      <w:pPr>
        <w:pStyle w:val="ListParagraph"/>
        <w:numPr>
          <w:ilvl w:val="0"/>
          <w:numId w:val="2"/>
        </w:numPr>
        <w:spacing w:after="70" w:line="264"/>
        <w:jc w:val="both"/>
      </w:pPr>
      <w:r>
        <w:rPr>
          <w:rFonts w:ascii="Calibri" w:cs="Calibri" w:eastAsia="Calibri" w:hAnsi="Calibri"/>
          <w:color w:val="1A1A1A"/>
          <w:sz w:val="20"/>
          <w:szCs w:val="20"/>
        </w:rPr>
        <w:t xml:space="preserve">Le revirement est identifié et rattaché à </w:t>
      </w:r>
      <w:r>
        <w:rPr>
          <w:rFonts w:ascii="Calibri" w:cs="Calibri" w:eastAsia="Calibri" w:hAnsi="Calibri"/>
          <w:color w:val="1E88E5"/>
          <w:sz w:val="20"/>
          <w:szCs w:val="20"/>
        </w:rPr>
        <w:t xml:space="preserve">L. 1121-1</w:t>
      </w:r>
      <w:r>
        <w:rPr>
          <w:rFonts w:ascii="Calibri" w:cs="Calibri" w:eastAsia="Calibri" w:hAnsi="Calibri"/>
          <w:color w:val="1A1A1A"/>
          <w:sz w:val="20"/>
          <w:szCs w:val="20"/>
        </w:rPr>
        <w:t xml:space="preserve">.</w:t>
      </w:r>
    </w:p>
    <w:p>
      <w:pPr>
        <w:spacing w:after="70" w:before="170"/>
      </w:pPr>
      <w:r>
        <w:rPr>
          <w:rFonts w:ascii="Calibri" w:cs="Calibri" w:eastAsia="Calibri" w:hAnsi="Calibri"/>
          <w:b/>
          <w:bCs/>
          <w:color w:val="1A1A1A"/>
          <w:sz w:val="20"/>
          <w:szCs w:val="20"/>
        </w:rPr>
        <w:t xml:space="preserve">Ce qui ne tient pas</w:t>
      </w:r>
    </w:p>
    <w:p>
      <w:pPr>
        <w:pStyle w:val="ListParagraph"/>
        <w:numPr>
          <w:ilvl w:val="0"/>
          <w:numId w:val="2"/>
        </w:numPr>
        <w:spacing w:after="70" w:line="264"/>
        <w:jc w:val="both"/>
      </w:pPr>
      <w:r>
        <w:rPr>
          <w:rFonts w:ascii="Calibri" w:cs="Calibri" w:eastAsia="Calibri" w:hAnsi="Calibri"/>
          <w:color w:val="1A1A1A"/>
          <w:sz w:val="20"/>
          <w:szCs w:val="20"/>
        </w:rPr>
        <w:t xml:space="preserve">II B : « la sanction de licenciement est disproportionnée » : la Cour ne le dit pas ; elle renvoie.</w:t>
      </w:r>
    </w:p>
    <w:p>
      <w:pPr>
        <w:pStyle w:val="ListParagraph"/>
        <w:numPr>
          <w:ilvl w:val="0"/>
          <w:numId w:val="2"/>
        </w:numPr>
        <w:spacing w:after="70" w:line="264"/>
        <w:jc w:val="both"/>
      </w:pPr>
      <w:r>
        <w:rPr>
          <w:rFonts w:ascii="Calibri" w:cs="Calibri" w:eastAsia="Calibri" w:hAnsi="Calibri"/>
          <w:color w:val="1A1A1A"/>
          <w:sz w:val="20"/>
          <w:szCs w:val="20"/>
        </w:rPr>
        <w:t xml:space="preserve">« Arrêt fun and pro, 9 nov. 2022 » (</w:t>
      </w:r>
      <w:r>
        <w:rPr>
          <w:rFonts w:ascii="Calibri" w:cs="Calibri" w:eastAsia="Calibri" w:hAnsi="Calibri"/>
          <w:color w:val="E91E63"/>
          <w:sz w:val="20"/>
          <w:szCs w:val="20"/>
        </w:rPr>
        <w:t xml:space="preserve">n° 21-15.208</w:t>
      </w:r>
      <w:r>
        <w:rPr>
          <w:rFonts w:ascii="Calibri" w:cs="Calibri" w:eastAsia="Calibri" w:hAnsi="Calibri"/>
          <w:color w:val="1A1A1A"/>
          <w:sz w:val="20"/>
          <w:szCs w:val="20"/>
        </w:rPr>
        <w:t xml:space="preserve">) : il juge que le refus d’adhérer à la culture « fun &amp; pro » relève de la liberté d’expression et d’opinion ; il ne pose pas de « critères du contrôle de proportionnalité ».</w:t>
      </w:r>
    </w:p>
    <w:p>
      <w:pPr>
        <w:pStyle w:val="ListParagraph"/>
        <w:numPr>
          <w:ilvl w:val="0"/>
          <w:numId w:val="2"/>
        </w:numPr>
        <w:spacing w:after="70" w:line="264"/>
        <w:jc w:val="both"/>
      </w:pPr>
      <w:r>
        <w:rPr>
          <w:rFonts w:ascii="Calibri" w:cs="Calibri" w:eastAsia="Calibri" w:hAnsi="Calibri"/>
          <w:color w:val="1A1A1A"/>
          <w:sz w:val="20"/>
          <w:szCs w:val="20"/>
        </w:rPr>
        <w:t xml:space="preserve">« 12 février 2016 » : référence non retrouvée ; « 1999 » = </w:t>
      </w:r>
      <w:r>
        <w:rPr>
          <w:rFonts w:ascii="Calibri" w:cs="Calibri" w:eastAsia="Calibri" w:hAnsi="Calibri"/>
          <w:color w:val="E91E63"/>
          <w:sz w:val="20"/>
          <w:szCs w:val="20"/>
        </w:rPr>
        <w:t xml:space="preserve">Soc., 14 déc. 1999, n° 97-41.995</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Procédure trop sommaire (ni dates, ni syndicat).</w:t>
      </w:r>
    </w:p>
    <w:p>
      <w:pPr>
        <w:spacing w:after="70" w:before="170"/>
      </w:pPr>
      <w:r>
        <w:rPr>
          <w:rFonts w:ascii="Calibri" w:cs="Calibri" w:eastAsia="Calibri" w:hAnsi="Calibri"/>
          <w:b/>
          <w:bCs/>
          <w:color w:val="1A1A1A"/>
          <w:sz w:val="20"/>
          <w:szCs w:val="20"/>
        </w:rPr>
        <w:t xml:space="preserve">Le rattrapage</w:t>
      </w:r>
    </w:p>
    <w:p>
      <w:pPr>
        <w:spacing w:after="90" w:line="264"/>
        <w:jc w:val="both"/>
      </w:pPr>
      <w:r>
        <w:rPr>
          <w:rFonts w:ascii="Calibri" w:cs="Calibri" w:eastAsia="Calibri" w:hAnsi="Calibri"/>
          <w:color w:val="1A1A1A"/>
          <w:sz w:val="20"/>
          <w:szCs w:val="20"/>
        </w:rPr>
        <w:t xml:space="preserve">II B devient « Une application exigée des juges du fond » : la Cour sanctionne l’absence d’examen, elle ne pèse pas elle-même.</w:t>
      </w:r>
    </w:p>
    <w:p>
      <w:pPr>
        <w:spacing w:after="90" w:line="264"/>
        <w:jc w:val="both"/>
      </w:pPr>
      <w:r>
        <w:rPr>
          <w:rFonts w:ascii="Calibri" w:cs="Calibri" w:eastAsia="Calibri" w:hAnsi="Calibri"/>
          <w:b/>
          <w:bCs/>
          <w:color w:val="1A1A1A"/>
          <w:sz w:val="20"/>
          <w:szCs w:val="20"/>
        </w:rPr>
        <w:t xml:space="preserve">Note indicative (plan et introduction tels que postés) : 12/20</w:t>
      </w:r>
    </w:p>
    <w:p>
      <w:pPr>
        <w:pStyle w:val="Heading3"/>
        <w:spacing w:after="80" w:before="200"/>
      </w:pPr>
      <w:r>
        <w:rPr>
          <w:rFonts w:ascii="Calibri" w:cs="Calibri" w:eastAsia="Calibri" w:hAnsi="Calibri"/>
          <w:b/>
          <w:bCs/>
          <w:i/>
          <w:iCs/>
          <w:color w:val="1A1A1A"/>
          <w:sz w:val="21"/>
          <w:szCs w:val="21"/>
        </w:rPr>
        <w:t xml:space="preserve">Maud B — bonne introduction, une conclusion de fond prématurée</w:t>
      </w:r>
    </w:p>
    <w:p>
      <w:pPr>
        <w:pBdr>
          <w:left w:val="single" w:color="8C1C2B" w:sz="12" w:space="10"/>
        </w:pBdr>
        <w:spacing w:after="90" w:line="264"/>
        <w:ind w:left="260"/>
        <w:jc w:val="both"/>
      </w:pPr>
      <w:r>
        <w:rPr>
          <w:rFonts w:ascii="Calibri" w:cs="Calibri" w:eastAsia="Calibri" w:hAnsi="Calibri"/>
          <w:color w:val="1A1A1A"/>
          <w:sz w:val="20"/>
          <w:szCs w:val="20"/>
        </w:rPr>
        <w:t xml:space="preserve">Accroche : rapport Freemuse sur l’état de la liberté artistique</w:t>
      </w:r>
    </w:p>
    <w:p>
      <w:pPr>
        <w:pBdr>
          <w:left w:val="single" w:color="8C1C2B" w:sz="12" w:space="10"/>
        </w:pBdr>
        <w:spacing w:after="90" w:line="264"/>
        <w:ind w:left="260"/>
        <w:jc w:val="both"/>
      </w:pPr>
      <w:r>
        <w:rPr>
          <w:rFonts w:ascii="Calibri" w:cs="Calibri" w:eastAsia="Calibri" w:hAnsi="Calibri"/>
          <w:color w:val="1A1A1A"/>
          <w:sz w:val="20"/>
          <w:szCs w:val="20"/>
        </w:rPr>
        <w:t xml:space="preserve">I. La mise en balance de la liberté d’expression avec la protection des intérêts de l’employeur — A. Le rappel de l’importance de la liberté d’expression ; B. La faculté de l’employeur à restreindre</w:t>
      </w:r>
    </w:p>
    <w:p>
      <w:pPr>
        <w:pBdr>
          <w:left w:val="single" w:color="8C1C2B" w:sz="12" w:space="10"/>
        </w:pBdr>
        <w:spacing w:after="90" w:line="264"/>
        <w:ind w:left="260"/>
        <w:jc w:val="both"/>
      </w:pPr>
      <w:r>
        <w:rPr>
          <w:rFonts w:ascii="Calibri" w:cs="Calibri" w:eastAsia="Calibri" w:hAnsi="Calibri"/>
          <w:color w:val="1A1A1A"/>
          <w:sz w:val="20"/>
          <w:szCs w:val="20"/>
        </w:rPr>
        <w:t xml:space="preserve">II. La prise en compte de la portée du trouble — A. La protection de la liberté artistique face à l’employeur ; B. Une sanction disproportionnée face à l’atteinte</w:t>
      </w:r>
    </w:p>
    <w:p>
      <w:pPr>
        <w:spacing w:after="70" w:before="170"/>
      </w:pPr>
      <w:r>
        <w:rPr>
          <w:rFonts w:ascii="Calibri" w:cs="Calibri" w:eastAsia="Calibri" w:hAnsi="Calibri"/>
          <w:b/>
          <w:bCs/>
          <w:color w:val="1A1A1A"/>
          <w:sz w:val="20"/>
          <w:szCs w:val="20"/>
        </w:rPr>
        <w:t xml:space="preserve">Ce qui tient</w:t>
      </w:r>
    </w:p>
    <w:p>
      <w:pPr>
        <w:pStyle w:val="ListParagraph"/>
        <w:numPr>
          <w:ilvl w:val="0"/>
          <w:numId w:val="2"/>
        </w:numPr>
        <w:spacing w:after="70" w:line="264"/>
        <w:jc w:val="both"/>
      </w:pPr>
      <w:r>
        <w:rPr>
          <w:rFonts w:ascii="Calibri" w:cs="Calibri" w:eastAsia="Calibri" w:hAnsi="Calibri"/>
          <w:color w:val="1A1A1A"/>
          <w:sz w:val="20"/>
          <w:szCs w:val="20"/>
        </w:rPr>
        <w:t xml:space="preserve">Solution du volet syndical exacte ; cassation partielle bien expliquée.</w:t>
      </w:r>
    </w:p>
    <w:p>
      <w:pPr>
        <w:pStyle w:val="ListParagraph"/>
        <w:numPr>
          <w:ilvl w:val="0"/>
          <w:numId w:val="2"/>
        </w:numPr>
        <w:spacing w:after="70" w:line="264"/>
        <w:jc w:val="both"/>
      </w:pPr>
      <w:r>
        <w:rPr>
          <w:rFonts w:ascii="Calibri" w:cs="Calibri" w:eastAsia="Calibri" w:hAnsi="Calibri"/>
          <w:color w:val="1A1A1A"/>
          <w:sz w:val="20"/>
          <w:szCs w:val="20"/>
        </w:rPr>
        <w:t xml:space="preserve">Accroche originale, en lien avec la caricature.</w:t>
      </w:r>
    </w:p>
    <w:p>
      <w:pPr>
        <w:spacing w:after="70" w:before="170"/>
      </w:pPr>
      <w:r>
        <w:rPr>
          <w:rFonts w:ascii="Calibri" w:cs="Calibri" w:eastAsia="Calibri" w:hAnsi="Calibri"/>
          <w:b/>
          <w:bCs/>
          <w:color w:val="1A1A1A"/>
          <w:sz w:val="20"/>
          <w:szCs w:val="20"/>
        </w:rPr>
        <w:t xml:space="preserve">Ce qui ne tient pas</w:t>
      </w:r>
    </w:p>
    <w:p>
      <w:pPr>
        <w:pStyle w:val="ListParagraph"/>
        <w:numPr>
          <w:ilvl w:val="0"/>
          <w:numId w:val="2"/>
        </w:numPr>
        <w:spacing w:after="70" w:line="264"/>
        <w:jc w:val="both"/>
      </w:pPr>
      <w:r>
        <w:rPr>
          <w:rFonts w:ascii="Calibri" w:cs="Calibri" w:eastAsia="Calibri" w:hAnsi="Calibri"/>
          <w:color w:val="1A1A1A"/>
          <w:sz w:val="20"/>
          <w:szCs w:val="20"/>
        </w:rPr>
        <w:t xml:space="preserve">Le rapport </w:t>
      </w:r>
      <w:r>
        <w:rPr>
          <w:rFonts w:ascii="Calibri" w:cs="Calibri" w:eastAsia="Calibri" w:hAnsi="Calibri"/>
          <w:i/>
          <w:iCs/>
          <w:color w:val="1A1A1A"/>
          <w:sz w:val="20"/>
          <w:szCs w:val="20"/>
        </w:rPr>
        <w:t xml:space="preserve">State of Artistic Freedom 2026</w:t>
      </w:r>
      <w:r>
        <w:rPr>
          <w:rFonts w:ascii="Calibri" w:cs="Calibri" w:eastAsia="Calibri" w:hAnsi="Calibri"/>
          <w:color w:val="1A1A1A"/>
          <w:sz w:val="20"/>
          <w:szCs w:val="20"/>
        </w:rPr>
        <w:t xml:space="preserve"> de Freemuse a été publié au printemps 2026, non en septembre : vérifier la date avant de l’utiliser.</w:t>
      </w:r>
    </w:p>
    <w:p>
      <w:pPr>
        <w:pStyle w:val="ListParagraph"/>
        <w:numPr>
          <w:ilvl w:val="0"/>
          <w:numId w:val="2"/>
        </w:numPr>
        <w:spacing w:after="70" w:line="264"/>
        <w:jc w:val="both"/>
      </w:pPr>
      <w:r>
        <w:rPr>
          <w:rFonts w:ascii="Calibri" w:cs="Calibri" w:eastAsia="Calibri" w:hAnsi="Calibri"/>
          <w:color w:val="1A1A1A"/>
          <w:sz w:val="20"/>
          <w:szCs w:val="20"/>
        </w:rPr>
        <w:t xml:space="preserve">« Tribunal des prud’hommes » : c’est le </w:t>
      </w:r>
      <w:r>
        <w:rPr>
          <w:rFonts w:ascii="Calibri" w:cs="Calibri" w:eastAsia="Calibri" w:hAnsi="Calibri"/>
          <w:b/>
          <w:bCs/>
          <w:color w:val="1A1A1A"/>
          <w:sz w:val="20"/>
          <w:szCs w:val="20"/>
        </w:rPr>
        <w:t xml:space="preserve">conseil</w:t>
      </w:r>
      <w:r>
        <w:rPr>
          <w:rFonts w:ascii="Calibri" w:cs="Calibri" w:eastAsia="Calibri" w:hAnsi="Calibri"/>
          <w:color w:val="1A1A1A"/>
          <w:sz w:val="20"/>
          <w:szCs w:val="20"/>
        </w:rPr>
        <w:t xml:space="preserve"> de prud’hommes.</w:t>
      </w:r>
    </w:p>
    <w:p>
      <w:pPr>
        <w:pStyle w:val="ListParagraph"/>
        <w:numPr>
          <w:ilvl w:val="0"/>
          <w:numId w:val="2"/>
        </w:numPr>
        <w:spacing w:after="70" w:line="264"/>
        <w:jc w:val="both"/>
      </w:pPr>
      <w:r>
        <w:rPr>
          <w:rFonts w:ascii="Calibri" w:cs="Calibri" w:eastAsia="Calibri" w:hAnsi="Calibri"/>
          <w:color w:val="1A1A1A"/>
          <w:sz w:val="20"/>
          <w:szCs w:val="20"/>
        </w:rPr>
        <w:t xml:space="preserve">II B : la Cour ne juge pas la sanction disproportionnée ; même erreur que plusieurs autres.</w:t>
      </w:r>
    </w:p>
    <w:p>
      <w:pPr>
        <w:pStyle w:val="ListParagraph"/>
        <w:numPr>
          <w:ilvl w:val="0"/>
          <w:numId w:val="2"/>
        </w:numPr>
        <w:spacing w:after="70" w:line="264"/>
        <w:jc w:val="both"/>
      </w:pPr>
      <w:r>
        <w:rPr>
          <w:rFonts w:ascii="Calibri" w:cs="Calibri" w:eastAsia="Calibri" w:hAnsi="Calibri"/>
          <w:color w:val="1A1A1A"/>
          <w:sz w:val="20"/>
          <w:szCs w:val="20"/>
        </w:rPr>
        <w:t xml:space="preserve">II A : la liberté artistique n’est pas traitée par la Cour (voir Nassim E).</w:t>
      </w:r>
    </w:p>
    <w:p>
      <w:pPr>
        <w:spacing w:after="70" w:before="170"/>
      </w:pPr>
      <w:r>
        <w:rPr>
          <w:rFonts w:ascii="Calibri" w:cs="Calibri" w:eastAsia="Calibri" w:hAnsi="Calibri"/>
          <w:b/>
          <w:bCs/>
          <w:color w:val="1A1A1A"/>
          <w:sz w:val="20"/>
          <w:szCs w:val="20"/>
        </w:rPr>
        <w:t xml:space="preserve">Le rattrapage</w:t>
      </w:r>
    </w:p>
    <w:p>
      <w:pPr>
        <w:spacing w:after="90" w:line="264"/>
        <w:jc w:val="both"/>
      </w:pPr>
      <w:r>
        <w:rPr>
          <w:rFonts w:ascii="Calibri" w:cs="Calibri" w:eastAsia="Calibri" w:hAnsi="Calibri"/>
          <w:color w:val="1A1A1A"/>
          <w:sz w:val="20"/>
          <w:szCs w:val="20"/>
        </w:rPr>
        <w:t xml:space="preserve">II A : « La teneur et le contexte des dessins » ; II B : « La portée et les conséquences, éléments à vérifier par la cour de renvoi ».</w:t>
      </w:r>
    </w:p>
    <w:p>
      <w:pPr>
        <w:spacing w:after="90" w:line="264"/>
        <w:jc w:val="both"/>
      </w:pPr>
      <w:r>
        <w:rPr>
          <w:rFonts w:ascii="Calibri" w:cs="Calibri" w:eastAsia="Calibri" w:hAnsi="Calibri"/>
          <w:b/>
          <w:bCs/>
          <w:color w:val="1A1A1A"/>
          <w:sz w:val="20"/>
          <w:szCs w:val="20"/>
        </w:rPr>
        <w:t xml:space="preserve">Note indicative (plan et introduction tels que postés) : 11,5/20</w:t>
      </w:r>
    </w:p>
    <w:p>
      <w:pPr>
        <w:pStyle w:val="Heading3"/>
        <w:spacing w:after="80" w:before="200"/>
      </w:pPr>
      <w:r>
        <w:rPr>
          <w:rFonts w:ascii="Calibri" w:cs="Calibri" w:eastAsia="Calibri" w:hAnsi="Calibri"/>
          <w:b/>
          <w:bCs/>
          <w:i/>
          <w:iCs/>
          <w:color w:val="1A1A1A"/>
          <w:sz w:val="21"/>
          <w:szCs w:val="21"/>
        </w:rPr>
        <w:t xml:space="preserve">Mélina L — pédagogue, mais digressive</w:t>
      </w:r>
    </w:p>
    <w:p>
      <w:pPr>
        <w:pBdr>
          <w:left w:val="single" w:color="8C1C2B" w:sz="12" w:space="10"/>
        </w:pBdr>
        <w:spacing w:after="90" w:line="264"/>
        <w:ind w:left="260"/>
        <w:jc w:val="both"/>
      </w:pPr>
      <w:r>
        <w:rPr>
          <w:rFonts w:ascii="Calibri" w:cs="Calibri" w:eastAsia="Calibri" w:hAnsi="Calibri"/>
          <w:color w:val="1A1A1A"/>
          <w:sz w:val="20"/>
          <w:szCs w:val="20"/>
        </w:rPr>
        <w:t xml:space="preserve">I. Un arrêt rappelant le caractère fondamental de la liberté d’expression — A. Dans et en dehors de l’entreprise ; B. Le caractère non absolu de cette liberté</w:t>
      </w:r>
    </w:p>
    <w:p>
      <w:pPr>
        <w:pBdr>
          <w:left w:val="single" w:color="8C1C2B" w:sz="12" w:space="10"/>
        </w:pBdr>
        <w:spacing w:after="90" w:line="264"/>
        <w:ind w:left="260"/>
        <w:jc w:val="both"/>
      </w:pPr>
      <w:r>
        <w:rPr>
          <w:rFonts w:ascii="Calibri" w:cs="Calibri" w:eastAsia="Calibri" w:hAnsi="Calibri"/>
          <w:color w:val="1A1A1A"/>
          <w:sz w:val="20"/>
          <w:szCs w:val="20"/>
        </w:rPr>
        <w:t xml:space="preserve">II. Un arrêt pédagogue quant au contrôle de proportionnalité — A. Les critères du contrôle in concreto ; B. Une liberté plus ou moins étendue selon les fonctions</w:t>
      </w:r>
    </w:p>
    <w:p>
      <w:pPr>
        <w:spacing w:after="70" w:before="170"/>
      </w:pPr>
      <w:r>
        <w:rPr>
          <w:rFonts w:ascii="Calibri" w:cs="Calibri" w:eastAsia="Calibri" w:hAnsi="Calibri"/>
          <w:b/>
          <w:bCs/>
          <w:color w:val="1A1A1A"/>
          <w:sz w:val="20"/>
          <w:szCs w:val="20"/>
        </w:rPr>
        <w:t xml:space="preserve">Ce qui tient</w:t>
      </w:r>
    </w:p>
    <w:p>
      <w:pPr>
        <w:pStyle w:val="ListParagraph"/>
        <w:numPr>
          <w:ilvl w:val="0"/>
          <w:numId w:val="2"/>
        </w:numPr>
        <w:spacing w:after="70" w:line="264"/>
        <w:jc w:val="both"/>
      </w:pPr>
      <w:r>
        <w:rPr>
          <w:rFonts w:ascii="Calibri" w:cs="Calibri" w:eastAsia="Calibri" w:hAnsi="Calibri"/>
          <w:color w:val="1A1A1A"/>
          <w:sz w:val="20"/>
          <w:szCs w:val="20"/>
        </w:rPr>
        <w:t xml:space="preserve">Introduction claire ; moyens du pourvoi correctement restitués (abus, courtoisie, restrictions).</w:t>
      </w:r>
    </w:p>
    <w:p>
      <w:pPr>
        <w:pStyle w:val="ListParagraph"/>
        <w:numPr>
          <w:ilvl w:val="0"/>
          <w:numId w:val="2"/>
        </w:numPr>
        <w:spacing w:after="70" w:line="264"/>
        <w:jc w:val="both"/>
      </w:pPr>
      <w:r>
        <w:rPr>
          <w:rFonts w:ascii="Calibri" w:cs="Calibri" w:eastAsia="Calibri" w:hAnsi="Calibri"/>
          <w:color w:val="1A1A1A"/>
          <w:sz w:val="20"/>
          <w:szCs w:val="20"/>
        </w:rPr>
        <w:t xml:space="preserve">II A reprend fidèlement les §§ 13 et 17.</w:t>
      </w:r>
    </w:p>
    <w:p>
      <w:pPr>
        <w:spacing w:after="70" w:before="170"/>
      </w:pPr>
      <w:r>
        <w:rPr>
          <w:rFonts w:ascii="Calibri" w:cs="Calibri" w:eastAsia="Calibri" w:hAnsi="Calibri"/>
          <w:b/>
          <w:bCs/>
          <w:color w:val="1A1A1A"/>
          <w:sz w:val="20"/>
          <w:szCs w:val="20"/>
        </w:rPr>
        <w:t xml:space="preserve">Ce qui ne tient pas</w:t>
      </w:r>
    </w:p>
    <w:p>
      <w:pPr>
        <w:pStyle w:val="ListParagraph"/>
        <w:numPr>
          <w:ilvl w:val="0"/>
          <w:numId w:val="2"/>
        </w:numPr>
        <w:spacing w:after="70" w:line="264"/>
        <w:jc w:val="both"/>
      </w:pPr>
      <w:r>
        <w:rPr>
          <w:rFonts w:ascii="Calibri" w:cs="Calibri" w:eastAsia="Calibri" w:hAnsi="Calibri"/>
          <w:color w:val="1A1A1A"/>
          <w:sz w:val="20"/>
          <w:szCs w:val="20"/>
        </w:rPr>
        <w:t xml:space="preserve">Date : « 18 novembre 2017 » au lieu du </w:t>
      </w:r>
      <w:r>
        <w:rPr>
          <w:rFonts w:ascii="Calibri" w:cs="Calibri" w:eastAsia="Calibri" w:hAnsi="Calibri"/>
          <w:b/>
          <w:bCs/>
          <w:color w:val="1A1A1A"/>
          <w:sz w:val="20"/>
          <w:szCs w:val="20"/>
        </w:rPr>
        <w:t xml:space="preserve">28 novembre 2017</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I B : la digression sur l’état de nature et le contrat social n’apporte rien au commentaire.</w:t>
      </w:r>
    </w:p>
    <w:p>
      <w:pPr>
        <w:pStyle w:val="ListParagraph"/>
        <w:numPr>
          <w:ilvl w:val="0"/>
          <w:numId w:val="2"/>
        </w:numPr>
        <w:spacing w:after="70" w:line="264"/>
        <w:jc w:val="both"/>
      </w:pPr>
      <w:r>
        <w:rPr>
          <w:rFonts w:ascii="Calibri" w:cs="Calibri" w:eastAsia="Calibri" w:hAnsi="Calibri"/>
          <w:color w:val="1A1A1A"/>
          <w:sz w:val="20"/>
          <w:szCs w:val="20"/>
        </w:rPr>
        <w:t xml:space="preserve">II B sort de l’arrêt (uniformes, agents publics) ; « les magistrats ne peuvent pas s’exprimer librement » est inexact : ils sont tenus à un </w:t>
      </w:r>
      <w:r>
        <w:rPr>
          <w:rFonts w:ascii="Calibri" w:cs="Calibri" w:eastAsia="Calibri" w:hAnsi="Calibri"/>
          <w:b/>
          <w:bCs/>
          <w:color w:val="1A1A1A"/>
          <w:sz w:val="20"/>
          <w:szCs w:val="20"/>
        </w:rPr>
        <w:t xml:space="preserve">devoir de réserve</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ord. n° 58-1270, art. 10</w:t>
      </w:r>
      <w:r>
        <w:rPr>
          <w:rFonts w:ascii="Calibri" w:cs="Calibri" w:eastAsia="Calibri" w:hAnsi="Calibri"/>
          <w:color w:val="1A1A1A"/>
          <w:sz w:val="20"/>
          <w:szCs w:val="20"/>
        </w:rPr>
        <w:t xml:space="preserve">), non privés de liberté d’expression.</w:t>
      </w:r>
    </w:p>
    <w:p>
      <w:pPr>
        <w:pStyle w:val="ListParagraph"/>
        <w:numPr>
          <w:ilvl w:val="0"/>
          <w:numId w:val="2"/>
        </w:numPr>
        <w:spacing w:after="70" w:line="264"/>
        <w:jc w:val="both"/>
      </w:pPr>
      <w:r>
        <w:rPr>
          <w:rFonts w:ascii="Calibri" w:cs="Calibri" w:eastAsia="Calibri" w:hAnsi="Calibri"/>
          <w:color w:val="1A1A1A"/>
          <w:sz w:val="20"/>
          <w:szCs w:val="20"/>
        </w:rPr>
        <w:t xml:space="preserve">Le changement de méthode n’est pas identifié.</w:t>
      </w:r>
    </w:p>
    <w:p>
      <w:pPr>
        <w:spacing w:after="70" w:before="170"/>
      </w:pPr>
      <w:r>
        <w:rPr>
          <w:rFonts w:ascii="Calibri" w:cs="Calibri" w:eastAsia="Calibri" w:hAnsi="Calibri"/>
          <w:b/>
          <w:bCs/>
          <w:color w:val="1A1A1A"/>
          <w:sz w:val="20"/>
          <w:szCs w:val="20"/>
        </w:rPr>
        <w:t xml:space="preserve">Le rattrapage</w:t>
      </w:r>
    </w:p>
    <w:p>
      <w:pPr>
        <w:spacing w:after="90" w:line="264"/>
        <w:jc w:val="both"/>
      </w:pPr>
      <w:r>
        <w:rPr>
          <w:rFonts w:ascii="Calibri" w:cs="Calibri" w:eastAsia="Calibri" w:hAnsi="Calibri"/>
          <w:color w:val="1A1A1A"/>
          <w:sz w:val="20"/>
          <w:szCs w:val="20"/>
        </w:rPr>
        <w:t xml:space="preserve">Remplacer II B par la portée de la série du 14 janvier (solutions dans les deux sens).</w:t>
      </w:r>
    </w:p>
    <w:p>
      <w:pPr>
        <w:spacing w:after="90" w:line="264"/>
        <w:jc w:val="both"/>
      </w:pPr>
      <w:r>
        <w:rPr>
          <w:rFonts w:ascii="Calibri" w:cs="Calibri" w:eastAsia="Calibri" w:hAnsi="Calibri"/>
          <w:b/>
          <w:bCs/>
          <w:color w:val="1A1A1A"/>
          <w:sz w:val="20"/>
          <w:szCs w:val="20"/>
        </w:rPr>
        <w:t xml:space="preserve">Note indicative (plan et introduction tels que postés) : 11/20</w:t>
      </w:r>
    </w:p>
    <w:p>
      <w:pPr>
        <w:pStyle w:val="Heading3"/>
        <w:spacing w:after="80" w:before="200"/>
      </w:pPr>
      <w:r>
        <w:rPr>
          <w:rFonts w:ascii="Calibri" w:cs="Calibri" w:eastAsia="Calibri" w:hAnsi="Calibri"/>
          <w:b/>
          <w:bCs/>
          <w:i/>
          <w:iCs/>
          <w:color w:val="1A1A1A"/>
          <w:sz w:val="21"/>
          <w:szCs w:val="21"/>
        </w:rPr>
        <w:t xml:space="preserve">Aurore A — bonne accroche, confusion sur le « salarié » atteint</w:t>
      </w:r>
    </w:p>
    <w:p>
      <w:pPr>
        <w:pBdr>
          <w:left w:val="single" w:color="8C1C2B" w:sz="12" w:space="10"/>
        </w:pBdr>
        <w:spacing w:after="90" w:line="264"/>
        <w:ind w:left="260"/>
        <w:jc w:val="both"/>
      </w:pPr>
      <w:r>
        <w:rPr>
          <w:rFonts w:ascii="Calibri" w:cs="Calibri" w:eastAsia="Calibri" w:hAnsi="Calibri"/>
          <w:color w:val="1A1A1A"/>
          <w:sz w:val="20"/>
          <w:szCs w:val="20"/>
        </w:rPr>
        <w:t xml:space="preserve">Accroche : </w:t>
      </w:r>
      <w:r>
        <w:rPr>
          <w:rFonts w:ascii="Calibri" w:cs="Calibri" w:eastAsia="Calibri" w:hAnsi="Calibri"/>
          <w:color w:val="1E88E5"/>
          <w:sz w:val="20"/>
          <w:szCs w:val="20"/>
        </w:rPr>
        <w:t xml:space="preserve">art. 4 DDHC</w:t>
      </w:r>
    </w:p>
    <w:p>
      <w:pPr>
        <w:pBdr>
          <w:left w:val="single" w:color="8C1C2B" w:sz="12" w:space="10"/>
        </w:pBdr>
        <w:spacing w:after="90" w:line="264"/>
        <w:ind w:left="260"/>
        <w:jc w:val="both"/>
      </w:pPr>
      <w:r>
        <w:rPr>
          <w:rFonts w:ascii="Calibri" w:cs="Calibri" w:eastAsia="Calibri" w:hAnsi="Calibri"/>
          <w:color w:val="1A1A1A"/>
          <w:sz w:val="20"/>
          <w:szCs w:val="20"/>
        </w:rPr>
        <w:t xml:space="preserve">I. La consécration d’une protection renforcée — A. Une liberté fondamentale garantie dans et hors de l’entreprise ; B. La nullité du licenciement</w:t>
      </w:r>
    </w:p>
    <w:p>
      <w:pPr>
        <w:pBdr>
          <w:left w:val="single" w:color="8C1C2B" w:sz="12" w:space="10"/>
        </w:pBdr>
        <w:spacing w:after="90" w:line="264"/>
        <w:ind w:left="260"/>
        <w:jc w:val="both"/>
      </w:pPr>
      <w:r>
        <w:rPr>
          <w:rFonts w:ascii="Calibri" w:cs="Calibri" w:eastAsia="Calibri" w:hAnsi="Calibri"/>
          <w:color w:val="1A1A1A"/>
          <w:sz w:val="20"/>
          <w:szCs w:val="20"/>
        </w:rPr>
        <w:t xml:space="preserve">II. Les restrictions justifiées — A. Les conditions justifiant une restriction ; B. Une mise en balance des intérêts par le juge</w:t>
      </w:r>
    </w:p>
    <w:p>
      <w:pPr>
        <w:spacing w:after="70" w:before="170"/>
      </w:pPr>
      <w:r>
        <w:rPr>
          <w:rFonts w:ascii="Calibri" w:cs="Calibri" w:eastAsia="Calibri" w:hAnsi="Calibri"/>
          <w:b/>
          <w:bCs/>
          <w:color w:val="1A1A1A"/>
          <w:sz w:val="20"/>
          <w:szCs w:val="20"/>
        </w:rPr>
        <w:t xml:space="preserve">Ce qui tient</w:t>
      </w:r>
    </w:p>
    <w:p>
      <w:pPr>
        <w:pStyle w:val="ListParagraph"/>
        <w:numPr>
          <w:ilvl w:val="0"/>
          <w:numId w:val="2"/>
        </w:numPr>
        <w:spacing w:after="70" w:line="264"/>
        <w:jc w:val="both"/>
      </w:pPr>
      <w:r>
        <w:rPr>
          <w:rFonts w:ascii="Calibri" w:cs="Calibri" w:eastAsia="Calibri" w:hAnsi="Calibri"/>
          <w:color w:val="1A1A1A"/>
          <w:sz w:val="20"/>
          <w:szCs w:val="20"/>
        </w:rPr>
        <w:t xml:space="preserve">Références européennes exactes : </w:t>
      </w:r>
      <w:r>
        <w:rPr>
          <w:rFonts w:ascii="Calibri" w:cs="Calibri" w:eastAsia="Calibri" w:hAnsi="Calibri"/>
          <w:color w:val="E91E63"/>
          <w:sz w:val="20"/>
          <w:szCs w:val="20"/>
        </w:rPr>
        <w:t xml:space="preserve">Handyside</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Özgür Gündem</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Lombardi Vallauri</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Aguilera Jiménez</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Palomo Sánchez</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Le dispositif est cité correctement (« seulement en ce qu’il déboute… »).</w:t>
      </w:r>
    </w:p>
    <w:p>
      <w:pPr>
        <w:spacing w:after="70" w:before="170"/>
      </w:pPr>
      <w:r>
        <w:rPr>
          <w:rFonts w:ascii="Calibri" w:cs="Calibri" w:eastAsia="Calibri" w:hAnsi="Calibri"/>
          <w:b/>
          <w:bCs/>
          <w:color w:val="1A1A1A"/>
          <w:sz w:val="20"/>
          <w:szCs w:val="20"/>
        </w:rPr>
        <w:t xml:space="preserve">Ce qui ne tient pas</w:t>
      </w:r>
    </w:p>
    <w:p>
      <w:pPr>
        <w:pStyle w:val="ListParagraph"/>
        <w:numPr>
          <w:ilvl w:val="0"/>
          <w:numId w:val="2"/>
        </w:numPr>
        <w:spacing w:after="70" w:line="264"/>
        <w:jc w:val="both"/>
      </w:pPr>
      <w:r>
        <w:rPr>
          <w:rFonts w:ascii="Calibri" w:cs="Calibri" w:eastAsia="Calibri" w:hAnsi="Calibri"/>
          <w:color w:val="1A1A1A"/>
          <w:sz w:val="20"/>
          <w:szCs w:val="20"/>
        </w:rPr>
        <w:t xml:space="preserve">« Licencié pour faute </w:t>
      </w:r>
      <w:r>
        <w:rPr>
          <w:rFonts w:ascii="Calibri" w:cs="Calibri" w:eastAsia="Calibri" w:hAnsi="Calibri"/>
          <w:b/>
          <w:bCs/>
          <w:color w:val="1A1A1A"/>
          <w:sz w:val="20"/>
          <w:szCs w:val="20"/>
        </w:rPr>
        <w:t xml:space="preserve">grave</w:t>
      </w:r>
      <w:r>
        <w:rPr>
          <w:rFonts w:ascii="Calibri" w:cs="Calibri" w:eastAsia="Calibri" w:hAnsi="Calibri"/>
          <w:color w:val="1A1A1A"/>
          <w:sz w:val="20"/>
          <w:szCs w:val="20"/>
        </w:rPr>
        <w:t xml:space="preserve"> » : non, pour faute (</w:t>
      </w:r>
      <w:r>
        <w:rPr>
          <w:rFonts w:ascii="Calibri" w:cs="Calibri" w:eastAsia="Calibri" w:hAnsi="Calibri"/>
          <w:color w:val="E91E63"/>
          <w:sz w:val="20"/>
          <w:szCs w:val="20"/>
        </w:rPr>
        <w:t xml:space="preserve">§ 2</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Le salarié est également concerné par l’une des caricatures, qui représente son honneur » : le « salarié qui se serait reconnu » (</w:t>
      </w:r>
      <w:r>
        <w:rPr>
          <w:rFonts w:ascii="Calibri" w:cs="Calibri" w:eastAsia="Calibri" w:hAnsi="Calibri"/>
          <w:color w:val="E91E63"/>
          <w:sz w:val="20"/>
          <w:szCs w:val="20"/>
        </w:rPr>
        <w:t xml:space="preserve">§ 17</w:t>
      </w:r>
      <w:r>
        <w:rPr>
          <w:rFonts w:ascii="Calibri" w:cs="Calibri" w:eastAsia="Calibri" w:hAnsi="Calibri"/>
          <w:color w:val="1A1A1A"/>
          <w:sz w:val="20"/>
          <w:szCs w:val="20"/>
        </w:rPr>
        <w:t xml:space="preserve">) est le </w:t>
      </w:r>
      <w:r>
        <w:rPr>
          <w:rFonts w:ascii="Calibri" w:cs="Calibri" w:eastAsia="Calibri" w:hAnsi="Calibri"/>
          <w:b/>
          <w:bCs/>
          <w:color w:val="1A1A1A"/>
          <w:sz w:val="20"/>
          <w:szCs w:val="20"/>
        </w:rPr>
        <w:t xml:space="preserve">RRH</w:t>
      </w:r>
      <w:r>
        <w:rPr>
          <w:rFonts w:ascii="Calibri" w:cs="Calibri" w:eastAsia="Calibri" w:hAnsi="Calibri"/>
          <w:color w:val="1A1A1A"/>
          <w:sz w:val="20"/>
          <w:szCs w:val="20"/>
        </w:rPr>
        <w:t xml:space="preserve">, non l’auteur.</w:t>
      </w:r>
    </w:p>
    <w:p>
      <w:pPr>
        <w:pStyle w:val="ListParagraph"/>
        <w:numPr>
          <w:ilvl w:val="0"/>
          <w:numId w:val="2"/>
        </w:numPr>
        <w:spacing w:after="70" w:line="264"/>
        <w:jc w:val="both"/>
      </w:pPr>
      <w:r>
        <w:rPr>
          <w:rFonts w:ascii="Calibri" w:cs="Calibri" w:eastAsia="Calibri" w:hAnsi="Calibri"/>
          <w:color w:val="1A1A1A"/>
          <w:sz w:val="20"/>
          <w:szCs w:val="20"/>
        </w:rPr>
        <w:t xml:space="preserve">Accumulation de références sans démonstration ; pas de mise en évidence de l’abandon de l’abus.</w:t>
      </w:r>
    </w:p>
    <w:p>
      <w:pPr>
        <w:spacing w:after="70" w:before="170"/>
      </w:pPr>
      <w:r>
        <w:rPr>
          <w:rFonts w:ascii="Calibri" w:cs="Calibri" w:eastAsia="Calibri" w:hAnsi="Calibri"/>
          <w:b/>
          <w:bCs/>
          <w:color w:val="1A1A1A"/>
          <w:sz w:val="20"/>
          <w:szCs w:val="20"/>
        </w:rPr>
        <w:t xml:space="preserve">Le rattrapage</w:t>
      </w:r>
    </w:p>
    <w:p>
      <w:pPr>
        <w:spacing w:after="90" w:line="264"/>
        <w:jc w:val="both"/>
      </w:pPr>
      <w:r>
        <w:rPr>
          <w:rFonts w:ascii="Calibri" w:cs="Calibri" w:eastAsia="Calibri" w:hAnsi="Calibri"/>
          <w:color w:val="1A1A1A"/>
          <w:sz w:val="20"/>
          <w:szCs w:val="20"/>
        </w:rPr>
        <w:t xml:space="preserve">Hiérarchiser : deux références européennes par sous-partie, chacune reliée à un paragraphe de l’arrêt.</w:t>
      </w:r>
    </w:p>
    <w:p>
      <w:pPr>
        <w:spacing w:after="90" w:line="264"/>
        <w:jc w:val="both"/>
      </w:pPr>
      <w:r>
        <w:rPr>
          <w:rFonts w:ascii="Calibri" w:cs="Calibri" w:eastAsia="Calibri" w:hAnsi="Calibri"/>
          <w:b/>
          <w:bCs/>
          <w:color w:val="1A1A1A"/>
          <w:sz w:val="20"/>
          <w:szCs w:val="20"/>
        </w:rPr>
        <w:t xml:space="preserve">Note indicative (plan et introduction tels que postés) : 10,5/20</w:t>
      </w:r>
    </w:p>
    <w:p>
      <w:pPr>
        <w:pStyle w:val="Heading3"/>
        <w:spacing w:after="80" w:before="200"/>
      </w:pPr>
      <w:r>
        <w:rPr>
          <w:rFonts w:ascii="Calibri" w:cs="Calibri" w:eastAsia="Calibri" w:hAnsi="Calibri"/>
          <w:b/>
          <w:bCs/>
          <w:i/>
          <w:iCs/>
          <w:color w:val="1A1A1A"/>
          <w:sz w:val="21"/>
          <w:szCs w:val="21"/>
        </w:rPr>
        <w:t xml:space="preserve">Marine B — bonne identification du droit concurrent, fond préjugé</w:t>
      </w:r>
    </w:p>
    <w:p>
      <w:pPr>
        <w:pBdr>
          <w:left w:val="single" w:color="8C1C2B" w:sz="12" w:space="10"/>
        </w:pBdr>
        <w:spacing w:after="90" w:line="264"/>
        <w:ind w:left="260"/>
        <w:jc w:val="both"/>
      </w:pPr>
      <w:r>
        <w:rPr>
          <w:rFonts w:ascii="Calibri" w:cs="Calibri" w:eastAsia="Calibri" w:hAnsi="Calibri"/>
          <w:color w:val="1A1A1A"/>
          <w:sz w:val="20"/>
          <w:szCs w:val="20"/>
        </w:rPr>
        <w:t xml:space="preserve">I. La mise en balance de droits opposant les parties — A. Le droit à la liberté d’expression du salarié ; B. Le droit de l’employeur à la protection de ses intérêts</w:t>
      </w:r>
    </w:p>
    <w:p>
      <w:pPr>
        <w:pBdr>
          <w:left w:val="single" w:color="8C1C2B" w:sz="12" w:space="10"/>
        </w:pBdr>
        <w:spacing w:after="90" w:line="264"/>
        <w:ind w:left="260"/>
        <w:jc w:val="both"/>
      </w:pPr>
      <w:r>
        <w:rPr>
          <w:rFonts w:ascii="Calibri" w:cs="Calibri" w:eastAsia="Calibri" w:hAnsi="Calibri"/>
          <w:color w:val="1A1A1A"/>
          <w:sz w:val="20"/>
          <w:szCs w:val="20"/>
        </w:rPr>
        <w:t xml:space="preserve">II. L’appréciation in concreto des limites — A. L’absence de proportionnalité relative au licenciement ; B. L’illégitimité dans l’intervention de l’employeur</w:t>
      </w:r>
    </w:p>
    <w:p>
      <w:pPr>
        <w:spacing w:after="70" w:before="170"/>
      </w:pPr>
      <w:r>
        <w:rPr>
          <w:rFonts w:ascii="Calibri" w:cs="Calibri" w:eastAsia="Calibri" w:hAnsi="Calibri"/>
          <w:b/>
          <w:bCs/>
          <w:color w:val="1A1A1A"/>
          <w:sz w:val="20"/>
          <w:szCs w:val="20"/>
        </w:rPr>
        <w:t xml:space="preserve">Ce qui tient</w:t>
      </w:r>
    </w:p>
    <w:p>
      <w:pPr>
        <w:pStyle w:val="ListParagraph"/>
        <w:numPr>
          <w:ilvl w:val="0"/>
          <w:numId w:val="2"/>
        </w:numPr>
        <w:spacing w:after="70" w:line="264"/>
        <w:jc w:val="both"/>
      </w:pPr>
      <w:r>
        <w:rPr>
          <w:rFonts w:ascii="Calibri" w:cs="Calibri" w:eastAsia="Calibri" w:hAnsi="Calibri"/>
          <w:color w:val="1A1A1A"/>
          <w:sz w:val="20"/>
          <w:szCs w:val="20"/>
        </w:rPr>
        <w:t xml:space="preserve">I B est rare et juste : liberté d’entreprendre (</w:t>
      </w:r>
      <w:r>
        <w:rPr>
          <w:rFonts w:ascii="Calibri" w:cs="Calibri" w:eastAsia="Calibri" w:hAnsi="Calibri"/>
          <w:color w:val="1E88E5"/>
          <w:sz w:val="20"/>
          <w:szCs w:val="20"/>
        </w:rPr>
        <w:t xml:space="preserve">art. 4 DDHC</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 Ass., 22 juin 1951, Daudignac</w:t>
      </w:r>
      <w:r>
        <w:rPr>
          <w:rFonts w:ascii="Calibri" w:cs="Calibri" w:eastAsia="Calibri" w:hAnsi="Calibri"/>
          <w:color w:val="1A1A1A"/>
          <w:sz w:val="20"/>
          <w:szCs w:val="20"/>
        </w:rPr>
        <w:t xml:space="preserve">, décret d’Allarde (2-17 mars 1791).</w:t>
      </w:r>
    </w:p>
    <w:p>
      <w:pPr>
        <w:pStyle w:val="ListParagraph"/>
        <w:numPr>
          <w:ilvl w:val="0"/>
          <w:numId w:val="2"/>
        </w:numPr>
        <w:spacing w:after="70" w:line="264"/>
        <w:jc w:val="both"/>
      </w:pPr>
      <w:r>
        <w:rPr>
          <w:rFonts w:ascii="Calibri" w:cs="Calibri" w:eastAsia="Calibri" w:hAnsi="Calibri"/>
          <w:color w:val="E91E63"/>
          <w:sz w:val="20"/>
          <w:szCs w:val="20"/>
        </w:rPr>
        <w:t xml:space="preserve">Müller c. Suisse</w:t>
      </w:r>
      <w:r>
        <w:rPr>
          <w:rFonts w:ascii="Calibri" w:cs="Calibri" w:eastAsia="Calibri" w:hAnsi="Calibri"/>
          <w:color w:val="1A1A1A"/>
          <w:sz w:val="20"/>
          <w:szCs w:val="20"/>
        </w:rPr>
        <w:t xml:space="preserve"> pour l’expression artistique.</w:t>
      </w:r>
    </w:p>
    <w:p>
      <w:pPr>
        <w:spacing w:after="70" w:before="170"/>
      </w:pPr>
      <w:r>
        <w:rPr>
          <w:rFonts w:ascii="Calibri" w:cs="Calibri" w:eastAsia="Calibri" w:hAnsi="Calibri"/>
          <w:b/>
          <w:bCs/>
          <w:color w:val="1A1A1A"/>
          <w:sz w:val="20"/>
          <w:szCs w:val="20"/>
        </w:rPr>
        <w:t xml:space="preserve">Ce qui ne tient pas</w:t>
      </w:r>
    </w:p>
    <w:p>
      <w:pPr>
        <w:pStyle w:val="ListParagraph"/>
        <w:numPr>
          <w:ilvl w:val="0"/>
          <w:numId w:val="2"/>
        </w:numPr>
        <w:spacing w:after="70" w:line="264"/>
        <w:jc w:val="both"/>
      </w:pPr>
      <w:r>
        <w:rPr>
          <w:rFonts w:ascii="Calibri" w:cs="Calibri" w:eastAsia="Calibri" w:hAnsi="Calibri"/>
          <w:color w:val="1A1A1A"/>
          <w:sz w:val="20"/>
          <w:szCs w:val="20"/>
        </w:rPr>
        <w:t xml:space="preserve">II A et II B </w:t>
      </w:r>
      <w:r>
        <w:rPr>
          <w:rFonts w:ascii="Calibri" w:cs="Calibri" w:eastAsia="Calibri" w:hAnsi="Calibri"/>
          <w:b/>
          <w:bCs/>
          <w:color w:val="1A1A1A"/>
          <w:sz w:val="20"/>
          <w:szCs w:val="20"/>
        </w:rPr>
        <w:t xml:space="preserve">tranchent le fond</w:t>
      </w:r>
      <w:r>
        <w:rPr>
          <w:rFonts w:ascii="Calibri" w:cs="Calibri" w:eastAsia="Calibri" w:hAnsi="Calibri"/>
          <w:color w:val="1A1A1A"/>
          <w:sz w:val="20"/>
          <w:szCs w:val="20"/>
        </w:rPr>
        <w:t xml:space="preserve"> (« absence de proportionnalité », « illégitimité ») alors que la Cour renvoie.</w:t>
      </w:r>
    </w:p>
    <w:p>
      <w:pPr>
        <w:pStyle w:val="ListParagraph"/>
        <w:numPr>
          <w:ilvl w:val="0"/>
          <w:numId w:val="2"/>
        </w:numPr>
        <w:spacing w:after="70" w:line="264"/>
        <w:jc w:val="both"/>
      </w:pPr>
      <w:r>
        <w:rPr>
          <w:rFonts w:ascii="Calibri" w:cs="Calibri" w:eastAsia="Calibri" w:hAnsi="Calibri"/>
          <w:color w:val="1A1A1A"/>
          <w:sz w:val="20"/>
          <w:szCs w:val="20"/>
        </w:rPr>
        <w:t xml:space="preserve">« Crim., 23 nov. 2010 » : référence non vérifiée ; à éviter.</w:t>
      </w:r>
    </w:p>
    <w:p>
      <w:pPr>
        <w:pStyle w:val="ListParagraph"/>
        <w:numPr>
          <w:ilvl w:val="0"/>
          <w:numId w:val="2"/>
        </w:numPr>
        <w:spacing w:after="70" w:line="264"/>
        <w:jc w:val="both"/>
      </w:pPr>
      <w:r>
        <w:rPr>
          <w:rFonts w:ascii="Calibri" w:cs="Calibri" w:eastAsia="Calibri" w:hAnsi="Calibri"/>
          <w:color w:val="E91E63"/>
          <w:sz w:val="20"/>
          <w:szCs w:val="20"/>
        </w:rPr>
        <w:t xml:space="preserve">Cons. const., 10-11 oct. 1984</w:t>
      </w:r>
      <w:r>
        <w:rPr>
          <w:rFonts w:ascii="Calibri" w:cs="Calibri" w:eastAsia="Calibri" w:hAnsi="Calibri"/>
          <w:color w:val="1A1A1A"/>
          <w:sz w:val="20"/>
          <w:szCs w:val="20"/>
        </w:rPr>
        <w:t xml:space="preserve"> (entreprises de presse) concerne le pluralisme et la liberté de communication ; l’invoquer pour la conciliation avec la liberté d’entreprendre mérite une explication.</w:t>
      </w:r>
    </w:p>
    <w:p>
      <w:pPr>
        <w:spacing w:after="70" w:before="170"/>
      </w:pPr>
      <w:r>
        <w:rPr>
          <w:rFonts w:ascii="Calibri" w:cs="Calibri" w:eastAsia="Calibri" w:hAnsi="Calibri"/>
          <w:b/>
          <w:bCs/>
          <w:color w:val="1A1A1A"/>
          <w:sz w:val="20"/>
          <w:szCs w:val="20"/>
        </w:rPr>
        <w:t xml:space="preserve">Le rattrapage</w:t>
      </w:r>
    </w:p>
    <w:p>
      <w:pPr>
        <w:spacing w:after="90" w:line="264"/>
        <w:jc w:val="both"/>
      </w:pPr>
      <w:r>
        <w:rPr>
          <w:rFonts w:ascii="Calibri" w:cs="Calibri" w:eastAsia="Calibri" w:hAnsi="Calibri"/>
          <w:color w:val="1A1A1A"/>
          <w:sz w:val="20"/>
          <w:szCs w:val="20"/>
        </w:rPr>
        <w:t xml:space="preserve">II A : « Les éléments de la pesée » ; II B : « Le contrôle de la méthode par la Cour de cassation ».</w:t>
      </w:r>
    </w:p>
    <w:p>
      <w:pPr>
        <w:spacing w:after="90" w:line="264"/>
        <w:jc w:val="both"/>
      </w:pPr>
      <w:r>
        <w:rPr>
          <w:rFonts w:ascii="Calibri" w:cs="Calibri" w:eastAsia="Calibri" w:hAnsi="Calibri"/>
          <w:b/>
          <w:bCs/>
          <w:color w:val="1A1A1A"/>
          <w:sz w:val="20"/>
          <w:szCs w:val="20"/>
        </w:rPr>
        <w:t xml:space="preserve">Note indicative (plan et introduction tels que postés) : 10,5/20</w:t>
      </w:r>
    </w:p>
    <w:p>
      <w:pPr>
        <w:pStyle w:val="Heading3"/>
        <w:spacing w:after="80" w:before="200"/>
      </w:pPr>
      <w:r>
        <w:rPr>
          <w:rFonts w:ascii="Calibri" w:cs="Calibri" w:eastAsia="Calibri" w:hAnsi="Calibri"/>
          <w:b/>
          <w:bCs/>
          <w:i/>
          <w:iCs/>
          <w:color w:val="1A1A1A"/>
          <w:sz w:val="21"/>
          <w:szCs w:val="21"/>
        </w:rPr>
        <w:t xml:space="preserve">Emma L — une erreur sur la solution</w:t>
      </w:r>
    </w:p>
    <w:p>
      <w:pPr>
        <w:pBdr>
          <w:left w:val="single" w:color="8C1C2B" w:sz="12" w:space="10"/>
        </w:pBdr>
        <w:spacing w:after="90" w:line="264"/>
        <w:ind w:left="260"/>
        <w:jc w:val="both"/>
      </w:pPr>
      <w:r>
        <w:rPr>
          <w:rFonts w:ascii="Calibri" w:cs="Calibri" w:eastAsia="Calibri" w:hAnsi="Calibri"/>
          <w:color w:val="1A1A1A"/>
          <w:sz w:val="20"/>
          <w:szCs w:val="20"/>
        </w:rPr>
        <w:t xml:space="preserve">Accroche : Chateaubriand</w:t>
      </w:r>
    </w:p>
    <w:p>
      <w:pPr>
        <w:pBdr>
          <w:left w:val="single" w:color="8C1C2B" w:sz="12" w:space="10"/>
        </w:pBdr>
        <w:spacing w:after="90" w:line="264"/>
        <w:ind w:left="260"/>
        <w:jc w:val="both"/>
      </w:pPr>
      <w:r>
        <w:rPr>
          <w:rFonts w:ascii="Calibri" w:cs="Calibri" w:eastAsia="Calibri" w:hAnsi="Calibri"/>
          <w:color w:val="1A1A1A"/>
          <w:sz w:val="20"/>
          <w:szCs w:val="20"/>
        </w:rPr>
        <w:t xml:space="preserve">I. La liberté d’expression du salarié en dehors et au sein de l’entreprise — A. La confirmation d’un principe fondamental ; B. Les limites</w:t>
      </w:r>
    </w:p>
    <w:p>
      <w:pPr>
        <w:pBdr>
          <w:left w:val="single" w:color="8C1C2B" w:sz="12" w:space="10"/>
        </w:pBdr>
        <w:spacing w:after="90" w:line="264"/>
        <w:ind w:left="260"/>
        <w:jc w:val="both"/>
      </w:pPr>
      <w:r>
        <w:rPr>
          <w:rFonts w:ascii="Calibri" w:cs="Calibri" w:eastAsia="Calibri" w:hAnsi="Calibri"/>
          <w:color w:val="1A1A1A"/>
          <w:sz w:val="20"/>
          <w:szCs w:val="20"/>
        </w:rPr>
        <w:t xml:space="preserve">II. Le renforcement du contrôle du juge — A. Un contrôle de proportionnalité ; B. L’insuffisance du critère abusif</w:t>
      </w:r>
    </w:p>
    <w:p>
      <w:pPr>
        <w:spacing w:after="70" w:before="170"/>
      </w:pPr>
      <w:r>
        <w:rPr>
          <w:rFonts w:ascii="Calibri" w:cs="Calibri" w:eastAsia="Calibri" w:hAnsi="Calibri"/>
          <w:b/>
          <w:bCs/>
          <w:color w:val="1A1A1A"/>
          <w:sz w:val="20"/>
          <w:szCs w:val="20"/>
        </w:rPr>
        <w:t xml:space="preserve">Ce qui tient</w:t>
      </w:r>
    </w:p>
    <w:p>
      <w:pPr>
        <w:pStyle w:val="ListParagraph"/>
        <w:numPr>
          <w:ilvl w:val="0"/>
          <w:numId w:val="2"/>
        </w:numPr>
        <w:spacing w:after="70" w:line="264"/>
        <w:jc w:val="both"/>
      </w:pPr>
      <w:r>
        <w:rPr>
          <w:rFonts w:ascii="Calibri" w:cs="Calibri" w:eastAsia="Calibri" w:hAnsi="Calibri"/>
          <w:color w:val="1A1A1A"/>
          <w:sz w:val="20"/>
          <w:szCs w:val="20"/>
        </w:rPr>
        <w:t xml:space="preserve">II B a la bonne intuition : le juge doit aller « au-delà » de l’abus.</w:t>
      </w:r>
    </w:p>
    <w:p>
      <w:pPr>
        <w:pStyle w:val="ListParagraph"/>
        <w:numPr>
          <w:ilvl w:val="0"/>
          <w:numId w:val="2"/>
        </w:numPr>
        <w:spacing w:after="70" w:line="264"/>
        <w:jc w:val="both"/>
      </w:pPr>
      <w:r>
        <w:rPr>
          <w:rFonts w:ascii="Calibri" w:cs="Calibri" w:eastAsia="Calibri" w:hAnsi="Calibri"/>
          <w:color w:val="1A1A1A"/>
          <w:sz w:val="20"/>
          <w:szCs w:val="20"/>
        </w:rPr>
        <w:t xml:space="preserve">Mention des arrêts du même jour.</w:t>
      </w:r>
    </w:p>
    <w:p>
      <w:pPr>
        <w:spacing w:after="70" w:before="170"/>
      </w:pPr>
      <w:r>
        <w:rPr>
          <w:rFonts w:ascii="Calibri" w:cs="Calibri" w:eastAsia="Calibri" w:hAnsi="Calibri"/>
          <w:b/>
          <w:bCs/>
          <w:color w:val="1A1A1A"/>
          <w:sz w:val="20"/>
          <w:szCs w:val="20"/>
        </w:rPr>
        <w:t xml:space="preserve">Ce qui ne tient pas</w:t>
      </w:r>
    </w:p>
    <w:p>
      <w:pPr>
        <w:pStyle w:val="ListParagraph"/>
        <w:numPr>
          <w:ilvl w:val="0"/>
          <w:numId w:val="2"/>
        </w:numPr>
        <w:spacing w:after="70" w:line="264"/>
        <w:jc w:val="both"/>
      </w:pPr>
      <w:r>
        <w:rPr>
          <w:rFonts w:ascii="Calibri" w:cs="Calibri" w:eastAsia="Calibri" w:hAnsi="Calibri"/>
          <w:b/>
          <w:bCs/>
          <w:color w:val="1A1A1A"/>
          <w:sz w:val="20"/>
          <w:szCs w:val="20"/>
        </w:rPr>
        <w:t xml:space="preserve">Erreur majeure</w:t>
      </w:r>
      <w:r>
        <w:rPr>
          <w:rFonts w:ascii="Calibri" w:cs="Calibri" w:eastAsia="Calibri" w:hAnsi="Calibri"/>
          <w:color w:val="1A1A1A"/>
          <w:sz w:val="20"/>
          <w:szCs w:val="20"/>
        </w:rPr>
        <w:t xml:space="preserve"> : la Cour casserait « </w:t>
      </w:r>
      <w:r>
        <w:rPr>
          <w:rFonts w:ascii="Calibri" w:cs="Calibri" w:eastAsia="Calibri" w:hAnsi="Calibri"/>
          <w:i/>
          <w:iCs/>
          <w:color w:val="1A1A1A"/>
          <w:sz w:val="20"/>
          <w:szCs w:val="20"/>
        </w:rPr>
        <w:t xml:space="preserve">en déclarant le licenciement nul</w:t>
      </w:r>
      <w:r>
        <w:rPr>
          <w:rFonts w:ascii="Calibri" w:cs="Calibri" w:eastAsia="Calibri" w:hAnsi="Calibri"/>
          <w:color w:val="1A1A1A"/>
          <w:sz w:val="20"/>
          <w:szCs w:val="20"/>
        </w:rPr>
        <w:t xml:space="preserve"> ». Non : cassation partielle et renvoi.</w:t>
      </w:r>
    </w:p>
    <w:p>
      <w:pPr>
        <w:pStyle w:val="ListParagraph"/>
        <w:numPr>
          <w:ilvl w:val="0"/>
          <w:numId w:val="2"/>
        </w:numPr>
        <w:spacing w:after="70" w:line="264"/>
        <w:jc w:val="both"/>
      </w:pPr>
      <w:r>
        <w:rPr>
          <w:rFonts w:ascii="Calibri" w:cs="Calibri" w:eastAsia="Calibri" w:hAnsi="Calibri"/>
          <w:color w:val="1A1A1A"/>
          <w:sz w:val="20"/>
          <w:szCs w:val="20"/>
        </w:rPr>
        <w:t xml:space="preserve">Date de saisine du CPH : « 22 décembre 2017 » (date du licenciement) au lieu du </w:t>
      </w:r>
      <w:r>
        <w:rPr>
          <w:rFonts w:ascii="Calibri" w:cs="Calibri" w:eastAsia="Calibri" w:hAnsi="Calibri"/>
          <w:b/>
          <w:bCs/>
          <w:color w:val="1A1A1A"/>
          <w:sz w:val="20"/>
          <w:szCs w:val="20"/>
        </w:rPr>
        <w:t xml:space="preserve">6 septembre 2018</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Critères cumulatifs » : ce sont des éléments d’appréciation.</w:t>
      </w:r>
    </w:p>
    <w:p>
      <w:pPr>
        <w:pStyle w:val="ListParagraph"/>
        <w:numPr>
          <w:ilvl w:val="0"/>
          <w:numId w:val="2"/>
        </w:numPr>
        <w:spacing w:after="70" w:line="264"/>
        <w:jc w:val="both"/>
      </w:pPr>
      <w:r>
        <w:rPr>
          <w:rFonts w:ascii="Calibri" w:cs="Calibri" w:eastAsia="Calibri" w:hAnsi="Calibri"/>
          <w:color w:val="1A1A1A"/>
          <w:sz w:val="20"/>
          <w:szCs w:val="20"/>
        </w:rPr>
        <w:t xml:space="preserve">Arrêt de la directrice (</w:t>
      </w:r>
      <w:r>
        <w:rPr>
          <w:rFonts w:ascii="Calibri" w:cs="Calibri" w:eastAsia="Calibri" w:hAnsi="Calibri"/>
          <w:color w:val="E91E63"/>
          <w:sz w:val="20"/>
          <w:szCs w:val="20"/>
        </w:rPr>
        <w:t xml:space="preserve">n° 24-19.583</w:t>
      </w:r>
      <w:r>
        <w:rPr>
          <w:rFonts w:ascii="Calibri" w:cs="Calibri" w:eastAsia="Calibri" w:hAnsi="Calibri"/>
          <w:color w:val="1A1A1A"/>
          <w:sz w:val="20"/>
          <w:szCs w:val="20"/>
        </w:rPr>
        <w:t xml:space="preserve">) : le licenciement n’a pas été « déclaré nul » ; la Cour a cassé l’arrêt qui l’avait annulé.</w:t>
      </w:r>
    </w:p>
    <w:p>
      <w:pPr>
        <w:pStyle w:val="ListParagraph"/>
        <w:numPr>
          <w:ilvl w:val="0"/>
          <w:numId w:val="2"/>
        </w:numPr>
        <w:spacing w:after="70" w:line="264"/>
        <w:jc w:val="both"/>
      </w:pPr>
      <w:r>
        <w:rPr>
          <w:rFonts w:ascii="Calibri" w:cs="Calibri" w:eastAsia="Calibri" w:hAnsi="Calibri"/>
          <w:color w:val="1A1A1A"/>
          <w:sz w:val="20"/>
          <w:szCs w:val="20"/>
        </w:rPr>
        <w:t xml:space="preserve">Références approximatives : « Soc., 30 juin 2016 » (</w:t>
      </w:r>
      <w:r>
        <w:rPr>
          <w:rFonts w:ascii="Calibri" w:cs="Calibri" w:eastAsia="Calibri" w:hAnsi="Calibri"/>
          <w:color w:val="E91E63"/>
          <w:sz w:val="20"/>
          <w:szCs w:val="20"/>
        </w:rPr>
        <w:t xml:space="preserve">n° 15-10.557</w:t>
      </w:r>
      <w:r>
        <w:rPr>
          <w:rFonts w:ascii="Calibri" w:cs="Calibri" w:eastAsia="Calibri" w:hAnsi="Calibri"/>
          <w:color w:val="1A1A1A"/>
          <w:sz w:val="20"/>
          <w:szCs w:val="20"/>
        </w:rPr>
        <w:t xml:space="preserve">) concerne la dénonciation de faits délictueux ; « Soc., 14 janv. 2014 » non retrouvé ; « Soc., 10 sept. 2025 » (</w:t>
      </w:r>
      <w:r>
        <w:rPr>
          <w:rFonts w:ascii="Calibri" w:cs="Calibri" w:eastAsia="Calibri" w:hAnsi="Calibri"/>
          <w:color w:val="E91E63"/>
          <w:sz w:val="20"/>
          <w:szCs w:val="20"/>
        </w:rPr>
        <w:t xml:space="preserve">n° 24-12.595</w:t>
      </w:r>
      <w:r>
        <w:rPr>
          <w:rFonts w:ascii="Calibri" w:cs="Calibri" w:eastAsia="Calibri" w:hAnsi="Calibri"/>
          <w:color w:val="1A1A1A"/>
          <w:sz w:val="20"/>
          <w:szCs w:val="20"/>
        </w:rPr>
        <w:t xml:space="preserve">) porte sur la qualification (lettre d’avocat), non sur les limites.</w:t>
      </w:r>
    </w:p>
    <w:p>
      <w:pPr>
        <w:spacing w:after="70" w:before="170"/>
      </w:pPr>
      <w:r>
        <w:rPr>
          <w:rFonts w:ascii="Calibri" w:cs="Calibri" w:eastAsia="Calibri" w:hAnsi="Calibri"/>
          <w:b/>
          <w:bCs/>
          <w:color w:val="1A1A1A"/>
          <w:sz w:val="20"/>
          <w:szCs w:val="20"/>
        </w:rPr>
        <w:t xml:space="preserve">Le rattrapage</w:t>
      </w:r>
    </w:p>
    <w:p>
      <w:pPr>
        <w:spacing w:after="90" w:line="264"/>
        <w:jc w:val="both"/>
      </w:pPr>
      <w:r>
        <w:rPr>
          <w:rFonts w:ascii="Calibri" w:cs="Calibri" w:eastAsia="Calibri" w:hAnsi="Calibri"/>
          <w:color w:val="1A1A1A"/>
          <w:sz w:val="20"/>
          <w:szCs w:val="20"/>
        </w:rPr>
        <w:t xml:space="preserve">Corriger la solution, puis faire de II B le cœur du commentaire : « De l’abus à la mise en balance ».</w:t>
      </w:r>
    </w:p>
    <w:p>
      <w:pPr>
        <w:spacing w:after="90" w:line="264"/>
        <w:jc w:val="both"/>
      </w:pPr>
      <w:r>
        <w:rPr>
          <w:rFonts w:ascii="Calibri" w:cs="Calibri" w:eastAsia="Calibri" w:hAnsi="Calibri"/>
          <w:b/>
          <w:bCs/>
          <w:color w:val="1A1A1A"/>
          <w:sz w:val="20"/>
          <w:szCs w:val="20"/>
        </w:rPr>
        <w:t xml:space="preserve">Note indicative (plan et introduction tels que postés) : 9/20</w:t>
      </w:r>
    </w:p>
    <w:p>
      <w:pPr>
        <w:pStyle w:val="Heading3"/>
        <w:spacing w:after="80" w:before="200"/>
      </w:pPr>
      <w:r>
        <w:rPr>
          <w:rFonts w:ascii="Calibri" w:cs="Calibri" w:eastAsia="Calibri" w:hAnsi="Calibri"/>
          <w:b/>
          <w:bCs/>
          <w:i/>
          <w:iCs/>
          <w:color w:val="1A1A1A"/>
          <w:sz w:val="21"/>
          <w:szCs w:val="21"/>
        </w:rPr>
        <w:t xml:space="preserve">Grace Yohann N — bonne comparaison européenne, procédure inexacte</w:t>
      </w:r>
    </w:p>
    <w:p>
      <w:pPr>
        <w:pBdr>
          <w:left w:val="single" w:color="8C1C2B" w:sz="12" w:space="10"/>
        </w:pBdr>
        <w:spacing w:after="90" w:line="264"/>
        <w:ind w:left="260"/>
        <w:jc w:val="both"/>
      </w:pPr>
      <w:r>
        <w:rPr>
          <w:rFonts w:ascii="Calibri" w:cs="Calibri" w:eastAsia="Calibri" w:hAnsi="Calibri"/>
          <w:color w:val="1A1A1A"/>
          <w:sz w:val="20"/>
          <w:szCs w:val="20"/>
        </w:rPr>
        <w:t xml:space="preserve">I. La réaffirmation du droit à la liberté d’expression même dans l’entreprise — (sans lettres) fondements ; garantie contre le licenciement</w:t>
      </w:r>
    </w:p>
    <w:p>
      <w:pPr>
        <w:pBdr>
          <w:left w:val="single" w:color="8C1C2B" w:sz="12" w:space="10"/>
        </w:pBdr>
        <w:spacing w:after="90" w:line="264"/>
        <w:ind w:left="260"/>
        <w:jc w:val="both"/>
      </w:pPr>
      <w:r>
        <w:rPr>
          <w:rFonts w:ascii="Calibri" w:cs="Calibri" w:eastAsia="Calibri" w:hAnsi="Calibri"/>
          <w:color w:val="1A1A1A"/>
          <w:sz w:val="20"/>
          <w:szCs w:val="20"/>
        </w:rPr>
        <w:t xml:space="preserve">II. La mise en balance — critères ; mise en œuvre concrète</w:t>
      </w:r>
    </w:p>
    <w:p>
      <w:pPr>
        <w:spacing w:after="70" w:before="170"/>
      </w:pPr>
      <w:r>
        <w:rPr>
          <w:rFonts w:ascii="Calibri" w:cs="Calibri" w:eastAsia="Calibri" w:hAnsi="Calibri"/>
          <w:b/>
          <w:bCs/>
          <w:color w:val="1A1A1A"/>
          <w:sz w:val="20"/>
          <w:szCs w:val="20"/>
        </w:rPr>
        <w:t xml:space="preserve">Ce qui tient</w:t>
      </w:r>
    </w:p>
    <w:p>
      <w:pPr>
        <w:pStyle w:val="ListParagraph"/>
        <w:numPr>
          <w:ilvl w:val="0"/>
          <w:numId w:val="2"/>
        </w:numPr>
        <w:spacing w:after="70" w:line="264"/>
        <w:jc w:val="both"/>
      </w:pPr>
      <w:r>
        <w:rPr>
          <w:rFonts w:ascii="Calibri" w:cs="Calibri" w:eastAsia="Calibri" w:hAnsi="Calibri"/>
          <w:color w:val="1A1A1A"/>
          <w:sz w:val="20"/>
          <w:szCs w:val="20"/>
        </w:rPr>
        <w:t xml:space="preserve">Comparaison pertinente avec l’</w:t>
      </w:r>
      <w:r>
        <w:rPr>
          <w:rFonts w:ascii="Calibri" w:cs="Calibri" w:eastAsia="Calibri" w:hAnsi="Calibri"/>
          <w:color w:val="1E88E5"/>
          <w:sz w:val="20"/>
          <w:szCs w:val="20"/>
        </w:rPr>
        <w:t xml:space="preserve">art. 10 § 2 CEDH</w:t>
      </w:r>
      <w:r>
        <w:rPr>
          <w:rFonts w:ascii="Calibri" w:cs="Calibri" w:eastAsia="Calibri" w:hAnsi="Calibri"/>
          <w:color w:val="1A1A1A"/>
          <w:sz w:val="20"/>
          <w:szCs w:val="20"/>
        </w:rPr>
        <w:t xml:space="preserve"> ; changement par rapport à « la théorie de l’abus » identifié.</w:t>
      </w:r>
    </w:p>
    <w:p>
      <w:pPr>
        <w:spacing w:after="70" w:before="170"/>
      </w:pPr>
      <w:r>
        <w:rPr>
          <w:rFonts w:ascii="Calibri" w:cs="Calibri" w:eastAsia="Calibri" w:hAnsi="Calibri"/>
          <w:b/>
          <w:bCs/>
          <w:color w:val="1A1A1A"/>
          <w:sz w:val="20"/>
          <w:szCs w:val="20"/>
        </w:rPr>
        <w:t xml:space="preserve">Ce qui ne tient pas</w:t>
      </w:r>
    </w:p>
    <w:p>
      <w:pPr>
        <w:pStyle w:val="ListParagraph"/>
        <w:numPr>
          <w:ilvl w:val="0"/>
          <w:numId w:val="2"/>
        </w:numPr>
        <w:spacing w:after="70" w:line="264"/>
        <w:jc w:val="both"/>
      </w:pPr>
      <w:r>
        <w:rPr>
          <w:rFonts w:ascii="Calibri" w:cs="Calibri" w:eastAsia="Calibri" w:hAnsi="Calibri"/>
          <w:color w:val="1A1A1A"/>
          <w:sz w:val="20"/>
          <w:szCs w:val="20"/>
        </w:rPr>
        <w:t xml:space="preserve">« Le syndicat soulève 3 moyens » : il y a </w:t>
      </w:r>
      <w:r>
        <w:rPr>
          <w:rFonts w:ascii="Calibri" w:cs="Calibri" w:eastAsia="Calibri" w:hAnsi="Calibri"/>
          <w:b/>
          <w:bCs/>
          <w:color w:val="1A1A1A"/>
          <w:sz w:val="20"/>
          <w:szCs w:val="20"/>
        </w:rPr>
        <w:t xml:space="preserve">deux moyens</w:t>
      </w:r>
      <w:r>
        <w:rPr>
          <w:rFonts w:ascii="Calibri" w:cs="Calibri" w:eastAsia="Calibri" w:hAnsi="Calibri"/>
          <w:color w:val="1A1A1A"/>
          <w:sz w:val="20"/>
          <w:szCs w:val="20"/>
        </w:rPr>
        <w:t xml:space="preserve">, le second en trois branches, présentés par le salarié et le syndicat.</w:t>
      </w:r>
    </w:p>
    <w:p>
      <w:pPr>
        <w:pStyle w:val="ListParagraph"/>
        <w:numPr>
          <w:ilvl w:val="0"/>
          <w:numId w:val="2"/>
        </w:numPr>
        <w:spacing w:after="70" w:line="264"/>
        <w:jc w:val="both"/>
      </w:pPr>
      <w:r>
        <w:rPr>
          <w:rFonts w:ascii="Calibri" w:cs="Calibri" w:eastAsia="Calibri" w:hAnsi="Calibri"/>
          <w:color w:val="1A1A1A"/>
          <w:sz w:val="20"/>
          <w:szCs w:val="20"/>
        </w:rPr>
        <w:t xml:space="preserve">« Le juge applique ces critères et parvient à la conclusion que non » : la Cour de cassation n’applique pas les critères ; elle reproche à la cour d’appel de ne pas l’avoir fait.</w:t>
      </w:r>
    </w:p>
    <w:p>
      <w:pPr>
        <w:pStyle w:val="ListParagraph"/>
        <w:numPr>
          <w:ilvl w:val="0"/>
          <w:numId w:val="2"/>
        </w:numPr>
        <w:spacing w:after="70" w:line="264"/>
        <w:jc w:val="both"/>
      </w:pPr>
      <w:r>
        <w:rPr>
          <w:rFonts w:ascii="Calibri" w:cs="Calibri" w:eastAsia="Calibri" w:hAnsi="Calibri"/>
          <w:color w:val="1A1A1A"/>
          <w:sz w:val="20"/>
          <w:szCs w:val="20"/>
        </w:rPr>
        <w:t xml:space="preserve">Problématique trop longue ; sous-parties non numérotées.</w:t>
      </w:r>
    </w:p>
    <w:p>
      <w:pPr>
        <w:spacing w:after="70" w:before="170"/>
      </w:pPr>
      <w:r>
        <w:rPr>
          <w:rFonts w:ascii="Calibri" w:cs="Calibri" w:eastAsia="Calibri" w:hAnsi="Calibri"/>
          <w:b/>
          <w:bCs/>
          <w:color w:val="1A1A1A"/>
          <w:sz w:val="20"/>
          <w:szCs w:val="20"/>
        </w:rPr>
        <w:t xml:space="preserve">Le rattrapage</w:t>
      </w:r>
    </w:p>
    <w:p>
      <w:pPr>
        <w:spacing w:after="90" w:line="264"/>
        <w:jc w:val="both"/>
      </w:pPr>
      <w:r>
        <w:rPr>
          <w:rFonts w:ascii="Calibri" w:cs="Calibri" w:eastAsia="Calibri" w:hAnsi="Calibri"/>
          <w:color w:val="1A1A1A"/>
          <w:sz w:val="20"/>
          <w:szCs w:val="20"/>
        </w:rPr>
        <w:t xml:space="preserve">Numéroter A/B ; reformuler le II B en « une mise en œuvre confiée aux juges du fond ».</w:t>
      </w:r>
    </w:p>
    <w:p>
      <w:pPr>
        <w:spacing w:after="90" w:line="264"/>
        <w:jc w:val="both"/>
      </w:pPr>
      <w:r>
        <w:rPr>
          <w:rFonts w:ascii="Calibri" w:cs="Calibri" w:eastAsia="Calibri" w:hAnsi="Calibri"/>
          <w:b/>
          <w:bCs/>
          <w:color w:val="1A1A1A"/>
          <w:sz w:val="20"/>
          <w:szCs w:val="20"/>
        </w:rPr>
        <w:t xml:space="preserve">Note indicative (plan et introduction tels que postés) : 10/20</w:t>
      </w:r>
    </w:p>
    <w:p>
      <w:pPr>
        <w:pStyle w:val="Heading3"/>
        <w:spacing w:after="80" w:before="200"/>
      </w:pPr>
      <w:r>
        <w:rPr>
          <w:rFonts w:ascii="Calibri" w:cs="Calibri" w:eastAsia="Calibri" w:hAnsi="Calibri"/>
          <w:b/>
          <w:bCs/>
          <w:i/>
          <w:iCs/>
          <w:color w:val="1A1A1A"/>
          <w:sz w:val="21"/>
          <w:szCs w:val="21"/>
        </w:rPr>
        <w:t xml:space="preserve">Alizée A — un angle original, une lecture erronée du « silence »</w:t>
      </w:r>
    </w:p>
    <w:p>
      <w:pPr>
        <w:pBdr>
          <w:left w:val="single" w:color="8C1C2B" w:sz="12" w:space="10"/>
        </w:pBdr>
        <w:spacing w:after="90" w:line="264"/>
        <w:ind w:left="260"/>
        <w:jc w:val="both"/>
      </w:pPr>
      <w:r>
        <w:rPr>
          <w:rFonts w:ascii="Calibri" w:cs="Calibri" w:eastAsia="Calibri" w:hAnsi="Calibri"/>
          <w:color w:val="1A1A1A"/>
          <w:sz w:val="20"/>
          <w:szCs w:val="20"/>
        </w:rPr>
        <w:t xml:space="preserve">Problématique : la liberté d’expression du salarié peut-elle être restreinte par une obligation de courtoisie et de délicatesse ?</w:t>
      </w:r>
    </w:p>
    <w:p>
      <w:pPr>
        <w:pBdr>
          <w:left w:val="single" w:color="8C1C2B" w:sz="12" w:space="10"/>
        </w:pBdr>
        <w:spacing w:after="90" w:line="264"/>
        <w:ind w:left="260"/>
        <w:jc w:val="both"/>
      </w:pPr>
      <w:r>
        <w:rPr>
          <w:rFonts w:ascii="Calibri" w:cs="Calibri" w:eastAsia="Calibri" w:hAnsi="Calibri"/>
          <w:color w:val="1A1A1A"/>
          <w:sz w:val="20"/>
          <w:szCs w:val="20"/>
        </w:rPr>
        <w:t xml:space="preserve">I. L’exigence d’un contrôle de proportionnalité — A. L’admission constante de restrictions spécifiques au travail ; B. La nécessité d’un contrôle in concreto</w:t>
      </w:r>
    </w:p>
    <w:p>
      <w:pPr>
        <w:pBdr>
          <w:left w:val="single" w:color="8C1C2B" w:sz="12" w:space="10"/>
        </w:pBdr>
        <w:spacing w:after="90" w:line="264"/>
        <w:ind w:left="260"/>
        <w:jc w:val="both"/>
      </w:pPr>
      <w:r>
        <w:rPr>
          <w:rFonts w:ascii="Calibri" w:cs="Calibri" w:eastAsia="Calibri" w:hAnsi="Calibri"/>
          <w:color w:val="1A1A1A"/>
          <w:sz w:val="20"/>
          <w:szCs w:val="20"/>
        </w:rPr>
        <w:t xml:space="preserve">II. Un possible recul de la protection de la liberté d’expression — A. Le silence de la Cour quant à l’obligation de courtoisie et de délicatesse ; B. L’illustration d’un affaiblissement général</w:t>
      </w:r>
    </w:p>
    <w:p>
      <w:pPr>
        <w:spacing w:after="70" w:before="170"/>
      </w:pPr>
      <w:r>
        <w:rPr>
          <w:rFonts w:ascii="Calibri" w:cs="Calibri" w:eastAsia="Calibri" w:hAnsi="Calibri"/>
          <w:b/>
          <w:bCs/>
          <w:color w:val="1A1A1A"/>
          <w:sz w:val="20"/>
          <w:szCs w:val="20"/>
        </w:rPr>
        <w:t xml:space="preserve">Ce qui tient</w:t>
      </w:r>
    </w:p>
    <w:p>
      <w:pPr>
        <w:pStyle w:val="ListParagraph"/>
        <w:numPr>
          <w:ilvl w:val="0"/>
          <w:numId w:val="2"/>
        </w:numPr>
        <w:spacing w:after="70" w:line="264"/>
        <w:jc w:val="both"/>
      </w:pPr>
      <w:r>
        <w:rPr>
          <w:rFonts w:ascii="Calibri" w:cs="Calibri" w:eastAsia="Calibri" w:hAnsi="Calibri"/>
          <w:color w:val="1A1A1A"/>
          <w:sz w:val="20"/>
          <w:szCs w:val="20"/>
        </w:rPr>
        <w:t xml:space="preserve">Le soupçon d’un effet restrictif de la proportionnalité est </w:t>
      </w:r>
      <w:r>
        <w:rPr>
          <w:rFonts w:ascii="Calibri" w:cs="Calibri" w:eastAsia="Calibri" w:hAnsi="Calibri"/>
          <w:b/>
          <w:bCs/>
          <w:color w:val="1A1A1A"/>
          <w:sz w:val="20"/>
          <w:szCs w:val="20"/>
        </w:rPr>
        <w:t xml:space="preserve">défendable</w:t>
      </w:r>
      <w:r>
        <w:rPr>
          <w:rFonts w:ascii="Calibri" w:cs="Calibri" w:eastAsia="Calibri" w:hAnsi="Calibri"/>
          <w:color w:val="1A1A1A"/>
          <w:sz w:val="20"/>
          <w:szCs w:val="20"/>
        </w:rPr>
        <w:t xml:space="preserve"> : la série du 14 janvier le confirme en partie (</w:t>
      </w:r>
      <w:r>
        <w:rPr>
          <w:rFonts w:ascii="Calibri" w:cs="Calibri" w:eastAsia="Calibri" w:hAnsi="Calibri"/>
          <w:color w:val="E91E63"/>
          <w:sz w:val="20"/>
          <w:szCs w:val="20"/>
        </w:rPr>
        <w:t xml:space="preserve">n° 24-13.778</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n° 24-19.583</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n° 24-18.877</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Analogie avec la délicatesse de l’avocat : utile en relance.</w:t>
      </w:r>
    </w:p>
    <w:p>
      <w:pPr>
        <w:spacing w:after="70" w:before="170"/>
      </w:pPr>
      <w:r>
        <w:rPr>
          <w:rFonts w:ascii="Calibri" w:cs="Calibri" w:eastAsia="Calibri" w:hAnsi="Calibri"/>
          <w:b/>
          <w:bCs/>
          <w:color w:val="1A1A1A"/>
          <w:sz w:val="20"/>
          <w:szCs w:val="20"/>
        </w:rPr>
        <w:t xml:space="preserve">Ce qui ne tient pas</w:t>
      </w:r>
    </w:p>
    <w:p>
      <w:pPr>
        <w:pStyle w:val="ListParagraph"/>
        <w:numPr>
          <w:ilvl w:val="0"/>
          <w:numId w:val="2"/>
        </w:numPr>
        <w:spacing w:after="70" w:line="264"/>
        <w:jc w:val="both"/>
      </w:pPr>
      <w:r>
        <w:rPr>
          <w:rFonts w:ascii="Calibri" w:cs="Calibri" w:eastAsia="Calibri" w:hAnsi="Calibri"/>
          <w:color w:val="1A1A1A"/>
          <w:sz w:val="20"/>
          <w:szCs w:val="20"/>
        </w:rPr>
        <w:t xml:space="preserve">Le « silence » n’est pas une approbation : la Cour cite la motivation de la CA sur la courtoisie (</w:t>
      </w:r>
      <w:r>
        <w:rPr>
          <w:rFonts w:ascii="Calibri" w:cs="Calibri" w:eastAsia="Calibri" w:hAnsi="Calibri"/>
          <w:color w:val="E91E63"/>
          <w:sz w:val="20"/>
          <w:szCs w:val="20"/>
        </w:rPr>
        <w:t xml:space="preserve">§ 15</w:t>
      </w:r>
      <w:r>
        <w:rPr>
          <w:rFonts w:ascii="Calibri" w:cs="Calibri" w:eastAsia="Calibri" w:hAnsi="Calibri"/>
          <w:color w:val="1A1A1A"/>
          <w:sz w:val="20"/>
          <w:szCs w:val="20"/>
        </w:rPr>
        <w:t xml:space="preserve">) et </w:t>
      </w:r>
      <w:r>
        <w:rPr>
          <w:rFonts w:ascii="Calibri" w:cs="Calibri" w:eastAsia="Calibri" w:hAnsi="Calibri"/>
          <w:b/>
          <w:bCs/>
          <w:color w:val="1A1A1A"/>
          <w:sz w:val="20"/>
          <w:szCs w:val="20"/>
        </w:rPr>
        <w:t xml:space="preserve">casse</w:t>
      </w:r>
      <w:r>
        <w:rPr>
          <w:rFonts w:ascii="Calibri" w:cs="Calibri" w:eastAsia="Calibri" w:hAnsi="Calibri"/>
          <w:color w:val="1A1A1A"/>
          <w:sz w:val="20"/>
          <w:szCs w:val="20"/>
        </w:rPr>
        <w:t xml:space="preserve"> ; elle refuse d’en faire un critère et lui substitue sa grille.</w:t>
      </w:r>
    </w:p>
    <w:p>
      <w:pPr>
        <w:pStyle w:val="ListParagraph"/>
        <w:numPr>
          <w:ilvl w:val="0"/>
          <w:numId w:val="2"/>
        </w:numPr>
        <w:spacing w:after="70" w:line="264"/>
        <w:jc w:val="both"/>
      </w:pPr>
      <w:r>
        <w:rPr>
          <w:rFonts w:ascii="Calibri" w:cs="Calibri" w:eastAsia="Calibri" w:hAnsi="Calibri"/>
          <w:color w:val="1A1A1A"/>
          <w:sz w:val="20"/>
          <w:szCs w:val="20"/>
        </w:rPr>
        <w:t xml:space="preserve">La problématique est trop étroite : la question de la courtoisie n’est qu’un symptôme de la question de méthode.</w:t>
      </w:r>
    </w:p>
    <w:p>
      <w:pPr>
        <w:pStyle w:val="ListParagraph"/>
        <w:numPr>
          <w:ilvl w:val="0"/>
          <w:numId w:val="2"/>
        </w:numPr>
        <w:spacing w:after="70" w:line="264"/>
        <w:jc w:val="both"/>
      </w:pPr>
      <w:r>
        <w:rPr>
          <w:rFonts w:ascii="Calibri" w:cs="Calibri" w:eastAsia="Calibri" w:hAnsi="Calibri"/>
          <w:color w:val="1A1A1A"/>
          <w:sz w:val="20"/>
          <w:szCs w:val="20"/>
        </w:rPr>
        <w:t xml:space="preserve">II B sort de l’arrêt (arrêtés lycéens) ; « lenteur de la France à transposer la directive anti-SLAPP » : la directive (UE) 2024/1069 a été transposée par le </w:t>
      </w:r>
      <w:r>
        <w:rPr>
          <w:rFonts w:ascii="Calibri" w:cs="Calibri" w:eastAsia="Calibri" w:hAnsi="Calibri"/>
          <w:color w:val="1E88E5"/>
          <w:sz w:val="20"/>
          <w:szCs w:val="20"/>
        </w:rPr>
        <w:t xml:space="preserve">décret n° 2026-337 du 30 avril 2026</w:t>
      </w:r>
      <w:r>
        <w:rPr>
          <w:rFonts w:ascii="Calibri" w:cs="Calibri" w:eastAsia="Calibri" w:hAnsi="Calibri"/>
          <w:color w:val="1A1A1A"/>
          <w:sz w:val="20"/>
          <w:szCs w:val="20"/>
        </w:rPr>
        <w:t xml:space="preserve">, en vigueur le 7 mai 2026, date limite de transposition ; on peut critiquer une transposition minimale, pas un retard.</w:t>
      </w:r>
    </w:p>
    <w:p>
      <w:pPr>
        <w:spacing w:after="70" w:before="170"/>
      </w:pPr>
      <w:r>
        <w:rPr>
          <w:rFonts w:ascii="Calibri" w:cs="Calibri" w:eastAsia="Calibri" w:hAnsi="Calibri"/>
          <w:b/>
          <w:bCs/>
          <w:color w:val="1A1A1A"/>
          <w:sz w:val="20"/>
          <w:szCs w:val="20"/>
        </w:rPr>
        <w:t xml:space="preserve">Le rattrapage</w:t>
      </w:r>
    </w:p>
    <w:p>
      <w:pPr>
        <w:spacing w:after="90" w:line="264"/>
        <w:jc w:val="both"/>
      </w:pPr>
      <w:r>
        <w:rPr>
          <w:rFonts w:ascii="Calibri" w:cs="Calibri" w:eastAsia="Calibri" w:hAnsi="Calibri"/>
          <w:color w:val="1A1A1A"/>
          <w:sz w:val="20"/>
          <w:szCs w:val="20"/>
        </w:rPr>
        <w:t xml:space="preserve">Garder le soupçon de recul, mais le fonder sur la série du 14 janvier : II A « Une méthode réversible », II B « La fin de l’automaticité du motif contaminant ».</w:t>
      </w:r>
    </w:p>
    <w:p>
      <w:pPr>
        <w:spacing w:after="90" w:line="264"/>
        <w:jc w:val="both"/>
      </w:pPr>
      <w:r>
        <w:rPr>
          <w:rFonts w:ascii="Calibri" w:cs="Calibri" w:eastAsia="Calibri" w:hAnsi="Calibri"/>
          <w:b/>
          <w:bCs/>
          <w:color w:val="1A1A1A"/>
          <w:sz w:val="20"/>
          <w:szCs w:val="20"/>
        </w:rPr>
        <w:t xml:space="preserve">Note indicative (plan et introduction tels que postés) : 9/20</w:t>
      </w:r>
    </w:p>
    <w:p>
      <w:r>
        <w:br w:type="page"/>
      </w:r>
    </w:p>
    <w:p>
      <w:pPr>
        <w:pStyle w:val="Heading2"/>
        <w:spacing w:after="110" w:before="260"/>
      </w:pPr>
      <w:r>
        <w:rPr>
          <w:rFonts w:ascii="Calibri" w:cs="Calibri" w:eastAsia="Calibri" w:hAnsi="Calibri"/>
          <w:b/>
          <w:bCs/>
          <w:color w:val="1A1A1A"/>
          <w:spacing w:val="16"/>
          <w:sz w:val="23"/>
          <w:szCs w:val="23"/>
        </w:rPr>
        <w:t xml:space="preserve">2. Les autres propositions, en bref</w:t>
      </w:r>
    </w:p>
    <w:tbl>
      <w:tblPr>
        <w:tblW w:type="pct" w:w="100%"/>
        <w:tblBorders>
          <w:top w:val="single" w:color="C9C0B6" w:sz="2"/>
          <w:left w:val="single" w:color="C9C0B6" w:sz="2"/>
          <w:bottom w:val="single" w:color="C9C0B6" w:sz="2"/>
          <w:right w:val="single" w:color="C9C0B6" w:sz="2"/>
          <w:insideH w:val="single" w:color="DCD5CC" w:sz="2"/>
          <w:insideV w:val="single" w:color="DCD5CC" w:sz="2"/>
        </w:tblBorders>
      </w:tblPr>
      <w:tblGrid>
        <w:gridCol w:w="100"/>
        <w:gridCol w:w="100"/>
        <w:gridCol w:w="100"/>
        <w:gridCol w:w="100"/>
      </w:tblGrid>
      <w:tr>
        <w:trPr>
          <w:tblHeader/>
        </w:trPr>
        <w:tc>
          <w:tcPr>
            <w:tcW w:type="pct" w:w="25%"/>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Élève</w:t>
            </w:r>
          </w:p>
        </w:tc>
        <w:tc>
          <w:tcPr>
            <w:tcW w:type="pct" w:w="25%"/>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Plan (résumé)</w:t>
            </w:r>
          </w:p>
        </w:tc>
        <w:tc>
          <w:tcPr>
            <w:tcW w:type="pct" w:w="25%"/>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Observation</w:t>
            </w:r>
          </w:p>
        </w:tc>
        <w:tc>
          <w:tcPr>
            <w:tcW w:type="pct" w:w="25%"/>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Note</w:t>
            </w:r>
          </w:p>
        </w:tc>
      </w:tr>
      <w:tr>
        <w:trPr>
          <w:tblHeader w:val="false"/>
        </w:trPr>
        <w:tc>
          <w:tcPr>
            <w:tcW w:type="pct" w:w="25%"/>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Thelma L</w:t>
            </w:r>
          </w:p>
        </w:tc>
        <w:tc>
          <w:tcPr>
            <w:tcW w:type="pct" w:w="25%"/>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I. Principe constant (A. droit fondamental ; B. abandon du critère de l’abus) ; II. Office du juge (A. justification ; B. difficile mise en balance)</w:t>
            </w:r>
          </w:p>
        </w:tc>
        <w:tc>
          <w:tcPr>
            <w:tcW w:type="pct" w:w="25%"/>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Identifie l’abandon de l’abus</w:t>
            </w:r>
            <w:r>
              <w:rPr>
                <w:rFonts w:ascii="Calibri" w:cs="Calibri" w:eastAsia="Calibri" w:hAnsi="Calibri"/>
                <w:b w:val="false"/>
                <w:bCs w:val="false"/>
                <w:color w:val="1A1A1A"/>
                <w:sz w:val="17"/>
                <w:szCs w:val="17"/>
              </w:rPr>
              <w:t xml:space="preserve"> ; II B ouvre une critique. Mais « article 34 de la Constitution » n’est pas une source de la liberté : il fixe la compétence du législateur pour les garanties fondamentales.</w:t>
            </w:r>
          </w:p>
        </w:tc>
        <w:tc>
          <w:tcPr>
            <w:tcW w:type="pct" w:w="25%"/>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12</w:t>
            </w:r>
          </w:p>
        </w:tc>
      </w:tr>
      <w:tr>
        <w:trPr>
          <w:tblHeader w:val="false"/>
        </w:trPr>
        <w:tc>
          <w:tcPr>
            <w:tcW w:type="pct" w:w="25%"/>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Morgane S</w:t>
            </w:r>
          </w:p>
        </w:tc>
        <w:tc>
          <w:tcPr>
            <w:tcW w:type="pct" w:w="25%"/>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I. LE fondamentale (A. fondements ; B. restriction encadrée) ; II. Conflit de droits (A. absence de contrôle de proportionnalité par les juges du fond ; B. absence concrète d’atteinte à l’honneur)</w:t>
            </w:r>
          </w:p>
        </w:tc>
        <w:tc>
          <w:tcPr>
            <w:tcW w:type="pct" w:w="25%"/>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Problématique pertinente (« atteinte disproportionnée… eu égard au contexte »). II B préjuge : la Cour demande de </w:t>
            </w:r>
            <w:r>
              <w:rPr>
                <w:rFonts w:ascii="Calibri" w:cs="Calibri" w:eastAsia="Calibri" w:hAnsi="Calibri"/>
                <w:b w:val="false"/>
                <w:bCs w:val="false"/>
                <w:i/>
                <w:iCs/>
                <w:color w:val="1A1A1A"/>
                <w:sz w:val="17"/>
                <w:szCs w:val="17"/>
              </w:rPr>
              <w:t xml:space="preserve">vérifier</w:t>
            </w:r>
            <w:r>
              <w:rPr>
                <w:rFonts w:ascii="Calibri" w:cs="Calibri" w:eastAsia="Calibri" w:hAnsi="Calibri"/>
                <w:b w:val="false"/>
                <w:bCs w:val="false"/>
                <w:color w:val="1A1A1A"/>
                <w:sz w:val="17"/>
                <w:szCs w:val="17"/>
              </w:rPr>
              <w:t xml:space="preserve"> l’effectivité de l’atteinte, elle ne la nie pas.</w:t>
            </w:r>
          </w:p>
        </w:tc>
        <w:tc>
          <w:tcPr>
            <w:tcW w:type="pct" w:w="25%"/>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11</w:t>
            </w:r>
          </w:p>
        </w:tc>
      </w:tr>
      <w:tr>
        <w:trPr>
          <w:tblHeader w:val="false"/>
        </w:trPr>
        <w:tc>
          <w:tcPr>
            <w:tcW w:type="pct" w:w="25%"/>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Amel D</w:t>
            </w:r>
          </w:p>
        </w:tc>
        <w:tc>
          <w:tcPr>
            <w:tcW w:type="pct" w:w="25%"/>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I. Droit fondamental soumis à des limites ; II. Mise en balance concrète (A. contrôle in concreto ; B. protection contre les sanctions)</w:t>
            </w:r>
          </w:p>
        </w:tc>
        <w:tc>
          <w:tcPr>
            <w:tcW w:type="pct" w:w="25%"/>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Propre et classique ; ouverture lanceurs d’alerte pertinente ; revirement absent ; II B vague.</w:t>
            </w:r>
          </w:p>
        </w:tc>
        <w:tc>
          <w:tcPr>
            <w:tcW w:type="pct" w:w="25%"/>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11</w:t>
            </w:r>
          </w:p>
        </w:tc>
      </w:tr>
      <w:tr>
        <w:trPr>
          <w:tblHeader w:val="false"/>
        </w:trPr>
        <w:tc>
          <w:tcPr>
            <w:tcW w:type="pct" w:w="25%"/>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Anna E</w:t>
            </w:r>
          </w:p>
        </w:tc>
        <w:tc>
          <w:tcPr>
            <w:tcW w:type="pct" w:w="25%"/>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I. LE fondamentale (A. protection ; B. nullité) ; II. Restrictions (A. l’abus ; B. le contrôle de proportionnalité)</w:t>
            </w:r>
          </w:p>
        </w:tc>
        <w:tc>
          <w:tcPr>
            <w:tcW w:type="pct" w:w="25%"/>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Le II peut montrer le passage de l’un à l’autre, à condition de le dire. « Art. 11 Conv. EDH » (réunion) hors sujet ; l’argument « courtoisie = motif impropre » est celui du pourvoi, non celui de la Cour.</w:t>
            </w:r>
          </w:p>
        </w:tc>
        <w:tc>
          <w:tcPr>
            <w:tcW w:type="pct" w:w="25%"/>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11</w:t>
            </w:r>
          </w:p>
        </w:tc>
      </w:tr>
      <w:tr>
        <w:trPr>
          <w:tblHeader w:val="false"/>
        </w:trPr>
        <w:tc>
          <w:tcPr>
            <w:tcW w:type="pct" w:w="25%"/>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Najwa C</w:t>
            </w:r>
          </w:p>
        </w:tc>
        <w:tc>
          <w:tcPr>
            <w:tcW w:type="pct" w:w="25%"/>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I. Liberté équilibrée (A. rappel ; B. mise en balance) ; II. Appréciation concrète (A. contextualisation ; B. atteinte effective)</w:t>
            </w:r>
          </w:p>
        </w:tc>
        <w:tc>
          <w:tcPr>
            <w:tcW w:type="pct" w:w="25%"/>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Analyse fine du contexte. Erreurs : formule « dans et hors de l’entreprise » « admise en 2011 » (elle est bien antérieure) ; </w:t>
            </w:r>
            <w:r>
              <w:rPr>
                <w:rFonts w:ascii="Calibri" w:cs="Calibri" w:eastAsia="Calibri" w:hAnsi="Calibri"/>
                <w:b w:val="false"/>
                <w:bCs w:val="false"/>
                <w:color w:val="E91E63"/>
                <w:sz w:val="17"/>
                <w:szCs w:val="17"/>
              </w:rPr>
              <w:t xml:space="preserve">Baby Loup</w:t>
            </w:r>
            <w:r>
              <w:rPr>
                <w:rFonts w:ascii="Calibri" w:cs="Calibri" w:eastAsia="Calibri" w:hAnsi="Calibri"/>
                <w:b w:val="false"/>
                <w:bCs w:val="false"/>
                <w:color w:val="1A1A1A"/>
                <w:sz w:val="17"/>
                <w:szCs w:val="17"/>
              </w:rPr>
              <w:t xml:space="preserve"> n’est pas un arrêt de cassation (</w:t>
            </w:r>
            <w:r>
              <w:rPr>
                <w:rFonts w:ascii="Calibri" w:cs="Calibri" w:eastAsia="Calibri" w:hAnsi="Calibri"/>
                <w:b w:val="false"/>
                <w:bCs w:val="false"/>
                <w:color w:val="E91E63"/>
                <w:sz w:val="17"/>
                <w:szCs w:val="17"/>
              </w:rPr>
              <w:t xml:space="preserve">Ass. plén., 25 juin 2014</w:t>
            </w:r>
            <w:r>
              <w:rPr>
                <w:rFonts w:ascii="Calibri" w:cs="Calibri" w:eastAsia="Calibri" w:hAnsi="Calibri"/>
                <w:b w:val="false"/>
                <w:bCs w:val="false"/>
                <w:color w:val="1A1A1A"/>
                <w:sz w:val="17"/>
                <w:szCs w:val="17"/>
              </w:rPr>
              <w:t xml:space="preserve">, rejet) ; </w:t>
            </w:r>
            <w:r>
              <w:rPr>
                <w:rFonts w:ascii="Calibri" w:cs="Calibri" w:eastAsia="Calibri" w:hAnsi="Calibri"/>
                <w:b w:val="false"/>
                <w:bCs w:val="false"/>
                <w:color w:val="E91E63"/>
                <w:sz w:val="17"/>
                <w:szCs w:val="17"/>
              </w:rPr>
              <w:t xml:space="preserve">Viking</w:t>
            </w:r>
            <w:r>
              <w:rPr>
                <w:rFonts w:ascii="Calibri" w:cs="Calibri" w:eastAsia="Calibri" w:hAnsi="Calibri"/>
                <w:b w:val="false"/>
                <w:bCs w:val="false"/>
                <w:color w:val="1A1A1A"/>
                <w:sz w:val="17"/>
                <w:szCs w:val="17"/>
              </w:rPr>
              <w:t xml:space="preserve"> et </w:t>
            </w:r>
            <w:r>
              <w:rPr>
                <w:rFonts w:ascii="Calibri" w:cs="Calibri" w:eastAsia="Calibri" w:hAnsi="Calibri"/>
                <w:b w:val="false"/>
                <w:bCs w:val="false"/>
                <w:color w:val="E91E63"/>
                <w:sz w:val="17"/>
                <w:szCs w:val="17"/>
              </w:rPr>
              <w:t xml:space="preserve">Laval</w:t>
            </w:r>
            <w:r>
              <w:rPr>
                <w:rFonts w:ascii="Calibri" w:cs="Calibri" w:eastAsia="Calibri" w:hAnsi="Calibri"/>
                <w:b w:val="false"/>
                <w:bCs w:val="false"/>
                <w:color w:val="1A1A1A"/>
                <w:sz w:val="17"/>
                <w:szCs w:val="17"/>
              </w:rPr>
              <w:t xml:space="preserve"> (CJCE, 2007) opposent le droit de grève aux libertés de circulation, non au « droit d’entreprendre » ; c’est l’honneur du </w:t>
            </w:r>
            <w:r>
              <w:rPr>
                <w:rFonts w:ascii="Calibri" w:cs="Calibri" w:eastAsia="Calibri" w:hAnsi="Calibri"/>
                <w:b w:val="false"/>
                <w:bCs w:val="false"/>
                <w:color w:val="1A1A1A"/>
                <w:sz w:val="17"/>
                <w:szCs w:val="17"/>
              </w:rPr>
              <w:t xml:space="preserve">RRH</w:t>
            </w:r>
            <w:r>
              <w:rPr>
                <w:rFonts w:ascii="Calibri" w:cs="Calibri" w:eastAsia="Calibri" w:hAnsi="Calibri"/>
                <w:b w:val="false"/>
                <w:bCs w:val="false"/>
                <w:color w:val="1A1A1A"/>
                <w:sz w:val="17"/>
                <w:szCs w:val="17"/>
              </w:rPr>
              <w:t xml:space="preserve">, non la réputation de l’employeur, qui est en cause ; les ouvriers (non les « salaires ») sont jetés à la poubelle.</w:t>
            </w:r>
          </w:p>
        </w:tc>
        <w:tc>
          <w:tcPr>
            <w:tcW w:type="pct" w:w="25%"/>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10</w:t>
            </w:r>
          </w:p>
        </w:tc>
      </w:tr>
      <w:tr>
        <w:trPr>
          <w:tblHeader w:val="false"/>
        </w:trPr>
        <w:tc>
          <w:tcPr>
            <w:tcW w:type="pct" w:w="25%"/>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Inès Y</w:t>
            </w:r>
          </w:p>
        </w:tc>
        <w:tc>
          <w:tcPr>
            <w:tcW w:type="pct" w:w="25%"/>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I. Liberté cardinale (A. pierre angulaire ; B. société démocratique) ; II. Suprématie tempérée (A. contrôle de l’employeur ; B. contrôle du juge)</w:t>
            </w:r>
          </w:p>
        </w:tc>
        <w:tc>
          <w:tcPr>
            <w:tcW w:type="pct" w:w="25%"/>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I = dissertation générale (DUDH, PIDCP, </w:t>
            </w:r>
            <w:r>
              <w:rPr>
                <w:rFonts w:ascii="Calibri" w:cs="Calibri" w:eastAsia="Calibri" w:hAnsi="Calibri"/>
                <w:b w:val="false"/>
                <w:bCs w:val="false"/>
                <w:color w:val="E91E63"/>
                <w:sz w:val="17"/>
                <w:szCs w:val="17"/>
              </w:rPr>
              <w:t xml:space="preserve">n° 94-345 DC</w:t>
            </w:r>
            <w:r>
              <w:rPr>
                <w:rFonts w:ascii="Calibri" w:cs="Calibri" w:eastAsia="Calibri" w:hAnsi="Calibri"/>
                <w:b w:val="false"/>
                <w:bCs w:val="false"/>
                <w:color w:val="1A1A1A"/>
                <w:sz w:val="17"/>
                <w:szCs w:val="17"/>
              </w:rPr>
              <w:t xml:space="preserve">), sans lien avec l’arrêt ; « Springer 2012 » = </w:t>
            </w:r>
            <w:r>
              <w:rPr>
                <w:rFonts w:ascii="Calibri" w:cs="Calibri" w:eastAsia="Calibri" w:hAnsi="Calibri"/>
                <w:b w:val="false"/>
                <w:bCs w:val="false"/>
                <w:color w:val="E91E63"/>
                <w:sz w:val="17"/>
                <w:szCs w:val="17"/>
              </w:rPr>
              <w:t xml:space="preserve">Axel Springer AG c. Allemagne</w:t>
            </w:r>
            <w:r>
              <w:rPr>
                <w:rFonts w:ascii="Calibri" w:cs="Calibri" w:eastAsia="Calibri" w:hAnsi="Calibri"/>
                <w:b w:val="false"/>
                <w:bCs w:val="false"/>
                <w:color w:val="1A1A1A"/>
                <w:sz w:val="17"/>
                <w:szCs w:val="17"/>
              </w:rPr>
              <w:t xml:space="preserve">, gr. ch., 7 févr. 2012 ; II A confus (l’employeur ne « contrôle » pas, il restreint).</w:t>
            </w:r>
          </w:p>
        </w:tc>
        <w:tc>
          <w:tcPr>
            <w:tcW w:type="pct" w:w="25%"/>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9</w:t>
            </w:r>
          </w:p>
        </w:tc>
      </w:tr>
      <w:tr>
        <w:trPr>
          <w:tblHeader w:val="false"/>
        </w:trPr>
        <w:tc>
          <w:tcPr>
            <w:tcW w:type="pct" w:w="25%"/>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Amélie M</w:t>
            </w:r>
          </w:p>
        </w:tc>
        <w:tc>
          <w:tcPr>
            <w:tcW w:type="pct" w:w="25%"/>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I. Exercice de la LE (A. consécration ; B. dans l’entreprise) ; II. Restriction par le pouvoir disciplinaire</w:t>
            </w:r>
          </w:p>
        </w:tc>
        <w:tc>
          <w:tcPr>
            <w:tcW w:type="pct" w:w="25%"/>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Question de droit sur la « liberté d’association » (lapsus à proscrire) ; « Cass. soc., 12 nov. 1996 » non vérifié ; plan descriptif.</w:t>
            </w:r>
          </w:p>
        </w:tc>
        <w:tc>
          <w:tcPr>
            <w:tcW w:type="pct" w:w="25%"/>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8</w:t>
            </w:r>
          </w:p>
        </w:tc>
      </w:tr>
      <w:tr>
        <w:trPr>
          <w:tblHeader w:val="false"/>
        </w:trPr>
        <w:tc>
          <w:tcPr>
            <w:tcW w:type="pct" w:w="25%"/>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Anaïs L</w:t>
            </w:r>
          </w:p>
        </w:tc>
        <w:tc>
          <w:tcPr>
            <w:tcW w:type="pct" w:w="25%"/>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I. Statut protecteur (A. dénonciation des conditions de travail ; B. action en réparation) ; II. Subordination (A. atteinte justifiée ; B. pouvoir disciplinaire justifié par l’abus)</w:t>
            </w:r>
          </w:p>
        </w:tc>
        <w:tc>
          <w:tcPr>
            <w:tcW w:type="pct" w:w="25%"/>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II B repose sur l’abus que l’arrêt abandonne ; I B valorise l’action syndicale alors que le syndicat est déclaré irrecevable.</w:t>
            </w:r>
          </w:p>
        </w:tc>
        <w:tc>
          <w:tcPr>
            <w:tcW w:type="pct" w:w="25%"/>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7,5</w:t>
            </w:r>
          </w:p>
        </w:tc>
      </w:tr>
    </w:tbl>
    <w:p>
      <w:pPr>
        <w:spacing w:after="120"/>
      </w:pPr>
    </w:p>
    <w:p>
      <w:pPr>
        <w:pStyle w:val="Heading2"/>
        <w:spacing w:after="110" w:before="260"/>
      </w:pPr>
      <w:r>
        <w:rPr>
          <w:rFonts w:ascii="Calibri" w:cs="Calibri" w:eastAsia="Calibri" w:hAnsi="Calibri"/>
          <w:b/>
          <w:bCs/>
          <w:color w:val="1A1A1A"/>
          <w:spacing w:val="16"/>
          <w:sz w:val="23"/>
          <w:szCs w:val="23"/>
        </w:rPr>
        <w:t xml:space="preserve">3. Synthèse des fautes récurrentes</w:t>
      </w:r>
    </w:p>
    <w:tbl>
      <w:tblPr>
        <w:tblW w:type="pct" w:w="100%"/>
        <w:tblBorders>
          <w:top w:val="single" w:color="C9C0B6" w:sz="2"/>
          <w:left w:val="single" w:color="C9C0B6" w:sz="2"/>
          <w:bottom w:val="single" w:color="C9C0B6" w:sz="2"/>
          <w:right w:val="single" w:color="C9C0B6" w:sz="2"/>
          <w:insideH w:val="single" w:color="DCD5CC" w:sz="2"/>
          <w:insideV w:val="single" w:color="DCD5CC" w:sz="2"/>
        </w:tblBorders>
      </w:tblPr>
      <w:tblGrid>
        <w:gridCol w:w="100"/>
        <w:gridCol w:w="100"/>
        <w:gridCol w:w="100"/>
      </w:tblGrid>
      <w:tr>
        <w:trPr>
          <w:tblHeader/>
        </w:trPr>
        <w:tc>
          <w:tcPr>
            <w:tcW w:type="pct" w:w="33.333333333333336%"/>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Faute</w:t>
            </w:r>
          </w:p>
        </w:tc>
        <w:tc>
          <w:tcPr>
            <w:tcW w:type="pct" w:w="33.333333333333336%"/>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Fréquence</w:t>
            </w:r>
          </w:p>
        </w:tc>
        <w:tc>
          <w:tcPr>
            <w:tcW w:type="pct" w:w="33.333333333333336%"/>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Correction</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Croire que la Cour déclare le licenciement nul ou disproportionné</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Très fréquente (Emma, Grace, Marine, Axelle, Maud, Morgane)</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Cassation partielle, renvoi ; la Cour contrôle la méthode, pas le résultat.</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Ne pas voir l’abandon de l’abus</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Majoritaire</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Comparer le « sauf abus » du moyen et le § 11.</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Raisonner encore en termes d’abus dans les titres</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Fréquente (Nassim, Luna, Anaïs, Anna)</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Remplacer par « restriction justifiée et proportionnée ».</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Dates fausses (18 nov. 2017, 2012, saisine en 2017)</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Fréquente</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28 nov. 2017 ; 22 déc. 2017 ; 6 sept. 2018 ; 9 mai 2023.</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 Faute grave »</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Aurore</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Licenciement « pour faute ».</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 Critères cumulatifs »</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Support, Emma</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Éléments d’appréciation d’une pesée globale.</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Confondre le RRH et l’auteur des dessins</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Aurore, Najwa</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Le « salarié qui se serait reconnu » est le RRH.</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Oublier le syndicat</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Quasi générale</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Une phrase suffit : irrecevabilité, § 8.</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Références invérifiables</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Plusieurs</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À l’oral, une référence fausse coûte plus qu’une référence absente.</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Dissertation au lieu de commentaire</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Inès, Mélina (II B)</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Chaque sous-partie doit s’ancrer dans un paragraphe de l’arrêt.</w:t>
            </w:r>
          </w:p>
        </w:tc>
      </w:tr>
    </w:tbl>
    <w:p>
      <w:pPr>
        <w:spacing w:after="120"/>
      </w:pPr>
    </w:p>
    <w:p>
      <w:r>
        <w:br w:type="page"/>
      </w:r>
    </w:p>
    <w:p>
      <w:pPr>
        <w:shd w:fill="F2E9EA" w:val="clear"/>
        <w:spacing w:after="220" w:before="200"/>
        <w:jc w:val="center"/>
      </w:pPr>
      <w:r>
        <w:rPr>
          <w:rFonts w:ascii="Calibri" w:cs="Calibri" w:eastAsia="Calibri" w:hAnsi="Calibri"/>
          <w:b/>
          <w:bCs/>
          <w:color w:val="8C1C2B"/>
          <w:spacing w:val="30"/>
          <w:sz w:val="26"/>
          <w:szCs w:val="26"/>
        </w:rPr>
        <w:t xml:space="preserve">PARTIE IV — LES QUESTIONS DU CHAT</w:t>
      </w:r>
    </w:p>
    <w:p>
      <w:pPr>
        <w:spacing w:after="90" w:line="264"/>
        <w:jc w:val="both"/>
      </w:pPr>
      <w:r>
        <w:rPr>
          <w:rFonts w:ascii="Calibri" w:cs="Calibri" w:eastAsia="Calibri" w:hAnsi="Calibri"/>
          <w:color w:val="1A1A1A"/>
          <w:sz w:val="20"/>
          <w:szCs w:val="20"/>
        </w:rPr>
        <w:t xml:space="preserve">Réponses vérifiées au 17 octobre 2026. Les sujets d’actualité évoluent vite : à revérifier la veille de l’épreuve.</w:t>
      </w:r>
    </w:p>
    <w:p>
      <w:pPr>
        <w:pStyle w:val="Heading2"/>
        <w:spacing w:after="110" w:before="260"/>
      </w:pPr>
      <w:r>
        <w:rPr>
          <w:rFonts w:ascii="Calibri" w:cs="Calibri" w:eastAsia="Calibri" w:hAnsi="Calibri"/>
          <w:b/>
          <w:bCs/>
          <w:color w:val="1A1A1A"/>
          <w:spacing w:val="16"/>
          <w:sz w:val="23"/>
          <w:szCs w:val="23"/>
        </w:rPr>
        <w:t xml:space="preserve">1. Questions de méthode</w:t>
      </w:r>
    </w:p>
    <w:p>
      <w:pPr>
        <w:spacing w:after="70" w:before="170"/>
      </w:pPr>
      <w:r>
        <w:rPr>
          <w:rFonts w:ascii="Calibri" w:cs="Calibri" w:eastAsia="Calibri" w:hAnsi="Calibri"/>
          <w:b/>
          <w:bCs/>
          <w:color w:val="1A1A1A"/>
          <w:sz w:val="20"/>
          <w:szCs w:val="20"/>
        </w:rPr>
        <w:t xml:space="preserve">« Était-il possible d’avoir la moyenne sans mentionner la jurisprudence précédant ce revirement ? » (Isabelle T)</w:t>
      </w:r>
    </w:p>
    <w:p>
      <w:pPr>
        <w:spacing w:after="90" w:line="264"/>
        <w:jc w:val="both"/>
      </w:pPr>
      <w:r>
        <w:rPr>
          <w:rFonts w:ascii="Calibri" w:cs="Calibri" w:eastAsia="Calibri" w:hAnsi="Calibri"/>
          <w:color w:val="1A1A1A"/>
          <w:sz w:val="20"/>
          <w:szCs w:val="20"/>
        </w:rPr>
        <w:t xml:space="preserve">Oui, à condition de </w:t>
      </w:r>
      <w:r>
        <w:rPr>
          <w:rFonts w:ascii="Calibri" w:cs="Calibri" w:eastAsia="Calibri" w:hAnsi="Calibri"/>
          <w:b/>
          <w:bCs/>
          <w:color w:val="1A1A1A"/>
          <w:sz w:val="20"/>
          <w:szCs w:val="20"/>
        </w:rPr>
        <w:t xml:space="preserve">voir le changement dans le texte</w:t>
      </w:r>
      <w:r>
        <w:rPr>
          <w:rFonts w:ascii="Calibri" w:cs="Calibri" w:eastAsia="Calibri" w:hAnsi="Calibri"/>
          <w:color w:val="1A1A1A"/>
          <w:sz w:val="20"/>
          <w:szCs w:val="20"/>
        </w:rPr>
        <w:t xml:space="preserve"> et de l’expliquer. L’arrêt fournit lui-même la jurisprudence antérieure : le moyen (</w:t>
      </w:r>
      <w:r>
        <w:rPr>
          <w:rFonts w:ascii="Calibri" w:cs="Calibri" w:eastAsia="Calibri" w:hAnsi="Calibri"/>
          <w:color w:val="E91E63"/>
          <w:sz w:val="20"/>
          <w:szCs w:val="20"/>
        </w:rPr>
        <w:t xml:space="preserve">§ 10</w:t>
      </w:r>
      <w:r>
        <w:rPr>
          <w:rFonts w:ascii="Calibri" w:cs="Calibri" w:eastAsia="Calibri" w:hAnsi="Calibri"/>
          <w:color w:val="1A1A1A"/>
          <w:sz w:val="20"/>
          <w:szCs w:val="20"/>
        </w:rPr>
        <w:t xml:space="preserve">) reproduit l’ancienne formule (« </w:t>
      </w:r>
      <w:r>
        <w:rPr>
          <w:rFonts w:ascii="Calibri" w:cs="Calibri" w:eastAsia="Calibri" w:hAnsi="Calibri"/>
          <w:i/>
          <w:iCs/>
          <w:color w:val="1A1A1A"/>
          <w:sz w:val="20"/>
          <w:szCs w:val="20"/>
        </w:rPr>
        <w:t xml:space="preserve">sauf abus</w:t>
      </w:r>
      <w:r>
        <w:rPr>
          <w:rFonts w:ascii="Calibri" w:cs="Calibri" w:eastAsia="Calibri" w:hAnsi="Calibri"/>
          <w:color w:val="1A1A1A"/>
          <w:sz w:val="20"/>
          <w:szCs w:val="20"/>
        </w:rPr>
        <w:t xml:space="preserve"> », « </w:t>
      </w:r>
      <w:r>
        <w:rPr>
          <w:rFonts w:ascii="Calibri" w:cs="Calibri" w:eastAsia="Calibri" w:hAnsi="Calibri"/>
          <w:i/>
          <w:iCs/>
          <w:color w:val="1A1A1A"/>
          <w:sz w:val="20"/>
          <w:szCs w:val="20"/>
        </w:rPr>
        <w:t xml:space="preserve">injurieux, diffamatoire ou excessif</w:t>
      </w:r>
      <w:r>
        <w:rPr>
          <w:rFonts w:ascii="Calibri" w:cs="Calibri" w:eastAsia="Calibri" w:hAnsi="Calibri"/>
          <w:color w:val="1A1A1A"/>
          <w:sz w:val="20"/>
          <w:szCs w:val="20"/>
        </w:rPr>
        <w:t xml:space="preserve"> »). Un candidat qui dit : « le pourvoi raisonnait selon l’abus ; la Cour répond par une mise en balance, sans plus mentionner l’abus » a compris l’essentiel. Citer </w:t>
      </w:r>
      <w:r>
        <w:rPr>
          <w:rFonts w:ascii="Calibri" w:cs="Calibri" w:eastAsia="Calibri" w:hAnsi="Calibri"/>
          <w:color w:val="E91E63"/>
          <w:sz w:val="20"/>
          <w:szCs w:val="20"/>
        </w:rPr>
        <w:t xml:space="preserve">Clavaud</w:t>
      </w:r>
      <w:r>
        <w:rPr>
          <w:rFonts w:ascii="Calibri" w:cs="Calibri" w:eastAsia="Calibri" w:hAnsi="Calibri"/>
          <w:color w:val="1A1A1A"/>
          <w:sz w:val="20"/>
          <w:szCs w:val="20"/>
        </w:rPr>
        <w:t xml:space="preserve"> (1988) ajoute la profondeur historique, mais l’analyse précise du texte compte davantage qu’une date apprise.</w:t>
      </w:r>
    </w:p>
    <w:p>
      <w:pPr>
        <w:spacing w:after="70" w:before="170"/>
      </w:pPr>
      <w:r>
        <w:rPr>
          <w:rFonts w:ascii="Calibri" w:cs="Calibri" w:eastAsia="Calibri" w:hAnsi="Calibri"/>
          <w:b/>
          <w:bCs/>
          <w:color w:val="1A1A1A"/>
          <w:sz w:val="20"/>
          <w:szCs w:val="20"/>
        </w:rPr>
        <w:t xml:space="preserve">« Comment faire lorsqu’on tombe sur un arrêt sans savoir qu’il s’agit d’un revirement ? » (Alizée A)</w:t>
      </w:r>
    </w:p>
    <w:p>
      <w:pPr>
        <w:pStyle w:val="ListParagraph"/>
        <w:numPr>
          <w:ilvl w:val="0"/>
          <w:numId w:val="2"/>
        </w:numPr>
        <w:spacing w:after="70" w:line="264"/>
        <w:jc w:val="both"/>
      </w:pPr>
      <w:r>
        <w:rPr>
          <w:rFonts w:ascii="Calibri" w:cs="Calibri" w:eastAsia="Calibri" w:hAnsi="Calibri"/>
          <w:color w:val="1A1A1A"/>
          <w:sz w:val="20"/>
          <w:szCs w:val="20"/>
        </w:rPr>
        <w:t xml:space="preserve">Repérer les </w:t>
      </w:r>
      <w:r>
        <w:rPr>
          <w:rFonts w:ascii="Calibri" w:cs="Calibri" w:eastAsia="Calibri" w:hAnsi="Calibri"/>
          <w:b/>
          <w:bCs/>
          <w:color w:val="1A1A1A"/>
          <w:sz w:val="20"/>
          <w:szCs w:val="20"/>
        </w:rPr>
        <w:t xml:space="preserve">indices formels</w:t>
      </w:r>
      <w:r>
        <w:rPr>
          <w:rFonts w:ascii="Calibri" w:cs="Calibri" w:eastAsia="Calibri" w:hAnsi="Calibri"/>
          <w:color w:val="1A1A1A"/>
          <w:sz w:val="20"/>
          <w:szCs w:val="20"/>
        </w:rPr>
        <w:t xml:space="preserve"> : formation de section (FS), publication au Bulletin (B), visa de principe suivi d’un chapeau en plusieurs paragraphes, formules nouvelles (« </w:t>
      </w:r>
      <w:r>
        <w:rPr>
          <w:rFonts w:ascii="Calibri" w:cs="Calibri" w:eastAsia="Calibri" w:hAnsi="Calibri"/>
          <w:i/>
          <w:iCs/>
          <w:color w:val="1A1A1A"/>
          <w:sz w:val="20"/>
          <w:szCs w:val="20"/>
        </w:rPr>
        <w:t xml:space="preserve">il appartient au juge de…</w:t>
      </w:r>
      <w:r>
        <w:rPr>
          <w:rFonts w:ascii="Calibri" w:cs="Calibri" w:eastAsia="Calibri" w:hAnsi="Calibri"/>
          <w:color w:val="1A1A1A"/>
          <w:sz w:val="20"/>
          <w:szCs w:val="20"/>
        </w:rPr>
        <w:t xml:space="preserve"> »).</w:t>
      </w:r>
    </w:p>
    <w:p>
      <w:pPr>
        <w:pStyle w:val="ListParagraph"/>
        <w:numPr>
          <w:ilvl w:val="0"/>
          <w:numId w:val="2"/>
        </w:numPr>
        <w:spacing w:after="70" w:line="264"/>
        <w:jc w:val="both"/>
      </w:pPr>
      <w:r>
        <w:rPr>
          <w:rFonts w:ascii="Calibri" w:cs="Calibri" w:eastAsia="Calibri" w:hAnsi="Calibri"/>
          <w:b/>
          <w:bCs/>
          <w:color w:val="1A1A1A"/>
          <w:sz w:val="20"/>
          <w:szCs w:val="20"/>
        </w:rPr>
        <w:t xml:space="preserve">Comparer le moyen et la réponse</w:t>
      </w:r>
      <w:r>
        <w:rPr>
          <w:rFonts w:ascii="Calibri" w:cs="Calibri" w:eastAsia="Calibri" w:hAnsi="Calibri"/>
          <w:color w:val="1A1A1A"/>
          <w:sz w:val="20"/>
          <w:szCs w:val="20"/>
        </w:rPr>
        <w:t xml:space="preserve"> : ce que la Cour ne reprend pas est souvent plus parlant que ce qu’elle dit.</w:t>
      </w:r>
    </w:p>
    <w:p>
      <w:pPr>
        <w:pStyle w:val="ListParagraph"/>
        <w:numPr>
          <w:ilvl w:val="0"/>
          <w:numId w:val="2"/>
        </w:numPr>
        <w:spacing w:after="70" w:line="264"/>
        <w:jc w:val="both"/>
      </w:pPr>
      <w:r>
        <w:rPr>
          <w:rFonts w:ascii="Calibri" w:cs="Calibri" w:eastAsia="Calibri" w:hAnsi="Calibri"/>
          <w:color w:val="1A1A1A"/>
          <w:sz w:val="20"/>
          <w:szCs w:val="20"/>
        </w:rPr>
        <w:t xml:space="preserve">Rester prudent dans le vocabulaire : parler d’« </w:t>
      </w:r>
      <w:r>
        <w:rPr>
          <w:rFonts w:ascii="Calibri" w:cs="Calibri" w:eastAsia="Calibri" w:hAnsi="Calibri"/>
          <w:i/>
          <w:iCs/>
          <w:color w:val="1A1A1A"/>
          <w:sz w:val="20"/>
          <w:szCs w:val="20"/>
        </w:rPr>
        <w:t xml:space="preserve">évolution de méthode</w:t>
      </w:r>
      <w:r>
        <w:rPr>
          <w:rFonts w:ascii="Calibri" w:cs="Calibri" w:eastAsia="Calibri" w:hAnsi="Calibri"/>
          <w:color w:val="1A1A1A"/>
          <w:sz w:val="20"/>
          <w:szCs w:val="20"/>
        </w:rPr>
        <w:t xml:space="preserve"> » ou de « </w:t>
      </w:r>
      <w:r>
        <w:rPr>
          <w:rFonts w:ascii="Calibri" w:cs="Calibri" w:eastAsia="Calibri" w:hAnsi="Calibri"/>
          <w:i/>
          <w:iCs/>
          <w:color w:val="1A1A1A"/>
          <w:sz w:val="20"/>
          <w:szCs w:val="20"/>
        </w:rPr>
        <w:t xml:space="preserve">précision de l’office du juge</w:t>
      </w:r>
      <w:r>
        <w:rPr>
          <w:rFonts w:ascii="Calibri" w:cs="Calibri" w:eastAsia="Calibri" w:hAnsi="Calibri"/>
          <w:color w:val="1A1A1A"/>
          <w:sz w:val="20"/>
          <w:szCs w:val="20"/>
        </w:rPr>
        <w:t xml:space="preserve"> » plutôt que d’affirmer un revirement que l’on ne peut prouver. Le jury pardonne la prudence, pas l’invention.</w:t>
      </w:r>
    </w:p>
    <w:p>
      <w:pPr>
        <w:spacing w:after="70" w:before="170"/>
      </w:pPr>
      <w:r>
        <w:rPr>
          <w:rFonts w:ascii="Calibri" w:cs="Calibri" w:eastAsia="Calibri" w:hAnsi="Calibri"/>
          <w:b/>
          <w:bCs/>
          <w:color w:val="1A1A1A"/>
          <w:sz w:val="20"/>
          <w:szCs w:val="20"/>
        </w:rPr>
        <w:t xml:space="preserve">« Je n’ai pas compris le critère abusif » (Constance S)</w:t>
      </w:r>
    </w:p>
    <w:p>
      <w:pPr>
        <w:spacing w:after="90" w:line="264"/>
        <w:jc w:val="both"/>
      </w:pPr>
      <w:r>
        <w:rPr>
          <w:rFonts w:ascii="Calibri" w:cs="Calibri" w:eastAsia="Calibri" w:hAnsi="Calibri"/>
          <w:color w:val="1A1A1A"/>
          <w:sz w:val="20"/>
          <w:szCs w:val="20"/>
        </w:rPr>
        <w:t xml:space="preserve">Jusqu’en 2026, la chambre sociale jugeait que le salarié jouissait de sa liberté d’expression « </w:t>
      </w:r>
      <w:r>
        <w:rPr>
          <w:rFonts w:ascii="Calibri" w:cs="Calibri" w:eastAsia="Calibri" w:hAnsi="Calibri"/>
          <w:i/>
          <w:iCs/>
          <w:color w:val="1A1A1A"/>
          <w:sz w:val="20"/>
          <w:szCs w:val="20"/>
        </w:rPr>
        <w:t xml:space="preserve">sauf abus</w:t>
      </w:r>
      <w:r>
        <w:rPr>
          <w:rFonts w:ascii="Calibri" w:cs="Calibri" w:eastAsia="Calibri" w:hAnsi="Calibri"/>
          <w:color w:val="1A1A1A"/>
          <w:sz w:val="20"/>
          <w:szCs w:val="20"/>
        </w:rPr>
        <w:t xml:space="preserve"> ». L’abus était caractérisé par des propos </w:t>
      </w:r>
      <w:r>
        <w:rPr>
          <w:rFonts w:ascii="Calibri" w:cs="Calibri" w:eastAsia="Calibri" w:hAnsi="Calibri"/>
          <w:b/>
          <w:bCs/>
          <w:color w:val="1A1A1A"/>
          <w:sz w:val="20"/>
          <w:szCs w:val="20"/>
        </w:rPr>
        <w:t xml:space="preserve">injurieux, diffamatoires ou excessifs</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Soc., 21 mars 2018, n° 16-20.516</w:t>
      </w:r>
      <w:r>
        <w:rPr>
          <w:rFonts w:ascii="Calibri" w:cs="Calibri" w:eastAsia="Calibri" w:hAnsi="Calibri"/>
          <w:color w:val="1A1A1A"/>
          <w:sz w:val="20"/>
          <w:szCs w:val="20"/>
        </w:rPr>
        <w:t xml:space="preserve">), appréciés selon le contexte, la publicité et les fonctions du salarié. Conséquence : en l’absence d’abus, toute sanction fondée sur les propos était nulle ; en cas d’abus, la sanction était possible. Le raisonnement portait sur les </w:t>
      </w:r>
      <w:r>
        <w:rPr>
          <w:rFonts w:ascii="Calibri" w:cs="Calibri" w:eastAsia="Calibri" w:hAnsi="Calibri"/>
          <w:i/>
          <w:iCs/>
          <w:color w:val="1A1A1A"/>
          <w:sz w:val="20"/>
          <w:szCs w:val="20"/>
        </w:rPr>
        <w:t xml:space="preserve">propos</w:t>
      </w:r>
      <w:r>
        <w:rPr>
          <w:rFonts w:ascii="Calibri" w:cs="Calibri" w:eastAsia="Calibri" w:hAnsi="Calibri"/>
          <w:color w:val="1A1A1A"/>
          <w:sz w:val="20"/>
          <w:szCs w:val="20"/>
        </w:rPr>
        <w:t xml:space="preserve">. La nouvelle méthode porte sur la </w:t>
      </w:r>
      <w:r>
        <w:rPr>
          <w:rFonts w:ascii="Calibri" w:cs="Calibri" w:eastAsia="Calibri" w:hAnsi="Calibri"/>
          <w:i/>
          <w:iCs/>
          <w:color w:val="1A1A1A"/>
          <w:sz w:val="20"/>
          <w:szCs w:val="20"/>
        </w:rPr>
        <w:t xml:space="preserve">sanction</w:t>
      </w:r>
      <w:r>
        <w:rPr>
          <w:rFonts w:ascii="Calibri" w:cs="Calibri" w:eastAsia="Calibri" w:hAnsi="Calibri"/>
          <w:color w:val="1A1A1A"/>
          <w:sz w:val="20"/>
          <w:szCs w:val="20"/>
        </w:rPr>
        <w:t xml:space="preserve"> : était-elle nécessaire et proportionnée ?</w:t>
      </w:r>
    </w:p>
    <w:p>
      <w:pPr>
        <w:spacing w:after="70" w:before="170"/>
      </w:pPr>
      <w:r>
        <w:rPr>
          <w:rFonts w:ascii="Calibri" w:cs="Calibri" w:eastAsia="Calibri" w:hAnsi="Calibri"/>
          <w:b/>
          <w:bCs/>
          <w:color w:val="1A1A1A"/>
          <w:sz w:val="20"/>
          <w:szCs w:val="20"/>
        </w:rPr>
        <w:t xml:space="preserve">« Ces arrêts restreignent-ils la liberté d’expression ? Est-ce applicable à tous ou seulement aux salariés ? » (victor b)</w:t>
      </w:r>
    </w:p>
    <w:p>
      <w:pPr>
        <w:spacing w:after="90" w:line="264"/>
        <w:jc w:val="both"/>
      </w:pPr>
      <w:r>
        <w:rPr>
          <w:rFonts w:ascii="Calibri" w:cs="Calibri" w:eastAsia="Calibri" w:hAnsi="Calibri"/>
          <w:color w:val="1A1A1A"/>
          <w:sz w:val="20"/>
          <w:szCs w:val="20"/>
        </w:rPr>
        <w:t xml:space="preserve">La méthode est propre à la relation de travail : elle repose sur </w:t>
      </w:r>
      <w:r>
        <w:rPr>
          <w:rFonts w:ascii="Calibri" w:cs="Calibri" w:eastAsia="Calibri" w:hAnsi="Calibri"/>
          <w:color w:val="1E88E5"/>
          <w:sz w:val="20"/>
          <w:szCs w:val="20"/>
        </w:rPr>
        <w:t xml:space="preserve">l’art. L. 1121-1 C. trav.</w:t>
      </w:r>
      <w:r>
        <w:rPr>
          <w:rFonts w:ascii="Calibri" w:cs="Calibri" w:eastAsia="Calibri" w:hAnsi="Calibri"/>
          <w:color w:val="1A1A1A"/>
          <w:sz w:val="20"/>
          <w:szCs w:val="20"/>
        </w:rPr>
        <w:t xml:space="preserve"> et met en balance la liberté du salarié avec les intérêts de l’employeur. Mais la proportionnalité est le langage commun des libertés (</w:t>
      </w:r>
      <w:r>
        <w:rPr>
          <w:rFonts w:ascii="Calibri" w:cs="Calibri" w:eastAsia="Calibri" w:hAnsi="Calibri"/>
          <w:color w:val="1E88E5"/>
          <w:sz w:val="20"/>
          <w:szCs w:val="20"/>
        </w:rPr>
        <w:t xml:space="preserve">art. 10 § 2 CEDH</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Cons. const., n° 2026-911 DC</w:t>
      </w:r>
      <w:r>
        <w:rPr>
          <w:rFonts w:ascii="Calibri" w:cs="Calibri" w:eastAsia="Calibri" w:hAnsi="Calibri"/>
          <w:color w:val="1A1A1A"/>
          <w:sz w:val="20"/>
          <w:szCs w:val="20"/>
        </w:rPr>
        <w:t xml:space="preserve"> ; contrôle de police administrative depuis </w:t>
      </w:r>
      <w:r>
        <w:rPr>
          <w:rFonts w:ascii="Calibri" w:cs="Calibri" w:eastAsia="Calibri" w:hAnsi="Calibri"/>
          <w:color w:val="E91E63"/>
          <w:sz w:val="20"/>
          <w:szCs w:val="20"/>
        </w:rPr>
        <w:t xml:space="preserve">Benjamin</w:t>
      </w:r>
      <w:r>
        <w:rPr>
          <w:rFonts w:ascii="Calibri" w:cs="Calibri" w:eastAsia="Calibri" w:hAnsi="Calibri"/>
          <w:color w:val="1A1A1A"/>
          <w:sz w:val="20"/>
          <w:szCs w:val="20"/>
        </w:rPr>
        <w:t xml:space="preserve">). Quant à l’effet : ce n’est pas en soi une restriction, mais une méthode dont l’issue dépend des faits ; elle a profité au salarié dans l’arrêt commenté et à l’employeur dans </w:t>
      </w:r>
      <w:r>
        <w:rPr>
          <w:rFonts w:ascii="Calibri" w:cs="Calibri" w:eastAsia="Calibri" w:hAnsi="Calibri"/>
          <w:color w:val="E91E63"/>
          <w:sz w:val="20"/>
          <w:szCs w:val="20"/>
        </w:rPr>
        <w:t xml:space="preserve">n° 24-13.778</w:t>
      </w:r>
      <w:r>
        <w:rPr>
          <w:rFonts w:ascii="Calibri" w:cs="Calibri" w:eastAsia="Calibri" w:hAnsi="Calibri"/>
          <w:color w:val="1A1A1A"/>
          <w:sz w:val="20"/>
          <w:szCs w:val="20"/>
        </w:rPr>
        <w:t xml:space="preserve">.</w:t>
      </w:r>
    </w:p>
    <w:p>
      <w:pPr>
        <w:spacing w:after="70" w:before="170"/>
      </w:pPr>
      <w:r>
        <w:rPr>
          <w:rFonts w:ascii="Calibri" w:cs="Calibri" w:eastAsia="Calibri" w:hAnsi="Calibri"/>
          <w:b/>
          <w:bCs/>
          <w:color w:val="1A1A1A"/>
          <w:sz w:val="20"/>
          <w:szCs w:val="20"/>
        </w:rPr>
        <w:t xml:space="preserve">« Le jury a-t-il le droit de nous demander notre spécialité ? » (Romane D)</w:t>
      </w:r>
    </w:p>
    <w:p>
      <w:pPr>
        <w:spacing w:after="90" w:line="264"/>
        <w:jc w:val="both"/>
      </w:pPr>
      <w:r>
        <w:rPr>
          <w:rFonts w:ascii="Calibri" w:cs="Calibri" w:eastAsia="Calibri" w:hAnsi="Calibri"/>
          <w:color w:val="1A1A1A"/>
          <w:sz w:val="20"/>
          <w:szCs w:val="20"/>
        </w:rPr>
        <w:t xml:space="preserve">Le grand oral porte sur les libertés et droits fondamentaux, mais l’entretien peut s’étendre à la culture juridique générale et au projet professionnel ; rien n’interdit au jury de demander votre parcours ou votre spécialité. Préparez une réponse courte qui relie votre spécialité aux libertés fondamentales (ici : droit social et liberté d’expression du salarié).</w:t>
      </w:r>
    </w:p>
    <w:p>
      <w:pPr>
        <w:spacing w:after="70" w:before="170"/>
      </w:pPr>
      <w:r>
        <w:rPr>
          <w:rFonts w:ascii="Calibri" w:cs="Calibri" w:eastAsia="Calibri" w:hAnsi="Calibri"/>
          <w:b/>
          <w:bCs/>
          <w:color w:val="1A1A1A"/>
          <w:sz w:val="20"/>
          <w:szCs w:val="20"/>
        </w:rPr>
        <w:t xml:space="preserve">« Y a-t-il un barème (exposé 10, entretien 10) ? » (Jordan S)</w:t>
      </w:r>
    </w:p>
    <w:p>
      <w:pPr>
        <w:spacing w:after="90" w:line="264"/>
        <w:jc w:val="both"/>
      </w:pPr>
      <w:r>
        <w:rPr>
          <w:rFonts w:ascii="Calibri" w:cs="Calibri" w:eastAsia="Calibri" w:hAnsi="Calibri"/>
          <w:color w:val="1A1A1A"/>
          <w:sz w:val="20"/>
          <w:szCs w:val="20"/>
        </w:rPr>
        <w:t xml:space="preserve">Il n’existe pas, à notre connaissance, de répartition nationale officielle 10/10 : le jury attribue une note globale sur 20, en appréciant l’exposé (environ 15 minutes) et l’entretien (environ 30 minutes). Certains IEJ diffusent des grilles internes ; elles ne lient pas le jury. En pratique, un exposé moyen peut être rattrapé par un excellent entretien, et inversement.</w:t>
      </w:r>
    </w:p>
    <w:p>
      <w:pPr>
        <w:spacing w:after="70" w:before="170"/>
      </w:pPr>
      <w:r>
        <w:rPr>
          <w:rFonts w:ascii="Calibri" w:cs="Calibri" w:eastAsia="Calibri" w:hAnsi="Calibri"/>
          <w:b/>
          <w:bCs/>
          <w:color w:val="1A1A1A"/>
          <w:sz w:val="20"/>
          <w:szCs w:val="20"/>
        </w:rPr>
        <w:t xml:space="preserve">« Pourriez-vous donner des exemples d’idées pour les sous-parties ? » (Inès Y)</w:t>
      </w:r>
    </w:p>
    <w:p>
      <w:pPr>
        <w:spacing w:after="90" w:line="264"/>
        <w:jc w:val="both"/>
      </w:pPr>
      <w:r>
        <w:rPr>
          <w:rFonts w:ascii="Calibri" w:cs="Calibri" w:eastAsia="Calibri" w:hAnsi="Calibri"/>
          <w:color w:val="1A1A1A"/>
          <w:sz w:val="20"/>
          <w:szCs w:val="20"/>
        </w:rPr>
        <w:t xml:space="preserve">Voir la partie II, point 4 (plan détaillé) et l’encadré « Comment remplir le II du correcteur ».</w:t>
      </w:r>
    </w:p>
    <w:p>
      <w:pPr>
        <w:pStyle w:val="Heading2"/>
        <w:spacing w:after="110" w:before="260"/>
      </w:pPr>
      <w:r>
        <w:rPr>
          <w:rFonts w:ascii="Calibri" w:cs="Calibri" w:eastAsia="Calibri" w:hAnsi="Calibri"/>
          <w:b/>
          <w:bCs/>
          <w:color w:val="1A1A1A"/>
          <w:spacing w:val="16"/>
          <w:sz w:val="23"/>
          <w:szCs w:val="23"/>
        </w:rPr>
        <w:t xml:space="preserve">2. Questions d’actualité</w:t>
      </w:r>
    </w:p>
    <w:p>
      <w:pPr>
        <w:spacing w:after="70" w:before="170"/>
      </w:pPr>
      <w:r>
        <w:rPr>
          <w:rFonts w:ascii="Calibri" w:cs="Calibri" w:eastAsia="Calibri" w:hAnsi="Calibri"/>
          <w:b/>
          <w:bCs/>
          <w:color w:val="1A1A1A"/>
          <w:sz w:val="20"/>
          <w:szCs w:val="20"/>
        </w:rPr>
        <w:t xml:space="preserve">Loi « intégrale » contre les violences sexuelles (Philippe L, Sophie G, Alizée A)</w:t>
      </w:r>
    </w:p>
    <w:p>
      <w:pPr>
        <w:pStyle w:val="ListParagraph"/>
        <w:numPr>
          <w:ilvl w:val="0"/>
          <w:numId w:val="2"/>
        </w:numPr>
        <w:spacing w:after="70" w:line="264"/>
        <w:jc w:val="both"/>
      </w:pPr>
      <w:r>
        <w:rPr>
          <w:rFonts w:ascii="Calibri" w:cs="Calibri" w:eastAsia="Calibri" w:hAnsi="Calibri"/>
          <w:b/>
          <w:bCs/>
          <w:color w:val="1A1A1A"/>
          <w:sz w:val="20"/>
          <w:szCs w:val="20"/>
        </w:rPr>
        <w:t xml:space="preserve">Statut</w:t>
      </w:r>
      <w:r>
        <w:rPr>
          <w:rFonts w:ascii="Calibri" w:cs="Calibri" w:eastAsia="Calibri" w:hAnsi="Calibri"/>
          <w:color w:val="1A1A1A"/>
          <w:sz w:val="20"/>
          <w:szCs w:val="20"/>
        </w:rPr>
        <w:t xml:space="preserve"> : deux propositions de loi (ordinaire et organique) adoptées </w:t>
      </w:r>
      <w:r>
        <w:rPr>
          <w:rFonts w:ascii="Calibri" w:cs="Calibri" w:eastAsia="Calibri" w:hAnsi="Calibri"/>
          <w:b/>
          <w:bCs/>
          <w:color w:val="1A1A1A"/>
          <w:sz w:val="20"/>
          <w:szCs w:val="20"/>
        </w:rPr>
        <w:t xml:space="preserve">à l’unanimité en première lecture</w:t>
      </w:r>
      <w:r>
        <w:rPr>
          <w:rFonts w:ascii="Calibri" w:cs="Calibri" w:eastAsia="Calibri" w:hAnsi="Calibri"/>
          <w:color w:val="1A1A1A"/>
          <w:sz w:val="20"/>
          <w:szCs w:val="20"/>
        </w:rPr>
        <w:t xml:space="preserve"> par l’Assemblée nationale le </w:t>
      </w:r>
      <w:r>
        <w:rPr>
          <w:rFonts w:ascii="Calibri" w:cs="Calibri" w:eastAsia="Calibri" w:hAnsi="Calibri"/>
          <w:b/>
          <w:bCs/>
          <w:color w:val="1A1A1A"/>
          <w:sz w:val="20"/>
          <w:szCs w:val="20"/>
        </w:rPr>
        <w:t xml:space="preserve">13 octobre 2026</w:t>
      </w:r>
      <w:r>
        <w:rPr>
          <w:rFonts w:ascii="Calibri" w:cs="Calibri" w:eastAsia="Calibri" w:hAnsi="Calibri"/>
          <w:color w:val="1A1A1A"/>
          <w:sz w:val="20"/>
          <w:szCs w:val="20"/>
        </w:rPr>
        <w:t xml:space="preserve"> ; la navette se poursuit.</w:t>
      </w:r>
    </w:p>
    <w:p>
      <w:pPr>
        <w:pStyle w:val="ListParagraph"/>
        <w:numPr>
          <w:ilvl w:val="0"/>
          <w:numId w:val="2"/>
        </w:numPr>
        <w:spacing w:after="70" w:line="264"/>
        <w:jc w:val="both"/>
      </w:pPr>
      <w:r>
        <w:rPr>
          <w:rFonts w:ascii="Calibri" w:cs="Calibri" w:eastAsia="Calibri" w:hAnsi="Calibri"/>
          <w:b/>
          <w:bCs/>
          <w:color w:val="1A1A1A"/>
          <w:sz w:val="20"/>
          <w:szCs w:val="20"/>
        </w:rPr>
        <w:t xml:space="preserve">Cours criminelles départementales</w:t>
      </w:r>
      <w:r>
        <w:rPr>
          <w:rFonts w:ascii="Calibri" w:cs="Calibri" w:eastAsia="Calibri" w:hAnsi="Calibri"/>
          <w:color w:val="1A1A1A"/>
          <w:sz w:val="20"/>
          <w:szCs w:val="20"/>
        </w:rPr>
        <w:t xml:space="preserve"> (question d’Alizée A) : la commission avait voté le renvoi de tous les viols aux cours d’assises ; en séance (1er-2 oct. 2026), les députés sont revenus dessus. Les viols restent jugés par les cours criminelles départementales, sauf les viols aggravés punis de 20 ans ou plus, confiés à une </w:t>
      </w:r>
      <w:r>
        <w:rPr>
          <w:rFonts w:ascii="Calibri" w:cs="Calibri" w:eastAsia="Calibri" w:hAnsi="Calibri"/>
          <w:b/>
          <w:bCs/>
          <w:color w:val="1A1A1A"/>
          <w:sz w:val="20"/>
          <w:szCs w:val="20"/>
        </w:rPr>
        <w:t xml:space="preserve">cour d’assises spécialisée</w:t>
      </w:r>
      <w:r>
        <w:rPr>
          <w:rFonts w:ascii="Calibri" w:cs="Calibri" w:eastAsia="Calibri" w:hAnsi="Calibri"/>
          <w:color w:val="1A1A1A"/>
          <w:sz w:val="20"/>
          <w:szCs w:val="20"/>
        </w:rPr>
        <w:t xml:space="preserve"> (</w:t>
      </w:r>
      <w:r>
        <w:rPr>
          <w:rFonts w:ascii="Calibri" w:cs="Calibri" w:eastAsia="Calibri" w:hAnsi="Calibri"/>
          <w:color w:val="2E7D32"/>
          <w:sz w:val="20"/>
          <w:szCs w:val="20"/>
        </w:rPr>
        <w:t xml:space="preserve">LCP, 2 oct. 2026</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Contrôle coercitif</w:t>
      </w:r>
      <w:r>
        <w:rPr>
          <w:rFonts w:ascii="Calibri" w:cs="Calibri" w:eastAsia="Calibri" w:hAnsi="Calibri"/>
          <w:color w:val="1A1A1A"/>
          <w:sz w:val="20"/>
          <w:szCs w:val="20"/>
        </w:rPr>
        <w:t xml:space="preserve"> (Sophie G) : la ministre Aurore Bergé avait annoncé le 5 octobre 2026 un amendement gouvernemental pour l’introduire dans le code pénal (une précédente tentative de 2025 n’avait pas abouti). Nous n’avons pas pu vérifier sa présence dans le texte adopté le 13 octobre : à contrôler sur le site de l’Assemblée.</w:t>
      </w:r>
    </w:p>
    <w:p>
      <w:pPr>
        <w:pStyle w:val="ListParagraph"/>
        <w:numPr>
          <w:ilvl w:val="0"/>
          <w:numId w:val="2"/>
        </w:numPr>
        <w:spacing w:after="70" w:line="264"/>
        <w:jc w:val="both"/>
      </w:pPr>
      <w:r>
        <w:rPr>
          <w:rFonts w:ascii="Calibri" w:cs="Calibri" w:eastAsia="Calibri" w:hAnsi="Calibri"/>
          <w:b/>
          <w:bCs/>
          <w:color w:val="1A1A1A"/>
          <w:sz w:val="20"/>
          <w:szCs w:val="20"/>
        </w:rPr>
        <w:t xml:space="preserve">Autres mesures</w:t>
      </w:r>
      <w:r>
        <w:rPr>
          <w:rFonts w:ascii="Calibri" w:cs="Calibri" w:eastAsia="Calibri" w:hAnsi="Calibri"/>
          <w:color w:val="1A1A1A"/>
          <w:sz w:val="20"/>
          <w:szCs w:val="20"/>
        </w:rPr>
        <w:t xml:space="preserve"> (selon LCP, 13 oct. 2026) : inceste érigé en infraction autonome, autorité indépendante de lutte contre les violences sexuelles et intrafamiliales, magistrats et procureur spécialisés dans chaque tribunal, « socle minimal d’enquête », prescription glissante étendue aux victimes majeures.</w:t>
      </w:r>
    </w:p>
    <w:p>
      <w:pPr>
        <w:pStyle w:val="ListParagraph"/>
        <w:numPr>
          <w:ilvl w:val="0"/>
          <w:numId w:val="2"/>
        </w:numPr>
        <w:spacing w:after="70" w:line="264"/>
        <w:jc w:val="both"/>
      </w:pPr>
      <w:r>
        <w:rPr>
          <w:rFonts w:ascii="Calibri" w:cs="Calibri" w:eastAsia="Calibri" w:hAnsi="Calibri"/>
          <w:b/>
          <w:bCs/>
          <w:color w:val="1A1A1A"/>
          <w:sz w:val="20"/>
          <w:szCs w:val="20"/>
        </w:rPr>
        <w:t xml:space="preserve">Formations des juges</w:t>
      </w:r>
      <w:r>
        <w:rPr>
          <w:rFonts w:ascii="Calibri" w:cs="Calibri" w:eastAsia="Calibri" w:hAnsi="Calibri"/>
          <w:color w:val="1A1A1A"/>
          <w:sz w:val="20"/>
          <w:szCs w:val="20"/>
        </w:rPr>
        <w:t xml:space="preserve"> (Alizée A) : la loi organique porte sur l’autorité judiciaire et les magistrats de l’ordre judiciaire (statut de l’</w:t>
      </w:r>
      <w:r>
        <w:rPr>
          <w:rFonts w:ascii="Calibri" w:cs="Calibri" w:eastAsia="Calibri" w:hAnsi="Calibri"/>
          <w:color w:val="1E88E5"/>
          <w:sz w:val="20"/>
          <w:szCs w:val="20"/>
        </w:rPr>
        <w:t xml:space="preserve">ordonnance n° 58-1270</w:t>
      </w:r>
      <w:r>
        <w:rPr>
          <w:rFonts w:ascii="Calibri" w:cs="Calibri" w:eastAsia="Calibri" w:hAnsi="Calibri"/>
          <w:color w:val="1A1A1A"/>
          <w:sz w:val="20"/>
          <w:szCs w:val="20"/>
        </w:rPr>
        <w:t xml:space="preserve">) ; les juges administratifs, régis par le code de justice administrative, n’en relèvent pas, sauf disposition expresse.</w:t>
      </w:r>
    </w:p>
    <w:p>
      <w:pPr>
        <w:spacing w:after="70" w:before="170"/>
      </w:pPr>
      <w:r>
        <w:rPr>
          <w:rFonts w:ascii="Calibri" w:cs="Calibri" w:eastAsia="Calibri" w:hAnsi="Calibri"/>
          <w:b/>
          <w:bCs/>
          <w:color w:val="1A1A1A"/>
          <w:sz w:val="20"/>
          <w:szCs w:val="20"/>
        </w:rPr>
        <w:t xml:space="preserve">Le « quartier de semi-liberté » (victor b)</w:t>
      </w:r>
    </w:p>
    <w:p>
      <w:pPr>
        <w:spacing w:after="90" w:line="264"/>
        <w:jc w:val="both"/>
      </w:pPr>
      <w:r>
        <w:rPr>
          <w:rFonts w:ascii="Calibri" w:cs="Calibri" w:eastAsia="Calibri" w:hAnsi="Calibri"/>
          <w:color w:val="1A1A1A"/>
          <w:sz w:val="20"/>
          <w:szCs w:val="20"/>
        </w:rPr>
        <w:t xml:space="preserve">La semi-liberté est une modalité d’exécution d’une peine privative de liberté (</w:t>
      </w:r>
      <w:r>
        <w:rPr>
          <w:rFonts w:ascii="Calibri" w:cs="Calibri" w:eastAsia="Calibri" w:hAnsi="Calibri"/>
          <w:color w:val="1E88E5"/>
          <w:sz w:val="20"/>
          <w:szCs w:val="20"/>
        </w:rPr>
        <w:t xml:space="preserve">art. 132-25 et 132-26 C. pén.</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723-1 CPP</w:t>
      </w:r>
      <w:r>
        <w:rPr>
          <w:rFonts w:ascii="Calibri" w:cs="Calibri" w:eastAsia="Calibri" w:hAnsi="Calibri"/>
          <w:color w:val="1A1A1A"/>
          <w:sz w:val="20"/>
          <w:szCs w:val="20"/>
        </w:rPr>
        <w:t xml:space="preserve">) : le condamné quitte l’établissement pour exercer une activité (travail, formation, soins, vie familiale) et doit y réintégrer chaque soir et pendant les temps où il n’exerce pas cette activité. Elle s’exécute dans un </w:t>
      </w:r>
      <w:r>
        <w:rPr>
          <w:rFonts w:ascii="Calibri" w:cs="Calibri" w:eastAsia="Calibri" w:hAnsi="Calibri"/>
          <w:b/>
          <w:bCs/>
          <w:color w:val="1A1A1A"/>
          <w:sz w:val="20"/>
          <w:szCs w:val="20"/>
        </w:rPr>
        <w:t xml:space="preserve">centre de semi-liberté</w:t>
      </w:r>
      <w:r>
        <w:rPr>
          <w:rFonts w:ascii="Calibri" w:cs="Calibri" w:eastAsia="Calibri" w:hAnsi="Calibri"/>
          <w:color w:val="1A1A1A"/>
          <w:sz w:val="20"/>
          <w:szCs w:val="20"/>
        </w:rPr>
        <w:t xml:space="preserve"> autonome ou dans un </w:t>
      </w:r>
      <w:r>
        <w:rPr>
          <w:rFonts w:ascii="Calibri" w:cs="Calibri" w:eastAsia="Calibri" w:hAnsi="Calibri"/>
          <w:b/>
          <w:bCs/>
          <w:color w:val="1A1A1A"/>
          <w:sz w:val="20"/>
          <w:szCs w:val="20"/>
        </w:rPr>
        <w:t xml:space="preserve">quartier de semi-liberté</w:t>
      </w:r>
      <w:r>
        <w:rPr>
          <w:rFonts w:ascii="Calibri" w:cs="Calibri" w:eastAsia="Calibri" w:hAnsi="Calibri"/>
          <w:color w:val="1A1A1A"/>
          <w:sz w:val="20"/>
          <w:szCs w:val="20"/>
        </w:rPr>
        <w:t xml:space="preserve"> rattaché à un établissement pénitentiaire.</w:t>
      </w:r>
    </w:p>
    <w:p>
      <w:pPr>
        <w:spacing w:after="70" w:before="170"/>
      </w:pPr>
      <w:r>
        <w:rPr>
          <w:rFonts w:ascii="Calibri" w:cs="Calibri" w:eastAsia="Calibri" w:hAnsi="Calibri"/>
          <w:b/>
          <w:bCs/>
          <w:color w:val="1A1A1A"/>
          <w:sz w:val="20"/>
          <w:szCs w:val="20"/>
        </w:rPr>
        <w:t xml:space="preserve">L’affaire Lyhanna (Mariam B)</w:t>
      </w:r>
    </w:p>
    <w:p>
      <w:pPr>
        <w:spacing w:after="90" w:line="264"/>
        <w:jc w:val="both"/>
      </w:pPr>
      <w:r>
        <w:rPr>
          <w:rFonts w:ascii="Calibri" w:cs="Calibri" w:eastAsia="Calibri" w:hAnsi="Calibri"/>
          <w:color w:val="1A1A1A"/>
          <w:sz w:val="20"/>
          <w:szCs w:val="20"/>
        </w:rPr>
        <w:t xml:space="preserve">Meurtre d’une fillette de 11 ans en juin 2026 ; le suspect, mis en examen pour meurtre et viol, était connu de la justice pour des faits de nature pédophile. L’affaire a suscité une forte polémique sur le suivi socio-judiciaire des auteurs d’infractions sexuelles et a pesé sur le débat politique. Sujet sensible : à n’évoquer qu’en termes généraux (présomption d’innocence, articulation sûreté/libertés).</w:t>
      </w:r>
    </w:p>
    <w:p>
      <w:pPr>
        <w:spacing w:after="70" w:before="170"/>
      </w:pPr>
      <w:r>
        <w:rPr>
          <w:rFonts w:ascii="Calibri" w:cs="Calibri" w:eastAsia="Calibri" w:hAnsi="Calibri"/>
          <w:b/>
          <w:bCs/>
          <w:color w:val="1A1A1A"/>
          <w:sz w:val="20"/>
          <w:szCs w:val="20"/>
        </w:rPr>
        <w:t xml:space="preserve">Les arrêtés « lycéens » d’octobre 2026 (Alizée A, Mariam B, Inès Y, Sophie G)</w:t>
      </w:r>
    </w:p>
    <w:p>
      <w:pPr>
        <w:pStyle w:val="ListParagraph"/>
        <w:numPr>
          <w:ilvl w:val="0"/>
          <w:numId w:val="2"/>
        </w:numPr>
        <w:spacing w:after="70" w:line="264"/>
        <w:jc w:val="both"/>
      </w:pPr>
      <w:r>
        <w:rPr>
          <w:rFonts w:ascii="Calibri" w:cs="Calibri" w:eastAsia="Calibri" w:hAnsi="Calibri"/>
          <w:b/>
          <w:bCs/>
          <w:color w:val="1A1A1A"/>
          <w:sz w:val="20"/>
          <w:szCs w:val="20"/>
        </w:rPr>
        <w:t xml:space="preserve">Pourquoi le Conseil d’État a-t-il refusé de suspendre l’arrêté du préfet de police du 7 octobre 2026 ?</w:t>
      </w:r>
      <w:r>
        <w:rPr>
          <w:rFonts w:ascii="Calibri" w:cs="Calibri" w:eastAsia="Calibri" w:hAnsi="Calibri"/>
          <w:color w:val="1A1A1A"/>
          <w:sz w:val="20"/>
          <w:szCs w:val="20"/>
        </w:rPr>
        <w:t xml:space="preserve"> En référé-liberté (</w:t>
      </w:r>
      <w:r>
        <w:rPr>
          <w:rFonts w:ascii="Calibri" w:cs="Calibri" w:eastAsia="Calibri" w:hAnsi="Calibri"/>
          <w:color w:val="1E88E5"/>
          <w:sz w:val="20"/>
          <w:szCs w:val="20"/>
        </w:rPr>
        <w:t xml:space="preserve">art. L. 521-2 CJA</w:t>
      </w:r>
      <w:r>
        <w:rPr>
          <w:rFonts w:ascii="Calibri" w:cs="Calibri" w:eastAsia="Calibri" w:hAnsi="Calibri"/>
          <w:color w:val="1A1A1A"/>
          <w:sz w:val="20"/>
          <w:szCs w:val="20"/>
        </w:rPr>
        <w:t xml:space="preserve">), il faut une atteinte grave et </w:t>
      </w:r>
      <w:r>
        <w:rPr>
          <w:rFonts w:ascii="Calibri" w:cs="Calibri" w:eastAsia="Calibri" w:hAnsi="Calibri"/>
          <w:b/>
          <w:bCs/>
          <w:color w:val="1A1A1A"/>
          <w:sz w:val="20"/>
          <w:szCs w:val="20"/>
        </w:rPr>
        <w:t xml:space="preserve">manifestement illégale</w:t>
      </w:r>
      <w:r>
        <w:rPr>
          <w:rFonts w:ascii="Calibri" w:cs="Calibri" w:eastAsia="Calibri" w:hAnsi="Calibri"/>
          <w:color w:val="1A1A1A"/>
          <w:sz w:val="20"/>
          <w:szCs w:val="20"/>
        </w:rPr>
        <w:t xml:space="preserve"> à une liberté fondamentale. Le juge a estimé que l’interdiction des équipements de protection, limitée dans l’espace (100 m autour des établissements) et dans le temps (deux jours), dans un contexte de violences, ne porte pas « </w:t>
      </w:r>
      <w:r>
        <w:rPr>
          <w:rFonts w:ascii="Calibri" w:cs="Calibri" w:eastAsia="Calibri" w:hAnsi="Calibri"/>
          <w:i/>
          <w:iCs/>
          <w:color w:val="1A1A1A"/>
          <w:sz w:val="20"/>
          <w:szCs w:val="20"/>
        </w:rPr>
        <w:t xml:space="preserve">en soi</w:t>
      </w:r>
      <w:r>
        <w:rPr>
          <w:rFonts w:ascii="Calibri" w:cs="Calibri" w:eastAsia="Calibri" w:hAnsi="Calibri"/>
          <w:color w:val="1A1A1A"/>
          <w:sz w:val="20"/>
          <w:szCs w:val="20"/>
        </w:rPr>
        <w:t xml:space="preserve"> » atteinte à la liberté de manifester (</w:t>
      </w:r>
      <w:r>
        <w:rPr>
          <w:rFonts w:ascii="Calibri" w:cs="Calibri" w:eastAsia="Calibri" w:hAnsi="Calibri"/>
          <w:color w:val="E91E63"/>
          <w:sz w:val="20"/>
          <w:szCs w:val="20"/>
        </w:rPr>
        <w:t xml:space="preserve">CE, ord., 9 oct. 2026</w:t>
      </w:r>
      <w:r>
        <w:rPr>
          <w:rFonts w:ascii="Calibri" w:cs="Calibri" w:eastAsia="Calibri" w:hAnsi="Calibri"/>
          <w:color w:val="1A1A1A"/>
          <w:sz w:val="20"/>
          <w:szCs w:val="20"/>
        </w:rPr>
        <w:t xml:space="preserve"> ; le chat cite le n° 520384, que nous n’avons pas pu vérifier).</w:t>
      </w:r>
    </w:p>
    <w:p>
      <w:pPr>
        <w:pStyle w:val="ListParagraph"/>
        <w:numPr>
          <w:ilvl w:val="0"/>
          <w:numId w:val="2"/>
        </w:numPr>
        <w:spacing w:after="70" w:line="264"/>
        <w:jc w:val="both"/>
      </w:pPr>
      <w:r>
        <w:rPr>
          <w:rFonts w:ascii="Calibri" w:cs="Calibri" w:eastAsia="Calibri" w:hAnsi="Calibri"/>
          <w:b/>
          <w:bCs/>
          <w:color w:val="1A1A1A"/>
          <w:sz w:val="20"/>
          <w:szCs w:val="20"/>
        </w:rPr>
        <w:t xml:space="preserve">Une décision ultérieure</w:t>
      </w:r>
      <w:r>
        <w:rPr>
          <w:rFonts w:ascii="Calibri" w:cs="Calibri" w:eastAsia="Calibri" w:hAnsi="Calibri"/>
          <w:color w:val="1A1A1A"/>
          <w:sz w:val="20"/>
          <w:szCs w:val="20"/>
        </w:rPr>
        <w:t xml:space="preserve"> sur un arrêté de l’Hérault (</w:t>
      </w:r>
      <w:r>
        <w:rPr>
          <w:rFonts w:ascii="Calibri" w:cs="Calibri" w:eastAsia="Calibri" w:hAnsi="Calibri"/>
          <w:color w:val="2E7D32"/>
          <w:sz w:val="20"/>
          <w:szCs w:val="20"/>
        </w:rPr>
        <w:t xml:space="preserve">Actu-Juridique, 16 oct. 2026</w:t>
      </w:r>
      <w:r>
        <w:rPr>
          <w:rFonts w:ascii="Calibri" w:cs="Calibri" w:eastAsia="Calibri" w:hAnsi="Calibri"/>
          <w:color w:val="1A1A1A"/>
          <w:sz w:val="20"/>
          <w:szCs w:val="20"/>
        </w:rPr>
        <w:t xml:space="preserve">) a confirmé l’interdiction mais avec des </w:t>
      </w:r>
      <w:r>
        <w:rPr>
          <w:rFonts w:ascii="Calibri" w:cs="Calibri" w:eastAsia="Calibri" w:hAnsi="Calibri"/>
          <w:b/>
          <w:bCs/>
          <w:color w:val="1A1A1A"/>
          <w:sz w:val="20"/>
          <w:szCs w:val="20"/>
        </w:rPr>
        <w:t xml:space="preserve">réserves d’interprétation</w:t>
      </w:r>
      <w:r>
        <w:rPr>
          <w:rFonts w:ascii="Calibri" w:cs="Calibri" w:eastAsia="Calibri" w:hAnsi="Calibri"/>
          <w:color w:val="1A1A1A"/>
          <w:sz w:val="20"/>
          <w:szCs w:val="20"/>
        </w:rPr>
        <w:t xml:space="preserve"> : masques chirurgicaux et FFP2 non visés ; interdiction limitée aux personnes se rendant aux rassemblements ; méconnaissance punissable d’une simple contravention de 2e classe, et non du délit de l’</w:t>
      </w:r>
      <w:r>
        <w:rPr>
          <w:rFonts w:ascii="Calibri" w:cs="Calibri" w:eastAsia="Calibri" w:hAnsi="Calibri"/>
          <w:color w:val="1E88E5"/>
          <w:sz w:val="20"/>
          <w:szCs w:val="20"/>
        </w:rPr>
        <w:t xml:space="preserve">art. 431-9-1 C. pén.</w:t>
      </w:r>
    </w:p>
    <w:p>
      <w:pPr>
        <w:pStyle w:val="ListParagraph"/>
        <w:numPr>
          <w:ilvl w:val="0"/>
          <w:numId w:val="2"/>
        </w:numPr>
        <w:spacing w:after="70" w:line="264"/>
        <w:jc w:val="both"/>
      </w:pPr>
      <w:r>
        <w:rPr>
          <w:rFonts w:ascii="Calibri" w:cs="Calibri" w:eastAsia="Calibri" w:hAnsi="Calibri"/>
          <w:b/>
          <w:bCs/>
          <w:color w:val="1A1A1A"/>
          <w:sz w:val="20"/>
          <w:szCs w:val="20"/>
        </w:rPr>
        <w:t xml:space="preserve">Russ c. Allemagne</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20 mai 2025, n° 44241/20</w:t>
      </w:r>
      <w:r>
        <w:rPr>
          <w:rFonts w:ascii="Calibri" w:cs="Calibri" w:eastAsia="Calibri" w:hAnsi="Calibri"/>
          <w:color w:val="1A1A1A"/>
          <w:sz w:val="20"/>
          <w:szCs w:val="20"/>
        </w:rPr>
        <w:t xml:space="preserve"> (chambre, unanimité). Un manifestant pacifique avait été condamné pour le port d’une visière artisanale. Violation de l’art. 11 lu à la lumière de l’art. 10 : les juridictions n’avaient pas donné de motifs pertinents et suffisants, ni expliqué en quoi la visière menaçait l’ordre public. La Cour ne condamne pas par principe les interdictions d’équipements ; elle exige une </w:t>
      </w:r>
      <w:r>
        <w:rPr>
          <w:rFonts w:ascii="Calibri" w:cs="Calibri" w:eastAsia="Calibri" w:hAnsi="Calibri"/>
          <w:b/>
          <w:bCs/>
          <w:color w:val="1A1A1A"/>
          <w:sz w:val="20"/>
          <w:szCs w:val="20"/>
        </w:rPr>
        <w:t xml:space="preserve">justification concrète</w:t>
      </w:r>
      <w:r>
        <w:rPr>
          <w:rFonts w:ascii="Calibri" w:cs="Calibri" w:eastAsia="Calibri" w:hAnsi="Calibri"/>
          <w:color w:val="1A1A1A"/>
          <w:sz w:val="20"/>
          <w:szCs w:val="20"/>
        </w:rPr>
        <w:t xml:space="preserve">, surtout pour une sanction pénale. La formulation du chat (« interdiction arbitraire… contraire à l’article 11 ») est donc un peu forte.</w:t>
      </w:r>
    </w:p>
    <w:p>
      <w:pPr>
        <w:pStyle w:val="ListParagraph"/>
        <w:numPr>
          <w:ilvl w:val="0"/>
          <w:numId w:val="2"/>
        </w:numPr>
        <w:spacing w:after="70" w:line="264"/>
        <w:jc w:val="both"/>
      </w:pPr>
      <w:r>
        <w:rPr>
          <w:rFonts w:ascii="Calibri" w:cs="Calibri" w:eastAsia="Calibri" w:hAnsi="Calibri"/>
          <w:b/>
          <w:bCs/>
          <w:color w:val="1A1A1A"/>
          <w:sz w:val="20"/>
          <w:szCs w:val="20"/>
        </w:rPr>
        <w:t xml:space="preserve">Les autres décisions</w:t>
      </w:r>
      <w:r>
        <w:rPr>
          <w:rFonts w:ascii="Calibri" w:cs="Calibri" w:eastAsia="Calibri" w:hAnsi="Calibri"/>
          <w:color w:val="1A1A1A"/>
          <w:sz w:val="20"/>
          <w:szCs w:val="20"/>
        </w:rPr>
        <w:t xml:space="preserve"> (Inès Y), d’après </w:t>
      </w:r>
      <w:r>
        <w:rPr>
          <w:rFonts w:ascii="Calibri" w:cs="Calibri" w:eastAsia="Calibri" w:hAnsi="Calibri"/>
          <w:color w:val="2E7D32"/>
          <w:sz w:val="20"/>
          <w:szCs w:val="20"/>
        </w:rPr>
        <w:t xml:space="preserve">R. Letteron, Liberté, Libertés chéries, 10 oct. 2026</w:t>
      </w:r>
      <w:r>
        <w:rPr>
          <w:rFonts w:ascii="Calibri" w:cs="Calibri" w:eastAsia="Calibri" w:hAnsi="Calibri"/>
          <w:color w:val="1A1A1A"/>
          <w:sz w:val="20"/>
          <w:szCs w:val="20"/>
        </w:rPr>
        <w:t xml:space="preserve"> : suspensions par le </w:t>
      </w:r>
      <w:r>
        <w:rPr>
          <w:rFonts w:ascii="Calibri" w:cs="Calibri" w:eastAsia="Calibri" w:hAnsi="Calibri"/>
          <w:color w:val="E91E63"/>
          <w:sz w:val="20"/>
          <w:szCs w:val="20"/>
        </w:rPr>
        <w:t xml:space="preserve">TA Grenoble</w:t>
      </w:r>
      <w:r>
        <w:rPr>
          <w:rFonts w:ascii="Calibri" w:cs="Calibri" w:eastAsia="Calibri" w:hAnsi="Calibri"/>
          <w:color w:val="1A1A1A"/>
          <w:sz w:val="20"/>
          <w:szCs w:val="20"/>
        </w:rPr>
        <w:t xml:space="preserve"> (5 oct., deux ordonnances, interdictions dans la Drôme sans périmètre ni durée définis), le </w:t>
      </w:r>
      <w:r>
        <w:rPr>
          <w:rFonts w:ascii="Calibri" w:cs="Calibri" w:eastAsia="Calibri" w:hAnsi="Calibri"/>
          <w:color w:val="E91E63"/>
          <w:sz w:val="20"/>
          <w:szCs w:val="20"/>
        </w:rPr>
        <w:t xml:space="preserve">TA Nancy</w:t>
      </w:r>
      <w:r>
        <w:rPr>
          <w:rFonts w:ascii="Calibri" w:cs="Calibri" w:eastAsia="Calibri" w:hAnsi="Calibri"/>
          <w:color w:val="1A1A1A"/>
          <w:sz w:val="20"/>
          <w:szCs w:val="20"/>
        </w:rPr>
        <w:t xml:space="preserve"> (6 oct.), le </w:t>
      </w:r>
      <w:r>
        <w:rPr>
          <w:rFonts w:ascii="Calibri" w:cs="Calibri" w:eastAsia="Calibri" w:hAnsi="Calibri"/>
          <w:color w:val="E91E63"/>
          <w:sz w:val="20"/>
          <w:szCs w:val="20"/>
        </w:rPr>
        <w:t xml:space="preserve">TA Orléans</w:t>
      </w:r>
      <w:r>
        <w:rPr>
          <w:rFonts w:ascii="Calibri" w:cs="Calibri" w:eastAsia="Calibri" w:hAnsi="Calibri"/>
          <w:color w:val="1A1A1A"/>
          <w:sz w:val="20"/>
          <w:szCs w:val="20"/>
        </w:rPr>
        <w:t xml:space="preserve"> (drones, 3 oct.), le </w:t>
      </w:r>
      <w:r>
        <w:rPr>
          <w:rFonts w:ascii="Calibri" w:cs="Calibri" w:eastAsia="Calibri" w:hAnsi="Calibri"/>
          <w:color w:val="E91E63"/>
          <w:sz w:val="20"/>
          <w:szCs w:val="20"/>
        </w:rPr>
        <w:t xml:space="preserve">TA Amiens</w:t>
      </w:r>
      <w:r>
        <w:rPr>
          <w:rFonts w:ascii="Calibri" w:cs="Calibri" w:eastAsia="Calibri" w:hAnsi="Calibri"/>
          <w:color w:val="1A1A1A"/>
          <w:sz w:val="20"/>
          <w:szCs w:val="20"/>
        </w:rPr>
        <w:t xml:space="preserve"> (8 oct., équipements) et le </w:t>
      </w:r>
      <w:r>
        <w:rPr>
          <w:rFonts w:ascii="Calibri" w:cs="Calibri" w:eastAsia="Calibri" w:hAnsi="Calibri"/>
          <w:color w:val="E91E63"/>
          <w:sz w:val="20"/>
          <w:szCs w:val="20"/>
        </w:rPr>
        <w:t xml:space="preserve">TA Versailles</w:t>
      </w:r>
      <w:r>
        <w:rPr>
          <w:rFonts w:ascii="Calibri" w:cs="Calibri" w:eastAsia="Calibri" w:hAnsi="Calibri"/>
          <w:color w:val="1A1A1A"/>
          <w:sz w:val="20"/>
          <w:szCs w:val="20"/>
        </w:rPr>
        <w:t xml:space="preserve"> (Yvelines, équipements) ; refus par les </w:t>
      </w:r>
      <w:r>
        <w:rPr>
          <w:rFonts w:ascii="Calibri" w:cs="Calibri" w:eastAsia="Calibri" w:hAnsi="Calibri"/>
          <w:color w:val="E91E63"/>
          <w:sz w:val="20"/>
          <w:szCs w:val="20"/>
        </w:rPr>
        <w:t xml:space="preserve">TA Rouen</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Versailles</w:t>
      </w:r>
      <w:r>
        <w:rPr>
          <w:rFonts w:ascii="Calibri" w:cs="Calibri" w:eastAsia="Calibri" w:hAnsi="Calibri"/>
          <w:color w:val="1A1A1A"/>
          <w:sz w:val="20"/>
          <w:szCs w:val="20"/>
        </w:rPr>
        <w:t xml:space="preserve"> (Essonne), </w:t>
      </w:r>
      <w:r>
        <w:rPr>
          <w:rFonts w:ascii="Calibri" w:cs="Calibri" w:eastAsia="Calibri" w:hAnsi="Calibri"/>
          <w:color w:val="E91E63"/>
          <w:sz w:val="20"/>
          <w:szCs w:val="20"/>
        </w:rPr>
        <w:t xml:space="preserve">Marseille</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Strasbourg</w:t>
      </w:r>
      <w:r>
        <w:rPr>
          <w:rFonts w:ascii="Calibri" w:cs="Calibri" w:eastAsia="Calibri" w:hAnsi="Calibri"/>
          <w:color w:val="1A1A1A"/>
          <w:sz w:val="20"/>
          <w:szCs w:val="20"/>
        </w:rPr>
        <w:t xml:space="preserve"> (drones) et </w:t>
      </w:r>
      <w:r>
        <w:rPr>
          <w:rFonts w:ascii="Calibri" w:cs="Calibri" w:eastAsia="Calibri" w:hAnsi="Calibri"/>
          <w:color w:val="E91E63"/>
          <w:sz w:val="20"/>
          <w:szCs w:val="20"/>
        </w:rPr>
        <w:t xml:space="preserve">Paris</w:t>
      </w:r>
      <w:r>
        <w:rPr>
          <w:rFonts w:ascii="Calibri" w:cs="Calibri" w:eastAsia="Calibri" w:hAnsi="Calibri"/>
          <w:color w:val="1A1A1A"/>
          <w:sz w:val="20"/>
          <w:szCs w:val="20"/>
        </w:rPr>
        <w:t xml:space="preserve">. Pour l’auteure, ces solutions ne sont pas contradictoires : elles sanctionnent des arrêtés improvisés et imprécis.</w:t>
      </w:r>
    </w:p>
    <w:p>
      <w:pPr>
        <w:spacing w:after="70" w:before="170"/>
      </w:pPr>
      <w:r>
        <w:rPr>
          <w:rFonts w:ascii="Calibri" w:cs="Calibri" w:eastAsia="Calibri" w:hAnsi="Calibri"/>
          <w:b/>
          <w:bCs/>
          <w:color w:val="1A1A1A"/>
          <w:sz w:val="20"/>
          <w:szCs w:val="20"/>
        </w:rPr>
        <w:t xml:space="preserve">Les pancartes confisquées par la police (Sophie G, Alizée A)</w:t>
      </w:r>
    </w:p>
    <w:p>
      <w:pPr>
        <w:spacing w:after="90" w:line="264"/>
        <w:jc w:val="both"/>
      </w:pPr>
      <w:r>
        <w:rPr>
          <w:rFonts w:ascii="Calibri" w:cs="Calibri" w:eastAsia="Calibri" w:hAnsi="Calibri"/>
          <w:color w:val="1A1A1A"/>
          <w:sz w:val="20"/>
          <w:szCs w:val="20"/>
        </w:rPr>
        <w:t xml:space="preserve">La liberté d’expression relève d’un </w:t>
      </w:r>
      <w:r>
        <w:rPr>
          <w:rFonts w:ascii="Calibri" w:cs="Calibri" w:eastAsia="Calibri" w:hAnsi="Calibri"/>
          <w:b/>
          <w:bCs/>
          <w:color w:val="1A1A1A"/>
          <w:sz w:val="20"/>
          <w:szCs w:val="20"/>
        </w:rPr>
        <w:t xml:space="preserve">régime répressif</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11 DDHC</w:t>
      </w:r>
      <w:r>
        <w:rPr>
          <w:rFonts w:ascii="Calibri" w:cs="Calibri" w:eastAsia="Calibri" w:hAnsi="Calibri"/>
          <w:color w:val="1A1A1A"/>
          <w:sz w:val="20"/>
          <w:szCs w:val="20"/>
        </w:rPr>
        <w:t xml:space="preserve"> : « </w:t>
      </w:r>
      <w:r>
        <w:rPr>
          <w:rFonts w:ascii="Calibri" w:cs="Calibri" w:eastAsia="Calibri" w:hAnsi="Calibri"/>
          <w:i/>
          <w:iCs/>
          <w:color w:val="1A1A1A"/>
          <w:sz w:val="20"/>
          <w:szCs w:val="20"/>
        </w:rPr>
        <w:t xml:space="preserve">sauf à répondre de l’abus… dans les cas déterminés par la Loi</w:t>
      </w:r>
      <w:r>
        <w:rPr>
          <w:rFonts w:ascii="Calibri" w:cs="Calibri" w:eastAsia="Calibri" w:hAnsi="Calibri"/>
          <w:color w:val="1A1A1A"/>
          <w:sz w:val="20"/>
          <w:szCs w:val="20"/>
        </w:rPr>
        <w:t xml:space="preserve"> » ; loi du 29 juillet 1881) : il n’existe pas de contrôle préalable général du contenu des pancartes. Un policier ne peut saisir une pancarte que sur un fondement légal : en police judiciaire, si son contenu caractérise une infraction (provocation à la haine ou à la violence, injure, outrage, apologie) ; en police administrative, en application d’une mesure préfectorale elle-même nécessaire et proportionnée. Une confiscation systématique fondée sur le seul contenu politique serait une </w:t>
      </w:r>
      <w:r>
        <w:rPr>
          <w:rFonts w:ascii="Calibri" w:cs="Calibri" w:eastAsia="Calibri" w:hAnsi="Calibri"/>
          <w:b/>
          <w:bCs/>
          <w:color w:val="1A1A1A"/>
          <w:sz w:val="20"/>
          <w:szCs w:val="20"/>
        </w:rPr>
        <w:t xml:space="preserve">ingérence disproportionnée</w:t>
      </w:r>
      <w:r>
        <w:rPr>
          <w:rFonts w:ascii="Calibri" w:cs="Calibri" w:eastAsia="Calibri" w:hAnsi="Calibri"/>
          <w:color w:val="1A1A1A"/>
          <w:sz w:val="20"/>
          <w:szCs w:val="20"/>
        </w:rPr>
        <w:t xml:space="preserve">. L’ordonnance relative à l’Hérault rappelle d’ailleurs que l’arrêté ne permettait aucune saisie des équipements. Ces pratiques se contestent par une plainte, un signalement au Défenseur des droits, ou un recours contre l’instruction ou l’arrêté qui les fonde.</w:t>
      </w:r>
    </w:p>
    <w:p>
      <w:pPr>
        <w:spacing w:after="70" w:before="170"/>
      </w:pPr>
      <w:r>
        <w:rPr>
          <w:rFonts w:ascii="Calibri" w:cs="Calibri" w:eastAsia="Calibri" w:hAnsi="Calibri"/>
          <w:b/>
          <w:bCs/>
          <w:color w:val="1A1A1A"/>
          <w:sz w:val="20"/>
          <w:szCs w:val="20"/>
        </w:rPr>
        <w:t xml:space="preserve">La directive anti-SLAPP (évoquée par Alizée A dans son plan)</w:t>
      </w:r>
    </w:p>
    <w:p>
      <w:pPr>
        <w:spacing w:after="90" w:line="264"/>
        <w:jc w:val="both"/>
      </w:pPr>
      <w:r>
        <w:rPr>
          <w:rFonts w:ascii="Calibri" w:cs="Calibri" w:eastAsia="Calibri" w:hAnsi="Calibri"/>
          <w:color w:val="1E88E5"/>
          <w:sz w:val="20"/>
          <w:szCs w:val="20"/>
        </w:rPr>
        <w:t xml:space="preserve">Directive (UE) 2024/1069 du 11 avril 2024</w:t>
      </w:r>
      <w:r>
        <w:rPr>
          <w:rFonts w:ascii="Calibri" w:cs="Calibri" w:eastAsia="Calibri" w:hAnsi="Calibri"/>
          <w:color w:val="1A1A1A"/>
          <w:sz w:val="20"/>
          <w:szCs w:val="20"/>
        </w:rPr>
        <w:t xml:space="preserve"> ; transposition par le </w:t>
      </w:r>
      <w:r>
        <w:rPr>
          <w:rFonts w:ascii="Calibri" w:cs="Calibri" w:eastAsia="Calibri" w:hAnsi="Calibri"/>
          <w:color w:val="1E88E5"/>
          <w:sz w:val="20"/>
          <w:szCs w:val="20"/>
        </w:rPr>
        <w:t xml:space="preserve">décret n° 2026-337 du 30 avril 2026</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499-1 à 499-3 CPC</w:t>
      </w:r>
      <w:r>
        <w:rPr>
          <w:rFonts w:ascii="Calibri" w:cs="Calibri" w:eastAsia="Calibri" w:hAnsi="Calibri"/>
          <w:color w:val="1A1A1A"/>
          <w:sz w:val="20"/>
          <w:szCs w:val="20"/>
        </w:rPr>
        <w:t xml:space="preserve"> : rejet par décision motivée des demandes manifestement infondées, provision au défendeur, frais intégraux à la charge du demandeur abusif, traitement prioritaire), en vigueur le 7 mai 2026, date limite de transposition. La critique porte sur le caractère minimal et purement civil de la transposition (pas de débat parlementaire, diffamation pénale hors champ), non sur un retard.</w:t>
      </w:r>
    </w:p>
    <w:p>
      <w:pPr>
        <w:spacing w:after="70" w:before="170"/>
      </w:pPr>
      <w:r>
        <w:rPr>
          <w:rFonts w:ascii="Calibri" w:cs="Calibri" w:eastAsia="Calibri" w:hAnsi="Calibri"/>
          <w:b/>
          <w:bCs/>
          <w:color w:val="1A1A1A"/>
          <w:sz w:val="20"/>
          <w:szCs w:val="20"/>
        </w:rPr>
        <w:t xml:space="preserve">Remarques diverses</w:t>
      </w:r>
    </w:p>
    <w:p>
      <w:pPr>
        <w:pStyle w:val="ListParagraph"/>
        <w:numPr>
          <w:ilvl w:val="0"/>
          <w:numId w:val="2"/>
        </w:numPr>
        <w:spacing w:after="70" w:line="264"/>
        <w:jc w:val="both"/>
      </w:pPr>
      <w:r>
        <w:rPr>
          <w:rFonts w:ascii="Calibri" w:cs="Calibri" w:eastAsia="Calibri" w:hAnsi="Calibri"/>
          <w:b/>
          <w:bCs/>
          <w:color w:val="1A1A1A"/>
          <w:sz w:val="20"/>
          <w:szCs w:val="20"/>
        </w:rPr>
        <w:t xml:space="preserve">Clauses léonines</w:t>
      </w:r>
      <w:r>
        <w:rPr>
          <w:rFonts w:ascii="Calibri" w:cs="Calibri" w:eastAsia="Calibri" w:hAnsi="Calibri"/>
          <w:color w:val="1A1A1A"/>
          <w:sz w:val="20"/>
          <w:szCs w:val="20"/>
        </w:rPr>
        <w:t xml:space="preserve"> (Mariam B) : clause attribuant à un associé la totalité du profit ou l’exonérant de toute perte, réputée non écrite (</w:t>
      </w:r>
      <w:r>
        <w:rPr>
          <w:rFonts w:ascii="Calibri" w:cs="Calibri" w:eastAsia="Calibri" w:hAnsi="Calibri"/>
          <w:color w:val="1E88E5"/>
          <w:sz w:val="20"/>
          <w:szCs w:val="20"/>
        </w:rPr>
        <w:t xml:space="preserve">art. 1844-1 al. 2 C. civ.</w:t>
      </w:r>
      <w:r>
        <w:rPr>
          <w:rFonts w:ascii="Calibri" w:cs="Calibri" w:eastAsia="Calibri" w:hAnsi="Calibri"/>
          <w:color w:val="1A1A1A"/>
          <w:sz w:val="20"/>
          <w:szCs w:val="20"/>
        </w:rPr>
        <w:t xml:space="preserve">) ; l’expression vient de la fable « </w:t>
      </w:r>
      <w:r>
        <w:rPr>
          <w:rFonts w:ascii="Calibri" w:cs="Calibri" w:eastAsia="Calibri" w:hAnsi="Calibri"/>
          <w:i/>
          <w:iCs/>
          <w:color w:val="1A1A1A"/>
          <w:sz w:val="20"/>
          <w:szCs w:val="20"/>
        </w:rPr>
        <w:t xml:space="preserve">La Génisse, la Chèvre et la Brebis, en société avec le Lion</w:t>
      </w:r>
      <w:r>
        <w:rPr>
          <w:rFonts w:ascii="Calibri" w:cs="Calibri" w:eastAsia="Calibri" w:hAnsi="Calibri"/>
          <w:color w:val="1A1A1A"/>
          <w:sz w:val="20"/>
          <w:szCs w:val="20"/>
        </w:rPr>
        <w:t xml:space="preserve"> » (La Fontaine). Exacte.</w:t>
      </w:r>
    </w:p>
    <w:p>
      <w:pPr>
        <w:pStyle w:val="ListParagraph"/>
        <w:numPr>
          <w:ilvl w:val="0"/>
          <w:numId w:val="2"/>
        </w:numPr>
        <w:spacing w:after="70" w:line="264"/>
        <w:jc w:val="both"/>
      </w:pPr>
      <w:r>
        <w:rPr>
          <w:rFonts w:ascii="Calibri" w:cs="Calibri" w:eastAsia="Calibri" w:hAnsi="Calibri"/>
          <w:b/>
          <w:bCs/>
          <w:color w:val="1A1A1A"/>
          <w:sz w:val="20"/>
          <w:szCs w:val="20"/>
        </w:rPr>
        <w:t xml:space="preserve">Michel Sapin</w:t>
      </w:r>
      <w:r>
        <w:rPr>
          <w:rFonts w:ascii="Calibri" w:cs="Calibri" w:eastAsia="Calibri" w:hAnsi="Calibri"/>
          <w:color w:val="1A1A1A"/>
          <w:sz w:val="20"/>
          <w:szCs w:val="20"/>
        </w:rPr>
        <w:t xml:space="preserve"> (Mariam B) : information non vérifiée ici ; elle n’a pas d’incidence sur le commentaire. Retenir surtout que la loi Sapin II (2016) porte son nom.</w:t>
      </w:r>
    </w:p>
    <w:p>
      <w:r>
        <w:br w:type="page"/>
      </w:r>
    </w:p>
    <w:p>
      <w:pPr>
        <w:shd w:fill="F2E9EA" w:val="clear"/>
        <w:spacing w:after="220" w:before="200"/>
        <w:jc w:val="center"/>
      </w:pPr>
      <w:r>
        <w:rPr>
          <w:rFonts w:ascii="Calibri" w:cs="Calibri" w:eastAsia="Calibri" w:hAnsi="Calibri"/>
          <w:b/>
          <w:bCs/>
          <w:color w:val="8C1C2B"/>
          <w:spacing w:val="30"/>
          <w:sz w:val="26"/>
          <w:szCs w:val="26"/>
        </w:rPr>
        <w:t xml:space="preserve">PARTIE V — ANNEXES</w:t>
      </w:r>
    </w:p>
    <w:p>
      <w:pPr>
        <w:pStyle w:val="Heading1"/>
        <w:pBdr>
          <w:bottom w:val="single" w:color="8C1C2B" w:sz="12" w:space="6"/>
        </w:pBdr>
        <w:spacing w:after="90" w:before="260"/>
      </w:pPr>
      <w:r>
        <w:rPr>
          <w:rFonts w:ascii="Calibri" w:cs="Calibri" w:eastAsia="Calibri" w:hAnsi="Calibri"/>
          <w:b/>
          <w:bCs/>
          <w:color w:val="8C1C2B"/>
          <w:sz w:val="28"/>
          <w:szCs w:val="28"/>
        </w:rPr>
        <w:t xml:space="preserve">1. Références à corriger</w:t>
      </w:r>
    </w:p>
    <w:p>
      <w:pPr>
        <w:pStyle w:val="Heading2"/>
        <w:spacing w:after="110" w:before="260"/>
      </w:pPr>
      <w:r>
        <w:rPr>
          <w:rFonts w:ascii="Calibri" w:cs="Calibri" w:eastAsia="Calibri" w:hAnsi="Calibri"/>
          <w:b/>
          <w:bCs/>
          <w:color w:val="1A1A1A"/>
          <w:spacing w:val="16"/>
          <w:sz w:val="23"/>
          <w:szCs w:val="23"/>
        </w:rPr>
        <w:t xml:space="preserve">1.1 Dans le support du live</w:t>
      </w:r>
    </w:p>
    <w:tbl>
      <w:tblPr>
        <w:tblW w:type="pct" w:w="100%"/>
        <w:tblBorders>
          <w:top w:val="single" w:color="C9C0B6" w:sz="2"/>
          <w:left w:val="single" w:color="C9C0B6" w:sz="2"/>
          <w:bottom w:val="single" w:color="C9C0B6" w:sz="2"/>
          <w:right w:val="single" w:color="C9C0B6" w:sz="2"/>
          <w:insideH w:val="single" w:color="DCD5CC" w:sz="2"/>
          <w:insideV w:val="single" w:color="DCD5CC" w:sz="2"/>
        </w:tblBorders>
      </w:tblPr>
      <w:tblGrid>
        <w:gridCol w:w="100"/>
        <w:gridCol w:w="100"/>
      </w:tblGrid>
      <w:tr>
        <w:trPr>
          <w:tblHeader/>
        </w:trPr>
        <w:tc>
          <w:tcPr>
            <w:tcW w:type="pct" w:w="50%"/>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Support</w:t>
            </w:r>
          </w:p>
        </w:tc>
        <w:tc>
          <w:tcPr>
            <w:tcW w:type="pct" w:w="50%"/>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Correction</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 Par plusieurs décisions du 14 janvier 2026 publiées au Bulletin […] (n° 23-19.947 ; n° 24-13.778 ; 24-18.877 ; 24-19.583) »</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E91E63"/>
                <w:sz w:val="17"/>
                <w:szCs w:val="17"/>
              </w:rPr>
              <w:t xml:space="preserve">n° 24-18.877</w:t>
            </w:r>
            <w:r>
              <w:rPr>
                <w:rFonts w:ascii="Calibri" w:cs="Calibri" w:eastAsia="Calibri" w:hAnsi="Calibri"/>
                <w:b w:val="false"/>
                <w:bCs w:val="false"/>
                <w:color w:val="1A1A1A"/>
                <w:sz w:val="17"/>
                <w:szCs w:val="17"/>
              </w:rPr>
              <w:t xml:space="preserve"> est </w:t>
            </w:r>
            <w:r>
              <w:rPr>
                <w:rFonts w:ascii="Calibri" w:cs="Calibri" w:eastAsia="Calibri" w:hAnsi="Calibri"/>
                <w:b w:val="false"/>
                <w:bCs w:val="false"/>
                <w:color w:val="1A1A1A"/>
                <w:sz w:val="17"/>
                <w:szCs w:val="17"/>
              </w:rPr>
              <w:t xml:space="preserve">inédit</w:t>
            </w:r>
            <w:r>
              <w:rPr>
                <w:rFonts w:ascii="Calibri" w:cs="Calibri" w:eastAsia="Calibri" w:hAnsi="Calibri"/>
                <w:b w:val="false"/>
                <w:bCs w:val="false"/>
                <w:color w:val="1A1A1A"/>
                <w:sz w:val="17"/>
                <w:szCs w:val="17"/>
              </w:rPr>
              <w:t xml:space="preserve"> (non publié). La série publiée comprend </w:t>
            </w:r>
            <w:r>
              <w:rPr>
                <w:rFonts w:ascii="Calibri" w:cs="Calibri" w:eastAsia="Calibri" w:hAnsi="Calibri"/>
                <w:b w:val="false"/>
                <w:bCs w:val="false"/>
                <w:color w:val="E91E63"/>
                <w:sz w:val="17"/>
                <w:szCs w:val="17"/>
              </w:rPr>
              <w:t xml:space="preserve">n° 24-13.778</w:t>
            </w:r>
            <w:r>
              <w:rPr>
                <w:rFonts w:ascii="Calibri" w:cs="Calibri" w:eastAsia="Calibri" w:hAnsi="Calibri"/>
                <w:b w:val="false"/>
                <w:bCs w:val="false"/>
                <w:color w:val="1A1A1A"/>
                <w:sz w:val="17"/>
                <w:szCs w:val="17"/>
              </w:rPr>
              <w:t xml:space="preserve">, </w:t>
            </w:r>
            <w:r>
              <w:rPr>
                <w:rFonts w:ascii="Calibri" w:cs="Calibri" w:eastAsia="Calibri" w:hAnsi="Calibri"/>
                <w:b w:val="false"/>
                <w:bCs w:val="false"/>
                <w:color w:val="E91E63"/>
                <w:sz w:val="17"/>
                <w:szCs w:val="17"/>
              </w:rPr>
              <w:t xml:space="preserve">24-19.583</w:t>
            </w:r>
            <w:r>
              <w:rPr>
                <w:rFonts w:ascii="Calibri" w:cs="Calibri" w:eastAsia="Calibri" w:hAnsi="Calibri"/>
                <w:b w:val="false"/>
                <w:bCs w:val="false"/>
                <w:color w:val="1A1A1A"/>
                <w:sz w:val="17"/>
                <w:szCs w:val="17"/>
              </w:rPr>
              <w:t xml:space="preserve">, </w:t>
            </w:r>
            <w:r>
              <w:rPr>
                <w:rFonts w:ascii="Calibri" w:cs="Calibri" w:eastAsia="Calibri" w:hAnsi="Calibri"/>
                <w:b w:val="false"/>
                <w:bCs w:val="false"/>
                <w:color w:val="E91E63"/>
                <w:sz w:val="17"/>
                <w:szCs w:val="17"/>
              </w:rPr>
              <w:t xml:space="preserve">23-19.947</w:t>
            </w:r>
            <w:r>
              <w:rPr>
                <w:rFonts w:ascii="Calibri" w:cs="Calibri" w:eastAsia="Calibri" w:hAnsi="Calibri"/>
                <w:b w:val="false"/>
                <w:bCs w:val="false"/>
                <w:color w:val="1A1A1A"/>
                <w:sz w:val="17"/>
                <w:szCs w:val="17"/>
              </w:rPr>
              <w:t xml:space="preserve"> et </w:t>
            </w:r>
            <w:r>
              <w:rPr>
                <w:rFonts w:ascii="Calibri" w:cs="Calibri" w:eastAsia="Calibri" w:hAnsi="Calibri"/>
                <w:b w:val="false"/>
                <w:bCs w:val="false"/>
                <w:color w:val="E91E63"/>
                <w:sz w:val="17"/>
                <w:szCs w:val="17"/>
              </w:rPr>
              <w:t xml:space="preserve">23-17.946</w:t>
            </w:r>
            <w:r>
              <w:rPr>
                <w:rFonts w:ascii="Calibri" w:cs="Calibri" w:eastAsia="Calibri" w:hAnsi="Calibri"/>
                <w:b w:val="false"/>
                <w:bCs w:val="false"/>
                <w:color w:val="1A1A1A"/>
                <w:sz w:val="17"/>
                <w:szCs w:val="17"/>
              </w:rPr>
              <w:t xml:space="preserve"> (FS-B, n° 47 à 50).</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 La chambre sociale a consacré la liberté d’expression au travail comme une liberté fondamentale »</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Ce n’est pas nouveau : la nullité pour atteinte à une liberté fondamentale est acquise (</w:t>
            </w:r>
            <w:r>
              <w:rPr>
                <w:rFonts w:ascii="Calibri" w:cs="Calibri" w:eastAsia="Calibri" w:hAnsi="Calibri"/>
                <w:b w:val="false"/>
                <w:bCs w:val="false"/>
                <w:color w:val="E91E63"/>
                <w:sz w:val="17"/>
                <w:szCs w:val="17"/>
              </w:rPr>
              <w:t xml:space="preserve">Clavaud</w:t>
            </w:r>
            <w:r>
              <w:rPr>
                <w:rFonts w:ascii="Calibri" w:cs="Calibri" w:eastAsia="Calibri" w:hAnsi="Calibri"/>
                <w:b w:val="false"/>
                <w:bCs w:val="false"/>
                <w:color w:val="1A1A1A"/>
                <w:sz w:val="17"/>
                <w:szCs w:val="17"/>
              </w:rPr>
              <w:t xml:space="preserve">, 1988 ; </w:t>
            </w:r>
            <w:r>
              <w:rPr>
                <w:rFonts w:ascii="Calibri" w:cs="Calibri" w:eastAsia="Calibri" w:hAnsi="Calibri"/>
                <w:b w:val="false"/>
                <w:bCs w:val="false"/>
                <w:color w:val="E91E63"/>
                <w:sz w:val="17"/>
                <w:szCs w:val="17"/>
              </w:rPr>
              <w:t xml:space="preserve">Soc., 16 févr. 2022</w:t>
            </w:r>
            <w:r>
              <w:rPr>
                <w:rFonts w:ascii="Calibri" w:cs="Calibri" w:eastAsia="Calibri" w:hAnsi="Calibri"/>
                <w:b w:val="false"/>
                <w:bCs w:val="false"/>
                <w:color w:val="1A1A1A"/>
                <w:sz w:val="17"/>
                <w:szCs w:val="17"/>
              </w:rPr>
              <w:t xml:space="preserve">). La nouveauté est la </w:t>
            </w:r>
            <w:r>
              <w:rPr>
                <w:rFonts w:ascii="Calibri" w:cs="Calibri" w:eastAsia="Calibri" w:hAnsi="Calibri"/>
                <w:b w:val="false"/>
                <w:bCs w:val="false"/>
                <w:color w:val="1A1A1A"/>
                <w:sz w:val="17"/>
                <w:szCs w:val="17"/>
              </w:rPr>
              <w:t xml:space="preserve">méthode</w:t>
            </w:r>
            <w:r>
              <w:rPr>
                <w:rFonts w:ascii="Calibri" w:cs="Calibri" w:eastAsia="Calibri" w:hAnsi="Calibri"/>
                <w:b w:val="false"/>
                <w:bCs w:val="false"/>
                <w:color w:val="1A1A1A"/>
                <w:sz w:val="17"/>
                <w:szCs w:val="17"/>
              </w:rPr>
              <w:t xml:space="preserve"> de contrôle.</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 Quatre critères cumulatifs »</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L’arrêt dit « </w:t>
            </w:r>
            <w:r>
              <w:rPr>
                <w:rFonts w:ascii="Calibri" w:cs="Calibri" w:eastAsia="Calibri" w:hAnsi="Calibri"/>
                <w:b w:val="false"/>
                <w:bCs w:val="false"/>
                <w:i/>
                <w:iCs/>
                <w:color w:val="1A1A1A"/>
                <w:sz w:val="17"/>
                <w:szCs w:val="17"/>
              </w:rPr>
              <w:t xml:space="preserve">prendre en considération</w:t>
            </w:r>
            <w:r>
              <w:rPr>
                <w:rFonts w:ascii="Calibri" w:cs="Calibri" w:eastAsia="Calibri" w:hAnsi="Calibri"/>
                <w:b w:val="false"/>
                <w:bCs w:val="false"/>
                <w:color w:val="1A1A1A"/>
                <w:sz w:val="17"/>
                <w:szCs w:val="17"/>
              </w:rPr>
              <w:t xml:space="preserve"> » : éléments d’appréciation d’une pesée globale, non conditions cumulatives.</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 La teneur exacte des propos » ; « les conséquences négatives réellement subies »</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L’arrêt dit « </w:t>
            </w:r>
            <w:r>
              <w:rPr>
                <w:rFonts w:ascii="Calibri" w:cs="Calibri" w:eastAsia="Calibri" w:hAnsi="Calibri"/>
                <w:b w:val="false"/>
                <w:bCs w:val="false"/>
                <w:i/>
                <w:iCs/>
                <w:color w:val="1A1A1A"/>
                <w:sz w:val="17"/>
                <w:szCs w:val="17"/>
              </w:rPr>
              <w:t xml:space="preserve">la teneur des propos litigieux</w:t>
            </w:r>
            <w:r>
              <w:rPr>
                <w:rFonts w:ascii="Calibri" w:cs="Calibri" w:eastAsia="Calibri" w:hAnsi="Calibri"/>
                <w:b w:val="false"/>
                <w:bCs w:val="false"/>
                <w:color w:val="1A1A1A"/>
                <w:sz w:val="17"/>
                <w:szCs w:val="17"/>
              </w:rPr>
              <w:t xml:space="preserve"> » et « </w:t>
            </w:r>
            <w:r>
              <w:rPr>
                <w:rFonts w:ascii="Calibri" w:cs="Calibri" w:eastAsia="Calibri" w:hAnsi="Calibri"/>
                <w:b w:val="false"/>
                <w:bCs w:val="false"/>
                <w:i/>
                <w:iCs/>
                <w:color w:val="1A1A1A"/>
                <w:sz w:val="17"/>
                <w:szCs w:val="17"/>
              </w:rPr>
              <w:t xml:space="preserve">les conséquences négatives causées à l’employeur</w:t>
            </w:r>
            <w:r>
              <w:rPr>
                <w:rFonts w:ascii="Calibri" w:cs="Calibri" w:eastAsia="Calibri" w:hAnsi="Calibri"/>
                <w:b w:val="false"/>
                <w:bCs w:val="false"/>
                <w:color w:val="1A1A1A"/>
                <w:sz w:val="17"/>
                <w:szCs w:val="17"/>
              </w:rPr>
              <w:t xml:space="preserve"> ». L’idée d’effectivité figure au § 17 (atteinte à l’honneur), pas dans la formule de principe.</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 Protéger ses intérêts légitimes »</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L’arrêt dit « </w:t>
            </w:r>
            <w:r>
              <w:rPr>
                <w:rFonts w:ascii="Calibri" w:cs="Calibri" w:eastAsia="Calibri" w:hAnsi="Calibri"/>
                <w:b w:val="false"/>
                <w:bCs w:val="false"/>
                <w:i/>
                <w:iCs/>
                <w:color w:val="1A1A1A"/>
                <w:sz w:val="17"/>
                <w:szCs w:val="17"/>
              </w:rPr>
              <w:t xml:space="preserve">la protection de ses intérêts</w:t>
            </w:r>
            <w:r>
              <w:rPr>
                <w:rFonts w:ascii="Calibri" w:cs="Calibri" w:eastAsia="Calibri" w:hAnsi="Calibri"/>
                <w:b w:val="false"/>
                <w:bCs w:val="false"/>
                <w:color w:val="1A1A1A"/>
                <w:sz w:val="17"/>
                <w:szCs w:val="17"/>
              </w:rPr>
              <w:t xml:space="preserve"> » ; l’adjectif « légitimes » n’y figure pas (la légitimité du but entre dans l’examen de nécessité).</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 A abandonné le contrôle d’abus »</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Exact en substance, mais implicite : l’arrêt ne dit pas qu’il abandonne l’abus ; il le fait disparaître de sa formule. À présenter comme une lecture (partagée par la doctrine), non comme une citation.</w:t>
            </w:r>
          </w:p>
        </w:tc>
      </w:tr>
    </w:tbl>
    <w:p>
      <w:pPr>
        <w:spacing w:after="120"/>
      </w:pPr>
    </w:p>
    <w:p>
      <w:pPr>
        <w:pStyle w:val="Heading2"/>
        <w:spacing w:after="110" w:before="260"/>
      </w:pPr>
      <w:r>
        <w:rPr>
          <w:rFonts w:ascii="Calibri" w:cs="Calibri" w:eastAsia="Calibri" w:hAnsi="Calibri"/>
          <w:b/>
          <w:bCs/>
          <w:color w:val="1A1A1A"/>
          <w:spacing w:val="16"/>
          <w:sz w:val="23"/>
          <w:szCs w:val="23"/>
        </w:rPr>
        <w:t xml:space="preserve">1.2 Dans le chat</w:t>
      </w:r>
    </w:p>
    <w:tbl>
      <w:tblPr>
        <w:tblW w:type="pct" w:w="100%"/>
        <w:tblBorders>
          <w:top w:val="single" w:color="C9C0B6" w:sz="2"/>
          <w:left w:val="single" w:color="C9C0B6" w:sz="2"/>
          <w:bottom w:val="single" w:color="C9C0B6" w:sz="2"/>
          <w:right w:val="single" w:color="C9C0B6" w:sz="2"/>
          <w:insideH w:val="single" w:color="DCD5CC" w:sz="2"/>
          <w:insideV w:val="single" w:color="DCD5CC" w:sz="2"/>
        </w:tblBorders>
      </w:tblPr>
      <w:tblGrid>
        <w:gridCol w:w="100"/>
        <w:gridCol w:w="100"/>
      </w:tblGrid>
      <w:tr>
        <w:trPr>
          <w:tblHeader/>
        </w:trPr>
        <w:tc>
          <w:tcPr>
            <w:tcW w:type="pct" w:w="50%"/>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Affirmation</w:t>
            </w:r>
          </w:p>
        </w:tc>
        <w:tc>
          <w:tcPr>
            <w:tcW w:type="pct" w:w="50%"/>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Correction</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Dessins remis le « 18 novembre 2017 » (Mélina L) ou le « 28 novembre 2012 » (Nassim E)</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28 novembre 2017</w:t>
            </w:r>
            <w:r>
              <w:rPr>
                <w:rFonts w:ascii="Calibri" w:cs="Calibri" w:eastAsia="Calibri" w:hAnsi="Calibri"/>
                <w:b w:val="false"/>
                <w:bCs w:val="false"/>
                <w:color w:val="1A1A1A"/>
                <w:sz w:val="17"/>
                <w:szCs w:val="17"/>
              </w:rPr>
              <w:t xml:space="preserve"> (</w:t>
            </w:r>
            <w:r>
              <w:rPr>
                <w:rFonts w:ascii="Calibri" w:cs="Calibri" w:eastAsia="Calibri" w:hAnsi="Calibri"/>
                <w:b w:val="false"/>
                <w:bCs w:val="false"/>
                <w:color w:val="E91E63"/>
                <w:sz w:val="17"/>
                <w:szCs w:val="17"/>
              </w:rPr>
              <w:t xml:space="preserve">§ 14</w:t>
            </w:r>
            <w:r>
              <w:rPr>
                <w:rFonts w:ascii="Calibri" w:cs="Calibri" w:eastAsia="Calibri" w:hAnsi="Calibri"/>
                <w:b w:val="false"/>
                <w:bCs w:val="false"/>
                <w:color w:val="1A1A1A"/>
                <w:sz w:val="17"/>
                <w:szCs w:val="17"/>
              </w:rPr>
              <w:t xml:space="preserve">).</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Saisine du CPH le 22 décembre 2017 (Emma L)</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6 septembre 2018</w:t>
            </w:r>
            <w:r>
              <w:rPr>
                <w:rFonts w:ascii="Calibri" w:cs="Calibri" w:eastAsia="Calibri" w:hAnsi="Calibri"/>
                <w:b w:val="false"/>
                <w:bCs w:val="false"/>
                <w:color w:val="1A1A1A"/>
                <w:sz w:val="17"/>
                <w:szCs w:val="17"/>
              </w:rPr>
              <w:t xml:space="preserve"> (</w:t>
            </w:r>
            <w:r>
              <w:rPr>
                <w:rFonts w:ascii="Calibri" w:cs="Calibri" w:eastAsia="Calibri" w:hAnsi="Calibri"/>
                <w:b w:val="false"/>
                <w:bCs w:val="false"/>
                <w:color w:val="E91E63"/>
                <w:sz w:val="17"/>
                <w:szCs w:val="17"/>
              </w:rPr>
              <w:t xml:space="preserve">§ 3</w:t>
            </w:r>
            <w:r>
              <w:rPr>
                <w:rFonts w:ascii="Calibri" w:cs="Calibri" w:eastAsia="Calibri" w:hAnsi="Calibri"/>
                <w:b w:val="false"/>
                <w:bCs w:val="false"/>
                <w:color w:val="1A1A1A"/>
                <w:sz w:val="17"/>
                <w:szCs w:val="17"/>
              </w:rPr>
              <w:t xml:space="preserve">).</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 Licencié pour faute grave » (Aurore A)</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Licencié « pour faute » (</w:t>
            </w:r>
            <w:r>
              <w:rPr>
                <w:rFonts w:ascii="Calibri" w:cs="Calibri" w:eastAsia="Calibri" w:hAnsi="Calibri"/>
                <w:b w:val="false"/>
                <w:bCs w:val="false"/>
                <w:color w:val="E91E63"/>
                <w:sz w:val="17"/>
                <w:szCs w:val="17"/>
              </w:rPr>
              <w:t xml:space="preserve">§ 2</w:t>
            </w:r>
            <w:r>
              <w:rPr>
                <w:rFonts w:ascii="Calibri" w:cs="Calibri" w:eastAsia="Calibri" w:hAnsi="Calibri"/>
                <w:b w:val="false"/>
                <w:bCs w:val="false"/>
                <w:color w:val="1A1A1A"/>
                <w:sz w:val="17"/>
                <w:szCs w:val="17"/>
              </w:rPr>
              <w:t xml:space="preserve">).</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 La Cour casse […] en déclarant le licenciement nul » (Emma L) ; « le juge applique ces critères et parvient à la conclusion que non » (Grace N) ; « sanction disproportionnée » (Maud B, Axelle B, Marine B)</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Cassation partielle et renvoi ; la Cour ne pèse pas elle-même.</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 Le syndicat soulève 3 moyens » (Grace N)</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Deux moyens ; le second en trois branches, présentés par le salarié et le syndicat.</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La directrice : licenciement « déclaré nul » (Emma L)</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E91E63"/>
                <w:sz w:val="17"/>
                <w:szCs w:val="17"/>
              </w:rPr>
              <w:t xml:space="preserve">n° 24-19.583</w:t>
            </w:r>
            <w:r>
              <w:rPr>
                <w:rFonts w:ascii="Calibri" w:cs="Calibri" w:eastAsia="Calibri" w:hAnsi="Calibri"/>
                <w:b w:val="false"/>
                <w:bCs w:val="false"/>
                <w:color w:val="1A1A1A"/>
                <w:sz w:val="17"/>
                <w:szCs w:val="17"/>
              </w:rPr>
              <w:t xml:space="preserve"> : la Cour </w:t>
            </w:r>
            <w:r>
              <w:rPr>
                <w:rFonts w:ascii="Calibri" w:cs="Calibri" w:eastAsia="Calibri" w:hAnsi="Calibri"/>
                <w:b w:val="false"/>
                <w:bCs w:val="false"/>
                <w:color w:val="1A1A1A"/>
                <w:sz w:val="17"/>
                <w:szCs w:val="17"/>
              </w:rPr>
              <w:t xml:space="preserve">casse</w:t>
            </w:r>
            <w:r>
              <w:rPr>
                <w:rFonts w:ascii="Calibri" w:cs="Calibri" w:eastAsia="Calibri" w:hAnsi="Calibri"/>
                <w:b w:val="false"/>
                <w:bCs w:val="false"/>
                <w:color w:val="1A1A1A"/>
                <w:sz w:val="17"/>
                <w:szCs w:val="17"/>
              </w:rPr>
              <w:t xml:space="preserve"> l’arrêt qui avait annulé le licenciement ; renvoi CA Besançon.</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 Art. 10 DDHC » pour la liberté d’expression (Charles P)</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E88E5"/>
                <w:sz w:val="17"/>
                <w:szCs w:val="17"/>
              </w:rPr>
              <w:t xml:space="preserve">Art. 11 DDHC</w:t>
            </w:r>
            <w:r>
              <w:rPr>
                <w:rFonts w:ascii="Calibri" w:cs="Calibri" w:eastAsia="Calibri" w:hAnsi="Calibri"/>
                <w:b w:val="false"/>
                <w:bCs w:val="false"/>
                <w:color w:val="1A1A1A"/>
                <w:sz w:val="17"/>
                <w:szCs w:val="17"/>
              </w:rPr>
              <w:t xml:space="preserve">.</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 Article 34 de la Constitution » comme source (Thelma L)</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Règle de compétence législative, non source de la liberté.</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 Art. 11 Convention EDH » (Anna E)</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Liberté de réunion et d’association : hors sujet ici.</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 Springer c. Allemagne 2012 » (Inès Y) ; « Van Hoover 2 » (Deokjin L)</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E91E63"/>
                <w:sz w:val="17"/>
                <w:szCs w:val="17"/>
              </w:rPr>
              <w:t xml:space="preserve">Axel Springer AG c. Allemagne</w:t>
            </w:r>
            <w:r>
              <w:rPr>
                <w:rFonts w:ascii="Calibri" w:cs="Calibri" w:eastAsia="Calibri" w:hAnsi="Calibri"/>
                <w:b w:val="false"/>
                <w:bCs w:val="false"/>
                <w:color w:val="1A1A1A"/>
                <w:sz w:val="17"/>
                <w:szCs w:val="17"/>
              </w:rPr>
              <w:t xml:space="preserve">, gr. ch., 7 févr. 2012, n° 39954/08 ; </w:t>
            </w:r>
            <w:r>
              <w:rPr>
                <w:rFonts w:ascii="Calibri" w:cs="Calibri" w:eastAsia="Calibri" w:hAnsi="Calibri"/>
                <w:b w:val="false"/>
                <w:bCs w:val="false"/>
                <w:color w:val="E91E63"/>
                <w:sz w:val="17"/>
                <w:szCs w:val="17"/>
              </w:rPr>
              <w:t xml:space="preserve">Von Hannover c. Allemagne (n° 2)</w:t>
            </w:r>
            <w:r>
              <w:rPr>
                <w:rFonts w:ascii="Calibri" w:cs="Calibri" w:eastAsia="Calibri" w:hAnsi="Calibri"/>
                <w:b w:val="false"/>
                <w:bCs w:val="false"/>
                <w:color w:val="1A1A1A"/>
                <w:sz w:val="17"/>
                <w:szCs w:val="17"/>
              </w:rPr>
              <w:t xml:space="preserve">, gr. ch., 7 févr. 2012.</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 Lombardi c. Italie, 2009 » (Inès Y)</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E91E63"/>
                <w:sz w:val="17"/>
                <w:szCs w:val="17"/>
              </w:rPr>
              <w:t xml:space="preserve">Lombardi Vallauri c. Italie</w:t>
            </w:r>
            <w:r>
              <w:rPr>
                <w:rFonts w:ascii="Calibri" w:cs="Calibri" w:eastAsia="Calibri" w:hAnsi="Calibri"/>
                <w:b w:val="false"/>
                <w:bCs w:val="false"/>
                <w:color w:val="1A1A1A"/>
                <w:sz w:val="17"/>
                <w:szCs w:val="17"/>
              </w:rPr>
              <w:t xml:space="preserve">, 20 oct. 2009, n° 39128/05 (liberté d’enseignement et d’expression d’un enseignant d’une université catholique).</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 Arrêt fun and pro, 9 nov. 2022 » comme précédent sur les critères (Axelle B)</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E91E63"/>
                <w:sz w:val="17"/>
                <w:szCs w:val="17"/>
              </w:rPr>
              <w:t xml:space="preserve">Soc., 9 nov. 2022, n° 21-15.208</w:t>
            </w:r>
            <w:r>
              <w:rPr>
                <w:rFonts w:ascii="Calibri" w:cs="Calibri" w:eastAsia="Calibri" w:hAnsi="Calibri"/>
                <w:b w:val="false"/>
                <w:bCs w:val="false"/>
                <w:color w:val="1A1A1A"/>
                <w:sz w:val="17"/>
                <w:szCs w:val="17"/>
              </w:rPr>
              <w:t xml:space="preserve"> : refus de la culture « fun &amp; pro » = exercice de la liberté d’expression et d’opinion ; nullité ; pas de grille de proportionnalité.</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 Principe admis par la chambre sociale en 2011 » (Najwa C)</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Formule bien antérieure (</w:t>
            </w:r>
            <w:r>
              <w:rPr>
                <w:rFonts w:ascii="Calibri" w:cs="Calibri" w:eastAsia="Calibri" w:hAnsi="Calibri"/>
                <w:b w:val="false"/>
                <w:bCs w:val="false"/>
                <w:color w:val="E91E63"/>
                <w:sz w:val="17"/>
                <w:szCs w:val="17"/>
              </w:rPr>
              <w:t xml:space="preserve">Clavaud</w:t>
            </w:r>
            <w:r>
              <w:rPr>
                <w:rFonts w:ascii="Calibri" w:cs="Calibri" w:eastAsia="Calibri" w:hAnsi="Calibri"/>
                <w:b w:val="false"/>
                <w:bCs w:val="false"/>
                <w:color w:val="1A1A1A"/>
                <w:sz w:val="17"/>
                <w:szCs w:val="17"/>
              </w:rPr>
              <w:t xml:space="preserve">, 1988 ; </w:t>
            </w:r>
            <w:r>
              <w:rPr>
                <w:rFonts w:ascii="Calibri" w:cs="Calibri" w:eastAsia="Calibri" w:hAnsi="Calibri"/>
                <w:b w:val="false"/>
                <w:bCs w:val="false"/>
                <w:color w:val="E91E63"/>
                <w:sz w:val="17"/>
                <w:szCs w:val="17"/>
              </w:rPr>
              <w:t xml:space="preserve">Soc., 14 déc. 1999</w:t>
            </w:r>
            <w:r>
              <w:rPr>
                <w:rFonts w:ascii="Calibri" w:cs="Calibri" w:eastAsia="Calibri" w:hAnsi="Calibri"/>
                <w:b w:val="false"/>
                <w:bCs w:val="false"/>
                <w:color w:val="1A1A1A"/>
                <w:sz w:val="17"/>
                <w:szCs w:val="17"/>
              </w:rPr>
              <w:t xml:space="preserve">).</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 Baby Loup, arrêt de cassation » (Najwa C)</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E91E63"/>
                <w:sz w:val="17"/>
                <w:szCs w:val="17"/>
              </w:rPr>
              <w:t xml:space="preserve">Ass. plén., 25 juin 2014, n° 13-28.369</w:t>
            </w:r>
            <w:r>
              <w:rPr>
                <w:rFonts w:ascii="Calibri" w:cs="Calibri" w:eastAsia="Calibri" w:hAnsi="Calibri"/>
                <w:b w:val="false"/>
                <w:bCs w:val="false"/>
                <w:color w:val="1A1A1A"/>
                <w:sz w:val="17"/>
                <w:szCs w:val="17"/>
              </w:rPr>
              <w:t xml:space="preserve"> : </w:t>
            </w:r>
            <w:r>
              <w:rPr>
                <w:rFonts w:ascii="Calibri" w:cs="Calibri" w:eastAsia="Calibri" w:hAnsi="Calibri"/>
                <w:b w:val="false"/>
                <w:bCs w:val="false"/>
                <w:color w:val="1A1A1A"/>
                <w:sz w:val="17"/>
                <w:szCs w:val="17"/>
              </w:rPr>
              <w:t xml:space="preserve">rejet</w:t>
            </w:r>
            <w:r>
              <w:rPr>
                <w:rFonts w:ascii="Calibri" w:cs="Calibri" w:eastAsia="Calibri" w:hAnsi="Calibri"/>
                <w:b w:val="false"/>
                <w:bCs w:val="false"/>
                <w:color w:val="1A1A1A"/>
                <w:sz w:val="17"/>
                <w:szCs w:val="17"/>
              </w:rPr>
              <w:t xml:space="preserve"> du pourvoi de la salariée.</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 La CJUE a considéré que le droit de grève pouvait porter atteinte au droit d’entreprendre » (Najwa C)</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E91E63"/>
                <w:sz w:val="17"/>
                <w:szCs w:val="17"/>
              </w:rPr>
              <w:t xml:space="preserve">CJCE, 11 déc. 2007, Viking</w:t>
            </w:r>
            <w:r>
              <w:rPr>
                <w:rFonts w:ascii="Calibri" w:cs="Calibri" w:eastAsia="Calibri" w:hAnsi="Calibri"/>
                <w:b w:val="false"/>
                <w:bCs w:val="false"/>
                <w:color w:val="1A1A1A"/>
                <w:sz w:val="17"/>
                <w:szCs w:val="17"/>
              </w:rPr>
              <w:t xml:space="preserve"> et </w:t>
            </w:r>
            <w:r>
              <w:rPr>
                <w:rFonts w:ascii="Calibri" w:cs="Calibri" w:eastAsia="Calibri" w:hAnsi="Calibri"/>
                <w:b w:val="false"/>
                <w:bCs w:val="false"/>
                <w:color w:val="E91E63"/>
                <w:sz w:val="17"/>
                <w:szCs w:val="17"/>
              </w:rPr>
              <w:t xml:space="preserve">18 déc. 2007, Laval</w:t>
            </w:r>
            <w:r>
              <w:rPr>
                <w:rFonts w:ascii="Calibri" w:cs="Calibri" w:eastAsia="Calibri" w:hAnsi="Calibri"/>
                <w:b w:val="false"/>
                <w:bCs w:val="false"/>
                <w:color w:val="1A1A1A"/>
                <w:sz w:val="17"/>
                <w:szCs w:val="17"/>
              </w:rPr>
              <w:t xml:space="preserve"> : conflit entre action collective et libertés d’établissement et de prestation de services.</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 Lenteur de la France à transposer la directive anti-SLAPP » (Alizée A)</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Transposée par le </w:t>
            </w:r>
            <w:r>
              <w:rPr>
                <w:rFonts w:ascii="Calibri" w:cs="Calibri" w:eastAsia="Calibri" w:hAnsi="Calibri"/>
                <w:b w:val="false"/>
                <w:bCs w:val="false"/>
                <w:color w:val="1E88E5"/>
                <w:sz w:val="17"/>
                <w:szCs w:val="17"/>
              </w:rPr>
              <w:t xml:space="preserve">décret n° 2026-337 du 30 avril 2026</w:t>
            </w:r>
            <w:r>
              <w:rPr>
                <w:rFonts w:ascii="Calibri" w:cs="Calibri" w:eastAsia="Calibri" w:hAnsi="Calibri"/>
                <w:b w:val="false"/>
                <w:bCs w:val="false"/>
                <w:color w:val="1A1A1A"/>
                <w:sz w:val="17"/>
                <w:szCs w:val="17"/>
              </w:rPr>
              <w:t xml:space="preserve">, en vigueur le 7 mai 2026 (date limite).</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Rapport Freemuse « en septembre 2026 » (Maud B)</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i/>
                <w:iCs/>
                <w:color w:val="1A1A1A"/>
                <w:sz w:val="17"/>
                <w:szCs w:val="17"/>
              </w:rPr>
              <w:t xml:space="preserve">State of Artistic Freedom 2026</w:t>
            </w:r>
            <w:r>
              <w:rPr>
                <w:rFonts w:ascii="Calibri" w:cs="Calibri" w:eastAsia="Calibri" w:hAnsi="Calibri"/>
                <w:b w:val="false"/>
                <w:bCs w:val="false"/>
                <w:color w:val="1A1A1A"/>
                <w:sz w:val="17"/>
                <w:szCs w:val="17"/>
              </w:rPr>
              <w:t xml:space="preserve"> publié au printemps 2026 ; vérifier avant d’en faire une accroche datée.</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 Les magistrats ne peuvent pas s’exprimer librement » (Mélina L)</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Devoir de réserve (</w:t>
            </w:r>
            <w:r>
              <w:rPr>
                <w:rFonts w:ascii="Calibri" w:cs="Calibri" w:eastAsia="Calibri" w:hAnsi="Calibri"/>
                <w:b w:val="false"/>
                <w:bCs w:val="false"/>
                <w:color w:val="1E88E5"/>
                <w:sz w:val="17"/>
                <w:szCs w:val="17"/>
              </w:rPr>
              <w:t xml:space="preserve">ord. n° 58-1270, art. 10</w:t>
            </w:r>
            <w:r>
              <w:rPr>
                <w:rFonts w:ascii="Calibri" w:cs="Calibri" w:eastAsia="Calibri" w:hAnsi="Calibri"/>
                <w:b w:val="false"/>
                <w:bCs w:val="false"/>
                <w:color w:val="1A1A1A"/>
                <w:sz w:val="17"/>
                <w:szCs w:val="17"/>
              </w:rPr>
              <w:t xml:space="preserve">), non interdiction de s’exprimer.</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 Russ c. Allemagne : l’interdiction arbitraire de se protéger est contraire à l’art. 11 » (Mariam B)</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E91E63"/>
                <w:sz w:val="17"/>
                <w:szCs w:val="17"/>
              </w:rPr>
              <w:t xml:space="preserve">CEDH, 20 mai 2025, n° 44241/20</w:t>
            </w:r>
            <w:r>
              <w:rPr>
                <w:rFonts w:ascii="Calibri" w:cs="Calibri" w:eastAsia="Calibri" w:hAnsi="Calibri"/>
                <w:b w:val="false"/>
                <w:bCs w:val="false"/>
                <w:color w:val="1A1A1A"/>
                <w:sz w:val="17"/>
                <w:szCs w:val="17"/>
              </w:rPr>
              <w:t xml:space="preserve"> : violation faute de motifs suffisants pour condamner un manifestant pacifique ; pas de condamnation de principe des interdictions.</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Références non retrouvées</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 Respino », « Mel Yedei », « Soc., 14 janv. 2014 » (clause de non-critique, polémique médiatique), « Soc., 12 févr. 2016 », « Soc., 12 nov. 1996 », « Crim., 23 nov. 2010 » : ne pas les utiliser sans vérification.</w:t>
            </w:r>
          </w:p>
        </w:tc>
      </w:tr>
    </w:tbl>
    <w:p>
      <w:pPr>
        <w:spacing w:after="120"/>
      </w:pPr>
    </w:p>
    <w:p>
      <w:pPr>
        <w:pStyle w:val="Heading2"/>
        <w:spacing w:after="110" w:before="260"/>
      </w:pPr>
      <w:r>
        <w:rPr>
          <w:rFonts w:ascii="Calibri" w:cs="Calibri" w:eastAsia="Calibri" w:hAnsi="Calibri"/>
          <w:b/>
          <w:bCs/>
          <w:color w:val="1A1A1A"/>
          <w:spacing w:val="16"/>
          <w:sz w:val="23"/>
          <w:szCs w:val="23"/>
        </w:rPr>
        <w:t xml:space="preserve">1.3 Ce qui était exact et mérite d’être retenu</w:t>
      </w:r>
    </w:p>
    <w:p>
      <w:pPr>
        <w:pStyle w:val="ListParagraph"/>
        <w:numPr>
          <w:ilvl w:val="0"/>
          <w:numId w:val="2"/>
        </w:numPr>
        <w:spacing w:after="70" w:line="264"/>
        <w:jc w:val="both"/>
      </w:pPr>
      <w:r>
        <w:rPr>
          <w:rFonts w:ascii="Calibri" w:cs="Calibri" w:eastAsia="Calibri" w:hAnsi="Calibri"/>
          <w:color w:val="E91E63"/>
          <w:sz w:val="20"/>
          <w:szCs w:val="20"/>
        </w:rPr>
        <w:t xml:space="preserve">Cons. const., n° 2026-911 DC du 14 août 2026</w:t>
      </w:r>
      <w:r>
        <w:rPr>
          <w:rFonts w:ascii="Calibri" w:cs="Calibri" w:eastAsia="Calibri" w:hAnsi="Calibri"/>
          <w:color w:val="1A1A1A"/>
          <w:sz w:val="20"/>
          <w:szCs w:val="20"/>
        </w:rPr>
        <w:t xml:space="preserve"> (Axelle B) : censure pour atteinte disproportionnée à la liberté d’expression et de communication.</w:t>
      </w:r>
    </w:p>
    <w:p>
      <w:pPr>
        <w:pStyle w:val="ListParagraph"/>
        <w:numPr>
          <w:ilvl w:val="0"/>
          <w:numId w:val="2"/>
        </w:numPr>
        <w:spacing w:after="70" w:line="264"/>
        <w:jc w:val="both"/>
      </w:pPr>
      <w:r>
        <w:rPr>
          <w:rFonts w:ascii="Calibri" w:cs="Calibri" w:eastAsia="Calibri" w:hAnsi="Calibri"/>
          <w:color w:val="1A1A1A"/>
          <w:sz w:val="20"/>
          <w:szCs w:val="20"/>
        </w:rPr>
        <w:t xml:space="preserve">Condamnation en appel pour licenciement sans cause réelle et sérieuse ; mise en garde sur la portée de la cassation (Luna P).</w:t>
      </w:r>
    </w:p>
    <w:p>
      <w:pPr>
        <w:pStyle w:val="ListParagraph"/>
        <w:numPr>
          <w:ilvl w:val="0"/>
          <w:numId w:val="2"/>
        </w:numPr>
        <w:spacing w:after="70" w:line="264"/>
        <w:jc w:val="both"/>
      </w:pPr>
      <w:r>
        <w:rPr>
          <w:rFonts w:ascii="Calibri" w:cs="Calibri" w:eastAsia="Calibri" w:hAnsi="Calibri"/>
          <w:color w:val="1A1A1A"/>
          <w:sz w:val="20"/>
          <w:szCs w:val="20"/>
        </w:rPr>
        <w:t xml:space="preserve">Irrecevabilité du syndicat, </w:t>
      </w:r>
      <w:r>
        <w:rPr>
          <w:rFonts w:ascii="Calibri" w:cs="Calibri" w:eastAsia="Calibri" w:hAnsi="Calibri"/>
          <w:color w:val="1E88E5"/>
          <w:sz w:val="20"/>
          <w:szCs w:val="20"/>
        </w:rPr>
        <w:t xml:space="preserve">L. 2132-3</w:t>
      </w:r>
      <w:r>
        <w:rPr>
          <w:rFonts w:ascii="Calibri" w:cs="Calibri" w:eastAsia="Calibri" w:hAnsi="Calibri"/>
          <w:color w:val="1A1A1A"/>
          <w:sz w:val="20"/>
          <w:szCs w:val="20"/>
        </w:rPr>
        <w:t xml:space="preserve"> (Charles P, Maud B).</w:t>
      </w:r>
    </w:p>
    <w:p>
      <w:pPr>
        <w:pStyle w:val="ListParagraph"/>
        <w:numPr>
          <w:ilvl w:val="0"/>
          <w:numId w:val="2"/>
        </w:numPr>
        <w:spacing w:after="70" w:line="264"/>
        <w:jc w:val="both"/>
      </w:pPr>
      <w:r>
        <w:rPr>
          <w:rFonts w:ascii="Calibri" w:cs="Calibri" w:eastAsia="Calibri" w:hAnsi="Calibri"/>
          <w:color w:val="1A1A1A"/>
          <w:sz w:val="20"/>
          <w:szCs w:val="20"/>
        </w:rPr>
        <w:t xml:space="preserve">Abandon du critère de l’abus (Thelma L, Axelle B, Grace N).</w:t>
      </w:r>
    </w:p>
    <w:p>
      <w:pPr>
        <w:pStyle w:val="ListParagraph"/>
        <w:numPr>
          <w:ilvl w:val="0"/>
          <w:numId w:val="2"/>
        </w:numPr>
        <w:spacing w:after="70" w:line="264"/>
        <w:jc w:val="both"/>
      </w:pPr>
      <w:r>
        <w:rPr>
          <w:rFonts w:ascii="Calibri" w:cs="Calibri" w:eastAsia="Calibri" w:hAnsi="Calibri"/>
          <w:color w:val="1A1A1A"/>
          <w:sz w:val="20"/>
          <w:szCs w:val="20"/>
        </w:rPr>
        <w:t xml:space="preserve">Liberté d’entreprendre comme droit concurrent (</w:t>
      </w:r>
      <w:r>
        <w:rPr>
          <w:rFonts w:ascii="Calibri" w:cs="Calibri" w:eastAsia="Calibri" w:hAnsi="Calibri"/>
          <w:color w:val="1E88E5"/>
          <w:sz w:val="20"/>
          <w:szCs w:val="20"/>
        </w:rPr>
        <w:t xml:space="preserve">art. 4 DDHC</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Daudignac</w:t>
      </w:r>
      <w:r>
        <w:rPr>
          <w:rFonts w:ascii="Calibri" w:cs="Calibri" w:eastAsia="Calibri" w:hAnsi="Calibri"/>
          <w:color w:val="1A1A1A"/>
          <w:sz w:val="20"/>
          <w:szCs w:val="20"/>
        </w:rPr>
        <w:t xml:space="preserve">) (Marine B).</w:t>
      </w:r>
    </w:p>
    <w:p>
      <w:r>
        <w:br w:type="page"/>
      </w:r>
    </w:p>
    <w:p>
      <w:pPr>
        <w:pStyle w:val="Heading1"/>
        <w:pBdr>
          <w:bottom w:val="single" w:color="8C1C2B" w:sz="12" w:space="6"/>
        </w:pBdr>
        <w:spacing w:after="90" w:before="260"/>
      </w:pPr>
      <w:r>
        <w:rPr>
          <w:rFonts w:ascii="Calibri" w:cs="Calibri" w:eastAsia="Calibri" w:hAnsi="Calibri"/>
          <w:b/>
          <w:bCs/>
          <w:color w:val="8C1C2B"/>
          <w:sz w:val="28"/>
          <w:szCs w:val="28"/>
        </w:rPr>
        <w:t xml:space="preserve">2. Le kit oral</w:t>
      </w:r>
    </w:p>
    <w:p>
      <w:pPr>
        <w:pStyle w:val="Heading2"/>
        <w:spacing w:after="110" w:before="260"/>
      </w:pPr>
      <w:r>
        <w:rPr>
          <w:rFonts w:ascii="Calibri" w:cs="Calibri" w:eastAsia="Calibri" w:hAnsi="Calibri"/>
          <w:b/>
          <w:bCs/>
          <w:color w:val="1A1A1A"/>
          <w:spacing w:val="16"/>
          <w:sz w:val="23"/>
          <w:szCs w:val="23"/>
        </w:rPr>
        <w:t xml:space="preserve">2.1 Dix phrases prêtes à l’emploi</w:t>
      </w:r>
    </w:p>
    <w:p>
      <w:pPr>
        <w:pStyle w:val="ListParagraph"/>
        <w:numPr>
          <w:ilvl w:val="0"/>
          <w:numId w:val="2"/>
        </w:numPr>
        <w:spacing w:after="70" w:line="264"/>
        <w:jc w:val="both"/>
      </w:pPr>
      <w:r>
        <w:rPr>
          <w:rFonts w:ascii="Calibri" w:cs="Calibri" w:eastAsia="Calibri" w:hAnsi="Calibri"/>
          <w:color w:val="1A1A1A"/>
          <w:sz w:val="20"/>
          <w:szCs w:val="20"/>
        </w:rPr>
        <w:t xml:space="preserve">« La Cour ne change pas la valeur de la liberté d’expression du salarié ; elle en change la grammaire. »</w:t>
      </w:r>
    </w:p>
    <w:p>
      <w:pPr>
        <w:pStyle w:val="ListParagraph"/>
        <w:numPr>
          <w:ilvl w:val="0"/>
          <w:numId w:val="2"/>
        </w:numPr>
        <w:spacing w:after="70" w:line="264"/>
        <w:jc w:val="both"/>
      </w:pPr>
      <w:r>
        <w:rPr>
          <w:rFonts w:ascii="Calibri" w:cs="Calibri" w:eastAsia="Calibri" w:hAnsi="Calibri"/>
          <w:color w:val="1A1A1A"/>
          <w:sz w:val="20"/>
          <w:szCs w:val="20"/>
        </w:rPr>
        <w:t xml:space="preserve">« Deux mots disparaissent du chapeau : “sauf abus”. Tout l’arrêt est dans cette disparition. »</w:t>
      </w:r>
    </w:p>
    <w:p>
      <w:pPr>
        <w:pStyle w:val="ListParagraph"/>
        <w:numPr>
          <w:ilvl w:val="0"/>
          <w:numId w:val="2"/>
        </w:numPr>
        <w:spacing w:after="70" w:line="264"/>
        <w:jc w:val="both"/>
      </w:pPr>
      <w:r>
        <w:rPr>
          <w:rFonts w:ascii="Calibri" w:cs="Calibri" w:eastAsia="Calibri" w:hAnsi="Calibri"/>
          <w:color w:val="1A1A1A"/>
          <w:sz w:val="20"/>
          <w:szCs w:val="20"/>
        </w:rPr>
        <w:t xml:space="preserve">« On jugeait les propos ; on jugera désormais la sanction. »</w:t>
      </w:r>
    </w:p>
    <w:p>
      <w:pPr>
        <w:pStyle w:val="ListParagraph"/>
        <w:numPr>
          <w:ilvl w:val="0"/>
          <w:numId w:val="2"/>
        </w:numPr>
        <w:spacing w:after="70" w:line="264"/>
        <w:jc w:val="both"/>
      </w:pPr>
      <w:r>
        <w:rPr>
          <w:rFonts w:ascii="Calibri" w:cs="Calibri" w:eastAsia="Calibri" w:hAnsi="Calibri"/>
          <w:color w:val="1A1A1A"/>
          <w:sz w:val="20"/>
          <w:szCs w:val="20"/>
        </w:rPr>
        <w:t xml:space="preserve">« L’article L. 1121-1, en vigueur depuis 1992, trouve enfin sa pleine application. »</w:t>
      </w:r>
    </w:p>
    <w:p>
      <w:pPr>
        <w:pStyle w:val="ListParagraph"/>
        <w:numPr>
          <w:ilvl w:val="0"/>
          <w:numId w:val="2"/>
        </w:numPr>
        <w:spacing w:after="70" w:line="264"/>
        <w:jc w:val="both"/>
      </w:pPr>
      <w:r>
        <w:rPr>
          <w:rFonts w:ascii="Calibri" w:cs="Calibri" w:eastAsia="Calibri" w:hAnsi="Calibri"/>
          <w:color w:val="1A1A1A"/>
          <w:sz w:val="20"/>
          <w:szCs w:val="20"/>
        </w:rPr>
        <w:t xml:space="preserve">« La cour d’appel avait vérifié que l’employeur pouvait restreindre ; elle n’avait pas vérifié que ce licenciement était nécessaire. »</w:t>
      </w:r>
    </w:p>
    <w:p>
      <w:pPr>
        <w:pStyle w:val="ListParagraph"/>
        <w:numPr>
          <w:ilvl w:val="0"/>
          <w:numId w:val="2"/>
        </w:numPr>
        <w:spacing w:after="70" w:line="264"/>
        <w:jc w:val="both"/>
      </w:pPr>
      <w:r>
        <w:rPr>
          <w:rFonts w:ascii="Calibri" w:cs="Calibri" w:eastAsia="Calibri" w:hAnsi="Calibri"/>
          <w:color w:val="1A1A1A"/>
          <w:sz w:val="20"/>
          <w:szCs w:val="20"/>
        </w:rPr>
        <w:t xml:space="preserve">« Le dessin est la réponse à un silence : le contexte des demandes d’aménagement restées sans suite change sa lecture. »</w:t>
      </w:r>
    </w:p>
    <w:p>
      <w:pPr>
        <w:pStyle w:val="ListParagraph"/>
        <w:numPr>
          <w:ilvl w:val="0"/>
          <w:numId w:val="2"/>
        </w:numPr>
        <w:spacing w:after="70" w:line="264"/>
        <w:jc w:val="both"/>
      </w:pPr>
      <w:r>
        <w:rPr>
          <w:rFonts w:ascii="Calibri" w:cs="Calibri" w:eastAsia="Calibri" w:hAnsi="Calibri"/>
          <w:color w:val="1A1A1A"/>
          <w:sz w:val="20"/>
          <w:szCs w:val="20"/>
        </w:rPr>
        <w:t xml:space="preserve">« L’atteinte à l’honneur ne se présume pas du seul fait que la personne visée s’est reconnue. »</w:t>
      </w:r>
    </w:p>
    <w:p>
      <w:pPr>
        <w:pStyle w:val="ListParagraph"/>
        <w:numPr>
          <w:ilvl w:val="0"/>
          <w:numId w:val="2"/>
        </w:numPr>
        <w:spacing w:after="70" w:line="264"/>
        <w:jc w:val="both"/>
      </w:pPr>
      <w:r>
        <w:rPr>
          <w:rFonts w:ascii="Calibri" w:cs="Calibri" w:eastAsia="Calibri" w:hAnsi="Calibri"/>
          <w:color w:val="1A1A1A"/>
          <w:sz w:val="20"/>
          <w:szCs w:val="20"/>
        </w:rPr>
        <w:t xml:space="preserve">« La Cour casse pour violation de la loi : elle contrôle la méthode et laisse la pesée aux juges du fond. »</w:t>
      </w:r>
    </w:p>
    <w:p>
      <w:pPr>
        <w:pStyle w:val="ListParagraph"/>
        <w:numPr>
          <w:ilvl w:val="0"/>
          <w:numId w:val="2"/>
        </w:numPr>
        <w:spacing w:after="70" w:line="264"/>
        <w:jc w:val="both"/>
      </w:pPr>
      <w:r>
        <w:rPr>
          <w:rFonts w:ascii="Calibri" w:cs="Calibri" w:eastAsia="Calibri" w:hAnsi="Calibri"/>
          <w:color w:val="1A1A1A"/>
          <w:sz w:val="20"/>
          <w:szCs w:val="20"/>
        </w:rPr>
        <w:t xml:space="preserve">« La mise en balance n’est pas un renforcement à sens unique : le même jour, elle a validé un licenciement et censuré une annulation. »</w:t>
      </w:r>
    </w:p>
    <w:p>
      <w:pPr>
        <w:pStyle w:val="ListParagraph"/>
        <w:numPr>
          <w:ilvl w:val="0"/>
          <w:numId w:val="2"/>
        </w:numPr>
        <w:spacing w:after="70" w:line="264"/>
        <w:jc w:val="both"/>
      </w:pPr>
      <w:r>
        <w:rPr>
          <w:rFonts w:ascii="Calibri" w:cs="Calibri" w:eastAsia="Calibri" w:hAnsi="Calibri"/>
          <w:color w:val="1A1A1A"/>
          <w:sz w:val="20"/>
          <w:szCs w:val="20"/>
        </w:rPr>
        <w:t xml:space="preserve">« La chambre sociale parle désormais le langage de Strasbourg — celui de Palomo Sánchez, qui avait pourtant donné tort au salarié caricaturiste. »</w:t>
      </w:r>
    </w:p>
    <w:p>
      <w:pPr>
        <w:pStyle w:val="Heading2"/>
        <w:spacing w:after="110" w:before="260"/>
      </w:pPr>
      <w:r>
        <w:rPr>
          <w:rFonts w:ascii="Calibri" w:cs="Calibri" w:eastAsia="Calibri" w:hAnsi="Calibri"/>
          <w:b/>
          <w:bCs/>
          <w:color w:val="1A1A1A"/>
          <w:spacing w:val="16"/>
          <w:sz w:val="23"/>
          <w:szCs w:val="23"/>
        </w:rPr>
        <w:t xml:space="preserve">2.2 Vocabulaire précis</w:t>
      </w:r>
    </w:p>
    <w:tbl>
      <w:tblPr>
        <w:tblW w:type="pct" w:w="100%"/>
        <w:tblBorders>
          <w:top w:val="single" w:color="C9C0B6" w:sz="2"/>
          <w:left w:val="single" w:color="C9C0B6" w:sz="2"/>
          <w:bottom w:val="single" w:color="C9C0B6" w:sz="2"/>
          <w:right w:val="single" w:color="C9C0B6" w:sz="2"/>
          <w:insideH w:val="single" w:color="DCD5CC" w:sz="2"/>
          <w:insideV w:val="single" w:color="DCD5CC" w:sz="2"/>
        </w:tblBorders>
      </w:tblPr>
      <w:tblGrid>
        <w:gridCol w:w="100"/>
        <w:gridCol w:w="100"/>
      </w:tblGrid>
      <w:tr>
        <w:trPr>
          <w:tblHeader/>
        </w:trPr>
        <w:tc>
          <w:tcPr>
            <w:tcW w:type="pct" w:w="50%"/>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Dire</w:t>
            </w:r>
          </w:p>
        </w:tc>
        <w:tc>
          <w:tcPr>
            <w:tcW w:type="pct" w:w="50%"/>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Plutôt que</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Cassation partielle, renvoi</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 La Cour annule le licenciement »</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Éléments d’appréciation</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 Critères cumulatifs »</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Mise en balance, conciliation</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 Hiérarchie » des droits</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Irrecevabilité du syndicat (intérêt à agir)</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 Incompétence » du syndicat</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Licenciement pour faute</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 Faute grave »</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Conseil de prud’hommes</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 Tribunal des prud’hommes »</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Responsable des ressources humaines</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 DRH », « employeur »</w:t>
            </w:r>
          </w:p>
        </w:tc>
      </w:tr>
    </w:tbl>
    <w:p>
      <w:pPr>
        <w:spacing w:after="120"/>
      </w:pPr>
    </w:p>
    <w:p>
      <w:pPr>
        <w:pStyle w:val="Heading1"/>
        <w:pBdr>
          <w:bottom w:val="single" w:color="8C1C2B" w:sz="12" w:space="6"/>
        </w:pBdr>
        <w:spacing w:after="90" w:before="260"/>
      </w:pPr>
      <w:r>
        <w:rPr>
          <w:rFonts w:ascii="Calibri" w:cs="Calibri" w:eastAsia="Calibri" w:hAnsi="Calibri"/>
          <w:b/>
          <w:bCs/>
          <w:color w:val="8C1C2B"/>
          <w:sz w:val="28"/>
          <w:szCs w:val="28"/>
        </w:rPr>
        <w:t xml:space="preserve">3. Chiffres et dates</w:t>
      </w:r>
    </w:p>
    <w:tbl>
      <w:tblPr>
        <w:tblW w:type="pct" w:w="100%"/>
        <w:tblBorders>
          <w:top w:val="single" w:color="C9C0B6" w:sz="2"/>
          <w:left w:val="single" w:color="C9C0B6" w:sz="2"/>
          <w:bottom w:val="single" w:color="C9C0B6" w:sz="2"/>
          <w:right w:val="single" w:color="C9C0B6" w:sz="2"/>
          <w:insideH w:val="single" w:color="DCD5CC" w:sz="2"/>
          <w:insideV w:val="single" w:color="DCD5CC" w:sz="2"/>
        </w:tblBorders>
      </w:tblPr>
      <w:tblGrid>
        <w:gridCol w:w="100"/>
        <w:gridCol w:w="100"/>
      </w:tblGrid>
      <w:tr>
        <w:trPr>
          <w:tblHeader/>
        </w:trPr>
        <w:tc>
          <w:tcPr>
            <w:tcW w:type="pct" w:w="50%"/>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Repère</w:t>
            </w:r>
          </w:p>
        </w:tc>
        <w:tc>
          <w:tcPr>
            <w:tcW w:type="pct" w:w="50%"/>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Valeur</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Arrêt Clavaud</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Cass. soc., 28 avril 1988, n° 87-41.804</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Article L. 1121-1 C. trav.</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Loi n° 92-1446 du 31 décembre 1992</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Lois Auroux (droit d’expression directe et collective)</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1982</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Nullité : indemnité minimale</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6 mois de salaire (</w:t>
            </w:r>
            <w:r>
              <w:rPr>
                <w:rFonts w:ascii="Calibri" w:cs="Calibri" w:eastAsia="Calibri" w:hAnsi="Calibri"/>
                <w:b w:val="false"/>
                <w:bCs w:val="false"/>
                <w:color w:val="1E88E5"/>
                <w:sz w:val="17"/>
                <w:szCs w:val="17"/>
              </w:rPr>
              <w:t xml:space="preserve">L. 1235-3-1</w:t>
            </w:r>
            <w:r>
              <w:rPr>
                <w:rFonts w:ascii="Calibri" w:cs="Calibri" w:eastAsia="Calibri" w:hAnsi="Calibri"/>
                <w:b w:val="false"/>
                <w:bCs w:val="false"/>
                <w:color w:val="1A1A1A"/>
                <w:sz w:val="17"/>
                <w:szCs w:val="17"/>
              </w:rPr>
              <w:t xml:space="preserve">)</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Série du 14 janvier 2026</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4 arrêts FS-B (n° 47 à 50) + 1 inédit</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Palomo Sánchez</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CEDH, gr. ch., 12 sept. 2011, n° 28955/06</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Herbai</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CEDH, 5 nov. 2019, n° 11608/15</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Dede</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CEDH, 20 févr. 2024, n° 48340/20</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Tex</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Cass. soc., 20 avril 2022, n° 20-10.852</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Motif contaminant</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Cass. soc., 16 févr. 2022, n° 19-17.871 ; 29 juin 2022, n° 20-16.060</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Réseaux sociaux &lt; 15 ans</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Cons. const., n° 2026-911 DC, 14 août 2026</w:t>
            </w:r>
          </w:p>
        </w:tc>
      </w:tr>
    </w:tbl>
    <w:p>
      <w:pPr>
        <w:spacing w:after="120"/>
      </w:pPr>
    </w:p>
    <w:p>
      <w:pPr>
        <w:pStyle w:val="Heading1"/>
        <w:pBdr>
          <w:bottom w:val="single" w:color="8C1C2B" w:sz="12" w:space="6"/>
        </w:pBdr>
        <w:spacing w:after="90" w:before="260"/>
      </w:pPr>
      <w:r>
        <w:rPr>
          <w:rFonts w:ascii="Calibri" w:cs="Calibri" w:eastAsia="Calibri" w:hAnsi="Calibri"/>
          <w:b/>
          <w:bCs/>
          <w:color w:val="8C1C2B"/>
          <w:sz w:val="28"/>
          <w:szCs w:val="28"/>
        </w:rPr>
        <w:t xml:space="preserve">4. Mémo de méthode : le commentaire d’un arrêt de cassation</w:t>
      </w:r>
    </w:p>
    <w:p>
      <w:pPr>
        <w:pStyle w:val="ListParagraph"/>
        <w:numPr>
          <w:ilvl w:val="0"/>
          <w:numId w:val="2"/>
        </w:numPr>
        <w:spacing w:after="70" w:line="264"/>
        <w:jc w:val="both"/>
      </w:pPr>
      <w:r>
        <w:rPr>
          <w:rFonts w:ascii="Calibri" w:cs="Calibri" w:eastAsia="Calibri" w:hAnsi="Calibri"/>
          <w:b/>
          <w:bCs/>
          <w:color w:val="1A1A1A"/>
          <w:sz w:val="20"/>
          <w:szCs w:val="20"/>
        </w:rPr>
        <w:t xml:space="preserve">Identifier la nature de la cassation</w:t>
      </w:r>
      <w:r>
        <w:rPr>
          <w:rFonts w:ascii="Calibri" w:cs="Calibri" w:eastAsia="Calibri" w:hAnsi="Calibri"/>
          <w:color w:val="1A1A1A"/>
          <w:sz w:val="20"/>
          <w:szCs w:val="20"/>
        </w:rPr>
        <w:t xml:space="preserve"> : violation de la loi (erreur de droit, contrôle normatif) ou manque de base légale (motivation insuffisante) ; cassation totale ou partielle ; renvoi ou non.</w:t>
      </w:r>
    </w:p>
    <w:p>
      <w:pPr>
        <w:pStyle w:val="ListParagraph"/>
        <w:numPr>
          <w:ilvl w:val="0"/>
          <w:numId w:val="2"/>
        </w:numPr>
        <w:spacing w:after="70" w:line="264"/>
        <w:jc w:val="both"/>
      </w:pPr>
      <w:r>
        <w:rPr>
          <w:rFonts w:ascii="Calibri" w:cs="Calibri" w:eastAsia="Calibri" w:hAnsi="Calibri"/>
          <w:b/>
          <w:bCs/>
          <w:color w:val="1A1A1A"/>
          <w:sz w:val="20"/>
          <w:szCs w:val="20"/>
        </w:rPr>
        <w:t xml:space="preserve">Lire le moyen avant la réponse</w:t>
      </w:r>
      <w:r>
        <w:rPr>
          <w:rFonts w:ascii="Calibri" w:cs="Calibri" w:eastAsia="Calibri" w:hAnsi="Calibri"/>
          <w:color w:val="1A1A1A"/>
          <w:sz w:val="20"/>
          <w:szCs w:val="20"/>
        </w:rPr>
        <w:t xml:space="preserve"> : la réponse se comprend par différence.</w:t>
      </w:r>
    </w:p>
    <w:p>
      <w:pPr>
        <w:pStyle w:val="ListParagraph"/>
        <w:numPr>
          <w:ilvl w:val="0"/>
          <w:numId w:val="2"/>
        </w:numPr>
        <w:spacing w:after="70" w:line="264"/>
        <w:jc w:val="both"/>
      </w:pPr>
      <w:r>
        <w:rPr>
          <w:rFonts w:ascii="Calibri" w:cs="Calibri" w:eastAsia="Calibri" w:hAnsi="Calibri"/>
          <w:b/>
          <w:bCs/>
          <w:color w:val="1A1A1A"/>
          <w:sz w:val="20"/>
          <w:szCs w:val="20"/>
        </w:rPr>
        <w:t xml:space="preserve">Repérer le chapeau</w:t>
      </w:r>
      <w:r>
        <w:rPr>
          <w:rFonts w:ascii="Calibri" w:cs="Calibri" w:eastAsia="Calibri" w:hAnsi="Calibri"/>
          <w:color w:val="1A1A1A"/>
          <w:sz w:val="20"/>
          <w:szCs w:val="20"/>
        </w:rPr>
        <w:t xml:space="preserve"> : la phrase de principe, souvent introduite par « </w:t>
      </w:r>
      <w:r>
        <w:rPr>
          <w:rFonts w:ascii="Calibri" w:cs="Calibri" w:eastAsia="Calibri" w:hAnsi="Calibri"/>
          <w:i/>
          <w:iCs/>
          <w:color w:val="1A1A1A"/>
          <w:sz w:val="20"/>
          <w:szCs w:val="20"/>
        </w:rPr>
        <w:t xml:space="preserve">Il résulte de ces textes que…</w:t>
      </w:r>
      <w:r>
        <w:rPr>
          <w:rFonts w:ascii="Calibri" w:cs="Calibri" w:eastAsia="Calibri" w:hAnsi="Calibri"/>
          <w:color w:val="1A1A1A"/>
          <w:sz w:val="20"/>
          <w:szCs w:val="20"/>
        </w:rPr>
        <w:t xml:space="preserve"> ».</w:t>
      </w:r>
    </w:p>
    <w:p>
      <w:pPr>
        <w:pStyle w:val="ListParagraph"/>
        <w:numPr>
          <w:ilvl w:val="0"/>
          <w:numId w:val="2"/>
        </w:numPr>
        <w:spacing w:after="70" w:line="264"/>
        <w:jc w:val="both"/>
      </w:pPr>
      <w:r>
        <w:rPr>
          <w:rFonts w:ascii="Calibri" w:cs="Calibri" w:eastAsia="Calibri" w:hAnsi="Calibri"/>
          <w:b/>
          <w:bCs/>
          <w:color w:val="1A1A1A"/>
          <w:sz w:val="20"/>
          <w:szCs w:val="20"/>
        </w:rPr>
        <w:t xml:space="preserve">Situer dans la série</w:t>
      </w:r>
      <w:r>
        <w:rPr>
          <w:rFonts w:ascii="Calibri" w:cs="Calibri" w:eastAsia="Calibri" w:hAnsi="Calibri"/>
          <w:color w:val="1A1A1A"/>
          <w:sz w:val="20"/>
          <w:szCs w:val="20"/>
        </w:rPr>
        <w:t xml:space="preserve"> : un arrêt publié le même jour que d’autres sur la même question appelle une lecture d’ensemble.</w:t>
      </w:r>
    </w:p>
    <w:p>
      <w:pPr>
        <w:pStyle w:val="ListParagraph"/>
        <w:numPr>
          <w:ilvl w:val="0"/>
          <w:numId w:val="2"/>
        </w:numPr>
        <w:spacing w:after="70" w:line="264"/>
        <w:jc w:val="both"/>
      </w:pPr>
      <w:r>
        <w:rPr>
          <w:rFonts w:ascii="Calibri" w:cs="Calibri" w:eastAsia="Calibri" w:hAnsi="Calibri"/>
          <w:b/>
          <w:bCs/>
          <w:color w:val="1A1A1A"/>
          <w:sz w:val="20"/>
          <w:szCs w:val="20"/>
        </w:rPr>
        <w:t xml:space="preserve">Ne jamais dire plus que l’arrêt</w:t>
      </w:r>
      <w:r>
        <w:rPr>
          <w:rFonts w:ascii="Calibri" w:cs="Calibri" w:eastAsia="Calibri" w:hAnsi="Calibri"/>
          <w:color w:val="1A1A1A"/>
          <w:sz w:val="20"/>
          <w:szCs w:val="20"/>
        </w:rPr>
        <w:t xml:space="preserve"> : une cassation pour défaut d’examen ne tranche pas le fond.</w:t>
      </w:r>
    </w:p>
    <w:p>
      <w:pPr>
        <w:pStyle w:val="ListParagraph"/>
        <w:numPr>
          <w:ilvl w:val="0"/>
          <w:numId w:val="2"/>
        </w:numPr>
        <w:spacing w:after="70" w:line="264"/>
        <w:jc w:val="both"/>
      </w:pPr>
      <w:r>
        <w:rPr>
          <w:rFonts w:ascii="Calibri" w:cs="Calibri" w:eastAsia="Calibri" w:hAnsi="Calibri"/>
          <w:b/>
          <w:bCs/>
          <w:color w:val="1A1A1A"/>
          <w:sz w:val="20"/>
          <w:szCs w:val="20"/>
        </w:rPr>
        <w:t xml:space="preserve">Appliquer aux faits</w:t>
      </w:r>
      <w:r>
        <w:rPr>
          <w:rFonts w:ascii="Calibri" w:cs="Calibri" w:eastAsia="Calibri" w:hAnsi="Calibri"/>
          <w:color w:val="1A1A1A"/>
          <w:sz w:val="20"/>
          <w:szCs w:val="20"/>
        </w:rPr>
        <w:t xml:space="preserve"> : chaque critère abstrait gagne à être illustré par un détail de l’espèce (la poubelle « non recyclable », la remise en main propre, les demandes d’aménagement).</w:t>
      </w:r>
    </w:p>
    <w:p>
      <w:pPr>
        <w:pStyle w:val="ListParagraph"/>
        <w:numPr>
          <w:ilvl w:val="0"/>
          <w:numId w:val="2"/>
        </w:numPr>
        <w:spacing w:after="70" w:line="264"/>
        <w:jc w:val="both"/>
      </w:pPr>
      <w:r>
        <w:rPr>
          <w:rFonts w:ascii="Calibri" w:cs="Calibri" w:eastAsia="Calibri" w:hAnsi="Calibri"/>
          <w:b/>
          <w:bCs/>
          <w:color w:val="1A1A1A"/>
          <w:sz w:val="20"/>
          <w:szCs w:val="20"/>
        </w:rPr>
        <w:t xml:space="preserve">Conclure par la portée</w:t>
      </w:r>
      <w:r>
        <w:rPr>
          <w:rFonts w:ascii="Calibri" w:cs="Calibri" w:eastAsia="Calibri" w:hAnsi="Calibri"/>
          <w:color w:val="1A1A1A"/>
          <w:sz w:val="20"/>
          <w:szCs w:val="20"/>
        </w:rPr>
        <w:t xml:space="preserve"> : progrès, risque, avenir (cour de renvoi, cours d’appel, CEDH).</w:t>
      </w:r>
    </w:p>
    <w:sectPr>
      <w:footerReference w:type="default" r:id="rId7"/>
      <w:pgSz w:w="11906" w:h="16838" w:orient="portrait"/>
      <w:pgMar w:top="1020" w:right="1077" w:bottom="1020" w:left="107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5"/>
        <w:szCs w:val="15"/>
      </w:rPr>
      <w:t xml:space="preserve">Grand Oral CRFPA — Entraînement n° 4 — Cass. soc., 14 janvier 2026, n° 23-19.947   |   </w:t>
    </w:r>
    <w:r>
      <w:rPr>
        <w:rFonts w:ascii="Calibri" w:cs="Calibri" w:eastAsia="Calibri" w:hAnsi="Calibri"/>
        <w:color w:val="5A5A5A"/>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700" w:hanging="200"/>
      </w:pPr>
    </w:lvl>
    <w:lvl w:ilvl="2" w15:tentative="1">
      <w:start w:val="1"/>
      <w:numFmt w:val="bullet"/>
      <w:lvlText w:val="·"/>
      <w:lvlJc w:val="left"/>
      <w:pPr>
        <w:ind w:left="10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Grand Oral CRFPA — Correction enrichie — Entraînement n° 4 — Liberté d’expression du salarié</dc:title>
  <dc:creator>Simon</dc:creator>
  <dc:description>Correction reprise et enrichie du quatrième entraînement Objectif Barreau</dc:description>
  <cp:lastModifiedBy>Un-named</cp:lastModifiedBy>
  <cp:revision>1</cp:revision>
  <dcterms:created xsi:type="dcterms:W3CDTF">2026-10-17T07:28:17.028Z</dcterms:created>
  <dcterms:modified xsi:type="dcterms:W3CDTF">2026-10-17T07:28:17.030Z</dcterms:modified>
</cp:coreProperties>
</file>

<file path=docProps/custom.xml><?xml version="1.0" encoding="utf-8"?>
<Properties xmlns="http://schemas.openxmlformats.org/officeDocument/2006/custom-properties" xmlns:vt="http://schemas.openxmlformats.org/officeDocument/2006/docPropsVTypes"/>
</file>