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rFonts w:ascii="Calibri" w:cs="Calibri" w:eastAsia="Calibri" w:hAnsi="Calibri"/>
          <w:b/>
          <w:bCs/>
          <w:color w:val="8C1C2B"/>
          <w:sz w:val="40"/>
          <w:szCs w:val="40"/>
        </w:rPr>
        <w:t xml:space="preserve">GRAND ORAL CRFPA</w:t>
      </w:r>
    </w:p>
    <w:p>
      <w:pPr>
        <w:spacing w:after="100"/>
        <w:jc w:val="center"/>
      </w:pPr>
      <w:r>
        <w:rPr>
          <w:rFonts w:ascii="Calibri" w:cs="Calibri" w:eastAsia="Calibri" w:hAnsi="Calibri"/>
          <w:b/>
          <w:bCs/>
          <w:color w:val="1A1A1A"/>
          <w:sz w:val="24"/>
          <w:szCs w:val="24"/>
        </w:rPr>
        <w:t xml:space="preserve">Correction enrichie — Entraînement n° 5</w:t>
      </w:r>
    </w:p>
    <w:p>
      <w:pPr>
        <w:spacing w:after="100"/>
        <w:jc w:val="center"/>
      </w:pPr>
      <w:r>
        <w:rPr>
          <w:rFonts w:ascii="Calibri" w:cs="Calibri" w:eastAsia="Calibri" w:hAnsi="Calibri"/>
          <w:color w:val="1A1A1A"/>
          <w:sz w:val="24"/>
          <w:szCs w:val="24"/>
        </w:rPr>
        <w:t xml:space="preserve">Dissertation : « Les droits fondamentaux à l’épreuve de la surpopulation carcérale »</w:t>
      </w:r>
    </w:p>
    <w:p>
      <w:pPr>
        <w:spacing w:after="100"/>
        <w:jc w:val="center"/>
      </w:pPr>
      <w:r>
        <w:rPr>
          <w:rFonts w:ascii="Calibri" w:cs="Calibri" w:eastAsia="Calibri" w:hAnsi="Calibri"/>
          <w:i/>
          <w:iCs/>
          <w:color w:val="1A1A1A"/>
          <w:sz w:val="24"/>
          <w:szCs w:val="24"/>
        </w:rPr>
        <w:t xml:space="preserve">Des droits pleinement opposables, une protection juridictionnelle renouvelée, un mal structurel que le juge ne peut guérir seul</w:t>
      </w:r>
    </w:p>
    <w:p>
      <w:pPr>
        <w:spacing w:after="100" w:before="400"/>
        <w:jc w:val="center"/>
      </w:pPr>
      <w:r>
        <w:rPr>
          <w:rFonts w:ascii="Calibri" w:cs="Calibri" w:eastAsia="Calibri" w:hAnsi="Calibri"/>
          <w:color w:val="1A1A1A"/>
          <w:sz w:val="19"/>
          <w:szCs w:val="19"/>
        </w:rPr>
        <w:t xml:space="preserve">Live Objectif Barreau du 26 octobre 2026 (Michaël Poyet) — corrigé reconstitué, vérifié et enrichi (actualité arrêtée au 26 octobre 2026)</w:t>
      </w:r>
    </w:p>
    <w:p>
      <w:pPr>
        <w:spacing w:after="100" w:before="400"/>
        <w:jc w:val="center"/>
      </w:pPr>
      <w:r>
        <w:rPr>
          <w:rFonts w:ascii="Calibri" w:cs="Calibri" w:eastAsia="Calibri" w:hAnsi="Calibri"/>
          <w:color w:val="1A1A1A"/>
          <w:sz w:val="19"/>
          <w:szCs w:val="19"/>
        </w:rPr>
        <w:t xml:space="preserve">Code couleur : </w:t>
      </w:r>
      <w:r>
        <w:rPr>
          <w:rFonts w:ascii="Calibri" w:cs="Calibri" w:eastAsia="Calibri" w:hAnsi="Calibri"/>
          <w:color w:val="1E88E5"/>
          <w:sz w:val="19"/>
          <w:szCs w:val="19"/>
        </w:rPr>
        <w:t xml:space="preserve">textes normatifs en bleu</w:t>
      </w:r>
      <w:r>
        <w:rPr>
          <w:rFonts w:ascii="Calibri" w:cs="Calibri" w:eastAsia="Calibri" w:hAnsi="Calibri"/>
          <w:color w:val="1A1A1A"/>
          <w:sz w:val="19"/>
          <w:szCs w:val="19"/>
        </w:rPr>
        <w:t xml:space="preserve"> · </w:t>
      </w:r>
      <w:r>
        <w:rPr>
          <w:rFonts w:ascii="Calibri" w:cs="Calibri" w:eastAsia="Calibri" w:hAnsi="Calibri"/>
          <w:color w:val="E91E63"/>
          <w:sz w:val="19"/>
          <w:szCs w:val="19"/>
        </w:rPr>
        <w:t xml:space="preserve">jurisprudence en rose</w:t>
      </w:r>
      <w:r>
        <w:rPr>
          <w:rFonts w:ascii="Calibri" w:cs="Calibri" w:eastAsia="Calibri" w:hAnsi="Calibri"/>
          <w:color w:val="1A1A1A"/>
          <w:sz w:val="19"/>
          <w:szCs w:val="19"/>
        </w:rPr>
        <w:t xml:space="preserve"> · </w:t>
      </w:r>
      <w:r>
        <w:rPr>
          <w:rFonts w:ascii="Calibri" w:cs="Calibri" w:eastAsia="Calibri" w:hAnsi="Calibri"/>
          <w:color w:val="2E7D32"/>
          <w:sz w:val="19"/>
          <w:szCs w:val="19"/>
        </w:rPr>
        <w:t xml:space="preserve">doctrine et rapports en vert</w:t>
      </w:r>
      <w:r>
        <w:rPr>
          <w:rFonts w:ascii="Calibri" w:cs="Calibri" w:eastAsia="Calibri" w:hAnsi="Calibri"/>
          <w:color w:val="1A1A1A"/>
          <w:sz w:val="19"/>
          <w:szCs w:val="19"/>
        </w:rPr>
        <w:t xml:space="preserve"> · </w:t>
      </w:r>
      <w:r>
        <w:rPr>
          <w:rFonts w:ascii="Calibri" w:cs="Calibri" w:eastAsia="Calibri" w:hAnsi="Calibri"/>
          <w:b/>
          <w:bCs/>
          <w:color w:val="1A1A1A"/>
          <w:sz w:val="19"/>
          <w:szCs w:val="19"/>
        </w:rPr>
        <w:t xml:space="preserve">gras = apport à mémoriser</w:t>
      </w:r>
    </w:p>
    <w:p>
      <w:pPr>
        <w:spacing w:after="100" w:before="400"/>
        <w:jc w:val="center"/>
      </w:pPr>
      <w:r>
        <w:rPr>
          <w:rFonts w:ascii="Calibri" w:cs="Calibri" w:eastAsia="Calibri" w:hAnsi="Calibri"/>
          <w:color w:val="1A1A1A"/>
          <w:sz w:val="19"/>
          <w:szCs w:val="19"/>
        </w:rPr>
        <w:t xml:space="preserve">Aucun support de cours n’a été transmis pour ce live : le plan du correcteur n’est connu que par la problématique recopiée dans le chat. Le plan recommandé ici est construit pour y répondre.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MODE D’EMPLOI</w:t>
      </w:r>
    </w:p>
    <w:p>
      <w:pPr>
        <w:spacing w:after="90" w:line="264"/>
        <w:jc w:val="both"/>
      </w:pPr>
      <w:r>
        <w:rPr>
          <w:rFonts w:ascii="Calibri" w:cs="Calibri" w:eastAsia="Calibri" w:hAnsi="Calibri"/>
          <w:color w:val="1A1A1A"/>
          <w:sz w:val="20"/>
          <w:szCs w:val="20"/>
        </w:rPr>
        <w:t xml:space="preserve">Cette correction suit l’architecture de l’entraînement n° 3 (dissertation). La </w:t>
      </w:r>
      <w:r>
        <w:rPr>
          <w:rFonts w:ascii="Calibri" w:cs="Calibri" w:eastAsia="Calibri" w:hAnsi="Calibri"/>
          <w:b/>
          <w:bCs/>
          <w:color w:val="1A1A1A"/>
          <w:sz w:val="20"/>
          <w:szCs w:val="20"/>
        </w:rPr>
        <w:t xml:space="preserve">fiche-mémoire</w:t>
      </w:r>
      <w:r>
        <w:rPr>
          <w:rFonts w:ascii="Calibri" w:cs="Calibri" w:eastAsia="Calibri" w:hAnsi="Calibri"/>
          <w:color w:val="1A1A1A"/>
          <w:sz w:val="20"/>
          <w:szCs w:val="20"/>
        </w:rPr>
        <w:t xml:space="preserve"> (4 pages) suffit pour réviser ; le reste sert à approfondir et à préparer l’entretien.</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Partie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Contenu</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Usage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Fiche-mémoire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Accroche, chiffres, définitions, problématique, cinq références ★, plan recommandé, pièges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Relire la veille et le matin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Dossier documentaire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Chiffres vérifiés, architecture textuelle, jurisprudence européenne, constitutionnelle, administrative et judiciaire, le recours de l’art. 803-8 CPP, politiques publiques, actualité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Nourrir les sous-parties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La dissertation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Lecture du sujet, heure de préparation, introduction rédigée, plan détaillé avec chapeaux et transitions, conclusion, plan du correcteur, plan alternatif « soutenez que », relances du jury</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S’entraîner à l’exposé</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III. Correction des plans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Analyse de 15 plans du chat, note indicative, fautes récurrentes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Éviter les erreurs des autres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IV. Questions du chat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Réponses vérifiées (vie privée en cellule, suicide, recours, droit comparé, conclusion…)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Préparer l’entretien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 Annexes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Références à corriger, kit oral, chiffres et dates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Dernière vérification</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Trois avertissements de méthode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1. Le sujet est « à l’épreuve » : il appelle un test, pas un constat.</w:t>
      </w:r>
      <w:r>
        <w:rPr>
          <w:rFonts w:ascii="Calibri" w:cs="Calibri" w:eastAsia="Calibri" w:hAnsi="Calibri"/>
          <w:color w:val="1A1A1A"/>
          <w:sz w:val="19"/>
          <w:szCs w:val="19"/>
        </w:rPr>
        <w:t xml:space="preserve"> « Les droits fondamentaux à l’épreuve de… » signifie : les droits résistent-ils ? Un plan purement descriptif (« I. Les atteintes ; II. Les recours ») est acceptable, mais le jury attend une thèse : les droits fondamentaux </w:t>
      </w:r>
      <w:r>
        <w:rPr>
          <w:rFonts w:ascii="Calibri" w:cs="Calibri" w:eastAsia="Calibri" w:hAnsi="Calibri"/>
          <w:b/>
          <w:bCs/>
          <w:color w:val="1A1A1A"/>
          <w:sz w:val="19"/>
          <w:szCs w:val="19"/>
        </w:rPr>
        <w:t xml:space="preserve">tiennent en droit</w:t>
      </w:r>
      <w:r>
        <w:rPr>
          <w:rFonts w:ascii="Calibri" w:cs="Calibri" w:eastAsia="Calibri" w:hAnsi="Calibri"/>
          <w:color w:val="1A1A1A"/>
          <w:sz w:val="19"/>
          <w:szCs w:val="19"/>
        </w:rPr>
        <w:t xml:space="preserve"> (ils sont opposables, sanctionnés, le juge s’est armé) mais </w:t>
      </w:r>
      <w:r>
        <w:rPr>
          <w:rFonts w:ascii="Calibri" w:cs="Calibri" w:eastAsia="Calibri" w:hAnsi="Calibri"/>
          <w:b/>
          <w:bCs/>
          <w:color w:val="1A1A1A"/>
          <w:sz w:val="19"/>
          <w:szCs w:val="19"/>
        </w:rPr>
        <w:t xml:space="preserve">plient en fait</w:t>
      </w:r>
      <w:r>
        <w:rPr>
          <w:rFonts w:ascii="Calibri" w:cs="Calibri" w:eastAsia="Calibri" w:hAnsi="Calibri"/>
          <w:color w:val="1A1A1A"/>
          <w:sz w:val="19"/>
          <w:szCs w:val="19"/>
        </w:rPr>
        <w:t xml:space="preserve"> (la surpopulation, phénomène structurel, échappe à une protection individuelle et juridictionnelle).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2. Ne pas réduire le sujet à la dignité.</w:t>
      </w:r>
      <w:r>
        <w:rPr>
          <w:rFonts w:ascii="Calibri" w:cs="Calibri" w:eastAsia="Calibri" w:hAnsi="Calibri"/>
          <w:color w:val="1A1A1A"/>
          <w:sz w:val="19"/>
          <w:szCs w:val="19"/>
        </w:rPr>
        <w:t xml:space="preserve"> Presque tous les plans du chat tournent autour de l’art. 3 CEDH. C’est le cœur, mais la surpopulation touche aussi la </w:t>
      </w:r>
      <w:r>
        <w:rPr>
          <w:rFonts w:ascii="Calibri" w:cs="Calibri" w:eastAsia="Calibri" w:hAnsi="Calibri"/>
          <w:b/>
          <w:bCs/>
          <w:color w:val="1A1A1A"/>
          <w:sz w:val="19"/>
          <w:szCs w:val="19"/>
        </w:rPr>
        <w:t xml:space="preserve">vie</w:t>
      </w:r>
      <w:r>
        <w:rPr>
          <w:rFonts w:ascii="Calibri" w:cs="Calibri" w:eastAsia="Calibri" w:hAnsi="Calibri"/>
          <w:color w:val="1A1A1A"/>
          <w:sz w:val="19"/>
          <w:szCs w:val="19"/>
        </w:rPr>
        <w:t xml:space="preserve"> (suicides, violences : art. 2), la </w:t>
      </w:r>
      <w:r>
        <w:rPr>
          <w:rFonts w:ascii="Calibri" w:cs="Calibri" w:eastAsia="Calibri" w:hAnsi="Calibri"/>
          <w:b/>
          <w:bCs/>
          <w:color w:val="1A1A1A"/>
          <w:sz w:val="19"/>
          <w:szCs w:val="19"/>
        </w:rPr>
        <w:t xml:space="preserve">santé</w:t>
      </w:r>
      <w:r>
        <w:rPr>
          <w:rFonts w:ascii="Calibri" w:cs="Calibri" w:eastAsia="Calibri" w:hAnsi="Calibri"/>
          <w:color w:val="1A1A1A"/>
          <w:sz w:val="19"/>
          <w:szCs w:val="19"/>
        </w:rPr>
        <w:t xml:space="preserve"> (al. 11 du Préambule de 1946), la </w:t>
      </w:r>
      <w:r>
        <w:rPr>
          <w:rFonts w:ascii="Calibri" w:cs="Calibri" w:eastAsia="Calibri" w:hAnsi="Calibri"/>
          <w:b/>
          <w:bCs/>
          <w:color w:val="1A1A1A"/>
          <w:sz w:val="19"/>
          <w:szCs w:val="19"/>
        </w:rPr>
        <w:t xml:space="preserve">vie privée et familiale</w:t>
      </w:r>
      <w:r>
        <w:rPr>
          <w:rFonts w:ascii="Calibri" w:cs="Calibri" w:eastAsia="Calibri" w:hAnsi="Calibri"/>
          <w:color w:val="1A1A1A"/>
          <w:sz w:val="19"/>
          <w:szCs w:val="19"/>
        </w:rPr>
        <w:t xml:space="preserve"> (intimité, parloirs, transferts : art. 8), le </w:t>
      </w:r>
      <w:r>
        <w:rPr>
          <w:rFonts w:ascii="Calibri" w:cs="Calibri" w:eastAsia="Calibri" w:hAnsi="Calibri"/>
          <w:b/>
          <w:bCs/>
          <w:color w:val="1A1A1A"/>
          <w:sz w:val="19"/>
          <w:szCs w:val="19"/>
        </w:rPr>
        <w:t xml:space="preserve">droit au recours</w:t>
      </w:r>
      <w:r>
        <w:rPr>
          <w:rFonts w:ascii="Calibri" w:cs="Calibri" w:eastAsia="Calibri" w:hAnsi="Calibri"/>
          <w:color w:val="1A1A1A"/>
          <w:sz w:val="19"/>
          <w:szCs w:val="19"/>
        </w:rPr>
        <w:t xml:space="preserve"> (art. 13 et 16 DDHC), la </w:t>
      </w:r>
      <w:r>
        <w:rPr>
          <w:rFonts w:ascii="Calibri" w:cs="Calibri" w:eastAsia="Calibri" w:hAnsi="Calibri"/>
          <w:b/>
          <w:bCs/>
          <w:color w:val="1A1A1A"/>
          <w:sz w:val="19"/>
          <w:szCs w:val="19"/>
        </w:rPr>
        <w:t xml:space="preserve">réinsertion</w:t>
      </w:r>
      <w:r>
        <w:rPr>
          <w:rFonts w:ascii="Calibri" w:cs="Calibri" w:eastAsia="Calibri" w:hAnsi="Calibri"/>
          <w:color w:val="1A1A1A"/>
          <w:sz w:val="19"/>
          <w:szCs w:val="19"/>
        </w:rPr>
        <w:t xml:space="preserve"> et le </w:t>
      </w:r>
      <w:r>
        <w:rPr>
          <w:rFonts w:ascii="Calibri" w:cs="Calibri" w:eastAsia="Calibri" w:hAnsi="Calibri"/>
          <w:b/>
          <w:bCs/>
          <w:color w:val="1A1A1A"/>
          <w:sz w:val="19"/>
          <w:szCs w:val="19"/>
        </w:rPr>
        <w:t xml:space="preserve">sens de la peine</w:t>
      </w:r>
      <w:r>
        <w:rPr>
          <w:rFonts w:ascii="Calibri" w:cs="Calibri" w:eastAsia="Calibri" w:hAnsi="Calibri"/>
          <w:color w:val="1A1A1A"/>
          <w:sz w:val="19"/>
          <w:szCs w:val="19"/>
        </w:rPr>
        <w:t xml:space="preserve">, et même la </w:t>
      </w:r>
      <w:r>
        <w:rPr>
          <w:rFonts w:ascii="Calibri" w:cs="Calibri" w:eastAsia="Calibri" w:hAnsi="Calibri"/>
          <w:b/>
          <w:bCs/>
          <w:color w:val="1A1A1A"/>
          <w:sz w:val="19"/>
          <w:szCs w:val="19"/>
        </w:rPr>
        <w:t xml:space="preserve">présomption d’innocence</w:t>
      </w:r>
      <w:r>
        <w:rPr>
          <w:rFonts w:ascii="Calibri" w:cs="Calibri" w:eastAsia="Calibri" w:hAnsi="Calibri"/>
          <w:color w:val="1A1A1A"/>
          <w:sz w:val="19"/>
          <w:szCs w:val="19"/>
        </w:rPr>
        <w:t xml:space="preserve"> (les maisons d’arrêt accueillent surtout des prévenus). Un plan qui montre cette pluralité se distingue.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3. Les chiffres doivent être justes.</w:t>
      </w:r>
      <w:r>
        <w:rPr>
          <w:rFonts w:ascii="Calibri" w:cs="Calibri" w:eastAsia="Calibri" w:hAnsi="Calibri"/>
          <w:color w:val="1A1A1A"/>
          <w:sz w:val="19"/>
          <w:szCs w:val="19"/>
        </w:rPr>
        <w:t xml:space="preserve"> Au 1er septembre 2026 : </w:t>
      </w:r>
      <w:r>
        <w:rPr>
          <w:rFonts w:ascii="Calibri" w:cs="Calibri" w:eastAsia="Calibri" w:hAnsi="Calibri"/>
          <w:b/>
          <w:bCs/>
          <w:color w:val="1A1A1A"/>
          <w:sz w:val="19"/>
          <w:szCs w:val="19"/>
        </w:rPr>
        <w:t xml:space="preserve">90 020 détenus</w:t>
      </w:r>
      <w:r>
        <w:rPr>
          <w:rFonts w:ascii="Calibri" w:cs="Calibri" w:eastAsia="Calibri" w:hAnsi="Calibri"/>
          <w:color w:val="1A1A1A"/>
          <w:sz w:val="19"/>
          <w:szCs w:val="19"/>
        </w:rPr>
        <w:t xml:space="preserve"> pour un peu plus de 63 000 places opérationnelles, soit une densité supérieure à 140 % ; plus de 8 300 matelas au sol. Au 1er octobre 2026 : </w:t>
      </w:r>
      <w:r>
        <w:rPr>
          <w:rFonts w:ascii="Calibri" w:cs="Calibri" w:eastAsia="Calibri" w:hAnsi="Calibri"/>
          <w:b/>
          <w:bCs/>
          <w:color w:val="1A1A1A"/>
          <w:sz w:val="19"/>
          <w:szCs w:val="19"/>
        </w:rPr>
        <w:t xml:space="preserve">89 400 détenus</w:t>
      </w:r>
      <w:r>
        <w:rPr>
          <w:rFonts w:ascii="Calibri" w:cs="Calibri" w:eastAsia="Calibri" w:hAnsi="Calibri"/>
          <w:color w:val="1A1A1A"/>
          <w:sz w:val="19"/>
          <w:szCs w:val="19"/>
        </w:rPr>
        <w:t xml:space="preserve"> en métropole et outre-mer hors collectivités, 90 900 avec la Nouvelle-Calédonie et la Polynésie (+ 7 % sur un an). Un « dépassement de plus de 100 % » (Selwyne G) est faux : le dépassement est d’environ 40 % en moyenne, mais il dépasse 65 % dans les maisons d’arrêt.</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FICHE-MÉMOIRE</w:t>
      </w:r>
    </w:p>
    <w:p>
      <w:pPr>
        <w:pStyle w:val="Heading2"/>
        <w:spacing w:after="110" w:before="260"/>
      </w:pPr>
      <w:r>
        <w:rPr>
          <w:rFonts w:ascii="Calibri" w:cs="Calibri" w:eastAsia="Calibri" w:hAnsi="Calibri"/>
          <w:b/>
          <w:bCs/>
          <w:color w:val="1A1A1A"/>
          <w:spacing w:val="16"/>
          <w:sz w:val="23"/>
          <w:szCs w:val="23"/>
        </w:rPr>
        <w:t xml:space="preserve">L’accroche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color w:val="1A1A1A"/>
          <w:sz w:val="19"/>
          <w:szCs w:val="19"/>
        </w:rPr>
        <w:t xml:space="preserve">« </w:t>
      </w:r>
      <w:r>
        <w:rPr>
          <w:rFonts w:ascii="Calibri" w:cs="Calibri" w:eastAsia="Calibri" w:hAnsi="Calibri"/>
          <w:i/>
          <w:iCs/>
          <w:color w:val="1A1A1A"/>
          <w:sz w:val="19"/>
          <w:szCs w:val="19"/>
        </w:rPr>
        <w:t xml:space="preserve">Les prisons françaises comptent aujourd’hui plus de détenus que jamais : 90 020 au 1er septembre 2026, pour un peu plus de 63 000 places, et plus de 8 300 personnes dormant sur un matelas posé au sol.</w:t>
      </w:r>
      <w:r>
        <w:rPr>
          <w:rFonts w:ascii="Calibri" w:cs="Calibri" w:eastAsia="Calibri" w:hAnsi="Calibri"/>
          <w:color w:val="1A1A1A"/>
          <w:sz w:val="19"/>
          <w:szCs w:val="19"/>
        </w:rPr>
        <w:t xml:space="preserve"> » Trois mois plus tôt, le </w:t>
      </w:r>
      <w:r>
        <w:rPr>
          <w:rFonts w:ascii="Calibri" w:cs="Calibri" w:eastAsia="Calibri" w:hAnsi="Calibri"/>
          <w:color w:val="2E7D32"/>
          <w:sz w:val="19"/>
          <w:szCs w:val="19"/>
        </w:rPr>
        <w:t xml:space="preserve">Sous-comité des Nations unies pour la prévention de la torture</w:t>
      </w:r>
      <w:r>
        <w:rPr>
          <w:rFonts w:ascii="Calibri" w:cs="Calibri" w:eastAsia="Calibri" w:hAnsi="Calibri"/>
          <w:color w:val="1A1A1A"/>
          <w:sz w:val="19"/>
          <w:szCs w:val="19"/>
        </w:rPr>
        <w:t xml:space="preserve">, en visite pour la première fois en France (17-23 mai 2026), jugeait que cette surpopulation « </w:t>
      </w:r>
      <w:r>
        <w:rPr>
          <w:rFonts w:ascii="Calibri" w:cs="Calibri" w:eastAsia="Calibri" w:hAnsi="Calibri"/>
          <w:i/>
          <w:iCs/>
          <w:color w:val="1A1A1A"/>
          <w:sz w:val="19"/>
          <w:szCs w:val="19"/>
        </w:rPr>
        <w:t xml:space="preserve">pourrait constituer un traitement inhumain ou dégradant</w:t>
      </w:r>
      <w:r>
        <w:rPr>
          <w:rFonts w:ascii="Calibri" w:cs="Calibri" w:eastAsia="Calibri" w:hAnsi="Calibri"/>
          <w:color w:val="1A1A1A"/>
          <w:sz w:val="19"/>
          <w:szCs w:val="19"/>
        </w:rPr>
        <w:t xml:space="preserve"> ».</w:t>
      </w:r>
    </w:p>
    <w:p>
      <w:pPr>
        <w:pStyle w:val="Heading3"/>
        <w:spacing w:after="80" w:before="200"/>
      </w:pPr>
      <w:r>
        <w:rPr>
          <w:rFonts w:ascii="Calibri" w:cs="Calibri" w:eastAsia="Calibri" w:hAnsi="Calibri"/>
          <w:b/>
          <w:bCs/>
          <w:i/>
          <w:iCs/>
          <w:color w:val="1A1A1A"/>
          <w:sz w:val="21"/>
          <w:szCs w:val="21"/>
        </w:rPr>
        <w:t xml:space="preserve">Accroches alternatives</w:t>
      </w:r>
    </w:p>
    <w:p>
      <w:pPr>
        <w:pStyle w:val="ListParagraph"/>
        <w:numPr>
          <w:ilvl w:val="0"/>
          <w:numId w:val="2"/>
        </w:numPr>
        <w:spacing w:after="70" w:line="264"/>
        <w:jc w:val="both"/>
      </w:pPr>
      <w:r>
        <w:rPr>
          <w:rFonts w:ascii="Calibri" w:cs="Calibri" w:eastAsia="Calibri" w:hAnsi="Calibri"/>
          <w:b/>
          <w:bCs/>
          <w:color w:val="1A1A1A"/>
          <w:sz w:val="20"/>
          <w:szCs w:val="20"/>
        </w:rPr>
        <w:t xml:space="preserve">Historique</w:t>
      </w:r>
      <w:r>
        <w:rPr>
          <w:rFonts w:ascii="Calibri" w:cs="Calibri" w:eastAsia="Calibri" w:hAnsi="Calibri"/>
          <w:color w:val="1A1A1A"/>
          <w:sz w:val="20"/>
          <w:szCs w:val="20"/>
        </w:rPr>
        <w:t xml:space="preserve"> : le principe de l’encellulement individuel date de la </w:t>
      </w:r>
      <w:r>
        <w:rPr>
          <w:rFonts w:ascii="Calibri" w:cs="Calibri" w:eastAsia="Calibri" w:hAnsi="Calibri"/>
          <w:color w:val="1E88E5"/>
          <w:sz w:val="20"/>
          <w:szCs w:val="20"/>
        </w:rPr>
        <w:t xml:space="preserve">loi du 5 juin 1875</w:t>
      </w:r>
      <w:r>
        <w:rPr>
          <w:rFonts w:ascii="Calibri" w:cs="Calibri" w:eastAsia="Calibri" w:hAnsi="Calibri"/>
          <w:color w:val="1A1A1A"/>
          <w:sz w:val="20"/>
          <w:szCs w:val="20"/>
        </w:rPr>
        <w:t xml:space="preserve"> ; cent cinquante ans plus tard, il est toujours suspendu par moratoire, désormais jusqu’au </w:t>
      </w:r>
      <w:r>
        <w:rPr>
          <w:rFonts w:ascii="Calibri" w:cs="Calibri" w:eastAsia="Calibri" w:hAnsi="Calibri"/>
          <w:b/>
          <w:bCs/>
          <w:color w:val="1A1A1A"/>
          <w:sz w:val="20"/>
          <w:szCs w:val="20"/>
        </w:rPr>
        <w:t xml:space="preserve">31 décembre 2027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Jurisprudentielle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30 janv. 2020, J.M.B. et autres c. France</w:t>
      </w:r>
      <w:r>
        <w:rPr>
          <w:rFonts w:ascii="Calibri" w:cs="Calibri" w:eastAsia="Calibri" w:hAnsi="Calibri"/>
          <w:color w:val="1A1A1A"/>
          <w:sz w:val="20"/>
          <w:szCs w:val="20"/>
        </w:rPr>
        <w:t xml:space="preserve"> : la France condamnée pour violation des art. 3 et 13 dans six établissements, et invitée à résorber durablement la surpopulation.</w:t>
      </w:r>
    </w:p>
    <w:p>
      <w:pPr>
        <w:pStyle w:val="ListParagraph"/>
        <w:numPr>
          <w:ilvl w:val="0"/>
          <w:numId w:val="2"/>
        </w:numPr>
        <w:spacing w:after="70" w:line="264"/>
        <w:jc w:val="both"/>
      </w:pP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la nuit du 20 au 21 octobre 2026, dix-sept mineurs déférés sont retenus au dépôt du tribunal de Bobigny dans des conditions que le parquet reconnaît « inacceptables ».</w:t>
      </w:r>
    </w:p>
    <w:p>
      <w:pPr>
        <w:pStyle w:val="Heading2"/>
        <w:spacing w:after="110" w:before="260"/>
      </w:pPr>
      <w:r>
        <w:rPr>
          <w:rFonts w:ascii="Calibri" w:cs="Calibri" w:eastAsia="Calibri" w:hAnsi="Calibri"/>
          <w:b/>
          <w:bCs/>
          <w:color w:val="1A1A1A"/>
          <w:spacing w:val="16"/>
          <w:sz w:val="23"/>
          <w:szCs w:val="23"/>
        </w:rPr>
        <w:t xml:space="preserve">Définitions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Notion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Définition à donner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Surpopulation carcérale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Situation dans laquelle le nombre de personnes détenues excède le nombre de places opérationnelles d’un établissement ou du parc pénitentiaire (densité &gt; 100 %). Elle se mesure globalement et par établissement : elle frappe surtout les </w:t>
            </w:r>
            <w:r>
              <w:rPr>
                <w:rFonts w:ascii="Calibri" w:cs="Calibri" w:eastAsia="Calibri" w:hAnsi="Calibri"/>
                <w:b w:val="false"/>
                <w:bCs w:val="false"/>
                <w:color w:val="1A1A1A"/>
                <w:sz w:val="17"/>
                <w:szCs w:val="17"/>
              </w:rPr>
              <w:t xml:space="preserve">maisons d’arrêt</w:t>
            </w:r>
            <w:r>
              <w:rPr>
                <w:rFonts w:ascii="Calibri" w:cs="Calibri" w:eastAsia="Calibri" w:hAnsi="Calibri"/>
                <w:b w:val="false"/>
                <w:bCs w:val="false"/>
                <w:color w:val="1A1A1A"/>
                <w:sz w:val="17"/>
                <w:szCs w:val="17"/>
              </w:rPr>
              <w:t xml:space="preserve"> (prévenus et courtes peines), non les établissements pour peine soumis à un numerus clausus de fait.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Droits fondamentaux</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Droits et libertés reconnus à la personne par des normes supérieures (Constitution, Convention EDH, Charte, conventions internationales) et garantis par un juge. Le détenu en reste </w:t>
            </w:r>
            <w:r>
              <w:rPr>
                <w:rFonts w:ascii="Calibri" w:cs="Calibri" w:eastAsia="Calibri" w:hAnsi="Calibri"/>
                <w:b w:val="false"/>
                <w:bCs w:val="false"/>
                <w:color w:val="1A1A1A"/>
                <w:sz w:val="17"/>
                <w:szCs w:val="17"/>
              </w:rPr>
              <w:t xml:space="preserve">titulaire</w:t>
            </w:r>
            <w:r>
              <w:rPr>
                <w:rFonts w:ascii="Calibri" w:cs="Calibri" w:eastAsia="Calibri" w:hAnsi="Calibri"/>
                <w:b w:val="false"/>
                <w:bCs w:val="false"/>
                <w:color w:val="1A1A1A"/>
                <w:sz w:val="17"/>
                <w:szCs w:val="17"/>
              </w:rPr>
              <w:t xml:space="preserve"> : seule sa liberté d’aller et venir est retirée par la peine (</w:t>
            </w:r>
            <w:r>
              <w:rPr>
                <w:rFonts w:ascii="Calibri" w:cs="Calibri" w:eastAsia="Calibri" w:hAnsi="Calibri"/>
                <w:b w:val="false"/>
                <w:bCs w:val="false"/>
                <w:color w:val="E91E63"/>
                <w:sz w:val="17"/>
                <w:szCs w:val="17"/>
              </w:rPr>
              <w:t xml:space="preserve">CEDH, GC, 6 oct. 2005, Hirst c. Royaume-Uni (n° 2)</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1E88E5"/>
                <w:sz w:val="17"/>
                <w:szCs w:val="17"/>
              </w:rPr>
              <w:t xml:space="preserve">art. L. 6 C. pénit.</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À l’épreuve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Mise à l’essai de la résistance des droits : opposabilité, garantie juridictionnelle, effectivité réelle.</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Problématique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Le droit des droits fondamentaux peut-il protéger les personnes détenues contre un phénomène qu’il condamne sans pouvoir, à lui seul, le résorber ?</w:t>
      </w:r>
      <w:r>
        <w:rPr>
          <w:rFonts w:ascii="Calibri" w:cs="Calibri" w:eastAsia="Calibri" w:hAnsi="Calibri"/>
          <w:color w:val="1A1A1A"/>
          <w:sz w:val="19"/>
          <w:szCs w:val="19"/>
        </w:rPr>
        <w:t xml:space="preserve"> Variante (celle du correcteur, recopiée dans le chat) : « Dans quelle mesure le droit des droits fondamentaux permet-il de prévenir et de sanctionner les atteintes résultant de la surpopulation carcérale, alors même que celle-ci demeure une difficulté structurelle du système pénitentiaire ? »</w:t>
      </w:r>
    </w:p>
    <w:p>
      <w:pPr>
        <w:pStyle w:val="Heading2"/>
        <w:spacing w:after="110" w:before="260"/>
      </w:pPr>
      <w:r>
        <w:rPr>
          <w:rFonts w:ascii="Calibri" w:cs="Calibri" w:eastAsia="Calibri" w:hAnsi="Calibri"/>
          <w:b/>
          <w:bCs/>
          <w:color w:val="1A1A1A"/>
          <w:spacing w:val="16"/>
          <w:sz w:val="23"/>
          <w:szCs w:val="23"/>
        </w:rPr>
        <w:t xml:space="preserve">Les cinq références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 Conv. EDH</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CEDH, GC, 26 oct. 2000, Kudła c. Pologne</w:t>
      </w:r>
      <w:r>
        <w:rPr>
          <w:rFonts w:ascii="Calibri" w:cs="Calibri" w:eastAsia="Calibri" w:hAnsi="Calibri"/>
          <w:color w:val="1A1A1A"/>
          <w:sz w:val="20"/>
          <w:szCs w:val="20"/>
        </w:rPr>
        <w:t xml:space="preserve"> : l’État doit assurer des conditions de détention « compatibles avec le respect de la dignité humaine » ; droit à un recours effectif (art. 13).</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20 oct. 2016, Muršić c. Croatie</w:t>
      </w:r>
      <w:r>
        <w:rPr>
          <w:rFonts w:ascii="Calibri" w:cs="Calibri" w:eastAsia="Calibri" w:hAnsi="Calibri"/>
          <w:color w:val="1A1A1A"/>
          <w:sz w:val="20"/>
          <w:szCs w:val="20"/>
        </w:rPr>
        <w:t xml:space="preserve"> : moins de </w:t>
      </w:r>
      <w:r>
        <w:rPr>
          <w:rFonts w:ascii="Calibri" w:cs="Calibri" w:eastAsia="Calibri" w:hAnsi="Calibri"/>
          <w:b/>
          <w:bCs/>
          <w:color w:val="1A1A1A"/>
          <w:sz w:val="20"/>
          <w:szCs w:val="20"/>
        </w:rPr>
        <w:t xml:space="preserve">3 m² d’espace personnel</w:t>
      </w:r>
      <w:r>
        <w:rPr>
          <w:rFonts w:ascii="Calibri" w:cs="Calibri" w:eastAsia="Calibri" w:hAnsi="Calibri"/>
          <w:color w:val="1A1A1A"/>
          <w:sz w:val="20"/>
          <w:szCs w:val="20"/>
        </w:rPr>
        <w:t xml:space="preserve"> en cellule collective = forte présomption de violation de l’art. 3.</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30 janv. 2020, J.M.B. et autres c. France</w:t>
      </w:r>
      <w:r>
        <w:rPr>
          <w:rFonts w:ascii="Calibri" w:cs="Calibri" w:eastAsia="Calibri" w:hAnsi="Calibri"/>
          <w:color w:val="1A1A1A"/>
          <w:sz w:val="20"/>
          <w:szCs w:val="20"/>
        </w:rPr>
        <w:t xml:space="preserve"> (n° 9671/15) : violation des art. 3 et 13 ; ni le référé-liberté ni le référé mesures utiles ne sont des recours préventifs effectifs ; recommandations au titre de l’art. 46.</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crim., 8 juill. 2020, n° 20-81.739</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Cons. const., 2 oct. 2020, n° 2020-858/859 QPC</w:t>
      </w:r>
      <w:r>
        <w:rPr>
          <w:rFonts w:ascii="Calibri" w:cs="Calibri" w:eastAsia="Calibri" w:hAnsi="Calibri"/>
          <w:color w:val="1A1A1A"/>
          <w:sz w:val="20"/>
          <w:szCs w:val="20"/>
        </w:rPr>
        <w:t xml:space="preserve"> : le juge judiciaire garant de la dignité ; obligation pour le législateur d’ouvrir un recours. Suite : </w:t>
      </w:r>
      <w:r>
        <w:rPr>
          <w:rFonts w:ascii="Calibri" w:cs="Calibri" w:eastAsia="Calibri" w:hAnsi="Calibri"/>
          <w:color w:val="1E88E5"/>
          <w:sz w:val="20"/>
          <w:szCs w:val="20"/>
        </w:rPr>
        <w:t xml:space="preserve">loi n° 2021-403 du 8 avril 2021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803-8 CPP</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28 juill. 2017, Section française de l’OIP (Fresnes), n° 410677</w:t>
      </w:r>
      <w:r>
        <w:rPr>
          <w:rFonts w:ascii="Calibri" w:cs="Calibri" w:eastAsia="Calibri" w:hAnsi="Calibri"/>
          <w:color w:val="1A1A1A"/>
          <w:sz w:val="20"/>
          <w:szCs w:val="20"/>
        </w:rPr>
        <w:t xml:space="preserve"> : le juge du référé-liberté ne peut ordonner des </w:t>
      </w:r>
      <w:r>
        <w:rPr>
          <w:rFonts w:ascii="Calibri" w:cs="Calibri" w:eastAsia="Calibri" w:hAnsi="Calibri"/>
          <w:b/>
          <w:bCs/>
          <w:color w:val="1A1A1A"/>
          <w:sz w:val="20"/>
          <w:szCs w:val="20"/>
        </w:rPr>
        <w:t xml:space="preserve">mesures structurelles</w:t>
      </w:r>
      <w:r>
        <w:rPr>
          <w:rFonts w:ascii="Calibri" w:cs="Calibri" w:eastAsia="Calibri" w:hAnsi="Calibri"/>
          <w:color w:val="1A1A1A"/>
          <w:sz w:val="20"/>
          <w:szCs w:val="20"/>
        </w:rPr>
        <w:t xml:space="preserve"> ; c’est la limite du juge face à un mal systémique.</w:t>
      </w:r>
    </w:p>
    <w:p>
      <w:pPr>
        <w:pStyle w:val="Heading2"/>
        <w:spacing w:after="110" w:before="260"/>
      </w:pPr>
      <w:r>
        <w:rPr>
          <w:rFonts w:ascii="Calibri" w:cs="Calibri" w:eastAsia="Calibri" w:hAnsi="Calibri"/>
          <w:b/>
          <w:bCs/>
          <w:color w:val="1A1A1A"/>
          <w:spacing w:val="16"/>
          <w:sz w:val="23"/>
          <w:szCs w:val="23"/>
        </w:rPr>
        <w:t xml:space="preserve">Plan recommandé</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Partie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Sous-partie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Contenu</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Des droits fondamentaux pleinement opposables à la surpopulation carcérale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La dignité et l’intégrité, rempart substantiel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 3 CEDH, Kudła, Muršić, J.M.B. ; dignité (94-343/344 DC ; al. 1er Préambule 1946) ; art. 2 (suicides, violences) ; santé ; art. 8 (intimité, liens familiaux)</w:t>
            </w:r>
          </w:p>
        </w:tc>
      </w:tr>
      <w:tr>
        <w:trPr>
          <w:tblHeader w:val="false"/>
        </w:trPr>
        <w:tc>
          <w:tcPr>
            <w:tcW w:type="pct" w:w="33.333333333333336%"/>
            <w:tcMar>
              <w:top w:type="dxa" w:w="60"/>
              <w:left w:type="dxa" w:w="90"/>
              <w:bottom w:type="dxa" w:w="60"/>
              <w:right w:type="dxa" w:w="90"/>
            </w:tcMar>
          </w:tcPr>
          <w:p>
            <w:pPr>
              <w:spacing w:after="0" w:line="240"/>
            </w:pP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 Des obligations positives à la charge de l’État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Conditions compatibles, encellulement individuel et moratoires ; arrêts pilotes (Torreggiani) et art. 46 ; 2014-393 QPC ; Comité des ministres (2024) ; CGLPL, CPT, SPT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Une protection juridictionnelle renouvelée, mais structurellement limitée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L’avènement d’un recours effectif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Référé-liberté (Baumettes 2012) et ses limites (Fresnes 2017) ; J.M.B. ; Crim. 8 juill. 2020 ; 2020-858/859 QPC ; 2021-898 QPC ; art. 803-8 CPP ; responsabilité (Thévenot 2013 ; preuve : CE 21 mars 2022)</w:t>
            </w:r>
          </w:p>
        </w:tc>
      </w:tr>
      <w:tr>
        <w:trPr>
          <w:tblHeader w:val="false"/>
        </w:trPr>
        <w:tc>
          <w:tcPr>
            <w:tcW w:type="pct" w:w="33.333333333333336%"/>
            <w:tcMar>
              <w:top w:type="dxa" w:w="60"/>
              <w:left w:type="dxa" w:w="90"/>
              <w:bottom w:type="dxa" w:w="60"/>
              <w:right w:type="dxa" w:w="90"/>
            </w:tcMar>
          </w:tcPr>
          <w:p>
            <w:pPr>
              <w:spacing w:after="0" w:line="240"/>
            </w:pP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 Une réponse individuelle à un mal systémique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Recours peu utilisé, transferts qui déplacent l’indignité et heurtent l’art. 8 ; politique pénale et construction ; régulation carcérale (CM 2024, numerus clausus annoncé en janv. 2026) ; actualité d’octobre 2026</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Les 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1 : confondre la cellule et le domicile, puis en déduire que l’art. 8 ne joue pas.</w:t>
      </w:r>
      <w:r>
        <w:rPr>
          <w:rFonts w:ascii="Calibri" w:cs="Calibri" w:eastAsia="Calibri" w:hAnsi="Calibri"/>
          <w:color w:val="1A1A1A"/>
          <w:sz w:val="20"/>
          <w:szCs w:val="20"/>
        </w:rPr>
        <w:t xml:space="preserve"> La cellule n’est pas un domicile en procédure pénale (</w:t>
      </w:r>
      <w:r>
        <w:rPr>
          <w:rFonts w:ascii="Calibri" w:cs="Calibri" w:eastAsia="Calibri" w:hAnsi="Calibri"/>
          <w:color w:val="E91E63"/>
          <w:sz w:val="20"/>
          <w:szCs w:val="20"/>
        </w:rPr>
        <w:t xml:space="preserve">Crim., 18 oct. 1989</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Crim., 7 oct. 2026</w:t>
      </w:r>
      <w:r>
        <w:rPr>
          <w:rFonts w:ascii="Calibri" w:cs="Calibri" w:eastAsia="Calibri" w:hAnsi="Calibri"/>
          <w:color w:val="1A1A1A"/>
          <w:sz w:val="20"/>
          <w:szCs w:val="20"/>
        </w:rPr>
        <w:t xml:space="preserve">), mais le détenu conserve son droit au respect de la vie privée et familiale (</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 : intimité, correspondance, visites, fouilles proportionnées.</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2 : se tromper de juge et d’article.</w:t>
      </w:r>
      <w:r>
        <w:rPr>
          <w:rFonts w:ascii="Calibri" w:cs="Calibri" w:eastAsia="Calibri" w:hAnsi="Calibri"/>
          <w:color w:val="1A1A1A"/>
          <w:sz w:val="20"/>
          <w:szCs w:val="20"/>
        </w:rPr>
        <w:t xml:space="preserve"> Le référé-liberté est l’</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 (non L. 521-1, qui est le référé-suspension). Le recours de l’</w:t>
      </w:r>
      <w:r>
        <w:rPr>
          <w:rFonts w:ascii="Calibri" w:cs="Calibri" w:eastAsia="Calibri" w:hAnsi="Calibri"/>
          <w:color w:val="1E88E5"/>
          <w:sz w:val="20"/>
          <w:szCs w:val="20"/>
        </w:rPr>
        <w:t xml:space="preserve">art. 803-8 CPP</w:t>
      </w:r>
      <w:r>
        <w:rPr>
          <w:rFonts w:ascii="Calibri" w:cs="Calibri" w:eastAsia="Calibri" w:hAnsi="Calibri"/>
          <w:color w:val="1A1A1A"/>
          <w:sz w:val="20"/>
          <w:szCs w:val="20"/>
        </w:rPr>
        <w:t xml:space="preserve"> est porté devant le </w:t>
      </w:r>
      <w:r>
        <w:rPr>
          <w:rFonts w:ascii="Calibri" w:cs="Calibri" w:eastAsia="Calibri" w:hAnsi="Calibri"/>
          <w:b/>
          <w:bCs/>
          <w:color w:val="1A1A1A"/>
          <w:sz w:val="20"/>
          <w:szCs w:val="20"/>
        </w:rPr>
        <w:t xml:space="preserve">JLD</w:t>
      </w:r>
      <w:r>
        <w:rPr>
          <w:rFonts w:ascii="Calibri" w:cs="Calibri" w:eastAsia="Calibri" w:hAnsi="Calibri"/>
          <w:color w:val="1A1A1A"/>
          <w:sz w:val="20"/>
          <w:szCs w:val="20"/>
        </w:rPr>
        <w:t xml:space="preserve"> pour les prévenus et devant le </w:t>
      </w:r>
      <w:r>
        <w:rPr>
          <w:rFonts w:ascii="Calibri" w:cs="Calibri" w:eastAsia="Calibri" w:hAnsi="Calibri"/>
          <w:b/>
          <w:bCs/>
          <w:color w:val="1A1A1A"/>
          <w:sz w:val="20"/>
          <w:szCs w:val="20"/>
        </w:rPr>
        <w:t xml:space="preserve">JAP</w:t>
      </w:r>
      <w:r>
        <w:rPr>
          <w:rFonts w:ascii="Calibri" w:cs="Calibri" w:eastAsia="Calibri" w:hAnsi="Calibri"/>
          <w:color w:val="1A1A1A"/>
          <w:sz w:val="20"/>
          <w:szCs w:val="20"/>
        </w:rPr>
        <w:t xml:space="preserve"> pour les condamnés.</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3 : présenter la construction de places comme la solution.</w:t>
      </w:r>
      <w:r>
        <w:rPr>
          <w:rFonts w:ascii="Calibri" w:cs="Calibri" w:eastAsia="Calibri" w:hAnsi="Calibri"/>
          <w:color w:val="1A1A1A"/>
          <w:sz w:val="20"/>
          <w:szCs w:val="20"/>
        </w:rPr>
        <w:t xml:space="preserve"> Entre 1990 et 2025, le parc a gagné plus de 25 000 places et la population détenue plus de 35 000 personnes (OIP) : « plus on construit, plus on enferme ». Le Conseil de l’Europe recommande un </w:t>
      </w:r>
      <w:r>
        <w:rPr>
          <w:rFonts w:ascii="Calibri" w:cs="Calibri" w:eastAsia="Calibri" w:hAnsi="Calibri"/>
          <w:b/>
          <w:bCs/>
          <w:color w:val="1A1A1A"/>
          <w:sz w:val="20"/>
          <w:szCs w:val="20"/>
        </w:rPr>
        <w:t xml:space="preserve">mécanisme contraignant de régulation carcérale</w:t>
      </w:r>
      <w:r>
        <w:rPr>
          <w:rFonts w:ascii="Calibri" w:cs="Calibri" w:eastAsia="Calibri" w:hAnsi="Calibri"/>
          <w:color w:val="1A1A1A"/>
          <w:sz w:val="20"/>
          <w:szCs w:val="20"/>
        </w:rPr>
        <w:t xml:space="preserv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 — LE DOSSIER DOCUMENTAIRE</w:t>
      </w:r>
    </w:p>
    <w:p>
      <w:pPr>
        <w:pStyle w:val="Heading1"/>
        <w:pBdr>
          <w:bottom w:val="single" w:color="8C1C2B" w:sz="12" w:space="6"/>
        </w:pBdr>
        <w:spacing w:after="90" w:before="260"/>
      </w:pPr>
      <w:r>
        <w:rPr>
          <w:rFonts w:ascii="Calibri" w:cs="Calibri" w:eastAsia="Calibri" w:hAnsi="Calibri"/>
          <w:b/>
          <w:bCs/>
          <w:color w:val="8C1C2B"/>
          <w:sz w:val="28"/>
          <w:szCs w:val="28"/>
        </w:rPr>
        <w:t xml:space="preserve">1. Les chiffres vérifiés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Date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Indicateur</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Source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1er oct.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89 400 détenus (hors Nouvelle-Calédonie et Polynésie), 90 900 au total ; + 7 % sur un an ; 17 400 condamnés exécutant une peine hors établissement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Ministère de la Justice, statistiques trimestrielles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1er sept.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90 020 détenus, record historique ; plus de 8 300 matelas au sol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Ministère de la Justice, repris par franceinfo</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1er juin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88 829 détenus ; densité de 140,5 % ; la CGLPL Dominique Simonnot parle de « catastrophe pénitentiaire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Club des juristes, brève du 2 juill. 2026</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1er oct. 2025</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Densité moyenne des maisons d’arrêt : 165,4 %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Toute l’Europe (Eurostat et ministère)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2024</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Taux d’occupation de 129 % ; 13 États de l’UE sur 27 au-dessus de 100 % ; France au 3e rang derrière Chypre et la Slovénie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Eurostat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1990-2025</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+ 25 000 places, + 35 000 détenus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OIP, communiqué du 9 janv. 2026</w:t>
            </w:r>
          </w:p>
        </w:tc>
      </w:tr>
    </w:tbl>
    <w:p>
      <w:pPr>
        <w:spacing w:after="120"/>
      </w:pP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Lecture à donner au jury.</w:t>
      </w:r>
      <w:r>
        <w:rPr>
          <w:rFonts w:ascii="Calibri" w:cs="Calibri" w:eastAsia="Calibri" w:hAnsi="Calibri"/>
          <w:color w:val="1A1A1A"/>
          <w:sz w:val="19"/>
          <w:szCs w:val="19"/>
        </w:rPr>
        <w:t xml:space="preserve"> La surpopulation n’est pas homogène : les établissements pour peine (centres de détention, maisons centrales) ne sont pas surpeuplés, car ils ne reçoivent qu’à hauteur de leurs places. Elle se concentre dans les </w:t>
      </w:r>
      <w:r>
        <w:rPr>
          <w:rFonts w:ascii="Calibri" w:cs="Calibri" w:eastAsia="Calibri" w:hAnsi="Calibri"/>
          <w:b/>
          <w:bCs/>
          <w:color w:val="1A1A1A"/>
          <w:sz w:val="19"/>
          <w:szCs w:val="19"/>
        </w:rPr>
        <w:t xml:space="preserve">maisons d’arrêt</w:t>
      </w:r>
      <w:r>
        <w:rPr>
          <w:rFonts w:ascii="Calibri" w:cs="Calibri" w:eastAsia="Calibri" w:hAnsi="Calibri"/>
          <w:color w:val="1A1A1A"/>
          <w:sz w:val="19"/>
          <w:szCs w:val="19"/>
        </w:rPr>
        <w:t xml:space="preserve">, qui accueillent les </w:t>
      </w:r>
      <w:r>
        <w:rPr>
          <w:rFonts w:ascii="Calibri" w:cs="Calibri" w:eastAsia="Calibri" w:hAnsi="Calibri"/>
          <w:b/>
          <w:bCs/>
          <w:color w:val="1A1A1A"/>
          <w:sz w:val="19"/>
          <w:szCs w:val="19"/>
        </w:rPr>
        <w:t xml:space="preserve">prévenus</w:t>
      </w:r>
      <w:r>
        <w:rPr>
          <w:rFonts w:ascii="Calibri" w:cs="Calibri" w:eastAsia="Calibri" w:hAnsi="Calibri"/>
          <w:color w:val="1A1A1A"/>
          <w:sz w:val="19"/>
          <w:szCs w:val="19"/>
        </w:rPr>
        <w:t xml:space="preserve"> (présumés innocents) et les courtes peines. Le paradoxe est donc double : ce sont les personnes présumées innocentes et les condamnés aux plus courtes peines qui subissent les pires conditions.</w:t>
      </w:r>
    </w:p>
    <w:p>
      <w:pPr>
        <w:pStyle w:val="Heading1"/>
        <w:pBdr>
          <w:bottom w:val="single" w:color="8C1C2B" w:sz="12" w:space="6"/>
        </w:pBdr>
        <w:spacing w:after="90" w:before="260"/>
      </w:pPr>
      <w:r>
        <w:rPr>
          <w:rFonts w:ascii="Calibri" w:cs="Calibri" w:eastAsia="Calibri" w:hAnsi="Calibri"/>
          <w:b/>
          <w:bCs/>
          <w:color w:val="8C1C2B"/>
          <w:sz w:val="28"/>
          <w:szCs w:val="28"/>
        </w:rPr>
        <w:t xml:space="preserve">2. L’architecture textuelle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Niveau</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Texte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Apport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Préambule 1946, al. 1er</w:t>
            </w:r>
            <w:r>
              <w:rPr>
                <w:rFonts w:ascii="Calibri" w:cs="Calibri" w:eastAsia="Calibri" w:hAnsi="Calibri"/>
                <w:b w:val="false"/>
                <w:bCs w:val="false"/>
                <w:color w:val="1A1A1A"/>
                <w:sz w:val="17"/>
                <w:szCs w:val="17"/>
              </w:rPr>
              <w:t xml:space="preserve"> et </w:t>
            </w:r>
            <w:r>
              <w:rPr>
                <w:rFonts w:ascii="Calibri" w:cs="Calibri" w:eastAsia="Calibri" w:hAnsi="Calibri"/>
                <w:b w:val="false"/>
                <w:bCs w:val="false"/>
                <w:color w:val="E91E63"/>
                <w:sz w:val="17"/>
                <w:szCs w:val="17"/>
              </w:rPr>
              <w:t xml:space="preserve">94-343/344 DC du 27 juill. 1994</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Dignité de la personne humaine, principe à valeur constitutionnelle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9 DDHC</w:t>
            </w:r>
            <w:r>
              <w:rPr>
                <w:rFonts w:ascii="Calibri" w:cs="Calibri" w:eastAsia="Calibri" w:hAnsi="Calibri"/>
                <w:b w:val="false"/>
                <w:bCs w:val="false"/>
                <w:color w:val="1A1A1A"/>
                <w:sz w:val="17"/>
                <w:szCs w:val="17"/>
              </w:rPr>
              <w:t xml:space="preserve"> (rigueur non nécessaire) ; </w:t>
            </w:r>
            <w:r>
              <w:rPr>
                <w:rFonts w:ascii="Calibri" w:cs="Calibri" w:eastAsia="Calibri" w:hAnsi="Calibri"/>
                <w:b w:val="false"/>
                <w:bCs w:val="false"/>
                <w:color w:val="1E88E5"/>
                <w:sz w:val="17"/>
                <w:szCs w:val="17"/>
              </w:rPr>
              <w:t xml:space="preserve">art. 8 DDHC</w:t>
            </w:r>
            <w:r>
              <w:rPr>
                <w:rFonts w:ascii="Calibri" w:cs="Calibri" w:eastAsia="Calibri" w:hAnsi="Calibri"/>
                <w:b w:val="false"/>
                <w:bCs w:val="false"/>
                <w:color w:val="1A1A1A"/>
                <w:sz w:val="17"/>
                <w:szCs w:val="17"/>
              </w:rPr>
              <w:t xml:space="preserve"> (nécessité des peines) ; </w:t>
            </w:r>
            <w:r>
              <w:rPr>
                <w:rFonts w:ascii="Calibri" w:cs="Calibri" w:eastAsia="Calibri" w:hAnsi="Calibri"/>
                <w:b w:val="false"/>
                <w:bCs w:val="false"/>
                <w:color w:val="1E88E5"/>
                <w:sz w:val="17"/>
                <w:szCs w:val="17"/>
              </w:rPr>
              <w:t xml:space="preserve">art. 16 DDHC</w:t>
            </w:r>
            <w:r>
              <w:rPr>
                <w:rFonts w:ascii="Calibri" w:cs="Calibri" w:eastAsia="Calibri" w:hAnsi="Calibri"/>
                <w:b w:val="false"/>
                <w:bCs w:val="false"/>
                <w:color w:val="1A1A1A"/>
                <w:sz w:val="17"/>
                <w:szCs w:val="17"/>
              </w:rPr>
              <w:t xml:space="preserve"> (droit au recours) ; </w:t>
            </w:r>
            <w:r>
              <w:rPr>
                <w:rFonts w:ascii="Calibri" w:cs="Calibri" w:eastAsia="Calibri" w:hAnsi="Calibri"/>
                <w:b w:val="false"/>
                <w:bCs w:val="false"/>
                <w:color w:val="1E88E5"/>
                <w:sz w:val="17"/>
                <w:szCs w:val="17"/>
              </w:rPr>
              <w:t xml:space="preserve">art. 66 C.</w:t>
            </w:r>
            <w:r>
              <w:rPr>
                <w:rFonts w:ascii="Calibri" w:cs="Calibri" w:eastAsia="Calibri" w:hAnsi="Calibri"/>
                <w:b w:val="false"/>
                <w:bCs w:val="false"/>
                <w:color w:val="1A1A1A"/>
                <w:sz w:val="17"/>
                <w:szCs w:val="17"/>
              </w:rPr>
              <w:t xml:space="preserve"> (autorité judiciaire gardienne de la liberté individuelle)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Fondements des décisions de 2020-2021</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Préambule 1946, al. 11</w:t>
            </w:r>
            <w:r>
              <w:rPr>
                <w:rFonts w:ascii="Calibri" w:cs="Calibri" w:eastAsia="Calibri" w:hAnsi="Calibri"/>
                <w:b w:val="false"/>
                <w:bCs w:val="false"/>
                <w:color w:val="1A1A1A"/>
                <w:sz w:val="17"/>
                <w:szCs w:val="17"/>
              </w:rPr>
              <w:t xml:space="preserve"> (protection de la santé)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Droit à la santé des détenus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Conventionnel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3 Conv. EDH</w:t>
            </w:r>
            <w:r>
              <w:rPr>
                <w:rFonts w:ascii="Calibri" w:cs="Calibri" w:eastAsia="Calibri" w:hAnsi="Calibri"/>
                <w:b w:val="false"/>
                <w:bCs w:val="false"/>
                <w:color w:val="1A1A1A"/>
                <w:sz w:val="17"/>
                <w:szCs w:val="17"/>
              </w:rPr>
              <w:t xml:space="preserve"> (interdiction absolue, sans dérogation : </w:t>
            </w:r>
            <w:r>
              <w:rPr>
                <w:rFonts w:ascii="Calibri" w:cs="Calibri" w:eastAsia="Calibri" w:hAnsi="Calibri"/>
                <w:b w:val="false"/>
                <w:bCs w:val="false"/>
                <w:color w:val="1E88E5"/>
                <w:sz w:val="17"/>
                <w:szCs w:val="17"/>
              </w:rPr>
              <w:t xml:space="preserve">art. 15 § 2</w:t>
            </w:r>
            <w:r>
              <w:rPr>
                <w:rFonts w:ascii="Calibri" w:cs="Calibri" w:eastAsia="Calibri" w:hAnsi="Calibri"/>
                <w:b w:val="false"/>
                <w:bCs w:val="false"/>
                <w:color w:val="1A1A1A"/>
                <w:sz w:val="17"/>
                <w:szCs w:val="17"/>
              </w:rPr>
              <w:t xml:space="preserv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Cœur du contentieux</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Conventionnel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2</w:t>
            </w:r>
            <w:r>
              <w:rPr>
                <w:rFonts w:ascii="Calibri" w:cs="Calibri" w:eastAsia="Calibri" w:hAnsi="Calibri"/>
                <w:b w:val="false"/>
                <w:bCs w:val="false"/>
                <w:color w:val="1A1A1A"/>
                <w:sz w:val="17"/>
                <w:szCs w:val="17"/>
              </w:rPr>
              <w:t xml:space="preserve"> (vie), </w:t>
            </w:r>
            <w:r>
              <w:rPr>
                <w:rFonts w:ascii="Calibri" w:cs="Calibri" w:eastAsia="Calibri" w:hAnsi="Calibri"/>
                <w:b w:val="false"/>
                <w:bCs w:val="false"/>
                <w:color w:val="1E88E5"/>
                <w:sz w:val="17"/>
                <w:szCs w:val="17"/>
              </w:rPr>
              <w:t xml:space="preserve">art. 8</w:t>
            </w:r>
            <w:r>
              <w:rPr>
                <w:rFonts w:ascii="Calibri" w:cs="Calibri" w:eastAsia="Calibri" w:hAnsi="Calibri"/>
                <w:b w:val="false"/>
                <w:bCs w:val="false"/>
                <w:color w:val="1A1A1A"/>
                <w:sz w:val="17"/>
                <w:szCs w:val="17"/>
              </w:rPr>
              <w:t xml:space="preserve"> (vie privée et familiale), </w:t>
            </w:r>
            <w:r>
              <w:rPr>
                <w:rFonts w:ascii="Calibri" w:cs="Calibri" w:eastAsia="Calibri" w:hAnsi="Calibri"/>
                <w:b w:val="false"/>
                <w:bCs w:val="false"/>
                <w:color w:val="1E88E5"/>
                <w:sz w:val="17"/>
                <w:szCs w:val="17"/>
              </w:rPr>
              <w:t xml:space="preserve">art. 13</w:t>
            </w:r>
            <w:r>
              <w:rPr>
                <w:rFonts w:ascii="Calibri" w:cs="Calibri" w:eastAsia="Calibri" w:hAnsi="Calibri"/>
                <w:b w:val="false"/>
                <w:bCs w:val="false"/>
                <w:color w:val="1A1A1A"/>
                <w:sz w:val="17"/>
                <w:szCs w:val="17"/>
              </w:rPr>
              <w:t xml:space="preserve"> (recours effectif), </w:t>
            </w:r>
            <w:r>
              <w:rPr>
                <w:rFonts w:ascii="Calibri" w:cs="Calibri" w:eastAsia="Calibri" w:hAnsi="Calibri"/>
                <w:b w:val="false"/>
                <w:bCs w:val="false"/>
                <w:color w:val="1E88E5"/>
                <w:sz w:val="17"/>
                <w:szCs w:val="17"/>
              </w:rPr>
              <w:t xml:space="preserve">art. 46</w:t>
            </w:r>
            <w:r>
              <w:rPr>
                <w:rFonts w:ascii="Calibri" w:cs="Calibri" w:eastAsia="Calibri" w:hAnsi="Calibri"/>
                <w:b w:val="false"/>
                <w:bCs w:val="false"/>
                <w:color w:val="1A1A1A"/>
                <w:sz w:val="17"/>
                <w:szCs w:val="17"/>
              </w:rPr>
              <w:t xml:space="preserve"> (exécution des arrêts)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Droits connexes et exécution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International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Pacte international relatif aux droits civils et politiques, art. 10</w:t>
            </w:r>
            <w:r>
              <w:rPr>
                <w:rFonts w:ascii="Calibri" w:cs="Calibri" w:eastAsia="Calibri" w:hAnsi="Calibri"/>
                <w:b w:val="false"/>
                <w:bCs w:val="false"/>
                <w:color w:val="1A1A1A"/>
                <w:sz w:val="17"/>
                <w:szCs w:val="17"/>
              </w:rPr>
              <w:t xml:space="preserve"> (traitement humain des détenus) ; </w:t>
            </w:r>
            <w:r>
              <w:rPr>
                <w:rFonts w:ascii="Calibri" w:cs="Calibri" w:eastAsia="Calibri" w:hAnsi="Calibri"/>
                <w:b w:val="false"/>
                <w:bCs w:val="false"/>
                <w:color w:val="1E88E5"/>
                <w:sz w:val="17"/>
                <w:szCs w:val="17"/>
              </w:rPr>
              <w:t xml:space="preserve">Convention des Nations unies contre la torture du 10 déc. 1984</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1E88E5"/>
                <w:sz w:val="17"/>
                <w:szCs w:val="17"/>
              </w:rPr>
              <w:t xml:space="preserve">Protocole facultatif (OPCAT) du 18 déc. 2002</w:t>
            </w:r>
            <w:r>
              <w:rPr>
                <w:rFonts w:ascii="Calibri" w:cs="Calibri" w:eastAsia="Calibri" w:hAnsi="Calibri"/>
                <w:b w:val="false"/>
                <w:bCs w:val="false"/>
                <w:color w:val="1A1A1A"/>
                <w:sz w:val="17"/>
                <w:szCs w:val="17"/>
              </w:rPr>
              <w:t xml:space="preserve">, ratifié en 2008</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Contrôle onusien (Comité contre la torture, SPT)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Européen (soft law)</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Règles pénitentiaires européennes</w:t>
            </w:r>
            <w:r>
              <w:rPr>
                <w:rFonts w:ascii="Calibri" w:cs="Calibri" w:eastAsia="Calibri" w:hAnsi="Calibri"/>
                <w:b w:val="false"/>
                <w:bCs w:val="false"/>
                <w:color w:val="1A1A1A"/>
                <w:sz w:val="17"/>
                <w:szCs w:val="17"/>
              </w:rPr>
              <w:t xml:space="preserve"> (Comité des ministres, 2006, révisées en 2020) ; </w:t>
            </w:r>
            <w:r>
              <w:rPr>
                <w:rFonts w:ascii="Calibri" w:cs="Calibri" w:eastAsia="Calibri" w:hAnsi="Calibri"/>
                <w:b w:val="false"/>
                <w:bCs w:val="false"/>
                <w:color w:val="1E88E5"/>
                <w:sz w:val="17"/>
                <w:szCs w:val="17"/>
              </w:rPr>
              <w:t xml:space="preserve">Convention européenne pour la prévention de la torture</w:t>
            </w:r>
            <w:r>
              <w:rPr>
                <w:rFonts w:ascii="Calibri" w:cs="Calibri" w:eastAsia="Calibri" w:hAnsi="Calibri"/>
                <w:b w:val="false"/>
                <w:bCs w:val="false"/>
                <w:color w:val="1A1A1A"/>
                <w:sz w:val="17"/>
                <w:szCs w:val="17"/>
              </w:rPr>
              <w:t xml:space="preserve"> (1987) et le CPT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Standards de référence (espace minimal, encellulement)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4 Charte des droits fondamentaux</w:t>
            </w:r>
            <w:r>
              <w:rPr>
                <w:rFonts w:ascii="Calibri" w:cs="Calibri" w:eastAsia="Calibri" w:hAnsi="Calibri"/>
                <w:b w:val="false"/>
                <w:bCs w:val="false"/>
                <w:color w:val="1A1A1A"/>
                <w:sz w:val="17"/>
                <w:szCs w:val="17"/>
              </w:rPr>
              <w:t xml:space="preserve"> (traitements inhumains) ; </w:t>
            </w:r>
            <w:r>
              <w:rPr>
                <w:rFonts w:ascii="Calibri" w:cs="Calibri" w:eastAsia="Calibri" w:hAnsi="Calibri"/>
                <w:b w:val="false"/>
                <w:bCs w:val="false"/>
                <w:color w:val="E91E63"/>
                <w:sz w:val="17"/>
                <w:szCs w:val="17"/>
              </w:rPr>
              <w:t xml:space="preserve">CJUE, GC, 5 avr. 2016, Aranyosi et Căldăraru</w:t>
            </w:r>
            <w:r>
              <w:rPr>
                <w:rFonts w:ascii="Calibri" w:cs="Calibri" w:eastAsia="Calibri" w:hAnsi="Calibri"/>
                <w:b w:val="false"/>
                <w:bCs w:val="false"/>
                <w:color w:val="1A1A1A"/>
                <w:sz w:val="17"/>
                <w:szCs w:val="17"/>
              </w:rPr>
              <w:t xml:space="preserve"> (mandat d’arrêt européen et conditions de détention)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Effet transfrontière : la surpopulation peut faire obstacle à une remise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Loi pénitentiaire du 24 nov. 2009</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1E88E5"/>
                <w:sz w:val="17"/>
                <w:szCs w:val="17"/>
              </w:rPr>
              <w:t xml:space="preserve">Code pénitentiaire</w:t>
            </w:r>
            <w:r>
              <w:rPr>
                <w:rFonts w:ascii="Calibri" w:cs="Calibri" w:eastAsia="Calibri" w:hAnsi="Calibri"/>
                <w:b w:val="false"/>
                <w:bCs w:val="false"/>
                <w:color w:val="1A1A1A"/>
                <w:sz w:val="17"/>
                <w:szCs w:val="17"/>
              </w:rPr>
              <w:t xml:space="preserve"> (ordonnance du 30 déc. 2021, en vigueur le 1er mai 2022), </w:t>
            </w:r>
            <w:r>
              <w:rPr>
                <w:rFonts w:ascii="Calibri" w:cs="Calibri" w:eastAsia="Calibri" w:hAnsi="Calibri"/>
                <w:b w:val="false"/>
                <w:bCs w:val="false"/>
                <w:color w:val="1E88E5"/>
                <w:sz w:val="17"/>
                <w:szCs w:val="17"/>
              </w:rPr>
              <w:t xml:space="preserve">art. L. 6</w:t>
            </w:r>
            <w:r>
              <w:rPr>
                <w:rFonts w:ascii="Calibri" w:cs="Calibri" w:eastAsia="Calibri" w:hAnsi="Calibri"/>
                <w:b w:val="false"/>
                <w:bCs w:val="false"/>
                <w:color w:val="1A1A1A"/>
                <w:sz w:val="17"/>
                <w:szCs w:val="17"/>
              </w:rPr>
              <w:t xml:space="preserve"> : l’administration garantit à toute personne détenue le respect de sa dignité et de ses droits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Statut du détenu</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Encellulement individuel : </w:t>
            </w:r>
            <w:r>
              <w:rPr>
                <w:rFonts w:ascii="Calibri" w:cs="Calibri" w:eastAsia="Calibri" w:hAnsi="Calibri"/>
                <w:b w:val="false"/>
                <w:bCs w:val="false"/>
                <w:color w:val="1E88E5"/>
                <w:sz w:val="17"/>
                <w:szCs w:val="17"/>
              </w:rPr>
              <w:t xml:space="preserve">loi du 5 juin 1875</w:t>
            </w:r>
            <w:r>
              <w:rPr>
                <w:rFonts w:ascii="Calibri" w:cs="Calibri" w:eastAsia="Calibri" w:hAnsi="Calibri"/>
                <w:b w:val="false"/>
                <w:bCs w:val="false"/>
                <w:color w:val="1A1A1A"/>
                <w:sz w:val="17"/>
                <w:szCs w:val="17"/>
              </w:rPr>
              <w:t xml:space="preserve"> ; moratoires successifs, dernier report au </w:t>
            </w:r>
            <w:r>
              <w:rPr>
                <w:rFonts w:ascii="Calibri" w:cs="Calibri" w:eastAsia="Calibri" w:hAnsi="Calibri"/>
                <w:b w:val="false"/>
                <w:bCs w:val="false"/>
                <w:color w:val="1A1A1A"/>
                <w:sz w:val="17"/>
                <w:szCs w:val="17"/>
              </w:rPr>
              <w:t xml:space="preserve">31 décembre 2027</w:t>
            </w:r>
            <w:r>
              <w:rPr>
                <w:rFonts w:ascii="Calibri" w:cs="Calibri" w:eastAsia="Calibri" w:hAnsi="Calibri"/>
                <w:b w:val="false"/>
                <w:bCs w:val="false"/>
                <w:color w:val="1A1A1A"/>
                <w:sz w:val="17"/>
                <w:szCs w:val="17"/>
              </w:rPr>
              <w:t xml:space="preserve"> par la loi de finances pour 2023</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Principe jamais appliqué</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Loi n° 2007-1545 du 30 oct. 2007</w:t>
            </w:r>
            <w:r>
              <w:rPr>
                <w:rFonts w:ascii="Calibri" w:cs="Calibri" w:eastAsia="Calibri" w:hAnsi="Calibri"/>
                <w:b w:val="false"/>
                <w:bCs w:val="false"/>
                <w:color w:val="1A1A1A"/>
                <w:sz w:val="17"/>
                <w:szCs w:val="17"/>
              </w:rPr>
              <w:t xml:space="preserve"> (CGLPL) ; </w:t>
            </w:r>
            <w:r>
              <w:rPr>
                <w:rFonts w:ascii="Calibri" w:cs="Calibri" w:eastAsia="Calibri" w:hAnsi="Calibri"/>
                <w:b w:val="false"/>
                <w:bCs w:val="false"/>
                <w:color w:val="1E88E5"/>
                <w:sz w:val="17"/>
                <w:szCs w:val="17"/>
              </w:rPr>
              <w:t xml:space="preserve">loi n° 2021-403 du 8 avril 2021</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1E88E5"/>
                <w:sz w:val="17"/>
                <w:szCs w:val="17"/>
              </w:rPr>
              <w:t xml:space="preserve">art. 803-8 CPP</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1E88E5"/>
                <w:sz w:val="17"/>
                <w:szCs w:val="17"/>
              </w:rPr>
              <w:t xml:space="preserve">art. 707 CPP</w:t>
            </w:r>
            <w:r>
              <w:rPr>
                <w:rFonts w:ascii="Calibri" w:cs="Calibri" w:eastAsia="Calibri" w:hAnsi="Calibri"/>
                <w:b w:val="false"/>
                <w:bCs w:val="false"/>
                <w:color w:val="1A1A1A"/>
                <w:sz w:val="17"/>
                <w:szCs w:val="17"/>
              </w:rPr>
              <w:t xml:space="preserve"> (objectifs de l’exécution des peines) ; droit de visite des bâtonniers (</w:t>
            </w:r>
            <w:r>
              <w:rPr>
                <w:rFonts w:ascii="Calibri" w:cs="Calibri" w:eastAsia="Calibri" w:hAnsi="Calibri"/>
                <w:b w:val="false"/>
                <w:bCs w:val="false"/>
                <w:color w:val="1E88E5"/>
                <w:sz w:val="17"/>
                <w:szCs w:val="17"/>
              </w:rPr>
              <w:t xml:space="preserve">art. 719 CPP</w:t>
            </w:r>
            <w:r>
              <w:rPr>
                <w:rFonts w:ascii="Calibri" w:cs="Calibri" w:eastAsia="Calibri" w:hAnsi="Calibri"/>
                <w:b w:val="false"/>
                <w:bCs w:val="false"/>
                <w:color w:val="1A1A1A"/>
                <w:sz w:val="17"/>
                <w:szCs w:val="17"/>
              </w:rPr>
              <w:t xml:space="preserve">, loi du 22 déc. 2021)</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Contrôle et recours</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3. La jurisprudence européenne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Décision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Apport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18 janv. 1978, Irlande c. Royaume-Uni</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Seuil de gravité de l’art. 3 ; l’interdiction ne souffre aucune dérogation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GC, 26 oct. 2000, Kudła c. Pologne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Conditions compatibles avec la dignité ; souffrance n’excédant pas « le niveau inévitable » inhérent à la détention ; art. 13 autonome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6 mars 2001, Dougoz c. Grèce</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CEDH, 19 avr. 2001, Peers c. Grèce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Cellule surpeuplée, sale, sans air ni lumière : traitement dégradant, même sans intention d’humilier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15 juill. 2002, Kalashnikov c. Russie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surpopulation seule peut suffire à caractériser la violation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14 nov. 2002, Mouisel c. France</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CEDH, 21 déc. 2010, Raffray Taddei c. France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Compatibilité de l’état de santé avec la détention ; soins appropriés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16 oct. 2008, Renolde c. France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 2 : suicide d’un détenu vulnérable, obligation positive de prévention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10 janv. 2012, Ananyev c. Russie</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E91E63"/>
                <w:sz w:val="17"/>
                <w:szCs w:val="17"/>
              </w:rPr>
              <w:t xml:space="preserve">CEDH, 8 janv. 2013, Torreggiani c. Italie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Arrêts pilotes</w:t>
            </w:r>
            <w:r>
              <w:rPr>
                <w:rFonts w:ascii="Calibri" w:cs="Calibri" w:eastAsia="Calibri" w:hAnsi="Calibri"/>
                <w:b w:val="false"/>
                <w:bCs w:val="false"/>
                <w:color w:val="1A1A1A"/>
                <w:sz w:val="17"/>
                <w:szCs w:val="17"/>
              </w:rPr>
              <w:t xml:space="preserve"> : problème structurel, l’État doit créer recours préventif et compensatoire et réduire la population carcérale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GC, 20 oct. 2016, Muršić c. Croatie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Seuil des </w:t>
            </w:r>
            <w:r>
              <w:rPr>
                <w:rFonts w:ascii="Calibri" w:cs="Calibri" w:eastAsia="Calibri" w:hAnsi="Calibri"/>
                <w:b w:val="false"/>
                <w:bCs w:val="false"/>
                <w:color w:val="1A1A1A"/>
                <w:sz w:val="17"/>
                <w:szCs w:val="17"/>
              </w:rPr>
              <w:t xml:space="preserve">3 m²</w:t>
            </w:r>
            <w:r>
              <w:rPr>
                <w:rFonts w:ascii="Calibri" w:cs="Calibri" w:eastAsia="Calibri" w:hAnsi="Calibri"/>
                <w:b w:val="false"/>
                <w:bCs w:val="false"/>
                <w:color w:val="1A1A1A"/>
                <w:sz w:val="17"/>
                <w:szCs w:val="17"/>
              </w:rPr>
              <w:t xml:space="preserve"> : forte présomption de violation, réfragable si la réduction est brève, occasionnelle, mineure et compensée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CEDH, 30 janv. 2020, J.M.B. et autres c. France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Violation des art. 3 et 13 ; « problème structurel » ; recommandation de résorber la surpopulation et de créer un recours préventif</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2E7D32"/>
                <w:sz w:val="17"/>
                <w:szCs w:val="17"/>
              </w:rPr>
              <w:t xml:space="preserve">Comité des ministres, 1492e réunion, 12-14 mars 2024</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Supervision de J.M.B. : « profonde préoccupation » ; invite la France à envisager un </w:t>
            </w:r>
            <w:r>
              <w:rPr>
                <w:rFonts w:ascii="Calibri" w:cs="Calibri" w:eastAsia="Calibri" w:hAnsi="Calibri"/>
                <w:b w:val="false"/>
                <w:bCs w:val="false"/>
                <w:color w:val="1A1A1A"/>
                <w:sz w:val="17"/>
                <w:szCs w:val="17"/>
              </w:rPr>
              <w:t xml:space="preserve">mécanisme contraignant de régulation carcérale</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4. Le droit interne : du référé au recours de l’art. 803-8 CPP</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Étape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Décision ou texte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Apport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Responsabilité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 6 déc. 2013, Thévenot, n° 363290</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Des conditions de détention attentatoires à la dignité révèlent une faute et causent par elles-mêmes un préjudice moral</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Référé-liberté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 ord., 22 déc. 2012, Section française de l’OIP (Baumettes), n° 364584</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juge du référé-liberté peut enjoindre des mesures d’urgence (dératisation, nettoyage) contre des traitements inhumains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Limite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 ord., 28 juill. 2017, Section française de l’OIP (Fresnes), n° 410677</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Pas de mesures structurelles (travaux lourds, moyens supplémentaires) en référé</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Législateur</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Cons. const., 25 avr. 2014, n° 2014-393 QPC</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Il incombe au législateur de garantir les droits des détenus (incompétence négative)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Juge judiciaire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crim., 8 juill. 2020, n° 20-81.739</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juge judiciaire doit vérifier les allégations de conditions indignes ; s’il les constate et qu’aucune autre mesure n’est possible, il ordonne la mise en liberté</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Cons. const., 2 oct. 2020, n° 2020-858/859 QPC</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Valeur constitutionnelle de l’exigence : abrogation différée de l’art. 144-1 al. 2 CPP faute de recours pour les prévenus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Constitution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Cons. const., 16 avr. 2021, n° 2021-898 QPC</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Même exigence pour les condamnés : « il incombe au législateur de garantir » un recours permettant de mettre fin aux conditions indignes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Loi</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Loi n° 2021-403 du 8 avril 2021</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1E88E5"/>
                <w:sz w:val="17"/>
                <w:szCs w:val="17"/>
              </w:rPr>
              <w:t xml:space="preserve">art. 803-8 CPP</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Requête au JLD (prévenus) ou au JAP (condamnés) ; allégations « circonstanciées, personnelles et actuelles » ; injonction à l’administration ; à défaut, transfert, mise en liberté ou aménagement de peine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Preuve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 21 mars 2022, n° 443986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Contentieux indemnitaire : un récit précis et crédible vaut commencement de preuve ; « c’est alors à l’administration qu’il revient d’apporter des éléments permettant de réfuter » les allégations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803-8</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crim., 31 mars 2022, n° 22-81.770</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recevabilité s’apprécie sur les seules allégations du détenu, sans les observations de l’administration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803-8</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crim., 30 sept. 2025</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Lecture large des « conditions de détention » : sécurité, prévention et assistance</w:t>
            </w:r>
          </w:p>
        </w:tc>
      </w:tr>
    </w:tbl>
    <w:p>
      <w:pPr>
        <w:spacing w:after="120"/>
      </w:pP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Bilan doctrinal du recours de l’art. 803-8 CPP.</w:t>
      </w:r>
      <w:r>
        <w:rPr>
          <w:rFonts w:ascii="Calibri" w:cs="Calibri" w:eastAsia="Calibri" w:hAnsi="Calibri"/>
          <w:color w:val="1A1A1A"/>
          <w:sz w:val="19"/>
          <w:szCs w:val="19"/>
        </w:rPr>
        <w:t xml:space="preserve"> Selon </w:t>
      </w:r>
      <w:r>
        <w:rPr>
          <w:rFonts w:ascii="Calibri" w:cs="Calibri" w:eastAsia="Calibri" w:hAnsi="Calibri"/>
          <w:color w:val="2E7D32"/>
          <w:sz w:val="19"/>
          <w:szCs w:val="19"/>
        </w:rPr>
        <w:t xml:space="preserve">M. Lepage, « L’article 803-8 du CPP, cinq ans après : anatomie d’un recours préventif sans effet préventif », Village de la justice, 18 mai 2026</w:t>
      </w:r>
      <w:r>
        <w:rPr>
          <w:rFonts w:ascii="Calibri" w:cs="Calibri" w:eastAsia="Calibri" w:hAnsi="Calibri"/>
          <w:color w:val="1A1A1A"/>
          <w:sz w:val="19"/>
          <w:szCs w:val="19"/>
        </w:rPr>
        <w:t xml:space="preserve">, qui s’appuie sur le rapport thématique du CGLPL du 3 oct. 2024 : recours « relativement peu utilisé », données « parcellaires », pratiques divergentes sur la recevabilité, et surtout </w:t>
      </w:r>
      <w:r>
        <w:rPr>
          <w:rFonts w:ascii="Calibri" w:cs="Calibri" w:eastAsia="Calibri" w:hAnsi="Calibri"/>
          <w:b/>
          <w:bCs/>
          <w:color w:val="1A1A1A"/>
          <w:sz w:val="19"/>
          <w:szCs w:val="19"/>
        </w:rPr>
        <w:t xml:space="preserve">transfert comme réponse privilégiée</w:t>
      </w:r>
      <w:r>
        <w:rPr>
          <w:rFonts w:ascii="Calibri" w:cs="Calibri" w:eastAsia="Calibri" w:hAnsi="Calibri"/>
          <w:color w:val="1A1A1A"/>
          <w:sz w:val="19"/>
          <w:szCs w:val="19"/>
        </w:rPr>
        <w:t xml:space="preserve">, qui déplace l’indignité sans la supprimer et dissuade les détenus attachés à leurs liens familiaux (</w:t>
      </w:r>
      <w:r>
        <w:rPr>
          <w:rFonts w:ascii="Calibri" w:cs="Calibri" w:eastAsia="Calibri" w:hAnsi="Calibri"/>
          <w:color w:val="1E88E5"/>
          <w:sz w:val="19"/>
          <w:szCs w:val="19"/>
        </w:rPr>
        <w:t xml:space="preserve">art. 8 CEDH</w:t>
      </w:r>
      <w:r>
        <w:rPr>
          <w:rFonts w:ascii="Calibri" w:cs="Calibri" w:eastAsia="Calibri" w:hAnsi="Calibri"/>
          <w:color w:val="1A1A1A"/>
          <w:sz w:val="19"/>
          <w:szCs w:val="19"/>
        </w:rPr>
        <w:t xml:space="preserve">). Le recours protège un individu ; il ne réduit pas la population carcérale.</w:t>
      </w:r>
    </w:p>
    <w:p>
      <w:pPr>
        <w:pStyle w:val="Heading1"/>
        <w:pBdr>
          <w:bottom w:val="single" w:color="8C1C2B" w:sz="12" w:space="6"/>
        </w:pBdr>
        <w:spacing w:after="90" w:before="260"/>
      </w:pPr>
      <w:r>
        <w:rPr>
          <w:rFonts w:ascii="Calibri" w:cs="Calibri" w:eastAsia="Calibri" w:hAnsi="Calibri"/>
          <w:b/>
          <w:bCs/>
          <w:color w:val="8C1C2B"/>
          <w:sz w:val="28"/>
          <w:szCs w:val="28"/>
        </w:rPr>
        <w:t xml:space="preserve">5. Les politiques publiques et leurs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Construction</w:t>
      </w:r>
      <w:r>
        <w:rPr>
          <w:rFonts w:ascii="Calibri" w:cs="Calibri" w:eastAsia="Calibri" w:hAnsi="Calibri"/>
          <w:color w:val="1A1A1A"/>
          <w:sz w:val="20"/>
          <w:szCs w:val="20"/>
        </w:rPr>
        <w:t xml:space="preserve"> : programme de 15 000 places lancé en 2018 ; places modulaires annoncées en 2026 ; critique constante : la capacité supplémentaire est absorbée (</w:t>
      </w:r>
      <w:r>
        <w:rPr>
          <w:rFonts w:ascii="Calibri" w:cs="Calibri" w:eastAsia="Calibri" w:hAnsi="Calibri"/>
          <w:color w:val="2E7D32"/>
          <w:sz w:val="20"/>
          <w:szCs w:val="20"/>
        </w:rPr>
        <w:t xml:space="preserve">J.-P. Céré, « La surpopulation carcérale : une fatalité ? », Club des juristes, 24 avr. 2024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Réformes de la peine</w:t>
      </w:r>
      <w:r>
        <w:rPr>
          <w:rFonts w:ascii="Calibri" w:cs="Calibri" w:eastAsia="Calibri" w:hAnsi="Calibri"/>
          <w:color w:val="1A1A1A"/>
          <w:sz w:val="20"/>
          <w:szCs w:val="20"/>
        </w:rPr>
        <w:t xml:space="preserve"> : loi de programmation du 23 mars 2019 (interdiction des peines d’emprisonnement de un mois au plus, aménagement de principe jusqu’à six mois) ; libération sous contrainte de plein droit en fin de peine (loi du 22 déc. 2021). Effets jugés insuffisants.</w:t>
      </w:r>
    </w:p>
    <w:p>
      <w:pPr>
        <w:pStyle w:val="ListParagraph"/>
        <w:numPr>
          <w:ilvl w:val="0"/>
          <w:numId w:val="2"/>
        </w:numPr>
        <w:spacing w:after="70" w:line="264"/>
        <w:jc w:val="both"/>
      </w:pPr>
      <w:r>
        <w:rPr>
          <w:rFonts w:ascii="Calibri" w:cs="Calibri" w:eastAsia="Calibri" w:hAnsi="Calibri"/>
          <w:b/>
          <w:bCs/>
          <w:color w:val="1A1A1A"/>
          <w:sz w:val="20"/>
          <w:szCs w:val="20"/>
        </w:rPr>
        <w:t xml:space="preserve">Régulation carcérale</w:t>
      </w:r>
      <w:r>
        <w:rPr>
          <w:rFonts w:ascii="Calibri" w:cs="Calibri" w:eastAsia="Calibri" w:hAnsi="Calibri"/>
          <w:color w:val="1A1A1A"/>
          <w:sz w:val="20"/>
          <w:szCs w:val="20"/>
        </w:rPr>
        <w:t xml:space="preserve"> : recommandée par le Comité des ministres (mars 2024), la CNCDH (avis du 24 mars 2022) et les États généraux de la justice. Le garde des Sceaux a annoncé le 7 janvier 2026 un </w:t>
      </w:r>
      <w:r>
        <w:rPr>
          <w:rFonts w:ascii="Calibri" w:cs="Calibri" w:eastAsia="Calibri" w:hAnsi="Calibri"/>
          <w:b/>
          <w:bCs/>
          <w:color w:val="1A1A1A"/>
          <w:sz w:val="20"/>
          <w:szCs w:val="20"/>
        </w:rPr>
        <w:t xml:space="preserve">numerus clausus progressif</w:t>
      </w:r>
      <w:r>
        <w:rPr>
          <w:rFonts w:ascii="Calibri" w:cs="Calibri" w:eastAsia="Calibri" w:hAnsi="Calibri"/>
          <w:color w:val="1A1A1A"/>
          <w:sz w:val="20"/>
          <w:szCs w:val="20"/>
        </w:rPr>
        <w:t xml:space="preserve"> dans les maisons d’arrêt (150 % en 2030, 130 % en 2032) et la fin des matelas au sol en 18 mois, dans le cadre du projet de loi « SURE » ; l’OIP juge l’objectif trop modeste et trop lent. La loi n° 2026-651 du 23 juillet 2026 (dite SURE, 2026-909 DC) a été promulguée : </w:t>
      </w:r>
      <w:r>
        <w:rPr>
          <w:rFonts w:ascii="Calibri" w:cs="Calibri" w:eastAsia="Calibri" w:hAnsi="Calibri"/>
          <w:b/>
          <w:bCs/>
          <w:color w:val="1A1A1A"/>
          <w:sz w:val="20"/>
          <w:szCs w:val="20"/>
        </w:rPr>
        <w:t xml:space="preserve">vérifier</w:t>
      </w:r>
      <w:r>
        <w:rPr>
          <w:rFonts w:ascii="Calibri" w:cs="Calibri" w:eastAsia="Calibri" w:hAnsi="Calibri"/>
          <w:color w:val="1A1A1A"/>
          <w:sz w:val="20"/>
          <w:szCs w:val="20"/>
        </w:rPr>
        <w:t xml:space="preserve"> si le numerus clausus y figure avant de l’affirmer.</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w:t>
      </w:r>
      <w:r>
        <w:rPr>
          <w:rFonts w:ascii="Calibri" w:cs="Calibri" w:eastAsia="Calibri" w:hAnsi="Calibri"/>
          <w:color w:val="1A1A1A"/>
          <w:sz w:val="20"/>
          <w:szCs w:val="20"/>
        </w:rPr>
        <w:t xml:space="preserve"> : CGLPL (Pierre Coppey nommé le 14 oct. 2026, après Dominique Simonnot), CPT, Sous-comité de l’ONU (première visite en France du 17 au 23 mai 2026), Défenseur des droits, droit de visite des parlementaires et des bâtonniers.</w:t>
      </w:r>
    </w:p>
    <w:p>
      <w:pPr>
        <w:pStyle w:val="Heading1"/>
        <w:pBdr>
          <w:bottom w:val="single" w:color="8C1C2B" w:sz="12" w:space="6"/>
        </w:pBdr>
        <w:spacing w:after="90" w:before="260"/>
      </w:pPr>
      <w:r>
        <w:rPr>
          <w:rFonts w:ascii="Calibri" w:cs="Calibri" w:eastAsia="Calibri" w:hAnsi="Calibri"/>
          <w:b/>
          <w:bCs/>
          <w:color w:val="8C1C2B"/>
          <w:sz w:val="28"/>
          <w:szCs w:val="28"/>
        </w:rPr>
        <w:t xml:space="preserve">6. L’actualité à mobiliser</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Date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Fait</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Usage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21 oct.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Dix-sept mineurs déférés retenus la nuit au dépôt du tribunal de Bobigny sans matelas ; le procureur reconnaît des conditions non « acceptables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Accroche ; dignité au-delà de la prison (garde à vue, dépôts)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Oct.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Après les violences du 17 octobre : plus de 2 000 gardes à vue, comparutions immédiates, circulaire du 2 octobre pour une réponse pénale « ferme et rapide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Politique pénale et flux d’entrée en détention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14 oct.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Nomination de Pierre Coppey comme CGLPL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Contrôle indépendant ; question de son indépendance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 oct.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Cass. crim., 7 oct. 2026</w:t>
            </w:r>
            <w:r>
              <w:rPr>
                <w:rFonts w:ascii="Calibri" w:cs="Calibri" w:eastAsia="Calibri" w:hAnsi="Calibri"/>
                <w:b w:val="false"/>
                <w:bCs w:val="false"/>
                <w:color w:val="1A1A1A"/>
                <w:sz w:val="17"/>
                <w:szCs w:val="17"/>
              </w:rPr>
              <w:t xml:space="preserve"> : une cellule n’est pas un domicile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Vie privée du détenu (voir Partie IV)</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28 mai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Sous-comité de l’ONU juge la surpopulation « grave » et susceptible de constituer un traitement inhumain ou dégradant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Contrôle international</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 janv. 2026</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Annonce d’un numerus clausus progressif dans les maisons d’arrêt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Régulation carcérale</w:t>
            </w:r>
          </w:p>
        </w:tc>
      </w:tr>
    </w:tbl>
    <w:p>
      <w:pPr>
        <w:spacing w:after="120"/>
      </w:pP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II — LA DISSERTATION</w:t>
      </w:r>
    </w:p>
    <w:p>
      <w:pPr>
        <w:pStyle w:val="Heading1"/>
        <w:pBdr>
          <w:bottom w:val="single" w:color="8C1C2B" w:sz="12" w:space="6"/>
        </w:pBdr>
        <w:spacing w:after="90" w:before="260"/>
      </w:pPr>
      <w:r>
        <w:rPr>
          <w:rFonts w:ascii="Calibri" w:cs="Calibri" w:eastAsia="Calibri" w:hAnsi="Calibri"/>
          <w:b/>
          <w:bCs/>
          <w:color w:val="8C1C2B"/>
          <w:sz w:val="28"/>
          <w:szCs w:val="28"/>
        </w:rPr>
        <w:t xml:space="preserve">1. Lire le sujet</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Mot</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Ce qu’il implique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Les droits fondamentaux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Pluriel : pas seulement la dignité. Vie, intégrité, santé, vie privée et familiale, recours, défense, réinsertion. Aussi les droits de ceux qui travaillent en prison (sécurité des personnels) : une phrase suffit.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à l’épreuve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 test : les droits résistent-ils ? Il faut conclure, au moins nuancer : opposabilité réelle, effectivité incomplète.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de la surpopulation carcérale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 phénomène </w:t>
            </w:r>
            <w:r>
              <w:rPr>
                <w:rFonts w:ascii="Calibri" w:cs="Calibri" w:eastAsia="Calibri" w:hAnsi="Calibri"/>
                <w:b w:val="false"/>
                <w:bCs w:val="false"/>
                <w:color w:val="1A1A1A"/>
                <w:sz w:val="17"/>
                <w:szCs w:val="17"/>
              </w:rPr>
              <w:t xml:space="preserve">structurel</w:t>
            </w:r>
            <w:r>
              <w:rPr>
                <w:rFonts w:ascii="Calibri" w:cs="Calibri" w:eastAsia="Calibri" w:hAnsi="Calibri"/>
                <w:b w:val="false"/>
                <w:bCs w:val="false"/>
                <w:color w:val="1A1A1A"/>
                <w:sz w:val="17"/>
                <w:szCs w:val="17"/>
              </w:rPr>
              <w:t xml:space="preserve"> et </w:t>
            </w:r>
            <w:r>
              <w:rPr>
                <w:rFonts w:ascii="Calibri" w:cs="Calibri" w:eastAsia="Calibri" w:hAnsi="Calibri"/>
                <w:b w:val="false"/>
                <w:bCs w:val="false"/>
                <w:color w:val="1A1A1A"/>
                <w:sz w:val="17"/>
                <w:szCs w:val="17"/>
              </w:rPr>
              <w:t xml:space="preserve">collectif</w:t>
            </w:r>
            <w:r>
              <w:rPr>
                <w:rFonts w:ascii="Calibri" w:cs="Calibri" w:eastAsia="Calibri" w:hAnsi="Calibri"/>
                <w:b w:val="false"/>
                <w:bCs w:val="false"/>
                <w:color w:val="1A1A1A"/>
                <w:sz w:val="17"/>
                <w:szCs w:val="17"/>
              </w:rPr>
              <w:t xml:space="preserve"> : c’est la clé de la tension avec une protection juridictionnelle, par nature </w:t>
            </w:r>
            <w:r>
              <w:rPr>
                <w:rFonts w:ascii="Calibri" w:cs="Calibri" w:eastAsia="Calibri" w:hAnsi="Calibri"/>
                <w:b w:val="false"/>
                <w:bCs w:val="false"/>
                <w:color w:val="1A1A1A"/>
                <w:sz w:val="17"/>
                <w:szCs w:val="17"/>
              </w:rPr>
              <w:t xml:space="preserve">individuelle</w:t>
            </w:r>
            <w:r>
              <w:rPr>
                <w:rFonts w:ascii="Calibri" w:cs="Calibri" w:eastAsia="Calibri" w:hAnsi="Calibri"/>
                <w:b w:val="false"/>
                <w:bCs w:val="false"/>
                <w:color w:val="1A1A1A"/>
                <w:sz w:val="17"/>
                <w:szCs w:val="17"/>
              </w:rPr>
              <w:t xml:space="preserve">. Délimitation : prisons (pas la rétention administrative ni les hôpitaux psychiatriques, sauf en ouverture).</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2. L’heure de préparation</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Temps</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Tâche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Conseil</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0-10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Définir les termes, noter les chiffres, lister les droits en jeu</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Ne pas partir sur la seule dignité</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10-25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Trouver la tension : droits opposables / mal structurel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Formuler la problématique en une phrase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25-40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en deux parties, quatre sous-parties ; deux références par sous-partie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Une sous-partie sans texte ni arrêt est un avis personnel</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40-55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Rédiger l’introduction et les transitions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L’annonce du plan se dit lentement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55-60 min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Conclusion courte, ouverture, relances probables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Préparer : « que proposez-vous ? »</w:t>
            </w:r>
          </w:p>
        </w:tc>
      </w:tr>
    </w:tbl>
    <w:p>
      <w:pPr>
        <w:spacing w:after="120"/>
      </w:pP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3. L’introduction rédigée</w:t>
      </w:r>
    </w:p>
    <w:p>
      <w:pPr>
        <w:pStyle w:val="Heading3"/>
        <w:spacing w:after="80" w:before="200"/>
      </w:pPr>
      <w:r>
        <w:rPr>
          <w:rFonts w:ascii="Calibri" w:cs="Calibri" w:eastAsia="Calibri" w:hAnsi="Calibri"/>
          <w:b/>
          <w:bCs/>
          <w:i/>
          <w:iCs/>
          <w:color w:val="1A1A1A"/>
          <w:sz w:val="21"/>
          <w:szCs w:val="21"/>
        </w:rPr>
        <w:t xml:space="preserve">Accroche</w:t>
      </w:r>
    </w:p>
    <w:p>
      <w:pPr>
        <w:spacing w:after="110" w:line="288"/>
        <w:ind w:left="180" w:right="180"/>
        <w:jc w:val="both"/>
      </w:pPr>
      <w:r>
        <w:rPr>
          <w:rFonts w:ascii="Calibri" w:cs="Calibri" w:eastAsia="Calibri" w:hAnsi="Calibri"/>
          <w:color w:val="1A1A1A"/>
          <w:sz w:val="20"/>
          <w:szCs w:val="20"/>
        </w:rPr>
        <w:t xml:space="preserve">Au 1er septembre 2026, les prisons françaises comptaient 90 020 personnes détenues, un record historique, pour un peu plus de 63 000 places opérationnelles ; plus de 8 300 d’entre elles dormaient sur un matelas posé au sol. Quelques mois plus tôt, au terme de sa première visite en France, le Sous-comité des Nations unies pour la prévention de la torture estimait que cette surpopulation « pourrait constituer un traitement inhumain ou dégradant ».</w:t>
      </w:r>
    </w:p>
    <w:p>
      <w:pPr>
        <w:pStyle w:val="Heading3"/>
        <w:spacing w:after="80" w:before="200"/>
      </w:pPr>
      <w:r>
        <w:rPr>
          <w:rFonts w:ascii="Calibri" w:cs="Calibri" w:eastAsia="Calibri" w:hAnsi="Calibri"/>
          <w:b/>
          <w:bCs/>
          <w:i/>
          <w:iCs/>
          <w:color w:val="1A1A1A"/>
          <w:sz w:val="21"/>
          <w:szCs w:val="21"/>
        </w:rPr>
        <w:t xml:space="preserve">Définitions</w:t>
      </w:r>
    </w:p>
    <w:p>
      <w:pPr>
        <w:spacing w:after="110" w:line="288"/>
        <w:ind w:left="180" w:right="180"/>
        <w:jc w:val="both"/>
      </w:pPr>
      <w:r>
        <w:rPr>
          <w:rFonts w:ascii="Calibri" w:cs="Calibri" w:eastAsia="Calibri" w:hAnsi="Calibri"/>
          <w:color w:val="1A1A1A"/>
          <w:sz w:val="20"/>
          <w:szCs w:val="20"/>
        </w:rPr>
        <w:t xml:space="preserve">La surpopulation carcérale désigne la situation dans laquelle le nombre de personnes détenues excède la capacité opérationnelle des établissements pénitentiaires. Elle n’est pas uniforme : elle se concentre dans les maisons d’arrêt, qui accueillent les prévenus et les condamnés à de courtes peines, où la densité dépasse 160 %. Les droits fondamentaux sont les droits et libertés que des normes supérieures reconnaissent à toute personne et dont un juge assure la garantie. Le détenu en demeure titulaire : la peine le prive de sa liberté d’aller et venir, non de sa dignité. Mettre ces droits « à l’épreuve », c’est éprouver leur résistance.</w:t>
      </w:r>
    </w:p>
    <w:p>
      <w:pPr>
        <w:pStyle w:val="Heading3"/>
        <w:spacing w:after="80" w:before="200"/>
      </w:pPr>
      <w:r>
        <w:rPr>
          <w:rFonts w:ascii="Calibri" w:cs="Calibri" w:eastAsia="Calibri" w:hAnsi="Calibri"/>
          <w:b/>
          <w:bCs/>
          <w:i/>
          <w:iCs/>
          <w:color w:val="1A1A1A"/>
          <w:sz w:val="21"/>
          <w:szCs w:val="21"/>
        </w:rPr>
        <w:t xml:space="preserve">Contexte</w:t>
      </w:r>
    </w:p>
    <w:p>
      <w:pPr>
        <w:spacing w:after="110" w:line="288"/>
        <w:ind w:left="180" w:right="180"/>
        <w:jc w:val="both"/>
      </w:pPr>
      <w:r>
        <w:rPr>
          <w:rFonts w:ascii="Calibri" w:cs="Calibri" w:eastAsia="Calibri" w:hAnsi="Calibri"/>
          <w:color w:val="1A1A1A"/>
          <w:sz w:val="20"/>
          <w:szCs w:val="20"/>
        </w:rPr>
        <w:t xml:space="preserve">Le principe de l’encellulement individuel, posé par la loi du 5 juin 1875, n’a jamais été appliqué ; son entrée en vigueur est repoussée par des moratoires successifs, désormais jusqu’au 31 décembre 2027. Pourtant, depuis vingt-cinq ans, le droit s’est armé : la Cour européenne des droits de l’homme exige des conditions de détention compatibles avec la dignité humaine depuis l’arrêt Kudła c. Pologne de 2000 et a condamné la France dans l’arrêt J.M.B. du 30 janvier 2020 ; la Cour de cassation, le Conseil constitutionnel puis le législateur ont créé, en 2020 et 2021, un recours permettant de faire cesser des conditions indignes.</w:t>
      </w:r>
    </w:p>
    <w:p>
      <w:pPr>
        <w:pStyle w:val="Heading3"/>
        <w:spacing w:after="80" w:before="200"/>
      </w:pPr>
      <w:r>
        <w:rPr>
          <w:rFonts w:ascii="Calibri" w:cs="Calibri" w:eastAsia="Calibri" w:hAnsi="Calibri"/>
          <w:b/>
          <w:bCs/>
          <w:i/>
          <w:iCs/>
          <w:color w:val="1A1A1A"/>
          <w:sz w:val="21"/>
          <w:szCs w:val="21"/>
        </w:rPr>
        <w:t xml:space="preserve">Problématique</w:t>
      </w:r>
    </w:p>
    <w:p>
      <w:pPr>
        <w:spacing w:after="110" w:line="288"/>
        <w:ind w:left="180" w:right="180"/>
        <w:jc w:val="both"/>
      </w:pPr>
      <w:r>
        <w:rPr>
          <w:rFonts w:ascii="Calibri" w:cs="Calibri" w:eastAsia="Calibri" w:hAnsi="Calibri"/>
          <w:color w:val="1A1A1A"/>
          <w:sz w:val="20"/>
          <w:szCs w:val="20"/>
        </w:rPr>
        <w:t xml:space="preserve">Le droit des droits fondamentaux peut-il protéger les personnes détenues contre un phénomène qu’il condamne sans pouvoir, à lui seul, le résorber ?</w:t>
      </w:r>
    </w:p>
    <w:p>
      <w:pPr>
        <w:pStyle w:val="Heading3"/>
        <w:spacing w:after="80" w:before="200"/>
      </w:pPr>
      <w:r>
        <w:rPr>
          <w:rFonts w:ascii="Calibri" w:cs="Calibri" w:eastAsia="Calibri" w:hAnsi="Calibri"/>
          <w:b/>
          <w:bCs/>
          <w:i/>
          <w:iCs/>
          <w:color w:val="1A1A1A"/>
          <w:sz w:val="21"/>
          <w:szCs w:val="21"/>
        </w:rPr>
        <w:t xml:space="preserve">Annonce du plan</w:t>
      </w:r>
    </w:p>
    <w:p>
      <w:pPr>
        <w:spacing w:after="110" w:line="288"/>
        <w:ind w:left="180" w:right="180"/>
        <w:jc w:val="both"/>
      </w:pPr>
      <w:r>
        <w:rPr>
          <w:rFonts w:ascii="Calibri" w:cs="Calibri" w:eastAsia="Calibri" w:hAnsi="Calibri"/>
          <w:color w:val="1A1A1A"/>
          <w:sz w:val="20"/>
          <w:szCs w:val="20"/>
        </w:rPr>
        <w:t xml:space="preserve">Si les droits fondamentaux sont désormais pleinement opposables à la surpopulation carcérale (I), leur garantie juridictionnelle, bien que renouvelée, se heurte au caractère structurel du phénomène (II).</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4. Le plan détaillé</w:t>
      </w:r>
    </w:p>
    <w:p>
      <w:pPr>
        <w:pStyle w:val="Heading2"/>
        <w:spacing w:after="110" w:before="260"/>
      </w:pPr>
      <w:r>
        <w:rPr>
          <w:rFonts w:ascii="Calibri" w:cs="Calibri" w:eastAsia="Calibri" w:hAnsi="Calibri"/>
          <w:b/>
          <w:bCs/>
          <w:color w:val="1A1A1A"/>
          <w:spacing w:val="16"/>
          <w:sz w:val="23"/>
          <w:szCs w:val="23"/>
        </w:rPr>
        <w:t xml:space="preserve">I. Des droits fondamentaux pleinement opposables à la surpopulation carcérale</w:t>
      </w:r>
    </w:p>
    <w:p>
      <w:pPr>
        <w:spacing w:after="90" w:line="264"/>
        <w:jc w:val="both"/>
      </w:pPr>
      <w:r>
        <w:rPr>
          <w:rFonts w:ascii="Calibri" w:cs="Calibri" w:eastAsia="Calibri" w:hAnsi="Calibri"/>
          <w:i/>
          <w:iCs/>
          <w:color w:val="1A1A1A"/>
          <w:sz w:val="20"/>
          <w:szCs w:val="20"/>
        </w:rPr>
        <w:t xml:space="preserve">Chapeau</w:t>
      </w:r>
      <w:r>
        <w:rPr>
          <w:rFonts w:ascii="Calibri" w:cs="Calibri" w:eastAsia="Calibri" w:hAnsi="Calibri"/>
          <w:color w:val="1A1A1A"/>
          <w:sz w:val="20"/>
          <w:szCs w:val="20"/>
        </w:rPr>
        <w:t xml:space="preserve"> : la surpopulation n’est pas une fatalité juridiquement neutre : elle porte atteinte à des droits substantiels (A) et fait naître à la charge de l’État des obligations positives (B).</w:t>
      </w:r>
    </w:p>
    <w:p>
      <w:pPr>
        <w:pStyle w:val="Heading3"/>
        <w:spacing w:after="80" w:before="200"/>
      </w:pPr>
      <w:r>
        <w:rPr>
          <w:rFonts w:ascii="Calibri" w:cs="Calibri" w:eastAsia="Calibri" w:hAnsi="Calibri"/>
          <w:b/>
          <w:bCs/>
          <w:i/>
          <w:iCs/>
          <w:color w:val="1A1A1A"/>
          <w:sz w:val="21"/>
          <w:szCs w:val="21"/>
        </w:rPr>
        <w:t xml:space="preserve">A. La dignité et l’intégrité, rempart substantiel</w:t>
      </w:r>
    </w:p>
    <w:p>
      <w:pPr>
        <w:pStyle w:val="ListParagraph"/>
        <w:numPr>
          <w:ilvl w:val="0"/>
          <w:numId w:val="2"/>
        </w:numPr>
        <w:spacing w:after="70" w:line="264"/>
        <w:jc w:val="both"/>
      </w:pPr>
      <w:r>
        <w:rPr>
          <w:rFonts w:ascii="Calibri" w:cs="Calibri" w:eastAsia="Calibri" w:hAnsi="Calibri"/>
          <w:b/>
          <w:bCs/>
          <w:color w:val="1A1A1A"/>
          <w:sz w:val="20"/>
          <w:szCs w:val="20"/>
        </w:rPr>
        <w:t xml:space="preserve">Dignité</w:t>
      </w:r>
      <w:r>
        <w:rPr>
          <w:rFonts w:ascii="Calibri" w:cs="Calibri" w:eastAsia="Calibri" w:hAnsi="Calibri"/>
          <w:color w:val="1A1A1A"/>
          <w:sz w:val="20"/>
          <w:szCs w:val="20"/>
        </w:rPr>
        <w:t xml:space="preserve"> : principe à valeur constitutionnelle (</w:t>
      </w:r>
      <w:r>
        <w:rPr>
          <w:rFonts w:ascii="Calibri" w:cs="Calibri" w:eastAsia="Calibri" w:hAnsi="Calibri"/>
          <w:color w:val="E91E63"/>
          <w:sz w:val="20"/>
          <w:szCs w:val="20"/>
        </w:rPr>
        <w:t xml:space="preserve">94-343/344 DC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1er du Préambule de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6 C. pénit.</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10 PIDCP</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Art. 3 CEDH</w:t>
      </w:r>
      <w:r>
        <w:rPr>
          <w:rFonts w:ascii="Calibri" w:cs="Calibri" w:eastAsia="Calibri" w:hAnsi="Calibri"/>
          <w:color w:val="1A1A1A"/>
          <w:sz w:val="20"/>
          <w:szCs w:val="20"/>
        </w:rPr>
        <w:t xml:space="preserve">, droit absolu (</w:t>
      </w:r>
      <w:r>
        <w:rPr>
          <w:rFonts w:ascii="Calibri" w:cs="Calibri" w:eastAsia="Calibri" w:hAnsi="Calibri"/>
          <w:color w:val="1E88E5"/>
          <w:sz w:val="20"/>
          <w:szCs w:val="20"/>
        </w:rPr>
        <w:t xml:space="preserve">art. 15 § 2</w:t>
      </w:r>
      <w:r>
        <w:rPr>
          <w:rFonts w:ascii="Calibri" w:cs="Calibri" w:eastAsia="Calibri" w:hAnsi="Calibri"/>
          <w:color w:val="1A1A1A"/>
          <w:sz w:val="20"/>
          <w:szCs w:val="20"/>
        </w:rPr>
        <w:t xml:space="preserve">) : conditions « compatibles avec le respect de la dignité humaine » (</w:t>
      </w:r>
      <w:r>
        <w:rPr>
          <w:rFonts w:ascii="Calibri" w:cs="Calibri" w:eastAsia="Calibri" w:hAnsi="Calibri"/>
          <w:color w:val="E91E63"/>
          <w:sz w:val="20"/>
          <w:szCs w:val="20"/>
        </w:rPr>
        <w:t xml:space="preserve">Kudła</w:t>
      </w:r>
      <w:r>
        <w:rPr>
          <w:rFonts w:ascii="Calibri" w:cs="Calibri" w:eastAsia="Calibri" w:hAnsi="Calibri"/>
          <w:color w:val="1A1A1A"/>
          <w:sz w:val="20"/>
          <w:szCs w:val="20"/>
        </w:rPr>
        <w:t xml:space="preserve">, 2000) ; pas d’intention d’humilier requise (</w:t>
      </w:r>
      <w:r>
        <w:rPr>
          <w:rFonts w:ascii="Calibri" w:cs="Calibri" w:eastAsia="Calibri" w:hAnsi="Calibri"/>
          <w:color w:val="E91E63"/>
          <w:sz w:val="20"/>
          <w:szCs w:val="20"/>
        </w:rPr>
        <w:t xml:space="preserve">Peers c. Grèce</w:t>
      </w:r>
      <w:r>
        <w:rPr>
          <w:rFonts w:ascii="Calibri" w:cs="Calibri" w:eastAsia="Calibri" w:hAnsi="Calibri"/>
          <w:color w:val="1A1A1A"/>
          <w:sz w:val="20"/>
          <w:szCs w:val="20"/>
        </w:rPr>
        <w:t xml:space="preserve">, 2001) ; la surpopulation peut suffire (</w:t>
      </w:r>
      <w:r>
        <w:rPr>
          <w:rFonts w:ascii="Calibri" w:cs="Calibri" w:eastAsia="Calibri" w:hAnsi="Calibri"/>
          <w:color w:val="E91E63"/>
          <w:sz w:val="20"/>
          <w:szCs w:val="20"/>
        </w:rPr>
        <w:t xml:space="preserve">Kalashnikov</w:t>
      </w:r>
      <w:r>
        <w:rPr>
          <w:rFonts w:ascii="Calibri" w:cs="Calibri" w:eastAsia="Calibri" w:hAnsi="Calibri"/>
          <w:color w:val="1A1A1A"/>
          <w:sz w:val="20"/>
          <w:szCs w:val="20"/>
        </w:rPr>
        <w:t xml:space="preserve">, 2002) ; seuil de </w:t>
      </w:r>
      <w:r>
        <w:rPr>
          <w:rFonts w:ascii="Calibri" w:cs="Calibri" w:eastAsia="Calibri" w:hAnsi="Calibri"/>
          <w:b/>
          <w:bCs/>
          <w:color w:val="1A1A1A"/>
          <w:sz w:val="20"/>
          <w:szCs w:val="20"/>
        </w:rPr>
        <w:t xml:space="preserve">3 m²</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Muršić</w:t>
      </w:r>
      <w:r>
        <w:rPr>
          <w:rFonts w:ascii="Calibri" w:cs="Calibri" w:eastAsia="Calibri" w:hAnsi="Calibri"/>
          <w:color w:val="1A1A1A"/>
          <w:sz w:val="20"/>
          <w:szCs w:val="20"/>
        </w:rPr>
        <w:t xml:space="preserve">, GC, 2016) ; condamnation de la France (</w:t>
      </w:r>
      <w:r>
        <w:rPr>
          <w:rFonts w:ascii="Calibri" w:cs="Calibri" w:eastAsia="Calibri" w:hAnsi="Calibri"/>
          <w:color w:val="E91E63"/>
          <w:sz w:val="20"/>
          <w:szCs w:val="20"/>
        </w:rPr>
        <w:t xml:space="preserve">J.M.B.</w:t>
      </w:r>
      <w:r>
        <w:rPr>
          <w:rFonts w:ascii="Calibri" w:cs="Calibri" w:eastAsia="Calibri" w:hAnsi="Calibri"/>
          <w:color w:val="1A1A1A"/>
          <w:sz w:val="20"/>
          <w:szCs w:val="20"/>
        </w:rPr>
        <w:t xml:space="preserve">, 2020, six établissements : espace personnel inférieur à 3 m², toilettes sans cloison, nuisibles, matelas au sol).</w:t>
      </w:r>
    </w:p>
    <w:p>
      <w:pPr>
        <w:pStyle w:val="ListParagraph"/>
        <w:numPr>
          <w:ilvl w:val="0"/>
          <w:numId w:val="2"/>
        </w:numPr>
        <w:spacing w:after="70" w:line="264"/>
        <w:jc w:val="both"/>
      </w:pPr>
      <w:r>
        <w:rPr>
          <w:rFonts w:ascii="Calibri" w:cs="Calibri" w:eastAsia="Calibri" w:hAnsi="Calibri"/>
          <w:b/>
          <w:bCs/>
          <w:color w:val="1A1A1A"/>
          <w:sz w:val="20"/>
          <w:szCs w:val="20"/>
        </w:rPr>
        <w:t xml:space="preserve">Vie et intégrité</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CEDH</w:t>
      </w:r>
      <w:r>
        <w:rPr>
          <w:rFonts w:ascii="Calibri" w:cs="Calibri" w:eastAsia="Calibri" w:hAnsi="Calibri"/>
          <w:color w:val="1A1A1A"/>
          <w:sz w:val="20"/>
          <w:szCs w:val="20"/>
        </w:rPr>
        <w:t xml:space="preserve">) : la promiscuité aggrave violences et risques suicidaires ; obligation de prévention à l’égard des détenus vulnérables (</w:t>
      </w:r>
      <w:r>
        <w:rPr>
          <w:rFonts w:ascii="Calibri" w:cs="Calibri" w:eastAsia="Calibri" w:hAnsi="Calibri"/>
          <w:color w:val="E91E63"/>
          <w:sz w:val="20"/>
          <w:szCs w:val="20"/>
        </w:rPr>
        <w:t xml:space="preserve">Renolde c. France</w:t>
      </w:r>
      <w:r>
        <w:rPr>
          <w:rFonts w:ascii="Calibri" w:cs="Calibri" w:eastAsia="Calibri" w:hAnsi="Calibri"/>
          <w:color w:val="1A1A1A"/>
          <w:sz w:val="20"/>
          <w:szCs w:val="20"/>
        </w:rPr>
        <w:t xml:space="preserve">, 2008).</w:t>
      </w:r>
    </w:p>
    <w:p>
      <w:pPr>
        <w:pStyle w:val="ListParagraph"/>
        <w:numPr>
          <w:ilvl w:val="0"/>
          <w:numId w:val="2"/>
        </w:numPr>
        <w:spacing w:after="70" w:line="264"/>
        <w:jc w:val="both"/>
      </w:pPr>
      <w:r>
        <w:rPr>
          <w:rFonts w:ascii="Calibri" w:cs="Calibri" w:eastAsia="Calibri" w:hAnsi="Calibri"/>
          <w:b/>
          <w:bCs/>
          <w:color w:val="1A1A1A"/>
          <w:sz w:val="20"/>
          <w:szCs w:val="20"/>
        </w:rPr>
        <w:t xml:space="preserve">Santé</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11 du Préambule de 1946</w:t>
      </w:r>
      <w:r>
        <w:rPr>
          <w:rFonts w:ascii="Calibri" w:cs="Calibri" w:eastAsia="Calibri" w:hAnsi="Calibri"/>
          <w:color w:val="1A1A1A"/>
          <w:sz w:val="20"/>
          <w:szCs w:val="20"/>
        </w:rPr>
        <w:t xml:space="preserve">) : accès aux soins saturé ; compatibilité de l’état de santé avec la détention (</w:t>
      </w:r>
      <w:r>
        <w:rPr>
          <w:rFonts w:ascii="Calibri" w:cs="Calibri" w:eastAsia="Calibri" w:hAnsi="Calibri"/>
          <w:color w:val="E91E63"/>
          <w:sz w:val="20"/>
          <w:szCs w:val="20"/>
        </w:rPr>
        <w:t xml:space="preserve">Mouisel</w:t>
      </w:r>
      <w:r>
        <w:rPr>
          <w:rFonts w:ascii="Calibri" w:cs="Calibri" w:eastAsia="Calibri" w:hAnsi="Calibri"/>
          <w:color w:val="1A1A1A"/>
          <w:sz w:val="20"/>
          <w:szCs w:val="20"/>
        </w:rPr>
        <w:t xml:space="preserve">, 2002 ; </w:t>
      </w:r>
      <w:r>
        <w:rPr>
          <w:rFonts w:ascii="Calibri" w:cs="Calibri" w:eastAsia="Calibri" w:hAnsi="Calibri"/>
          <w:color w:val="E91E63"/>
          <w:sz w:val="20"/>
          <w:szCs w:val="20"/>
        </w:rPr>
        <w:t xml:space="preserve">Raffray Taddei</w:t>
      </w:r>
      <w:r>
        <w:rPr>
          <w:rFonts w:ascii="Calibri" w:cs="Calibri" w:eastAsia="Calibri" w:hAnsi="Calibri"/>
          <w:color w:val="1A1A1A"/>
          <w:sz w:val="20"/>
          <w:szCs w:val="20"/>
        </w:rPr>
        <w:t xml:space="preserve">, 2010).</w:t>
      </w:r>
    </w:p>
    <w:p>
      <w:pPr>
        <w:pStyle w:val="ListParagraph"/>
        <w:numPr>
          <w:ilvl w:val="0"/>
          <w:numId w:val="2"/>
        </w:numPr>
        <w:spacing w:after="70" w:line="264"/>
        <w:jc w:val="both"/>
      </w:pPr>
      <w:r>
        <w:rPr>
          <w:rFonts w:ascii="Calibri" w:cs="Calibri" w:eastAsia="Calibri" w:hAnsi="Calibri"/>
          <w:b/>
          <w:bCs/>
          <w:color w:val="1A1A1A"/>
          <w:sz w:val="20"/>
          <w:szCs w:val="20"/>
        </w:rPr>
        <w:t xml:space="preserve">Vie privée et familiale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 : intimité impossible à trois ou quatre dans 9 m² ; parloirs saturés ; transferts qui éloignent les familles. La cellule n’est pas un domicile (</w:t>
      </w:r>
      <w:r>
        <w:rPr>
          <w:rFonts w:ascii="Calibri" w:cs="Calibri" w:eastAsia="Calibri" w:hAnsi="Calibri"/>
          <w:color w:val="E91E63"/>
          <w:sz w:val="20"/>
          <w:szCs w:val="20"/>
        </w:rPr>
        <w:t xml:space="preserve">Crim., 7 oct. 2026</w:t>
      </w:r>
      <w:r>
        <w:rPr>
          <w:rFonts w:ascii="Calibri" w:cs="Calibri" w:eastAsia="Calibri" w:hAnsi="Calibri"/>
          <w:color w:val="1A1A1A"/>
          <w:sz w:val="20"/>
          <w:szCs w:val="20"/>
        </w:rPr>
        <w:t xml:space="preserve">), mais la vie privée y demeure protégée.</w:t>
      </w:r>
    </w:p>
    <w:p>
      <w:pPr>
        <w:pStyle w:val="ListParagraph"/>
        <w:numPr>
          <w:ilvl w:val="0"/>
          <w:numId w:val="2"/>
        </w:numPr>
        <w:spacing w:after="70" w:line="264"/>
        <w:jc w:val="both"/>
      </w:pPr>
      <w:r>
        <w:rPr>
          <w:rFonts w:ascii="Calibri" w:cs="Calibri" w:eastAsia="Calibri" w:hAnsi="Calibri"/>
          <w:b/>
          <w:bCs/>
          <w:color w:val="1A1A1A"/>
          <w:sz w:val="20"/>
          <w:szCs w:val="20"/>
        </w:rPr>
        <w:t xml:space="preserve">Droits procéduraux et sens de la peine</w:t>
      </w:r>
      <w:r>
        <w:rPr>
          <w:rFonts w:ascii="Calibri" w:cs="Calibri" w:eastAsia="Calibri" w:hAnsi="Calibri"/>
          <w:color w:val="1A1A1A"/>
          <w:sz w:val="20"/>
          <w:szCs w:val="20"/>
        </w:rPr>
        <w:t xml:space="preserve"> : présomption d’innocence des prévenus, majoritaires en maison d’arrêt ; droits de la défense (accès à l’avocat, au téléphone) ; réinsertion (</w:t>
      </w:r>
      <w:r>
        <w:rPr>
          <w:rFonts w:ascii="Calibri" w:cs="Calibri" w:eastAsia="Calibri" w:hAnsi="Calibri"/>
          <w:color w:val="1E88E5"/>
          <w:sz w:val="20"/>
          <w:szCs w:val="20"/>
        </w:rPr>
        <w:t xml:space="preserve">art. 707 CPP</w:t>
      </w:r>
      <w:r>
        <w:rPr>
          <w:rFonts w:ascii="Calibri" w:cs="Calibri" w:eastAsia="Calibri" w:hAnsi="Calibri"/>
          <w:color w:val="1A1A1A"/>
          <w:sz w:val="20"/>
          <w:szCs w:val="20"/>
        </w:rPr>
        <w:t xml:space="preserve">).</w:t>
      </w:r>
    </w:p>
    <w:p>
      <w:pPr>
        <w:pStyle w:val="Heading3"/>
        <w:spacing w:after="80" w:before="200"/>
      </w:pPr>
      <w:r>
        <w:rPr>
          <w:rFonts w:ascii="Calibri" w:cs="Calibri" w:eastAsia="Calibri" w:hAnsi="Calibri"/>
          <w:b/>
          <w:bCs/>
          <w:i/>
          <w:iCs/>
          <w:color w:val="1A1A1A"/>
          <w:sz w:val="21"/>
          <w:szCs w:val="21"/>
        </w:rPr>
        <w:t xml:space="preserve">B. Des obligations positives à la charge de l’État</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 de résultat quant aux conditions</w:t>
      </w:r>
      <w:r>
        <w:rPr>
          <w:rFonts w:ascii="Calibri" w:cs="Calibri" w:eastAsia="Calibri" w:hAnsi="Calibri"/>
          <w:color w:val="1A1A1A"/>
          <w:sz w:val="20"/>
          <w:szCs w:val="20"/>
        </w:rPr>
        <w:t xml:space="preserve"> : l’État répond des conditions qu’il impose, quelles que soient ses contraintes budgétaires (</w:t>
      </w:r>
      <w:r>
        <w:rPr>
          <w:rFonts w:ascii="Calibri" w:cs="Calibri" w:eastAsia="Calibri" w:hAnsi="Calibri"/>
          <w:color w:val="E91E63"/>
          <w:sz w:val="20"/>
          <w:szCs w:val="20"/>
        </w:rPr>
        <w:t xml:space="preserve">Kudła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Ananyev</w:t>
      </w:r>
      <w:r>
        <w:rPr>
          <w:rFonts w:ascii="Calibri" w:cs="Calibri" w:eastAsia="Calibri" w:hAnsi="Calibri"/>
          <w:color w:val="1A1A1A"/>
          <w:sz w:val="20"/>
          <w:szCs w:val="20"/>
        </w:rPr>
        <w:t xml:space="preserve">, 2012).</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Obligations législatives</w:t>
      </w:r>
      <w:r>
        <w:rPr>
          <w:rFonts w:ascii="Calibri" w:cs="Calibri" w:eastAsia="Calibri" w:hAnsi="Calibri"/>
          <w:color w:val="1A1A1A"/>
          <w:sz w:val="20"/>
          <w:szCs w:val="20"/>
        </w:rPr>
        <w:t xml:space="preserve"> : il appartient au législateur de garantir les droits des détenus (</w:t>
      </w:r>
      <w:r>
        <w:rPr>
          <w:rFonts w:ascii="Calibri" w:cs="Calibri" w:eastAsia="Calibri" w:hAnsi="Calibri"/>
          <w:color w:val="E91E63"/>
          <w:sz w:val="20"/>
          <w:szCs w:val="20"/>
        </w:rPr>
        <w:t xml:space="preserve">2014-393 QPC</w:t>
      </w:r>
      <w:r>
        <w:rPr>
          <w:rFonts w:ascii="Calibri" w:cs="Calibri" w:eastAsia="Calibri" w:hAnsi="Calibri"/>
          <w:color w:val="1A1A1A"/>
          <w:sz w:val="20"/>
          <w:szCs w:val="20"/>
        </w:rPr>
        <w:t xml:space="preserve">) ; encellulement individuel affirmé mais suspendu (moratoire jusqu’au 31 déc. 2027) : l’écart entre la norme et sa mise en œuvre est assumé par l’État lui-même.</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Obligations structurelles</w:t>
      </w:r>
      <w:r>
        <w:rPr>
          <w:rFonts w:ascii="Calibri" w:cs="Calibri" w:eastAsia="Calibri" w:hAnsi="Calibri"/>
          <w:color w:val="1A1A1A"/>
          <w:sz w:val="20"/>
          <w:szCs w:val="20"/>
        </w:rPr>
        <w:t xml:space="preserve"> issues des arrêts pilotes (</w:t>
      </w:r>
      <w:r>
        <w:rPr>
          <w:rFonts w:ascii="Calibri" w:cs="Calibri" w:eastAsia="Calibri" w:hAnsi="Calibri"/>
          <w:color w:val="E91E63"/>
          <w:sz w:val="20"/>
          <w:szCs w:val="20"/>
        </w:rPr>
        <w:t xml:space="preserve">Torreggiani</w:t>
      </w:r>
      <w:r>
        <w:rPr>
          <w:rFonts w:ascii="Calibri" w:cs="Calibri" w:eastAsia="Calibri" w:hAnsi="Calibri"/>
          <w:color w:val="1A1A1A"/>
          <w:sz w:val="20"/>
          <w:szCs w:val="20"/>
        </w:rPr>
        <w:t xml:space="preserve">, 2013) et de l’</w:t>
      </w:r>
      <w:r>
        <w:rPr>
          <w:rFonts w:ascii="Calibri" w:cs="Calibri" w:eastAsia="Calibri" w:hAnsi="Calibri"/>
          <w:color w:val="1E88E5"/>
          <w:sz w:val="20"/>
          <w:szCs w:val="20"/>
        </w:rPr>
        <w:t xml:space="preserve">art. 46 CEDH</w:t>
      </w:r>
      <w:r>
        <w:rPr>
          <w:rFonts w:ascii="Calibri" w:cs="Calibri" w:eastAsia="Calibri" w:hAnsi="Calibri"/>
          <w:color w:val="1A1A1A"/>
          <w:sz w:val="20"/>
          <w:szCs w:val="20"/>
        </w:rPr>
        <w:t xml:space="preserve"> : réduire la population carcérale, créer des recours préventifs et compensatoires ; supervision de </w:t>
      </w:r>
      <w:r>
        <w:rPr>
          <w:rFonts w:ascii="Calibri" w:cs="Calibri" w:eastAsia="Calibri" w:hAnsi="Calibri"/>
          <w:color w:val="E91E63"/>
          <w:sz w:val="20"/>
          <w:szCs w:val="20"/>
        </w:rPr>
        <w:t xml:space="preserve">J.M.B.</w:t>
      </w:r>
      <w:r>
        <w:rPr>
          <w:rFonts w:ascii="Calibri" w:cs="Calibri" w:eastAsia="Calibri" w:hAnsi="Calibri"/>
          <w:color w:val="1A1A1A"/>
          <w:sz w:val="20"/>
          <w:szCs w:val="20"/>
        </w:rPr>
        <w:t xml:space="preserve"> par le Comité des ministres (2024 : mécanisme contraignant de régulation).</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 de contrôle</w:t>
      </w:r>
      <w:r>
        <w:rPr>
          <w:rFonts w:ascii="Calibri" w:cs="Calibri" w:eastAsia="Calibri" w:hAnsi="Calibri"/>
          <w:color w:val="1A1A1A"/>
          <w:sz w:val="20"/>
          <w:szCs w:val="20"/>
        </w:rPr>
        <w:t xml:space="preserve"> : CGLPL (loi du 30 oct. 2007), CPT, SPT (OPCAT), droit de visite des parlementaires et des bâtonniers (</w:t>
      </w:r>
      <w:r>
        <w:rPr>
          <w:rFonts w:ascii="Calibri" w:cs="Calibri" w:eastAsia="Calibri" w:hAnsi="Calibri"/>
          <w:color w:val="1E88E5"/>
          <w:sz w:val="20"/>
          <w:szCs w:val="20"/>
        </w:rPr>
        <w:t xml:space="preserve">art. 719 CPP</w:t>
      </w:r>
      <w:r>
        <w:rPr>
          <w:rFonts w:ascii="Calibri" w:cs="Calibri" w:eastAsia="Calibri" w:hAnsi="Calibri"/>
          <w:color w:val="1A1A1A"/>
          <w:sz w:val="20"/>
          <w:szCs w:val="20"/>
        </w:rPr>
        <w:t xml:space="preserve">).</w:t>
      </w:r>
    </w:p>
    <w:p>
      <w:pPr>
        <w:spacing w:after="90" w:line="264"/>
        <w:jc w:val="both"/>
      </w:pPr>
      <w:r>
        <w:rPr>
          <w:rFonts w:ascii="Calibri" w:cs="Calibri" w:eastAsia="Calibri" w:hAnsi="Calibri"/>
          <w:i/>
          <w:iCs/>
          <w:color w:val="1A1A1A"/>
          <w:sz w:val="20"/>
          <w:szCs w:val="20"/>
        </w:rPr>
        <w:t xml:space="preserve">Transition</w:t>
      </w:r>
      <w:r>
        <w:rPr>
          <w:rFonts w:ascii="Calibri" w:cs="Calibri" w:eastAsia="Calibri" w:hAnsi="Calibri"/>
          <w:color w:val="1A1A1A"/>
          <w:sz w:val="20"/>
          <w:szCs w:val="20"/>
        </w:rPr>
        <w:t xml:space="preserve"> : affirmer des droits et des obligations ne suffit pas ; encore faut-il que le détenu puisse obtenir d’un juge qu’il y soit mis fin. C’est là que le droit français a le plus évolué, et là qu’apparaissent ses limites.</w:t>
      </w:r>
    </w:p>
    <w:p>
      <w:pPr>
        <w:pStyle w:val="Heading2"/>
        <w:spacing w:after="110" w:before="260"/>
      </w:pPr>
      <w:r>
        <w:rPr>
          <w:rFonts w:ascii="Calibri" w:cs="Calibri" w:eastAsia="Calibri" w:hAnsi="Calibri"/>
          <w:b/>
          <w:bCs/>
          <w:color w:val="1A1A1A"/>
          <w:spacing w:val="16"/>
          <w:sz w:val="23"/>
          <w:szCs w:val="23"/>
        </w:rPr>
        <w:t xml:space="preserve">II. Une protection juridictionnelle renouvelée, mais structurellement limitée</w:t>
      </w:r>
    </w:p>
    <w:p>
      <w:pPr>
        <w:spacing w:after="90" w:line="264"/>
        <w:jc w:val="both"/>
      </w:pPr>
      <w:r>
        <w:rPr>
          <w:rFonts w:ascii="Calibri" w:cs="Calibri" w:eastAsia="Calibri" w:hAnsi="Calibri"/>
          <w:i/>
          <w:iCs/>
          <w:color w:val="1A1A1A"/>
          <w:sz w:val="20"/>
          <w:szCs w:val="20"/>
        </w:rPr>
        <w:t xml:space="preserve">Chapeau</w:t>
      </w:r>
      <w:r>
        <w:rPr>
          <w:rFonts w:ascii="Calibri" w:cs="Calibri" w:eastAsia="Calibri" w:hAnsi="Calibri"/>
          <w:color w:val="1A1A1A"/>
          <w:sz w:val="20"/>
          <w:szCs w:val="20"/>
        </w:rPr>
        <w:t xml:space="preserve"> : sous la pression européenne, la France s’est dotée d’un recours effectif (A) ; mais une réponse individuelle ne peut guérir un mal collectif (B).</w:t>
      </w:r>
    </w:p>
    <w:p>
      <w:pPr>
        <w:pStyle w:val="Heading3"/>
        <w:spacing w:after="80" w:before="200"/>
      </w:pPr>
      <w:r>
        <w:rPr>
          <w:rFonts w:ascii="Calibri" w:cs="Calibri" w:eastAsia="Calibri" w:hAnsi="Calibri"/>
          <w:b/>
          <w:bCs/>
          <w:i/>
          <w:iCs/>
          <w:color w:val="1A1A1A"/>
          <w:sz w:val="21"/>
          <w:szCs w:val="21"/>
        </w:rPr>
        <w:t xml:space="preserve">A. L’avènement d’un recours effectif</w:t>
      </w:r>
    </w:p>
    <w:p>
      <w:pPr>
        <w:pStyle w:val="ListParagraph"/>
        <w:numPr>
          <w:ilvl w:val="0"/>
          <w:numId w:val="2"/>
        </w:numPr>
        <w:spacing w:after="70" w:line="264"/>
        <w:jc w:val="both"/>
      </w:pPr>
      <w:r>
        <w:rPr>
          <w:rFonts w:ascii="Calibri" w:cs="Calibri" w:eastAsia="Calibri" w:hAnsi="Calibri"/>
          <w:b/>
          <w:bCs/>
          <w:color w:val="1A1A1A"/>
          <w:sz w:val="20"/>
          <w:szCs w:val="20"/>
        </w:rPr>
        <w:t xml:space="preserve">Le juge administratif</w:t>
      </w:r>
      <w:r>
        <w:rPr>
          <w:rFonts w:ascii="Calibri" w:cs="Calibri" w:eastAsia="Calibri" w:hAnsi="Calibri"/>
          <w:color w:val="1A1A1A"/>
          <w:sz w:val="20"/>
          <w:szCs w:val="20"/>
        </w:rPr>
        <w:t xml:space="preserve"> : responsabilité pour faute et préjudice moral (</w:t>
      </w:r>
      <w:r>
        <w:rPr>
          <w:rFonts w:ascii="Calibri" w:cs="Calibri" w:eastAsia="Calibri" w:hAnsi="Calibri"/>
          <w:color w:val="E91E63"/>
          <w:sz w:val="20"/>
          <w:szCs w:val="20"/>
        </w:rPr>
        <w:t xml:space="preserve">Thévenot</w:t>
      </w:r>
      <w:r>
        <w:rPr>
          <w:rFonts w:ascii="Calibri" w:cs="Calibri" w:eastAsia="Calibri" w:hAnsi="Calibri"/>
          <w:color w:val="1A1A1A"/>
          <w:sz w:val="20"/>
          <w:szCs w:val="20"/>
        </w:rPr>
        <w:t xml:space="preserve">, 2013) ; référé-liberté (</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 contre l’urgence sanitaire (</w:t>
      </w:r>
      <w:r>
        <w:rPr>
          <w:rFonts w:ascii="Calibri" w:cs="Calibri" w:eastAsia="Calibri" w:hAnsi="Calibri"/>
          <w:color w:val="E91E63"/>
          <w:sz w:val="20"/>
          <w:szCs w:val="20"/>
        </w:rPr>
        <w:t xml:space="preserve">Baumettes</w:t>
      </w:r>
      <w:r>
        <w:rPr>
          <w:rFonts w:ascii="Calibri" w:cs="Calibri" w:eastAsia="Calibri" w:hAnsi="Calibri"/>
          <w:color w:val="1A1A1A"/>
          <w:sz w:val="20"/>
          <w:szCs w:val="20"/>
        </w:rPr>
        <w:t xml:space="preserve">, 2012), mais pas de mesures structurelles (</w:t>
      </w:r>
      <w:r>
        <w:rPr>
          <w:rFonts w:ascii="Calibri" w:cs="Calibri" w:eastAsia="Calibri" w:hAnsi="Calibri"/>
          <w:color w:val="E91E63"/>
          <w:sz w:val="20"/>
          <w:szCs w:val="20"/>
        </w:rPr>
        <w:t xml:space="preserve">Fresnes</w:t>
      </w:r>
      <w:r>
        <w:rPr>
          <w:rFonts w:ascii="Calibri" w:cs="Calibri" w:eastAsia="Calibri" w:hAnsi="Calibri"/>
          <w:color w:val="1A1A1A"/>
          <w:sz w:val="20"/>
          <w:szCs w:val="20"/>
        </w:rPr>
        <w:t xml:space="preserve">, 2017) ; aménagement de la preuve (</w:t>
      </w:r>
      <w:r>
        <w:rPr>
          <w:rFonts w:ascii="Calibri" w:cs="Calibri" w:eastAsia="Calibri" w:hAnsi="Calibri"/>
          <w:color w:val="E91E63"/>
          <w:sz w:val="20"/>
          <w:szCs w:val="20"/>
        </w:rPr>
        <w:t xml:space="preserve">CE, 21 mars 2022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déclencheur européen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J.M.B.</w:t>
      </w:r>
      <w:r>
        <w:rPr>
          <w:rFonts w:ascii="Calibri" w:cs="Calibri" w:eastAsia="Calibri" w:hAnsi="Calibri"/>
          <w:color w:val="1A1A1A"/>
          <w:sz w:val="20"/>
          <w:szCs w:val="20"/>
        </w:rPr>
        <w:t xml:space="preserve"> juge ces recours ineffectifs au sens de l’</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réponse en cascade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Crim., 8 juill. 2020</w:t>
      </w:r>
      <w:r>
        <w:rPr>
          <w:rFonts w:ascii="Calibri" w:cs="Calibri" w:eastAsia="Calibri" w:hAnsi="Calibri"/>
          <w:color w:val="1A1A1A"/>
          <w:sz w:val="20"/>
          <w:szCs w:val="20"/>
        </w:rPr>
        <w:t xml:space="preserve"> (le juge judiciaire, gardien de la liberté individuelle, </w:t>
      </w:r>
      <w:r>
        <w:rPr>
          <w:rFonts w:ascii="Calibri" w:cs="Calibri" w:eastAsia="Calibri" w:hAnsi="Calibri"/>
          <w:color w:val="1E88E5"/>
          <w:sz w:val="20"/>
          <w:szCs w:val="20"/>
        </w:rPr>
        <w:t xml:space="preserve">art. 66 C.</w:t>
      </w:r>
      <w:r>
        <w:rPr>
          <w:rFonts w:ascii="Calibri" w:cs="Calibri" w:eastAsia="Calibri" w:hAnsi="Calibri"/>
          <w:color w:val="1A1A1A"/>
          <w:sz w:val="20"/>
          <w:szCs w:val="20"/>
        </w:rPr>
        <w:t xml:space="preserve">, doit vérifier et, au besoin, libérer) ; </w:t>
      </w:r>
      <w:r>
        <w:rPr>
          <w:rFonts w:ascii="Calibri" w:cs="Calibri" w:eastAsia="Calibri" w:hAnsi="Calibri"/>
          <w:color w:val="E91E63"/>
          <w:sz w:val="20"/>
          <w:szCs w:val="20"/>
        </w:rPr>
        <w:t xml:space="preserve">2020-858/859 QPC</w:t>
      </w:r>
      <w:r>
        <w:rPr>
          <w:rFonts w:ascii="Calibri" w:cs="Calibri" w:eastAsia="Calibri" w:hAnsi="Calibri"/>
          <w:color w:val="1A1A1A"/>
          <w:sz w:val="20"/>
          <w:szCs w:val="20"/>
        </w:rPr>
        <w:t xml:space="preserve"> (prévenus) et </w:t>
      </w:r>
      <w:r>
        <w:rPr>
          <w:rFonts w:ascii="Calibri" w:cs="Calibri" w:eastAsia="Calibri" w:hAnsi="Calibri"/>
          <w:color w:val="E91E63"/>
          <w:sz w:val="20"/>
          <w:szCs w:val="20"/>
        </w:rPr>
        <w:t xml:space="preserve">2021-898 QPC</w:t>
      </w:r>
      <w:r>
        <w:rPr>
          <w:rFonts w:ascii="Calibri" w:cs="Calibri" w:eastAsia="Calibri" w:hAnsi="Calibri"/>
          <w:color w:val="1A1A1A"/>
          <w:sz w:val="20"/>
          <w:szCs w:val="20"/>
        </w:rPr>
        <w:t xml:space="preserve"> (condamnés) : constitutionnalisation de l’exigence d’un recours (art. 16 DDHC, dignité).</w:t>
      </w:r>
    </w:p>
    <w:p>
      <w:pPr>
        <w:pStyle w:val="ListParagraph"/>
        <w:numPr>
          <w:ilvl w:val="0"/>
          <w:numId w:val="2"/>
        </w:numPr>
        <w:spacing w:after="70" w:line="264"/>
        <w:jc w:val="both"/>
      </w:pPr>
      <w:r>
        <w:rPr>
          <w:rFonts w:ascii="Calibri" w:cs="Calibri" w:eastAsia="Calibri" w:hAnsi="Calibri"/>
          <w:b/>
          <w:bCs/>
          <w:color w:val="1A1A1A"/>
          <w:sz w:val="20"/>
          <w:szCs w:val="20"/>
        </w:rPr>
        <w:t xml:space="preserve">L’art. 803-8 CPP</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8 avril 2021</w:t>
      </w:r>
      <w:r>
        <w:rPr>
          <w:rFonts w:ascii="Calibri" w:cs="Calibri" w:eastAsia="Calibri" w:hAnsi="Calibri"/>
          <w:color w:val="1A1A1A"/>
          <w:sz w:val="20"/>
          <w:szCs w:val="20"/>
        </w:rPr>
        <w:t xml:space="preserve">) : requête au JLD ou au JAP ; allégations « circonstanciées, personnelles et actuelles » ; injonction à l’administration ; à défaut, transfert, mise en liberté ou aménagement de peine. Recevabilité appréciée sur les seules allégations (</w:t>
      </w:r>
      <w:r>
        <w:rPr>
          <w:rFonts w:ascii="Calibri" w:cs="Calibri" w:eastAsia="Calibri" w:hAnsi="Calibri"/>
          <w:color w:val="E91E63"/>
          <w:sz w:val="20"/>
          <w:szCs w:val="20"/>
        </w:rPr>
        <w:t xml:space="preserve">Crim., 31 mars 2022</w:t>
      </w:r>
      <w:r>
        <w:rPr>
          <w:rFonts w:ascii="Calibri" w:cs="Calibri" w:eastAsia="Calibri" w:hAnsi="Calibri"/>
          <w:color w:val="1A1A1A"/>
          <w:sz w:val="20"/>
          <w:szCs w:val="20"/>
        </w:rPr>
        <w:t xml:space="preserve">) ; lecture large des conditions de détention (</w:t>
      </w:r>
      <w:r>
        <w:rPr>
          <w:rFonts w:ascii="Calibri" w:cs="Calibri" w:eastAsia="Calibri" w:hAnsi="Calibri"/>
          <w:color w:val="E91E63"/>
          <w:sz w:val="20"/>
          <w:szCs w:val="20"/>
        </w:rPr>
        <w:t xml:space="preserve">Crim., 30 sept. 2025</w:t>
      </w:r>
      <w:r>
        <w:rPr>
          <w:rFonts w:ascii="Calibri" w:cs="Calibri" w:eastAsia="Calibri" w:hAnsi="Calibri"/>
          <w:color w:val="1A1A1A"/>
          <w:sz w:val="20"/>
          <w:szCs w:val="20"/>
        </w:rPr>
        <w:t xml:space="preserve">).</w:t>
      </w:r>
    </w:p>
    <w:p>
      <w:pPr>
        <w:pStyle w:val="Heading3"/>
        <w:spacing w:after="80" w:before="200"/>
      </w:pPr>
      <w:r>
        <w:rPr>
          <w:rFonts w:ascii="Calibri" w:cs="Calibri" w:eastAsia="Calibri" w:hAnsi="Calibri"/>
          <w:b/>
          <w:bCs/>
          <w:i/>
          <w:iCs/>
          <w:color w:val="1A1A1A"/>
          <w:sz w:val="21"/>
          <w:szCs w:val="21"/>
        </w:rPr>
        <w:t xml:space="preserve">B. Une réponse individuelle à un mal systémique</w:t>
      </w:r>
    </w:p>
    <w:p>
      <w:pPr>
        <w:pStyle w:val="ListParagraph"/>
        <w:numPr>
          <w:ilvl w:val="0"/>
          <w:numId w:val="2"/>
        </w:numPr>
        <w:spacing w:after="70" w:line="264"/>
        <w:jc w:val="both"/>
      </w:pPr>
      <w:r>
        <w:rPr>
          <w:rFonts w:ascii="Calibri" w:cs="Calibri" w:eastAsia="Calibri" w:hAnsi="Calibri"/>
          <w:b/>
          <w:bCs/>
          <w:color w:val="1A1A1A"/>
          <w:sz w:val="20"/>
          <w:szCs w:val="20"/>
        </w:rPr>
        <w:t xml:space="preserve">Un recours peu utilisé et mal outillé</w:t>
      </w:r>
      <w:r>
        <w:rPr>
          <w:rFonts w:ascii="Calibri" w:cs="Calibri" w:eastAsia="Calibri" w:hAnsi="Calibri"/>
          <w:color w:val="1A1A1A"/>
          <w:sz w:val="20"/>
          <w:szCs w:val="20"/>
        </w:rPr>
        <w:t xml:space="preserve"> : données « parcellaires », pratiques divergentes (CGLPL, 2024) ; le transfert déplace l’indignité, ne la supprime pas, et sacrifie les liens familiaux (</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Les causes sont en amont</w:t>
      </w:r>
      <w:r>
        <w:rPr>
          <w:rFonts w:ascii="Calibri" w:cs="Calibri" w:eastAsia="Calibri" w:hAnsi="Calibri"/>
          <w:color w:val="1A1A1A"/>
          <w:sz w:val="20"/>
          <w:szCs w:val="20"/>
        </w:rPr>
        <w:t xml:space="preserve"> : flux d’entrée (détention provisoire, comparutions immédiates, courtes peines), durée des peines ; la construction est absorbée (+ 25 000 places et + 35 000 détenus de 1990 à 2025). La réponse pénale aux violences d’octobre 2026 (circulaire du 2 octobre) illustre la tension entre politique pénale et capacités.</w:t>
      </w:r>
    </w:p>
    <w:p>
      <w:pPr>
        <w:pStyle w:val="ListParagraph"/>
        <w:numPr>
          <w:ilvl w:val="0"/>
          <w:numId w:val="2"/>
        </w:numPr>
        <w:spacing w:after="70" w:line="264"/>
        <w:jc w:val="both"/>
      </w:pPr>
      <w:r>
        <w:rPr>
          <w:rFonts w:ascii="Calibri" w:cs="Calibri" w:eastAsia="Calibri" w:hAnsi="Calibri"/>
          <w:b/>
          <w:bCs/>
          <w:color w:val="1A1A1A"/>
          <w:sz w:val="20"/>
          <w:szCs w:val="20"/>
        </w:rPr>
        <w:t xml:space="preserve">La régulation carcérale, réponse juridique au problème structurel</w:t>
      </w:r>
      <w:r>
        <w:rPr>
          <w:rFonts w:ascii="Calibri" w:cs="Calibri" w:eastAsia="Calibri" w:hAnsi="Calibri"/>
          <w:color w:val="1A1A1A"/>
          <w:sz w:val="20"/>
          <w:szCs w:val="20"/>
        </w:rPr>
        <w:t xml:space="preserve"> : recommandée par le Comité des ministres (2024) et la CNCDH ; numerus clausus progressif annoncé en janvier 2026 (150 % en 2030, 130 % en 2032), jugé trop timide par l’OIP ; comparaison européenne (l’Italie après </w:t>
      </w:r>
      <w:r>
        <w:rPr>
          <w:rFonts w:ascii="Calibri" w:cs="Calibri" w:eastAsia="Calibri" w:hAnsi="Calibri"/>
          <w:color w:val="E91E63"/>
          <w:sz w:val="20"/>
          <w:szCs w:val="20"/>
        </w:rPr>
        <w:t xml:space="preserve">Torreggiani</w:t>
      </w:r>
      <w:r>
        <w:rPr>
          <w:rFonts w:ascii="Calibri" w:cs="Calibri" w:eastAsia="Calibri" w:hAnsi="Calibri"/>
          <w:color w:val="1A1A1A"/>
          <w:sz w:val="20"/>
          <w:szCs w:val="20"/>
        </w:rPr>
        <w:t xml:space="preserve">, les pays sans surpopulation).</w:t>
      </w:r>
    </w:p>
    <w:p>
      <w:pPr>
        <w:pStyle w:val="ListParagraph"/>
        <w:numPr>
          <w:ilvl w:val="0"/>
          <w:numId w:val="2"/>
        </w:numPr>
        <w:spacing w:after="70" w:line="264"/>
        <w:jc w:val="both"/>
      </w:pPr>
      <w:r>
        <w:rPr>
          <w:rFonts w:ascii="Calibri" w:cs="Calibri" w:eastAsia="Calibri" w:hAnsi="Calibri"/>
          <w:b/>
          <w:bCs/>
          <w:color w:val="1A1A1A"/>
          <w:sz w:val="20"/>
          <w:szCs w:val="20"/>
        </w:rPr>
        <w:t xml:space="preserve">Le juge ne peut se substituer au législateur</w:t>
      </w:r>
      <w:r>
        <w:rPr>
          <w:rFonts w:ascii="Calibri" w:cs="Calibri" w:eastAsia="Calibri" w:hAnsi="Calibri"/>
          <w:color w:val="1A1A1A"/>
          <w:sz w:val="20"/>
          <w:szCs w:val="20"/>
        </w:rPr>
        <w:t xml:space="preserve"> : l’effectivité des droits dépend ici de choix de politique pénale. C’est la limite de la « juridictionnalisation » des droits fondamentaux.</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5. Conclusion et ouverture</w:t>
      </w:r>
    </w:p>
    <w:p>
      <w:pPr>
        <w:spacing w:after="110" w:line="288"/>
        <w:ind w:left="180" w:right="180"/>
        <w:jc w:val="both"/>
      </w:pPr>
      <w:r>
        <w:rPr>
          <w:rFonts w:ascii="Calibri" w:cs="Calibri" w:eastAsia="Calibri" w:hAnsi="Calibri"/>
          <w:color w:val="1A1A1A"/>
          <w:sz w:val="20"/>
          <w:szCs w:val="20"/>
        </w:rPr>
        <w:t xml:space="preserve">La surpopulation carcérale éprouve les droits fondamentaux sans les vaincre : la dignité, l’interdiction des traitements inhumains et le droit au recours sont aujourd’hui opposables et sanctionnés, en Europe comme en France. Mais cette protection reste individuelle et curative, quand le phénomène est collectif et structurel. Le droit dit ce qui est intolérable ; il ne peut, seul, le faire cesser.</w:t>
      </w:r>
    </w:p>
    <w:p>
      <w:pPr>
        <w:spacing w:after="110" w:line="288"/>
        <w:ind w:left="180" w:right="180"/>
        <w:jc w:val="both"/>
      </w:pPr>
      <w:r>
        <w:rPr>
          <w:rFonts w:ascii="Calibri" w:cs="Calibri" w:eastAsia="Calibri" w:hAnsi="Calibri"/>
          <w:i/>
          <w:iCs/>
          <w:color w:val="1A1A1A"/>
          <w:sz w:val="20"/>
          <w:szCs w:val="20"/>
        </w:rPr>
        <w:t xml:space="preserve">Ouverture</w:t>
      </w:r>
      <w:r>
        <w:rPr>
          <w:rFonts w:ascii="Calibri" w:cs="Calibri" w:eastAsia="Calibri" w:hAnsi="Calibri"/>
          <w:color w:val="1A1A1A"/>
          <w:sz w:val="20"/>
          <w:szCs w:val="20"/>
        </w:rPr>
        <w:t xml:space="preserve"> : la question rejoint celle, plus large, de l’effectivité des droits fondamentaux dans tous les lieux de privation de liberté (dépôts, comme à Bobigny en octobre 2026, centres de rétention, hôpitaux psychiatriques), dont le contrôle vient d’être confié à un nouveau CGLPL.</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Faut-il conclure au Grand Oral ?</w:t>
      </w:r>
      <w:r>
        <w:rPr>
          <w:rFonts w:ascii="Calibri" w:cs="Calibri" w:eastAsia="Calibri" w:hAnsi="Calibri"/>
          <w:color w:val="1A1A1A"/>
          <w:sz w:val="19"/>
          <w:szCs w:val="19"/>
        </w:rPr>
        <w:t xml:space="preserve"> Plusieurs élèves ont entendu qu’il ne fallait pas de conclusion. Il n’existe pas de règle nationale : beaucoup de jurys apprécient </w:t>
      </w:r>
      <w:r>
        <w:rPr>
          <w:rFonts w:ascii="Calibri" w:cs="Calibri" w:eastAsia="Calibri" w:hAnsi="Calibri"/>
          <w:b/>
          <w:bCs/>
          <w:color w:val="1A1A1A"/>
          <w:sz w:val="19"/>
          <w:szCs w:val="19"/>
        </w:rPr>
        <w:t xml:space="preserve">deux ou trois phrases</w:t>
      </w:r>
      <w:r>
        <w:rPr>
          <w:rFonts w:ascii="Calibri" w:cs="Calibri" w:eastAsia="Calibri" w:hAnsi="Calibri"/>
          <w:color w:val="1A1A1A"/>
          <w:sz w:val="19"/>
          <w:szCs w:val="19"/>
        </w:rPr>
        <w:t xml:space="preserve"> de synthèse et une ouverture, qui montrent que le candidat maîtrise son temps. Une longue conclusion qui répète le plan est, elle, inutile. En cas de doute, terminer par une phrase de réponse à la problématique.</w:t>
      </w:r>
    </w:p>
    <w:p>
      <w:pPr>
        <w:pStyle w:val="Heading1"/>
        <w:pBdr>
          <w:bottom w:val="single" w:color="8C1C2B" w:sz="12" w:space="6"/>
        </w:pBdr>
        <w:spacing w:after="90" w:before="260"/>
      </w:pPr>
      <w:r>
        <w:rPr>
          <w:rFonts w:ascii="Calibri" w:cs="Calibri" w:eastAsia="Calibri" w:hAnsi="Calibri"/>
          <w:b/>
          <w:bCs/>
          <w:color w:val="8C1C2B"/>
          <w:sz w:val="28"/>
          <w:szCs w:val="28"/>
        </w:rPr>
        <w:t xml:space="preserve">6. Le plan du correcteur</w:t>
      </w:r>
    </w:p>
    <w:p>
      <w:pPr>
        <w:spacing w:after="90" w:line="264"/>
        <w:jc w:val="both"/>
      </w:pPr>
      <w:r>
        <w:rPr>
          <w:rFonts w:ascii="Calibri" w:cs="Calibri" w:eastAsia="Calibri" w:hAnsi="Calibri"/>
          <w:color w:val="1A1A1A"/>
          <w:sz w:val="20"/>
          <w:szCs w:val="20"/>
        </w:rPr>
        <w:t xml:space="preserve">Aucun support n’a été transmis. D’après le chat, la problématique était : « Dans quelle mesure le droit des droits fondamentaux permet-il de prévenir et de sanctionner les atteintes aux droits des personnes détenues résultant de la surpopulation carcérale, alors même que celle-ci demeure une difficulté structurelle du système pénitentiaire ? » Le binôme « prévenir / sanctionner » suggère une architecture proche de celle-ci :</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Hypothèse de plan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Observation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Prévenir les atteintes (A. les droits et obligations de l’État ; B. les mécanismes de contrôle et de régulation)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Correspond à la partie I du plan recommandé, enrichie des contrôleurs (CGLPL, CPT)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Sanctionner les atteintes (A. les recours juridictionnels ; B. les limites face au caractère structurel)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Correspond à la partie II du plan recommandé</w:t>
            </w:r>
          </w:p>
        </w:tc>
      </w:tr>
    </w:tbl>
    <w:p>
      <w:pPr>
        <w:spacing w:after="120"/>
      </w:pPr>
    </w:p>
    <w:p>
      <w:pPr>
        <w:spacing w:after="90" w:line="264"/>
        <w:jc w:val="both"/>
      </w:pPr>
      <w:r>
        <w:rPr>
          <w:rFonts w:ascii="Calibri" w:cs="Calibri" w:eastAsia="Calibri" w:hAnsi="Calibri"/>
          <w:color w:val="1A1A1A"/>
          <w:sz w:val="20"/>
          <w:szCs w:val="20"/>
        </w:rPr>
        <w:t xml:space="preserve">Une élève (Hynde R) a relevé que certaines sous-parties de l’exposé du correcteur reposaient sur des arguments « généraux ». C’est la principale fragilité des sous-parties consacrées aux limites : il faut les adosser à des sources (rapport CGLPL 2024, décision du Comité des ministres 2024, avis CNCDH 2022, chiffres officiels), sous peine de donner l’impression d’un avis personnel.</w:t>
      </w:r>
    </w:p>
    <w:p>
      <w:pPr>
        <w:pStyle w:val="Heading1"/>
        <w:pBdr>
          <w:bottom w:val="single" w:color="8C1C2B" w:sz="12" w:space="6"/>
        </w:pBdr>
        <w:spacing w:after="90" w:before="260"/>
      </w:pPr>
      <w:r>
        <w:rPr>
          <w:rFonts w:ascii="Calibri" w:cs="Calibri" w:eastAsia="Calibri" w:hAnsi="Calibri"/>
          <w:b/>
          <w:bCs/>
          <w:color w:val="8C1C2B"/>
          <w:sz w:val="28"/>
          <w:szCs w:val="28"/>
        </w:rPr>
        <w:t xml:space="preserve">7. Un plan alternatif (« soutenez que la surpopulation menace les droits fondamentaux »)</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Partie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Sous-parties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La surpopulation carcérale, atteinte directe aux droits de la personne détenue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Une atteinte à la dignité et à l’intégrité (art. 3, art. 2) ; B. Une atteinte à la vie privée, familiale et à la santé (art. 8, al. 11 Préambule)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II. La surpopulation carcérale, révélateur d’une défaillance de l’État</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 Le manquement aux obligations positives (moratoires, J.M.B., Comité des ministres) ; B. Une réponse juridictionnelle nécessaire mais insuffisante (803-8 CPP, limites)</w:t>
            </w:r>
          </w:p>
        </w:tc>
      </w:tr>
    </w:tbl>
    <w:p>
      <w:pPr>
        <w:spacing w:after="120"/>
      </w:pPr>
    </w:p>
    <w:p>
      <w:pPr>
        <w:spacing w:after="90" w:line="264"/>
        <w:jc w:val="both"/>
      </w:pPr>
      <w:r>
        <w:rPr>
          <w:rFonts w:ascii="Calibri" w:cs="Calibri" w:eastAsia="Calibri" w:hAnsi="Calibri"/>
          <w:color w:val="1A1A1A"/>
          <w:sz w:val="20"/>
          <w:szCs w:val="20"/>
        </w:rPr>
        <w:t xml:space="preserve">C’est l’architecture de Jade K, qui l’a présentée sous forme de thèse : elle est adaptée si le sujet est formulé « Soutenez que… ».</w:t>
      </w:r>
    </w:p>
    <w:p>
      <w:pPr>
        <w:pStyle w:val="Heading1"/>
        <w:pBdr>
          <w:bottom w:val="single" w:color="8C1C2B" w:sz="12" w:space="6"/>
        </w:pBdr>
        <w:spacing w:after="90" w:before="260"/>
      </w:pPr>
      <w:r>
        <w:rPr>
          <w:rFonts w:ascii="Calibri" w:cs="Calibri" w:eastAsia="Calibri" w:hAnsi="Calibri"/>
          <w:b/>
          <w:bCs/>
          <w:color w:val="8C1C2B"/>
          <w:sz w:val="28"/>
          <w:szCs w:val="28"/>
        </w:rPr>
        <w:t xml:space="preserve">8. Les relances du jury</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Question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Éléments de réponse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Quel est le seuil d’espace minimal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 m² en cellule collective : forte présomption de violation (</w:t>
            </w:r>
            <w:r>
              <w:rPr>
                <w:rFonts w:ascii="Calibri" w:cs="Calibri" w:eastAsia="Calibri" w:hAnsi="Calibri"/>
                <w:b w:val="false"/>
                <w:bCs w:val="false"/>
                <w:color w:val="E91E63"/>
                <w:sz w:val="17"/>
                <w:szCs w:val="17"/>
              </w:rPr>
              <w:t xml:space="preserve">Muršić</w:t>
            </w:r>
            <w:r>
              <w:rPr>
                <w:rFonts w:ascii="Calibri" w:cs="Calibri" w:eastAsia="Calibri" w:hAnsi="Calibri"/>
                <w:b w:val="false"/>
                <w:bCs w:val="false"/>
                <w:color w:val="1A1A1A"/>
                <w:sz w:val="17"/>
                <w:szCs w:val="17"/>
              </w:rPr>
              <w:t xml:space="preserve">) ; le CPT recommande 4 m² en cellule collective et 6 m² en cellule individuelle.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Qui saisir, et comment, en cas de conditions indignes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JLD (prévenu) ou JAP (condamné), </w:t>
            </w:r>
            <w:r>
              <w:rPr>
                <w:rFonts w:ascii="Calibri" w:cs="Calibri" w:eastAsia="Calibri" w:hAnsi="Calibri"/>
                <w:b w:val="false"/>
                <w:bCs w:val="false"/>
                <w:color w:val="1E88E5"/>
                <w:sz w:val="17"/>
                <w:szCs w:val="17"/>
              </w:rPr>
              <w:t xml:space="preserve">art. 803-8 CPP</w:t>
            </w:r>
            <w:r>
              <w:rPr>
                <w:rFonts w:ascii="Calibri" w:cs="Calibri" w:eastAsia="Calibri" w:hAnsi="Calibri"/>
                <w:b w:val="false"/>
                <w:bCs w:val="false"/>
                <w:color w:val="1A1A1A"/>
                <w:sz w:val="17"/>
                <w:szCs w:val="17"/>
              </w:rPr>
              <w:t xml:space="preserve"> ; en parallèle, référé-liberté devant le juge administratif ; action indemnitaire ; CGLPL ; enfin la CEDH.</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Pourquoi le juge judiciaire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66 C.</w:t>
            </w:r>
            <w:r>
              <w:rPr>
                <w:rFonts w:ascii="Calibri" w:cs="Calibri" w:eastAsia="Calibri" w:hAnsi="Calibri"/>
                <w:b w:val="false"/>
                <w:bCs w:val="false"/>
                <w:color w:val="1A1A1A"/>
                <w:sz w:val="17"/>
                <w:szCs w:val="17"/>
              </w:rPr>
              <w:t xml:space="preserve"> : il est gardien de la liberté individuelle et ordonne la détention ; il peut en tirer les conséquences (libération, aménagement).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construction de places est-elle la solution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Insuffisante seule : la capacité est absorbée ; il faut agir sur les flux (alternatives, aménagements, détention provisoire) et instaurer une régulation.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Qu’est-ce que la régulation carcérale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 mécanisme qui interdit d’incarcérer au-delà de la capacité, par libérations anticipées ou aménagements en fin de peine (« une entrée, une sortie ») ; recommandé par le Conseil de l’Europe.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détenu a-t-il droit à une cellule individuelle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Oui en principe (loi de 1875, Code pénitentiaire), mais moratoire jusqu’au 31 déc. 2027 ; la CEDH n’impose pas l’encellulement individuel, seulement des conditions dignes.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surpopulation affecte-t-elle aussi le mandat d’arrêt européen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Oui : </w:t>
            </w:r>
            <w:r>
              <w:rPr>
                <w:rFonts w:ascii="Calibri" w:cs="Calibri" w:eastAsia="Calibri" w:hAnsi="Calibri"/>
                <w:b w:val="false"/>
                <w:bCs w:val="false"/>
                <w:color w:val="E91E63"/>
                <w:sz w:val="17"/>
                <w:szCs w:val="17"/>
              </w:rPr>
              <w:t xml:space="preserve">CJUE, Aranyosi et Căldăraru</w:t>
            </w:r>
            <w:r>
              <w:rPr>
                <w:rFonts w:ascii="Calibri" w:cs="Calibri" w:eastAsia="Calibri" w:hAnsi="Calibri"/>
                <w:b w:val="false"/>
                <w:bCs w:val="false"/>
                <w:color w:val="1A1A1A"/>
                <w:sz w:val="17"/>
                <w:szCs w:val="17"/>
              </w:rPr>
              <w:t xml:space="preserve">, 2016 : un risque réel de traitement inhumain peut conduire à différer la remise.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Et les surveillants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Leur sécurité et leurs conditions de travail sont dégradées ; obligation de sécurité de l’employeur public ; la dignité des détenus et celle des personnels se rejoignent.</w:t>
            </w:r>
          </w:p>
        </w:tc>
      </w:tr>
    </w:tbl>
    <w:p>
      <w:pPr>
        <w:spacing w:after="120"/>
      </w:pP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III — CORRECTION DES PLANS</w:t>
      </w:r>
    </w:p>
    <w:p>
      <w:pPr>
        <w:spacing w:after="90" w:line="264"/>
        <w:jc w:val="both"/>
      </w:pPr>
      <w:r>
        <w:rPr>
          <w:rFonts w:ascii="Calibri" w:cs="Calibri" w:eastAsia="Calibri" w:hAnsi="Calibri"/>
          <w:color w:val="1A1A1A"/>
          <w:sz w:val="20"/>
          <w:szCs w:val="20"/>
        </w:rPr>
        <w:t xml:space="preserve">Les notes sont </w:t>
      </w:r>
      <w:r>
        <w:rPr>
          <w:rFonts w:ascii="Calibri" w:cs="Calibri" w:eastAsia="Calibri" w:hAnsi="Calibri"/>
          <w:b/>
          <w:bCs/>
          <w:color w:val="1A1A1A"/>
          <w:sz w:val="20"/>
          <w:szCs w:val="20"/>
        </w:rPr>
        <w:t xml:space="preserve">indicatives</w:t>
      </w:r>
      <w:r>
        <w:rPr>
          <w:rFonts w:ascii="Calibri" w:cs="Calibri" w:eastAsia="Calibri" w:hAnsi="Calibri"/>
          <w:color w:val="1A1A1A"/>
          <w:sz w:val="20"/>
          <w:szCs w:val="20"/>
        </w:rPr>
        <w:t xml:space="preserve"> et portent sur ce qui a été posté dans le chat. Elles tiennent compte de la latitude réelle d’un jury : un plan simple mais juste, bien défendu, vaut mieux qu’un plan riche truffé d’erreurs de références.</w:t>
      </w:r>
    </w:p>
    <w:p>
      <w:pPr>
        <w:pStyle w:val="Heading2"/>
        <w:spacing w:after="110" w:before="260"/>
      </w:pPr>
      <w:r>
        <w:rPr>
          <w:rFonts w:ascii="Calibri" w:cs="Calibri" w:eastAsia="Calibri" w:hAnsi="Calibri"/>
          <w:b/>
          <w:bCs/>
          <w:color w:val="1A1A1A"/>
          <w:spacing w:val="16"/>
          <w:sz w:val="23"/>
          <w:szCs w:val="23"/>
        </w:rPr>
        <w:t xml:space="preserve">1. Les plans analysés en détail</w:t>
      </w:r>
    </w:p>
    <w:p>
      <w:pPr>
        <w:pStyle w:val="Heading3"/>
        <w:spacing w:after="80" w:before="200"/>
      </w:pPr>
      <w:r>
        <w:rPr>
          <w:rFonts w:ascii="Calibri" w:cs="Calibri" w:eastAsia="Calibri" w:hAnsi="Calibri"/>
          <w:b/>
          <w:bCs/>
          <w:i/>
          <w:iCs/>
          <w:color w:val="1A1A1A"/>
          <w:sz w:val="21"/>
          <w:szCs w:val="21"/>
        </w:rPr>
        <w:t xml:space="preserve">Amel D — l’introduction la plus solide</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chiffrée (90 000 détenus, 63 000 places au 1er septembre 2026) ; définitions des deux termes ; problématique sur les traitements inhumains ou dégradants</w:t>
      </w:r>
    </w:p>
    <w:p>
      <w:pPr>
        <w:pBdr>
          <w:left w:val="single" w:color="8C1C2B" w:sz="12" w:space="10"/>
        </w:pBdr>
        <w:spacing w:after="90" w:line="264"/>
        <w:ind w:left="260"/>
        <w:jc w:val="both"/>
      </w:pPr>
      <w:r>
        <w:rPr>
          <w:rFonts w:ascii="Calibri" w:cs="Calibri" w:eastAsia="Calibri" w:hAnsi="Calibri"/>
          <w:color w:val="1A1A1A"/>
          <w:sz w:val="20"/>
          <w:szCs w:val="20"/>
        </w:rPr>
        <w:t xml:space="preserve">I. Une surpopulation carcérale mettant gravement à l’épreuve les droits fondamentaux — A. La persistance d’atteintes à la dignité et à l’intégrité ; B. La responsabilité de l’État face à ses obligations de protection</w:t>
      </w:r>
    </w:p>
    <w:p>
      <w:pPr>
        <w:pBdr>
          <w:left w:val="single" w:color="8C1C2B" w:sz="12" w:space="10"/>
        </w:pBdr>
        <w:spacing w:after="90" w:line="264"/>
        <w:ind w:left="260"/>
        <w:jc w:val="both"/>
      </w:pPr>
      <w:r>
        <w:rPr>
          <w:rFonts w:ascii="Calibri" w:cs="Calibri" w:eastAsia="Calibri" w:hAnsi="Calibri"/>
          <w:color w:val="1A1A1A"/>
          <w:sz w:val="20"/>
          <w:szCs w:val="20"/>
        </w:rPr>
        <w:t xml:space="preserve">II. Une protection juridictionnelle encore confrontée aux limites de son effectivité — A. Le développement des recours ; B. La persistance d’obstacles structurels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Chiffres justes et datés, définitions claires, question rhétorique bien placée (« la privation de liberté peut-elle justifier la privation de dignité ? »).</w:t>
      </w:r>
    </w:p>
    <w:p>
      <w:pPr>
        <w:pStyle w:val="ListParagraph"/>
        <w:numPr>
          <w:ilvl w:val="0"/>
          <w:numId w:val="2"/>
        </w:numPr>
        <w:spacing w:after="70" w:line="264"/>
        <w:jc w:val="both"/>
      </w:pPr>
      <w:r>
        <w:rPr>
          <w:rFonts w:ascii="Calibri" w:cs="Calibri" w:eastAsia="Calibri" w:hAnsi="Calibri"/>
          <w:color w:val="1A1A1A"/>
          <w:sz w:val="20"/>
          <w:szCs w:val="20"/>
        </w:rPr>
        <w:t xml:space="preserve">Le plan épouse exactement le sujet : opposabilité (I) et effectivité (II), avec une sous-partie sur les </w:t>
      </w:r>
      <w:r>
        <w:rPr>
          <w:rFonts w:ascii="Calibri" w:cs="Calibri" w:eastAsia="Calibri" w:hAnsi="Calibri"/>
          <w:b/>
          <w:bCs/>
          <w:color w:val="1A1A1A"/>
          <w:sz w:val="20"/>
          <w:szCs w:val="20"/>
        </w:rPr>
        <w:t xml:space="preserve">obstacles structurels</w:t>
      </w:r>
      <w:r>
        <w:rPr>
          <w:rFonts w:ascii="Calibri" w:cs="Calibri" w:eastAsia="Calibri" w:hAnsi="Calibri"/>
          <w:color w:val="1A1A1A"/>
          <w:sz w:val="20"/>
          <w:szCs w:val="20"/>
        </w:rPr>
        <w:t xml:space="preserve">, que peu d’élèves ont vue.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Problématique trop étroite : elle ne vise que la dignité et l’art. 3, alors que le sujet dit « les droits fondamentaux ».</w:t>
      </w:r>
    </w:p>
    <w:p>
      <w:pPr>
        <w:pStyle w:val="ListParagraph"/>
        <w:numPr>
          <w:ilvl w:val="0"/>
          <w:numId w:val="2"/>
        </w:numPr>
        <w:spacing w:after="70" w:line="264"/>
        <w:jc w:val="both"/>
      </w:pPr>
      <w:r>
        <w:rPr>
          <w:rFonts w:ascii="Calibri" w:cs="Calibri" w:eastAsia="Calibri" w:hAnsi="Calibri"/>
          <w:color w:val="1A1A1A"/>
          <w:sz w:val="20"/>
          <w:szCs w:val="20"/>
        </w:rPr>
        <w:t xml:space="preserve">Le plan ne dit pas encore quelles références porteront chaque sous-partie ; II B risque de devenir un avis personnel s’il n’est pas sourcé (CGLPL 2024, Comité des ministres 2024).</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Élargir la problématique (« les droits fondamentaux peuvent-ils protéger contre un phénomène structurel ? ») et ajouter en I A la vie (art. 2), la santé et la vie privée.</w:t>
      </w:r>
    </w:p>
    <w:p>
      <w:pPr>
        <w:spacing w:after="90" w:line="264"/>
        <w:jc w:val="both"/>
      </w:pPr>
      <w:r>
        <w:rPr>
          <w:rFonts w:ascii="Calibri" w:cs="Calibri" w:eastAsia="Calibri" w:hAnsi="Calibri"/>
          <w:b/>
          <w:bCs/>
          <w:color w:val="1A1A1A"/>
          <w:sz w:val="20"/>
          <w:szCs w:val="20"/>
        </w:rPr>
        <w:t xml:space="preserve">Note indicative (plan et introduction tels que postés) : 14/20</w:t>
      </w:r>
    </w:p>
    <w:p>
      <w:pPr>
        <w:pStyle w:val="Heading3"/>
        <w:spacing w:after="80" w:before="200"/>
      </w:pPr>
      <w:r>
        <w:rPr>
          <w:rFonts w:ascii="Calibri" w:cs="Calibri" w:eastAsia="Calibri" w:hAnsi="Calibri"/>
          <w:b/>
          <w:bCs/>
          <w:i/>
          <w:iCs/>
          <w:color w:val="1A1A1A"/>
          <w:sz w:val="21"/>
          <w:szCs w:val="21"/>
        </w:rPr>
        <w:t xml:space="preserve">Jade K — une thèse construite et bien sourcée</w:t>
      </w:r>
    </w:p>
    <w:p>
      <w:pPr>
        <w:pBdr>
          <w:left w:val="single" w:color="8C1C2B" w:sz="12" w:space="10"/>
        </w:pBdr>
        <w:spacing w:after="90" w:line="264"/>
        <w:ind w:left="260"/>
        <w:jc w:val="both"/>
      </w:pPr>
      <w:r>
        <w:rPr>
          <w:rFonts w:ascii="Calibri" w:cs="Calibri" w:eastAsia="Calibri" w:hAnsi="Calibri"/>
          <w:color w:val="1A1A1A"/>
          <w:sz w:val="20"/>
          <w:szCs w:val="20"/>
        </w:rPr>
        <w:t xml:space="preserve">Sujet traité sous forme de « soutenez que » ; accroche par l’avis du CGLPL de mars 2026</w:t>
      </w:r>
    </w:p>
    <w:p>
      <w:pPr>
        <w:pBdr>
          <w:left w:val="single" w:color="8C1C2B" w:sz="12" w:space="10"/>
        </w:pBdr>
        <w:spacing w:after="90" w:line="264"/>
        <w:ind w:left="260"/>
        <w:jc w:val="both"/>
      </w:pPr>
      <w:r>
        <w:rPr>
          <w:rFonts w:ascii="Calibri" w:cs="Calibri" w:eastAsia="Calibri" w:hAnsi="Calibri"/>
          <w:color w:val="1A1A1A"/>
          <w:sz w:val="20"/>
          <w:szCs w:val="20"/>
        </w:rPr>
        <w:t xml:space="preserve">I. La surpopulation carcérale, une atteinte directe à l’intégrité de la personne — A. Atteinte à la dignité (art. 3, Bouyid, Kantyrev) ; B. Atteinte à la vie privée et à l’intimité (encellulement individuel, J.M.B.)</w:t>
      </w:r>
    </w:p>
    <w:p>
      <w:pPr>
        <w:pBdr>
          <w:left w:val="single" w:color="8C1C2B" w:sz="12" w:space="10"/>
        </w:pBdr>
        <w:spacing w:after="90" w:line="264"/>
        <w:ind w:left="260"/>
        <w:jc w:val="both"/>
      </w:pPr>
      <w:r>
        <w:rPr>
          <w:rFonts w:ascii="Calibri" w:cs="Calibri" w:eastAsia="Calibri" w:hAnsi="Calibri"/>
          <w:color w:val="1A1A1A"/>
          <w:sz w:val="20"/>
          <w:szCs w:val="20"/>
        </w:rPr>
        <w:t xml:space="preserve">II. La surpopulation carcérale, une défaillance de l’État — A. Le manquement à la protection (mineurs, CIDE) ; B. La nécessité de l’intervention du juge (art. 13, loi du 8 avril 2021, art. 803-8 CPP, art. 66 C.)</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Références nombreuses et pertinentes ; lien juste entre l’art. 66 C. et la compétence du juge judiciaire.</w:t>
      </w:r>
    </w:p>
    <w:p>
      <w:pPr>
        <w:pStyle w:val="ListParagraph"/>
        <w:numPr>
          <w:ilvl w:val="0"/>
          <w:numId w:val="2"/>
        </w:numPr>
        <w:spacing w:after="70" w:line="264"/>
        <w:jc w:val="both"/>
      </w:pPr>
      <w:r>
        <w:rPr>
          <w:rFonts w:ascii="Calibri" w:cs="Calibri" w:eastAsia="Calibri" w:hAnsi="Calibri"/>
          <w:color w:val="1A1A1A"/>
          <w:sz w:val="20"/>
          <w:szCs w:val="20"/>
        </w:rPr>
        <w:t xml:space="preserve">Attention portée aux personnes vulnérables (mineurs, étrangers), rare dans le chat.</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L’art. 803-8 CPP ne confie pas tout au JLD : le </w:t>
      </w:r>
      <w:r>
        <w:rPr>
          <w:rFonts w:ascii="Calibri" w:cs="Calibri" w:eastAsia="Calibri" w:hAnsi="Calibri"/>
          <w:b/>
          <w:bCs/>
          <w:color w:val="1A1A1A"/>
          <w:sz w:val="20"/>
          <w:szCs w:val="20"/>
        </w:rPr>
        <w:t xml:space="preserve">JAP</w:t>
      </w:r>
      <w:r>
        <w:rPr>
          <w:rFonts w:ascii="Calibri" w:cs="Calibri" w:eastAsia="Calibri" w:hAnsi="Calibri"/>
          <w:color w:val="1A1A1A"/>
          <w:sz w:val="20"/>
          <w:szCs w:val="20"/>
        </w:rPr>
        <w:t xml:space="preserve"> est compétent pour les condamnés.</w:t>
      </w:r>
    </w:p>
    <w:p>
      <w:pPr>
        <w:pStyle w:val="ListParagraph"/>
        <w:numPr>
          <w:ilvl w:val="0"/>
          <w:numId w:val="2"/>
        </w:numPr>
        <w:spacing w:after="70" w:line="264"/>
        <w:jc w:val="both"/>
      </w:pPr>
      <w:r>
        <w:rPr>
          <w:rFonts w:ascii="Calibri" w:cs="Calibri" w:eastAsia="Calibri" w:hAnsi="Calibri"/>
          <w:color w:val="1A1A1A"/>
          <w:sz w:val="20"/>
          <w:szCs w:val="20"/>
        </w:rPr>
        <w:t xml:space="preserve">« Moratoire de l’État depuis 150 ans » est approximatif : le principe date de 1875 ; les moratoires formels datent de la loi pénitentiaire de 2009 (dernier report au 31 déc. 2027).</w:t>
      </w:r>
    </w:p>
    <w:p>
      <w:pPr>
        <w:pStyle w:val="ListParagraph"/>
        <w:numPr>
          <w:ilvl w:val="0"/>
          <w:numId w:val="2"/>
        </w:numPr>
        <w:spacing w:after="70" w:line="264"/>
        <w:jc w:val="both"/>
      </w:pPr>
      <w:r>
        <w:rPr>
          <w:rFonts w:ascii="Calibri" w:cs="Calibri" w:eastAsia="Calibri" w:hAnsi="Calibri"/>
          <w:color w:val="E91E63"/>
          <w:sz w:val="20"/>
          <w:szCs w:val="20"/>
        </w:rPr>
        <w:t xml:space="preserve">Bouyid c. Belgique</w:t>
      </w:r>
      <w:r>
        <w:rPr>
          <w:rFonts w:ascii="Calibri" w:cs="Calibri" w:eastAsia="Calibri" w:hAnsi="Calibri"/>
          <w:color w:val="1A1A1A"/>
          <w:sz w:val="20"/>
          <w:szCs w:val="20"/>
        </w:rPr>
        <w:t xml:space="preserve"> (2015) concerne une gifle en garde à vue : utile pour le lien dignité-art. 3, pas pour la surpopulation.</w:t>
      </w:r>
    </w:p>
    <w:p>
      <w:pPr>
        <w:pStyle w:val="ListParagraph"/>
        <w:numPr>
          <w:ilvl w:val="0"/>
          <w:numId w:val="2"/>
        </w:numPr>
        <w:spacing w:after="70" w:line="264"/>
        <w:jc w:val="both"/>
      </w:pPr>
      <w:r>
        <w:rPr>
          <w:rFonts w:ascii="Calibri" w:cs="Calibri" w:eastAsia="Calibri" w:hAnsi="Calibri"/>
          <w:color w:val="1A1A1A"/>
          <w:sz w:val="20"/>
          <w:szCs w:val="20"/>
        </w:rPr>
        <w:t xml:space="preserve">Le format « soutenez que » n’était pas imposé : il faut au moins nuancer en montrant ce que le droit a déjà obtenu.</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Garder le plan, mais transformer II B en « une intervention nécessaire mais insuffisante » pour répondre au « à l’épreuve ».</w:t>
      </w:r>
    </w:p>
    <w:p>
      <w:pPr>
        <w:spacing w:after="90" w:line="264"/>
        <w:jc w:val="both"/>
      </w:pPr>
      <w:r>
        <w:rPr>
          <w:rFonts w:ascii="Calibri" w:cs="Calibri" w:eastAsia="Calibri" w:hAnsi="Calibri"/>
          <w:b/>
          <w:bCs/>
          <w:color w:val="1A1A1A"/>
          <w:sz w:val="20"/>
          <w:szCs w:val="20"/>
        </w:rPr>
        <w:t xml:space="preserve">Note indicative (plan et introduction tels que postés) : 14/20</w:t>
      </w:r>
    </w:p>
    <w:p>
      <w:pPr>
        <w:pStyle w:val="Heading3"/>
        <w:spacing w:after="80" w:before="200"/>
      </w:pPr>
      <w:r>
        <w:rPr>
          <w:rFonts w:ascii="Calibri" w:cs="Calibri" w:eastAsia="Calibri" w:hAnsi="Calibri"/>
          <w:b/>
          <w:bCs/>
          <w:i/>
          <w:iCs/>
          <w:color w:val="1A1A1A"/>
          <w:sz w:val="21"/>
          <w:szCs w:val="21"/>
        </w:rPr>
        <w:t xml:space="preserve">Elsa H — propre et juridique</w:t>
      </w:r>
    </w:p>
    <w:p>
      <w:pPr>
        <w:pBdr>
          <w:left w:val="single" w:color="8C1C2B" w:sz="12" w:space="10"/>
        </w:pBdr>
        <w:spacing w:after="90" w:line="264"/>
        <w:ind w:left="260"/>
        <w:jc w:val="both"/>
      </w:pPr>
      <w:r>
        <w:rPr>
          <w:rFonts w:ascii="Calibri" w:cs="Calibri" w:eastAsia="Calibri" w:hAnsi="Calibri"/>
          <w:color w:val="1A1A1A"/>
          <w:sz w:val="20"/>
          <w:szCs w:val="20"/>
        </w:rPr>
        <w:t xml:space="preserve">Problématique : la surpopulation, défi pour la protection des droits des détenus</w:t>
      </w:r>
    </w:p>
    <w:p>
      <w:pPr>
        <w:pBdr>
          <w:left w:val="single" w:color="8C1C2B" w:sz="12" w:space="10"/>
        </w:pBdr>
        <w:spacing w:after="90" w:line="264"/>
        <w:ind w:left="260"/>
        <w:jc w:val="both"/>
      </w:pPr>
      <w:r>
        <w:rPr>
          <w:rFonts w:ascii="Calibri" w:cs="Calibri" w:eastAsia="Calibri" w:hAnsi="Calibri"/>
          <w:color w:val="1A1A1A"/>
          <w:sz w:val="20"/>
          <w:szCs w:val="20"/>
        </w:rPr>
        <w:t xml:space="preserve">I. Atteintes aux droits fondamentaux — A. Le principe matriciel de dignité bafoué (al. 1er Préambule 1946, PVC) ; B. Des traitements inhumains et dégradants (art. 3, CEDH)</w:t>
      </w:r>
    </w:p>
    <w:p>
      <w:pPr>
        <w:pBdr>
          <w:left w:val="single" w:color="8C1C2B" w:sz="12" w:space="10"/>
        </w:pBdr>
        <w:spacing w:after="90" w:line="264"/>
        <w:ind w:left="260"/>
        <w:jc w:val="both"/>
      </w:pPr>
      <w:r>
        <w:rPr>
          <w:rFonts w:ascii="Calibri" w:cs="Calibri" w:eastAsia="Calibri" w:hAnsi="Calibri"/>
          <w:color w:val="1A1A1A"/>
          <w:sz w:val="20"/>
          <w:szCs w:val="20"/>
        </w:rPr>
        <w:t xml:space="preserve">II. Le renforcement récent des droits procéduraux — A. L’exigence d’un recours effectif (art. 13, J.M.B.) ; B. Une protection interne renforcée (art. préliminaire CPP, loi du 8 avril 2021, référés)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Plan clair, sources exactes, ouverture pertinente vers le CGLPL et les autres lieux de privation de liberté.</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I A et I B se recoupent (la dignité et l’art. 3 sont indissociables) : la seconde sous-partie aurait pu traiter des autres droits (vie, santé, vie privée).</w:t>
      </w:r>
    </w:p>
    <w:p>
      <w:pPr>
        <w:pStyle w:val="ListParagraph"/>
        <w:numPr>
          <w:ilvl w:val="0"/>
          <w:numId w:val="2"/>
        </w:numPr>
        <w:spacing w:after="70" w:line="264"/>
        <w:jc w:val="both"/>
      </w:pPr>
      <w:r>
        <w:rPr>
          <w:rFonts w:ascii="Calibri" w:cs="Calibri" w:eastAsia="Calibri" w:hAnsi="Calibri"/>
          <w:color w:val="1A1A1A"/>
          <w:sz w:val="20"/>
          <w:szCs w:val="20"/>
        </w:rPr>
        <w:t xml:space="preserve">Le II est optimiste : rien sur les limites du recours, alors que le sujet est « à l’épreuve ».</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Fusionner dignité et art. 3 en I A ; I B sur les autres droits ; II B : « un renforcement aux effets limités ».</w:t>
      </w:r>
    </w:p>
    <w:p>
      <w:pPr>
        <w:spacing w:after="90" w:line="264"/>
        <w:jc w:val="both"/>
      </w:pPr>
      <w:r>
        <w:rPr>
          <w:rFonts w:ascii="Calibri" w:cs="Calibri" w:eastAsia="Calibri" w:hAnsi="Calibri"/>
          <w:b/>
          <w:bCs/>
          <w:color w:val="1A1A1A"/>
          <w:sz w:val="20"/>
          <w:szCs w:val="20"/>
        </w:rPr>
        <w:t xml:space="preserve">Note indicative (plan et introduction tels que postés) : 13/20</w:t>
      </w:r>
    </w:p>
    <w:p>
      <w:pPr>
        <w:pStyle w:val="Heading3"/>
        <w:spacing w:after="80" w:before="200"/>
      </w:pPr>
      <w:r>
        <w:rPr>
          <w:rFonts w:ascii="Calibri" w:cs="Calibri" w:eastAsia="Calibri" w:hAnsi="Calibri"/>
          <w:b/>
          <w:bCs/>
          <w:i/>
          <w:iCs/>
          <w:color w:val="1A1A1A"/>
          <w:sz w:val="21"/>
          <w:szCs w:val="21"/>
        </w:rPr>
        <w:t xml:space="preserve">YASSER E — bonne intuition sur la preuve</w:t>
      </w:r>
    </w:p>
    <w:p>
      <w:pPr>
        <w:pBdr>
          <w:left w:val="single" w:color="8C1C2B" w:sz="12" w:space="10"/>
        </w:pBdr>
        <w:spacing w:after="90" w:line="264"/>
        <w:ind w:left="260"/>
        <w:jc w:val="both"/>
      </w:pPr>
      <w:r>
        <w:rPr>
          <w:rFonts w:ascii="Calibri" w:cs="Calibri" w:eastAsia="Calibri" w:hAnsi="Calibri"/>
          <w:color w:val="1A1A1A"/>
          <w:sz w:val="20"/>
          <w:szCs w:val="20"/>
        </w:rPr>
        <w:t xml:space="preserve">Intro : 90 020 détenus pour 62 000 places ; condamnations répétées de la France</w:t>
      </w:r>
    </w:p>
    <w:p>
      <w:pPr>
        <w:pBdr>
          <w:left w:val="single" w:color="8C1C2B" w:sz="12" w:space="10"/>
        </w:pBdr>
        <w:spacing w:after="90" w:line="264"/>
        <w:ind w:left="260"/>
        <w:jc w:val="both"/>
      </w:pPr>
      <w:r>
        <w:rPr>
          <w:rFonts w:ascii="Calibri" w:cs="Calibri" w:eastAsia="Calibri" w:hAnsi="Calibri"/>
          <w:color w:val="1A1A1A"/>
          <w:sz w:val="20"/>
          <w:szCs w:val="20"/>
        </w:rPr>
        <w:t xml:space="preserve">I. La dignité, droit fondamental applicable aux détenus — A. La protection de la dignité (textes, CEDH) ; B. Les droits issus du Code pénitentiaire</w:t>
      </w:r>
    </w:p>
    <w:p>
      <w:pPr>
        <w:pBdr>
          <w:left w:val="single" w:color="8C1C2B" w:sz="12" w:space="10"/>
        </w:pBdr>
        <w:spacing w:after="90" w:line="264"/>
        <w:ind w:left="260"/>
        <w:jc w:val="both"/>
      </w:pPr>
      <w:r>
        <w:rPr>
          <w:rFonts w:ascii="Calibri" w:cs="Calibri" w:eastAsia="Calibri" w:hAnsi="Calibri"/>
          <w:color w:val="1A1A1A"/>
          <w:sz w:val="20"/>
          <w:szCs w:val="20"/>
        </w:rPr>
        <w:t xml:space="preserve">II. La garantie du respect de la dignité par le juge — A. Le contentieux des conditions indignes (JLD, référés) ; B. L’assouplissement de la preuve (CE, 21 mars 2022, n° 443986)</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Chiffre de 90 020 exact (1er sept. 2026) ; référence </w:t>
      </w:r>
      <w:r>
        <w:rPr>
          <w:rFonts w:ascii="Calibri" w:cs="Calibri" w:eastAsia="Calibri" w:hAnsi="Calibri"/>
          <w:color w:val="E91E63"/>
          <w:sz w:val="20"/>
          <w:szCs w:val="20"/>
        </w:rPr>
        <w:t xml:space="preserve">CE, 21 mars 2022</w:t>
      </w:r>
      <w:r>
        <w:rPr>
          <w:rFonts w:ascii="Calibri" w:cs="Calibri" w:eastAsia="Calibri" w:hAnsi="Calibri"/>
          <w:color w:val="1A1A1A"/>
          <w:sz w:val="20"/>
          <w:szCs w:val="20"/>
        </w:rPr>
        <w:t xml:space="preserve"> exacte et originale.</w:t>
      </w:r>
    </w:p>
    <w:p>
      <w:pPr>
        <w:pStyle w:val="ListParagraph"/>
        <w:numPr>
          <w:ilvl w:val="0"/>
          <w:numId w:val="2"/>
        </w:numPr>
        <w:spacing w:after="70" w:line="264"/>
        <w:jc w:val="both"/>
      </w:pPr>
      <w:r>
        <w:rPr>
          <w:rFonts w:ascii="Calibri" w:cs="Calibri" w:eastAsia="Calibri" w:hAnsi="Calibri"/>
          <w:color w:val="1A1A1A"/>
          <w:sz w:val="20"/>
          <w:szCs w:val="20"/>
        </w:rPr>
        <w:t xml:space="preserve">Le Code pénitentiaire est mobilisé (I B), ce que personne d’autre n’a fait.</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Le recours devant le JLD est prévu par le </w:t>
      </w:r>
      <w:r>
        <w:rPr>
          <w:rFonts w:ascii="Calibri" w:cs="Calibri" w:eastAsia="Calibri" w:hAnsi="Calibri"/>
          <w:b/>
          <w:bCs/>
          <w:color w:val="1A1A1A"/>
          <w:sz w:val="20"/>
          <w:szCs w:val="20"/>
        </w:rPr>
        <w:t xml:space="preserve">Code de procédure pénale</w:t>
      </w:r>
      <w:r>
        <w:rPr>
          <w:rFonts w:ascii="Calibri" w:cs="Calibri" w:eastAsia="Calibri" w:hAnsi="Calibri"/>
          <w:color w:val="1A1A1A"/>
          <w:sz w:val="20"/>
          <w:szCs w:val="20"/>
        </w:rPr>
        <w:t xml:space="preserve"> (art. 803-8), non par le Code pénal ; le JAP est oublié.</w:t>
      </w:r>
    </w:p>
    <w:p>
      <w:pPr>
        <w:pStyle w:val="ListParagraph"/>
        <w:numPr>
          <w:ilvl w:val="0"/>
          <w:numId w:val="2"/>
        </w:numPr>
        <w:spacing w:after="70" w:line="264"/>
        <w:jc w:val="both"/>
      </w:pPr>
      <w:r>
        <w:rPr>
          <w:rFonts w:ascii="Calibri" w:cs="Calibri" w:eastAsia="Calibri" w:hAnsi="Calibri"/>
          <w:color w:val="1A1A1A"/>
          <w:sz w:val="20"/>
          <w:szCs w:val="20"/>
        </w:rPr>
        <w:t xml:space="preserve">Le CE ne « renverse » pas la charge de la preuve : il admet qu’un récit précis vaille commencement de preuve, à charge pour l’administration de le réfuter, et cela dans le contentieux </w:t>
      </w:r>
      <w:r>
        <w:rPr>
          <w:rFonts w:ascii="Calibri" w:cs="Calibri" w:eastAsia="Calibri" w:hAnsi="Calibri"/>
          <w:b/>
          <w:bCs/>
          <w:color w:val="1A1A1A"/>
          <w:sz w:val="20"/>
          <w:szCs w:val="20"/>
        </w:rPr>
        <w:t xml:space="preserve">indemnitaire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Plan centré sur la seule dignité ; pas de limites structurelles.</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Ajouter une sous-partie sur les limites (transferts, politique pénale) à la place de II B, et intégrer la preuve dans II A.</w:t>
      </w:r>
    </w:p>
    <w:p>
      <w:pPr>
        <w:spacing w:after="90" w:line="264"/>
        <w:jc w:val="both"/>
      </w:pPr>
      <w:r>
        <w:rPr>
          <w:rFonts w:ascii="Calibri" w:cs="Calibri" w:eastAsia="Calibri" w:hAnsi="Calibri"/>
          <w:b/>
          <w:bCs/>
          <w:color w:val="1A1A1A"/>
          <w:sz w:val="20"/>
          <w:szCs w:val="20"/>
        </w:rPr>
        <w:t xml:space="preserve">Note indicative (plan et introduction tels que postés) : 12/20</w:t>
      </w:r>
    </w:p>
    <w:p>
      <w:pPr>
        <w:pStyle w:val="Heading3"/>
        <w:spacing w:after="80" w:before="200"/>
      </w:pPr>
      <w:r>
        <w:rPr>
          <w:rFonts w:ascii="Calibri" w:cs="Calibri" w:eastAsia="Calibri" w:hAnsi="Calibri"/>
          <w:b/>
          <w:bCs/>
          <w:i/>
          <w:iCs/>
          <w:color w:val="1A1A1A"/>
          <w:sz w:val="21"/>
          <w:szCs w:val="21"/>
        </w:rPr>
        <w:t xml:space="preserve">Inès Y — riche mais surchargé et fragile</w:t>
      </w:r>
    </w:p>
    <w:p>
      <w:pPr>
        <w:pBdr>
          <w:left w:val="single" w:color="8C1C2B" w:sz="12" w:space="10"/>
        </w:pBdr>
        <w:spacing w:after="90" w:line="264"/>
        <w:ind w:left="260"/>
        <w:jc w:val="both"/>
      </w:pPr>
      <w:r>
        <w:rPr>
          <w:rFonts w:ascii="Calibri" w:cs="Calibri" w:eastAsia="Calibri" w:hAnsi="Calibri"/>
          <w:color w:val="1A1A1A"/>
          <w:sz w:val="20"/>
          <w:szCs w:val="20"/>
        </w:rPr>
        <w:t xml:space="preserve">Intro : CGLPL, maisons d’arrêt, comparaison européenne ; problématique avec « comment y remédier »</w:t>
      </w:r>
    </w:p>
    <w:p>
      <w:pPr>
        <w:pBdr>
          <w:left w:val="single" w:color="8C1C2B" w:sz="12" w:space="10"/>
        </w:pBdr>
        <w:spacing w:after="90" w:line="264"/>
        <w:ind w:left="260"/>
        <w:jc w:val="both"/>
      </w:pPr>
      <w:r>
        <w:rPr>
          <w:rFonts w:ascii="Calibri" w:cs="Calibri" w:eastAsia="Calibri" w:hAnsi="Calibri"/>
          <w:color w:val="1A1A1A"/>
          <w:sz w:val="20"/>
          <w:szCs w:val="20"/>
        </w:rPr>
        <w:t xml:space="preserve">I. La surpopulation, vecteur de rupture des droits — A. Le bafouement de la dignité (loi de 2021, Raffray Taddei, encellulement) ; B. Les traitements inhumains (Irlande c. RU, Bouyid, Convention de 1984, J.M.B.)</w:t>
      </w:r>
    </w:p>
    <w:p>
      <w:pPr>
        <w:pBdr>
          <w:left w:val="single" w:color="8C1C2B" w:sz="12" w:space="10"/>
        </w:pBdr>
        <w:spacing w:after="90" w:line="264"/>
        <w:ind w:left="260"/>
        <w:jc w:val="both"/>
      </w:pPr>
      <w:r>
        <w:rPr>
          <w:rFonts w:ascii="Calibri" w:cs="Calibri" w:eastAsia="Calibri" w:hAnsi="Calibri"/>
          <w:color w:val="1A1A1A"/>
          <w:sz w:val="20"/>
          <w:szCs w:val="20"/>
        </w:rPr>
        <w:t xml:space="preserve">II. L’exigence de régulation — A. Les constats (CGLPL 2007, CNCDH, OPCAT 2002) ; B. Une réponse pénale appropriée (obligations positives, construction, statistiques, peines alternatives)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Seule à poser la </w:t>
      </w:r>
      <w:r>
        <w:rPr>
          <w:rFonts w:ascii="Calibri" w:cs="Calibri" w:eastAsia="Calibri" w:hAnsi="Calibri"/>
          <w:b/>
          <w:bCs/>
          <w:color w:val="1A1A1A"/>
          <w:sz w:val="20"/>
          <w:szCs w:val="20"/>
        </w:rPr>
        <w:t xml:space="preserve">régulation</w:t>
      </w:r>
      <w:r>
        <w:rPr>
          <w:rFonts w:ascii="Calibri" w:cs="Calibri" w:eastAsia="Calibri" w:hAnsi="Calibri"/>
          <w:color w:val="1A1A1A"/>
          <w:sz w:val="20"/>
          <w:szCs w:val="20"/>
        </w:rPr>
        <w:t xml:space="preserve"> comme axe de la seconde partie ; bonne analyse des causes (détention, courtes peines) et de la tension avec la politique pénale actuelle.</w:t>
      </w:r>
    </w:p>
    <w:p>
      <w:pPr>
        <w:pStyle w:val="ListParagraph"/>
        <w:numPr>
          <w:ilvl w:val="0"/>
          <w:numId w:val="2"/>
        </w:numPr>
        <w:spacing w:after="70" w:line="264"/>
        <w:jc w:val="both"/>
      </w:pPr>
      <w:r>
        <w:rPr>
          <w:rFonts w:ascii="Calibri" w:cs="Calibri" w:eastAsia="Calibri" w:hAnsi="Calibri"/>
          <w:color w:val="1A1A1A"/>
          <w:sz w:val="20"/>
          <w:szCs w:val="20"/>
        </w:rPr>
        <w:t xml:space="preserve">Plusieurs références exactes : Irlande c. RU (1978), Raffray Taddei (2010), OPCAT (2002), loi de 2007.</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 Hristozov c. Belgique, 2012 » : l’arrêt est </w:t>
      </w:r>
      <w:r>
        <w:rPr>
          <w:rFonts w:ascii="Calibri" w:cs="Calibri" w:eastAsia="Calibri" w:hAnsi="Calibri"/>
          <w:color w:val="E91E63"/>
          <w:sz w:val="20"/>
          <w:szCs w:val="20"/>
        </w:rPr>
        <w:t xml:space="preserve">Hristozov c. Bulgarie</w:t>
      </w:r>
      <w:r>
        <w:rPr>
          <w:rFonts w:ascii="Calibri" w:cs="Calibri" w:eastAsia="Calibri" w:hAnsi="Calibri"/>
          <w:color w:val="1A1A1A"/>
          <w:sz w:val="20"/>
          <w:szCs w:val="20"/>
        </w:rPr>
        <w:t xml:space="preserve"> (13 nov. 2012) et porte sur l’accès à des médicaments expérimentaux, sans rapport avec la prison.</w:t>
      </w:r>
    </w:p>
    <w:p>
      <w:pPr>
        <w:pStyle w:val="ListParagraph"/>
        <w:numPr>
          <w:ilvl w:val="0"/>
          <w:numId w:val="2"/>
        </w:numPr>
        <w:spacing w:after="70" w:line="264"/>
        <w:jc w:val="both"/>
      </w:pPr>
      <w:r>
        <w:rPr>
          <w:rFonts w:ascii="Calibri" w:cs="Calibri" w:eastAsia="Calibri" w:hAnsi="Calibri"/>
          <w:color w:val="1A1A1A"/>
          <w:sz w:val="20"/>
          <w:szCs w:val="20"/>
        </w:rPr>
        <w:t xml:space="preserve">« 2024 : condamnation de la Russie pour 195 violations » et « loi de 2024 sur la régulation carcérale rejetée » : références non identifiées ; il s’agissait au mieux d’une proposition de loi.</w:t>
      </w:r>
    </w:p>
    <w:p>
      <w:pPr>
        <w:pStyle w:val="ListParagraph"/>
        <w:numPr>
          <w:ilvl w:val="0"/>
          <w:numId w:val="2"/>
        </w:numPr>
        <w:spacing w:after="70" w:line="264"/>
        <w:jc w:val="both"/>
      </w:pPr>
      <w:r>
        <w:rPr>
          <w:rFonts w:ascii="Calibri" w:cs="Calibri" w:eastAsia="Calibri" w:hAnsi="Calibri"/>
          <w:color w:val="1A1A1A"/>
          <w:sz w:val="20"/>
          <w:szCs w:val="20"/>
        </w:rPr>
        <w:t xml:space="preserve">« Bafouement » n’est pas français (« la violation »).</w:t>
      </w:r>
    </w:p>
    <w:p>
      <w:pPr>
        <w:pStyle w:val="ListParagraph"/>
        <w:numPr>
          <w:ilvl w:val="0"/>
          <w:numId w:val="2"/>
        </w:numPr>
        <w:spacing w:after="70" w:line="264"/>
        <w:jc w:val="both"/>
      </w:pPr>
      <w:r>
        <w:rPr>
          <w:rFonts w:ascii="Calibri" w:cs="Calibri" w:eastAsia="Calibri" w:hAnsi="Calibri"/>
          <w:color w:val="1A1A1A"/>
          <w:sz w:val="20"/>
          <w:szCs w:val="20"/>
        </w:rPr>
        <w:t xml:space="preserve">Accumulation : une sous-partie n’est pas une liste de références.</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Garder l’architecture constat / régulation, alléger, et ancrer II B sur la décision du Comité des ministres de 2024 et le numerus clausus annoncé en 2026.</w:t>
      </w:r>
    </w:p>
    <w:p>
      <w:pPr>
        <w:spacing w:after="90" w:line="264"/>
        <w:jc w:val="both"/>
      </w:pPr>
      <w:r>
        <w:rPr>
          <w:rFonts w:ascii="Calibri" w:cs="Calibri" w:eastAsia="Calibri" w:hAnsi="Calibri"/>
          <w:b/>
          <w:bCs/>
          <w:color w:val="1A1A1A"/>
          <w:sz w:val="20"/>
          <w:szCs w:val="20"/>
        </w:rPr>
        <w:t xml:space="preserve">Note indicative (plan et introduction tels que postés) : 11/20</w:t>
      </w:r>
    </w:p>
    <w:p>
      <w:pPr>
        <w:pStyle w:val="Heading3"/>
        <w:spacing w:after="80" w:before="200"/>
      </w:pPr>
      <w:r>
        <w:rPr>
          <w:rFonts w:ascii="Calibri" w:cs="Calibri" w:eastAsia="Calibri" w:hAnsi="Calibri"/>
          <w:b/>
          <w:bCs/>
          <w:i/>
          <w:iCs/>
          <w:color w:val="1A1A1A"/>
          <w:sz w:val="21"/>
          <w:szCs w:val="21"/>
        </w:rPr>
        <w:t xml:space="preserve">Crystal L — les acteurs de protection bien vus, des articles faux</w:t>
      </w:r>
    </w:p>
    <w:p>
      <w:pPr>
        <w:pBdr>
          <w:left w:val="single" w:color="8C1C2B" w:sz="12" w:space="10"/>
        </w:pBdr>
        <w:spacing w:after="90" w:line="264"/>
        <w:ind w:left="260"/>
        <w:jc w:val="both"/>
      </w:pPr>
      <w:r>
        <w:rPr>
          <w:rFonts w:ascii="Calibri" w:cs="Calibri" w:eastAsia="Calibri" w:hAnsi="Calibri"/>
          <w:color w:val="1A1A1A"/>
          <w:sz w:val="20"/>
          <w:szCs w:val="20"/>
        </w:rPr>
        <w:t xml:space="preserve">I. La surpopulation à l’épreuve des droits — A. Le droit à la santé (art. 35 Charte, art. 322-1 C. pénit., encellulement) ; B. La dignité (J.M.B., art. 3)</w:t>
      </w:r>
    </w:p>
    <w:p>
      <w:pPr>
        <w:pBdr>
          <w:left w:val="single" w:color="8C1C2B" w:sz="12" w:space="10"/>
        </w:pBdr>
        <w:spacing w:after="90" w:line="264"/>
        <w:ind w:left="260"/>
        <w:jc w:val="both"/>
      </w:pPr>
      <w:r>
        <w:rPr>
          <w:rFonts w:ascii="Calibri" w:cs="Calibri" w:eastAsia="Calibri" w:hAnsi="Calibri"/>
          <w:color w:val="1A1A1A"/>
          <w:sz w:val="20"/>
          <w:szCs w:val="20"/>
        </w:rPr>
        <w:t xml:space="preserve">II. Les outils de protection — A. Les recours (référé-liberté « 521-1 CJA », JLD, JAP) ; B. Les acteurs (CGLPL, « Convention de 1989 contre la torture »)</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Seule à partir de la santé, angle légitime ; les deux juges (JLD et JAP) sont cités.</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Le référé-liberté est l’</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 ; l’art. L. 521-1 est le référé-suspension.</w:t>
      </w:r>
    </w:p>
    <w:p>
      <w:pPr>
        <w:pStyle w:val="ListParagraph"/>
        <w:numPr>
          <w:ilvl w:val="0"/>
          <w:numId w:val="2"/>
        </w:numPr>
        <w:spacing w:after="70" w:line="264"/>
        <w:jc w:val="both"/>
      </w:pPr>
      <w:r>
        <w:rPr>
          <w:rFonts w:ascii="Calibri" w:cs="Calibri" w:eastAsia="Calibri" w:hAnsi="Calibri"/>
          <w:color w:val="1A1A1A"/>
          <w:sz w:val="20"/>
          <w:szCs w:val="20"/>
        </w:rPr>
        <w:t xml:space="preserve">La Convention des Nations unies contre la torture date du </w:t>
      </w:r>
      <w:r>
        <w:rPr>
          <w:rFonts w:ascii="Calibri" w:cs="Calibri" w:eastAsia="Calibri" w:hAnsi="Calibri"/>
          <w:b/>
          <w:bCs/>
          <w:color w:val="1A1A1A"/>
          <w:sz w:val="20"/>
          <w:szCs w:val="20"/>
        </w:rPr>
        <w:t xml:space="preserve">10 décembre 1984</w:t>
      </w:r>
      <w:r>
        <w:rPr>
          <w:rFonts w:ascii="Calibri" w:cs="Calibri" w:eastAsia="Calibri" w:hAnsi="Calibri"/>
          <w:color w:val="1A1A1A"/>
          <w:sz w:val="20"/>
          <w:szCs w:val="20"/>
        </w:rPr>
        <w:t xml:space="preserve"> ; en 1989, c’est la CIDE (ou l’entrée en vigueur de la convention européenne de 1987 qui institue le CPT).</w:t>
      </w:r>
    </w:p>
    <w:p>
      <w:pPr>
        <w:pStyle w:val="ListParagraph"/>
        <w:numPr>
          <w:ilvl w:val="0"/>
          <w:numId w:val="2"/>
        </w:numPr>
        <w:spacing w:after="70" w:line="264"/>
        <w:jc w:val="both"/>
      </w:pPr>
      <w:r>
        <w:rPr>
          <w:rFonts w:ascii="Calibri" w:cs="Calibri" w:eastAsia="Calibri" w:hAnsi="Calibri"/>
          <w:color w:val="1A1A1A"/>
          <w:sz w:val="20"/>
          <w:szCs w:val="20"/>
        </w:rPr>
        <w:t xml:space="preserve">L’art. 35 de la Charte de l’UE ne s’applique qu’à la mise en œuvre du droit de l’Union ; préférer l’al. 11 du Préambule de 1946.</w:t>
      </w:r>
    </w:p>
    <w:p>
      <w:pPr>
        <w:pStyle w:val="ListParagraph"/>
        <w:numPr>
          <w:ilvl w:val="0"/>
          <w:numId w:val="2"/>
        </w:numPr>
        <w:spacing w:after="70" w:line="264"/>
        <w:jc w:val="both"/>
      </w:pPr>
      <w:r>
        <w:rPr>
          <w:rFonts w:ascii="Calibri" w:cs="Calibri" w:eastAsia="Calibri" w:hAnsi="Calibri"/>
          <w:color w:val="1A1A1A"/>
          <w:sz w:val="20"/>
          <w:szCs w:val="20"/>
        </w:rPr>
        <w:t xml:space="preserve">Référence « art. 322-1 C. pénit. » à vérifier avant de la citer.</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Corriger les références ; garder II B, original, en le reliant au contrôle international (CPT, SPT en 2026).</w:t>
      </w:r>
    </w:p>
    <w:p>
      <w:pPr>
        <w:spacing w:after="90" w:line="264"/>
        <w:jc w:val="both"/>
      </w:pPr>
      <w:r>
        <w:rPr>
          <w:rFonts w:ascii="Calibri" w:cs="Calibri" w:eastAsia="Calibri" w:hAnsi="Calibri"/>
          <w:b/>
          <w:bCs/>
          <w:color w:val="1A1A1A"/>
          <w:sz w:val="20"/>
          <w:szCs w:val="20"/>
        </w:rPr>
        <w:t xml:space="preserve">Note indicative (plan et introduction tels que postés) : 11/20</w:t>
      </w:r>
    </w:p>
    <w:p>
      <w:pPr>
        <w:pStyle w:val="Heading3"/>
        <w:spacing w:after="80" w:before="200"/>
      </w:pPr>
      <w:r>
        <w:rPr>
          <w:rFonts w:ascii="Calibri" w:cs="Calibri" w:eastAsia="Calibri" w:hAnsi="Calibri"/>
          <w:b/>
          <w:bCs/>
          <w:i/>
          <w:iCs/>
          <w:color w:val="1A1A1A"/>
          <w:sz w:val="21"/>
          <w:szCs w:val="21"/>
        </w:rPr>
        <w:t xml:space="preserve">Selwyne G — développement fourni, deux contresens</w:t>
      </w:r>
    </w:p>
    <w:p>
      <w:pPr>
        <w:pBdr>
          <w:left w:val="single" w:color="8C1C2B" w:sz="12" w:space="10"/>
        </w:pBdr>
        <w:spacing w:after="90" w:line="264"/>
        <w:ind w:left="260"/>
        <w:jc w:val="both"/>
      </w:pPr>
      <w:r>
        <w:rPr>
          <w:rFonts w:ascii="Calibri" w:cs="Calibri" w:eastAsia="Calibri" w:hAnsi="Calibri"/>
          <w:color w:val="1A1A1A"/>
          <w:sz w:val="20"/>
          <w:szCs w:val="20"/>
        </w:rPr>
        <w:t xml:space="preserve">Intro : près de 90 000 détenus, « dépassement de plus de 100 % »</w:t>
      </w:r>
    </w:p>
    <w:p>
      <w:pPr>
        <w:pBdr>
          <w:left w:val="single" w:color="8C1C2B" w:sz="12" w:space="10"/>
        </w:pBdr>
        <w:spacing w:after="90" w:line="264"/>
        <w:ind w:left="260"/>
        <w:jc w:val="both"/>
      </w:pPr>
      <w:r>
        <w:rPr>
          <w:rFonts w:ascii="Calibri" w:cs="Calibri" w:eastAsia="Calibri" w:hAnsi="Calibri"/>
          <w:color w:val="1A1A1A"/>
          <w:sz w:val="20"/>
          <w:szCs w:val="20"/>
        </w:rPr>
        <w:t xml:space="preserve">I. La surpopulation contrevenant à la dignité — A. L’ingérence des autorités (coups et blessures, garde à vue) ; B. Des conditions indignes (affaire grecque de 2001)</w:t>
      </w:r>
    </w:p>
    <w:p>
      <w:pPr>
        <w:pBdr>
          <w:left w:val="single" w:color="8C1C2B" w:sz="12" w:space="10"/>
        </w:pBdr>
        <w:spacing w:after="90" w:line="264"/>
        <w:ind w:left="260"/>
        <w:jc w:val="both"/>
      </w:pPr>
      <w:r>
        <w:rPr>
          <w:rFonts w:ascii="Calibri" w:cs="Calibri" w:eastAsia="Calibri" w:hAnsi="Calibri"/>
          <w:color w:val="1A1A1A"/>
          <w:sz w:val="20"/>
          <w:szCs w:val="20"/>
        </w:rPr>
        <w:t xml:space="preserve">II. La responsabilité de l’État — A. Une législation adéquate (art. 803-8 CPP) ; B. Enquête et sanction (art. 13, Convention de 1984, art. 12)</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Description exacte de l’exigence de </w:t>
      </w:r>
      <w:r>
        <w:rPr>
          <w:rFonts w:ascii="Calibri" w:cs="Calibri" w:eastAsia="Calibri" w:hAnsi="Calibri"/>
          <w:color w:val="E91E63"/>
          <w:sz w:val="20"/>
          <w:szCs w:val="20"/>
        </w:rPr>
        <w:t xml:space="preserve">Kudła</w:t>
      </w:r>
      <w:r>
        <w:rPr>
          <w:rFonts w:ascii="Calibri" w:cs="Calibri" w:eastAsia="Calibri" w:hAnsi="Calibri"/>
          <w:color w:val="1A1A1A"/>
          <w:sz w:val="20"/>
          <w:szCs w:val="20"/>
        </w:rPr>
        <w:t xml:space="preserve"> ; affaire grecque de 2001 pertinente (</w:t>
      </w:r>
      <w:r>
        <w:rPr>
          <w:rFonts w:ascii="Calibri" w:cs="Calibri" w:eastAsia="Calibri" w:hAnsi="Calibri"/>
          <w:color w:val="E91E63"/>
          <w:sz w:val="20"/>
          <w:szCs w:val="20"/>
        </w:rPr>
        <w:t xml:space="preserve">Dougoz c. Grèce</w:t>
      </w:r>
      <w:r>
        <w:rPr>
          <w:rFonts w:ascii="Calibri" w:cs="Calibri" w:eastAsia="Calibri" w:hAnsi="Calibri"/>
          <w:color w:val="1A1A1A"/>
          <w:sz w:val="20"/>
          <w:szCs w:val="20"/>
        </w:rPr>
        <w:t xml:space="preserve">, 6 mars 2001) ; bon usage des art. 12 de la Convention de 1984 et 13 CEDH.</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 Dépassement de plus de 100 % » : faux ; la densité est d’environ 140 %, soit un dépassement d’environ 40 % (plus de 65 % en maison d’arrêt).</w:t>
      </w:r>
    </w:p>
    <w:p>
      <w:pPr>
        <w:pStyle w:val="ListParagraph"/>
        <w:numPr>
          <w:ilvl w:val="0"/>
          <w:numId w:val="2"/>
        </w:numPr>
        <w:spacing w:after="70" w:line="264"/>
        <w:jc w:val="both"/>
      </w:pPr>
      <w:r>
        <w:rPr>
          <w:rFonts w:ascii="Calibri" w:cs="Calibri" w:eastAsia="Calibri" w:hAnsi="Calibri"/>
          <w:color w:val="1A1A1A"/>
          <w:sz w:val="20"/>
          <w:szCs w:val="20"/>
        </w:rPr>
        <w:t xml:space="preserve">I A traite des violences d’agents en garde à vue : hors sujet ; la surpopulation n’est pas une « ingérence » mais une condition de détention.</w:t>
      </w:r>
    </w:p>
    <w:p>
      <w:pPr>
        <w:pStyle w:val="ListParagraph"/>
        <w:numPr>
          <w:ilvl w:val="0"/>
          <w:numId w:val="2"/>
        </w:numPr>
        <w:spacing w:after="70" w:line="264"/>
        <w:jc w:val="both"/>
      </w:pPr>
      <w:r>
        <w:rPr>
          <w:rFonts w:ascii="Calibri" w:cs="Calibri" w:eastAsia="Calibri" w:hAnsi="Calibri"/>
          <w:color w:val="1A1A1A"/>
          <w:sz w:val="20"/>
          <w:szCs w:val="20"/>
        </w:rPr>
        <w:t xml:space="preserve">« L’article 3 permet de garantir à toute personne les droits et libertés consacrés par la Convention » : c’est l’</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Remplacer I A par les droits atteints autres que la dignité (vie, santé, vie privée) ; corriger le chiffre.</w:t>
      </w:r>
    </w:p>
    <w:p>
      <w:pPr>
        <w:spacing w:after="90" w:line="264"/>
        <w:jc w:val="both"/>
      </w:pPr>
      <w:r>
        <w:rPr>
          <w:rFonts w:ascii="Calibri" w:cs="Calibri" w:eastAsia="Calibri" w:hAnsi="Calibri"/>
          <w:b/>
          <w:bCs/>
          <w:color w:val="1A1A1A"/>
          <w:sz w:val="20"/>
          <w:szCs w:val="20"/>
        </w:rPr>
        <w:t xml:space="preserve">Note indicative (plan et introduction tels que postés) : 10/20</w:t>
      </w:r>
    </w:p>
    <w:p>
      <w:pPr>
        <w:pStyle w:val="Heading3"/>
        <w:spacing w:after="80" w:before="200"/>
      </w:pPr>
      <w:r>
        <w:rPr>
          <w:rFonts w:ascii="Calibri" w:cs="Calibri" w:eastAsia="Calibri" w:hAnsi="Calibri"/>
          <w:b/>
          <w:bCs/>
          <w:i/>
          <w:iCs/>
          <w:color w:val="1A1A1A"/>
          <w:sz w:val="21"/>
          <w:szCs w:val="21"/>
        </w:rPr>
        <w:t xml:space="preserve">Malena F — un plan sur un seul aspect</w:t>
      </w:r>
    </w:p>
    <w:p>
      <w:pPr>
        <w:pBdr>
          <w:left w:val="single" w:color="8C1C2B" w:sz="12" w:space="10"/>
        </w:pBdr>
        <w:spacing w:after="90" w:line="264"/>
        <w:ind w:left="260"/>
        <w:jc w:val="both"/>
      </w:pPr>
      <w:r>
        <w:rPr>
          <w:rFonts w:ascii="Calibri" w:cs="Calibri" w:eastAsia="Calibri" w:hAnsi="Calibri"/>
          <w:color w:val="1A1A1A"/>
          <w:sz w:val="20"/>
          <w:szCs w:val="20"/>
        </w:rPr>
        <w:t xml:space="preserve">I. Insuffisance des recours devant le juge administratif — A. Remise en cause par la CEDH (« JMD c. France ») ; B. Évolution insuffisante (Crim., 8 juill. 2020)</w:t>
      </w:r>
    </w:p>
    <w:p>
      <w:pPr>
        <w:pBdr>
          <w:left w:val="single" w:color="8C1C2B" w:sz="12" w:space="10"/>
        </w:pBdr>
        <w:spacing w:after="90" w:line="264"/>
        <w:ind w:left="260"/>
        <w:jc w:val="both"/>
      </w:pPr>
      <w:r>
        <w:rPr>
          <w:rFonts w:ascii="Calibri" w:cs="Calibri" w:eastAsia="Calibri" w:hAnsi="Calibri"/>
          <w:color w:val="1A1A1A"/>
          <w:sz w:val="20"/>
          <w:szCs w:val="20"/>
        </w:rPr>
        <w:t xml:space="preserve">II. Création d’un recours devant le juge judiciaire — A. Loi du 8 avril 2021 ; B. Efficacité en pratique, « exceptions à l’art. 3 »</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Le fil procédural est juste et bien daté.</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Le sujet n’est pas « les recours » : la partie substantielle (quels droits, quelles atteintes) manque entièrement.</w:t>
      </w:r>
    </w:p>
    <w:p>
      <w:pPr>
        <w:pStyle w:val="ListParagraph"/>
        <w:numPr>
          <w:ilvl w:val="0"/>
          <w:numId w:val="2"/>
        </w:numPr>
        <w:spacing w:after="70" w:line="264"/>
        <w:jc w:val="both"/>
      </w:pPr>
      <w:r>
        <w:rPr>
          <w:rFonts w:ascii="Calibri" w:cs="Calibri" w:eastAsia="Calibri" w:hAnsi="Calibri"/>
          <w:color w:val="1A1A1A"/>
          <w:sz w:val="20"/>
          <w:szCs w:val="20"/>
        </w:rPr>
        <w:t xml:space="preserve">L’arrêt est </w:t>
      </w:r>
      <w:r>
        <w:rPr>
          <w:rFonts w:ascii="Calibri" w:cs="Calibri" w:eastAsia="Calibri" w:hAnsi="Calibri"/>
          <w:color w:val="E91E63"/>
          <w:sz w:val="20"/>
          <w:szCs w:val="20"/>
        </w:rPr>
        <w:t xml:space="preserve">J.M.B. et autres c. France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E91E63"/>
          <w:sz w:val="20"/>
          <w:szCs w:val="20"/>
        </w:rPr>
        <w:t xml:space="preserve">Crim., 8 juill. 2020</w:t>
      </w:r>
      <w:r>
        <w:rPr>
          <w:rFonts w:ascii="Calibri" w:cs="Calibri" w:eastAsia="Calibri" w:hAnsi="Calibri"/>
          <w:color w:val="1A1A1A"/>
          <w:sz w:val="20"/>
          <w:szCs w:val="20"/>
        </w:rPr>
        <w:t xml:space="preserve"> est une décision du </w:t>
      </w:r>
      <w:r>
        <w:rPr>
          <w:rFonts w:ascii="Calibri" w:cs="Calibri" w:eastAsia="Calibri" w:hAnsi="Calibri"/>
          <w:b/>
          <w:bCs/>
          <w:color w:val="1A1A1A"/>
          <w:sz w:val="20"/>
          <w:szCs w:val="20"/>
        </w:rPr>
        <w:t xml:space="preserve">juge judiciaire</w:t>
      </w:r>
      <w:r>
        <w:rPr>
          <w:rFonts w:ascii="Calibri" w:cs="Calibri" w:eastAsia="Calibri" w:hAnsi="Calibri"/>
          <w:color w:val="1A1A1A"/>
          <w:sz w:val="20"/>
          <w:szCs w:val="20"/>
        </w:rPr>
        <w:t xml:space="preserve">, non une évolution du juge administratif.</w:t>
      </w:r>
    </w:p>
    <w:p>
      <w:pPr>
        <w:pStyle w:val="ListParagraph"/>
        <w:numPr>
          <w:ilvl w:val="0"/>
          <w:numId w:val="2"/>
        </w:numPr>
        <w:spacing w:after="70" w:line="264"/>
        <w:jc w:val="both"/>
      </w:pPr>
      <w:r>
        <w:rPr>
          <w:rFonts w:ascii="Calibri" w:cs="Calibri" w:eastAsia="Calibri" w:hAnsi="Calibri"/>
          <w:color w:val="1A1A1A"/>
          <w:sz w:val="20"/>
          <w:szCs w:val="20"/>
        </w:rPr>
        <w:t xml:space="preserve">L’art. 3 ne connaît </w:t>
      </w:r>
      <w:r>
        <w:rPr>
          <w:rFonts w:ascii="Calibri" w:cs="Calibri" w:eastAsia="Calibri" w:hAnsi="Calibri"/>
          <w:b/>
          <w:bCs/>
          <w:color w:val="1A1A1A"/>
          <w:sz w:val="20"/>
          <w:szCs w:val="20"/>
        </w:rPr>
        <w:t xml:space="preserve">aucune exception</w:t>
      </w:r>
      <w:r>
        <w:rPr>
          <w:rFonts w:ascii="Calibri" w:cs="Calibri" w:eastAsia="Calibri" w:hAnsi="Calibri"/>
          <w:color w:val="1A1A1A"/>
          <w:sz w:val="20"/>
          <w:szCs w:val="20"/>
        </w:rPr>
        <w:t xml:space="preserve"> : c’est un droit absolu (</w:t>
      </w:r>
      <w:r>
        <w:rPr>
          <w:rFonts w:ascii="Calibri" w:cs="Calibri" w:eastAsia="Calibri" w:hAnsi="Calibri"/>
          <w:color w:val="1E88E5"/>
          <w:sz w:val="20"/>
          <w:szCs w:val="20"/>
        </w:rPr>
        <w:t xml:space="preserve">art. 15 § 2</w:t>
      </w:r>
      <w:r>
        <w:rPr>
          <w:rFonts w:ascii="Calibri" w:cs="Calibri" w:eastAsia="Calibri" w:hAnsi="Calibri"/>
          <w:color w:val="1A1A1A"/>
          <w:sz w:val="20"/>
          <w:szCs w:val="20"/>
        </w:rPr>
        <w:t xml:space="preserv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Faire du fil procédural une seule partie (II) et construire un I sur les droits atteints.</w:t>
      </w:r>
    </w:p>
    <w:p>
      <w:pPr>
        <w:spacing w:after="90" w:line="264"/>
        <w:jc w:val="both"/>
      </w:pPr>
      <w:r>
        <w:rPr>
          <w:rFonts w:ascii="Calibri" w:cs="Calibri" w:eastAsia="Calibri" w:hAnsi="Calibri"/>
          <w:b/>
          <w:bCs/>
          <w:color w:val="1A1A1A"/>
          <w:sz w:val="20"/>
          <w:szCs w:val="20"/>
        </w:rPr>
        <w:t xml:space="preserve">Note indicative (plan et introduction tels que postés) : 9/20</w:t>
      </w:r>
    </w:p>
    <w:p>
      <w:pPr>
        <w:pStyle w:val="Heading3"/>
        <w:spacing w:after="80" w:before="200"/>
      </w:pPr>
      <w:r>
        <w:rPr>
          <w:rFonts w:ascii="Calibri" w:cs="Calibri" w:eastAsia="Calibri" w:hAnsi="Calibri"/>
          <w:b/>
          <w:bCs/>
          <w:i/>
          <w:iCs/>
          <w:color w:val="1A1A1A"/>
          <w:sz w:val="21"/>
          <w:szCs w:val="21"/>
        </w:rPr>
        <w:t xml:space="preserve">Quentin L — un angle de départ erroné</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par le droit à la sûreté (art. 5 CEDH)</w:t>
      </w:r>
    </w:p>
    <w:p>
      <w:pPr>
        <w:pBdr>
          <w:left w:val="single" w:color="8C1C2B" w:sz="12" w:space="10"/>
        </w:pBdr>
        <w:spacing w:after="90" w:line="264"/>
        <w:ind w:left="260"/>
        <w:jc w:val="both"/>
      </w:pPr>
      <w:r>
        <w:rPr>
          <w:rFonts w:ascii="Calibri" w:cs="Calibri" w:eastAsia="Calibri" w:hAnsi="Calibri"/>
          <w:color w:val="1A1A1A"/>
          <w:sz w:val="20"/>
          <w:szCs w:val="20"/>
        </w:rPr>
        <w:t xml:space="preserve">I. La surpopulation sous le prisme des traitements inhumains et du recours — A. Traitements inhumains ; B. Absence de recours effectif</w:t>
      </w:r>
    </w:p>
    <w:p>
      <w:pPr>
        <w:pBdr>
          <w:left w:val="single" w:color="8C1C2B" w:sz="12" w:space="10"/>
        </w:pBdr>
        <w:spacing w:after="90" w:line="264"/>
        <w:ind w:left="260"/>
        <w:jc w:val="both"/>
      </w:pPr>
      <w:r>
        <w:rPr>
          <w:rFonts w:ascii="Calibri" w:cs="Calibri" w:eastAsia="Calibri" w:hAnsi="Calibri"/>
          <w:color w:val="1A1A1A"/>
          <w:sz w:val="20"/>
          <w:szCs w:val="20"/>
        </w:rPr>
        <w:t xml:space="preserve">II. La surpopulation sous le prisme de la dignité et de la vie privée — A. Dignité ; B. Vie privée et domicile</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Les quatre droits principaux sont identifiés.</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L’art. 5 protège contre la détention arbitraire ; la surpopulation ne rend pas la détention irrégulière, elle en dégrade les conditions (art. 3).</w:t>
      </w:r>
    </w:p>
    <w:p>
      <w:pPr>
        <w:pStyle w:val="ListParagraph"/>
        <w:numPr>
          <w:ilvl w:val="0"/>
          <w:numId w:val="2"/>
        </w:numPr>
        <w:spacing w:after="70" w:line="264"/>
        <w:jc w:val="both"/>
      </w:pPr>
      <w:r>
        <w:rPr>
          <w:rFonts w:ascii="Calibri" w:cs="Calibri" w:eastAsia="Calibri" w:hAnsi="Calibri"/>
          <w:color w:val="1A1A1A"/>
          <w:sz w:val="20"/>
          <w:szCs w:val="20"/>
        </w:rPr>
        <w:t xml:space="preserve">Séparer « traitements inhumains » (I A) et « dignité » (II A) crée une redite.</w:t>
      </w:r>
    </w:p>
    <w:p>
      <w:pPr>
        <w:pStyle w:val="ListParagraph"/>
        <w:numPr>
          <w:ilvl w:val="0"/>
          <w:numId w:val="2"/>
        </w:numPr>
        <w:spacing w:after="70" w:line="264"/>
        <w:jc w:val="both"/>
      </w:pPr>
      <w:r>
        <w:rPr>
          <w:rFonts w:ascii="Calibri" w:cs="Calibri" w:eastAsia="Calibri" w:hAnsi="Calibri"/>
          <w:color w:val="1A1A1A"/>
          <w:sz w:val="20"/>
          <w:szCs w:val="20"/>
        </w:rPr>
        <w:t xml:space="preserve">La cellule n’est pas un domicile (</w:t>
      </w:r>
      <w:r>
        <w:rPr>
          <w:rFonts w:ascii="Calibri" w:cs="Calibri" w:eastAsia="Calibri" w:hAnsi="Calibri"/>
          <w:color w:val="E91E63"/>
          <w:sz w:val="20"/>
          <w:szCs w:val="20"/>
        </w:rPr>
        <w:t xml:space="preserve">Crim., 7 oct. 2026</w:t>
      </w:r>
      <w:r>
        <w:rPr>
          <w:rFonts w:ascii="Calibri" w:cs="Calibri" w:eastAsia="Calibri" w:hAnsi="Calibri"/>
          <w:color w:val="1A1A1A"/>
          <w:sz w:val="20"/>
          <w:szCs w:val="20"/>
        </w:rPr>
        <w:t xml:space="preserve">) : parler de vie privée, pas de domicile.</w:t>
      </w:r>
    </w:p>
    <w:p>
      <w:pPr>
        <w:pStyle w:val="ListParagraph"/>
        <w:numPr>
          <w:ilvl w:val="0"/>
          <w:numId w:val="2"/>
        </w:numPr>
        <w:spacing w:after="70" w:line="264"/>
        <w:jc w:val="both"/>
      </w:pPr>
      <w:r>
        <w:rPr>
          <w:rFonts w:ascii="Calibri" w:cs="Calibri" w:eastAsia="Calibri" w:hAnsi="Calibri"/>
          <w:color w:val="1A1A1A"/>
          <w:sz w:val="20"/>
          <w:szCs w:val="20"/>
        </w:rPr>
        <w:t xml:space="preserve">« L’absence de recours effectif » n’est plus d’actualité depuis 2021 : il faut parler de son insuffisance.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Réorganiser : I. Les droits atteints (dignité-art. 3 ; vie privée, santé) ; II. Les recours (création, limites).</w:t>
      </w:r>
    </w:p>
    <w:p>
      <w:pPr>
        <w:spacing w:after="90" w:line="264"/>
        <w:jc w:val="both"/>
      </w:pPr>
      <w:r>
        <w:rPr>
          <w:rFonts w:ascii="Calibri" w:cs="Calibri" w:eastAsia="Calibri" w:hAnsi="Calibri"/>
          <w:b/>
          <w:bCs/>
          <w:color w:val="1A1A1A"/>
          <w:sz w:val="20"/>
          <w:szCs w:val="20"/>
        </w:rPr>
        <w:t xml:space="preserve">Note indicative (plan et introduction tels que postés) : 9/20</w:t>
      </w:r>
    </w:p>
    <w:p>
      <w:r>
        <w:br w:type="page"/>
      </w:r>
    </w:p>
    <w:p>
      <w:pPr>
        <w:pStyle w:val="Heading2"/>
        <w:spacing w:after="110" w:before="260"/>
      </w:pPr>
      <w:r>
        <w:rPr>
          <w:rFonts w:ascii="Calibri" w:cs="Calibri" w:eastAsia="Calibri" w:hAnsi="Calibri"/>
          <w:b/>
          <w:bCs/>
          <w:color w:val="1A1A1A"/>
          <w:spacing w:val="16"/>
          <w:sz w:val="23"/>
          <w:szCs w:val="23"/>
        </w:rPr>
        <w:t xml:space="preserve">2. Les autres propositions, en bref</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gridCol w:w="100"/>
      </w:tblGrid>
      <w:tr>
        <w:trPr>
          <w:tblHeader/>
        </w:trPr>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Élève</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Plan (résumé)</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Observation</w:t>
            </w:r>
          </w:p>
        </w:tc>
        <w:tc>
          <w:tcPr>
            <w:tcW w:type="pct" w:w="25%"/>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Note</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Marie D</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Violation manifeste (A. vie privée ; B. traitement inhumain) ; II. Recours effectif (A. inefficacité du référé-liberté ; B. recours judiciaire)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Clair et juste ; commencer par l’art. 3 plutôt que par la vie privée ; ajouter les limites du recours de 2021.</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Débora D</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Atteintes (A. dignité ; B. conditions de détention) ; II. Garanties limitées (A. préventives : CGLPL, bâtonniers ; B. recours : JAP, référés)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Bonne vue des limites, notamment le transfert qui éloigne la famille ; le droit de visite des bâtonniers (</w:t>
            </w:r>
            <w:r>
              <w:rPr>
                <w:rFonts w:ascii="Calibri" w:cs="Calibri" w:eastAsia="Calibri" w:hAnsi="Calibri"/>
                <w:b w:val="false"/>
                <w:bCs w:val="false"/>
                <w:color w:val="1E88E5"/>
                <w:sz w:val="17"/>
                <w:szCs w:val="17"/>
              </w:rPr>
              <w:t xml:space="preserve">art. 719 CPP</w:t>
            </w:r>
            <w:r>
              <w:rPr>
                <w:rFonts w:ascii="Calibri" w:cs="Calibri" w:eastAsia="Calibri" w:hAnsi="Calibri"/>
                <w:b w:val="false"/>
                <w:bCs w:val="false"/>
                <w:color w:val="1A1A1A"/>
                <w:sz w:val="17"/>
                <w:szCs w:val="17"/>
              </w:rPr>
              <w:t xml:space="preserve">) est exact. I A et I B se recoupent.</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Solène J</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La condamnation de la France (A. art. 3 ; B. art. 13) ; II. Les conséquences (A. recours effectif ; B. limites)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Logique, mais une dissertation réduite au commentaire de </w:t>
            </w:r>
            <w:r>
              <w:rPr>
                <w:rFonts w:ascii="Calibri" w:cs="Calibri" w:eastAsia="Calibri" w:hAnsi="Calibri"/>
                <w:b w:val="false"/>
                <w:bCs w:val="false"/>
                <w:color w:val="E91E63"/>
                <w:sz w:val="17"/>
                <w:szCs w:val="17"/>
              </w:rPr>
              <w:t xml:space="preserve">J.M.B.</w:t>
            </w:r>
            <w:r>
              <w:rPr>
                <w:rFonts w:ascii="Calibri" w:cs="Calibri" w:eastAsia="Calibri" w:hAnsi="Calibri"/>
                <w:b w:val="false"/>
                <w:bCs w:val="false"/>
                <w:color w:val="1A1A1A"/>
                <w:sz w:val="17"/>
                <w:szCs w:val="17"/>
              </w:rPr>
              <w:t xml:space="preserve"> ; manquent les autres droits et le droit interne antérieur.</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Méline A</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Atteinte à la dignité (A. notion ; B. atteinte, J.M.B., Bobigny, 803-8) ; II. Conciliation difficile (A. autres atteintes : vie familiale, culte ; B. évolutions : alternatives, construction, « MARD »)</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Notion de dignité bien sourcée (DUDH, Charte, Morsang-sur-Orge, art. 16 C. civ.) ; idée originale sur le culte. Bobigny est un dépôt, non une prison ; l’analogie avec les MARD est hors sujet.</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Zoé G</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Atteinte « inévitable » (A. dignité ; B. traitements inhumains et santé) ; II. Moyens de protection (A. droit européen ; B. mécanismes internes)</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correct mais générique ; « inévitable » est trop fort et contredit la seconde partie.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w:t>
            </w:r>
          </w:p>
        </w:tc>
      </w:tr>
      <w:tr>
        <w:trPr>
          <w:tblHeader w:val="false"/>
        </w:trPr>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Léa R</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Droit de tous aux droits fondamentaux (A. sans distinction ; B. condamnations de la France) ; II. Obstacle (A. atteintes ; B. avis du CGLPL)</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trop général ; II B réduit les remèdes au seul CGLPL, sans pouvoir de contrainte.</w:t>
            </w:r>
          </w:p>
        </w:tc>
        <w:tc>
          <w:tcPr>
            <w:tcW w:type="pct" w:w="25%"/>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3. Synthèse des fautes récurrentes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Faute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Fréquence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Correction</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Réduire le sujet à la dignité et à l’art. 3</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Majoritaire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Ajouter vie, santé, vie privée et familiale, recours, réinsertion, présomption d’innocence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descriptif sans réponse au « à l’épreuve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Fréquente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Montrer que les droits tiennent en droit mais plient en fait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Oublier le JAP dans l’art. 803-8 CPP</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Plusieurs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JLD pour les prévenus, JAP pour les condamnés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Référé-liberté « art. L. 521-1 CJA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Crystal 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 L. 521-2</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Chiffres approximatifs ou faux</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Plusieurs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Plus de 90 000 détenus pour un peu plus de 63 000 places ; densité supérieure à 140 % ; plus de 160 % en maison d’arrêt</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Arrêts mal nommés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Plusieurs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J.M.B. (non « JMD ») ; Hristozov c. Bulgarie (hors sujet) ; Dougoz c. Grèce (2001)</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Cellule = domicile, donc pas d’art. 8</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Quentin L ; réponse de Jade K dans le chat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cellule n’est pas un domicile, mais l’art. 8 protège la vie privée du détenu</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Sous-parties « limites » sans source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Fréquente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CGLPL 2024, Comité des ministres 2024, CNCDH 2022, OIP, chiffres officiels</w:t>
            </w:r>
          </w:p>
        </w:tc>
      </w:tr>
    </w:tbl>
    <w:p>
      <w:pPr>
        <w:spacing w:after="120"/>
      </w:pP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IV — LES QUESTIONS DU CHAT</w:t>
      </w:r>
    </w:p>
    <w:p>
      <w:pPr>
        <w:pStyle w:val="Heading2"/>
        <w:spacing w:after="110" w:before="260"/>
      </w:pPr>
      <w:r>
        <w:rPr>
          <w:rFonts w:ascii="Calibri" w:cs="Calibri" w:eastAsia="Calibri" w:hAnsi="Calibri"/>
          <w:b/>
          <w:bCs/>
          <w:color w:val="1A1A1A"/>
          <w:spacing w:val="16"/>
          <w:sz w:val="23"/>
          <w:szCs w:val="23"/>
        </w:rPr>
        <w:t xml:space="preserve">1. Questions de fond</w:t>
      </w:r>
    </w:p>
    <w:p>
      <w:pPr>
        <w:spacing w:after="70" w:before="170"/>
      </w:pPr>
      <w:r>
        <w:rPr>
          <w:rFonts w:ascii="Calibri" w:cs="Calibri" w:eastAsia="Calibri" w:hAnsi="Calibri"/>
          <w:b/>
          <w:bCs/>
          <w:color w:val="1A1A1A"/>
          <w:sz w:val="20"/>
          <w:szCs w:val="20"/>
        </w:rPr>
        <w:t xml:space="preserve">« La vie privée d’un détenu est-elle invocable dans sa cellule ? » (Hynde R)</w:t>
      </w:r>
    </w:p>
    <w:p>
      <w:pPr>
        <w:spacing w:after="90" w:line="264"/>
        <w:jc w:val="both"/>
      </w:pPr>
      <w:r>
        <w:rPr>
          <w:rFonts w:ascii="Calibri" w:cs="Calibri" w:eastAsia="Calibri" w:hAnsi="Calibri"/>
          <w:b/>
          <w:bCs/>
          <w:color w:val="1A1A1A"/>
          <w:sz w:val="20"/>
          <w:szCs w:val="20"/>
        </w:rPr>
        <w:t xml:space="preserve">Oui.</w:t>
      </w:r>
      <w:r>
        <w:rPr>
          <w:rFonts w:ascii="Calibri" w:cs="Calibri" w:eastAsia="Calibri" w:hAnsi="Calibri"/>
          <w:color w:val="1A1A1A"/>
          <w:sz w:val="20"/>
          <w:szCs w:val="20"/>
        </w:rPr>
        <w:t xml:space="preserve"> La cellule n’est pas un domicile au sens de la procédure pénale (</w:t>
      </w:r>
      <w:r>
        <w:rPr>
          <w:rFonts w:ascii="Calibri" w:cs="Calibri" w:eastAsia="Calibri" w:hAnsi="Calibri"/>
          <w:color w:val="E91E63"/>
          <w:sz w:val="20"/>
          <w:szCs w:val="20"/>
        </w:rPr>
        <w:t xml:space="preserve">Crim., 18 oct. 1989</w:t>
      </w:r>
      <w:r>
        <w:rPr>
          <w:rFonts w:ascii="Calibri" w:cs="Calibri" w:eastAsia="Calibri" w:hAnsi="Calibri"/>
          <w:color w:val="1A1A1A"/>
          <w:sz w:val="20"/>
          <w:szCs w:val="20"/>
        </w:rPr>
        <w:t xml:space="preserve"> ; confirmé par </w:t>
      </w:r>
      <w:r>
        <w:rPr>
          <w:rFonts w:ascii="Calibri" w:cs="Calibri" w:eastAsia="Calibri" w:hAnsi="Calibri"/>
          <w:color w:val="E91E63"/>
          <w:sz w:val="20"/>
          <w:szCs w:val="20"/>
        </w:rPr>
        <w:t xml:space="preserve">Crim., 7 oct. 2026</w:t>
      </w:r>
      <w:r>
        <w:rPr>
          <w:rFonts w:ascii="Calibri" w:cs="Calibri" w:eastAsia="Calibri" w:hAnsi="Calibri"/>
          <w:color w:val="1A1A1A"/>
          <w:sz w:val="20"/>
          <w:szCs w:val="20"/>
        </w:rPr>
        <w:t xml:space="preserve">, faute de consentement du détenu à y vivre) : les fouilles de cellule obéissent au régime administratif du Code pénitentiaire, non à celui des perquisitions. Mais le détenu conserve son droit au respect de la vie privée et familiale (</w:t>
      </w:r>
      <w:r>
        <w:rPr>
          <w:rFonts w:ascii="Calibri" w:cs="Calibri" w:eastAsia="Calibri" w:hAnsi="Calibri"/>
          <w:color w:val="1E88E5"/>
          <w:sz w:val="20"/>
          <w:szCs w:val="20"/>
        </w:rPr>
        <w:t xml:space="preserve">art. 8 CEDH</w:t>
      </w:r>
      <w:r>
        <w:rPr>
          <w:rFonts w:ascii="Calibri" w:cs="Calibri" w:eastAsia="Calibri" w:hAnsi="Calibri"/>
          <w:color w:val="1A1A1A"/>
          <w:sz w:val="20"/>
          <w:szCs w:val="20"/>
        </w:rPr>
        <w:t xml:space="preserve">) : correspondance, visites et parloirs, unités de vie familiale, intimité (toilettes sans cloison), fouilles corporelles nécessaires et proportionnées.</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Correction de la réponse publiée dans le chat.</w:t>
      </w:r>
      <w:r>
        <w:rPr>
          <w:rFonts w:ascii="Calibri" w:cs="Calibri" w:eastAsia="Calibri" w:hAnsi="Calibri"/>
          <w:color w:val="1A1A1A"/>
          <w:sz w:val="19"/>
          <w:szCs w:val="19"/>
        </w:rPr>
        <w:t xml:space="preserve"> Il est inexact d’écrire que le détenu « ne bénéficie pas de la protection prévue à l’art. 8 CEDH ». Ce qui lui échappe, c’est la protection </w:t>
      </w:r>
      <w:r>
        <w:rPr>
          <w:rFonts w:ascii="Calibri" w:cs="Calibri" w:eastAsia="Calibri" w:hAnsi="Calibri"/>
          <w:i/>
          <w:iCs/>
          <w:color w:val="1A1A1A"/>
          <w:sz w:val="19"/>
          <w:szCs w:val="19"/>
        </w:rPr>
        <w:t xml:space="preserve">du domicile</w:t>
      </w:r>
      <w:r>
        <w:rPr>
          <w:rFonts w:ascii="Calibri" w:cs="Calibri" w:eastAsia="Calibri" w:hAnsi="Calibri"/>
          <w:color w:val="1A1A1A"/>
          <w:sz w:val="19"/>
          <w:szCs w:val="19"/>
        </w:rPr>
        <w:t xml:space="preserve"> propre aux perquisitions (art. 56 et s. CPP), pas la vie privée. La Cour européenne contrôle les fouilles au regard des art. 3 et 8 (</w:t>
      </w:r>
      <w:r>
        <w:rPr>
          <w:rFonts w:ascii="Calibri" w:cs="Calibri" w:eastAsia="Calibri" w:hAnsi="Calibri"/>
          <w:color w:val="E91E63"/>
          <w:sz w:val="19"/>
          <w:szCs w:val="19"/>
        </w:rPr>
        <w:t xml:space="preserve">CEDH, 12 juin 2007, Frérot c. France</w:t>
      </w:r>
      <w:r>
        <w:rPr>
          <w:rFonts w:ascii="Calibri" w:cs="Calibri" w:eastAsia="Calibri" w:hAnsi="Calibri"/>
          <w:color w:val="1A1A1A"/>
          <w:sz w:val="19"/>
          <w:szCs w:val="19"/>
        </w:rPr>
        <w:t xml:space="preserve">).</w:t>
      </w:r>
    </w:p>
    <w:p>
      <w:pPr>
        <w:spacing w:after="70" w:before="170"/>
      </w:pPr>
      <w:r>
        <w:rPr>
          <w:rFonts w:ascii="Calibri" w:cs="Calibri" w:eastAsia="Calibri" w:hAnsi="Calibri"/>
          <w:b/>
          <w:bCs/>
          <w:color w:val="1A1A1A"/>
          <w:sz w:val="20"/>
          <w:szCs w:val="20"/>
        </w:rPr>
        <w:t xml:space="preserve">« Et le suicide : art. 2, droit à la vie ? » (Constance S)</w:t>
      </w:r>
    </w:p>
    <w:p>
      <w:pPr>
        <w:spacing w:after="90" w:line="264"/>
        <w:jc w:val="both"/>
      </w:pPr>
      <w:r>
        <w:rPr>
          <w:rFonts w:ascii="Calibri" w:cs="Calibri" w:eastAsia="Calibri" w:hAnsi="Calibri"/>
          <w:b/>
          <w:bCs/>
          <w:color w:val="1A1A1A"/>
          <w:sz w:val="20"/>
          <w:szCs w:val="20"/>
        </w:rPr>
        <w:t xml:space="preserve">Oui.</w:t>
      </w:r>
      <w:r>
        <w:rPr>
          <w:rFonts w:ascii="Calibri" w:cs="Calibri" w:eastAsia="Calibri" w:hAnsi="Calibri"/>
          <w:color w:val="1A1A1A"/>
          <w:sz w:val="20"/>
          <w:szCs w:val="20"/>
        </w:rPr>
        <w:t xml:space="preserve"> L’art. 2 impose à l’État une obligation positive de protéger la vie des détenus lorsqu’il connaît ou devrait connaître un risque réel et immédiat de suicide (</w:t>
      </w:r>
      <w:r>
        <w:rPr>
          <w:rFonts w:ascii="Calibri" w:cs="Calibri" w:eastAsia="Calibri" w:hAnsi="Calibri"/>
          <w:color w:val="E91E63"/>
          <w:sz w:val="20"/>
          <w:szCs w:val="20"/>
        </w:rPr>
        <w:t xml:space="preserve">CEDH, 3 avr. 2001, Keenan c. Royaume-Uni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16 oct. 2008, Renolde c. France</w:t>
      </w:r>
      <w:r>
        <w:rPr>
          <w:rFonts w:ascii="Calibri" w:cs="Calibri" w:eastAsia="Calibri" w:hAnsi="Calibri"/>
          <w:color w:val="1A1A1A"/>
          <w:sz w:val="20"/>
          <w:szCs w:val="20"/>
        </w:rPr>
        <w:t xml:space="preserve">). La surpopulation aggrave ce risque (promiscuité, défaut de suivi, isolement des plus fragiles) : c’est un argument fort pour élargir le sujet au-delà de l’art. 3.</w:t>
      </w:r>
    </w:p>
    <w:p>
      <w:pPr>
        <w:spacing w:after="70" w:before="170"/>
      </w:pPr>
      <w:r>
        <w:rPr>
          <w:rFonts w:ascii="Calibri" w:cs="Calibri" w:eastAsia="Calibri" w:hAnsi="Calibri"/>
          <w:b/>
          <w:bCs/>
          <w:color w:val="1A1A1A"/>
          <w:sz w:val="20"/>
          <w:szCs w:val="20"/>
        </w:rPr>
        <w:t xml:space="preserve">« Peut-on refaire la liste des obligations positives de l’État ? » (Andrea G)</w:t>
      </w:r>
    </w:p>
    <w:p>
      <w:pPr>
        <w:pStyle w:val="ListParagraph"/>
        <w:numPr>
          <w:ilvl w:val="0"/>
          <w:numId w:val="2"/>
        </w:numPr>
        <w:spacing w:after="70" w:line="264"/>
        <w:jc w:val="both"/>
      </w:pPr>
      <w:r>
        <w:rPr>
          <w:rFonts w:ascii="Calibri" w:cs="Calibri" w:eastAsia="Calibri" w:hAnsi="Calibri"/>
          <w:color w:val="1A1A1A"/>
          <w:sz w:val="20"/>
          <w:szCs w:val="20"/>
        </w:rPr>
        <w:t xml:space="preserve">Assurer des conditions de détention compatibles avec la dignité (espace, hygiène, lumière, aération, accès à l’air libre) : art. 3.</w:t>
      </w:r>
    </w:p>
    <w:p>
      <w:pPr>
        <w:pStyle w:val="ListParagraph"/>
        <w:numPr>
          <w:ilvl w:val="0"/>
          <w:numId w:val="2"/>
        </w:numPr>
        <w:spacing w:after="70" w:line="264"/>
        <w:jc w:val="both"/>
      </w:pPr>
      <w:r>
        <w:rPr>
          <w:rFonts w:ascii="Calibri" w:cs="Calibri" w:eastAsia="Calibri" w:hAnsi="Calibri"/>
          <w:color w:val="1A1A1A"/>
          <w:sz w:val="20"/>
          <w:szCs w:val="20"/>
        </w:rPr>
        <w:t xml:space="preserve">Protéger la vie et l’intégrité des détenus, y compris contre eux-mêmes et contre les codétenus : art. 2 et 3.</w:t>
      </w:r>
    </w:p>
    <w:p>
      <w:pPr>
        <w:pStyle w:val="ListParagraph"/>
        <w:numPr>
          <w:ilvl w:val="0"/>
          <w:numId w:val="2"/>
        </w:numPr>
        <w:spacing w:after="70" w:line="264"/>
        <w:jc w:val="both"/>
      </w:pPr>
      <w:r>
        <w:rPr>
          <w:rFonts w:ascii="Calibri" w:cs="Calibri" w:eastAsia="Calibri" w:hAnsi="Calibri"/>
          <w:color w:val="1A1A1A"/>
          <w:sz w:val="20"/>
          <w:szCs w:val="20"/>
        </w:rPr>
        <w:t xml:space="preserve">Assurer des soins adaptés à l’état de santé : art. 3, al. 11 du Préambule de 1946.</w:t>
      </w:r>
    </w:p>
    <w:p>
      <w:pPr>
        <w:pStyle w:val="ListParagraph"/>
        <w:numPr>
          <w:ilvl w:val="0"/>
          <w:numId w:val="2"/>
        </w:numPr>
        <w:spacing w:after="70" w:line="264"/>
        <w:jc w:val="both"/>
      </w:pPr>
      <w:r>
        <w:rPr>
          <w:rFonts w:ascii="Calibri" w:cs="Calibri" w:eastAsia="Calibri" w:hAnsi="Calibri"/>
          <w:color w:val="1A1A1A"/>
          <w:sz w:val="20"/>
          <w:szCs w:val="20"/>
        </w:rPr>
        <w:t xml:space="preserve">Maintenir les liens familiaux dans la mesure du possible : art. 8.</w:t>
      </w:r>
    </w:p>
    <w:p>
      <w:pPr>
        <w:pStyle w:val="ListParagraph"/>
        <w:numPr>
          <w:ilvl w:val="0"/>
          <w:numId w:val="2"/>
        </w:numPr>
        <w:spacing w:after="70" w:line="264"/>
        <w:jc w:val="both"/>
      </w:pPr>
      <w:r>
        <w:rPr>
          <w:rFonts w:ascii="Calibri" w:cs="Calibri" w:eastAsia="Calibri" w:hAnsi="Calibri"/>
          <w:color w:val="1A1A1A"/>
          <w:sz w:val="20"/>
          <w:szCs w:val="20"/>
        </w:rPr>
        <w:t xml:space="preserve">Offrir un recours préventif et compensatoire effectif : art. 13.</w:t>
      </w:r>
    </w:p>
    <w:p>
      <w:pPr>
        <w:pStyle w:val="ListParagraph"/>
        <w:numPr>
          <w:ilvl w:val="0"/>
          <w:numId w:val="2"/>
        </w:numPr>
        <w:spacing w:after="70" w:line="264"/>
        <w:jc w:val="both"/>
      </w:pPr>
      <w:r>
        <w:rPr>
          <w:rFonts w:ascii="Calibri" w:cs="Calibri" w:eastAsia="Calibri" w:hAnsi="Calibri"/>
          <w:color w:val="1A1A1A"/>
          <w:sz w:val="20"/>
          <w:szCs w:val="20"/>
        </w:rPr>
        <w:t xml:space="preserve">Enquêter de manière effective sur les allégations de mauvais traitements : volet procédural des art. 2 et 3.</w:t>
      </w:r>
    </w:p>
    <w:p>
      <w:pPr>
        <w:pStyle w:val="ListParagraph"/>
        <w:numPr>
          <w:ilvl w:val="0"/>
          <w:numId w:val="2"/>
        </w:numPr>
        <w:spacing w:after="70" w:line="264"/>
        <w:jc w:val="both"/>
      </w:pPr>
      <w:r>
        <w:rPr>
          <w:rFonts w:ascii="Calibri" w:cs="Calibri" w:eastAsia="Calibri" w:hAnsi="Calibri"/>
          <w:color w:val="1A1A1A"/>
          <w:sz w:val="20"/>
          <w:szCs w:val="20"/>
        </w:rPr>
        <w:t xml:space="preserve">Exécuter les arrêts de la Cour et résorber les problèmes structurels : art. 46 (arrêts pilotes, supervision de </w:t>
      </w:r>
      <w:r>
        <w:rPr>
          <w:rFonts w:ascii="Calibri" w:cs="Calibri" w:eastAsia="Calibri" w:hAnsi="Calibri"/>
          <w:color w:val="E91E63"/>
          <w:sz w:val="20"/>
          <w:szCs w:val="20"/>
        </w:rPr>
        <w:t xml:space="preserve">J.M.B.</w:t>
      </w:r>
      <w:r>
        <w:rPr>
          <w:rFonts w:ascii="Calibri" w:cs="Calibri" w:eastAsia="Calibri" w:hAnsi="Calibri"/>
          <w:color w:val="1A1A1A"/>
          <w:sz w:val="20"/>
          <w:szCs w:val="20"/>
        </w:rPr>
        <w:t xml:space="preserve">).</w:t>
      </w:r>
    </w:p>
    <w:p>
      <w:pPr>
        <w:spacing w:after="70" w:before="170"/>
      </w:pPr>
      <w:r>
        <w:rPr>
          <w:rFonts w:ascii="Calibri" w:cs="Calibri" w:eastAsia="Calibri" w:hAnsi="Calibri"/>
          <w:b/>
          <w:bCs/>
          <w:color w:val="1A1A1A"/>
          <w:sz w:val="20"/>
          <w:szCs w:val="20"/>
        </w:rPr>
        <w:t xml:space="preserve">« Si le recours n’aboutit pas, comment cela se passe-t-il ? » et « Le recours se fait-il auprès du chef d’établissement ? » (Constance S)</w:t>
      </w:r>
    </w:p>
    <w:p>
      <w:pPr>
        <w:spacing w:after="90" w:line="264"/>
        <w:jc w:val="both"/>
      </w:pPr>
      <w:r>
        <w:rPr>
          <w:rFonts w:ascii="Calibri" w:cs="Calibri" w:eastAsia="Calibri" w:hAnsi="Calibri"/>
          <w:color w:val="1A1A1A"/>
          <w:sz w:val="20"/>
          <w:szCs w:val="20"/>
        </w:rPr>
        <w:t xml:space="preserve">Le recours de l’</w:t>
      </w:r>
      <w:r>
        <w:rPr>
          <w:rFonts w:ascii="Calibri" w:cs="Calibri" w:eastAsia="Calibri" w:hAnsi="Calibri"/>
          <w:color w:val="1E88E5"/>
          <w:sz w:val="20"/>
          <w:szCs w:val="20"/>
        </w:rPr>
        <w:t xml:space="preserve">art. 803-8 CPP</w:t>
      </w:r>
      <w:r>
        <w:rPr>
          <w:rFonts w:ascii="Calibri" w:cs="Calibri" w:eastAsia="Calibri" w:hAnsi="Calibri"/>
          <w:color w:val="1A1A1A"/>
          <w:sz w:val="20"/>
          <w:szCs w:val="20"/>
        </w:rPr>
        <w:t xml:space="preserve"> se forme par requête du détenu ou de son avocat devant le </w:t>
      </w:r>
      <w:r>
        <w:rPr>
          <w:rFonts w:ascii="Calibri" w:cs="Calibri" w:eastAsia="Calibri" w:hAnsi="Calibri"/>
          <w:b/>
          <w:bCs/>
          <w:color w:val="1A1A1A"/>
          <w:sz w:val="20"/>
          <w:szCs w:val="20"/>
        </w:rPr>
        <w:t xml:space="preserve">JLD</w:t>
      </w:r>
      <w:r>
        <w:rPr>
          <w:rFonts w:ascii="Calibri" w:cs="Calibri" w:eastAsia="Calibri" w:hAnsi="Calibri"/>
          <w:color w:val="1A1A1A"/>
          <w:sz w:val="20"/>
          <w:szCs w:val="20"/>
        </w:rPr>
        <w:t xml:space="preserve"> (prévenu) ou le </w:t>
      </w:r>
      <w:r>
        <w:rPr>
          <w:rFonts w:ascii="Calibri" w:cs="Calibri" w:eastAsia="Calibri" w:hAnsi="Calibri"/>
          <w:b/>
          <w:bCs/>
          <w:color w:val="1A1A1A"/>
          <w:sz w:val="20"/>
          <w:szCs w:val="20"/>
        </w:rPr>
        <w:t xml:space="preserve">JAP</w:t>
      </w:r>
      <w:r>
        <w:rPr>
          <w:rFonts w:ascii="Calibri" w:cs="Calibri" w:eastAsia="Calibri" w:hAnsi="Calibri"/>
          <w:color w:val="1A1A1A"/>
          <w:sz w:val="20"/>
          <w:szCs w:val="20"/>
        </w:rPr>
        <w:t xml:space="preserve"> (condamné), non devant le chef d’établissement. Étapes : décision sur la recevabilité dans les dix jours ; vérifications ; si la requête est fondée, le juge fixe à l’administration un délai de dix jours à un mois pour mettre fin aux conditions indignes ; à défaut, il ordonne le transfert, la mise en liberté (prévenu, le cas échéant sous contrôle judiciaire ou assignation à résidence) ou un aménagement de peine (condamné). Les décisions sont susceptibles d’appel. Restent ouverts, en parallèle, le référé-liberté devant le juge administratif, l’action indemnitaire (après demande préalable à l’administration), puis la requête devant la CEDH.</w:t>
      </w:r>
    </w:p>
    <w:p>
      <w:pPr>
        <w:spacing w:after="70" w:before="170"/>
      </w:pPr>
      <w:r>
        <w:rPr>
          <w:rFonts w:ascii="Calibri" w:cs="Calibri" w:eastAsia="Calibri" w:hAnsi="Calibri"/>
          <w:b/>
          <w:bCs/>
          <w:color w:val="1A1A1A"/>
          <w:sz w:val="20"/>
          <w:szCs w:val="20"/>
        </w:rPr>
        <w:t xml:space="preserve">« Est-il intéressant de faire du droit comparé (l’Allemagne a plus de places que de détenus) ? » (Annika E)</w:t>
      </w:r>
    </w:p>
    <w:p>
      <w:pPr>
        <w:spacing w:after="90" w:line="264"/>
        <w:jc w:val="both"/>
      </w:pPr>
      <w:r>
        <w:rPr>
          <w:rFonts w:ascii="Calibri" w:cs="Calibri" w:eastAsia="Calibri" w:hAnsi="Calibri"/>
          <w:b/>
          <w:bCs/>
          <w:color w:val="1A1A1A"/>
          <w:sz w:val="20"/>
          <w:szCs w:val="20"/>
        </w:rPr>
        <w:t xml:space="preserve">Oui, en illustration.</w:t>
      </w:r>
      <w:r>
        <w:rPr>
          <w:rFonts w:ascii="Calibri" w:cs="Calibri" w:eastAsia="Calibri" w:hAnsi="Calibri"/>
          <w:color w:val="1A1A1A"/>
          <w:sz w:val="20"/>
          <w:szCs w:val="20"/>
        </w:rPr>
        <w:t xml:space="preserve"> Une ou deux comparaisons montrent que la surpopulation n’est pas une fatalité : l’</w:t>
      </w:r>
      <w:r>
        <w:rPr>
          <w:rFonts w:ascii="Calibri" w:cs="Calibri" w:eastAsia="Calibri" w:hAnsi="Calibri"/>
          <w:b/>
          <w:bCs/>
          <w:color w:val="1A1A1A"/>
          <w:sz w:val="20"/>
          <w:szCs w:val="20"/>
        </w:rPr>
        <w:t xml:space="preserve">Italie</w:t>
      </w:r>
      <w:r>
        <w:rPr>
          <w:rFonts w:ascii="Calibri" w:cs="Calibri" w:eastAsia="Calibri" w:hAnsi="Calibri"/>
          <w:color w:val="1A1A1A"/>
          <w:sz w:val="20"/>
          <w:szCs w:val="20"/>
        </w:rPr>
        <w:t xml:space="preserve">, après l’arrêt pilote </w:t>
      </w:r>
      <w:r>
        <w:rPr>
          <w:rFonts w:ascii="Calibri" w:cs="Calibri" w:eastAsia="Calibri" w:hAnsi="Calibri"/>
          <w:color w:val="E91E63"/>
          <w:sz w:val="20"/>
          <w:szCs w:val="20"/>
        </w:rPr>
        <w:t xml:space="preserve">Torreggiani</w:t>
      </w:r>
      <w:r>
        <w:rPr>
          <w:rFonts w:ascii="Calibri" w:cs="Calibri" w:eastAsia="Calibri" w:hAnsi="Calibri"/>
          <w:color w:val="1A1A1A"/>
          <w:sz w:val="20"/>
          <w:szCs w:val="20"/>
        </w:rPr>
        <w:t xml:space="preserve"> (2013), a créé un recours préventif et un mécanisme compensatoire (réduction de peine ou indemnité pour chaque période de détention indigne) ; plusieurs États d’Europe du Nord ne connaissent pas de surpopulation, et certains ferment des établissements. Le chiffre de 10 000 places excédentaires en Allemagne est à vérifier avant d’être cité (les statistiques SPACE I du Conseil de l’Europe sont la source de référence). En 2024, selon Eurostat, la France était au 3e rang de l’Union européenne pour le taux d’occupation (129 %), derrière Chypre et la Slovénie.</w:t>
      </w:r>
    </w:p>
    <w:p>
      <w:pPr>
        <w:spacing w:after="70" w:before="170"/>
      </w:pPr>
      <w:r>
        <w:rPr>
          <w:rFonts w:ascii="Calibri" w:cs="Calibri" w:eastAsia="Calibri" w:hAnsi="Calibri"/>
          <w:b/>
          <w:bCs/>
          <w:color w:val="1A1A1A"/>
          <w:sz w:val="20"/>
          <w:szCs w:val="20"/>
        </w:rPr>
        <w:t xml:space="preserve">« Avec un master en droit de la santé, puis-je aborder le sujet sous l’angle médical ? » (Apolline R)</w:t>
      </w:r>
    </w:p>
    <w:p>
      <w:pPr>
        <w:spacing w:after="90" w:line="264"/>
        <w:jc w:val="both"/>
      </w:pPr>
      <w:r>
        <w:rPr>
          <w:rFonts w:ascii="Calibri" w:cs="Calibri" w:eastAsia="Calibri" w:hAnsi="Calibri"/>
          <w:b/>
          <w:bCs/>
          <w:color w:val="1A1A1A"/>
          <w:sz w:val="20"/>
          <w:szCs w:val="20"/>
        </w:rPr>
        <w:t xml:space="preserve">Oui, comme un axe parmi d’autres.</w:t>
      </w:r>
      <w:r>
        <w:rPr>
          <w:rFonts w:ascii="Calibri" w:cs="Calibri" w:eastAsia="Calibri" w:hAnsi="Calibri"/>
          <w:color w:val="1A1A1A"/>
          <w:sz w:val="20"/>
          <w:szCs w:val="20"/>
        </w:rPr>
        <w:t xml:space="preserve"> Le droit à la protection de la santé (al. 11 du Préambule de 1946), la compatibilité de l’état de santé avec la détention (</w:t>
      </w:r>
      <w:r>
        <w:rPr>
          <w:rFonts w:ascii="Calibri" w:cs="Calibri" w:eastAsia="Calibri" w:hAnsi="Calibri"/>
          <w:color w:val="E91E63"/>
          <w:sz w:val="20"/>
          <w:szCs w:val="20"/>
        </w:rPr>
        <w:t xml:space="preserve">Mouisel</w:t>
      </w:r>
      <w:r>
        <w:rPr>
          <w:rFonts w:ascii="Calibri" w:cs="Calibri" w:eastAsia="Calibri" w:hAnsi="Calibri"/>
          <w:color w:val="1A1A1A"/>
          <w:sz w:val="20"/>
          <w:szCs w:val="20"/>
        </w:rPr>
        <w:t xml:space="preserve">, 2002) et la suspension de peine pour raison médicale (</w:t>
      </w:r>
      <w:r>
        <w:rPr>
          <w:rFonts w:ascii="Calibri" w:cs="Calibri" w:eastAsia="Calibri" w:hAnsi="Calibri"/>
          <w:color w:val="1E88E5"/>
          <w:sz w:val="20"/>
          <w:szCs w:val="20"/>
        </w:rPr>
        <w:t xml:space="preserve">art. 720-1-1 CPP</w:t>
      </w:r>
      <w:r>
        <w:rPr>
          <w:rFonts w:ascii="Calibri" w:cs="Calibri" w:eastAsia="Calibri" w:hAnsi="Calibri"/>
          <w:color w:val="1A1A1A"/>
          <w:sz w:val="20"/>
          <w:szCs w:val="20"/>
        </w:rPr>
        <w:t xml:space="preserve">) enrichissent le sujet. Le risque serait d’en faire le seul angle : le jury attend la dignité, l’art. 3 et les recours.</w:t>
      </w:r>
    </w:p>
    <w:p>
      <w:pPr>
        <w:spacing w:after="70" w:before="170"/>
      </w:pPr>
      <w:r>
        <w:rPr>
          <w:rFonts w:ascii="Calibri" w:cs="Calibri" w:eastAsia="Calibri" w:hAnsi="Calibri"/>
          <w:b/>
          <w:bCs/>
          <w:color w:val="1A1A1A"/>
          <w:sz w:val="20"/>
          <w:szCs w:val="20"/>
        </w:rPr>
        <w:t xml:space="preserve">« Peut-on faire référence à l’actualité, par exemple le dépôt de Bobigny ? » (Lodie L)</w:t>
      </w:r>
    </w:p>
    <w:p>
      <w:pPr>
        <w:spacing w:after="90" w:line="264"/>
        <w:jc w:val="both"/>
      </w:pPr>
      <w:r>
        <w:rPr>
          <w:rFonts w:ascii="Calibri" w:cs="Calibri" w:eastAsia="Calibri" w:hAnsi="Calibri"/>
          <w:b/>
          <w:bCs/>
          <w:color w:val="1A1A1A"/>
          <w:sz w:val="20"/>
          <w:szCs w:val="20"/>
        </w:rPr>
        <w:t xml:space="preserve">Oui, en la qualifiant.</w:t>
      </w:r>
      <w:r>
        <w:rPr>
          <w:rFonts w:ascii="Calibri" w:cs="Calibri" w:eastAsia="Calibri" w:hAnsi="Calibri"/>
          <w:color w:val="1A1A1A"/>
          <w:sz w:val="20"/>
          <w:szCs w:val="20"/>
        </w:rPr>
        <w:t xml:space="preserve"> Le dépôt d’un tribunal n’est pas une prison : il s’agit de rétention avant présentation à un magistrat. Mais la nuit du 20 au 21 octobre 2026, où dix-sept mineurs ont été retenus sans matelas, illustre la même exigence de dignité dans tous les lieux de privation de liberté. Bonne accroche ou bonne ouverture.</w:t>
      </w:r>
    </w:p>
    <w:p>
      <w:pPr>
        <w:pStyle w:val="Heading2"/>
        <w:spacing w:after="110" w:before="260"/>
      </w:pPr>
      <w:r>
        <w:rPr>
          <w:rFonts w:ascii="Calibri" w:cs="Calibri" w:eastAsia="Calibri" w:hAnsi="Calibri"/>
          <w:b/>
          <w:bCs/>
          <w:color w:val="1A1A1A"/>
          <w:spacing w:val="16"/>
          <w:sz w:val="23"/>
          <w:szCs w:val="23"/>
        </w:rPr>
        <w:t xml:space="preserve">2. Questions de méthode</w:t>
      </w:r>
    </w:p>
    <w:p>
      <w:pPr>
        <w:spacing w:after="70" w:before="170"/>
      </w:pPr>
      <w:r>
        <w:rPr>
          <w:rFonts w:ascii="Calibri" w:cs="Calibri" w:eastAsia="Calibri" w:hAnsi="Calibri"/>
          <w:b/>
          <w:bCs/>
          <w:color w:val="1A1A1A"/>
          <w:sz w:val="20"/>
          <w:szCs w:val="20"/>
        </w:rPr>
        <w:t xml:space="preserve">« Faut-il une conclusion ? » (Philippe L, Constance S)</w:t>
      </w:r>
    </w:p>
    <w:p>
      <w:pPr>
        <w:spacing w:after="90" w:line="264"/>
        <w:jc w:val="both"/>
      </w:pPr>
      <w:r>
        <w:rPr>
          <w:rFonts w:ascii="Calibri" w:cs="Calibri" w:eastAsia="Calibri" w:hAnsi="Calibri"/>
          <w:color w:val="1A1A1A"/>
          <w:sz w:val="20"/>
          <w:szCs w:val="20"/>
        </w:rPr>
        <w:t xml:space="preserve">Voir l’encadré de la partie II : deux ou trois phrases de synthèse et une ouverture sont généralement appréciées ; c’est la longueur, non le principe, qui pose problème.</w:t>
      </w:r>
    </w:p>
    <w:p>
      <w:pPr>
        <w:spacing w:after="70" w:before="170"/>
      </w:pPr>
      <w:r>
        <w:rPr>
          <w:rFonts w:ascii="Calibri" w:cs="Calibri" w:eastAsia="Calibri" w:hAnsi="Calibri"/>
          <w:b/>
          <w:bCs/>
          <w:color w:val="1A1A1A"/>
          <w:sz w:val="20"/>
          <w:szCs w:val="20"/>
        </w:rPr>
        <w:t xml:space="preserve">« Les sous-parties I B et II B de l’exposé semblaient générales, sans textes : est-ce sanctionné ? » (Hynde R)</w:t>
      </w:r>
    </w:p>
    <w:p>
      <w:pPr>
        <w:spacing w:after="90" w:line="264"/>
        <w:jc w:val="both"/>
      </w:pPr>
      <w:r>
        <w:rPr>
          <w:rFonts w:ascii="Calibri" w:cs="Calibri" w:eastAsia="Calibri" w:hAnsi="Calibri"/>
          <w:color w:val="1A1A1A"/>
          <w:sz w:val="20"/>
          <w:szCs w:val="20"/>
        </w:rPr>
        <w:t xml:space="preserve">C’est un risque réel. Une sous-partie consacrée aux « limites » doit s’appuyer sur des sources identifiables : rapport du CGLPL (2024), décision du Comité des ministres (2024), avis de la CNCDH (2022), chiffres officiels, déclarations ministérielles datées. Sans elles, le jury entend une opinion.</w:t>
      </w:r>
    </w:p>
    <w:p>
      <w:pPr>
        <w:spacing w:after="70" w:before="170"/>
      </w:pPr>
      <w:r>
        <w:rPr>
          <w:rFonts w:ascii="Calibri" w:cs="Calibri" w:eastAsia="Calibri" w:hAnsi="Calibri"/>
          <w:b/>
          <w:bCs/>
          <w:color w:val="1A1A1A"/>
          <w:sz w:val="20"/>
          <w:szCs w:val="20"/>
        </w:rPr>
        <w:t xml:space="preserve">« Où citer les textes : en introduction ou dans le développement ? » et « Faut-il connaître par cœur des articles hors de notre spécialité ? » (Myriam M)</w:t>
      </w:r>
    </w:p>
    <w:p>
      <w:pPr>
        <w:spacing w:after="90" w:line="264"/>
        <w:jc w:val="both"/>
      </w:pPr>
      <w:r>
        <w:rPr>
          <w:rFonts w:ascii="Calibri" w:cs="Calibri" w:eastAsia="Calibri" w:hAnsi="Calibri"/>
          <w:color w:val="1A1A1A"/>
          <w:sz w:val="20"/>
          <w:szCs w:val="20"/>
        </w:rPr>
        <w:t xml:space="preserve">L’introduction pose le cadre en deux ou trois sources majeures (ici : art. 3 CEDH, dignité constitutionnelle, J.M.B.). Le développement ancre </w:t>
      </w:r>
      <w:r>
        <w:rPr>
          <w:rFonts w:ascii="Calibri" w:cs="Calibri" w:eastAsia="Calibri" w:hAnsi="Calibri"/>
          <w:b/>
          <w:bCs/>
          <w:color w:val="1A1A1A"/>
          <w:sz w:val="20"/>
          <w:szCs w:val="20"/>
        </w:rPr>
        <w:t xml:space="preserve">chaque argument</w:t>
      </w:r>
      <w:r>
        <w:rPr>
          <w:rFonts w:ascii="Calibri" w:cs="Calibri" w:eastAsia="Calibri" w:hAnsi="Calibri"/>
          <w:color w:val="1A1A1A"/>
          <w:sz w:val="20"/>
          <w:szCs w:val="20"/>
        </w:rPr>
        <w:t xml:space="preserve"> dans une source précise. Inutile de connaître des codes entiers : pour ce sujet, il suffit de </w:t>
      </w:r>
      <w:r>
        <w:rPr>
          <w:rFonts w:ascii="Calibri" w:cs="Calibri" w:eastAsia="Calibri" w:hAnsi="Calibri"/>
          <w:color w:val="1E88E5"/>
          <w:sz w:val="20"/>
          <w:szCs w:val="20"/>
        </w:rPr>
        <w:t xml:space="preserve">l’art. 803-8 CPP</w:t>
      </w:r>
      <w:r>
        <w:rPr>
          <w:rFonts w:ascii="Calibri" w:cs="Calibri" w:eastAsia="Calibri" w:hAnsi="Calibri"/>
          <w:color w:val="1A1A1A"/>
          <w:sz w:val="20"/>
          <w:szCs w:val="20"/>
        </w:rPr>
        <w:t xml:space="preserve">, de </w:t>
      </w:r>
      <w:r>
        <w:rPr>
          <w:rFonts w:ascii="Calibri" w:cs="Calibri" w:eastAsia="Calibri" w:hAnsi="Calibri"/>
          <w:color w:val="1E88E5"/>
          <w:sz w:val="20"/>
          <w:szCs w:val="20"/>
        </w:rPr>
        <w:t xml:space="preserve">l’art. L. 6 C. pénit.</w:t>
      </w:r>
      <w:r>
        <w:rPr>
          <w:rFonts w:ascii="Calibri" w:cs="Calibri" w:eastAsia="Calibri" w:hAnsi="Calibri"/>
          <w:color w:val="1A1A1A"/>
          <w:sz w:val="20"/>
          <w:szCs w:val="20"/>
        </w:rPr>
        <w:t xml:space="preserve">, de </w:t>
      </w:r>
      <w:r>
        <w:rPr>
          <w:rFonts w:ascii="Calibri" w:cs="Calibri" w:eastAsia="Calibri" w:hAnsi="Calibri"/>
          <w:color w:val="1E88E5"/>
          <w:sz w:val="20"/>
          <w:szCs w:val="20"/>
        </w:rPr>
        <w:t xml:space="preserve">l’art. L. 521-2 CJA</w:t>
      </w:r>
      <w:r>
        <w:rPr>
          <w:rFonts w:ascii="Calibri" w:cs="Calibri" w:eastAsia="Calibri" w:hAnsi="Calibri"/>
          <w:color w:val="1A1A1A"/>
          <w:sz w:val="20"/>
          <w:szCs w:val="20"/>
        </w:rPr>
        <w:t xml:space="preserve"> et des grands arrêts.</w:t>
      </w:r>
    </w:p>
    <w:p>
      <w:pPr>
        <w:spacing w:after="70" w:before="170"/>
      </w:pPr>
      <w:r>
        <w:rPr>
          <w:rFonts w:ascii="Calibri" w:cs="Calibri" w:eastAsia="Calibri" w:hAnsi="Calibri"/>
          <w:b/>
          <w:bCs/>
          <w:color w:val="1A1A1A"/>
          <w:sz w:val="20"/>
          <w:szCs w:val="20"/>
        </w:rPr>
        <w:t xml:space="preserve">« Avez-vous une méthode pour répondre aux questions ? » (nansi z)</w:t>
      </w:r>
    </w:p>
    <w:p>
      <w:pPr>
        <w:pStyle w:val="ListParagraph"/>
        <w:numPr>
          <w:ilvl w:val="0"/>
          <w:numId w:val="2"/>
        </w:numPr>
        <w:spacing w:after="70" w:line="264"/>
        <w:jc w:val="both"/>
      </w:pPr>
      <w:r>
        <w:rPr>
          <w:rFonts w:ascii="Calibri" w:cs="Calibri" w:eastAsia="Calibri" w:hAnsi="Calibri"/>
          <w:color w:val="1A1A1A"/>
          <w:sz w:val="20"/>
          <w:szCs w:val="20"/>
        </w:rPr>
        <w:t xml:space="preserve">Reformuler brièvement la question pour gagner deux secondes et vérifier qu’on l’a comprise.</w:t>
      </w:r>
    </w:p>
    <w:p>
      <w:pPr>
        <w:pStyle w:val="ListParagraph"/>
        <w:numPr>
          <w:ilvl w:val="0"/>
          <w:numId w:val="2"/>
        </w:numPr>
        <w:spacing w:after="70" w:line="264"/>
        <w:jc w:val="both"/>
      </w:pPr>
      <w:r>
        <w:rPr>
          <w:rFonts w:ascii="Calibri" w:cs="Calibri" w:eastAsia="Calibri" w:hAnsi="Calibri"/>
          <w:color w:val="1A1A1A"/>
          <w:sz w:val="20"/>
          <w:szCs w:val="20"/>
        </w:rPr>
        <w:t xml:space="preserve">Répondre d’abord par oui, non ou « cela dépend », puis justifier par une référence.</w:t>
      </w:r>
    </w:p>
    <w:p>
      <w:pPr>
        <w:pStyle w:val="ListParagraph"/>
        <w:numPr>
          <w:ilvl w:val="0"/>
          <w:numId w:val="2"/>
        </w:numPr>
        <w:spacing w:after="70" w:line="264"/>
        <w:jc w:val="both"/>
      </w:pPr>
      <w:r>
        <w:rPr>
          <w:rFonts w:ascii="Calibri" w:cs="Calibri" w:eastAsia="Calibri" w:hAnsi="Calibri"/>
          <w:color w:val="1A1A1A"/>
          <w:sz w:val="20"/>
          <w:szCs w:val="20"/>
        </w:rPr>
        <w:t xml:space="preserve">Relier la réponse à une liberté fondamentale.</w:t>
      </w:r>
    </w:p>
    <w:p>
      <w:pPr>
        <w:pStyle w:val="ListParagraph"/>
        <w:numPr>
          <w:ilvl w:val="0"/>
          <w:numId w:val="2"/>
        </w:numPr>
        <w:spacing w:after="70" w:line="264"/>
        <w:jc w:val="both"/>
      </w:pPr>
      <w:r>
        <w:rPr>
          <w:rFonts w:ascii="Calibri" w:cs="Calibri" w:eastAsia="Calibri" w:hAnsi="Calibri"/>
          <w:color w:val="1A1A1A"/>
          <w:sz w:val="20"/>
          <w:szCs w:val="20"/>
        </w:rPr>
        <w:t xml:space="preserve">Si l’on ne sait pas, le dire et raisonner à partir des principes : le jury évalue le raisonnement.</w:t>
      </w:r>
    </w:p>
    <w:p>
      <w:pPr>
        <w:spacing w:after="70" w:before="170"/>
      </w:pPr>
      <w:r>
        <w:rPr>
          <w:rFonts w:ascii="Calibri" w:cs="Calibri" w:eastAsia="Calibri" w:hAnsi="Calibri"/>
          <w:b/>
          <w:bCs/>
          <w:color w:val="1A1A1A"/>
          <w:sz w:val="20"/>
          <w:szCs w:val="20"/>
        </w:rPr>
        <w:t xml:space="preserve">« Faut-il citer lentement les sous-parties ? » (Jules M) et « On m’a reproché d’être trop scolaire » (Constance S)</w:t>
      </w:r>
    </w:p>
    <w:p>
      <w:pPr>
        <w:spacing w:after="90" w:line="264"/>
        <w:jc w:val="both"/>
      </w:pPr>
      <w:r>
        <w:rPr>
          <w:rFonts w:ascii="Calibri" w:cs="Calibri" w:eastAsia="Calibri" w:hAnsi="Calibri"/>
          <w:color w:val="1A1A1A"/>
          <w:sz w:val="20"/>
          <w:szCs w:val="20"/>
        </w:rPr>
        <w:t xml:space="preserve">L’annonce du plan se dit lentement, une fois ; le reste de l’exposé doit vivre. Être « trop scolaire », c’est souvent lire ses notes et réciter : regarder le jury, annoncer chaque partie par une phrase-idée plutôt que par son titre, donner un exemple concret par sous-partie.</w:t>
      </w:r>
    </w:p>
    <w:p>
      <w:pPr>
        <w:spacing w:after="70" w:before="170"/>
      </w:pPr>
      <w:r>
        <w:rPr>
          <w:rFonts w:ascii="Calibri" w:cs="Calibri" w:eastAsia="Calibri" w:hAnsi="Calibri"/>
          <w:b/>
          <w:bCs/>
          <w:color w:val="1A1A1A"/>
          <w:sz w:val="20"/>
          <w:szCs w:val="20"/>
        </w:rPr>
        <w:t xml:space="preserve">« Pouvez-vous faire le même exercice avec un commentaire d’arrêt ? » (Maud B)</w:t>
      </w:r>
    </w:p>
    <w:p>
      <w:pPr>
        <w:spacing w:after="90" w:line="264"/>
        <w:jc w:val="both"/>
      </w:pPr>
      <w:r>
        <w:rPr>
          <w:rFonts w:ascii="Calibri" w:cs="Calibri" w:eastAsia="Calibri" w:hAnsi="Calibri"/>
          <w:color w:val="1A1A1A"/>
          <w:sz w:val="20"/>
          <w:szCs w:val="20"/>
        </w:rPr>
        <w:t xml:space="preserve">Les corrections des entraînements n° 2 (CE, 15 juill. 2026, Société Z Machine) et n° 4 (Cass. soc., 14 janv. 2026) portent sur des commentaires de décision et en détaillent la méthode.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V — ANNEXES</w:t>
      </w:r>
    </w:p>
    <w:p>
      <w:pPr>
        <w:pStyle w:val="Heading1"/>
        <w:pBdr>
          <w:bottom w:val="single" w:color="8C1C2B" w:sz="12" w:space="6"/>
        </w:pBdr>
        <w:spacing w:after="90" w:before="260"/>
      </w:pPr>
      <w:r>
        <w:rPr>
          <w:rFonts w:ascii="Calibri" w:cs="Calibri" w:eastAsia="Calibri" w:hAnsi="Calibri"/>
          <w:b/>
          <w:bCs/>
          <w:color w:val="8C1C2B"/>
          <w:sz w:val="28"/>
          <w:szCs w:val="28"/>
        </w:rPr>
        <w:t xml:space="preserve">1. Références à corriger (chat)</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Affirmation</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Correction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Dépassement de plus de 100 % » (Selwyne G)</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Densité supérieure à 140 % : dépassement d’environ 40 % en moyenne, de plus de 65 % en maison d’arrêt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90 020 détenus pour 62 000 places » (Yasser 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90 020 au 1er sept. 2026 : exact ; places : un peu plus de 63 000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Référé-liberté, 521-1 du CJA » (Crystal 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 L. 521-2 CJA (L. 521-1 = référé-suspension)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Convention de 1989 contre la torture » (Crystal 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Convention des Nations unies du 10 déc. 1984 ; convention européenne de 1987 (CPT) ; 1989 = CIDE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JLD prévu par le code pénal » (Yasser E) ; JLD seul (Jade K)</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Art. 803-8 CPP : JLD pour les prévenus, JAP pour les condamnés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JMD c. France » (Malena F)</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J.M.B. et autres c. France, 30 janv. 2020, n° 9671/15</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Exceptions à l’art. 3 » (Malena F)</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Droit absolu, aucune dérogation (art. 15 § 2)</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Hristozov c. Belgique, 2012 » (Inès Y)</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Hristozov et autres c. Bulgarie, 13 nov. 2012 (médicaments expérimentaux) : hors sujet</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Loi de 2024 sur la régulation carcérale rejetée » (Inès Y)</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Référence non identifiée : au mieux une proposition de loi ; ne pas citer sans vérification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L’art. 3 garantit à toute personne les droits consacrés par la Convention » (Selwyne G)</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C’est l’art. 1er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Vie privée et « domicile » en cellule (Quentin L) ; « pas de protection de l’art. 8 » (réponse de Jade K)</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cellule n’est pas un domicile, mais la vie privée du détenu est protégée par l’art. 8</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Moratoire depuis 150 ans » (Jade K)</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Principe posé en 1875 ; moratoires formels depuis 2009 ; dernier report au 31 déc. 2027</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Crim. 18 oct. 1989 n°89.680-462 » (chat)</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Date exacte ; numéro mal recopié, à vérifier avant de le citer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Bobigny, exemple de surpopulation carcérale (Méline A)</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Il s’agit du dépôt d’un tribunal, non d’une prison : l’exemple vaut pour la dignité dans les lieux de privation de liberté</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Ce qui était exact et mérite d’être retenu</w:t>
      </w:r>
    </w:p>
    <w:p>
      <w:pPr>
        <w:pStyle w:val="ListParagraph"/>
        <w:numPr>
          <w:ilvl w:val="0"/>
          <w:numId w:val="2"/>
        </w:numPr>
        <w:spacing w:after="70" w:line="264"/>
        <w:jc w:val="both"/>
      </w:pPr>
      <w:r>
        <w:rPr>
          <w:rFonts w:ascii="Calibri" w:cs="Calibri" w:eastAsia="Calibri" w:hAnsi="Calibri"/>
          <w:color w:val="1A1A1A"/>
          <w:sz w:val="20"/>
          <w:szCs w:val="20"/>
        </w:rPr>
        <w:t xml:space="preserve">Le chiffre de 90 020 détenus au 1er septembre 2026 (Yasser E, Amel D).</w:t>
      </w:r>
    </w:p>
    <w:p>
      <w:pPr>
        <w:pStyle w:val="ListParagraph"/>
        <w:numPr>
          <w:ilvl w:val="0"/>
          <w:numId w:val="2"/>
        </w:numPr>
        <w:spacing w:after="70" w:line="264"/>
        <w:jc w:val="both"/>
      </w:pPr>
      <w:r>
        <w:rPr>
          <w:rFonts w:ascii="Calibri" w:cs="Calibri" w:eastAsia="Calibri" w:hAnsi="Calibri"/>
          <w:color w:val="E91E63"/>
          <w:sz w:val="20"/>
          <w:szCs w:val="20"/>
        </w:rPr>
        <w:t xml:space="preserve">CE, 21 mars 2022, n° 443986</w:t>
      </w:r>
      <w:r>
        <w:rPr>
          <w:rFonts w:ascii="Calibri" w:cs="Calibri" w:eastAsia="Calibri" w:hAnsi="Calibri"/>
          <w:color w:val="1A1A1A"/>
          <w:sz w:val="20"/>
          <w:szCs w:val="20"/>
        </w:rPr>
        <w:t xml:space="preserve"> sur la preuve des conditions indignes (Yasser E).</w:t>
      </w:r>
    </w:p>
    <w:p>
      <w:pPr>
        <w:pStyle w:val="ListParagraph"/>
        <w:numPr>
          <w:ilvl w:val="0"/>
          <w:numId w:val="2"/>
        </w:numPr>
        <w:spacing w:after="70" w:line="264"/>
        <w:jc w:val="both"/>
      </w:pPr>
      <w:r>
        <w:rPr>
          <w:rFonts w:ascii="Calibri" w:cs="Calibri" w:eastAsia="Calibri" w:hAnsi="Calibri"/>
          <w:color w:val="1A1A1A"/>
          <w:sz w:val="20"/>
          <w:szCs w:val="20"/>
        </w:rPr>
        <w:t xml:space="preserve">Le droit de visite des bâtonniers (</w:t>
      </w:r>
      <w:r>
        <w:rPr>
          <w:rFonts w:ascii="Calibri" w:cs="Calibri" w:eastAsia="Calibri" w:hAnsi="Calibri"/>
          <w:color w:val="1E88E5"/>
          <w:sz w:val="20"/>
          <w:szCs w:val="20"/>
        </w:rPr>
        <w:t xml:space="preserve">art. 719 CPP</w:t>
      </w:r>
      <w:r>
        <w:rPr>
          <w:rFonts w:ascii="Calibri" w:cs="Calibri" w:eastAsia="Calibri" w:hAnsi="Calibri"/>
          <w:color w:val="1A1A1A"/>
          <w:sz w:val="20"/>
          <w:szCs w:val="20"/>
        </w:rPr>
        <w:t xml:space="preserve">) et l’effet pervers des transferts sur la vie familiale (Débora D).</w:t>
      </w:r>
    </w:p>
    <w:p>
      <w:pPr>
        <w:pStyle w:val="ListParagraph"/>
        <w:numPr>
          <w:ilvl w:val="0"/>
          <w:numId w:val="2"/>
        </w:numPr>
        <w:spacing w:after="70" w:line="264"/>
        <w:jc w:val="both"/>
      </w:pPr>
      <w:r>
        <w:rPr>
          <w:rFonts w:ascii="Calibri" w:cs="Calibri" w:eastAsia="Calibri" w:hAnsi="Calibri"/>
          <w:color w:val="1A1A1A"/>
          <w:sz w:val="20"/>
          <w:szCs w:val="20"/>
        </w:rPr>
        <w:t xml:space="preserve">L’affaire grecque de 2001 (</w:t>
      </w:r>
      <w:r>
        <w:rPr>
          <w:rFonts w:ascii="Calibri" w:cs="Calibri" w:eastAsia="Calibri" w:hAnsi="Calibri"/>
          <w:color w:val="E91E63"/>
          <w:sz w:val="20"/>
          <w:szCs w:val="20"/>
        </w:rPr>
        <w:t xml:space="preserve">Dougoz c. Grèce</w:t>
      </w:r>
      <w:r>
        <w:rPr>
          <w:rFonts w:ascii="Calibri" w:cs="Calibri" w:eastAsia="Calibri" w:hAnsi="Calibri"/>
          <w:color w:val="1A1A1A"/>
          <w:sz w:val="20"/>
          <w:szCs w:val="20"/>
        </w:rPr>
        <w:t xml:space="preserve">) et l’exigence d’enquête issue de l’art. 13 (Selwyne G).</w:t>
      </w:r>
    </w:p>
    <w:p>
      <w:pPr>
        <w:pStyle w:val="ListParagraph"/>
        <w:numPr>
          <w:ilvl w:val="0"/>
          <w:numId w:val="2"/>
        </w:numPr>
        <w:spacing w:after="70" w:line="264"/>
        <w:jc w:val="both"/>
      </w:pPr>
      <w:r>
        <w:rPr>
          <w:rFonts w:ascii="Calibri" w:cs="Calibri" w:eastAsia="Calibri" w:hAnsi="Calibri"/>
          <w:color w:val="1A1A1A"/>
          <w:sz w:val="20"/>
          <w:szCs w:val="20"/>
        </w:rPr>
        <w:t xml:space="preserve">La régulation carcérale comme horizon (Inès Y).</w:t>
      </w:r>
    </w:p>
    <w:p>
      <w:pPr>
        <w:pStyle w:val="Heading1"/>
        <w:pBdr>
          <w:bottom w:val="single" w:color="8C1C2B" w:sz="12" w:space="6"/>
        </w:pBdr>
        <w:spacing w:after="90" w:before="260"/>
      </w:pPr>
      <w:r>
        <w:rPr>
          <w:rFonts w:ascii="Calibri" w:cs="Calibri" w:eastAsia="Calibri" w:hAnsi="Calibri"/>
          <w:b/>
          <w:bCs/>
          <w:color w:val="8C1C2B"/>
          <w:sz w:val="28"/>
          <w:szCs w:val="28"/>
        </w:rPr>
        <w:t xml:space="preserve">2. Le kit oral</w:t>
      </w:r>
    </w:p>
    <w:p>
      <w:pPr>
        <w:pStyle w:val="Heading2"/>
        <w:spacing w:after="110" w:before="260"/>
      </w:pPr>
      <w:r>
        <w:rPr>
          <w:rFonts w:ascii="Calibri" w:cs="Calibri" w:eastAsia="Calibri" w:hAnsi="Calibri"/>
          <w:b/>
          <w:bCs/>
          <w:color w:val="1A1A1A"/>
          <w:spacing w:val="16"/>
          <w:sz w:val="23"/>
          <w:szCs w:val="23"/>
        </w:rPr>
        <w:t xml:space="preserve">Dix phrases prêtes à l’emploi</w:t>
      </w:r>
    </w:p>
    <w:p>
      <w:pPr>
        <w:pStyle w:val="ListParagraph"/>
        <w:numPr>
          <w:ilvl w:val="0"/>
          <w:numId w:val="2"/>
        </w:numPr>
        <w:spacing w:after="70" w:line="264"/>
        <w:jc w:val="both"/>
      </w:pPr>
      <w:r>
        <w:rPr>
          <w:rFonts w:ascii="Calibri" w:cs="Calibri" w:eastAsia="Calibri" w:hAnsi="Calibri"/>
          <w:color w:val="1A1A1A"/>
          <w:sz w:val="20"/>
          <w:szCs w:val="20"/>
        </w:rPr>
        <w:t xml:space="preserve">« La peine prive de liberté ; elle ne prive pas de dignité. »</w:t>
      </w:r>
    </w:p>
    <w:p>
      <w:pPr>
        <w:pStyle w:val="ListParagraph"/>
        <w:numPr>
          <w:ilvl w:val="0"/>
          <w:numId w:val="2"/>
        </w:numPr>
        <w:spacing w:after="70" w:line="264"/>
        <w:jc w:val="both"/>
      </w:pPr>
      <w:r>
        <w:rPr>
          <w:rFonts w:ascii="Calibri" w:cs="Calibri" w:eastAsia="Calibri" w:hAnsi="Calibri"/>
          <w:color w:val="1A1A1A"/>
          <w:sz w:val="20"/>
          <w:szCs w:val="20"/>
        </w:rPr>
        <w:t xml:space="preserve">« Les droits fondamentaux tiennent en droit ; ils plient en fait. »</w:t>
      </w:r>
    </w:p>
    <w:p>
      <w:pPr>
        <w:pStyle w:val="ListParagraph"/>
        <w:numPr>
          <w:ilvl w:val="0"/>
          <w:numId w:val="2"/>
        </w:numPr>
        <w:spacing w:after="70" w:line="264"/>
        <w:jc w:val="both"/>
      </w:pPr>
      <w:r>
        <w:rPr>
          <w:rFonts w:ascii="Calibri" w:cs="Calibri" w:eastAsia="Calibri" w:hAnsi="Calibri"/>
          <w:color w:val="1A1A1A"/>
          <w:sz w:val="20"/>
          <w:szCs w:val="20"/>
        </w:rPr>
        <w:t xml:space="preserve">« Le principe de l’encellulement individuel a cent cinquante ans ; il n’a jamais été appliqué. »</w:t>
      </w:r>
    </w:p>
    <w:p>
      <w:pPr>
        <w:pStyle w:val="ListParagraph"/>
        <w:numPr>
          <w:ilvl w:val="0"/>
          <w:numId w:val="2"/>
        </w:numPr>
        <w:spacing w:after="70" w:line="264"/>
        <w:jc w:val="both"/>
      </w:pPr>
      <w:r>
        <w:rPr>
          <w:rFonts w:ascii="Calibri" w:cs="Calibri" w:eastAsia="Calibri" w:hAnsi="Calibri"/>
          <w:color w:val="1A1A1A"/>
          <w:sz w:val="20"/>
          <w:szCs w:val="20"/>
        </w:rPr>
        <w:t xml:space="preserve">« Moins de 3 m² d’espace personnel : c’est le seuil à partir duquel la Cour présume la violation. »</w:t>
      </w:r>
    </w:p>
    <w:p>
      <w:pPr>
        <w:pStyle w:val="ListParagraph"/>
        <w:numPr>
          <w:ilvl w:val="0"/>
          <w:numId w:val="2"/>
        </w:numPr>
        <w:spacing w:after="70" w:line="264"/>
        <w:jc w:val="both"/>
      </w:pPr>
      <w:r>
        <w:rPr>
          <w:rFonts w:ascii="Calibri" w:cs="Calibri" w:eastAsia="Calibri" w:hAnsi="Calibri"/>
          <w:color w:val="1A1A1A"/>
          <w:sz w:val="20"/>
          <w:szCs w:val="20"/>
        </w:rPr>
        <w:t xml:space="preserve">« Depuis 2021, le détenu dispose enfin d’un juge pour faire cesser l’indignité ; il ne dispose pas d’un juge pour faire cesser la surpopulation. »</w:t>
      </w:r>
    </w:p>
    <w:p>
      <w:pPr>
        <w:pStyle w:val="ListParagraph"/>
        <w:numPr>
          <w:ilvl w:val="0"/>
          <w:numId w:val="2"/>
        </w:numPr>
        <w:spacing w:after="70" w:line="264"/>
        <w:jc w:val="both"/>
      </w:pPr>
      <w:r>
        <w:rPr>
          <w:rFonts w:ascii="Calibri" w:cs="Calibri" w:eastAsia="Calibri" w:hAnsi="Calibri"/>
          <w:color w:val="1A1A1A"/>
          <w:sz w:val="20"/>
          <w:szCs w:val="20"/>
        </w:rPr>
        <w:t xml:space="preserve">« Le transfert déplace l’indignité, il ne la supprime pas. »</w:t>
      </w:r>
    </w:p>
    <w:p>
      <w:pPr>
        <w:pStyle w:val="ListParagraph"/>
        <w:numPr>
          <w:ilvl w:val="0"/>
          <w:numId w:val="2"/>
        </w:numPr>
        <w:spacing w:after="70" w:line="264"/>
        <w:jc w:val="both"/>
      </w:pPr>
      <w:r>
        <w:rPr>
          <w:rFonts w:ascii="Calibri" w:cs="Calibri" w:eastAsia="Calibri" w:hAnsi="Calibri"/>
          <w:color w:val="1A1A1A"/>
          <w:sz w:val="20"/>
          <w:szCs w:val="20"/>
        </w:rPr>
        <w:t xml:space="preserve">« Une protection individuelle et curative face à un mal collectif et structurel. »</w:t>
      </w:r>
    </w:p>
    <w:p>
      <w:pPr>
        <w:pStyle w:val="ListParagraph"/>
        <w:numPr>
          <w:ilvl w:val="0"/>
          <w:numId w:val="2"/>
        </w:numPr>
        <w:spacing w:after="70" w:line="264"/>
        <w:jc w:val="both"/>
      </w:pPr>
      <w:r>
        <w:rPr>
          <w:rFonts w:ascii="Calibri" w:cs="Calibri" w:eastAsia="Calibri" w:hAnsi="Calibri"/>
          <w:color w:val="1A1A1A"/>
          <w:sz w:val="20"/>
          <w:szCs w:val="20"/>
        </w:rPr>
        <w:t xml:space="preserve">« Plus on construit, plus on enferme : entre 1990 et 2025, 25 000 places de plus, 35 000 détenus de plus. »</w:t>
      </w:r>
    </w:p>
    <w:p>
      <w:pPr>
        <w:pStyle w:val="ListParagraph"/>
        <w:numPr>
          <w:ilvl w:val="0"/>
          <w:numId w:val="2"/>
        </w:numPr>
        <w:spacing w:after="70" w:line="264"/>
        <w:jc w:val="both"/>
      </w:pPr>
      <w:r>
        <w:rPr>
          <w:rFonts w:ascii="Calibri" w:cs="Calibri" w:eastAsia="Calibri" w:hAnsi="Calibri"/>
          <w:color w:val="1A1A1A"/>
          <w:sz w:val="20"/>
          <w:szCs w:val="20"/>
        </w:rPr>
        <w:t xml:space="preserve">« Ce sont les présumés innocents qui subissent les pires conditions : les maisons d’arrêt. »</w:t>
      </w:r>
    </w:p>
    <w:p>
      <w:pPr>
        <w:pStyle w:val="ListParagraph"/>
        <w:numPr>
          <w:ilvl w:val="0"/>
          <w:numId w:val="2"/>
        </w:numPr>
        <w:spacing w:after="70" w:line="264"/>
        <w:jc w:val="both"/>
      </w:pPr>
      <w:r>
        <w:rPr>
          <w:rFonts w:ascii="Calibri" w:cs="Calibri" w:eastAsia="Calibri" w:hAnsi="Calibri"/>
          <w:color w:val="1A1A1A"/>
          <w:sz w:val="20"/>
          <w:szCs w:val="20"/>
        </w:rPr>
        <w:t xml:space="preserve">« Le juge peut dire l’intolérable ; seul le législateur peut le faire cesser. »</w:t>
      </w:r>
    </w:p>
    <w:p>
      <w:pPr>
        <w:pStyle w:val="Heading1"/>
        <w:pBdr>
          <w:bottom w:val="single" w:color="8C1C2B" w:sz="12" w:space="6"/>
        </w:pBdr>
        <w:spacing w:after="90" w:before="260"/>
      </w:pPr>
      <w:r>
        <w:rPr>
          <w:rFonts w:ascii="Calibri" w:cs="Calibri" w:eastAsia="Calibri" w:hAnsi="Calibri"/>
          <w:b/>
          <w:bCs/>
          <w:color w:val="8C1C2B"/>
          <w:sz w:val="28"/>
          <w:szCs w:val="28"/>
        </w:rPr>
        <w:t xml:space="preserve">3. Chiffres et dates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Repère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Valeur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Détenus au 1er sept. 2026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90 020 (record) ; plus de 8 300 matelas au sol</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Détenus au 1er oct. 2026</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89 400 (90 900 avec la Nouvelle-Calédonie et la Polynésie) ; + 7 % sur un an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Densité</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Plus de 140 % en moyenne ; plus de 165 % dans les maisons d’arrêt (oct. 2025)</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Encellulement individuel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Loi du 5 juin 1875 ; moratoire jusqu’au 31 déc. 2027</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Kudła c. Pologne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CEDH, GC, 26 oct. 2000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Muršić c. Croatie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CEDH, GC, 20 oct. 2016 (3 m²)</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Torreggiani c. Italie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CEDH, 8 janv. 2013 (arrêt pilote)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J.M.B. et autres c. France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CEDH, 30 janv. 2020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Crim. 8 juill. 2020</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 20-81.739</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QPC prévenus / condamnés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2020-858/859 QPC (2 oct. 2020) ; 2021-898 QPC (16 avr. 2021)</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Recours judiciaire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Loi n° 2021-403 du 8 avril 2021, art. 803-8 CPP</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CGLPL</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Loi du 30 oct. 2007 ; Pierre Coppey nommé le 14 oct. 2026</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Sous-comité de l’ONU (SPT)</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Première visite en France du 17 au 23 mai 2026</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Numerus clausus annoncé</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7 janv. 2026 : 150 % en 2030, 130 % en 2032 (maisons d’arrêt)</w:t>
            </w:r>
          </w:p>
        </w:tc>
      </w:tr>
    </w:tbl>
    <w:p>
      <w:pPr>
        <w:spacing w:after="120"/>
      </w:pP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Entraînement n° 5 — Les droits fondamentaux à l’épreuve de la surpopulation carcérale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Correction enrichie — Entraînement n° 5 — Droits fondamentaux et surpopulation carcérale</dc:title>
  <dc:creator>Simon</dc:creator>
  <dc:description>Correction reprise et enrichie du cinquième entraînement Objectif Barreau</dc:description>
  <cp:lastModifiedBy>Un-named</cp:lastModifiedBy>
  <cp:revision>1</cp:revision>
  <dcterms:created xsi:type="dcterms:W3CDTF">2026-10-26T21:45:45.278Z</dcterms:created>
  <dcterms:modified xsi:type="dcterms:W3CDTF">2026-10-26T21:45:45.282Z</dcterms:modified>
</cp:coreProperties>
</file>

<file path=docProps/custom.xml><?xml version="1.0" encoding="utf-8"?>
<Properties xmlns="http://schemas.openxmlformats.org/officeDocument/2006/custom-properties" xmlns:vt="http://schemas.openxmlformats.org/officeDocument/2006/docPropsVTypes"/>
</file>