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37DC1" w14:textId="77777777" w:rsidR="001E3E87" w:rsidRDefault="005258B2">
      <w:pPr>
        <w:spacing w:before="1400" w:after="140"/>
        <w:jc w:val="center"/>
      </w:pPr>
      <w:r>
        <w:rPr>
          <w:rFonts w:ascii="Calibri" w:eastAsia="Calibri" w:hAnsi="Calibri" w:cs="Calibri"/>
          <w:b/>
          <w:bCs/>
          <w:color w:val="8C1C2B"/>
          <w:sz w:val="44"/>
          <w:szCs w:val="44"/>
        </w:rPr>
        <w:t>BASE DE DONNÉES DES ENTRAÎNEMENTS</w:t>
      </w:r>
    </w:p>
    <w:p w14:paraId="7CDC352B" w14:textId="77777777" w:rsidR="001E3E87" w:rsidRDefault="005258B2">
      <w:pPr>
        <w:spacing w:after="100"/>
        <w:jc w:val="center"/>
      </w:pPr>
      <w:r>
        <w:rPr>
          <w:rFonts w:ascii="Calibri" w:eastAsia="Calibri" w:hAnsi="Calibri" w:cs="Calibri"/>
          <w:color w:val="1A1A1A"/>
          <w:sz w:val="24"/>
          <w:szCs w:val="24"/>
        </w:rPr>
        <w:t>Libertés publiques et droits fondamentaux — Fascicule Objectif Barreau 2026</w:t>
      </w:r>
    </w:p>
    <w:p w14:paraId="26F0AD95" w14:textId="77777777" w:rsidR="001E3E87" w:rsidRDefault="005258B2">
      <w:pPr>
        <w:spacing w:after="100"/>
        <w:jc w:val="center"/>
      </w:pPr>
      <w:r>
        <w:rPr>
          <w:rFonts w:ascii="Calibri" w:eastAsia="Calibri" w:hAnsi="Calibri" w:cs="Calibri"/>
          <w:color w:val="1A1A1A"/>
          <w:sz w:val="24"/>
          <w:szCs w:val="24"/>
        </w:rPr>
        <w:t>56 exercices corrigés — intégralité des rubriques « Pour s’entraîner »</w:t>
      </w:r>
    </w:p>
    <w:p w14:paraId="7A3FE373" w14:textId="77777777" w:rsidR="001E3E87" w:rsidRDefault="001E3E87"/>
    <w:p w14:paraId="0005A712" w14:textId="77777777" w:rsidR="001E3E87" w:rsidRDefault="005258B2">
      <w:pPr>
        <w:spacing w:before="500" w:after="100"/>
        <w:jc w:val="center"/>
      </w:pPr>
      <w:r>
        <w:rPr>
          <w:rFonts w:ascii="Calibri" w:eastAsia="Calibri" w:hAnsi="Calibri" w:cs="Calibri"/>
          <w:color w:val="1A1A1A"/>
        </w:rPr>
        <w:t xml:space="preserve">Code couleur : </w:t>
      </w:r>
      <w:r>
        <w:rPr>
          <w:rFonts w:ascii="Calibri" w:eastAsia="Calibri" w:hAnsi="Calibri" w:cs="Calibri"/>
          <w:color w:val="1E88E5"/>
        </w:rPr>
        <w:t>textes normatifs</w:t>
      </w:r>
      <w:r>
        <w:rPr>
          <w:rFonts w:ascii="Calibri" w:eastAsia="Calibri" w:hAnsi="Calibri" w:cs="Calibri"/>
          <w:color w:val="1A1A1A"/>
        </w:rPr>
        <w:t xml:space="preserve"> · </w:t>
      </w:r>
      <w:r>
        <w:rPr>
          <w:rFonts w:ascii="Calibri" w:eastAsia="Calibri" w:hAnsi="Calibri" w:cs="Calibri"/>
          <w:color w:val="E91E63"/>
        </w:rPr>
        <w:t>jurisprudence</w:t>
      </w:r>
      <w:r>
        <w:rPr>
          <w:rFonts w:ascii="Calibri" w:eastAsia="Calibri" w:hAnsi="Calibri" w:cs="Calibri"/>
          <w:color w:val="1A1A1A"/>
        </w:rPr>
        <w:t xml:space="preserve"> · </w:t>
      </w:r>
      <w:r>
        <w:rPr>
          <w:rFonts w:ascii="Calibri" w:eastAsia="Calibri" w:hAnsi="Calibri" w:cs="Calibri"/>
          <w:b/>
          <w:bCs/>
          <w:color w:val="1A1A1A"/>
        </w:rPr>
        <w:t>gras = apport à mémoriser</w:t>
      </w:r>
    </w:p>
    <w:p w14:paraId="73E70D6A" w14:textId="77777777" w:rsidR="001E3E87" w:rsidRDefault="005258B2">
      <w:r>
        <w:br w:type="page"/>
      </w:r>
    </w:p>
    <w:p w14:paraId="01FA9E57"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MODE D’EMPLOI</w:t>
      </w:r>
    </w:p>
    <w:p w14:paraId="0699100E" w14:textId="77777777" w:rsidR="001E3E87" w:rsidRDefault="005258B2">
      <w:pPr>
        <w:pStyle w:val="Paragraphedeliste"/>
        <w:numPr>
          <w:ilvl w:val="0"/>
          <w:numId w:val="2"/>
        </w:numPr>
        <w:spacing w:after="70" w:line="264" w:lineRule="auto"/>
        <w:jc w:val="both"/>
      </w:pPr>
      <w:r>
        <w:rPr>
          <w:rFonts w:ascii="Calibri" w:eastAsia="Calibri" w:hAnsi="Calibri" w:cs="Calibri"/>
          <w:b/>
          <w:bCs/>
          <w:color w:val="1A1A1A"/>
        </w:rPr>
        <w:t>Périmètre.</w:t>
      </w:r>
      <w:r>
        <w:rPr>
          <w:rFonts w:ascii="Calibri" w:eastAsia="Calibri" w:hAnsi="Calibri" w:cs="Calibri"/>
          <w:color w:val="1A1A1A"/>
        </w:rPr>
        <w:t xml:space="preserve"> Les 56 fiches du fascicule comportent chacune une et une seule rubrique « Pour s’entraîner ». Aucune autre rubrique d’entraînement (cas pratique, QCM) n’existe dans le fascicule : le recensement est donc exhaustif.</w:t>
      </w:r>
    </w:p>
    <w:p w14:paraId="39098F27" w14:textId="77777777" w:rsidR="001E3E87" w:rsidRDefault="005258B2">
      <w:pPr>
        <w:pStyle w:val="Paragraphedeliste"/>
        <w:numPr>
          <w:ilvl w:val="0"/>
          <w:numId w:val="2"/>
        </w:numPr>
        <w:spacing w:after="70" w:line="264" w:lineRule="auto"/>
        <w:jc w:val="both"/>
      </w:pPr>
      <w:r>
        <w:rPr>
          <w:rFonts w:ascii="Calibri" w:eastAsia="Calibri" w:hAnsi="Calibri" w:cs="Calibri"/>
          <w:b/>
          <w:bCs/>
          <w:color w:val="1A1A1A"/>
        </w:rPr>
        <w:t>Contenu de chaque entrée.</w:t>
      </w:r>
      <w:r>
        <w:rPr>
          <w:rFonts w:ascii="Calibri" w:eastAsia="Calibri" w:hAnsi="Calibri" w:cs="Calibri"/>
          <w:color w:val="1A1A1A"/>
        </w:rPr>
        <w:t xml:space="preserve"> Intitulé complet du sujet, type d’exercice, fiche et partie de rattachement, page du fascicule, puis l’intégralité du corrigé proposé par Objectif Barreau (amorce, définitions, problématique, plan détaillé, conclusion).</w:t>
      </w:r>
    </w:p>
    <w:p w14:paraId="3EC5A022" w14:textId="77777777" w:rsidR="001E3E87" w:rsidRDefault="005258B2">
      <w:pPr>
        <w:pStyle w:val="Paragraphedeliste"/>
        <w:numPr>
          <w:ilvl w:val="0"/>
          <w:numId w:val="2"/>
        </w:numPr>
        <w:spacing w:after="70" w:line="264" w:lineRule="auto"/>
        <w:jc w:val="both"/>
      </w:pPr>
      <w:r>
        <w:rPr>
          <w:rFonts w:ascii="Calibri" w:eastAsia="Calibri" w:hAnsi="Calibri" w:cs="Calibri"/>
          <w:b/>
          <w:bCs/>
          <w:color w:val="1A1A1A"/>
        </w:rPr>
        <w:t>Colorisation automatique.</w:t>
      </w:r>
      <w:r>
        <w:rPr>
          <w:rFonts w:ascii="Calibri" w:eastAsia="Calibri" w:hAnsi="Calibri" w:cs="Calibri"/>
          <w:color w:val="1A1A1A"/>
        </w:rPr>
        <w:t xml:space="preserve"> Les références jurisprudentielles et normatives sont mises en couleur mécaniquement ; quelques références rédigées en toutes lettres peuvent échapper au repérage.</w:t>
      </w:r>
    </w:p>
    <w:p w14:paraId="3E9D09CD" w14:textId="77777777" w:rsidR="001E3E87" w:rsidRDefault="005258B2">
      <w:pPr>
        <w:pStyle w:val="Paragraphedeliste"/>
        <w:numPr>
          <w:ilvl w:val="0"/>
          <w:numId w:val="2"/>
        </w:numPr>
        <w:spacing w:after="70" w:line="264" w:lineRule="auto"/>
        <w:jc w:val="both"/>
      </w:pPr>
      <w:r>
        <w:rPr>
          <w:rFonts w:ascii="Calibri" w:eastAsia="Calibri" w:hAnsi="Calibri" w:cs="Calibri"/>
          <w:b/>
          <w:bCs/>
          <w:color w:val="1A1A1A"/>
        </w:rPr>
        <w:t>Usage conseillé.</w:t>
      </w:r>
      <w:r>
        <w:rPr>
          <w:rFonts w:ascii="Calibri" w:eastAsia="Calibri" w:hAnsi="Calibri" w:cs="Calibri"/>
          <w:color w:val="1A1A1A"/>
        </w:rPr>
        <w:t xml:space="preserve"> Traiter d’abord le sujet au brouillon (15 min de plan), puis confronter au corrigé. Les « Argumentation juridique » sont les plus proches de l’épreuve du Grand Oral : elles imposent de défendre une thèse, non de l’exposer.</w:t>
      </w:r>
    </w:p>
    <w:p w14:paraId="298DC1F5" w14:textId="77777777" w:rsidR="001E3E87" w:rsidRDefault="001E3E87"/>
    <w:p w14:paraId="3E56AE98" w14:textId="77777777" w:rsidR="001E3E87" w:rsidRDefault="005258B2">
      <w:pPr>
        <w:pStyle w:val="Titre2"/>
        <w:spacing w:before="240" w:after="110"/>
      </w:pPr>
      <w:r>
        <w:rPr>
          <w:rFonts w:ascii="Calibri" w:eastAsia="Calibri" w:hAnsi="Calibri" w:cs="Calibri"/>
          <w:b/>
          <w:bCs/>
          <w:color w:val="1A1A1A"/>
          <w:spacing w:val="20"/>
          <w:sz w:val="23"/>
          <w:szCs w:val="23"/>
        </w:rPr>
        <w:t>Répartition par type d’exercice</w:t>
      </w:r>
    </w:p>
    <w:p w14:paraId="1E74C7DA" w14:textId="77777777" w:rsidR="001E3E87" w:rsidRDefault="005258B2">
      <w:pPr>
        <w:pStyle w:val="Paragraphedeliste"/>
        <w:numPr>
          <w:ilvl w:val="0"/>
          <w:numId w:val="2"/>
        </w:numPr>
        <w:spacing w:after="70" w:line="264" w:lineRule="auto"/>
        <w:jc w:val="both"/>
      </w:pPr>
      <w:r>
        <w:rPr>
          <w:rFonts w:ascii="Calibri" w:eastAsia="Calibri" w:hAnsi="Calibri" w:cs="Calibri"/>
          <w:b/>
          <w:bCs/>
          <w:color w:val="1A1A1A"/>
        </w:rPr>
        <w:t>Dissertation</w:t>
      </w:r>
      <w:r>
        <w:rPr>
          <w:rFonts w:ascii="Calibri" w:eastAsia="Calibri" w:hAnsi="Calibri" w:cs="Calibri"/>
          <w:color w:val="1A1A1A"/>
        </w:rPr>
        <w:t xml:space="preserve"> : 19 exercices</w:t>
      </w:r>
    </w:p>
    <w:p w14:paraId="0123A661" w14:textId="77777777" w:rsidR="001E3E87" w:rsidRDefault="005258B2">
      <w:pPr>
        <w:pStyle w:val="Paragraphedeliste"/>
        <w:numPr>
          <w:ilvl w:val="0"/>
          <w:numId w:val="2"/>
        </w:numPr>
        <w:spacing w:after="70" w:line="264" w:lineRule="auto"/>
        <w:jc w:val="both"/>
      </w:pPr>
      <w:r>
        <w:rPr>
          <w:rFonts w:ascii="Calibri" w:eastAsia="Calibri" w:hAnsi="Calibri" w:cs="Calibri"/>
          <w:b/>
          <w:bCs/>
          <w:color w:val="1A1A1A"/>
        </w:rPr>
        <w:t>Commentaire de texte</w:t>
      </w:r>
      <w:r>
        <w:rPr>
          <w:rFonts w:ascii="Calibri" w:eastAsia="Calibri" w:hAnsi="Calibri" w:cs="Calibri"/>
          <w:color w:val="1A1A1A"/>
        </w:rPr>
        <w:t xml:space="preserve"> : 12 exercices</w:t>
      </w:r>
    </w:p>
    <w:p w14:paraId="4FB282D9" w14:textId="77777777" w:rsidR="001E3E87" w:rsidRDefault="005258B2">
      <w:pPr>
        <w:pStyle w:val="Paragraphedeliste"/>
        <w:numPr>
          <w:ilvl w:val="0"/>
          <w:numId w:val="2"/>
        </w:numPr>
        <w:spacing w:after="70" w:line="264" w:lineRule="auto"/>
        <w:jc w:val="both"/>
      </w:pPr>
      <w:r>
        <w:rPr>
          <w:rFonts w:ascii="Calibri" w:eastAsia="Calibri" w:hAnsi="Calibri" w:cs="Calibri"/>
          <w:b/>
          <w:bCs/>
          <w:color w:val="1A1A1A"/>
        </w:rPr>
        <w:t>Commentaire d’arrêt</w:t>
      </w:r>
      <w:r>
        <w:rPr>
          <w:rFonts w:ascii="Calibri" w:eastAsia="Calibri" w:hAnsi="Calibri" w:cs="Calibri"/>
          <w:color w:val="1A1A1A"/>
        </w:rPr>
        <w:t xml:space="preserve"> : 8 exercices</w:t>
      </w:r>
    </w:p>
    <w:p w14:paraId="0E528DBC" w14:textId="77777777" w:rsidR="001E3E87" w:rsidRDefault="005258B2">
      <w:pPr>
        <w:pStyle w:val="Paragraphedeliste"/>
        <w:numPr>
          <w:ilvl w:val="0"/>
          <w:numId w:val="2"/>
        </w:numPr>
        <w:spacing w:after="70" w:line="264" w:lineRule="auto"/>
        <w:jc w:val="both"/>
      </w:pPr>
      <w:r>
        <w:rPr>
          <w:rFonts w:ascii="Calibri" w:eastAsia="Calibri" w:hAnsi="Calibri" w:cs="Calibri"/>
          <w:b/>
          <w:bCs/>
          <w:color w:val="1A1A1A"/>
        </w:rPr>
        <w:t>Commentaire de décision</w:t>
      </w:r>
      <w:r>
        <w:rPr>
          <w:rFonts w:ascii="Calibri" w:eastAsia="Calibri" w:hAnsi="Calibri" w:cs="Calibri"/>
          <w:color w:val="1A1A1A"/>
        </w:rPr>
        <w:t xml:space="preserve"> : 3 exercices</w:t>
      </w:r>
    </w:p>
    <w:p w14:paraId="10142E81" w14:textId="77777777" w:rsidR="001E3E87" w:rsidRDefault="005258B2">
      <w:pPr>
        <w:pStyle w:val="Paragraphedeliste"/>
        <w:numPr>
          <w:ilvl w:val="0"/>
          <w:numId w:val="2"/>
        </w:numPr>
        <w:spacing w:after="70" w:line="264" w:lineRule="auto"/>
        <w:jc w:val="both"/>
      </w:pPr>
      <w:r>
        <w:rPr>
          <w:rFonts w:ascii="Calibri" w:eastAsia="Calibri" w:hAnsi="Calibri" w:cs="Calibri"/>
          <w:b/>
          <w:bCs/>
          <w:color w:val="1A1A1A"/>
        </w:rPr>
        <w:t>Argumentation juridique</w:t>
      </w:r>
      <w:r>
        <w:rPr>
          <w:rFonts w:ascii="Calibri" w:eastAsia="Calibri" w:hAnsi="Calibri" w:cs="Calibri"/>
          <w:color w:val="1A1A1A"/>
        </w:rPr>
        <w:t xml:space="preserve"> : 14 exercices</w:t>
      </w:r>
    </w:p>
    <w:p w14:paraId="7148D018" w14:textId="77777777" w:rsidR="001E3E87" w:rsidRDefault="005258B2">
      <w:r>
        <w:br w:type="page"/>
      </w:r>
    </w:p>
    <w:p w14:paraId="116422A1"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INDEX GÉNÉRAL DES 56 ENTRAÎNEMENTS</w:t>
      </w:r>
    </w:p>
    <w:p w14:paraId="49914258" w14:textId="77777777" w:rsidR="001E3E87" w:rsidRDefault="005258B2">
      <w:pPr>
        <w:pStyle w:val="Titre2"/>
        <w:spacing w:before="240" w:after="110"/>
      </w:pPr>
      <w:r>
        <w:rPr>
          <w:rFonts w:ascii="Calibri" w:eastAsia="Calibri" w:hAnsi="Calibri" w:cs="Calibri"/>
          <w:b/>
          <w:bCs/>
          <w:color w:val="1A1A1A"/>
          <w:spacing w:val="20"/>
          <w:sz w:val="23"/>
          <w:szCs w:val="23"/>
        </w:rPr>
        <w:t>PARTIE I. ÉLÉMENTS INTRODUCTIFS</w:t>
      </w:r>
    </w:p>
    <w:p w14:paraId="64AB0B39" w14:textId="77777777" w:rsidR="001E3E87" w:rsidRDefault="005258B2">
      <w:pPr>
        <w:spacing w:after="50" w:line="252" w:lineRule="auto"/>
        <w:ind w:left="240" w:hanging="240"/>
      </w:pPr>
      <w:r w:rsidRPr="00263B7E">
        <w:rPr>
          <w:rFonts w:ascii="Calibri" w:eastAsia="Calibri" w:hAnsi="Calibri" w:cs="Calibri"/>
          <w:b/>
          <w:bCs/>
          <w:color w:val="1A1A1A"/>
          <w:sz w:val="19"/>
          <w:szCs w:val="19"/>
          <w:highlight w:val="yellow"/>
        </w:rPr>
        <w:t>N° 1</w:t>
      </w:r>
      <w:r w:rsidRPr="00263B7E">
        <w:rPr>
          <w:rFonts w:ascii="Calibri" w:eastAsia="Calibri" w:hAnsi="Calibri" w:cs="Calibri"/>
          <w:color w:val="1A1A1A"/>
          <w:sz w:val="19"/>
          <w:szCs w:val="19"/>
          <w:highlight w:val="yellow"/>
        </w:rPr>
        <w:t xml:space="preserve"> — Fiche n° 1 (p. 14) — </w:t>
      </w:r>
      <w:r w:rsidRPr="00263B7E">
        <w:rPr>
          <w:rFonts w:ascii="Calibri" w:eastAsia="Calibri" w:hAnsi="Calibri" w:cs="Calibri"/>
          <w:i/>
          <w:iCs/>
          <w:color w:val="1A1A1A"/>
          <w:sz w:val="19"/>
          <w:szCs w:val="19"/>
          <w:highlight w:val="yellow"/>
        </w:rPr>
        <w:t>Argumentation juridique</w:t>
      </w:r>
      <w:r w:rsidRPr="00263B7E">
        <w:rPr>
          <w:rFonts w:ascii="Calibri" w:eastAsia="Calibri" w:hAnsi="Calibri" w:cs="Calibri"/>
          <w:color w:val="1A1A1A"/>
          <w:sz w:val="19"/>
          <w:szCs w:val="19"/>
          <w:highlight w:val="yellow"/>
        </w:rPr>
        <w:t xml:space="preserve"> : Soutenez que la controverse grammaticale autour de la notion de « droits humains » est, en réalité, de nature juridique et politique.</w:t>
      </w:r>
    </w:p>
    <w:p w14:paraId="10DA8112" w14:textId="77777777" w:rsidR="001E3E87" w:rsidRDefault="005258B2">
      <w:pPr>
        <w:spacing w:after="50" w:line="252" w:lineRule="auto"/>
        <w:ind w:left="240" w:hanging="240"/>
      </w:pPr>
      <w:r w:rsidRPr="00C83FEC">
        <w:rPr>
          <w:rFonts w:ascii="Calibri" w:eastAsia="Calibri" w:hAnsi="Calibri" w:cs="Calibri"/>
          <w:b/>
          <w:bCs/>
          <w:color w:val="1A1A1A"/>
          <w:sz w:val="19"/>
          <w:szCs w:val="19"/>
          <w:highlight w:val="yellow"/>
        </w:rPr>
        <w:t>N° 2</w:t>
      </w:r>
      <w:r w:rsidRPr="00C83FEC">
        <w:rPr>
          <w:rFonts w:ascii="Calibri" w:eastAsia="Calibri" w:hAnsi="Calibri" w:cs="Calibri"/>
          <w:color w:val="1A1A1A"/>
          <w:sz w:val="19"/>
          <w:szCs w:val="19"/>
          <w:highlight w:val="yellow"/>
        </w:rPr>
        <w:t xml:space="preserve"> — Fiche n° 2 (p. 25) — </w:t>
      </w:r>
      <w:r w:rsidRPr="00C83FEC">
        <w:rPr>
          <w:rFonts w:ascii="Calibri" w:eastAsia="Calibri" w:hAnsi="Calibri" w:cs="Calibri"/>
          <w:i/>
          <w:iCs/>
          <w:color w:val="1A1A1A"/>
          <w:sz w:val="19"/>
          <w:szCs w:val="19"/>
          <w:highlight w:val="yellow"/>
        </w:rPr>
        <w:t>Dissertation</w:t>
      </w:r>
      <w:r w:rsidRPr="00C83FEC">
        <w:rPr>
          <w:rFonts w:ascii="Calibri" w:eastAsia="Calibri" w:hAnsi="Calibri" w:cs="Calibri"/>
          <w:color w:val="1A1A1A"/>
          <w:sz w:val="19"/>
          <w:szCs w:val="19"/>
          <w:highlight w:val="yellow"/>
        </w:rPr>
        <w:t xml:space="preserve"> : Les libertés chez les penseurs du contrat social.</w:t>
      </w:r>
    </w:p>
    <w:p w14:paraId="29965094" w14:textId="77777777" w:rsidR="001E3E87" w:rsidRDefault="005258B2">
      <w:pPr>
        <w:spacing w:after="50" w:line="252" w:lineRule="auto"/>
        <w:ind w:left="240" w:hanging="240"/>
      </w:pPr>
      <w:r w:rsidRPr="00C83FEC">
        <w:rPr>
          <w:rFonts w:ascii="Calibri" w:eastAsia="Calibri" w:hAnsi="Calibri" w:cs="Calibri"/>
          <w:b/>
          <w:bCs/>
          <w:color w:val="1A1A1A"/>
          <w:sz w:val="19"/>
          <w:szCs w:val="19"/>
          <w:highlight w:val="yellow"/>
        </w:rPr>
        <w:t>N° 3</w:t>
      </w:r>
      <w:r w:rsidRPr="00C83FEC">
        <w:rPr>
          <w:rFonts w:ascii="Calibri" w:eastAsia="Calibri" w:hAnsi="Calibri" w:cs="Calibri"/>
          <w:color w:val="1A1A1A"/>
          <w:sz w:val="19"/>
          <w:szCs w:val="19"/>
          <w:highlight w:val="yellow"/>
        </w:rPr>
        <w:t xml:space="preserve"> — Fiche n° 3 (p. 35) — </w:t>
      </w:r>
      <w:r w:rsidRPr="00C83FEC">
        <w:rPr>
          <w:rFonts w:ascii="Calibri" w:eastAsia="Calibri" w:hAnsi="Calibri" w:cs="Calibri"/>
          <w:i/>
          <w:iCs/>
          <w:color w:val="1A1A1A"/>
          <w:sz w:val="19"/>
          <w:szCs w:val="19"/>
          <w:highlight w:val="yellow"/>
        </w:rPr>
        <w:t>Commentaire de texte</w:t>
      </w:r>
      <w:r w:rsidRPr="00C83FEC">
        <w:rPr>
          <w:rFonts w:ascii="Calibri" w:eastAsia="Calibri" w:hAnsi="Calibri" w:cs="Calibri"/>
          <w:color w:val="1A1A1A"/>
          <w:sz w:val="19"/>
          <w:szCs w:val="19"/>
          <w:highlight w:val="yellow"/>
        </w:rPr>
        <w:t xml:space="preserve"> : Article 1er Déclaration des droits de l’homme et du citoyen, 1789 : « Les Hommes naissent et demeurent libres et égaux en droits. Les distinctions sociales ne…</w:t>
      </w:r>
    </w:p>
    <w:p w14:paraId="069E0AB9" w14:textId="77777777" w:rsidR="001E3E87" w:rsidRDefault="005258B2">
      <w:pPr>
        <w:spacing w:after="50" w:line="252" w:lineRule="auto"/>
        <w:ind w:left="240" w:hanging="240"/>
      </w:pPr>
      <w:r w:rsidRPr="006E134D">
        <w:rPr>
          <w:rFonts w:ascii="Calibri" w:eastAsia="Calibri" w:hAnsi="Calibri" w:cs="Calibri"/>
          <w:b/>
          <w:bCs/>
          <w:color w:val="1A1A1A"/>
          <w:sz w:val="19"/>
          <w:szCs w:val="19"/>
          <w:highlight w:val="yellow"/>
        </w:rPr>
        <w:t>N° 4</w:t>
      </w:r>
      <w:r w:rsidRPr="006E134D">
        <w:rPr>
          <w:rFonts w:ascii="Calibri" w:eastAsia="Calibri" w:hAnsi="Calibri" w:cs="Calibri"/>
          <w:color w:val="1A1A1A"/>
          <w:sz w:val="19"/>
          <w:szCs w:val="19"/>
          <w:highlight w:val="yellow"/>
        </w:rPr>
        <w:t xml:space="preserve"> — Fiche n° 4 (p. 44) — </w:t>
      </w:r>
      <w:r w:rsidRPr="006E134D">
        <w:rPr>
          <w:rFonts w:ascii="Calibri" w:eastAsia="Calibri" w:hAnsi="Calibri" w:cs="Calibri"/>
          <w:i/>
          <w:iCs/>
          <w:color w:val="1A1A1A"/>
          <w:sz w:val="19"/>
          <w:szCs w:val="19"/>
          <w:highlight w:val="yellow"/>
        </w:rPr>
        <w:t>Argumentation juridique</w:t>
      </w:r>
      <w:r w:rsidRPr="006E134D">
        <w:rPr>
          <w:rFonts w:ascii="Calibri" w:eastAsia="Calibri" w:hAnsi="Calibri" w:cs="Calibri"/>
          <w:color w:val="1A1A1A"/>
          <w:sz w:val="19"/>
          <w:szCs w:val="19"/>
          <w:highlight w:val="yellow"/>
        </w:rPr>
        <w:t xml:space="preserve"> : La classification des libertés fondamentales est-elle impossible ?</w:t>
      </w:r>
    </w:p>
    <w:p w14:paraId="780DFD39" w14:textId="77777777" w:rsidR="001E3E87" w:rsidRDefault="005258B2">
      <w:pPr>
        <w:spacing w:after="50" w:line="252" w:lineRule="auto"/>
        <w:ind w:left="240" w:hanging="240"/>
      </w:pPr>
      <w:r w:rsidRPr="00BC2ECB">
        <w:rPr>
          <w:rFonts w:ascii="Calibri" w:eastAsia="Calibri" w:hAnsi="Calibri" w:cs="Calibri"/>
          <w:b/>
          <w:bCs/>
          <w:color w:val="1A1A1A"/>
          <w:sz w:val="19"/>
          <w:szCs w:val="19"/>
          <w:highlight w:val="yellow"/>
        </w:rPr>
        <w:t>N° 5</w:t>
      </w:r>
      <w:r w:rsidRPr="00BC2ECB">
        <w:rPr>
          <w:rFonts w:ascii="Calibri" w:eastAsia="Calibri" w:hAnsi="Calibri" w:cs="Calibri"/>
          <w:color w:val="1A1A1A"/>
          <w:sz w:val="19"/>
          <w:szCs w:val="19"/>
          <w:highlight w:val="yellow"/>
        </w:rPr>
        <w:t xml:space="preserve"> — Fiche n° 5 (p. 54) — </w:t>
      </w:r>
      <w:r w:rsidRPr="00BC2ECB">
        <w:rPr>
          <w:rFonts w:ascii="Calibri" w:eastAsia="Calibri" w:hAnsi="Calibri" w:cs="Calibri"/>
          <w:i/>
          <w:iCs/>
          <w:color w:val="1A1A1A"/>
          <w:sz w:val="19"/>
          <w:szCs w:val="19"/>
          <w:highlight w:val="yellow"/>
        </w:rPr>
        <w:t>Argumentation juridique</w:t>
      </w:r>
      <w:r w:rsidRPr="00BC2ECB">
        <w:rPr>
          <w:rFonts w:ascii="Calibri" w:eastAsia="Calibri" w:hAnsi="Calibri" w:cs="Calibri"/>
          <w:color w:val="1A1A1A"/>
          <w:sz w:val="19"/>
          <w:szCs w:val="19"/>
          <w:highlight w:val="yellow"/>
        </w:rPr>
        <w:t xml:space="preserve"> : Soutenez que l’universalité des droits humains est impossible.</w:t>
      </w:r>
    </w:p>
    <w:p w14:paraId="4BB85F61" w14:textId="77777777" w:rsidR="001E3E87" w:rsidRPr="00502F32" w:rsidRDefault="005258B2">
      <w:pPr>
        <w:spacing w:after="50" w:line="252" w:lineRule="auto"/>
        <w:ind w:left="240" w:hanging="240"/>
        <w:rPr>
          <w:highlight w:val="yellow"/>
        </w:rPr>
      </w:pPr>
      <w:r w:rsidRPr="00502F32">
        <w:rPr>
          <w:rFonts w:ascii="Calibri" w:eastAsia="Calibri" w:hAnsi="Calibri" w:cs="Calibri"/>
          <w:b/>
          <w:bCs/>
          <w:color w:val="1A1A1A"/>
          <w:sz w:val="19"/>
          <w:szCs w:val="19"/>
          <w:highlight w:val="yellow"/>
        </w:rPr>
        <w:t>N° 6</w:t>
      </w:r>
      <w:r w:rsidRPr="00502F32">
        <w:rPr>
          <w:rFonts w:ascii="Calibri" w:eastAsia="Calibri" w:hAnsi="Calibri" w:cs="Calibri"/>
          <w:color w:val="1A1A1A"/>
          <w:sz w:val="19"/>
          <w:szCs w:val="19"/>
          <w:highlight w:val="yellow"/>
        </w:rPr>
        <w:t xml:space="preserve"> — Fiche n° 6 (p. 60) — </w:t>
      </w:r>
      <w:r w:rsidRPr="00502F32">
        <w:rPr>
          <w:rFonts w:ascii="Calibri" w:eastAsia="Calibri" w:hAnsi="Calibri" w:cs="Calibri"/>
          <w:i/>
          <w:iCs/>
          <w:color w:val="1A1A1A"/>
          <w:sz w:val="19"/>
          <w:szCs w:val="19"/>
          <w:highlight w:val="yellow"/>
        </w:rPr>
        <w:t>Commentaire de texte</w:t>
      </w:r>
      <w:r w:rsidRPr="00502F32">
        <w:rPr>
          <w:rFonts w:ascii="Calibri" w:eastAsia="Calibri" w:hAnsi="Calibri" w:cs="Calibri"/>
          <w:color w:val="1A1A1A"/>
          <w:sz w:val="19"/>
          <w:szCs w:val="19"/>
          <w:highlight w:val="yellow"/>
        </w:rPr>
        <w:t xml:space="preserve"> : article 211-1 du Code de la sécurité intérieure (Ordonnance no 2012-351 du 12 mars 2012) : « Sont soumis à l’obligation d’une déclaration préalable tous…</w:t>
      </w:r>
    </w:p>
    <w:p w14:paraId="7B2FE6D3" w14:textId="77777777" w:rsidR="001E3E87" w:rsidRDefault="005258B2">
      <w:pPr>
        <w:spacing w:after="50" w:line="252" w:lineRule="auto"/>
        <w:ind w:left="240" w:hanging="240"/>
      </w:pPr>
      <w:r w:rsidRPr="00502F32">
        <w:rPr>
          <w:rFonts w:ascii="Calibri" w:eastAsia="Calibri" w:hAnsi="Calibri" w:cs="Calibri"/>
          <w:b/>
          <w:bCs/>
          <w:color w:val="1A1A1A"/>
          <w:sz w:val="19"/>
          <w:szCs w:val="19"/>
          <w:highlight w:val="yellow"/>
        </w:rPr>
        <w:t>N° 7</w:t>
      </w:r>
      <w:r w:rsidRPr="00502F32">
        <w:rPr>
          <w:rFonts w:ascii="Calibri" w:eastAsia="Calibri" w:hAnsi="Calibri" w:cs="Calibri"/>
          <w:color w:val="1A1A1A"/>
          <w:sz w:val="19"/>
          <w:szCs w:val="19"/>
          <w:highlight w:val="yellow"/>
        </w:rPr>
        <w:t xml:space="preserve"> — Fiche n° 7 (p. 72) — </w:t>
      </w:r>
      <w:r w:rsidRPr="00502F32">
        <w:rPr>
          <w:rFonts w:ascii="Calibri" w:eastAsia="Calibri" w:hAnsi="Calibri" w:cs="Calibri"/>
          <w:i/>
          <w:iCs/>
          <w:color w:val="1A1A1A"/>
          <w:sz w:val="19"/>
          <w:szCs w:val="19"/>
          <w:highlight w:val="yellow"/>
        </w:rPr>
        <w:t>Dissertation</w:t>
      </w:r>
      <w:r w:rsidRPr="00502F32">
        <w:rPr>
          <w:rFonts w:ascii="Calibri" w:eastAsia="Calibri" w:hAnsi="Calibri" w:cs="Calibri"/>
          <w:color w:val="1A1A1A"/>
          <w:sz w:val="19"/>
          <w:szCs w:val="19"/>
          <w:highlight w:val="yellow"/>
        </w:rPr>
        <w:t xml:space="preserve"> : Les limitations des droits humains en période d’exception constituent-elles réellement des exceptions ?</w:t>
      </w:r>
    </w:p>
    <w:p w14:paraId="77B71DA4" w14:textId="77777777" w:rsidR="001E3E87" w:rsidRDefault="005258B2">
      <w:pPr>
        <w:spacing w:after="50" w:line="252" w:lineRule="auto"/>
        <w:ind w:left="240" w:hanging="240"/>
      </w:pPr>
      <w:r w:rsidRPr="009A094A">
        <w:rPr>
          <w:rFonts w:ascii="Calibri" w:eastAsia="Calibri" w:hAnsi="Calibri" w:cs="Calibri"/>
          <w:b/>
          <w:bCs/>
          <w:color w:val="1A1A1A"/>
          <w:sz w:val="19"/>
          <w:szCs w:val="19"/>
          <w:highlight w:val="yellow"/>
        </w:rPr>
        <w:t>N° 8</w:t>
      </w:r>
      <w:r w:rsidRPr="009A094A">
        <w:rPr>
          <w:rFonts w:ascii="Calibri" w:eastAsia="Calibri" w:hAnsi="Calibri" w:cs="Calibri"/>
          <w:color w:val="1A1A1A"/>
          <w:sz w:val="19"/>
          <w:szCs w:val="19"/>
          <w:highlight w:val="yellow"/>
        </w:rPr>
        <w:t xml:space="preserve"> — Fiche n° 8 (p. 80) — </w:t>
      </w:r>
      <w:r w:rsidRPr="009A094A">
        <w:rPr>
          <w:rFonts w:ascii="Calibri" w:eastAsia="Calibri" w:hAnsi="Calibri" w:cs="Calibri"/>
          <w:i/>
          <w:iCs/>
          <w:color w:val="1A1A1A"/>
          <w:sz w:val="19"/>
          <w:szCs w:val="19"/>
          <w:highlight w:val="yellow"/>
        </w:rPr>
        <w:t>Commentaire de texte</w:t>
      </w:r>
      <w:r w:rsidRPr="009A094A">
        <w:rPr>
          <w:rFonts w:ascii="Calibri" w:eastAsia="Calibri" w:hAnsi="Calibri" w:cs="Calibri"/>
          <w:color w:val="1A1A1A"/>
          <w:sz w:val="19"/>
          <w:szCs w:val="19"/>
          <w:highlight w:val="yellow"/>
        </w:rPr>
        <w:t xml:space="preserve"> : Article 2 du Traité sur l’Union européenne : « L’Union est fondée sur les valeurs de respect de la dignité humaine, de liberté, de démocratie, d’égalité, de…</w:t>
      </w:r>
    </w:p>
    <w:p w14:paraId="46F9197C" w14:textId="77777777" w:rsidR="001E3E87" w:rsidRDefault="005258B2">
      <w:pPr>
        <w:pStyle w:val="Titre2"/>
        <w:spacing w:before="240" w:after="110"/>
      </w:pPr>
      <w:r>
        <w:rPr>
          <w:rFonts w:ascii="Calibri" w:eastAsia="Calibri" w:hAnsi="Calibri" w:cs="Calibri"/>
          <w:b/>
          <w:bCs/>
          <w:color w:val="1A1A1A"/>
          <w:spacing w:val="20"/>
          <w:sz w:val="23"/>
          <w:szCs w:val="23"/>
        </w:rPr>
        <w:t>PARTIE II. LES SOURCES INTERNES</w:t>
      </w:r>
    </w:p>
    <w:p w14:paraId="5D537C18" w14:textId="77777777" w:rsidR="001E3E87" w:rsidRPr="009C2C67" w:rsidRDefault="005258B2">
      <w:pPr>
        <w:spacing w:after="50" w:line="252" w:lineRule="auto"/>
        <w:ind w:left="240" w:hanging="240"/>
        <w:rPr>
          <w:highlight w:val="yellow"/>
        </w:rPr>
      </w:pPr>
      <w:r w:rsidRPr="009C2C67">
        <w:rPr>
          <w:rFonts w:ascii="Calibri" w:eastAsia="Calibri" w:hAnsi="Calibri" w:cs="Calibri"/>
          <w:b/>
          <w:bCs/>
          <w:color w:val="1A1A1A"/>
          <w:sz w:val="19"/>
          <w:szCs w:val="19"/>
          <w:highlight w:val="yellow"/>
        </w:rPr>
        <w:t>N° 9</w:t>
      </w:r>
      <w:r w:rsidRPr="009C2C67">
        <w:rPr>
          <w:rFonts w:ascii="Calibri" w:eastAsia="Calibri" w:hAnsi="Calibri" w:cs="Calibri"/>
          <w:color w:val="1A1A1A"/>
          <w:sz w:val="19"/>
          <w:szCs w:val="19"/>
          <w:highlight w:val="yellow"/>
        </w:rPr>
        <w:t xml:space="preserve"> — Fiche n° 9 (p. 92) — </w:t>
      </w:r>
      <w:r w:rsidRPr="009C2C67">
        <w:rPr>
          <w:rFonts w:ascii="Calibri" w:eastAsia="Calibri" w:hAnsi="Calibri" w:cs="Calibri"/>
          <w:i/>
          <w:iCs/>
          <w:color w:val="1A1A1A"/>
          <w:sz w:val="19"/>
          <w:szCs w:val="19"/>
          <w:highlight w:val="yellow"/>
        </w:rPr>
        <w:t>Commentaire de décision</w:t>
      </w:r>
      <w:r w:rsidRPr="009C2C67">
        <w:rPr>
          <w:rFonts w:ascii="Calibri" w:eastAsia="Calibri" w:hAnsi="Calibri" w:cs="Calibri"/>
          <w:color w:val="1A1A1A"/>
          <w:sz w:val="19"/>
          <w:szCs w:val="19"/>
          <w:highlight w:val="yellow"/>
        </w:rPr>
        <w:t xml:space="preserve"> : Cons. const., no 71-44 DC, 16 juillet 1971, Loi complétant les dispositions des articles 5 et 7 de la loi du 1er juillet 1901 relative au contrat d’association.</w:t>
      </w:r>
    </w:p>
    <w:p w14:paraId="66CC7A96" w14:textId="77777777" w:rsidR="001E3E87" w:rsidRPr="009C2C67" w:rsidRDefault="005258B2">
      <w:pPr>
        <w:spacing w:after="50" w:line="252" w:lineRule="auto"/>
        <w:ind w:left="240" w:hanging="240"/>
        <w:rPr>
          <w:highlight w:val="yellow"/>
        </w:rPr>
      </w:pPr>
      <w:r w:rsidRPr="009C2C67">
        <w:rPr>
          <w:rFonts w:ascii="Calibri" w:eastAsia="Calibri" w:hAnsi="Calibri" w:cs="Calibri"/>
          <w:b/>
          <w:bCs/>
          <w:color w:val="1A1A1A"/>
          <w:sz w:val="19"/>
          <w:szCs w:val="19"/>
          <w:highlight w:val="yellow"/>
        </w:rPr>
        <w:t>N° 10</w:t>
      </w:r>
      <w:r w:rsidRPr="009C2C67">
        <w:rPr>
          <w:rFonts w:ascii="Calibri" w:eastAsia="Calibri" w:hAnsi="Calibri" w:cs="Calibri"/>
          <w:color w:val="1A1A1A"/>
          <w:sz w:val="19"/>
          <w:szCs w:val="19"/>
          <w:highlight w:val="yellow"/>
        </w:rPr>
        <w:t xml:space="preserve"> — Fiche n° 10 (p. 102) — </w:t>
      </w:r>
      <w:r w:rsidRPr="009C2C67">
        <w:rPr>
          <w:rFonts w:ascii="Calibri" w:eastAsia="Calibri" w:hAnsi="Calibri" w:cs="Calibri"/>
          <w:i/>
          <w:iCs/>
          <w:color w:val="1A1A1A"/>
          <w:sz w:val="19"/>
          <w:szCs w:val="19"/>
          <w:highlight w:val="yellow"/>
        </w:rPr>
        <w:t>Commentaire de texte</w:t>
      </w:r>
      <w:r w:rsidRPr="009C2C67">
        <w:rPr>
          <w:rFonts w:ascii="Calibri" w:eastAsia="Calibri" w:hAnsi="Calibri" w:cs="Calibri"/>
          <w:color w:val="1A1A1A"/>
          <w:sz w:val="19"/>
          <w:szCs w:val="19"/>
          <w:highlight w:val="yellow"/>
        </w:rPr>
        <w:t xml:space="preserve"> : Loi constitutionnelle no 2024-200 du 8 mars 2024 relative </w:t>
      </w:r>
      <w:proofErr w:type="gramStart"/>
      <w:r w:rsidRPr="009C2C67">
        <w:rPr>
          <w:rFonts w:ascii="Calibri" w:eastAsia="Calibri" w:hAnsi="Calibri" w:cs="Calibri"/>
          <w:color w:val="1A1A1A"/>
          <w:sz w:val="19"/>
          <w:szCs w:val="19"/>
          <w:highlight w:val="yellow"/>
        </w:rPr>
        <w:t>à</w:t>
      </w:r>
      <w:proofErr w:type="gramEnd"/>
      <w:r w:rsidRPr="009C2C67">
        <w:rPr>
          <w:rFonts w:ascii="Calibri" w:eastAsia="Calibri" w:hAnsi="Calibri" w:cs="Calibri"/>
          <w:color w:val="1A1A1A"/>
          <w:sz w:val="19"/>
          <w:szCs w:val="19"/>
          <w:highlight w:val="yellow"/>
        </w:rPr>
        <w:t xml:space="preserve"> la liberté de recourir à l’interruption volontaire de grossesse : Article unique : « Après le…</w:t>
      </w:r>
    </w:p>
    <w:p w14:paraId="4D87AC7A" w14:textId="77777777" w:rsidR="001E3E87" w:rsidRDefault="005258B2">
      <w:pPr>
        <w:spacing w:after="50" w:line="252" w:lineRule="auto"/>
        <w:ind w:left="240" w:hanging="240"/>
      </w:pPr>
      <w:r w:rsidRPr="009C2C67">
        <w:rPr>
          <w:rFonts w:ascii="Calibri" w:eastAsia="Calibri" w:hAnsi="Calibri" w:cs="Calibri"/>
          <w:b/>
          <w:bCs/>
          <w:color w:val="1A1A1A"/>
          <w:sz w:val="19"/>
          <w:szCs w:val="19"/>
          <w:highlight w:val="yellow"/>
        </w:rPr>
        <w:t>N° 11</w:t>
      </w:r>
      <w:r w:rsidRPr="009C2C67">
        <w:rPr>
          <w:rFonts w:ascii="Calibri" w:eastAsia="Calibri" w:hAnsi="Calibri" w:cs="Calibri"/>
          <w:color w:val="1A1A1A"/>
          <w:sz w:val="19"/>
          <w:szCs w:val="19"/>
          <w:highlight w:val="yellow"/>
        </w:rPr>
        <w:t xml:space="preserve"> — Fiche n° 11 (p. 113) — </w:t>
      </w:r>
      <w:r w:rsidRPr="009C2C67">
        <w:rPr>
          <w:rFonts w:ascii="Calibri" w:eastAsia="Calibri" w:hAnsi="Calibri" w:cs="Calibri"/>
          <w:i/>
          <w:iCs/>
          <w:color w:val="1A1A1A"/>
          <w:sz w:val="19"/>
          <w:szCs w:val="19"/>
          <w:highlight w:val="yellow"/>
        </w:rPr>
        <w:t>Dissertation</w:t>
      </w:r>
      <w:r w:rsidRPr="009C2C67">
        <w:rPr>
          <w:rFonts w:ascii="Calibri" w:eastAsia="Calibri" w:hAnsi="Calibri" w:cs="Calibri"/>
          <w:color w:val="1A1A1A"/>
          <w:sz w:val="19"/>
          <w:szCs w:val="19"/>
          <w:highlight w:val="yellow"/>
        </w:rPr>
        <w:t xml:space="preserve"> : Le pouvoir règlementaire est-il gardien des libertés ?</w:t>
      </w:r>
    </w:p>
    <w:p w14:paraId="68F091F2" w14:textId="77777777" w:rsidR="001E3E87" w:rsidRDefault="005258B2">
      <w:pPr>
        <w:pStyle w:val="Titre2"/>
        <w:spacing w:before="240" w:after="110"/>
      </w:pPr>
      <w:r>
        <w:rPr>
          <w:rFonts w:ascii="Calibri" w:eastAsia="Calibri" w:hAnsi="Calibri" w:cs="Calibri"/>
          <w:b/>
          <w:bCs/>
          <w:color w:val="1A1A1A"/>
          <w:spacing w:val="20"/>
          <w:sz w:val="23"/>
          <w:szCs w:val="23"/>
        </w:rPr>
        <w:t>PARTIE III. LES SOURCES EXTERNES</w:t>
      </w:r>
    </w:p>
    <w:p w14:paraId="701BD1A5" w14:textId="77777777" w:rsidR="001E3E87" w:rsidRPr="001C798B" w:rsidRDefault="005258B2">
      <w:pPr>
        <w:spacing w:after="50" w:line="252" w:lineRule="auto"/>
        <w:ind w:left="240" w:hanging="240"/>
        <w:rPr>
          <w:highlight w:val="yellow"/>
        </w:rPr>
      </w:pPr>
      <w:r w:rsidRPr="001C798B">
        <w:rPr>
          <w:rFonts w:ascii="Calibri" w:eastAsia="Calibri" w:hAnsi="Calibri" w:cs="Calibri"/>
          <w:b/>
          <w:bCs/>
          <w:color w:val="1A1A1A"/>
          <w:sz w:val="19"/>
          <w:szCs w:val="19"/>
          <w:highlight w:val="yellow"/>
        </w:rPr>
        <w:t>N° 12</w:t>
      </w:r>
      <w:r w:rsidRPr="001C798B">
        <w:rPr>
          <w:rFonts w:ascii="Calibri" w:eastAsia="Calibri" w:hAnsi="Calibri" w:cs="Calibri"/>
          <w:color w:val="1A1A1A"/>
          <w:sz w:val="19"/>
          <w:szCs w:val="19"/>
          <w:highlight w:val="yellow"/>
        </w:rPr>
        <w:t xml:space="preserve"> — Fiche n° 12 (p. 123) — </w:t>
      </w:r>
      <w:r w:rsidRPr="001C798B">
        <w:rPr>
          <w:rFonts w:ascii="Calibri" w:eastAsia="Calibri" w:hAnsi="Calibri" w:cs="Calibri"/>
          <w:i/>
          <w:iCs/>
          <w:color w:val="1A1A1A"/>
          <w:sz w:val="19"/>
          <w:szCs w:val="19"/>
          <w:highlight w:val="yellow"/>
        </w:rPr>
        <w:t>Dissertation</w:t>
      </w:r>
      <w:r w:rsidRPr="001C798B">
        <w:rPr>
          <w:rFonts w:ascii="Calibri" w:eastAsia="Calibri" w:hAnsi="Calibri" w:cs="Calibri"/>
          <w:color w:val="1A1A1A"/>
          <w:sz w:val="19"/>
          <w:szCs w:val="19"/>
          <w:highlight w:val="yellow"/>
        </w:rPr>
        <w:t xml:space="preserve"> : Internationalisation du droit des libertés et souveraineté des États</w:t>
      </w:r>
    </w:p>
    <w:p w14:paraId="764693E2" w14:textId="77777777" w:rsidR="001E3E87" w:rsidRPr="001C798B" w:rsidRDefault="005258B2">
      <w:pPr>
        <w:spacing w:after="50" w:line="252" w:lineRule="auto"/>
        <w:ind w:left="240" w:hanging="240"/>
        <w:rPr>
          <w:highlight w:val="yellow"/>
        </w:rPr>
      </w:pPr>
      <w:r w:rsidRPr="001C798B">
        <w:rPr>
          <w:rFonts w:ascii="Calibri" w:eastAsia="Calibri" w:hAnsi="Calibri" w:cs="Calibri"/>
          <w:b/>
          <w:bCs/>
          <w:color w:val="1A1A1A"/>
          <w:sz w:val="19"/>
          <w:szCs w:val="19"/>
          <w:highlight w:val="yellow"/>
        </w:rPr>
        <w:t>N° 13</w:t>
      </w:r>
      <w:r w:rsidRPr="001C798B">
        <w:rPr>
          <w:rFonts w:ascii="Calibri" w:eastAsia="Calibri" w:hAnsi="Calibri" w:cs="Calibri"/>
          <w:color w:val="1A1A1A"/>
          <w:sz w:val="19"/>
          <w:szCs w:val="19"/>
          <w:highlight w:val="yellow"/>
        </w:rPr>
        <w:t xml:space="preserve"> — Fiche n° 13 (p. 131) — </w:t>
      </w:r>
      <w:r w:rsidRPr="001C798B">
        <w:rPr>
          <w:rFonts w:ascii="Calibri" w:eastAsia="Calibri" w:hAnsi="Calibri" w:cs="Calibri"/>
          <w:i/>
          <w:iCs/>
          <w:color w:val="1A1A1A"/>
          <w:sz w:val="19"/>
          <w:szCs w:val="19"/>
          <w:highlight w:val="yellow"/>
        </w:rPr>
        <w:t>Argumentation juridique</w:t>
      </w:r>
      <w:r w:rsidRPr="001C798B">
        <w:rPr>
          <w:rFonts w:ascii="Calibri" w:eastAsia="Calibri" w:hAnsi="Calibri" w:cs="Calibri"/>
          <w:color w:val="1A1A1A"/>
          <w:sz w:val="19"/>
          <w:szCs w:val="19"/>
          <w:highlight w:val="yellow"/>
        </w:rPr>
        <w:t xml:space="preserve"> : Soutenez que la Déclaration universelle des droits de l’homme contribue à la protection des droits humains malgré son caractère non contraignant.</w:t>
      </w:r>
    </w:p>
    <w:p w14:paraId="0CA4495A" w14:textId="77777777" w:rsidR="001E3E87" w:rsidRPr="001C798B" w:rsidRDefault="005258B2">
      <w:pPr>
        <w:spacing w:after="50" w:line="252" w:lineRule="auto"/>
        <w:ind w:left="240" w:hanging="240"/>
        <w:rPr>
          <w:highlight w:val="yellow"/>
        </w:rPr>
      </w:pPr>
      <w:r w:rsidRPr="001C798B">
        <w:rPr>
          <w:rFonts w:ascii="Calibri" w:eastAsia="Calibri" w:hAnsi="Calibri" w:cs="Calibri"/>
          <w:b/>
          <w:bCs/>
          <w:color w:val="1A1A1A"/>
          <w:sz w:val="19"/>
          <w:szCs w:val="19"/>
          <w:highlight w:val="yellow"/>
        </w:rPr>
        <w:t>N° 14</w:t>
      </w:r>
      <w:r w:rsidRPr="001C798B">
        <w:rPr>
          <w:rFonts w:ascii="Calibri" w:eastAsia="Calibri" w:hAnsi="Calibri" w:cs="Calibri"/>
          <w:color w:val="1A1A1A"/>
          <w:sz w:val="19"/>
          <w:szCs w:val="19"/>
          <w:highlight w:val="yellow"/>
        </w:rPr>
        <w:t xml:space="preserve"> — Fiche n° 14 (p. 142) — </w:t>
      </w:r>
      <w:r w:rsidRPr="001C798B">
        <w:rPr>
          <w:rFonts w:ascii="Calibri" w:eastAsia="Calibri" w:hAnsi="Calibri" w:cs="Calibri"/>
          <w:i/>
          <w:iCs/>
          <w:color w:val="1A1A1A"/>
          <w:sz w:val="19"/>
          <w:szCs w:val="19"/>
          <w:highlight w:val="yellow"/>
        </w:rPr>
        <w:t>Dissertation</w:t>
      </w:r>
      <w:r w:rsidRPr="001C798B">
        <w:rPr>
          <w:rFonts w:ascii="Calibri" w:eastAsia="Calibri" w:hAnsi="Calibri" w:cs="Calibri"/>
          <w:color w:val="1A1A1A"/>
          <w:sz w:val="19"/>
          <w:szCs w:val="19"/>
          <w:highlight w:val="yellow"/>
        </w:rPr>
        <w:t xml:space="preserve"> : Existe-t-il un gouvernement des juges de la Cour européenne des droits de l’homme ?</w:t>
      </w:r>
    </w:p>
    <w:p w14:paraId="159ECC1A" w14:textId="77777777" w:rsidR="001E3E87" w:rsidRDefault="005258B2">
      <w:pPr>
        <w:spacing w:after="50" w:line="252" w:lineRule="auto"/>
        <w:ind w:left="240" w:hanging="240"/>
      </w:pPr>
      <w:r w:rsidRPr="001C798B">
        <w:rPr>
          <w:rFonts w:ascii="Calibri" w:eastAsia="Calibri" w:hAnsi="Calibri" w:cs="Calibri"/>
          <w:b/>
          <w:bCs/>
          <w:color w:val="1A1A1A"/>
          <w:sz w:val="19"/>
          <w:szCs w:val="19"/>
          <w:highlight w:val="yellow"/>
        </w:rPr>
        <w:t>N° 15</w:t>
      </w:r>
      <w:r w:rsidRPr="001C798B">
        <w:rPr>
          <w:rFonts w:ascii="Calibri" w:eastAsia="Calibri" w:hAnsi="Calibri" w:cs="Calibri"/>
          <w:color w:val="1A1A1A"/>
          <w:sz w:val="19"/>
          <w:szCs w:val="19"/>
          <w:highlight w:val="yellow"/>
        </w:rPr>
        <w:t xml:space="preserve"> — Fiche n° 15 (p. 151) — </w:t>
      </w:r>
      <w:r w:rsidRPr="001C798B">
        <w:rPr>
          <w:rFonts w:ascii="Calibri" w:eastAsia="Calibri" w:hAnsi="Calibri" w:cs="Calibri"/>
          <w:i/>
          <w:iCs/>
          <w:color w:val="1A1A1A"/>
          <w:sz w:val="19"/>
          <w:szCs w:val="19"/>
          <w:highlight w:val="yellow"/>
        </w:rPr>
        <w:t>Argumentation juridique</w:t>
      </w:r>
      <w:r w:rsidRPr="001C798B">
        <w:rPr>
          <w:rFonts w:ascii="Calibri" w:eastAsia="Calibri" w:hAnsi="Calibri" w:cs="Calibri"/>
          <w:color w:val="1A1A1A"/>
          <w:sz w:val="19"/>
          <w:szCs w:val="19"/>
          <w:highlight w:val="yellow"/>
        </w:rPr>
        <w:t xml:space="preserve"> : Soutenez qu’il existe un décalage entre le discours actuel de l’Union européenne sur les droits humains et la réalité observée en matière de politique…</w:t>
      </w:r>
    </w:p>
    <w:p w14:paraId="0808C316" w14:textId="77777777" w:rsidR="001E3E87" w:rsidRDefault="005258B2">
      <w:pPr>
        <w:pStyle w:val="Titre2"/>
        <w:spacing w:before="240" w:after="110"/>
      </w:pPr>
      <w:r>
        <w:rPr>
          <w:rFonts w:ascii="Calibri" w:eastAsia="Calibri" w:hAnsi="Calibri" w:cs="Calibri"/>
          <w:b/>
          <w:bCs/>
          <w:color w:val="1A1A1A"/>
          <w:spacing w:val="20"/>
          <w:sz w:val="23"/>
          <w:szCs w:val="23"/>
        </w:rPr>
        <w:t>PARTIE IV. LES MÉCANISMES INTERNES DE PROTECTION</w:t>
      </w:r>
    </w:p>
    <w:p w14:paraId="5330DAF6" w14:textId="77777777" w:rsidR="001E3E87" w:rsidRDefault="005258B2">
      <w:pPr>
        <w:spacing w:after="50" w:line="252" w:lineRule="auto"/>
        <w:ind w:left="240" w:hanging="240"/>
      </w:pPr>
      <w:r>
        <w:rPr>
          <w:rFonts w:ascii="Calibri" w:eastAsia="Calibri" w:hAnsi="Calibri" w:cs="Calibri"/>
          <w:b/>
          <w:bCs/>
          <w:color w:val="1A1A1A"/>
          <w:sz w:val="19"/>
          <w:szCs w:val="19"/>
        </w:rPr>
        <w:t>N° 16</w:t>
      </w:r>
      <w:r>
        <w:rPr>
          <w:rFonts w:ascii="Calibri" w:eastAsia="Calibri" w:hAnsi="Calibri" w:cs="Calibri"/>
          <w:color w:val="1A1A1A"/>
          <w:sz w:val="19"/>
          <w:szCs w:val="19"/>
        </w:rPr>
        <w:t xml:space="preserve"> — Fiche n° 16 (p. 162) — </w:t>
      </w:r>
      <w:r>
        <w:rPr>
          <w:rFonts w:ascii="Calibri" w:eastAsia="Calibri" w:hAnsi="Calibri" w:cs="Calibri"/>
          <w:i/>
          <w:iCs/>
          <w:color w:val="1A1A1A"/>
          <w:sz w:val="19"/>
          <w:szCs w:val="19"/>
        </w:rPr>
        <w:t>Commentaire de texte</w:t>
      </w:r>
      <w:r>
        <w:rPr>
          <w:rFonts w:ascii="Calibri" w:eastAsia="Calibri" w:hAnsi="Calibri" w:cs="Calibri"/>
          <w:color w:val="1A1A1A"/>
          <w:sz w:val="19"/>
          <w:szCs w:val="19"/>
        </w:rPr>
        <w:t xml:space="preserve"> : commentez les articles 61 et 61-1 de la Constitution de 1958.</w:t>
      </w:r>
    </w:p>
    <w:p w14:paraId="144D0382" w14:textId="77777777" w:rsidR="001E3E87" w:rsidRDefault="005258B2">
      <w:pPr>
        <w:spacing w:after="50" w:line="252" w:lineRule="auto"/>
        <w:ind w:left="240" w:hanging="240"/>
      </w:pPr>
      <w:r>
        <w:rPr>
          <w:rFonts w:ascii="Calibri" w:eastAsia="Calibri" w:hAnsi="Calibri" w:cs="Calibri"/>
          <w:b/>
          <w:bCs/>
          <w:color w:val="1A1A1A"/>
          <w:sz w:val="19"/>
          <w:szCs w:val="19"/>
        </w:rPr>
        <w:t>N° 17</w:t>
      </w:r>
      <w:r>
        <w:rPr>
          <w:rFonts w:ascii="Calibri" w:eastAsia="Calibri" w:hAnsi="Calibri" w:cs="Calibri"/>
          <w:color w:val="1A1A1A"/>
          <w:sz w:val="19"/>
          <w:szCs w:val="19"/>
        </w:rPr>
        <w:t xml:space="preserve"> — Fiche n° 17 (p. 174) — </w:t>
      </w:r>
      <w:r>
        <w:rPr>
          <w:rFonts w:ascii="Calibri" w:eastAsia="Calibri" w:hAnsi="Calibri" w:cs="Calibri"/>
          <w:i/>
          <w:iCs/>
          <w:color w:val="1A1A1A"/>
          <w:sz w:val="19"/>
          <w:szCs w:val="19"/>
        </w:rPr>
        <w:t>Argumentation juridique</w:t>
      </w:r>
      <w:r>
        <w:rPr>
          <w:rFonts w:ascii="Calibri" w:eastAsia="Calibri" w:hAnsi="Calibri" w:cs="Calibri"/>
          <w:color w:val="1A1A1A"/>
          <w:sz w:val="19"/>
          <w:szCs w:val="19"/>
        </w:rPr>
        <w:t xml:space="preserve"> : Soutenez que les contrôles de conventionnalité sont nécessaires afin d’assurer le respect des droits humains.</w:t>
      </w:r>
    </w:p>
    <w:p w14:paraId="698C5A88" w14:textId="77777777" w:rsidR="001E3E87" w:rsidRDefault="005258B2">
      <w:pPr>
        <w:spacing w:after="50" w:line="252" w:lineRule="auto"/>
        <w:ind w:left="240" w:hanging="240"/>
      </w:pPr>
      <w:r>
        <w:rPr>
          <w:rFonts w:ascii="Calibri" w:eastAsia="Calibri" w:hAnsi="Calibri" w:cs="Calibri"/>
          <w:b/>
          <w:bCs/>
          <w:color w:val="1A1A1A"/>
          <w:sz w:val="19"/>
          <w:szCs w:val="19"/>
        </w:rPr>
        <w:t>N° 18</w:t>
      </w:r>
      <w:r>
        <w:rPr>
          <w:rFonts w:ascii="Calibri" w:eastAsia="Calibri" w:hAnsi="Calibri" w:cs="Calibri"/>
          <w:color w:val="1A1A1A"/>
          <w:sz w:val="19"/>
          <w:szCs w:val="19"/>
        </w:rPr>
        <w:t xml:space="preserve"> — Fiche n° 18 (p. 186) — </w:t>
      </w:r>
      <w:r>
        <w:rPr>
          <w:rFonts w:ascii="Calibri" w:eastAsia="Calibri" w:hAnsi="Calibri" w:cs="Calibri"/>
          <w:i/>
          <w:iCs/>
          <w:color w:val="1A1A1A"/>
          <w:sz w:val="19"/>
          <w:szCs w:val="19"/>
        </w:rPr>
        <w:t>Commentaire de décision</w:t>
      </w:r>
      <w:r>
        <w:rPr>
          <w:rFonts w:ascii="Calibri" w:eastAsia="Calibri" w:hAnsi="Calibri" w:cs="Calibri"/>
          <w:color w:val="1A1A1A"/>
          <w:sz w:val="19"/>
          <w:szCs w:val="19"/>
        </w:rPr>
        <w:t xml:space="preserve"> : CE, ord., 12 janvier 2001, Hyacinthe, no 229039.</w:t>
      </w:r>
    </w:p>
    <w:p w14:paraId="4879F81C" w14:textId="77777777" w:rsidR="001E3E87" w:rsidRDefault="005258B2">
      <w:pPr>
        <w:spacing w:after="50" w:line="252" w:lineRule="auto"/>
        <w:ind w:left="240" w:hanging="240"/>
      </w:pPr>
      <w:r>
        <w:rPr>
          <w:rFonts w:ascii="Calibri" w:eastAsia="Calibri" w:hAnsi="Calibri" w:cs="Calibri"/>
          <w:b/>
          <w:bCs/>
          <w:color w:val="1A1A1A"/>
          <w:sz w:val="19"/>
          <w:szCs w:val="19"/>
        </w:rPr>
        <w:t>N° 19</w:t>
      </w:r>
      <w:r>
        <w:rPr>
          <w:rFonts w:ascii="Calibri" w:eastAsia="Calibri" w:hAnsi="Calibri" w:cs="Calibri"/>
          <w:color w:val="1A1A1A"/>
          <w:sz w:val="19"/>
          <w:szCs w:val="19"/>
        </w:rPr>
        <w:t xml:space="preserve"> — Fiche n° 19 (p. 195) — </w:t>
      </w:r>
      <w:r>
        <w:rPr>
          <w:rFonts w:ascii="Calibri" w:eastAsia="Calibri" w:hAnsi="Calibri" w:cs="Calibri"/>
          <w:i/>
          <w:iCs/>
          <w:color w:val="1A1A1A"/>
          <w:sz w:val="19"/>
          <w:szCs w:val="19"/>
        </w:rPr>
        <w:t>Dissertation</w:t>
      </w:r>
      <w:r>
        <w:rPr>
          <w:rFonts w:ascii="Calibri" w:eastAsia="Calibri" w:hAnsi="Calibri" w:cs="Calibri"/>
          <w:color w:val="1A1A1A"/>
          <w:sz w:val="19"/>
          <w:szCs w:val="19"/>
        </w:rPr>
        <w:t xml:space="preserve"> : L’autorité judiciaire est-elle la gardienne de la propriété privée immobilière ?</w:t>
      </w:r>
    </w:p>
    <w:p w14:paraId="0A3028CF" w14:textId="77777777" w:rsidR="001E3E87" w:rsidRDefault="005258B2">
      <w:pPr>
        <w:spacing w:after="50" w:line="252" w:lineRule="auto"/>
        <w:ind w:left="240" w:hanging="240"/>
      </w:pPr>
      <w:r>
        <w:rPr>
          <w:rFonts w:ascii="Calibri" w:eastAsia="Calibri" w:hAnsi="Calibri" w:cs="Calibri"/>
          <w:b/>
          <w:bCs/>
          <w:color w:val="1A1A1A"/>
          <w:sz w:val="19"/>
          <w:szCs w:val="19"/>
        </w:rPr>
        <w:t>N° 20</w:t>
      </w:r>
      <w:r>
        <w:rPr>
          <w:rFonts w:ascii="Calibri" w:eastAsia="Calibri" w:hAnsi="Calibri" w:cs="Calibri"/>
          <w:color w:val="1A1A1A"/>
          <w:sz w:val="19"/>
          <w:szCs w:val="19"/>
        </w:rPr>
        <w:t xml:space="preserve"> — Fiche n° 20 (p. 205) — </w:t>
      </w:r>
      <w:r>
        <w:rPr>
          <w:rFonts w:ascii="Calibri" w:eastAsia="Calibri" w:hAnsi="Calibri" w:cs="Calibri"/>
          <w:i/>
          <w:iCs/>
          <w:color w:val="1A1A1A"/>
          <w:sz w:val="19"/>
          <w:szCs w:val="19"/>
        </w:rPr>
        <w:t>Dissertation</w:t>
      </w:r>
      <w:r>
        <w:rPr>
          <w:rFonts w:ascii="Calibri" w:eastAsia="Calibri" w:hAnsi="Calibri" w:cs="Calibri"/>
          <w:color w:val="1A1A1A"/>
          <w:sz w:val="19"/>
          <w:szCs w:val="19"/>
        </w:rPr>
        <w:t xml:space="preserve"> : La protection des libertés par les autorités administratives indépendantes</w:t>
      </w:r>
    </w:p>
    <w:p w14:paraId="749A507B" w14:textId="77777777" w:rsidR="001E3E87" w:rsidRDefault="005258B2">
      <w:pPr>
        <w:pStyle w:val="Titre2"/>
        <w:spacing w:before="240" w:after="110"/>
      </w:pPr>
      <w:r>
        <w:rPr>
          <w:rFonts w:ascii="Calibri" w:eastAsia="Calibri" w:hAnsi="Calibri" w:cs="Calibri"/>
          <w:b/>
          <w:bCs/>
          <w:color w:val="1A1A1A"/>
          <w:spacing w:val="20"/>
          <w:sz w:val="23"/>
          <w:szCs w:val="23"/>
        </w:rPr>
        <w:t>PARTIE V. LES MÉCANISMES INTERNATIONAUX ET EUROPÉENS DE PROTECTION</w:t>
      </w:r>
    </w:p>
    <w:p w14:paraId="5F0E833B" w14:textId="77777777" w:rsidR="001E3E87" w:rsidRDefault="005258B2">
      <w:pPr>
        <w:spacing w:after="50" w:line="252" w:lineRule="auto"/>
        <w:ind w:left="240" w:hanging="240"/>
      </w:pPr>
      <w:r>
        <w:rPr>
          <w:rFonts w:ascii="Calibri" w:eastAsia="Calibri" w:hAnsi="Calibri" w:cs="Calibri"/>
          <w:b/>
          <w:bCs/>
          <w:color w:val="1A1A1A"/>
          <w:sz w:val="19"/>
          <w:szCs w:val="19"/>
        </w:rPr>
        <w:t>N° 21</w:t>
      </w:r>
      <w:r>
        <w:rPr>
          <w:rFonts w:ascii="Calibri" w:eastAsia="Calibri" w:hAnsi="Calibri" w:cs="Calibri"/>
          <w:color w:val="1A1A1A"/>
          <w:sz w:val="19"/>
          <w:szCs w:val="19"/>
        </w:rPr>
        <w:t xml:space="preserve"> — Fiche n° 21 (p. 215) — </w:t>
      </w:r>
      <w:r>
        <w:rPr>
          <w:rFonts w:ascii="Calibri" w:eastAsia="Calibri" w:hAnsi="Calibri" w:cs="Calibri"/>
          <w:i/>
          <w:iCs/>
          <w:color w:val="1A1A1A"/>
          <w:sz w:val="19"/>
          <w:szCs w:val="19"/>
        </w:rPr>
        <w:t>Dissertation</w:t>
      </w:r>
      <w:r>
        <w:rPr>
          <w:rFonts w:ascii="Calibri" w:eastAsia="Calibri" w:hAnsi="Calibri" w:cs="Calibri"/>
          <w:color w:val="1A1A1A"/>
          <w:sz w:val="19"/>
          <w:szCs w:val="19"/>
        </w:rPr>
        <w:t xml:space="preserve"> : Les comités onusiens de protection des droits humains : garants d’une justice universelle ou simples organes consultatifs ?</w:t>
      </w:r>
    </w:p>
    <w:p w14:paraId="4ACD54B6" w14:textId="77777777" w:rsidR="001E3E87" w:rsidRDefault="005258B2">
      <w:pPr>
        <w:spacing w:after="50" w:line="252" w:lineRule="auto"/>
        <w:ind w:left="240" w:hanging="240"/>
      </w:pPr>
      <w:r>
        <w:rPr>
          <w:rFonts w:ascii="Calibri" w:eastAsia="Calibri" w:hAnsi="Calibri" w:cs="Calibri"/>
          <w:b/>
          <w:bCs/>
          <w:color w:val="1A1A1A"/>
          <w:sz w:val="19"/>
          <w:szCs w:val="19"/>
        </w:rPr>
        <w:t>N° 22</w:t>
      </w:r>
      <w:r>
        <w:rPr>
          <w:rFonts w:ascii="Calibri" w:eastAsia="Calibri" w:hAnsi="Calibri" w:cs="Calibri"/>
          <w:color w:val="1A1A1A"/>
          <w:sz w:val="19"/>
          <w:szCs w:val="19"/>
        </w:rPr>
        <w:t xml:space="preserve"> — Fiche n° 22 (p. 225) — </w:t>
      </w:r>
      <w:r>
        <w:rPr>
          <w:rFonts w:ascii="Calibri" w:eastAsia="Calibri" w:hAnsi="Calibri" w:cs="Calibri"/>
          <w:i/>
          <w:iCs/>
          <w:color w:val="1A1A1A"/>
          <w:sz w:val="19"/>
          <w:szCs w:val="19"/>
        </w:rPr>
        <w:t>Dissertation</w:t>
      </w:r>
      <w:r>
        <w:rPr>
          <w:rFonts w:ascii="Calibri" w:eastAsia="Calibri" w:hAnsi="Calibri" w:cs="Calibri"/>
          <w:color w:val="1A1A1A"/>
          <w:sz w:val="19"/>
          <w:szCs w:val="19"/>
        </w:rPr>
        <w:t xml:space="preserve"> : L’exécution des arrêts de la Cour européenne des droits de l’homme</w:t>
      </w:r>
    </w:p>
    <w:p w14:paraId="4237A1A2" w14:textId="77777777" w:rsidR="001E3E87" w:rsidRDefault="005258B2">
      <w:pPr>
        <w:spacing w:after="50" w:line="252" w:lineRule="auto"/>
        <w:ind w:left="240" w:hanging="240"/>
      </w:pPr>
      <w:r>
        <w:rPr>
          <w:rFonts w:ascii="Calibri" w:eastAsia="Calibri" w:hAnsi="Calibri" w:cs="Calibri"/>
          <w:b/>
          <w:bCs/>
          <w:color w:val="1A1A1A"/>
          <w:sz w:val="19"/>
          <w:szCs w:val="19"/>
        </w:rPr>
        <w:t>N° 23</w:t>
      </w:r>
      <w:r>
        <w:rPr>
          <w:rFonts w:ascii="Calibri" w:eastAsia="Calibri" w:hAnsi="Calibri" w:cs="Calibri"/>
          <w:color w:val="1A1A1A"/>
          <w:sz w:val="19"/>
          <w:szCs w:val="19"/>
        </w:rPr>
        <w:t xml:space="preserve"> — Fiche n° 23 (p. 235) — </w:t>
      </w:r>
      <w:r>
        <w:rPr>
          <w:rFonts w:ascii="Calibri" w:eastAsia="Calibri" w:hAnsi="Calibri" w:cs="Calibri"/>
          <w:i/>
          <w:iCs/>
          <w:color w:val="1A1A1A"/>
          <w:sz w:val="19"/>
          <w:szCs w:val="19"/>
        </w:rPr>
        <w:t>Commentaire de texte</w:t>
      </w:r>
      <w:r>
        <w:rPr>
          <w:rFonts w:ascii="Calibri" w:eastAsia="Calibri" w:hAnsi="Calibri" w:cs="Calibri"/>
          <w:color w:val="1A1A1A"/>
          <w:sz w:val="19"/>
          <w:szCs w:val="19"/>
        </w:rPr>
        <w:t xml:space="preserve"> : « Article 19.1 du Traité sur le fonctionnement de l’Union européenne : La Cour de justice de l’Union européenne comprend la Cour de justice, le Tribunal et des…</w:t>
      </w:r>
    </w:p>
    <w:p w14:paraId="6B40A3AF" w14:textId="77777777" w:rsidR="001E3E87" w:rsidRDefault="005258B2">
      <w:pPr>
        <w:spacing w:after="50" w:line="252" w:lineRule="auto"/>
        <w:ind w:left="240" w:hanging="240"/>
      </w:pPr>
      <w:r>
        <w:rPr>
          <w:rFonts w:ascii="Calibri" w:eastAsia="Calibri" w:hAnsi="Calibri" w:cs="Calibri"/>
          <w:b/>
          <w:bCs/>
          <w:color w:val="1A1A1A"/>
          <w:sz w:val="19"/>
          <w:szCs w:val="19"/>
        </w:rPr>
        <w:t>N° 24</w:t>
      </w:r>
      <w:r>
        <w:rPr>
          <w:rFonts w:ascii="Calibri" w:eastAsia="Calibri" w:hAnsi="Calibri" w:cs="Calibri"/>
          <w:color w:val="1A1A1A"/>
          <w:sz w:val="19"/>
          <w:szCs w:val="19"/>
        </w:rPr>
        <w:t xml:space="preserve"> — Fiche n° 24 (p. 243) — </w:t>
      </w:r>
      <w:r>
        <w:rPr>
          <w:rFonts w:ascii="Calibri" w:eastAsia="Calibri" w:hAnsi="Calibri" w:cs="Calibri"/>
          <w:i/>
          <w:iCs/>
          <w:color w:val="1A1A1A"/>
          <w:sz w:val="19"/>
          <w:szCs w:val="19"/>
        </w:rPr>
        <w:t>Dissertation</w:t>
      </w:r>
      <w:r>
        <w:rPr>
          <w:rFonts w:ascii="Calibri" w:eastAsia="Calibri" w:hAnsi="Calibri" w:cs="Calibri"/>
          <w:color w:val="1A1A1A"/>
          <w:sz w:val="19"/>
          <w:szCs w:val="19"/>
        </w:rPr>
        <w:t xml:space="preserve"> : Les juridictions régionales et l’universalisation des droits humains</w:t>
      </w:r>
    </w:p>
    <w:p w14:paraId="29D456A1" w14:textId="77777777" w:rsidR="001E3E87" w:rsidRDefault="005258B2">
      <w:pPr>
        <w:spacing w:after="50" w:line="252" w:lineRule="auto"/>
        <w:ind w:left="240" w:hanging="240"/>
        <w:rPr>
          <w:rFonts w:ascii="Calibri" w:eastAsia="Calibri" w:hAnsi="Calibri" w:cs="Calibri"/>
          <w:color w:val="1A1A1A"/>
          <w:sz w:val="19"/>
          <w:szCs w:val="19"/>
        </w:rPr>
      </w:pPr>
      <w:r>
        <w:rPr>
          <w:rFonts w:ascii="Calibri" w:eastAsia="Calibri" w:hAnsi="Calibri" w:cs="Calibri"/>
          <w:b/>
          <w:bCs/>
          <w:color w:val="1A1A1A"/>
          <w:sz w:val="19"/>
          <w:szCs w:val="19"/>
        </w:rPr>
        <w:t>N° 25</w:t>
      </w:r>
      <w:r>
        <w:rPr>
          <w:rFonts w:ascii="Calibri" w:eastAsia="Calibri" w:hAnsi="Calibri" w:cs="Calibri"/>
          <w:color w:val="1A1A1A"/>
          <w:sz w:val="19"/>
          <w:szCs w:val="19"/>
        </w:rPr>
        <w:t xml:space="preserve"> — Fiche n° 25 (p. 252) — </w:t>
      </w:r>
      <w:r>
        <w:rPr>
          <w:rFonts w:ascii="Calibri" w:eastAsia="Calibri" w:hAnsi="Calibri" w:cs="Calibri"/>
          <w:i/>
          <w:iCs/>
          <w:color w:val="1A1A1A"/>
          <w:sz w:val="19"/>
          <w:szCs w:val="19"/>
        </w:rPr>
        <w:t>Argumentation juridique</w:t>
      </w:r>
      <w:r>
        <w:rPr>
          <w:rFonts w:ascii="Calibri" w:eastAsia="Calibri" w:hAnsi="Calibri" w:cs="Calibri"/>
          <w:color w:val="1A1A1A"/>
          <w:sz w:val="19"/>
          <w:szCs w:val="19"/>
        </w:rPr>
        <w:t xml:space="preserve"> : Soutenez que la protection politique et administrative internationale contribue à la protection des droits humains.</w:t>
      </w:r>
    </w:p>
    <w:p w14:paraId="4BD22C0B" w14:textId="77777777" w:rsidR="001C798B" w:rsidRDefault="001C798B">
      <w:pPr>
        <w:spacing w:after="50" w:line="252" w:lineRule="auto"/>
        <w:ind w:left="240" w:hanging="240"/>
      </w:pPr>
    </w:p>
    <w:p w14:paraId="520C2119" w14:textId="77777777" w:rsidR="001E3E87" w:rsidRDefault="005258B2">
      <w:pPr>
        <w:pStyle w:val="Titre2"/>
        <w:spacing w:before="240" w:after="110"/>
      </w:pPr>
      <w:r>
        <w:rPr>
          <w:rFonts w:ascii="Calibri" w:eastAsia="Calibri" w:hAnsi="Calibri" w:cs="Calibri"/>
          <w:b/>
          <w:bCs/>
          <w:color w:val="1A1A1A"/>
          <w:spacing w:val="20"/>
          <w:sz w:val="23"/>
          <w:szCs w:val="23"/>
        </w:rPr>
        <w:lastRenderedPageBreak/>
        <w:t>PARTIE VI. LES DROITS CIVILS ET POLITIQUES</w:t>
      </w:r>
    </w:p>
    <w:p w14:paraId="365EA848" w14:textId="77777777" w:rsidR="001E3E87" w:rsidRPr="005442E2" w:rsidRDefault="005258B2">
      <w:pPr>
        <w:spacing w:after="50" w:line="252" w:lineRule="auto"/>
        <w:ind w:left="240" w:hanging="240"/>
        <w:rPr>
          <w:highlight w:val="yellow"/>
        </w:rPr>
      </w:pPr>
      <w:r w:rsidRPr="005442E2">
        <w:rPr>
          <w:rFonts w:ascii="Calibri" w:eastAsia="Calibri" w:hAnsi="Calibri" w:cs="Calibri"/>
          <w:b/>
          <w:bCs/>
          <w:color w:val="1A1A1A"/>
          <w:sz w:val="19"/>
          <w:szCs w:val="19"/>
          <w:highlight w:val="yellow"/>
        </w:rPr>
        <w:t>N° 26</w:t>
      </w:r>
      <w:r w:rsidRPr="005442E2">
        <w:rPr>
          <w:rFonts w:ascii="Calibri" w:eastAsia="Calibri" w:hAnsi="Calibri" w:cs="Calibri"/>
          <w:color w:val="1A1A1A"/>
          <w:sz w:val="19"/>
          <w:szCs w:val="19"/>
          <w:highlight w:val="yellow"/>
        </w:rPr>
        <w:t xml:space="preserve"> — Fiche n° 26 (p. 265) — </w:t>
      </w:r>
      <w:r w:rsidRPr="005442E2">
        <w:rPr>
          <w:rFonts w:ascii="Calibri" w:eastAsia="Calibri" w:hAnsi="Calibri" w:cs="Calibri"/>
          <w:i/>
          <w:iCs/>
          <w:color w:val="1A1A1A"/>
          <w:sz w:val="19"/>
          <w:szCs w:val="19"/>
          <w:highlight w:val="yellow"/>
        </w:rPr>
        <w:t>Dissertation</w:t>
      </w:r>
      <w:r w:rsidRPr="005442E2">
        <w:rPr>
          <w:rFonts w:ascii="Calibri" w:eastAsia="Calibri" w:hAnsi="Calibri" w:cs="Calibri"/>
          <w:color w:val="1A1A1A"/>
          <w:sz w:val="19"/>
          <w:szCs w:val="19"/>
          <w:highlight w:val="yellow"/>
        </w:rPr>
        <w:t xml:space="preserve"> : La fin de vie</w:t>
      </w:r>
    </w:p>
    <w:p w14:paraId="686A90B8" w14:textId="77777777" w:rsidR="001E3E87" w:rsidRPr="005442E2" w:rsidRDefault="005258B2">
      <w:pPr>
        <w:spacing w:after="50" w:line="252" w:lineRule="auto"/>
        <w:ind w:left="240" w:hanging="240"/>
        <w:rPr>
          <w:highlight w:val="yellow"/>
        </w:rPr>
      </w:pPr>
      <w:r w:rsidRPr="005442E2">
        <w:rPr>
          <w:rFonts w:ascii="Calibri" w:eastAsia="Calibri" w:hAnsi="Calibri" w:cs="Calibri"/>
          <w:b/>
          <w:bCs/>
          <w:color w:val="1A1A1A"/>
          <w:sz w:val="19"/>
          <w:szCs w:val="19"/>
          <w:highlight w:val="yellow"/>
        </w:rPr>
        <w:t>N° 27</w:t>
      </w:r>
      <w:r w:rsidRPr="005442E2">
        <w:rPr>
          <w:rFonts w:ascii="Calibri" w:eastAsia="Calibri" w:hAnsi="Calibri" w:cs="Calibri"/>
          <w:color w:val="1A1A1A"/>
          <w:sz w:val="19"/>
          <w:szCs w:val="19"/>
          <w:highlight w:val="yellow"/>
        </w:rPr>
        <w:t xml:space="preserve"> — Fiche n° 27 (p. 277) — </w:t>
      </w:r>
      <w:r w:rsidRPr="005442E2">
        <w:rPr>
          <w:rFonts w:ascii="Calibri" w:eastAsia="Calibri" w:hAnsi="Calibri" w:cs="Calibri"/>
          <w:i/>
          <w:iCs/>
          <w:color w:val="1A1A1A"/>
          <w:sz w:val="19"/>
          <w:szCs w:val="19"/>
          <w:highlight w:val="yellow"/>
        </w:rPr>
        <w:t>Argumentation juridique</w:t>
      </w:r>
      <w:r w:rsidRPr="005442E2">
        <w:rPr>
          <w:rFonts w:ascii="Calibri" w:eastAsia="Calibri" w:hAnsi="Calibri" w:cs="Calibri"/>
          <w:color w:val="1A1A1A"/>
          <w:sz w:val="19"/>
          <w:szCs w:val="19"/>
          <w:highlight w:val="yellow"/>
        </w:rPr>
        <w:t xml:space="preserve"> : Soutenez que le devoir conjugal constitue une atteinte grave à l’intégrité des personnes.</w:t>
      </w:r>
    </w:p>
    <w:p w14:paraId="5B3ED662" w14:textId="77777777" w:rsidR="001E3E87" w:rsidRPr="005442E2" w:rsidRDefault="005258B2">
      <w:pPr>
        <w:spacing w:after="50" w:line="252" w:lineRule="auto"/>
        <w:ind w:left="240" w:hanging="240"/>
        <w:rPr>
          <w:highlight w:val="yellow"/>
        </w:rPr>
      </w:pPr>
      <w:r w:rsidRPr="005442E2">
        <w:rPr>
          <w:rFonts w:ascii="Calibri" w:eastAsia="Calibri" w:hAnsi="Calibri" w:cs="Calibri"/>
          <w:b/>
          <w:bCs/>
          <w:color w:val="1A1A1A"/>
          <w:sz w:val="19"/>
          <w:szCs w:val="19"/>
          <w:highlight w:val="yellow"/>
        </w:rPr>
        <w:t>N° 28</w:t>
      </w:r>
      <w:r w:rsidRPr="005442E2">
        <w:rPr>
          <w:rFonts w:ascii="Calibri" w:eastAsia="Calibri" w:hAnsi="Calibri" w:cs="Calibri"/>
          <w:color w:val="1A1A1A"/>
          <w:sz w:val="19"/>
          <w:szCs w:val="19"/>
          <w:highlight w:val="yellow"/>
        </w:rPr>
        <w:t xml:space="preserve"> — Fiche n° 28 (p. 285) — </w:t>
      </w:r>
      <w:r w:rsidRPr="005442E2">
        <w:rPr>
          <w:rFonts w:ascii="Calibri" w:eastAsia="Calibri" w:hAnsi="Calibri" w:cs="Calibri"/>
          <w:i/>
          <w:iCs/>
          <w:color w:val="1A1A1A"/>
          <w:sz w:val="19"/>
          <w:szCs w:val="19"/>
          <w:highlight w:val="yellow"/>
        </w:rPr>
        <w:t>Commentaire d’arrêt</w:t>
      </w:r>
      <w:r w:rsidRPr="005442E2">
        <w:rPr>
          <w:rFonts w:ascii="Calibri" w:eastAsia="Calibri" w:hAnsi="Calibri" w:cs="Calibri"/>
          <w:color w:val="1A1A1A"/>
          <w:sz w:val="19"/>
          <w:szCs w:val="19"/>
          <w:highlight w:val="yellow"/>
        </w:rPr>
        <w:t xml:space="preserve"> : CEDH, 30 janvier 2020, J.M.B. et a. c. France, no 9671/15 [Extrait] « 220. En définitive, la Cour retient de ce qui précède que les injonctions prononcées par…</w:t>
      </w:r>
    </w:p>
    <w:p w14:paraId="14B34AE4" w14:textId="77777777" w:rsidR="001E3E87" w:rsidRPr="005442E2" w:rsidRDefault="005258B2">
      <w:pPr>
        <w:spacing w:after="50" w:line="252" w:lineRule="auto"/>
        <w:ind w:left="240" w:hanging="240"/>
        <w:rPr>
          <w:highlight w:val="yellow"/>
        </w:rPr>
      </w:pPr>
      <w:r w:rsidRPr="005442E2">
        <w:rPr>
          <w:rFonts w:ascii="Calibri" w:eastAsia="Calibri" w:hAnsi="Calibri" w:cs="Calibri"/>
          <w:b/>
          <w:bCs/>
          <w:color w:val="1A1A1A"/>
          <w:sz w:val="19"/>
          <w:szCs w:val="19"/>
          <w:highlight w:val="yellow"/>
        </w:rPr>
        <w:t>N° 29</w:t>
      </w:r>
      <w:r w:rsidRPr="005442E2">
        <w:rPr>
          <w:rFonts w:ascii="Calibri" w:eastAsia="Calibri" w:hAnsi="Calibri" w:cs="Calibri"/>
          <w:color w:val="1A1A1A"/>
          <w:sz w:val="19"/>
          <w:szCs w:val="19"/>
          <w:highlight w:val="yellow"/>
        </w:rPr>
        <w:t xml:space="preserve"> — Fiche n° 29 (p. 294) — </w:t>
      </w:r>
      <w:r w:rsidRPr="005442E2">
        <w:rPr>
          <w:rFonts w:ascii="Calibri" w:eastAsia="Calibri" w:hAnsi="Calibri" w:cs="Calibri"/>
          <w:i/>
          <w:iCs/>
          <w:color w:val="1A1A1A"/>
          <w:sz w:val="19"/>
          <w:szCs w:val="19"/>
          <w:highlight w:val="yellow"/>
        </w:rPr>
        <w:t>Commentaire d’arrêt</w:t>
      </w:r>
      <w:r w:rsidRPr="005442E2">
        <w:rPr>
          <w:rFonts w:ascii="Calibri" w:eastAsia="Calibri" w:hAnsi="Calibri" w:cs="Calibri"/>
          <w:color w:val="1A1A1A"/>
          <w:sz w:val="19"/>
          <w:szCs w:val="19"/>
          <w:highlight w:val="yellow"/>
        </w:rPr>
        <w:t xml:space="preserve"> : CEDH, V.C.L. et A.N. c. Royaume-Uni, 2021, [extraits] : « […] 175. La police a découvert le […] requérant le 21 avril 2009 à proximité d’une fabrique de…</w:t>
      </w:r>
    </w:p>
    <w:p w14:paraId="3D4CC5C6" w14:textId="77777777" w:rsidR="001E3E87" w:rsidRPr="005442E2" w:rsidRDefault="005258B2">
      <w:pPr>
        <w:spacing w:after="50" w:line="252" w:lineRule="auto"/>
        <w:ind w:left="240" w:hanging="240"/>
        <w:rPr>
          <w:highlight w:val="yellow"/>
        </w:rPr>
      </w:pPr>
      <w:r w:rsidRPr="005442E2">
        <w:rPr>
          <w:rFonts w:ascii="Calibri" w:eastAsia="Calibri" w:hAnsi="Calibri" w:cs="Calibri"/>
          <w:b/>
          <w:bCs/>
          <w:color w:val="1A1A1A"/>
          <w:sz w:val="19"/>
          <w:szCs w:val="19"/>
          <w:highlight w:val="yellow"/>
        </w:rPr>
        <w:t>N° 30</w:t>
      </w:r>
      <w:r w:rsidRPr="005442E2">
        <w:rPr>
          <w:rFonts w:ascii="Calibri" w:eastAsia="Calibri" w:hAnsi="Calibri" w:cs="Calibri"/>
          <w:color w:val="1A1A1A"/>
          <w:sz w:val="19"/>
          <w:szCs w:val="19"/>
          <w:highlight w:val="yellow"/>
        </w:rPr>
        <w:t xml:space="preserve"> — Fiche n° 30 (p. 306) — </w:t>
      </w:r>
      <w:r w:rsidRPr="005442E2">
        <w:rPr>
          <w:rFonts w:ascii="Calibri" w:eastAsia="Calibri" w:hAnsi="Calibri" w:cs="Calibri"/>
          <w:i/>
          <w:iCs/>
          <w:color w:val="1A1A1A"/>
          <w:sz w:val="19"/>
          <w:szCs w:val="19"/>
          <w:highlight w:val="yellow"/>
        </w:rPr>
        <w:t>Argumentation juridique</w:t>
      </w:r>
      <w:r w:rsidRPr="005442E2">
        <w:rPr>
          <w:rFonts w:ascii="Calibri" w:eastAsia="Calibri" w:hAnsi="Calibri" w:cs="Calibri"/>
          <w:color w:val="1A1A1A"/>
          <w:sz w:val="19"/>
          <w:szCs w:val="19"/>
          <w:highlight w:val="yellow"/>
        </w:rPr>
        <w:t xml:space="preserve"> : Soutenez que l’enfermement des mineurs est contraire aux droits humains.</w:t>
      </w:r>
    </w:p>
    <w:p w14:paraId="454C1891" w14:textId="77777777" w:rsidR="001E3E87" w:rsidRPr="005442E2" w:rsidRDefault="005258B2">
      <w:pPr>
        <w:spacing w:after="50" w:line="252" w:lineRule="auto"/>
        <w:ind w:left="240" w:hanging="240"/>
        <w:rPr>
          <w:highlight w:val="yellow"/>
        </w:rPr>
      </w:pPr>
      <w:r w:rsidRPr="005442E2">
        <w:rPr>
          <w:rFonts w:ascii="Calibri" w:eastAsia="Calibri" w:hAnsi="Calibri" w:cs="Calibri"/>
          <w:b/>
          <w:bCs/>
          <w:color w:val="1A1A1A"/>
          <w:sz w:val="19"/>
          <w:szCs w:val="19"/>
          <w:highlight w:val="yellow"/>
        </w:rPr>
        <w:t>N° 31</w:t>
      </w:r>
      <w:r w:rsidRPr="005442E2">
        <w:rPr>
          <w:rFonts w:ascii="Calibri" w:eastAsia="Calibri" w:hAnsi="Calibri" w:cs="Calibri"/>
          <w:color w:val="1A1A1A"/>
          <w:sz w:val="19"/>
          <w:szCs w:val="19"/>
          <w:highlight w:val="yellow"/>
        </w:rPr>
        <w:t xml:space="preserve"> — Fiche n° 31 (p. 319) — </w:t>
      </w:r>
      <w:r w:rsidRPr="005442E2">
        <w:rPr>
          <w:rFonts w:ascii="Calibri" w:eastAsia="Calibri" w:hAnsi="Calibri" w:cs="Calibri"/>
          <w:i/>
          <w:iCs/>
          <w:color w:val="1A1A1A"/>
          <w:sz w:val="19"/>
          <w:szCs w:val="19"/>
          <w:highlight w:val="yellow"/>
        </w:rPr>
        <w:t>Dissertation</w:t>
      </w:r>
      <w:r w:rsidRPr="005442E2">
        <w:rPr>
          <w:rFonts w:ascii="Calibri" w:eastAsia="Calibri" w:hAnsi="Calibri" w:cs="Calibri"/>
          <w:color w:val="1A1A1A"/>
          <w:sz w:val="19"/>
          <w:szCs w:val="19"/>
          <w:highlight w:val="yellow"/>
        </w:rPr>
        <w:t xml:space="preserve"> : Le droit à un procès équitable et à un recours effectif : quelle articulation ?</w:t>
      </w:r>
    </w:p>
    <w:p w14:paraId="13575223" w14:textId="77777777" w:rsidR="001E3E87" w:rsidRDefault="005258B2">
      <w:pPr>
        <w:spacing w:after="50" w:line="252" w:lineRule="auto"/>
        <w:ind w:left="240" w:hanging="240"/>
      </w:pPr>
      <w:r w:rsidRPr="005442E2">
        <w:rPr>
          <w:rFonts w:ascii="Calibri" w:eastAsia="Calibri" w:hAnsi="Calibri" w:cs="Calibri"/>
          <w:b/>
          <w:bCs/>
          <w:color w:val="1A1A1A"/>
          <w:sz w:val="19"/>
          <w:szCs w:val="19"/>
          <w:highlight w:val="yellow"/>
        </w:rPr>
        <w:t>N° 32</w:t>
      </w:r>
      <w:r w:rsidRPr="005442E2">
        <w:rPr>
          <w:rFonts w:ascii="Calibri" w:eastAsia="Calibri" w:hAnsi="Calibri" w:cs="Calibri"/>
          <w:color w:val="1A1A1A"/>
          <w:sz w:val="19"/>
          <w:szCs w:val="19"/>
          <w:highlight w:val="yellow"/>
        </w:rPr>
        <w:t xml:space="preserve"> — Fiche n° 32 (p. 329) — </w:t>
      </w:r>
      <w:r w:rsidRPr="005442E2">
        <w:rPr>
          <w:rFonts w:ascii="Calibri" w:eastAsia="Calibri" w:hAnsi="Calibri" w:cs="Calibri"/>
          <w:i/>
          <w:iCs/>
          <w:color w:val="1A1A1A"/>
          <w:sz w:val="19"/>
          <w:szCs w:val="19"/>
          <w:highlight w:val="yellow"/>
        </w:rPr>
        <w:t>Argumentation juridique</w:t>
      </w:r>
      <w:r w:rsidRPr="005442E2">
        <w:rPr>
          <w:rFonts w:ascii="Calibri" w:eastAsia="Calibri" w:hAnsi="Calibri" w:cs="Calibri"/>
          <w:color w:val="1A1A1A"/>
          <w:sz w:val="19"/>
          <w:szCs w:val="19"/>
          <w:highlight w:val="yellow"/>
        </w:rPr>
        <w:t xml:space="preserve"> : Soutenez que la médiatisation des affaires judiciaires porte atteinte aux garanties fondamentales en matière pénale.</w:t>
      </w:r>
    </w:p>
    <w:p w14:paraId="17F6CBEE" w14:textId="77777777" w:rsidR="001E3E87" w:rsidRDefault="005258B2">
      <w:pPr>
        <w:spacing w:after="50" w:line="252" w:lineRule="auto"/>
        <w:ind w:left="240" w:hanging="240"/>
      </w:pPr>
      <w:r w:rsidRPr="00130101">
        <w:rPr>
          <w:rFonts w:ascii="Calibri" w:eastAsia="Calibri" w:hAnsi="Calibri" w:cs="Calibri"/>
          <w:b/>
          <w:bCs/>
          <w:color w:val="1A1A1A"/>
          <w:sz w:val="19"/>
          <w:szCs w:val="19"/>
          <w:highlight w:val="yellow"/>
        </w:rPr>
        <w:t>N° 33</w:t>
      </w:r>
      <w:r w:rsidRPr="00130101">
        <w:rPr>
          <w:rFonts w:ascii="Calibri" w:eastAsia="Calibri" w:hAnsi="Calibri" w:cs="Calibri"/>
          <w:color w:val="1A1A1A"/>
          <w:sz w:val="19"/>
          <w:szCs w:val="19"/>
          <w:highlight w:val="yellow"/>
        </w:rPr>
        <w:t xml:space="preserve"> — Fiche n° 33 (p. 341) — </w:t>
      </w:r>
      <w:r w:rsidRPr="00130101">
        <w:rPr>
          <w:rFonts w:ascii="Calibri" w:eastAsia="Calibri" w:hAnsi="Calibri" w:cs="Calibri"/>
          <w:i/>
          <w:iCs/>
          <w:color w:val="1A1A1A"/>
          <w:sz w:val="19"/>
          <w:szCs w:val="19"/>
          <w:highlight w:val="yellow"/>
        </w:rPr>
        <w:t>Commentaire de texte</w:t>
      </w:r>
      <w:r w:rsidRPr="00130101">
        <w:rPr>
          <w:rFonts w:ascii="Calibri" w:eastAsia="Calibri" w:hAnsi="Calibri" w:cs="Calibri"/>
          <w:color w:val="1A1A1A"/>
          <w:sz w:val="19"/>
          <w:szCs w:val="19"/>
          <w:highlight w:val="yellow"/>
        </w:rPr>
        <w:t xml:space="preserve"> : Communiqué CEDH, 4 septembre 2014, Dzemyuk c. Ukraine, no 42488/02 « En fait – Le requérant vivait dans un village sans distribution centralisée d’eau et…</w:t>
      </w:r>
    </w:p>
    <w:p w14:paraId="71FA1A50" w14:textId="77777777" w:rsidR="001E3E87" w:rsidRDefault="005258B2">
      <w:pPr>
        <w:spacing w:after="50" w:line="252" w:lineRule="auto"/>
        <w:ind w:left="240" w:hanging="240"/>
      </w:pPr>
      <w:r>
        <w:rPr>
          <w:rFonts w:ascii="Calibri" w:eastAsia="Calibri" w:hAnsi="Calibri" w:cs="Calibri"/>
          <w:b/>
          <w:bCs/>
          <w:color w:val="1A1A1A"/>
          <w:sz w:val="19"/>
          <w:szCs w:val="19"/>
        </w:rPr>
        <w:t>N° 34</w:t>
      </w:r>
      <w:r>
        <w:rPr>
          <w:rFonts w:ascii="Calibri" w:eastAsia="Calibri" w:hAnsi="Calibri" w:cs="Calibri"/>
          <w:color w:val="1A1A1A"/>
          <w:sz w:val="19"/>
          <w:szCs w:val="19"/>
        </w:rPr>
        <w:t xml:space="preserve"> — Fiche n° 34 (p. 353) — </w:t>
      </w:r>
      <w:r>
        <w:rPr>
          <w:rFonts w:ascii="Calibri" w:eastAsia="Calibri" w:hAnsi="Calibri" w:cs="Calibri"/>
          <w:i/>
          <w:iCs/>
          <w:color w:val="1A1A1A"/>
          <w:sz w:val="19"/>
          <w:szCs w:val="19"/>
        </w:rPr>
        <w:t>Dissertation</w:t>
      </w:r>
      <w:r>
        <w:rPr>
          <w:rFonts w:ascii="Calibri" w:eastAsia="Calibri" w:hAnsi="Calibri" w:cs="Calibri"/>
          <w:color w:val="1A1A1A"/>
          <w:sz w:val="19"/>
          <w:szCs w:val="19"/>
        </w:rPr>
        <w:t xml:space="preserve"> : Existe-t-il un droit à la parenté ?</w:t>
      </w:r>
    </w:p>
    <w:p w14:paraId="22D05963" w14:textId="77777777" w:rsidR="001E3E87" w:rsidRDefault="005258B2">
      <w:pPr>
        <w:spacing w:after="50" w:line="252" w:lineRule="auto"/>
        <w:ind w:left="240" w:hanging="240"/>
      </w:pPr>
      <w:r>
        <w:rPr>
          <w:rFonts w:ascii="Calibri" w:eastAsia="Calibri" w:hAnsi="Calibri" w:cs="Calibri"/>
          <w:b/>
          <w:bCs/>
          <w:color w:val="1A1A1A"/>
          <w:sz w:val="19"/>
          <w:szCs w:val="19"/>
        </w:rPr>
        <w:t>N° 35</w:t>
      </w:r>
      <w:r>
        <w:rPr>
          <w:rFonts w:ascii="Calibri" w:eastAsia="Calibri" w:hAnsi="Calibri" w:cs="Calibri"/>
          <w:color w:val="1A1A1A"/>
          <w:sz w:val="19"/>
          <w:szCs w:val="19"/>
        </w:rPr>
        <w:t xml:space="preserve"> — Fiche n° 35 (p. 366) — </w:t>
      </w:r>
      <w:r>
        <w:rPr>
          <w:rFonts w:ascii="Calibri" w:eastAsia="Calibri" w:hAnsi="Calibri" w:cs="Calibri"/>
          <w:i/>
          <w:iCs/>
          <w:color w:val="1A1A1A"/>
          <w:sz w:val="19"/>
          <w:szCs w:val="19"/>
        </w:rPr>
        <w:t>Dissertation</w:t>
      </w:r>
      <w:r>
        <w:rPr>
          <w:rFonts w:ascii="Calibri" w:eastAsia="Calibri" w:hAnsi="Calibri" w:cs="Calibri"/>
          <w:color w:val="1A1A1A"/>
          <w:sz w:val="19"/>
          <w:szCs w:val="19"/>
        </w:rPr>
        <w:t xml:space="preserve"> : Systèmes biométriques et protection des droits humains</w:t>
      </w:r>
    </w:p>
    <w:p w14:paraId="2E01FB37" w14:textId="77777777" w:rsidR="001E3E87" w:rsidRDefault="005258B2">
      <w:pPr>
        <w:spacing w:after="50" w:line="252" w:lineRule="auto"/>
        <w:ind w:left="240" w:hanging="240"/>
      </w:pPr>
      <w:r>
        <w:rPr>
          <w:rFonts w:ascii="Calibri" w:eastAsia="Calibri" w:hAnsi="Calibri" w:cs="Calibri"/>
          <w:b/>
          <w:bCs/>
          <w:color w:val="1A1A1A"/>
          <w:sz w:val="19"/>
          <w:szCs w:val="19"/>
        </w:rPr>
        <w:t>N° 36</w:t>
      </w:r>
      <w:r>
        <w:rPr>
          <w:rFonts w:ascii="Calibri" w:eastAsia="Calibri" w:hAnsi="Calibri" w:cs="Calibri"/>
          <w:color w:val="1A1A1A"/>
          <w:sz w:val="19"/>
          <w:szCs w:val="19"/>
        </w:rPr>
        <w:t xml:space="preserve"> — Fiche n° 36 (p. 378) — </w:t>
      </w:r>
      <w:r>
        <w:rPr>
          <w:rFonts w:ascii="Calibri" w:eastAsia="Calibri" w:hAnsi="Calibri" w:cs="Calibri"/>
          <w:i/>
          <w:iCs/>
          <w:color w:val="1A1A1A"/>
          <w:sz w:val="19"/>
          <w:szCs w:val="19"/>
        </w:rPr>
        <w:t>Commentaire d’arrêt</w:t>
      </w:r>
      <w:r>
        <w:rPr>
          <w:rFonts w:ascii="Calibri" w:eastAsia="Calibri" w:hAnsi="Calibri" w:cs="Calibri"/>
          <w:color w:val="1A1A1A"/>
          <w:sz w:val="19"/>
          <w:szCs w:val="19"/>
        </w:rPr>
        <w:t xml:space="preserve"> : CE, 8e et 3e chambres réunies, 18 mars 2024, no 471061.</w:t>
      </w:r>
    </w:p>
    <w:p w14:paraId="1D0F3510" w14:textId="77777777" w:rsidR="001E3E87" w:rsidRDefault="005258B2">
      <w:pPr>
        <w:spacing w:after="50" w:line="252" w:lineRule="auto"/>
        <w:ind w:left="240" w:hanging="240"/>
      </w:pPr>
      <w:r>
        <w:rPr>
          <w:rFonts w:ascii="Calibri" w:eastAsia="Calibri" w:hAnsi="Calibri" w:cs="Calibri"/>
          <w:b/>
          <w:bCs/>
          <w:color w:val="1A1A1A"/>
          <w:sz w:val="19"/>
          <w:szCs w:val="19"/>
        </w:rPr>
        <w:t>N° 37</w:t>
      </w:r>
      <w:r>
        <w:rPr>
          <w:rFonts w:ascii="Calibri" w:eastAsia="Calibri" w:hAnsi="Calibri" w:cs="Calibri"/>
          <w:color w:val="1A1A1A"/>
          <w:sz w:val="19"/>
          <w:szCs w:val="19"/>
        </w:rPr>
        <w:t xml:space="preserve"> — Fiche n° 37 (p. 391) — </w:t>
      </w:r>
      <w:r>
        <w:rPr>
          <w:rFonts w:ascii="Calibri" w:eastAsia="Calibri" w:hAnsi="Calibri" w:cs="Calibri"/>
          <w:i/>
          <w:iCs/>
          <w:color w:val="1A1A1A"/>
          <w:sz w:val="19"/>
          <w:szCs w:val="19"/>
        </w:rPr>
        <w:t>Commentaire d’arrêt</w:t>
      </w:r>
      <w:r>
        <w:rPr>
          <w:rFonts w:ascii="Calibri" w:eastAsia="Calibri" w:hAnsi="Calibri" w:cs="Calibri"/>
          <w:color w:val="1A1A1A"/>
          <w:sz w:val="19"/>
          <w:szCs w:val="19"/>
        </w:rPr>
        <w:t xml:space="preserve"> : Cass, ass. plén., 25 octobre 2019, no 17-86.605. « […] Faits et procédure Selon l’arrêt attaqué (Paris, 20 septembre 2017), la chaîne de télévision France 2 a…</w:t>
      </w:r>
    </w:p>
    <w:p w14:paraId="6B73769C" w14:textId="77777777" w:rsidR="001E3E87" w:rsidRDefault="005258B2">
      <w:pPr>
        <w:spacing w:after="50" w:line="252" w:lineRule="auto"/>
        <w:ind w:left="240" w:hanging="240"/>
      </w:pPr>
      <w:r>
        <w:rPr>
          <w:rFonts w:ascii="Calibri" w:eastAsia="Calibri" w:hAnsi="Calibri" w:cs="Calibri"/>
          <w:b/>
          <w:bCs/>
          <w:color w:val="1A1A1A"/>
          <w:sz w:val="19"/>
          <w:szCs w:val="19"/>
        </w:rPr>
        <w:t>N° 38</w:t>
      </w:r>
      <w:r>
        <w:rPr>
          <w:rFonts w:ascii="Calibri" w:eastAsia="Calibri" w:hAnsi="Calibri" w:cs="Calibri"/>
          <w:color w:val="1A1A1A"/>
          <w:sz w:val="19"/>
          <w:szCs w:val="19"/>
        </w:rPr>
        <w:t xml:space="preserve"> — Fiche n° 38 (p. 402) — </w:t>
      </w:r>
      <w:r>
        <w:rPr>
          <w:rFonts w:ascii="Calibri" w:eastAsia="Calibri" w:hAnsi="Calibri" w:cs="Calibri"/>
          <w:i/>
          <w:iCs/>
          <w:color w:val="1A1A1A"/>
          <w:sz w:val="19"/>
          <w:szCs w:val="19"/>
        </w:rPr>
        <w:t>Commentaire d’arrêt</w:t>
      </w:r>
      <w:r>
        <w:rPr>
          <w:rFonts w:ascii="Calibri" w:eastAsia="Calibri" w:hAnsi="Calibri" w:cs="Calibri"/>
          <w:color w:val="1A1A1A"/>
          <w:sz w:val="19"/>
          <w:szCs w:val="19"/>
        </w:rPr>
        <w:t xml:space="preserve"> : CEDH, 16 janvier 2025, Bodson et a. c. Belgique, no 35834/22 et a.</w:t>
      </w:r>
    </w:p>
    <w:p w14:paraId="479A29AB" w14:textId="77777777" w:rsidR="001E3E87" w:rsidRDefault="005258B2">
      <w:pPr>
        <w:spacing w:after="50" w:line="252" w:lineRule="auto"/>
        <w:ind w:left="240" w:hanging="240"/>
      </w:pPr>
      <w:r>
        <w:rPr>
          <w:rFonts w:ascii="Calibri" w:eastAsia="Calibri" w:hAnsi="Calibri" w:cs="Calibri"/>
          <w:b/>
          <w:bCs/>
          <w:color w:val="1A1A1A"/>
          <w:sz w:val="19"/>
          <w:szCs w:val="19"/>
        </w:rPr>
        <w:t>N° 39</w:t>
      </w:r>
      <w:r>
        <w:rPr>
          <w:rFonts w:ascii="Calibri" w:eastAsia="Calibri" w:hAnsi="Calibri" w:cs="Calibri"/>
          <w:color w:val="1A1A1A"/>
          <w:sz w:val="19"/>
          <w:szCs w:val="19"/>
        </w:rPr>
        <w:t xml:space="preserve"> — Fiche n° 39 (p. 413) — </w:t>
      </w:r>
      <w:r>
        <w:rPr>
          <w:rFonts w:ascii="Calibri" w:eastAsia="Calibri" w:hAnsi="Calibri" w:cs="Calibri"/>
          <w:i/>
          <w:iCs/>
          <w:color w:val="1A1A1A"/>
          <w:sz w:val="19"/>
          <w:szCs w:val="19"/>
        </w:rPr>
        <w:t>Argumentation juridique</w:t>
      </w:r>
      <w:r>
        <w:rPr>
          <w:rFonts w:ascii="Calibri" w:eastAsia="Calibri" w:hAnsi="Calibri" w:cs="Calibri"/>
          <w:color w:val="1A1A1A"/>
          <w:sz w:val="19"/>
          <w:szCs w:val="19"/>
        </w:rPr>
        <w:t xml:space="preserve"> : Soutenez que la liberté d’association est un droit fondamental.</w:t>
      </w:r>
    </w:p>
    <w:p w14:paraId="003D6DA6" w14:textId="77777777" w:rsidR="001E3E87" w:rsidRDefault="005258B2">
      <w:pPr>
        <w:spacing w:after="50" w:line="252" w:lineRule="auto"/>
        <w:ind w:left="240" w:hanging="240"/>
      </w:pPr>
      <w:r>
        <w:rPr>
          <w:rFonts w:ascii="Calibri" w:eastAsia="Calibri" w:hAnsi="Calibri" w:cs="Calibri"/>
          <w:b/>
          <w:bCs/>
          <w:color w:val="1A1A1A"/>
          <w:sz w:val="19"/>
          <w:szCs w:val="19"/>
        </w:rPr>
        <w:t>N° 40</w:t>
      </w:r>
      <w:r>
        <w:rPr>
          <w:rFonts w:ascii="Calibri" w:eastAsia="Calibri" w:hAnsi="Calibri" w:cs="Calibri"/>
          <w:color w:val="1A1A1A"/>
          <w:sz w:val="19"/>
          <w:szCs w:val="19"/>
        </w:rPr>
        <w:t xml:space="preserve"> — Fiche n° 40 (p. 426) — </w:t>
      </w:r>
      <w:r>
        <w:rPr>
          <w:rFonts w:ascii="Calibri" w:eastAsia="Calibri" w:hAnsi="Calibri" w:cs="Calibri"/>
          <w:i/>
          <w:iCs/>
          <w:color w:val="1A1A1A"/>
          <w:sz w:val="19"/>
          <w:szCs w:val="19"/>
        </w:rPr>
        <w:t>Commentaire de texte</w:t>
      </w:r>
      <w:r>
        <w:rPr>
          <w:rFonts w:ascii="Calibri" w:eastAsia="Calibri" w:hAnsi="Calibri" w:cs="Calibri"/>
          <w:color w:val="1A1A1A"/>
          <w:sz w:val="19"/>
          <w:szCs w:val="19"/>
        </w:rPr>
        <w:t xml:space="preserve"> : « Art. 2 du Protocole no 4 CESDH – Liberté de circulation 1. Quiconque se trouve régulièrement sur le territoire d’un État a le droit d’y circuler librement et…</w:t>
      </w:r>
    </w:p>
    <w:p w14:paraId="4FA43BB1" w14:textId="77777777" w:rsidR="001E3E87" w:rsidRDefault="005258B2">
      <w:pPr>
        <w:spacing w:after="50" w:line="252" w:lineRule="auto"/>
        <w:ind w:left="240" w:hanging="240"/>
      </w:pPr>
      <w:r>
        <w:rPr>
          <w:rFonts w:ascii="Calibri" w:eastAsia="Calibri" w:hAnsi="Calibri" w:cs="Calibri"/>
          <w:b/>
          <w:bCs/>
          <w:color w:val="1A1A1A"/>
          <w:sz w:val="19"/>
          <w:szCs w:val="19"/>
        </w:rPr>
        <w:t>N° 41</w:t>
      </w:r>
      <w:r>
        <w:rPr>
          <w:rFonts w:ascii="Calibri" w:eastAsia="Calibri" w:hAnsi="Calibri" w:cs="Calibri"/>
          <w:color w:val="1A1A1A"/>
          <w:sz w:val="19"/>
          <w:szCs w:val="19"/>
        </w:rPr>
        <w:t xml:space="preserve"> — Fiche n° 41 (p. 434) — </w:t>
      </w:r>
      <w:r>
        <w:rPr>
          <w:rFonts w:ascii="Calibri" w:eastAsia="Calibri" w:hAnsi="Calibri" w:cs="Calibri"/>
          <w:i/>
          <w:iCs/>
          <w:color w:val="1A1A1A"/>
          <w:sz w:val="19"/>
          <w:szCs w:val="19"/>
        </w:rPr>
        <w:t>Argumentation juridique</w:t>
      </w:r>
      <w:r>
        <w:rPr>
          <w:rFonts w:ascii="Calibri" w:eastAsia="Calibri" w:hAnsi="Calibri" w:cs="Calibri"/>
          <w:color w:val="1A1A1A"/>
          <w:sz w:val="19"/>
          <w:szCs w:val="19"/>
        </w:rPr>
        <w:t xml:space="preserve"> : Soutenez que la liberté d’enseignement est un droit fondamental.</w:t>
      </w:r>
    </w:p>
    <w:p w14:paraId="6A92CC97" w14:textId="77777777" w:rsidR="001E3E87" w:rsidRDefault="005258B2">
      <w:pPr>
        <w:spacing w:after="50" w:line="252" w:lineRule="auto"/>
        <w:ind w:left="240" w:hanging="240"/>
      </w:pPr>
      <w:r>
        <w:rPr>
          <w:rFonts w:ascii="Calibri" w:eastAsia="Calibri" w:hAnsi="Calibri" w:cs="Calibri"/>
          <w:b/>
          <w:bCs/>
          <w:color w:val="1A1A1A"/>
          <w:sz w:val="19"/>
          <w:szCs w:val="19"/>
        </w:rPr>
        <w:t>N° 42</w:t>
      </w:r>
      <w:r>
        <w:rPr>
          <w:rFonts w:ascii="Calibri" w:eastAsia="Calibri" w:hAnsi="Calibri" w:cs="Calibri"/>
          <w:color w:val="1A1A1A"/>
          <w:sz w:val="19"/>
          <w:szCs w:val="19"/>
        </w:rPr>
        <w:t xml:space="preserve"> — Fiche n° 42 (p. 443) — </w:t>
      </w:r>
      <w:r>
        <w:rPr>
          <w:rFonts w:ascii="Calibri" w:eastAsia="Calibri" w:hAnsi="Calibri" w:cs="Calibri"/>
          <w:i/>
          <w:iCs/>
          <w:color w:val="1A1A1A"/>
          <w:sz w:val="19"/>
          <w:szCs w:val="19"/>
        </w:rPr>
        <w:t>Dissertation</w:t>
      </w:r>
      <w:r>
        <w:rPr>
          <w:rFonts w:ascii="Calibri" w:eastAsia="Calibri" w:hAnsi="Calibri" w:cs="Calibri"/>
          <w:color w:val="1A1A1A"/>
          <w:sz w:val="19"/>
          <w:szCs w:val="19"/>
        </w:rPr>
        <w:t xml:space="preserve"> : Le droit à des élections libres</w:t>
      </w:r>
    </w:p>
    <w:p w14:paraId="1CBFBC89" w14:textId="77777777" w:rsidR="001E3E87" w:rsidRDefault="005258B2">
      <w:pPr>
        <w:spacing w:after="50" w:line="252" w:lineRule="auto"/>
        <w:ind w:left="240" w:hanging="240"/>
      </w:pPr>
      <w:r>
        <w:rPr>
          <w:rFonts w:ascii="Calibri" w:eastAsia="Calibri" w:hAnsi="Calibri" w:cs="Calibri"/>
          <w:b/>
          <w:bCs/>
          <w:color w:val="1A1A1A"/>
          <w:sz w:val="19"/>
          <w:szCs w:val="19"/>
        </w:rPr>
        <w:t>N° 43</w:t>
      </w:r>
      <w:r>
        <w:rPr>
          <w:rFonts w:ascii="Calibri" w:eastAsia="Calibri" w:hAnsi="Calibri" w:cs="Calibri"/>
          <w:color w:val="1A1A1A"/>
          <w:sz w:val="19"/>
          <w:szCs w:val="19"/>
        </w:rPr>
        <w:t xml:space="preserve"> — Fiche n° 43 (p. 454) — </w:t>
      </w:r>
      <w:r>
        <w:rPr>
          <w:rFonts w:ascii="Calibri" w:eastAsia="Calibri" w:hAnsi="Calibri" w:cs="Calibri"/>
          <w:i/>
          <w:iCs/>
          <w:color w:val="1A1A1A"/>
          <w:sz w:val="19"/>
          <w:szCs w:val="19"/>
        </w:rPr>
        <w:t>Commentaire de texte</w:t>
      </w:r>
      <w:r>
        <w:rPr>
          <w:rFonts w:ascii="Calibri" w:eastAsia="Calibri" w:hAnsi="Calibri" w:cs="Calibri"/>
          <w:color w:val="1A1A1A"/>
          <w:sz w:val="19"/>
          <w:szCs w:val="19"/>
        </w:rPr>
        <w:t xml:space="preserve"> : Proposition de loi no 977 visant à ne pas autoriser le mariage d’un étrangers soumis à l’obligation de quitter le territoire français. « Article unique -…</w:t>
      </w:r>
    </w:p>
    <w:p w14:paraId="02B09B08" w14:textId="77777777" w:rsidR="001E3E87" w:rsidRDefault="005258B2">
      <w:pPr>
        <w:spacing w:after="50" w:line="252" w:lineRule="auto"/>
        <w:ind w:left="240" w:hanging="240"/>
      </w:pPr>
      <w:r>
        <w:rPr>
          <w:rFonts w:ascii="Calibri" w:eastAsia="Calibri" w:hAnsi="Calibri" w:cs="Calibri"/>
          <w:b/>
          <w:bCs/>
          <w:color w:val="1A1A1A"/>
          <w:sz w:val="19"/>
          <w:szCs w:val="19"/>
        </w:rPr>
        <w:t>N° 44</w:t>
      </w:r>
      <w:r>
        <w:rPr>
          <w:rFonts w:ascii="Calibri" w:eastAsia="Calibri" w:hAnsi="Calibri" w:cs="Calibri"/>
          <w:color w:val="1A1A1A"/>
          <w:sz w:val="19"/>
          <w:szCs w:val="19"/>
        </w:rPr>
        <w:t xml:space="preserve"> — Fiche n° 44 (p. 465) — </w:t>
      </w:r>
      <w:r>
        <w:rPr>
          <w:rFonts w:ascii="Calibri" w:eastAsia="Calibri" w:hAnsi="Calibri" w:cs="Calibri"/>
          <w:i/>
          <w:iCs/>
          <w:color w:val="1A1A1A"/>
          <w:sz w:val="19"/>
          <w:szCs w:val="19"/>
        </w:rPr>
        <w:t>Dissertation</w:t>
      </w:r>
      <w:r>
        <w:rPr>
          <w:rFonts w:ascii="Calibri" w:eastAsia="Calibri" w:hAnsi="Calibri" w:cs="Calibri"/>
          <w:color w:val="1A1A1A"/>
          <w:sz w:val="19"/>
          <w:szCs w:val="19"/>
        </w:rPr>
        <w:t xml:space="preserve"> : Les implications du droit des peuples à disposer d’eux-mêmes en France ?</w:t>
      </w:r>
    </w:p>
    <w:p w14:paraId="4C382B6B" w14:textId="77777777" w:rsidR="001E3E87" w:rsidRDefault="005258B2">
      <w:pPr>
        <w:pStyle w:val="Titre2"/>
        <w:spacing w:before="240" w:after="110"/>
      </w:pPr>
      <w:r>
        <w:rPr>
          <w:rFonts w:ascii="Calibri" w:eastAsia="Calibri" w:hAnsi="Calibri" w:cs="Calibri"/>
          <w:b/>
          <w:bCs/>
          <w:color w:val="1A1A1A"/>
          <w:spacing w:val="20"/>
          <w:sz w:val="23"/>
          <w:szCs w:val="23"/>
        </w:rPr>
        <w:t>PARTIE VII. LES DROITS ÉCONOMIQUES, SOCIAUX ET CULTURELS</w:t>
      </w:r>
    </w:p>
    <w:p w14:paraId="21E6737A" w14:textId="77777777" w:rsidR="001E3E87" w:rsidRDefault="005258B2">
      <w:pPr>
        <w:spacing w:after="50" w:line="252" w:lineRule="auto"/>
        <w:ind w:left="240" w:hanging="240"/>
      </w:pPr>
      <w:r>
        <w:rPr>
          <w:rFonts w:ascii="Calibri" w:eastAsia="Calibri" w:hAnsi="Calibri" w:cs="Calibri"/>
          <w:b/>
          <w:bCs/>
          <w:color w:val="1A1A1A"/>
          <w:sz w:val="19"/>
          <w:szCs w:val="19"/>
        </w:rPr>
        <w:t>N° 45</w:t>
      </w:r>
      <w:r>
        <w:rPr>
          <w:rFonts w:ascii="Calibri" w:eastAsia="Calibri" w:hAnsi="Calibri" w:cs="Calibri"/>
          <w:color w:val="1A1A1A"/>
          <w:sz w:val="19"/>
          <w:szCs w:val="19"/>
        </w:rPr>
        <w:t xml:space="preserve"> — Fiche n° 45 (p. 473) — </w:t>
      </w:r>
      <w:r>
        <w:rPr>
          <w:rFonts w:ascii="Calibri" w:eastAsia="Calibri" w:hAnsi="Calibri" w:cs="Calibri"/>
          <w:i/>
          <w:iCs/>
          <w:color w:val="1A1A1A"/>
          <w:sz w:val="19"/>
          <w:szCs w:val="19"/>
        </w:rPr>
        <w:t>Dissertation</w:t>
      </w:r>
      <w:r>
        <w:rPr>
          <w:rFonts w:ascii="Calibri" w:eastAsia="Calibri" w:hAnsi="Calibri" w:cs="Calibri"/>
          <w:color w:val="1A1A1A"/>
          <w:sz w:val="19"/>
          <w:szCs w:val="19"/>
        </w:rPr>
        <w:t xml:space="preserve"> : La soumission de la liberté d’entreprendre à des autorisations administratives.</w:t>
      </w:r>
    </w:p>
    <w:p w14:paraId="20E8E45E" w14:textId="77777777" w:rsidR="001E3E87" w:rsidRDefault="005258B2">
      <w:pPr>
        <w:spacing w:after="50" w:line="252" w:lineRule="auto"/>
        <w:ind w:left="240" w:hanging="240"/>
      </w:pPr>
      <w:r>
        <w:rPr>
          <w:rFonts w:ascii="Calibri" w:eastAsia="Calibri" w:hAnsi="Calibri" w:cs="Calibri"/>
          <w:b/>
          <w:bCs/>
          <w:color w:val="1A1A1A"/>
          <w:sz w:val="19"/>
          <w:szCs w:val="19"/>
        </w:rPr>
        <w:t>N° 46</w:t>
      </w:r>
      <w:r>
        <w:rPr>
          <w:rFonts w:ascii="Calibri" w:eastAsia="Calibri" w:hAnsi="Calibri" w:cs="Calibri"/>
          <w:color w:val="1A1A1A"/>
          <w:sz w:val="19"/>
          <w:szCs w:val="19"/>
        </w:rPr>
        <w:t xml:space="preserve"> — Fiche n° 46 (p. 479) — </w:t>
      </w:r>
      <w:r>
        <w:rPr>
          <w:rFonts w:ascii="Calibri" w:eastAsia="Calibri" w:hAnsi="Calibri" w:cs="Calibri"/>
          <w:i/>
          <w:iCs/>
          <w:color w:val="1A1A1A"/>
          <w:sz w:val="19"/>
          <w:szCs w:val="19"/>
        </w:rPr>
        <w:t>Commentaire de texte</w:t>
      </w:r>
      <w:r>
        <w:rPr>
          <w:rFonts w:ascii="Calibri" w:eastAsia="Calibri" w:hAnsi="Calibri" w:cs="Calibri"/>
          <w:color w:val="1A1A1A"/>
          <w:sz w:val="19"/>
          <w:szCs w:val="19"/>
        </w:rPr>
        <w:t xml:space="preserve"> : Article 1er du protocole no 1 : « Toute personne physique ou morale a droit au respect de ses biens. Nul ne peut être privé de sa propriété que pour cause…</w:t>
      </w:r>
    </w:p>
    <w:p w14:paraId="218DA3D8" w14:textId="77777777" w:rsidR="001E3E87" w:rsidRDefault="005258B2">
      <w:pPr>
        <w:spacing w:after="50" w:line="252" w:lineRule="auto"/>
        <w:ind w:left="240" w:hanging="240"/>
      </w:pPr>
      <w:r>
        <w:rPr>
          <w:rFonts w:ascii="Calibri" w:eastAsia="Calibri" w:hAnsi="Calibri" w:cs="Calibri"/>
          <w:b/>
          <w:bCs/>
          <w:color w:val="1A1A1A"/>
          <w:sz w:val="19"/>
          <w:szCs w:val="19"/>
        </w:rPr>
        <w:t>N° 47</w:t>
      </w:r>
      <w:r>
        <w:rPr>
          <w:rFonts w:ascii="Calibri" w:eastAsia="Calibri" w:hAnsi="Calibri" w:cs="Calibri"/>
          <w:color w:val="1A1A1A"/>
          <w:sz w:val="19"/>
          <w:szCs w:val="19"/>
        </w:rPr>
        <w:t xml:space="preserve"> — Fiche n° 47 (p. 487) — </w:t>
      </w:r>
      <w:r>
        <w:rPr>
          <w:rFonts w:ascii="Calibri" w:eastAsia="Calibri" w:hAnsi="Calibri" w:cs="Calibri"/>
          <w:i/>
          <w:iCs/>
          <w:color w:val="1A1A1A"/>
          <w:sz w:val="19"/>
          <w:szCs w:val="19"/>
        </w:rPr>
        <w:t>Commentaire de texte</w:t>
      </w:r>
      <w:r>
        <w:rPr>
          <w:rFonts w:ascii="Calibri" w:eastAsia="Calibri" w:hAnsi="Calibri" w:cs="Calibri"/>
          <w:color w:val="1A1A1A"/>
          <w:sz w:val="19"/>
          <w:szCs w:val="19"/>
        </w:rPr>
        <w:t xml:space="preserve"> : Cour des comptes et Chambre régionale et territoriale des comptes, L’enseignement primaire, Une organisation en décalage avec les besoins de l’élève, Rapport…</w:t>
      </w:r>
    </w:p>
    <w:p w14:paraId="51D36A10" w14:textId="77777777" w:rsidR="001E3E87" w:rsidRDefault="005258B2">
      <w:pPr>
        <w:spacing w:after="50" w:line="252" w:lineRule="auto"/>
        <w:ind w:left="240" w:hanging="240"/>
      </w:pPr>
      <w:r>
        <w:rPr>
          <w:rFonts w:ascii="Calibri" w:eastAsia="Calibri" w:hAnsi="Calibri" w:cs="Calibri"/>
          <w:b/>
          <w:bCs/>
          <w:color w:val="1A1A1A"/>
          <w:sz w:val="19"/>
          <w:szCs w:val="19"/>
        </w:rPr>
        <w:t>N° 48</w:t>
      </w:r>
      <w:r>
        <w:rPr>
          <w:rFonts w:ascii="Calibri" w:eastAsia="Calibri" w:hAnsi="Calibri" w:cs="Calibri"/>
          <w:color w:val="1A1A1A"/>
          <w:sz w:val="19"/>
          <w:szCs w:val="19"/>
        </w:rPr>
        <w:t xml:space="preserve"> — Fiche n° 48 (p. 498) — </w:t>
      </w:r>
      <w:r>
        <w:rPr>
          <w:rFonts w:ascii="Calibri" w:eastAsia="Calibri" w:hAnsi="Calibri" w:cs="Calibri"/>
          <w:i/>
          <w:iCs/>
          <w:color w:val="1A1A1A"/>
          <w:sz w:val="19"/>
          <w:szCs w:val="19"/>
        </w:rPr>
        <w:t>Commentaire de décision</w:t>
      </w:r>
      <w:r>
        <w:rPr>
          <w:rFonts w:ascii="Calibri" w:eastAsia="Calibri" w:hAnsi="Calibri" w:cs="Calibri"/>
          <w:color w:val="1A1A1A"/>
          <w:sz w:val="19"/>
          <w:szCs w:val="19"/>
        </w:rPr>
        <w:t xml:space="preserve"> : CE, 8 septembre 2005, no 284803</w:t>
      </w:r>
    </w:p>
    <w:p w14:paraId="3698C46D" w14:textId="77777777" w:rsidR="001E3E87" w:rsidRDefault="005258B2">
      <w:pPr>
        <w:spacing w:after="50" w:line="252" w:lineRule="auto"/>
        <w:ind w:left="240" w:hanging="240"/>
      </w:pPr>
      <w:r>
        <w:rPr>
          <w:rFonts w:ascii="Calibri" w:eastAsia="Calibri" w:hAnsi="Calibri" w:cs="Calibri"/>
          <w:b/>
          <w:bCs/>
          <w:color w:val="1A1A1A"/>
          <w:sz w:val="19"/>
          <w:szCs w:val="19"/>
        </w:rPr>
        <w:t>N° 49</w:t>
      </w:r>
      <w:r>
        <w:rPr>
          <w:rFonts w:ascii="Calibri" w:eastAsia="Calibri" w:hAnsi="Calibri" w:cs="Calibri"/>
          <w:color w:val="1A1A1A"/>
          <w:sz w:val="19"/>
          <w:szCs w:val="19"/>
        </w:rPr>
        <w:t xml:space="preserve"> — Fiche n° 49 (p. 507) — </w:t>
      </w:r>
      <w:r>
        <w:rPr>
          <w:rFonts w:ascii="Calibri" w:eastAsia="Calibri" w:hAnsi="Calibri" w:cs="Calibri"/>
          <w:i/>
          <w:iCs/>
          <w:color w:val="1A1A1A"/>
          <w:sz w:val="19"/>
          <w:szCs w:val="19"/>
        </w:rPr>
        <w:t>Commentaire d’arrêt</w:t>
      </w:r>
      <w:r>
        <w:rPr>
          <w:rFonts w:ascii="Calibri" w:eastAsia="Calibri" w:hAnsi="Calibri" w:cs="Calibri"/>
          <w:color w:val="1A1A1A"/>
          <w:sz w:val="19"/>
          <w:szCs w:val="19"/>
        </w:rPr>
        <w:t xml:space="preserve"> : CEDH, 30 janvier 2025, Cannavacciuolo et a. c. Italie, nos 51567/14 39742/14 et 74208/14.</w:t>
      </w:r>
    </w:p>
    <w:p w14:paraId="1DB4508F" w14:textId="77777777" w:rsidR="001E3E87" w:rsidRDefault="005258B2">
      <w:pPr>
        <w:spacing w:after="50" w:line="252" w:lineRule="auto"/>
        <w:ind w:left="240" w:hanging="240"/>
      </w:pPr>
      <w:r>
        <w:rPr>
          <w:rFonts w:ascii="Calibri" w:eastAsia="Calibri" w:hAnsi="Calibri" w:cs="Calibri"/>
          <w:b/>
          <w:bCs/>
          <w:color w:val="1A1A1A"/>
          <w:sz w:val="19"/>
          <w:szCs w:val="19"/>
        </w:rPr>
        <w:t>N° 50</w:t>
      </w:r>
      <w:r>
        <w:rPr>
          <w:rFonts w:ascii="Calibri" w:eastAsia="Calibri" w:hAnsi="Calibri" w:cs="Calibri"/>
          <w:color w:val="1A1A1A"/>
          <w:sz w:val="19"/>
          <w:szCs w:val="19"/>
        </w:rPr>
        <w:t xml:space="preserve"> — Fiche n° 50 (p. 516) — </w:t>
      </w:r>
      <w:r>
        <w:rPr>
          <w:rFonts w:ascii="Calibri" w:eastAsia="Calibri" w:hAnsi="Calibri" w:cs="Calibri"/>
          <w:i/>
          <w:iCs/>
          <w:color w:val="1A1A1A"/>
          <w:sz w:val="19"/>
          <w:szCs w:val="19"/>
        </w:rPr>
        <w:t>Argumentation juridique</w:t>
      </w:r>
      <w:r>
        <w:rPr>
          <w:rFonts w:ascii="Calibri" w:eastAsia="Calibri" w:hAnsi="Calibri" w:cs="Calibri"/>
          <w:color w:val="1A1A1A"/>
          <w:sz w:val="19"/>
          <w:szCs w:val="19"/>
        </w:rPr>
        <w:t xml:space="preserve"> : Soutenez que travailler n’est pas simplement un droit, mais aussi un devoir.</w:t>
      </w:r>
    </w:p>
    <w:p w14:paraId="298331F3" w14:textId="77777777" w:rsidR="001E3E87" w:rsidRDefault="005258B2">
      <w:pPr>
        <w:spacing w:after="50" w:line="252" w:lineRule="auto"/>
        <w:ind w:left="240" w:hanging="240"/>
      </w:pPr>
      <w:r>
        <w:rPr>
          <w:rFonts w:ascii="Calibri" w:eastAsia="Calibri" w:hAnsi="Calibri" w:cs="Calibri"/>
          <w:b/>
          <w:bCs/>
          <w:color w:val="1A1A1A"/>
          <w:sz w:val="19"/>
          <w:szCs w:val="19"/>
        </w:rPr>
        <w:t>N° 51</w:t>
      </w:r>
      <w:r>
        <w:rPr>
          <w:rFonts w:ascii="Calibri" w:eastAsia="Calibri" w:hAnsi="Calibri" w:cs="Calibri"/>
          <w:color w:val="1A1A1A"/>
          <w:sz w:val="19"/>
          <w:szCs w:val="19"/>
        </w:rPr>
        <w:t xml:space="preserve"> — Fiche n° 51 (p. 524) — </w:t>
      </w:r>
      <w:r>
        <w:rPr>
          <w:rFonts w:ascii="Calibri" w:eastAsia="Calibri" w:hAnsi="Calibri" w:cs="Calibri"/>
          <w:i/>
          <w:iCs/>
          <w:color w:val="1A1A1A"/>
          <w:sz w:val="19"/>
          <w:szCs w:val="19"/>
        </w:rPr>
        <w:t>Dissertation</w:t>
      </w:r>
      <w:r>
        <w:rPr>
          <w:rFonts w:ascii="Calibri" w:eastAsia="Calibri" w:hAnsi="Calibri" w:cs="Calibri"/>
          <w:color w:val="1A1A1A"/>
          <w:sz w:val="19"/>
          <w:szCs w:val="19"/>
        </w:rPr>
        <w:t xml:space="preserve"> : Le droit au logement est-il un droit fondamental ?</w:t>
      </w:r>
    </w:p>
    <w:p w14:paraId="2920135E" w14:textId="77777777" w:rsidR="001E3E87" w:rsidRDefault="005258B2">
      <w:pPr>
        <w:spacing w:after="50" w:line="252" w:lineRule="auto"/>
        <w:ind w:left="240" w:hanging="240"/>
      </w:pPr>
      <w:r>
        <w:rPr>
          <w:rFonts w:ascii="Calibri" w:eastAsia="Calibri" w:hAnsi="Calibri" w:cs="Calibri"/>
          <w:b/>
          <w:bCs/>
          <w:color w:val="1A1A1A"/>
          <w:sz w:val="19"/>
          <w:szCs w:val="19"/>
        </w:rPr>
        <w:t>N° 52</w:t>
      </w:r>
      <w:r>
        <w:rPr>
          <w:rFonts w:ascii="Calibri" w:eastAsia="Calibri" w:hAnsi="Calibri" w:cs="Calibri"/>
          <w:color w:val="1A1A1A"/>
          <w:sz w:val="19"/>
          <w:szCs w:val="19"/>
        </w:rPr>
        <w:t xml:space="preserve"> — Fiche n° 52 (p. 534) — </w:t>
      </w:r>
      <w:r>
        <w:rPr>
          <w:rFonts w:ascii="Calibri" w:eastAsia="Calibri" w:hAnsi="Calibri" w:cs="Calibri"/>
          <w:i/>
          <w:iCs/>
          <w:color w:val="1A1A1A"/>
          <w:sz w:val="19"/>
          <w:szCs w:val="19"/>
        </w:rPr>
        <w:t>Dissertation</w:t>
      </w:r>
      <w:r>
        <w:rPr>
          <w:rFonts w:ascii="Calibri" w:eastAsia="Calibri" w:hAnsi="Calibri" w:cs="Calibri"/>
          <w:color w:val="1A1A1A"/>
          <w:sz w:val="19"/>
          <w:szCs w:val="19"/>
        </w:rPr>
        <w:t xml:space="preserve"> : Quelles sont les interactions entre droit à la culture et droit de la culture ?</w:t>
      </w:r>
    </w:p>
    <w:p w14:paraId="4E93B9B1" w14:textId="77777777" w:rsidR="001E3E87" w:rsidRDefault="005258B2">
      <w:pPr>
        <w:spacing w:after="50" w:line="252" w:lineRule="auto"/>
        <w:ind w:left="240" w:hanging="240"/>
      </w:pPr>
      <w:r>
        <w:rPr>
          <w:rFonts w:ascii="Calibri" w:eastAsia="Calibri" w:hAnsi="Calibri" w:cs="Calibri"/>
          <w:b/>
          <w:bCs/>
          <w:color w:val="1A1A1A"/>
          <w:sz w:val="19"/>
          <w:szCs w:val="19"/>
        </w:rPr>
        <w:t>N° 53</w:t>
      </w:r>
      <w:r>
        <w:rPr>
          <w:rFonts w:ascii="Calibri" w:eastAsia="Calibri" w:hAnsi="Calibri" w:cs="Calibri"/>
          <w:color w:val="1A1A1A"/>
          <w:sz w:val="19"/>
          <w:szCs w:val="19"/>
        </w:rPr>
        <w:t xml:space="preserve"> — Fiche n° 53 (p. 544) — </w:t>
      </w:r>
      <w:r>
        <w:rPr>
          <w:rFonts w:ascii="Calibri" w:eastAsia="Calibri" w:hAnsi="Calibri" w:cs="Calibri"/>
          <w:i/>
          <w:iCs/>
          <w:color w:val="1A1A1A"/>
          <w:sz w:val="19"/>
          <w:szCs w:val="19"/>
        </w:rPr>
        <w:t>Commentaire d’arrêt</w:t>
      </w:r>
      <w:r>
        <w:rPr>
          <w:rFonts w:ascii="Calibri" w:eastAsia="Calibri" w:hAnsi="Calibri" w:cs="Calibri"/>
          <w:color w:val="1A1A1A"/>
          <w:sz w:val="19"/>
          <w:szCs w:val="19"/>
        </w:rPr>
        <w:t xml:space="preserve"> : Cons. const., no 93-325 DC, 13 août 1993, Loi relative à la maîtrise de l’immigration et aux conditions d’entrée, d’accueil et de séjour des étrangers en…</w:t>
      </w:r>
    </w:p>
    <w:p w14:paraId="14478C27" w14:textId="77777777" w:rsidR="001E3E87" w:rsidRDefault="005258B2">
      <w:pPr>
        <w:pStyle w:val="Titre2"/>
        <w:spacing w:before="240" w:after="110"/>
      </w:pPr>
      <w:r>
        <w:rPr>
          <w:rFonts w:ascii="Calibri" w:eastAsia="Calibri" w:hAnsi="Calibri" w:cs="Calibri"/>
          <w:b/>
          <w:bCs/>
          <w:color w:val="1A1A1A"/>
          <w:spacing w:val="20"/>
          <w:sz w:val="23"/>
          <w:szCs w:val="23"/>
        </w:rPr>
        <w:t>PARTIE VIII. L’ÉGALITÉ ET LA NON-DISCRIMINATION</w:t>
      </w:r>
    </w:p>
    <w:p w14:paraId="17D86746" w14:textId="77777777" w:rsidR="001E3E87" w:rsidRDefault="005258B2">
      <w:pPr>
        <w:spacing w:after="50" w:line="252" w:lineRule="auto"/>
        <w:ind w:left="240" w:hanging="240"/>
      </w:pPr>
      <w:r>
        <w:rPr>
          <w:rFonts w:ascii="Calibri" w:eastAsia="Calibri" w:hAnsi="Calibri" w:cs="Calibri"/>
          <w:b/>
          <w:bCs/>
          <w:color w:val="1A1A1A"/>
          <w:sz w:val="19"/>
          <w:szCs w:val="19"/>
        </w:rPr>
        <w:t>N° 54</w:t>
      </w:r>
      <w:r>
        <w:rPr>
          <w:rFonts w:ascii="Calibri" w:eastAsia="Calibri" w:hAnsi="Calibri" w:cs="Calibri"/>
          <w:color w:val="1A1A1A"/>
          <w:sz w:val="19"/>
          <w:szCs w:val="19"/>
        </w:rPr>
        <w:t xml:space="preserve"> — Fiche n° 54 (p. 557) — </w:t>
      </w:r>
      <w:r>
        <w:rPr>
          <w:rFonts w:ascii="Calibri" w:eastAsia="Calibri" w:hAnsi="Calibri" w:cs="Calibri"/>
          <w:i/>
          <w:iCs/>
          <w:color w:val="1A1A1A"/>
          <w:sz w:val="19"/>
          <w:szCs w:val="19"/>
        </w:rPr>
        <w:t>Commentaire d’arrêt</w:t>
      </w:r>
      <w:r>
        <w:rPr>
          <w:rFonts w:ascii="Calibri" w:eastAsia="Calibri" w:hAnsi="Calibri" w:cs="Calibri"/>
          <w:color w:val="1A1A1A"/>
          <w:sz w:val="19"/>
          <w:szCs w:val="19"/>
        </w:rPr>
        <w:t xml:space="preserve"> : D.H. et a. c. République tchèque du 13 novembre 2007. « En fait. Les requérants sont 18 ressortissants tchèques d’origine rom. L’affaire concerne leur…</w:t>
      </w:r>
    </w:p>
    <w:p w14:paraId="63FE9742" w14:textId="77777777" w:rsidR="001E3E87" w:rsidRDefault="005258B2">
      <w:pPr>
        <w:spacing w:after="50" w:line="252" w:lineRule="auto"/>
        <w:ind w:left="240" w:hanging="240"/>
      </w:pPr>
      <w:r>
        <w:rPr>
          <w:rFonts w:ascii="Calibri" w:eastAsia="Calibri" w:hAnsi="Calibri" w:cs="Calibri"/>
          <w:b/>
          <w:bCs/>
          <w:color w:val="1A1A1A"/>
          <w:sz w:val="19"/>
          <w:szCs w:val="19"/>
        </w:rPr>
        <w:t>N° 55</w:t>
      </w:r>
      <w:r>
        <w:rPr>
          <w:rFonts w:ascii="Calibri" w:eastAsia="Calibri" w:hAnsi="Calibri" w:cs="Calibri"/>
          <w:color w:val="1A1A1A"/>
          <w:sz w:val="19"/>
          <w:szCs w:val="19"/>
        </w:rPr>
        <w:t xml:space="preserve"> — Fiche n° 55 (p. 569) — </w:t>
      </w:r>
      <w:r>
        <w:rPr>
          <w:rFonts w:ascii="Calibri" w:eastAsia="Calibri" w:hAnsi="Calibri" w:cs="Calibri"/>
          <w:i/>
          <w:iCs/>
          <w:color w:val="1A1A1A"/>
          <w:sz w:val="19"/>
          <w:szCs w:val="19"/>
        </w:rPr>
        <w:t>Argumentation juridique</w:t>
      </w:r>
      <w:r>
        <w:rPr>
          <w:rFonts w:ascii="Calibri" w:eastAsia="Calibri" w:hAnsi="Calibri" w:cs="Calibri"/>
          <w:color w:val="1A1A1A"/>
          <w:sz w:val="19"/>
          <w:szCs w:val="19"/>
        </w:rPr>
        <w:t xml:space="preserve"> : Soutenez qu’il existe un droit à la mendicité.</w:t>
      </w:r>
    </w:p>
    <w:p w14:paraId="38FDACF9" w14:textId="77777777" w:rsidR="001E3E87" w:rsidRDefault="005258B2">
      <w:pPr>
        <w:spacing w:after="50" w:line="252" w:lineRule="auto"/>
        <w:ind w:left="240" w:hanging="240"/>
      </w:pPr>
      <w:r>
        <w:rPr>
          <w:rFonts w:ascii="Calibri" w:eastAsia="Calibri" w:hAnsi="Calibri" w:cs="Calibri"/>
          <w:b/>
          <w:bCs/>
          <w:color w:val="1A1A1A"/>
          <w:sz w:val="19"/>
          <w:szCs w:val="19"/>
        </w:rPr>
        <w:t>N° 56</w:t>
      </w:r>
      <w:r>
        <w:rPr>
          <w:rFonts w:ascii="Calibri" w:eastAsia="Calibri" w:hAnsi="Calibri" w:cs="Calibri"/>
          <w:color w:val="1A1A1A"/>
          <w:sz w:val="19"/>
          <w:szCs w:val="19"/>
        </w:rPr>
        <w:t xml:space="preserve"> — Fiche n° 56 (p. 579) — </w:t>
      </w:r>
      <w:r>
        <w:rPr>
          <w:rFonts w:ascii="Calibri" w:eastAsia="Calibri" w:hAnsi="Calibri" w:cs="Calibri"/>
          <w:i/>
          <w:iCs/>
          <w:color w:val="1A1A1A"/>
          <w:sz w:val="19"/>
          <w:szCs w:val="19"/>
        </w:rPr>
        <w:t>Commentaire de texte</w:t>
      </w:r>
      <w:r>
        <w:rPr>
          <w:rFonts w:ascii="Calibri" w:eastAsia="Calibri" w:hAnsi="Calibri" w:cs="Calibri"/>
          <w:color w:val="1A1A1A"/>
          <w:sz w:val="19"/>
          <w:szCs w:val="19"/>
        </w:rPr>
        <w:t xml:space="preserve"> : article 1er DDHC « Les hommes naissent et demeurent libres et égaux en droits. Les distinctions. Les distinctions sociales ne peuvent être fondées que sur…</w:t>
      </w:r>
    </w:p>
    <w:p w14:paraId="76E198CE" w14:textId="77777777" w:rsidR="001E3E87" w:rsidRDefault="005258B2">
      <w:r>
        <w:br w:type="page"/>
      </w:r>
    </w:p>
    <w:p w14:paraId="47B01A8F"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INDEX PAR TYPE D’EXERCICE</w:t>
      </w:r>
    </w:p>
    <w:p w14:paraId="49F7C63A" w14:textId="77777777" w:rsidR="001E3E87" w:rsidRDefault="005258B2">
      <w:pPr>
        <w:pStyle w:val="Titre2"/>
        <w:spacing w:before="240" w:after="110"/>
      </w:pPr>
      <w:r>
        <w:rPr>
          <w:rFonts w:ascii="Calibri" w:eastAsia="Calibri" w:hAnsi="Calibri" w:cs="Calibri"/>
          <w:b/>
          <w:bCs/>
          <w:color w:val="1A1A1A"/>
          <w:spacing w:val="20"/>
          <w:sz w:val="23"/>
          <w:szCs w:val="23"/>
        </w:rPr>
        <w:t>Dissertation (19)</w:t>
      </w:r>
    </w:p>
    <w:p w14:paraId="417C7696" w14:textId="77777777" w:rsidR="001E3E87" w:rsidRDefault="005258B2">
      <w:pPr>
        <w:spacing w:after="50" w:line="252" w:lineRule="auto"/>
        <w:ind w:left="240" w:hanging="240"/>
      </w:pPr>
      <w:r>
        <w:rPr>
          <w:rFonts w:ascii="Calibri" w:eastAsia="Calibri" w:hAnsi="Calibri" w:cs="Calibri"/>
          <w:b/>
          <w:bCs/>
          <w:color w:val="1A1A1A"/>
          <w:sz w:val="19"/>
          <w:szCs w:val="19"/>
        </w:rPr>
        <w:t>N° 2</w:t>
      </w:r>
      <w:r>
        <w:rPr>
          <w:rFonts w:ascii="Calibri" w:eastAsia="Calibri" w:hAnsi="Calibri" w:cs="Calibri"/>
          <w:color w:val="1A1A1A"/>
          <w:sz w:val="19"/>
          <w:szCs w:val="19"/>
        </w:rPr>
        <w:t xml:space="preserve"> (fiche 2, p. 25) — Les libertés chez les penseurs du contrat social.</w:t>
      </w:r>
    </w:p>
    <w:p w14:paraId="5EDE3853" w14:textId="77777777" w:rsidR="001E3E87" w:rsidRDefault="005258B2">
      <w:pPr>
        <w:spacing w:after="50" w:line="252" w:lineRule="auto"/>
        <w:ind w:left="240" w:hanging="240"/>
      </w:pPr>
      <w:r>
        <w:rPr>
          <w:rFonts w:ascii="Calibri" w:eastAsia="Calibri" w:hAnsi="Calibri" w:cs="Calibri"/>
          <w:b/>
          <w:bCs/>
          <w:color w:val="1A1A1A"/>
          <w:sz w:val="19"/>
          <w:szCs w:val="19"/>
        </w:rPr>
        <w:t>N° 7</w:t>
      </w:r>
      <w:r>
        <w:rPr>
          <w:rFonts w:ascii="Calibri" w:eastAsia="Calibri" w:hAnsi="Calibri" w:cs="Calibri"/>
          <w:color w:val="1A1A1A"/>
          <w:sz w:val="19"/>
          <w:szCs w:val="19"/>
        </w:rPr>
        <w:t xml:space="preserve"> (fiche 7, p. 72) — Les limitations des droits humains en période d’exception constituent-elles réellement des exceptions ?</w:t>
      </w:r>
    </w:p>
    <w:p w14:paraId="0E23AE35" w14:textId="77777777" w:rsidR="001E3E87" w:rsidRDefault="005258B2">
      <w:pPr>
        <w:spacing w:after="50" w:line="252" w:lineRule="auto"/>
        <w:ind w:left="240" w:hanging="240"/>
      </w:pPr>
      <w:r>
        <w:rPr>
          <w:rFonts w:ascii="Calibri" w:eastAsia="Calibri" w:hAnsi="Calibri" w:cs="Calibri"/>
          <w:b/>
          <w:bCs/>
          <w:color w:val="1A1A1A"/>
          <w:sz w:val="19"/>
          <w:szCs w:val="19"/>
        </w:rPr>
        <w:t>N° 11</w:t>
      </w:r>
      <w:r>
        <w:rPr>
          <w:rFonts w:ascii="Calibri" w:eastAsia="Calibri" w:hAnsi="Calibri" w:cs="Calibri"/>
          <w:color w:val="1A1A1A"/>
          <w:sz w:val="19"/>
          <w:szCs w:val="19"/>
        </w:rPr>
        <w:t xml:space="preserve"> (fiche 11, p. 113) — Le pouvoir règlementaire est-il gardien des libertés ?</w:t>
      </w:r>
    </w:p>
    <w:p w14:paraId="09DEE9DE" w14:textId="77777777" w:rsidR="001E3E87" w:rsidRDefault="005258B2">
      <w:pPr>
        <w:spacing w:after="50" w:line="252" w:lineRule="auto"/>
        <w:ind w:left="240" w:hanging="240"/>
      </w:pPr>
      <w:r>
        <w:rPr>
          <w:rFonts w:ascii="Calibri" w:eastAsia="Calibri" w:hAnsi="Calibri" w:cs="Calibri"/>
          <w:b/>
          <w:bCs/>
          <w:color w:val="1A1A1A"/>
          <w:sz w:val="19"/>
          <w:szCs w:val="19"/>
        </w:rPr>
        <w:t>N° 12</w:t>
      </w:r>
      <w:r>
        <w:rPr>
          <w:rFonts w:ascii="Calibri" w:eastAsia="Calibri" w:hAnsi="Calibri" w:cs="Calibri"/>
          <w:color w:val="1A1A1A"/>
          <w:sz w:val="19"/>
          <w:szCs w:val="19"/>
        </w:rPr>
        <w:t xml:space="preserve"> (fiche 12, p. 123) — Internationalisation du droit des libertés et souveraineté des États</w:t>
      </w:r>
    </w:p>
    <w:p w14:paraId="47BEAF7B" w14:textId="77777777" w:rsidR="001E3E87" w:rsidRDefault="005258B2">
      <w:pPr>
        <w:spacing w:after="50" w:line="252" w:lineRule="auto"/>
        <w:ind w:left="240" w:hanging="240"/>
      </w:pPr>
      <w:r>
        <w:rPr>
          <w:rFonts w:ascii="Calibri" w:eastAsia="Calibri" w:hAnsi="Calibri" w:cs="Calibri"/>
          <w:b/>
          <w:bCs/>
          <w:color w:val="1A1A1A"/>
          <w:sz w:val="19"/>
          <w:szCs w:val="19"/>
        </w:rPr>
        <w:t>N° 14</w:t>
      </w:r>
      <w:r>
        <w:rPr>
          <w:rFonts w:ascii="Calibri" w:eastAsia="Calibri" w:hAnsi="Calibri" w:cs="Calibri"/>
          <w:color w:val="1A1A1A"/>
          <w:sz w:val="19"/>
          <w:szCs w:val="19"/>
        </w:rPr>
        <w:t xml:space="preserve"> (fiche 14, p. 142) — Existe-t-il un gouvernement des juges de la Cour européenne des droits de l’homme ?</w:t>
      </w:r>
    </w:p>
    <w:p w14:paraId="795EE69C" w14:textId="77777777" w:rsidR="001E3E87" w:rsidRDefault="005258B2">
      <w:pPr>
        <w:spacing w:after="50" w:line="252" w:lineRule="auto"/>
        <w:ind w:left="240" w:hanging="240"/>
      </w:pPr>
      <w:r>
        <w:rPr>
          <w:rFonts w:ascii="Calibri" w:eastAsia="Calibri" w:hAnsi="Calibri" w:cs="Calibri"/>
          <w:b/>
          <w:bCs/>
          <w:color w:val="1A1A1A"/>
          <w:sz w:val="19"/>
          <w:szCs w:val="19"/>
        </w:rPr>
        <w:t>N° 19</w:t>
      </w:r>
      <w:r>
        <w:rPr>
          <w:rFonts w:ascii="Calibri" w:eastAsia="Calibri" w:hAnsi="Calibri" w:cs="Calibri"/>
          <w:color w:val="1A1A1A"/>
          <w:sz w:val="19"/>
          <w:szCs w:val="19"/>
        </w:rPr>
        <w:t xml:space="preserve"> (fiche 19, p. 195) — L’autorité judiciaire est-elle la gardienne de la propriété privée immobilière ?</w:t>
      </w:r>
    </w:p>
    <w:p w14:paraId="48C1E236" w14:textId="77777777" w:rsidR="001E3E87" w:rsidRDefault="005258B2">
      <w:pPr>
        <w:spacing w:after="50" w:line="252" w:lineRule="auto"/>
        <w:ind w:left="240" w:hanging="240"/>
      </w:pPr>
      <w:r>
        <w:rPr>
          <w:rFonts w:ascii="Calibri" w:eastAsia="Calibri" w:hAnsi="Calibri" w:cs="Calibri"/>
          <w:b/>
          <w:bCs/>
          <w:color w:val="1A1A1A"/>
          <w:sz w:val="19"/>
          <w:szCs w:val="19"/>
        </w:rPr>
        <w:t>N° 20</w:t>
      </w:r>
      <w:r>
        <w:rPr>
          <w:rFonts w:ascii="Calibri" w:eastAsia="Calibri" w:hAnsi="Calibri" w:cs="Calibri"/>
          <w:color w:val="1A1A1A"/>
          <w:sz w:val="19"/>
          <w:szCs w:val="19"/>
        </w:rPr>
        <w:t xml:space="preserve"> (fiche 20, p. 205) — La protection des libertés par les autorités administratives indépendantes</w:t>
      </w:r>
    </w:p>
    <w:p w14:paraId="51100EE7" w14:textId="77777777" w:rsidR="001E3E87" w:rsidRDefault="005258B2">
      <w:pPr>
        <w:spacing w:after="50" w:line="252" w:lineRule="auto"/>
        <w:ind w:left="240" w:hanging="240"/>
      </w:pPr>
      <w:r>
        <w:rPr>
          <w:rFonts w:ascii="Calibri" w:eastAsia="Calibri" w:hAnsi="Calibri" w:cs="Calibri"/>
          <w:b/>
          <w:bCs/>
          <w:color w:val="1A1A1A"/>
          <w:sz w:val="19"/>
          <w:szCs w:val="19"/>
        </w:rPr>
        <w:t>N° 21</w:t>
      </w:r>
      <w:r>
        <w:rPr>
          <w:rFonts w:ascii="Calibri" w:eastAsia="Calibri" w:hAnsi="Calibri" w:cs="Calibri"/>
          <w:color w:val="1A1A1A"/>
          <w:sz w:val="19"/>
          <w:szCs w:val="19"/>
        </w:rPr>
        <w:t xml:space="preserve"> (fiche 21, p. 215) — Les comités onusiens de protection des droits humains : garants d’une justice universelle ou simples organes consultatifs ?</w:t>
      </w:r>
    </w:p>
    <w:p w14:paraId="70189339" w14:textId="77777777" w:rsidR="001E3E87" w:rsidRDefault="005258B2">
      <w:pPr>
        <w:spacing w:after="50" w:line="252" w:lineRule="auto"/>
        <w:ind w:left="240" w:hanging="240"/>
      </w:pPr>
      <w:r>
        <w:rPr>
          <w:rFonts w:ascii="Calibri" w:eastAsia="Calibri" w:hAnsi="Calibri" w:cs="Calibri"/>
          <w:b/>
          <w:bCs/>
          <w:color w:val="1A1A1A"/>
          <w:sz w:val="19"/>
          <w:szCs w:val="19"/>
        </w:rPr>
        <w:t>N° 22</w:t>
      </w:r>
      <w:r>
        <w:rPr>
          <w:rFonts w:ascii="Calibri" w:eastAsia="Calibri" w:hAnsi="Calibri" w:cs="Calibri"/>
          <w:color w:val="1A1A1A"/>
          <w:sz w:val="19"/>
          <w:szCs w:val="19"/>
        </w:rPr>
        <w:t xml:space="preserve"> (fiche 22, p. 225) — L’exécution des arrêts de la Cour européenne des droits de l’homme</w:t>
      </w:r>
    </w:p>
    <w:p w14:paraId="79D4F3B4" w14:textId="77777777" w:rsidR="001E3E87" w:rsidRDefault="005258B2">
      <w:pPr>
        <w:spacing w:after="50" w:line="252" w:lineRule="auto"/>
        <w:ind w:left="240" w:hanging="240"/>
      </w:pPr>
      <w:r>
        <w:rPr>
          <w:rFonts w:ascii="Calibri" w:eastAsia="Calibri" w:hAnsi="Calibri" w:cs="Calibri"/>
          <w:b/>
          <w:bCs/>
          <w:color w:val="1A1A1A"/>
          <w:sz w:val="19"/>
          <w:szCs w:val="19"/>
        </w:rPr>
        <w:t>N° 24</w:t>
      </w:r>
      <w:r>
        <w:rPr>
          <w:rFonts w:ascii="Calibri" w:eastAsia="Calibri" w:hAnsi="Calibri" w:cs="Calibri"/>
          <w:color w:val="1A1A1A"/>
          <w:sz w:val="19"/>
          <w:szCs w:val="19"/>
        </w:rPr>
        <w:t xml:space="preserve"> (fiche 24, p. 243) — Les juridictions régionales et l’universalisation des droits humains</w:t>
      </w:r>
    </w:p>
    <w:p w14:paraId="79964649" w14:textId="77777777" w:rsidR="001E3E87" w:rsidRDefault="005258B2">
      <w:pPr>
        <w:spacing w:after="50" w:line="252" w:lineRule="auto"/>
        <w:ind w:left="240" w:hanging="240"/>
      </w:pPr>
      <w:r>
        <w:rPr>
          <w:rFonts w:ascii="Calibri" w:eastAsia="Calibri" w:hAnsi="Calibri" w:cs="Calibri"/>
          <w:b/>
          <w:bCs/>
          <w:color w:val="1A1A1A"/>
          <w:sz w:val="19"/>
          <w:szCs w:val="19"/>
        </w:rPr>
        <w:t>N° 26</w:t>
      </w:r>
      <w:r>
        <w:rPr>
          <w:rFonts w:ascii="Calibri" w:eastAsia="Calibri" w:hAnsi="Calibri" w:cs="Calibri"/>
          <w:color w:val="1A1A1A"/>
          <w:sz w:val="19"/>
          <w:szCs w:val="19"/>
        </w:rPr>
        <w:t xml:space="preserve"> (fiche 26, p. 265) — La fin de vie</w:t>
      </w:r>
    </w:p>
    <w:p w14:paraId="15134F24" w14:textId="77777777" w:rsidR="001E3E87" w:rsidRDefault="005258B2">
      <w:pPr>
        <w:spacing w:after="50" w:line="252" w:lineRule="auto"/>
        <w:ind w:left="240" w:hanging="240"/>
      </w:pPr>
      <w:r>
        <w:rPr>
          <w:rFonts w:ascii="Calibri" w:eastAsia="Calibri" w:hAnsi="Calibri" w:cs="Calibri"/>
          <w:b/>
          <w:bCs/>
          <w:color w:val="1A1A1A"/>
          <w:sz w:val="19"/>
          <w:szCs w:val="19"/>
        </w:rPr>
        <w:t>N° 31</w:t>
      </w:r>
      <w:r>
        <w:rPr>
          <w:rFonts w:ascii="Calibri" w:eastAsia="Calibri" w:hAnsi="Calibri" w:cs="Calibri"/>
          <w:color w:val="1A1A1A"/>
          <w:sz w:val="19"/>
          <w:szCs w:val="19"/>
        </w:rPr>
        <w:t xml:space="preserve"> (fiche 31, p. 319) — Le droit à un procès équitable et à un recours effectif : quelle articulation ?</w:t>
      </w:r>
    </w:p>
    <w:p w14:paraId="20CFCBDB" w14:textId="77777777" w:rsidR="001E3E87" w:rsidRDefault="005258B2">
      <w:pPr>
        <w:spacing w:after="50" w:line="252" w:lineRule="auto"/>
        <w:ind w:left="240" w:hanging="240"/>
      </w:pPr>
      <w:r>
        <w:rPr>
          <w:rFonts w:ascii="Calibri" w:eastAsia="Calibri" w:hAnsi="Calibri" w:cs="Calibri"/>
          <w:b/>
          <w:bCs/>
          <w:color w:val="1A1A1A"/>
          <w:sz w:val="19"/>
          <w:szCs w:val="19"/>
        </w:rPr>
        <w:t>N° 34</w:t>
      </w:r>
      <w:r>
        <w:rPr>
          <w:rFonts w:ascii="Calibri" w:eastAsia="Calibri" w:hAnsi="Calibri" w:cs="Calibri"/>
          <w:color w:val="1A1A1A"/>
          <w:sz w:val="19"/>
          <w:szCs w:val="19"/>
        </w:rPr>
        <w:t xml:space="preserve"> (fiche 34, p. 353) — Existe-t-il un droit à la parenté ?</w:t>
      </w:r>
    </w:p>
    <w:p w14:paraId="5ECC57BD" w14:textId="77777777" w:rsidR="001E3E87" w:rsidRDefault="005258B2">
      <w:pPr>
        <w:spacing w:after="50" w:line="252" w:lineRule="auto"/>
        <w:ind w:left="240" w:hanging="240"/>
      </w:pPr>
      <w:r>
        <w:rPr>
          <w:rFonts w:ascii="Calibri" w:eastAsia="Calibri" w:hAnsi="Calibri" w:cs="Calibri"/>
          <w:b/>
          <w:bCs/>
          <w:color w:val="1A1A1A"/>
          <w:sz w:val="19"/>
          <w:szCs w:val="19"/>
        </w:rPr>
        <w:t>N° 35</w:t>
      </w:r>
      <w:r>
        <w:rPr>
          <w:rFonts w:ascii="Calibri" w:eastAsia="Calibri" w:hAnsi="Calibri" w:cs="Calibri"/>
          <w:color w:val="1A1A1A"/>
          <w:sz w:val="19"/>
          <w:szCs w:val="19"/>
        </w:rPr>
        <w:t xml:space="preserve"> (fiche 35, p. 366) — Systèmes biométriques et protection des droits humains</w:t>
      </w:r>
    </w:p>
    <w:p w14:paraId="604EDCED" w14:textId="77777777" w:rsidR="001E3E87" w:rsidRDefault="005258B2">
      <w:pPr>
        <w:spacing w:after="50" w:line="252" w:lineRule="auto"/>
        <w:ind w:left="240" w:hanging="240"/>
      </w:pPr>
      <w:r>
        <w:rPr>
          <w:rFonts w:ascii="Calibri" w:eastAsia="Calibri" w:hAnsi="Calibri" w:cs="Calibri"/>
          <w:b/>
          <w:bCs/>
          <w:color w:val="1A1A1A"/>
          <w:sz w:val="19"/>
          <w:szCs w:val="19"/>
        </w:rPr>
        <w:t>N° 42</w:t>
      </w:r>
      <w:r>
        <w:rPr>
          <w:rFonts w:ascii="Calibri" w:eastAsia="Calibri" w:hAnsi="Calibri" w:cs="Calibri"/>
          <w:color w:val="1A1A1A"/>
          <w:sz w:val="19"/>
          <w:szCs w:val="19"/>
        </w:rPr>
        <w:t xml:space="preserve"> (fiche 42, p. 443) — Le droit à des élections libres</w:t>
      </w:r>
    </w:p>
    <w:p w14:paraId="4C7E662F" w14:textId="77777777" w:rsidR="001E3E87" w:rsidRDefault="005258B2">
      <w:pPr>
        <w:spacing w:after="50" w:line="252" w:lineRule="auto"/>
        <w:ind w:left="240" w:hanging="240"/>
      </w:pPr>
      <w:r>
        <w:rPr>
          <w:rFonts w:ascii="Calibri" w:eastAsia="Calibri" w:hAnsi="Calibri" w:cs="Calibri"/>
          <w:b/>
          <w:bCs/>
          <w:color w:val="1A1A1A"/>
          <w:sz w:val="19"/>
          <w:szCs w:val="19"/>
        </w:rPr>
        <w:t>N° 44</w:t>
      </w:r>
      <w:r>
        <w:rPr>
          <w:rFonts w:ascii="Calibri" w:eastAsia="Calibri" w:hAnsi="Calibri" w:cs="Calibri"/>
          <w:color w:val="1A1A1A"/>
          <w:sz w:val="19"/>
          <w:szCs w:val="19"/>
        </w:rPr>
        <w:t xml:space="preserve"> (fiche 44, p. 465) — Les implications du droit des peuples à disposer d’eux-mêmes en France ?</w:t>
      </w:r>
    </w:p>
    <w:p w14:paraId="2822FD1B" w14:textId="77777777" w:rsidR="001E3E87" w:rsidRDefault="005258B2">
      <w:pPr>
        <w:spacing w:after="50" w:line="252" w:lineRule="auto"/>
        <w:ind w:left="240" w:hanging="240"/>
      </w:pPr>
      <w:r>
        <w:rPr>
          <w:rFonts w:ascii="Calibri" w:eastAsia="Calibri" w:hAnsi="Calibri" w:cs="Calibri"/>
          <w:b/>
          <w:bCs/>
          <w:color w:val="1A1A1A"/>
          <w:sz w:val="19"/>
          <w:szCs w:val="19"/>
        </w:rPr>
        <w:t>N° 45</w:t>
      </w:r>
      <w:r>
        <w:rPr>
          <w:rFonts w:ascii="Calibri" w:eastAsia="Calibri" w:hAnsi="Calibri" w:cs="Calibri"/>
          <w:color w:val="1A1A1A"/>
          <w:sz w:val="19"/>
          <w:szCs w:val="19"/>
        </w:rPr>
        <w:t xml:space="preserve"> (fiche 45, p. 473) — La soumission de la liberté d’entreprendre à des autorisations administratives.</w:t>
      </w:r>
    </w:p>
    <w:p w14:paraId="6154BB17" w14:textId="77777777" w:rsidR="001E3E87" w:rsidRDefault="005258B2">
      <w:pPr>
        <w:spacing w:after="50" w:line="252" w:lineRule="auto"/>
        <w:ind w:left="240" w:hanging="240"/>
      </w:pPr>
      <w:r>
        <w:rPr>
          <w:rFonts w:ascii="Calibri" w:eastAsia="Calibri" w:hAnsi="Calibri" w:cs="Calibri"/>
          <w:b/>
          <w:bCs/>
          <w:color w:val="1A1A1A"/>
          <w:sz w:val="19"/>
          <w:szCs w:val="19"/>
        </w:rPr>
        <w:t>N° 51</w:t>
      </w:r>
      <w:r>
        <w:rPr>
          <w:rFonts w:ascii="Calibri" w:eastAsia="Calibri" w:hAnsi="Calibri" w:cs="Calibri"/>
          <w:color w:val="1A1A1A"/>
          <w:sz w:val="19"/>
          <w:szCs w:val="19"/>
        </w:rPr>
        <w:t xml:space="preserve"> (fiche 51, p. 524) — Le droit au logement est-il un droit fondamental ?</w:t>
      </w:r>
    </w:p>
    <w:p w14:paraId="0A9A49BC" w14:textId="77777777" w:rsidR="001E3E87" w:rsidRDefault="005258B2">
      <w:pPr>
        <w:spacing w:after="50" w:line="252" w:lineRule="auto"/>
        <w:ind w:left="240" w:hanging="240"/>
      </w:pPr>
      <w:r>
        <w:rPr>
          <w:rFonts w:ascii="Calibri" w:eastAsia="Calibri" w:hAnsi="Calibri" w:cs="Calibri"/>
          <w:b/>
          <w:bCs/>
          <w:color w:val="1A1A1A"/>
          <w:sz w:val="19"/>
          <w:szCs w:val="19"/>
        </w:rPr>
        <w:t>N° 52</w:t>
      </w:r>
      <w:r>
        <w:rPr>
          <w:rFonts w:ascii="Calibri" w:eastAsia="Calibri" w:hAnsi="Calibri" w:cs="Calibri"/>
          <w:color w:val="1A1A1A"/>
          <w:sz w:val="19"/>
          <w:szCs w:val="19"/>
        </w:rPr>
        <w:t xml:space="preserve"> (fiche 52, p. 534) — Quelles sont les interactions entre droit à la culture et droit de la culture ?</w:t>
      </w:r>
    </w:p>
    <w:p w14:paraId="5C0B65BF" w14:textId="77777777" w:rsidR="001E3E87" w:rsidRDefault="005258B2">
      <w:pPr>
        <w:pStyle w:val="Titre2"/>
        <w:spacing w:before="240" w:after="110"/>
      </w:pPr>
      <w:r>
        <w:rPr>
          <w:rFonts w:ascii="Calibri" w:eastAsia="Calibri" w:hAnsi="Calibri" w:cs="Calibri"/>
          <w:b/>
          <w:bCs/>
          <w:color w:val="1A1A1A"/>
          <w:spacing w:val="20"/>
          <w:sz w:val="23"/>
          <w:szCs w:val="23"/>
        </w:rPr>
        <w:t>Commentaire de texte (12)</w:t>
      </w:r>
    </w:p>
    <w:p w14:paraId="3C4B2FEC" w14:textId="77777777" w:rsidR="001E3E87" w:rsidRDefault="005258B2">
      <w:pPr>
        <w:spacing w:after="50" w:line="252" w:lineRule="auto"/>
        <w:ind w:left="240" w:hanging="240"/>
      </w:pPr>
      <w:r>
        <w:rPr>
          <w:rFonts w:ascii="Calibri" w:eastAsia="Calibri" w:hAnsi="Calibri" w:cs="Calibri"/>
          <w:b/>
          <w:bCs/>
          <w:color w:val="1A1A1A"/>
          <w:sz w:val="19"/>
          <w:szCs w:val="19"/>
        </w:rPr>
        <w:t>N° 3</w:t>
      </w:r>
      <w:r>
        <w:rPr>
          <w:rFonts w:ascii="Calibri" w:eastAsia="Calibri" w:hAnsi="Calibri" w:cs="Calibri"/>
          <w:color w:val="1A1A1A"/>
          <w:sz w:val="19"/>
          <w:szCs w:val="19"/>
        </w:rPr>
        <w:t xml:space="preserve"> (fiche 3, p. 35) — Article 1er Déclaration des droits de l’homme et du citoyen, 1789 : « Les Hommes naissent et demeurent libres et égaux en droits. Les distinctions sociales ne…</w:t>
      </w:r>
    </w:p>
    <w:p w14:paraId="2B7A3AEA" w14:textId="77777777" w:rsidR="001E3E87" w:rsidRDefault="005258B2">
      <w:pPr>
        <w:spacing w:after="50" w:line="252" w:lineRule="auto"/>
        <w:ind w:left="240" w:hanging="240"/>
      </w:pPr>
      <w:r>
        <w:rPr>
          <w:rFonts w:ascii="Calibri" w:eastAsia="Calibri" w:hAnsi="Calibri" w:cs="Calibri"/>
          <w:b/>
          <w:bCs/>
          <w:color w:val="1A1A1A"/>
          <w:sz w:val="19"/>
          <w:szCs w:val="19"/>
        </w:rPr>
        <w:t>N° 6</w:t>
      </w:r>
      <w:r>
        <w:rPr>
          <w:rFonts w:ascii="Calibri" w:eastAsia="Calibri" w:hAnsi="Calibri" w:cs="Calibri"/>
          <w:color w:val="1A1A1A"/>
          <w:sz w:val="19"/>
          <w:szCs w:val="19"/>
        </w:rPr>
        <w:t xml:space="preserve"> (fiche 6, p. 60) — article 211-1 du Code de la sécurité intérieure (Ordonnance no 2012-351 du 12 mars 2012) : « Sont soumis à l’obligation d’une déclaration préalable tous…</w:t>
      </w:r>
    </w:p>
    <w:p w14:paraId="0B32F61B" w14:textId="77777777" w:rsidR="001E3E87" w:rsidRDefault="005258B2">
      <w:pPr>
        <w:spacing w:after="50" w:line="252" w:lineRule="auto"/>
        <w:ind w:left="240" w:hanging="240"/>
      </w:pPr>
      <w:r>
        <w:rPr>
          <w:rFonts w:ascii="Calibri" w:eastAsia="Calibri" w:hAnsi="Calibri" w:cs="Calibri"/>
          <w:b/>
          <w:bCs/>
          <w:color w:val="1A1A1A"/>
          <w:sz w:val="19"/>
          <w:szCs w:val="19"/>
        </w:rPr>
        <w:t>N° 8</w:t>
      </w:r>
      <w:r>
        <w:rPr>
          <w:rFonts w:ascii="Calibri" w:eastAsia="Calibri" w:hAnsi="Calibri" w:cs="Calibri"/>
          <w:color w:val="1A1A1A"/>
          <w:sz w:val="19"/>
          <w:szCs w:val="19"/>
        </w:rPr>
        <w:t xml:space="preserve"> (fiche 8, p. 80) — Article 2 du Traité sur l’Union européenne : « L’Union est fondée sur les valeurs de respect de la dignité humaine, de liberté, de démocratie, d’égalité, de…</w:t>
      </w:r>
    </w:p>
    <w:p w14:paraId="3D182E25" w14:textId="77777777" w:rsidR="001E3E87" w:rsidRDefault="005258B2">
      <w:pPr>
        <w:spacing w:after="50" w:line="252" w:lineRule="auto"/>
        <w:ind w:left="240" w:hanging="240"/>
      </w:pPr>
      <w:r>
        <w:rPr>
          <w:rFonts w:ascii="Calibri" w:eastAsia="Calibri" w:hAnsi="Calibri" w:cs="Calibri"/>
          <w:b/>
          <w:bCs/>
          <w:color w:val="1A1A1A"/>
          <w:sz w:val="19"/>
          <w:szCs w:val="19"/>
        </w:rPr>
        <w:t>N° 10</w:t>
      </w:r>
      <w:r>
        <w:rPr>
          <w:rFonts w:ascii="Calibri" w:eastAsia="Calibri" w:hAnsi="Calibri" w:cs="Calibri"/>
          <w:color w:val="1A1A1A"/>
          <w:sz w:val="19"/>
          <w:szCs w:val="19"/>
        </w:rPr>
        <w:t xml:space="preserve"> (fiche 10, p. 102) — Loi constitutionnelle no 2024-200 du 8 mars 2024 relative </w:t>
      </w:r>
      <w:proofErr w:type="gramStart"/>
      <w:r>
        <w:rPr>
          <w:rFonts w:ascii="Calibri" w:eastAsia="Calibri" w:hAnsi="Calibri" w:cs="Calibri"/>
          <w:color w:val="1A1A1A"/>
          <w:sz w:val="19"/>
          <w:szCs w:val="19"/>
        </w:rPr>
        <w:t>à</w:t>
      </w:r>
      <w:proofErr w:type="gramEnd"/>
      <w:r>
        <w:rPr>
          <w:rFonts w:ascii="Calibri" w:eastAsia="Calibri" w:hAnsi="Calibri" w:cs="Calibri"/>
          <w:color w:val="1A1A1A"/>
          <w:sz w:val="19"/>
          <w:szCs w:val="19"/>
        </w:rPr>
        <w:t xml:space="preserve"> la liberté de recourir à l’interruption volontaire de grossesse : Article unique : « Après le…</w:t>
      </w:r>
    </w:p>
    <w:p w14:paraId="63AF0E17" w14:textId="77777777" w:rsidR="001E3E87" w:rsidRDefault="005258B2">
      <w:pPr>
        <w:spacing w:after="50" w:line="252" w:lineRule="auto"/>
        <w:ind w:left="240" w:hanging="240"/>
      </w:pPr>
      <w:r>
        <w:rPr>
          <w:rFonts w:ascii="Calibri" w:eastAsia="Calibri" w:hAnsi="Calibri" w:cs="Calibri"/>
          <w:b/>
          <w:bCs/>
          <w:color w:val="1A1A1A"/>
          <w:sz w:val="19"/>
          <w:szCs w:val="19"/>
        </w:rPr>
        <w:t>N° 16</w:t>
      </w:r>
      <w:r>
        <w:rPr>
          <w:rFonts w:ascii="Calibri" w:eastAsia="Calibri" w:hAnsi="Calibri" w:cs="Calibri"/>
          <w:color w:val="1A1A1A"/>
          <w:sz w:val="19"/>
          <w:szCs w:val="19"/>
        </w:rPr>
        <w:t xml:space="preserve"> (fiche 16, p. 162) — commentez les articles 61 et 61-1 de la Constitution de 1958.</w:t>
      </w:r>
    </w:p>
    <w:p w14:paraId="4DBC8197" w14:textId="77777777" w:rsidR="001E3E87" w:rsidRDefault="005258B2">
      <w:pPr>
        <w:spacing w:after="50" w:line="252" w:lineRule="auto"/>
        <w:ind w:left="240" w:hanging="240"/>
      </w:pPr>
      <w:r>
        <w:rPr>
          <w:rFonts w:ascii="Calibri" w:eastAsia="Calibri" w:hAnsi="Calibri" w:cs="Calibri"/>
          <w:b/>
          <w:bCs/>
          <w:color w:val="1A1A1A"/>
          <w:sz w:val="19"/>
          <w:szCs w:val="19"/>
        </w:rPr>
        <w:t>N° 23</w:t>
      </w:r>
      <w:r>
        <w:rPr>
          <w:rFonts w:ascii="Calibri" w:eastAsia="Calibri" w:hAnsi="Calibri" w:cs="Calibri"/>
          <w:color w:val="1A1A1A"/>
          <w:sz w:val="19"/>
          <w:szCs w:val="19"/>
        </w:rPr>
        <w:t xml:space="preserve"> (fiche 23, p. 235) — « Article 19.1 du Traité sur le fonctionnement de l’Union européenne : La Cour de justice de l’Union européenne comprend la Cour de justice, le Tribunal et des…</w:t>
      </w:r>
    </w:p>
    <w:p w14:paraId="53C453A6" w14:textId="77777777" w:rsidR="001E3E87" w:rsidRDefault="005258B2">
      <w:pPr>
        <w:spacing w:after="50" w:line="252" w:lineRule="auto"/>
        <w:ind w:left="240" w:hanging="240"/>
      </w:pPr>
      <w:r>
        <w:rPr>
          <w:rFonts w:ascii="Calibri" w:eastAsia="Calibri" w:hAnsi="Calibri" w:cs="Calibri"/>
          <w:b/>
          <w:bCs/>
          <w:color w:val="1A1A1A"/>
          <w:sz w:val="19"/>
          <w:szCs w:val="19"/>
        </w:rPr>
        <w:t>N° 33</w:t>
      </w:r>
      <w:r>
        <w:rPr>
          <w:rFonts w:ascii="Calibri" w:eastAsia="Calibri" w:hAnsi="Calibri" w:cs="Calibri"/>
          <w:color w:val="1A1A1A"/>
          <w:sz w:val="19"/>
          <w:szCs w:val="19"/>
        </w:rPr>
        <w:t xml:space="preserve"> (fiche 33, p. 341) — Communiqué CEDH, 4 septembre 2014, Dzemyuk c. Ukraine, no 42488/02 « En fait – Le requérant vivait dans un village sans distribution centralisée d’eau et…</w:t>
      </w:r>
    </w:p>
    <w:p w14:paraId="2DC9E052" w14:textId="77777777" w:rsidR="001E3E87" w:rsidRDefault="005258B2">
      <w:pPr>
        <w:spacing w:after="50" w:line="252" w:lineRule="auto"/>
        <w:ind w:left="240" w:hanging="240"/>
      </w:pPr>
      <w:r>
        <w:rPr>
          <w:rFonts w:ascii="Calibri" w:eastAsia="Calibri" w:hAnsi="Calibri" w:cs="Calibri"/>
          <w:b/>
          <w:bCs/>
          <w:color w:val="1A1A1A"/>
          <w:sz w:val="19"/>
          <w:szCs w:val="19"/>
        </w:rPr>
        <w:t>N° 40</w:t>
      </w:r>
      <w:r>
        <w:rPr>
          <w:rFonts w:ascii="Calibri" w:eastAsia="Calibri" w:hAnsi="Calibri" w:cs="Calibri"/>
          <w:color w:val="1A1A1A"/>
          <w:sz w:val="19"/>
          <w:szCs w:val="19"/>
        </w:rPr>
        <w:t xml:space="preserve"> (fiche 40, p. 426) — « Art. 2 du Protocole no 4 CESDH – Liberté de circulation 1. Quiconque se trouve régulièrement sur le territoire d’un État a le droit d’y circuler librement et…</w:t>
      </w:r>
    </w:p>
    <w:p w14:paraId="34AF7B89" w14:textId="77777777" w:rsidR="001E3E87" w:rsidRDefault="005258B2">
      <w:pPr>
        <w:spacing w:after="50" w:line="252" w:lineRule="auto"/>
        <w:ind w:left="240" w:hanging="240"/>
      </w:pPr>
      <w:r>
        <w:rPr>
          <w:rFonts w:ascii="Calibri" w:eastAsia="Calibri" w:hAnsi="Calibri" w:cs="Calibri"/>
          <w:b/>
          <w:bCs/>
          <w:color w:val="1A1A1A"/>
          <w:sz w:val="19"/>
          <w:szCs w:val="19"/>
        </w:rPr>
        <w:t>N° 43</w:t>
      </w:r>
      <w:r>
        <w:rPr>
          <w:rFonts w:ascii="Calibri" w:eastAsia="Calibri" w:hAnsi="Calibri" w:cs="Calibri"/>
          <w:color w:val="1A1A1A"/>
          <w:sz w:val="19"/>
          <w:szCs w:val="19"/>
        </w:rPr>
        <w:t xml:space="preserve"> (fiche 43, p. 454) — Proposition de loi no 977 visant à ne pas autoriser le mariage d’un étrangers soumis à l’obligation de quitter le territoire français. « Article unique -…</w:t>
      </w:r>
    </w:p>
    <w:p w14:paraId="4B231721" w14:textId="77777777" w:rsidR="001E3E87" w:rsidRDefault="005258B2">
      <w:pPr>
        <w:spacing w:after="50" w:line="252" w:lineRule="auto"/>
        <w:ind w:left="240" w:hanging="240"/>
      </w:pPr>
      <w:r>
        <w:rPr>
          <w:rFonts w:ascii="Calibri" w:eastAsia="Calibri" w:hAnsi="Calibri" w:cs="Calibri"/>
          <w:b/>
          <w:bCs/>
          <w:color w:val="1A1A1A"/>
          <w:sz w:val="19"/>
          <w:szCs w:val="19"/>
        </w:rPr>
        <w:t>N° 46</w:t>
      </w:r>
      <w:r>
        <w:rPr>
          <w:rFonts w:ascii="Calibri" w:eastAsia="Calibri" w:hAnsi="Calibri" w:cs="Calibri"/>
          <w:color w:val="1A1A1A"/>
          <w:sz w:val="19"/>
          <w:szCs w:val="19"/>
        </w:rPr>
        <w:t xml:space="preserve"> (fiche 46, p. 479) — Article 1er du protocole no 1 : « Toute personne physique ou morale a droit au respect de ses biens. Nul ne peut être privé de sa propriété que pour cause…</w:t>
      </w:r>
    </w:p>
    <w:p w14:paraId="1C3B1718" w14:textId="77777777" w:rsidR="001E3E87" w:rsidRDefault="005258B2">
      <w:pPr>
        <w:spacing w:after="50" w:line="252" w:lineRule="auto"/>
        <w:ind w:left="240" w:hanging="240"/>
      </w:pPr>
      <w:r>
        <w:rPr>
          <w:rFonts w:ascii="Calibri" w:eastAsia="Calibri" w:hAnsi="Calibri" w:cs="Calibri"/>
          <w:b/>
          <w:bCs/>
          <w:color w:val="1A1A1A"/>
          <w:sz w:val="19"/>
          <w:szCs w:val="19"/>
        </w:rPr>
        <w:t>N° 47</w:t>
      </w:r>
      <w:r>
        <w:rPr>
          <w:rFonts w:ascii="Calibri" w:eastAsia="Calibri" w:hAnsi="Calibri" w:cs="Calibri"/>
          <w:color w:val="1A1A1A"/>
          <w:sz w:val="19"/>
          <w:szCs w:val="19"/>
        </w:rPr>
        <w:t xml:space="preserve"> (fiche 47, p. 487) — Cour des comptes et Chambre régionale et territoriale des comptes, L’enseignement primaire, Une organisation en décalage avec les besoins de l’élève, Rapport…</w:t>
      </w:r>
    </w:p>
    <w:p w14:paraId="21F1BFD9" w14:textId="77777777" w:rsidR="001E3E87" w:rsidRDefault="005258B2">
      <w:pPr>
        <w:spacing w:after="50" w:line="252" w:lineRule="auto"/>
        <w:ind w:left="240" w:hanging="240"/>
      </w:pPr>
      <w:r>
        <w:rPr>
          <w:rFonts w:ascii="Calibri" w:eastAsia="Calibri" w:hAnsi="Calibri" w:cs="Calibri"/>
          <w:b/>
          <w:bCs/>
          <w:color w:val="1A1A1A"/>
          <w:sz w:val="19"/>
          <w:szCs w:val="19"/>
        </w:rPr>
        <w:t>N° 56</w:t>
      </w:r>
      <w:r>
        <w:rPr>
          <w:rFonts w:ascii="Calibri" w:eastAsia="Calibri" w:hAnsi="Calibri" w:cs="Calibri"/>
          <w:color w:val="1A1A1A"/>
          <w:sz w:val="19"/>
          <w:szCs w:val="19"/>
        </w:rPr>
        <w:t xml:space="preserve"> (fiche 56, p. 579) — article 1er DDHC « Les hommes naissent et demeurent libres et égaux en droits. Les distinctions. Les distinctions sociales ne peuvent être fondées que sur…</w:t>
      </w:r>
    </w:p>
    <w:p w14:paraId="5259B049" w14:textId="77777777" w:rsidR="001E3E87" w:rsidRDefault="005258B2">
      <w:pPr>
        <w:pStyle w:val="Titre2"/>
        <w:spacing w:before="240" w:after="110"/>
      </w:pPr>
      <w:r>
        <w:rPr>
          <w:rFonts w:ascii="Calibri" w:eastAsia="Calibri" w:hAnsi="Calibri" w:cs="Calibri"/>
          <w:b/>
          <w:bCs/>
          <w:color w:val="1A1A1A"/>
          <w:spacing w:val="20"/>
          <w:sz w:val="23"/>
          <w:szCs w:val="23"/>
        </w:rPr>
        <w:t>Commentaire d’arrêt (8)</w:t>
      </w:r>
    </w:p>
    <w:p w14:paraId="55CCD329" w14:textId="77777777" w:rsidR="001E3E87" w:rsidRDefault="005258B2">
      <w:pPr>
        <w:spacing w:after="50" w:line="252" w:lineRule="auto"/>
        <w:ind w:left="240" w:hanging="240"/>
      </w:pPr>
      <w:r>
        <w:rPr>
          <w:rFonts w:ascii="Calibri" w:eastAsia="Calibri" w:hAnsi="Calibri" w:cs="Calibri"/>
          <w:b/>
          <w:bCs/>
          <w:color w:val="1A1A1A"/>
          <w:sz w:val="19"/>
          <w:szCs w:val="19"/>
        </w:rPr>
        <w:t>N° 28</w:t>
      </w:r>
      <w:r>
        <w:rPr>
          <w:rFonts w:ascii="Calibri" w:eastAsia="Calibri" w:hAnsi="Calibri" w:cs="Calibri"/>
          <w:color w:val="1A1A1A"/>
          <w:sz w:val="19"/>
          <w:szCs w:val="19"/>
        </w:rPr>
        <w:t xml:space="preserve"> (fiche 28, p. 285) — CEDH, 30 janvier 2020, J.M.B. et a. c. France, no 9671/15 [Extrait] « 220. En définitive, la Cour retient de ce qui précède que les injonctions prononcées par…</w:t>
      </w:r>
    </w:p>
    <w:p w14:paraId="2DCDA24A" w14:textId="77777777" w:rsidR="001E3E87" w:rsidRDefault="005258B2">
      <w:pPr>
        <w:spacing w:after="50" w:line="252" w:lineRule="auto"/>
        <w:ind w:left="240" w:hanging="240"/>
      </w:pPr>
      <w:r>
        <w:rPr>
          <w:rFonts w:ascii="Calibri" w:eastAsia="Calibri" w:hAnsi="Calibri" w:cs="Calibri"/>
          <w:b/>
          <w:bCs/>
          <w:color w:val="1A1A1A"/>
          <w:sz w:val="19"/>
          <w:szCs w:val="19"/>
        </w:rPr>
        <w:lastRenderedPageBreak/>
        <w:t>N° 29</w:t>
      </w:r>
      <w:r>
        <w:rPr>
          <w:rFonts w:ascii="Calibri" w:eastAsia="Calibri" w:hAnsi="Calibri" w:cs="Calibri"/>
          <w:color w:val="1A1A1A"/>
          <w:sz w:val="19"/>
          <w:szCs w:val="19"/>
        </w:rPr>
        <w:t xml:space="preserve"> (fiche 29, p. 294) — CEDH, V.C.L. et A.N. c. Royaume-Uni, 2021, [extraits] : « […] 175. La police a découvert le […] requérant le 21 avril 2009 à proximité d’une fabrique de…</w:t>
      </w:r>
    </w:p>
    <w:p w14:paraId="44D7B4EB" w14:textId="77777777" w:rsidR="001E3E87" w:rsidRDefault="005258B2">
      <w:pPr>
        <w:spacing w:after="50" w:line="252" w:lineRule="auto"/>
        <w:ind w:left="240" w:hanging="240"/>
      </w:pPr>
      <w:r>
        <w:rPr>
          <w:rFonts w:ascii="Calibri" w:eastAsia="Calibri" w:hAnsi="Calibri" w:cs="Calibri"/>
          <w:b/>
          <w:bCs/>
          <w:color w:val="1A1A1A"/>
          <w:sz w:val="19"/>
          <w:szCs w:val="19"/>
        </w:rPr>
        <w:t>N° 36</w:t>
      </w:r>
      <w:r>
        <w:rPr>
          <w:rFonts w:ascii="Calibri" w:eastAsia="Calibri" w:hAnsi="Calibri" w:cs="Calibri"/>
          <w:color w:val="1A1A1A"/>
          <w:sz w:val="19"/>
          <w:szCs w:val="19"/>
        </w:rPr>
        <w:t xml:space="preserve"> (fiche 36, p. 378) — CE, 8e et 3e chambres réunies, 18 mars 2024, no 471061.</w:t>
      </w:r>
    </w:p>
    <w:p w14:paraId="22447284" w14:textId="77777777" w:rsidR="001E3E87" w:rsidRDefault="005258B2">
      <w:pPr>
        <w:spacing w:after="50" w:line="252" w:lineRule="auto"/>
        <w:ind w:left="240" w:hanging="240"/>
      </w:pPr>
      <w:r>
        <w:rPr>
          <w:rFonts w:ascii="Calibri" w:eastAsia="Calibri" w:hAnsi="Calibri" w:cs="Calibri"/>
          <w:b/>
          <w:bCs/>
          <w:color w:val="1A1A1A"/>
          <w:sz w:val="19"/>
          <w:szCs w:val="19"/>
        </w:rPr>
        <w:t>N° 37</w:t>
      </w:r>
      <w:r>
        <w:rPr>
          <w:rFonts w:ascii="Calibri" w:eastAsia="Calibri" w:hAnsi="Calibri" w:cs="Calibri"/>
          <w:color w:val="1A1A1A"/>
          <w:sz w:val="19"/>
          <w:szCs w:val="19"/>
        </w:rPr>
        <w:t xml:space="preserve"> (fiche 37, p. 391) — Cass, ass. plén., 25 octobre 2019, no 17-86.605. « […] Faits et procédure Selon l’arrêt attaqué (Paris, 20 septembre 2017), la chaîne de télévision France 2 a…</w:t>
      </w:r>
    </w:p>
    <w:p w14:paraId="36E9EEF2" w14:textId="77777777" w:rsidR="001E3E87" w:rsidRDefault="005258B2">
      <w:pPr>
        <w:spacing w:after="50" w:line="252" w:lineRule="auto"/>
        <w:ind w:left="240" w:hanging="240"/>
      </w:pPr>
      <w:r>
        <w:rPr>
          <w:rFonts w:ascii="Calibri" w:eastAsia="Calibri" w:hAnsi="Calibri" w:cs="Calibri"/>
          <w:b/>
          <w:bCs/>
          <w:color w:val="1A1A1A"/>
          <w:sz w:val="19"/>
          <w:szCs w:val="19"/>
        </w:rPr>
        <w:t>N° 38</w:t>
      </w:r>
      <w:r>
        <w:rPr>
          <w:rFonts w:ascii="Calibri" w:eastAsia="Calibri" w:hAnsi="Calibri" w:cs="Calibri"/>
          <w:color w:val="1A1A1A"/>
          <w:sz w:val="19"/>
          <w:szCs w:val="19"/>
        </w:rPr>
        <w:t xml:space="preserve"> (fiche 38, p. 402) — CEDH, 16 janvier 2025, Bodson et a. c. Belgique, no 35834/22 et a.</w:t>
      </w:r>
    </w:p>
    <w:p w14:paraId="47808E35" w14:textId="77777777" w:rsidR="001E3E87" w:rsidRDefault="005258B2">
      <w:pPr>
        <w:spacing w:after="50" w:line="252" w:lineRule="auto"/>
        <w:ind w:left="240" w:hanging="240"/>
      </w:pPr>
      <w:r>
        <w:rPr>
          <w:rFonts w:ascii="Calibri" w:eastAsia="Calibri" w:hAnsi="Calibri" w:cs="Calibri"/>
          <w:b/>
          <w:bCs/>
          <w:color w:val="1A1A1A"/>
          <w:sz w:val="19"/>
          <w:szCs w:val="19"/>
        </w:rPr>
        <w:t>N° 49</w:t>
      </w:r>
      <w:r>
        <w:rPr>
          <w:rFonts w:ascii="Calibri" w:eastAsia="Calibri" w:hAnsi="Calibri" w:cs="Calibri"/>
          <w:color w:val="1A1A1A"/>
          <w:sz w:val="19"/>
          <w:szCs w:val="19"/>
        </w:rPr>
        <w:t xml:space="preserve"> (fiche 49, p. 507) — CEDH, 30 janvier 2025, Cannavacciuolo et a. c. Italie, nos 51567/14 39742/14 et 74208/14.</w:t>
      </w:r>
    </w:p>
    <w:p w14:paraId="29DC6E5B" w14:textId="77777777" w:rsidR="001E3E87" w:rsidRDefault="005258B2">
      <w:pPr>
        <w:spacing w:after="50" w:line="252" w:lineRule="auto"/>
        <w:ind w:left="240" w:hanging="240"/>
      </w:pPr>
      <w:r>
        <w:rPr>
          <w:rFonts w:ascii="Calibri" w:eastAsia="Calibri" w:hAnsi="Calibri" w:cs="Calibri"/>
          <w:b/>
          <w:bCs/>
          <w:color w:val="1A1A1A"/>
          <w:sz w:val="19"/>
          <w:szCs w:val="19"/>
        </w:rPr>
        <w:t>N° 53</w:t>
      </w:r>
      <w:r>
        <w:rPr>
          <w:rFonts w:ascii="Calibri" w:eastAsia="Calibri" w:hAnsi="Calibri" w:cs="Calibri"/>
          <w:color w:val="1A1A1A"/>
          <w:sz w:val="19"/>
          <w:szCs w:val="19"/>
        </w:rPr>
        <w:t xml:space="preserve"> (fiche 53, p. 544) — Cons. const., no 93-325 DC, 13 août 1993, Loi relative à la maîtrise de l’immigration et aux conditions d’entrée, d’accueil et de séjour des étrangers en…</w:t>
      </w:r>
    </w:p>
    <w:p w14:paraId="08827081" w14:textId="77777777" w:rsidR="001E3E87" w:rsidRDefault="005258B2">
      <w:pPr>
        <w:spacing w:after="50" w:line="252" w:lineRule="auto"/>
        <w:ind w:left="240" w:hanging="240"/>
      </w:pPr>
      <w:r>
        <w:rPr>
          <w:rFonts w:ascii="Calibri" w:eastAsia="Calibri" w:hAnsi="Calibri" w:cs="Calibri"/>
          <w:b/>
          <w:bCs/>
          <w:color w:val="1A1A1A"/>
          <w:sz w:val="19"/>
          <w:szCs w:val="19"/>
        </w:rPr>
        <w:t>N° 54</w:t>
      </w:r>
      <w:r>
        <w:rPr>
          <w:rFonts w:ascii="Calibri" w:eastAsia="Calibri" w:hAnsi="Calibri" w:cs="Calibri"/>
          <w:color w:val="1A1A1A"/>
          <w:sz w:val="19"/>
          <w:szCs w:val="19"/>
        </w:rPr>
        <w:t xml:space="preserve"> (fiche 54, p. 557) — D.H. et a. c. République tchèque du 13 novembre 2007. « En fait. Les requérants sont 18 ressortissants tchèques d’origine rom. L’affaire concerne leur…</w:t>
      </w:r>
    </w:p>
    <w:p w14:paraId="0F22B75E" w14:textId="77777777" w:rsidR="001E3E87" w:rsidRDefault="005258B2">
      <w:pPr>
        <w:pStyle w:val="Titre2"/>
        <w:spacing w:before="240" w:after="110"/>
      </w:pPr>
      <w:r>
        <w:rPr>
          <w:rFonts w:ascii="Calibri" w:eastAsia="Calibri" w:hAnsi="Calibri" w:cs="Calibri"/>
          <w:b/>
          <w:bCs/>
          <w:color w:val="1A1A1A"/>
          <w:spacing w:val="20"/>
          <w:sz w:val="23"/>
          <w:szCs w:val="23"/>
        </w:rPr>
        <w:t>Commentaire de décision (3)</w:t>
      </w:r>
    </w:p>
    <w:p w14:paraId="41E154F5" w14:textId="77777777" w:rsidR="001E3E87" w:rsidRDefault="005258B2">
      <w:pPr>
        <w:spacing w:after="50" w:line="252" w:lineRule="auto"/>
        <w:ind w:left="240" w:hanging="240"/>
      </w:pPr>
      <w:r>
        <w:rPr>
          <w:rFonts w:ascii="Calibri" w:eastAsia="Calibri" w:hAnsi="Calibri" w:cs="Calibri"/>
          <w:b/>
          <w:bCs/>
          <w:color w:val="1A1A1A"/>
          <w:sz w:val="19"/>
          <w:szCs w:val="19"/>
        </w:rPr>
        <w:t>N° 9</w:t>
      </w:r>
      <w:r>
        <w:rPr>
          <w:rFonts w:ascii="Calibri" w:eastAsia="Calibri" w:hAnsi="Calibri" w:cs="Calibri"/>
          <w:color w:val="1A1A1A"/>
          <w:sz w:val="19"/>
          <w:szCs w:val="19"/>
        </w:rPr>
        <w:t xml:space="preserve"> (fiche 9, p. 92) — Cons. const., no 71-44 DC, 16 juillet 1971, Loi complétant les dispositions des articles 5 et 7 de la loi du 1er juillet 1901 relative au contrat d’association.</w:t>
      </w:r>
    </w:p>
    <w:p w14:paraId="7C85239A" w14:textId="77777777" w:rsidR="001E3E87" w:rsidRDefault="005258B2">
      <w:pPr>
        <w:spacing w:after="50" w:line="252" w:lineRule="auto"/>
        <w:ind w:left="240" w:hanging="240"/>
      </w:pPr>
      <w:r>
        <w:rPr>
          <w:rFonts w:ascii="Calibri" w:eastAsia="Calibri" w:hAnsi="Calibri" w:cs="Calibri"/>
          <w:b/>
          <w:bCs/>
          <w:color w:val="1A1A1A"/>
          <w:sz w:val="19"/>
          <w:szCs w:val="19"/>
        </w:rPr>
        <w:t>N° 18</w:t>
      </w:r>
      <w:r>
        <w:rPr>
          <w:rFonts w:ascii="Calibri" w:eastAsia="Calibri" w:hAnsi="Calibri" w:cs="Calibri"/>
          <w:color w:val="1A1A1A"/>
          <w:sz w:val="19"/>
          <w:szCs w:val="19"/>
        </w:rPr>
        <w:t xml:space="preserve"> (fiche 18, p. 186) — CE, ord., 12 janvier 2001, Hyacinthe, no 229039.</w:t>
      </w:r>
    </w:p>
    <w:p w14:paraId="1AB3BAAA" w14:textId="77777777" w:rsidR="001E3E87" w:rsidRDefault="005258B2">
      <w:pPr>
        <w:spacing w:after="50" w:line="252" w:lineRule="auto"/>
        <w:ind w:left="240" w:hanging="240"/>
      </w:pPr>
      <w:r>
        <w:rPr>
          <w:rFonts w:ascii="Calibri" w:eastAsia="Calibri" w:hAnsi="Calibri" w:cs="Calibri"/>
          <w:b/>
          <w:bCs/>
          <w:color w:val="1A1A1A"/>
          <w:sz w:val="19"/>
          <w:szCs w:val="19"/>
        </w:rPr>
        <w:t>N° 48</w:t>
      </w:r>
      <w:r>
        <w:rPr>
          <w:rFonts w:ascii="Calibri" w:eastAsia="Calibri" w:hAnsi="Calibri" w:cs="Calibri"/>
          <w:color w:val="1A1A1A"/>
          <w:sz w:val="19"/>
          <w:szCs w:val="19"/>
        </w:rPr>
        <w:t xml:space="preserve"> (fiche 48, p. 498) — CE, 8 septembre 2005, no 284803</w:t>
      </w:r>
    </w:p>
    <w:p w14:paraId="7C0CDF00" w14:textId="77777777" w:rsidR="001E3E87" w:rsidRDefault="005258B2">
      <w:pPr>
        <w:pStyle w:val="Titre2"/>
        <w:spacing w:before="240" w:after="110"/>
      </w:pPr>
      <w:r>
        <w:rPr>
          <w:rFonts w:ascii="Calibri" w:eastAsia="Calibri" w:hAnsi="Calibri" w:cs="Calibri"/>
          <w:b/>
          <w:bCs/>
          <w:color w:val="1A1A1A"/>
          <w:spacing w:val="20"/>
          <w:sz w:val="23"/>
          <w:szCs w:val="23"/>
        </w:rPr>
        <w:t>Argumentation juridique (14)</w:t>
      </w:r>
    </w:p>
    <w:p w14:paraId="14D3FBA3" w14:textId="77777777" w:rsidR="001E3E87" w:rsidRDefault="005258B2">
      <w:pPr>
        <w:spacing w:after="50" w:line="252" w:lineRule="auto"/>
        <w:ind w:left="240" w:hanging="240"/>
      </w:pPr>
      <w:r>
        <w:rPr>
          <w:rFonts w:ascii="Calibri" w:eastAsia="Calibri" w:hAnsi="Calibri" w:cs="Calibri"/>
          <w:b/>
          <w:bCs/>
          <w:color w:val="1A1A1A"/>
          <w:sz w:val="19"/>
          <w:szCs w:val="19"/>
        </w:rPr>
        <w:t>N° 1</w:t>
      </w:r>
      <w:r>
        <w:rPr>
          <w:rFonts w:ascii="Calibri" w:eastAsia="Calibri" w:hAnsi="Calibri" w:cs="Calibri"/>
          <w:color w:val="1A1A1A"/>
          <w:sz w:val="19"/>
          <w:szCs w:val="19"/>
        </w:rPr>
        <w:t xml:space="preserve"> (fiche 1, p. 14) — Soutenez que la controverse grammaticale autour de la notion de « droits humains » est, en réalité, de nature juridique et politique.</w:t>
      </w:r>
    </w:p>
    <w:p w14:paraId="236960A0" w14:textId="77777777" w:rsidR="001E3E87" w:rsidRDefault="005258B2">
      <w:pPr>
        <w:spacing w:after="50" w:line="252" w:lineRule="auto"/>
        <w:ind w:left="240" w:hanging="240"/>
      </w:pPr>
      <w:r>
        <w:rPr>
          <w:rFonts w:ascii="Calibri" w:eastAsia="Calibri" w:hAnsi="Calibri" w:cs="Calibri"/>
          <w:b/>
          <w:bCs/>
          <w:color w:val="1A1A1A"/>
          <w:sz w:val="19"/>
          <w:szCs w:val="19"/>
        </w:rPr>
        <w:t>N° 4</w:t>
      </w:r>
      <w:r>
        <w:rPr>
          <w:rFonts w:ascii="Calibri" w:eastAsia="Calibri" w:hAnsi="Calibri" w:cs="Calibri"/>
          <w:color w:val="1A1A1A"/>
          <w:sz w:val="19"/>
          <w:szCs w:val="19"/>
        </w:rPr>
        <w:t xml:space="preserve"> (fiche 4, p. 44) — La classification des libertés fondamentales est-elle impossible ?</w:t>
      </w:r>
    </w:p>
    <w:p w14:paraId="1CACADBF" w14:textId="77777777" w:rsidR="001E3E87" w:rsidRDefault="005258B2">
      <w:pPr>
        <w:spacing w:after="50" w:line="252" w:lineRule="auto"/>
        <w:ind w:left="240" w:hanging="240"/>
      </w:pPr>
      <w:r>
        <w:rPr>
          <w:rFonts w:ascii="Calibri" w:eastAsia="Calibri" w:hAnsi="Calibri" w:cs="Calibri"/>
          <w:b/>
          <w:bCs/>
          <w:color w:val="1A1A1A"/>
          <w:sz w:val="19"/>
          <w:szCs w:val="19"/>
        </w:rPr>
        <w:t>N° 5</w:t>
      </w:r>
      <w:r>
        <w:rPr>
          <w:rFonts w:ascii="Calibri" w:eastAsia="Calibri" w:hAnsi="Calibri" w:cs="Calibri"/>
          <w:color w:val="1A1A1A"/>
          <w:sz w:val="19"/>
          <w:szCs w:val="19"/>
        </w:rPr>
        <w:t xml:space="preserve"> (fiche 5, p. 54) — Soutenez que l’universalité des droits humains est impossible.</w:t>
      </w:r>
    </w:p>
    <w:p w14:paraId="27924723" w14:textId="77777777" w:rsidR="001E3E87" w:rsidRDefault="005258B2">
      <w:pPr>
        <w:spacing w:after="50" w:line="252" w:lineRule="auto"/>
        <w:ind w:left="240" w:hanging="240"/>
      </w:pPr>
      <w:r>
        <w:rPr>
          <w:rFonts w:ascii="Calibri" w:eastAsia="Calibri" w:hAnsi="Calibri" w:cs="Calibri"/>
          <w:b/>
          <w:bCs/>
          <w:color w:val="1A1A1A"/>
          <w:sz w:val="19"/>
          <w:szCs w:val="19"/>
        </w:rPr>
        <w:t>N° 13</w:t>
      </w:r>
      <w:r>
        <w:rPr>
          <w:rFonts w:ascii="Calibri" w:eastAsia="Calibri" w:hAnsi="Calibri" w:cs="Calibri"/>
          <w:color w:val="1A1A1A"/>
          <w:sz w:val="19"/>
          <w:szCs w:val="19"/>
        </w:rPr>
        <w:t xml:space="preserve"> (fiche 13, p. 131) — Soutenez que la Déclaration universelle des droits de l’homme contribue à la protection des droits humains malgré son caractère non contraignant.</w:t>
      </w:r>
    </w:p>
    <w:p w14:paraId="31BFDFE2" w14:textId="77777777" w:rsidR="001E3E87" w:rsidRDefault="005258B2">
      <w:pPr>
        <w:spacing w:after="50" w:line="252" w:lineRule="auto"/>
        <w:ind w:left="240" w:hanging="240"/>
      </w:pPr>
      <w:r>
        <w:rPr>
          <w:rFonts w:ascii="Calibri" w:eastAsia="Calibri" w:hAnsi="Calibri" w:cs="Calibri"/>
          <w:b/>
          <w:bCs/>
          <w:color w:val="1A1A1A"/>
          <w:sz w:val="19"/>
          <w:szCs w:val="19"/>
        </w:rPr>
        <w:t>N° 15</w:t>
      </w:r>
      <w:r>
        <w:rPr>
          <w:rFonts w:ascii="Calibri" w:eastAsia="Calibri" w:hAnsi="Calibri" w:cs="Calibri"/>
          <w:color w:val="1A1A1A"/>
          <w:sz w:val="19"/>
          <w:szCs w:val="19"/>
        </w:rPr>
        <w:t xml:space="preserve"> (fiche 15, p. 151) — Soutenez qu’il existe un décalage entre le discours actuel de l’Union européenne sur les droits humains et la réalité observée en matière de politique…</w:t>
      </w:r>
    </w:p>
    <w:p w14:paraId="28FCB699" w14:textId="77777777" w:rsidR="001E3E87" w:rsidRDefault="005258B2">
      <w:pPr>
        <w:spacing w:after="50" w:line="252" w:lineRule="auto"/>
        <w:ind w:left="240" w:hanging="240"/>
      </w:pPr>
      <w:r>
        <w:rPr>
          <w:rFonts w:ascii="Calibri" w:eastAsia="Calibri" w:hAnsi="Calibri" w:cs="Calibri"/>
          <w:b/>
          <w:bCs/>
          <w:color w:val="1A1A1A"/>
          <w:sz w:val="19"/>
          <w:szCs w:val="19"/>
        </w:rPr>
        <w:t>N° 17</w:t>
      </w:r>
      <w:r>
        <w:rPr>
          <w:rFonts w:ascii="Calibri" w:eastAsia="Calibri" w:hAnsi="Calibri" w:cs="Calibri"/>
          <w:color w:val="1A1A1A"/>
          <w:sz w:val="19"/>
          <w:szCs w:val="19"/>
        </w:rPr>
        <w:t xml:space="preserve"> (fiche 17, p. 174) — Soutenez que les contrôles de conventionnalité sont nécessaires afin d’assurer le respect des droits humains.</w:t>
      </w:r>
    </w:p>
    <w:p w14:paraId="01F5C8BA" w14:textId="77777777" w:rsidR="001E3E87" w:rsidRDefault="005258B2">
      <w:pPr>
        <w:spacing w:after="50" w:line="252" w:lineRule="auto"/>
        <w:ind w:left="240" w:hanging="240"/>
      </w:pPr>
      <w:r>
        <w:rPr>
          <w:rFonts w:ascii="Calibri" w:eastAsia="Calibri" w:hAnsi="Calibri" w:cs="Calibri"/>
          <w:b/>
          <w:bCs/>
          <w:color w:val="1A1A1A"/>
          <w:sz w:val="19"/>
          <w:szCs w:val="19"/>
        </w:rPr>
        <w:t>N° 25</w:t>
      </w:r>
      <w:r>
        <w:rPr>
          <w:rFonts w:ascii="Calibri" w:eastAsia="Calibri" w:hAnsi="Calibri" w:cs="Calibri"/>
          <w:color w:val="1A1A1A"/>
          <w:sz w:val="19"/>
          <w:szCs w:val="19"/>
        </w:rPr>
        <w:t xml:space="preserve"> (fiche 25, p. 252) — Soutenez que la protection politique et administrative internationale contribue à la protection des droits humains.</w:t>
      </w:r>
    </w:p>
    <w:p w14:paraId="4D224370" w14:textId="77777777" w:rsidR="001E3E87" w:rsidRDefault="005258B2">
      <w:pPr>
        <w:spacing w:after="50" w:line="252" w:lineRule="auto"/>
        <w:ind w:left="240" w:hanging="240"/>
      </w:pPr>
      <w:r>
        <w:rPr>
          <w:rFonts w:ascii="Calibri" w:eastAsia="Calibri" w:hAnsi="Calibri" w:cs="Calibri"/>
          <w:b/>
          <w:bCs/>
          <w:color w:val="1A1A1A"/>
          <w:sz w:val="19"/>
          <w:szCs w:val="19"/>
        </w:rPr>
        <w:t>N° 27</w:t>
      </w:r>
      <w:r>
        <w:rPr>
          <w:rFonts w:ascii="Calibri" w:eastAsia="Calibri" w:hAnsi="Calibri" w:cs="Calibri"/>
          <w:color w:val="1A1A1A"/>
          <w:sz w:val="19"/>
          <w:szCs w:val="19"/>
        </w:rPr>
        <w:t xml:space="preserve"> (fiche 27, p. 277) — Soutenez que le devoir conjugal constitue une atteinte grave à l’intégrité des personnes.</w:t>
      </w:r>
    </w:p>
    <w:p w14:paraId="3681FE8D" w14:textId="77777777" w:rsidR="001E3E87" w:rsidRDefault="005258B2">
      <w:pPr>
        <w:spacing w:after="50" w:line="252" w:lineRule="auto"/>
        <w:ind w:left="240" w:hanging="240"/>
      </w:pPr>
      <w:r>
        <w:rPr>
          <w:rFonts w:ascii="Calibri" w:eastAsia="Calibri" w:hAnsi="Calibri" w:cs="Calibri"/>
          <w:b/>
          <w:bCs/>
          <w:color w:val="1A1A1A"/>
          <w:sz w:val="19"/>
          <w:szCs w:val="19"/>
        </w:rPr>
        <w:t>N° 30</w:t>
      </w:r>
      <w:r>
        <w:rPr>
          <w:rFonts w:ascii="Calibri" w:eastAsia="Calibri" w:hAnsi="Calibri" w:cs="Calibri"/>
          <w:color w:val="1A1A1A"/>
          <w:sz w:val="19"/>
          <w:szCs w:val="19"/>
        </w:rPr>
        <w:t xml:space="preserve"> (fiche 30, p. 306) — Soutenez que l’enfermement des mineurs est contraire aux droits humains.</w:t>
      </w:r>
    </w:p>
    <w:p w14:paraId="340F300E" w14:textId="77777777" w:rsidR="001E3E87" w:rsidRDefault="005258B2">
      <w:pPr>
        <w:spacing w:after="50" w:line="252" w:lineRule="auto"/>
        <w:ind w:left="240" w:hanging="240"/>
      </w:pPr>
      <w:r>
        <w:rPr>
          <w:rFonts w:ascii="Calibri" w:eastAsia="Calibri" w:hAnsi="Calibri" w:cs="Calibri"/>
          <w:b/>
          <w:bCs/>
          <w:color w:val="1A1A1A"/>
          <w:sz w:val="19"/>
          <w:szCs w:val="19"/>
        </w:rPr>
        <w:t>N° 32</w:t>
      </w:r>
      <w:r>
        <w:rPr>
          <w:rFonts w:ascii="Calibri" w:eastAsia="Calibri" w:hAnsi="Calibri" w:cs="Calibri"/>
          <w:color w:val="1A1A1A"/>
          <w:sz w:val="19"/>
          <w:szCs w:val="19"/>
        </w:rPr>
        <w:t xml:space="preserve"> (fiche 32, p. 329) — Soutenez que la médiatisation des affaires judiciaires porte atteinte aux garanties fondamentales en matière pénale.</w:t>
      </w:r>
    </w:p>
    <w:p w14:paraId="45B351D7" w14:textId="77777777" w:rsidR="001E3E87" w:rsidRDefault="005258B2">
      <w:pPr>
        <w:spacing w:after="50" w:line="252" w:lineRule="auto"/>
        <w:ind w:left="240" w:hanging="240"/>
      </w:pPr>
      <w:r>
        <w:rPr>
          <w:rFonts w:ascii="Calibri" w:eastAsia="Calibri" w:hAnsi="Calibri" w:cs="Calibri"/>
          <w:b/>
          <w:bCs/>
          <w:color w:val="1A1A1A"/>
          <w:sz w:val="19"/>
          <w:szCs w:val="19"/>
        </w:rPr>
        <w:t>N° 39</w:t>
      </w:r>
      <w:r>
        <w:rPr>
          <w:rFonts w:ascii="Calibri" w:eastAsia="Calibri" w:hAnsi="Calibri" w:cs="Calibri"/>
          <w:color w:val="1A1A1A"/>
          <w:sz w:val="19"/>
          <w:szCs w:val="19"/>
        </w:rPr>
        <w:t xml:space="preserve"> (fiche 39, p. 413) — Soutenez que la liberté d’association est un droit fondamental.</w:t>
      </w:r>
    </w:p>
    <w:p w14:paraId="0B578D42" w14:textId="77777777" w:rsidR="001E3E87" w:rsidRDefault="005258B2">
      <w:pPr>
        <w:spacing w:after="50" w:line="252" w:lineRule="auto"/>
        <w:ind w:left="240" w:hanging="240"/>
      </w:pPr>
      <w:r>
        <w:rPr>
          <w:rFonts w:ascii="Calibri" w:eastAsia="Calibri" w:hAnsi="Calibri" w:cs="Calibri"/>
          <w:b/>
          <w:bCs/>
          <w:color w:val="1A1A1A"/>
          <w:sz w:val="19"/>
          <w:szCs w:val="19"/>
        </w:rPr>
        <w:t>N° 41</w:t>
      </w:r>
      <w:r>
        <w:rPr>
          <w:rFonts w:ascii="Calibri" w:eastAsia="Calibri" w:hAnsi="Calibri" w:cs="Calibri"/>
          <w:color w:val="1A1A1A"/>
          <w:sz w:val="19"/>
          <w:szCs w:val="19"/>
        </w:rPr>
        <w:t xml:space="preserve"> (fiche 41, p. 434) — Soutenez que la liberté d’enseignement est un droit fondamental.</w:t>
      </w:r>
    </w:p>
    <w:p w14:paraId="38D2E2E3" w14:textId="77777777" w:rsidR="001E3E87" w:rsidRDefault="005258B2">
      <w:pPr>
        <w:spacing w:after="50" w:line="252" w:lineRule="auto"/>
        <w:ind w:left="240" w:hanging="240"/>
      </w:pPr>
      <w:r>
        <w:rPr>
          <w:rFonts w:ascii="Calibri" w:eastAsia="Calibri" w:hAnsi="Calibri" w:cs="Calibri"/>
          <w:b/>
          <w:bCs/>
          <w:color w:val="1A1A1A"/>
          <w:sz w:val="19"/>
          <w:szCs w:val="19"/>
        </w:rPr>
        <w:t>N° 50</w:t>
      </w:r>
      <w:r>
        <w:rPr>
          <w:rFonts w:ascii="Calibri" w:eastAsia="Calibri" w:hAnsi="Calibri" w:cs="Calibri"/>
          <w:color w:val="1A1A1A"/>
          <w:sz w:val="19"/>
          <w:szCs w:val="19"/>
        </w:rPr>
        <w:t xml:space="preserve"> (fiche 50, p. 516) — Soutenez que travailler n’est pas simplement un droit, mais aussi un devoir.</w:t>
      </w:r>
    </w:p>
    <w:p w14:paraId="0D56E400" w14:textId="77777777" w:rsidR="001E3E87" w:rsidRDefault="005258B2">
      <w:pPr>
        <w:spacing w:after="50" w:line="252" w:lineRule="auto"/>
        <w:ind w:left="240" w:hanging="240"/>
      </w:pPr>
      <w:r>
        <w:rPr>
          <w:rFonts w:ascii="Calibri" w:eastAsia="Calibri" w:hAnsi="Calibri" w:cs="Calibri"/>
          <w:b/>
          <w:bCs/>
          <w:color w:val="1A1A1A"/>
          <w:sz w:val="19"/>
          <w:szCs w:val="19"/>
        </w:rPr>
        <w:t>N° 55</w:t>
      </w:r>
      <w:r>
        <w:rPr>
          <w:rFonts w:ascii="Calibri" w:eastAsia="Calibri" w:hAnsi="Calibri" w:cs="Calibri"/>
          <w:color w:val="1A1A1A"/>
          <w:sz w:val="19"/>
          <w:szCs w:val="19"/>
        </w:rPr>
        <w:t xml:space="preserve"> (fiche 55, p. 569) — Soutenez qu’il existe un droit à la mendicité.</w:t>
      </w:r>
    </w:p>
    <w:p w14:paraId="59759D0E" w14:textId="77777777" w:rsidR="001E3E87" w:rsidRDefault="005258B2">
      <w:r>
        <w:br w:type="page"/>
      </w:r>
    </w:p>
    <w:p w14:paraId="1016FFC0" w14:textId="77777777" w:rsidR="001E3E87" w:rsidRDefault="005258B2">
      <w:pPr>
        <w:shd w:val="clear" w:color="auto" w:fill="F2E9EA"/>
        <w:spacing w:before="200" w:after="200"/>
        <w:jc w:val="center"/>
      </w:pPr>
      <w:r>
        <w:rPr>
          <w:rFonts w:ascii="Calibri" w:eastAsia="Calibri" w:hAnsi="Calibri" w:cs="Calibri"/>
          <w:b/>
          <w:bCs/>
          <w:color w:val="8C1C2B"/>
          <w:spacing w:val="30"/>
          <w:sz w:val="26"/>
          <w:szCs w:val="26"/>
        </w:rPr>
        <w:lastRenderedPageBreak/>
        <w:t>PARTIE I. ÉLÉMENTS INTRODUCTIFS</w:t>
      </w:r>
    </w:p>
    <w:p w14:paraId="5D5E1E2C"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t>ENTRAÎNEMENT N° 1 — ARGUMENTATION JURIDIQUE</w:t>
      </w:r>
    </w:p>
    <w:p w14:paraId="7EB86B60" w14:textId="77777777" w:rsidR="001E3E87" w:rsidRDefault="005258B2">
      <w:pPr>
        <w:spacing w:after="160"/>
      </w:pPr>
      <w:r>
        <w:rPr>
          <w:rFonts w:ascii="Calibri" w:eastAsia="Calibri" w:hAnsi="Calibri" w:cs="Calibri"/>
          <w:i/>
          <w:iCs/>
          <w:color w:val="5A5A5A"/>
          <w:sz w:val="18"/>
          <w:szCs w:val="18"/>
        </w:rPr>
        <w:t>Fiche n° 1 — Les notions  |  PARTIE I. ÉLÉMENTS INTRODUCTIFS  |  Fascicule p. 14</w:t>
      </w:r>
    </w:p>
    <w:p w14:paraId="03FC4993"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009F3E16"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Soutenez que la controverse grammaticale autour de la notion de « droits humains » est, en réalité, de nature juridique et politique.</w:t>
      </w:r>
    </w:p>
    <w:p w14:paraId="781D6F83"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1C4BE429" w14:textId="77777777" w:rsidR="001E3E87" w:rsidRDefault="005258B2">
      <w:pPr>
        <w:spacing w:after="90" w:line="264" w:lineRule="auto"/>
        <w:jc w:val="both"/>
      </w:pPr>
      <w:r>
        <w:rPr>
          <w:rFonts w:ascii="Calibri" w:eastAsia="Calibri" w:hAnsi="Calibri" w:cs="Calibri"/>
          <w:color w:val="1A1A1A"/>
        </w:rPr>
        <w:t>Il faut définir les termes et les expressions du sujet :</w:t>
      </w:r>
    </w:p>
    <w:p w14:paraId="267CC998"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Droits humains : ensemble des droits fondamentaux reconnus à toute personne du seul fait de son appartenance à l’humanité. L’expression est synonyme, sur le fond, de la formule classique des droits de l’homme, mais en propose une formulation plus inclusive.</w:t>
      </w:r>
    </w:p>
    <w:p w14:paraId="1C4E97C0"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Controverse : discussion argumentée, contestation sur une opinion ou ensemble des éléments divergents ou contradictoires du débat.</w:t>
      </w:r>
    </w:p>
    <w:p w14:paraId="0E2057D3"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Grammaticale : simple débat d’ordre linguistique ou terminologique, sans réelle portée :</w:t>
      </w:r>
    </w:p>
    <w:p w14:paraId="09D6008A" w14:textId="77777777" w:rsidR="001E3E87" w:rsidRDefault="005258B2">
      <w:pPr>
        <w:pStyle w:val="Paragraphedeliste"/>
        <w:numPr>
          <w:ilvl w:val="1"/>
          <w:numId w:val="2"/>
        </w:numPr>
        <w:spacing w:after="70" w:line="264" w:lineRule="auto"/>
        <w:jc w:val="both"/>
      </w:pPr>
      <w:r>
        <w:rPr>
          <w:rFonts w:ascii="Calibri" w:eastAsia="Calibri" w:hAnsi="Calibri" w:cs="Calibri"/>
          <w:color w:val="1A1A1A"/>
        </w:rPr>
        <w:t>Juridique : débat d’interprétation portant sur une règle de droit, sa portée, sa légitimité ou son application. Dépassant la question du vocabulaire, la controverse devient juridique lorsqu’elle interroge la portée des textes, leur interprétation et leur application afin d’engager le droit lui-même, son langage, sa normativité et ses effets concrets.</w:t>
      </w:r>
    </w:p>
    <w:p w14:paraId="71DF5B29" w14:textId="77777777" w:rsidR="001E3E87" w:rsidRDefault="005258B2">
      <w:pPr>
        <w:pStyle w:val="Paragraphedeliste"/>
        <w:numPr>
          <w:ilvl w:val="1"/>
          <w:numId w:val="2"/>
        </w:numPr>
        <w:spacing w:after="70" w:line="264" w:lineRule="auto"/>
        <w:jc w:val="both"/>
      </w:pPr>
      <w:r>
        <w:rPr>
          <w:rFonts w:ascii="Calibri" w:eastAsia="Calibri" w:hAnsi="Calibri" w:cs="Calibri"/>
          <w:color w:val="1A1A1A"/>
        </w:rPr>
        <w:t>Politique : débat d’idées opposant différentes visions de la société, souvent ancrées dans des idéologies ou des rapports de pouvoir et impliquant des valeurs, des intérêts et des représentations collectives.</w:t>
      </w:r>
    </w:p>
    <w:p w14:paraId="20B93A78" w14:textId="77777777" w:rsidR="001E3E87" w:rsidRDefault="005258B2">
      <w:pPr>
        <w:spacing w:after="90" w:line="264" w:lineRule="auto"/>
        <w:jc w:val="both"/>
      </w:pPr>
      <w:r>
        <w:rPr>
          <w:rFonts w:ascii="Calibri" w:eastAsia="Calibri" w:hAnsi="Calibri" w:cs="Calibri"/>
          <w:color w:val="1A1A1A"/>
        </w:rPr>
        <w:t>Il faut soutenir que la controverse autour de la notion de droits humain est de nature politico-juridique, quand bien même ses détracteurs invoquent la prétendue neutralité du masculin générique ou les traditions lexicales du droit français.</w:t>
      </w:r>
    </w:p>
    <w:p w14:paraId="7D04C9C2" w14:textId="77777777" w:rsidR="001E3E87" w:rsidRDefault="005258B2">
      <w:pPr>
        <w:spacing w:after="90" w:line="264" w:lineRule="auto"/>
        <w:jc w:val="both"/>
      </w:pPr>
      <w:r>
        <w:rPr>
          <w:rFonts w:ascii="Calibri" w:eastAsia="Calibri" w:hAnsi="Calibri" w:cs="Calibri"/>
          <w:color w:val="1A1A1A"/>
        </w:rPr>
        <w:t>Il faut indiquer également les bases juridiques dans lesquelles l’expression « droits humains » a été reprise en droit positif.</w:t>
      </w:r>
    </w:p>
    <w:p w14:paraId="3BBD1236" w14:textId="77777777" w:rsidR="001E3E87" w:rsidRDefault="005258B2">
      <w:pPr>
        <w:pStyle w:val="Paragraphedeliste"/>
        <w:numPr>
          <w:ilvl w:val="0"/>
          <w:numId w:val="2"/>
        </w:numPr>
        <w:spacing w:after="70" w:line="264" w:lineRule="auto"/>
        <w:jc w:val="both"/>
      </w:pPr>
      <w:r>
        <w:rPr>
          <w:rFonts w:ascii="Calibri" w:eastAsia="Calibri" w:hAnsi="Calibri" w:cs="Calibri"/>
          <w:color w:val="1E88E5"/>
        </w:rPr>
        <w:t>Loi no 2017-399</w:t>
      </w:r>
      <w:r>
        <w:rPr>
          <w:rFonts w:ascii="Calibri" w:eastAsia="Calibri" w:hAnsi="Calibri" w:cs="Calibri"/>
          <w:color w:val="1A1A1A"/>
        </w:rPr>
        <w:t xml:space="preserve"> du 27 mars 2017 relative au devoir de vigilance des sociétés mères et des entreprises donneuses d’ordre.</w:t>
      </w:r>
    </w:p>
    <w:p w14:paraId="5F706952" w14:textId="77777777" w:rsidR="001E3E87" w:rsidRDefault="005258B2">
      <w:pPr>
        <w:spacing w:after="90" w:line="264" w:lineRule="auto"/>
        <w:jc w:val="both"/>
      </w:pPr>
      <w:r>
        <w:rPr>
          <w:rFonts w:ascii="Calibri" w:eastAsia="Calibri" w:hAnsi="Calibri" w:cs="Calibri"/>
          <w:color w:val="1A1A1A"/>
        </w:rPr>
        <w:t>Il faut rappeler qu’il existe une controverse en France autour de la notion des droits humains, laquelle dépasse la sphère doctrinale et académique pour revêtir une dimension institutionnelle :</w:t>
      </w:r>
    </w:p>
    <w:p w14:paraId="76856878" w14:textId="77777777" w:rsidR="001E3E87" w:rsidRDefault="005258B2">
      <w:pPr>
        <w:pStyle w:val="Paragraphedeliste"/>
        <w:numPr>
          <w:ilvl w:val="0"/>
          <w:numId w:val="2"/>
        </w:numPr>
        <w:spacing w:after="70" w:line="264" w:lineRule="auto"/>
        <w:jc w:val="both"/>
      </w:pPr>
      <w:r w:rsidRPr="006C19D9">
        <w:rPr>
          <w:rFonts w:ascii="Calibri" w:eastAsia="Calibri" w:hAnsi="Calibri" w:cs="Calibri"/>
          <w:color w:val="E91D62"/>
        </w:rPr>
        <w:t xml:space="preserve">Commission nationale consultative des droits de l’homme, Avis du 19 novembre 1998 </w:t>
      </w:r>
      <w:r>
        <w:rPr>
          <w:rFonts w:ascii="Calibri" w:eastAsia="Calibri" w:hAnsi="Calibri" w:cs="Calibri"/>
          <w:color w:val="1A1A1A"/>
        </w:rPr>
        <w:t>: « L’expression Droits Humains est d’une telle généralité qu’elle conduit à englober des domaines qui ne concernent pas les droits fondamentaux définis par les instruments internationaux. »</w:t>
      </w:r>
    </w:p>
    <w:p w14:paraId="7705C332" w14:textId="77777777" w:rsidR="001E3E87" w:rsidRDefault="005258B2">
      <w:pPr>
        <w:pStyle w:val="Paragraphedeliste"/>
        <w:numPr>
          <w:ilvl w:val="0"/>
          <w:numId w:val="2"/>
        </w:numPr>
        <w:spacing w:after="70" w:line="264" w:lineRule="auto"/>
        <w:jc w:val="both"/>
      </w:pPr>
      <w:r>
        <w:rPr>
          <w:rFonts w:ascii="Calibri" w:eastAsia="Calibri" w:hAnsi="Calibri" w:cs="Calibri"/>
          <w:color w:val="E91E63"/>
        </w:rPr>
        <w:t xml:space="preserve">Cons. const., déc. no 2017-750 </w:t>
      </w:r>
      <w:r w:rsidRPr="006C19D9">
        <w:rPr>
          <w:rFonts w:ascii="Calibri" w:eastAsia="Calibri" w:hAnsi="Calibri" w:cs="Calibri"/>
          <w:color w:val="E91D62"/>
        </w:rPr>
        <w:t>DC du 23 mars 2017</w:t>
      </w:r>
      <w:r>
        <w:rPr>
          <w:rFonts w:ascii="Calibri" w:eastAsia="Calibri" w:hAnsi="Calibri" w:cs="Calibri"/>
          <w:color w:val="1A1A1A"/>
        </w:rPr>
        <w:t xml:space="preserve"> : « Le caractère large et indéterminé de la mention des droits humains. »</w:t>
      </w:r>
    </w:p>
    <w:p w14:paraId="331E3BE4" w14:textId="77777777" w:rsidR="001E3E87" w:rsidRDefault="005258B2">
      <w:pPr>
        <w:spacing w:after="90" w:line="264" w:lineRule="auto"/>
        <w:jc w:val="both"/>
      </w:pPr>
      <w:r>
        <w:rPr>
          <w:rFonts w:ascii="Calibri" w:eastAsia="Calibri" w:hAnsi="Calibri" w:cs="Calibri"/>
          <w:color w:val="1A1A1A"/>
        </w:rPr>
        <w:t xml:space="preserve">Il faut montrer le caractère national(iste) du débat dans la mesure où une telle controverse n’existe pas, ou plus, dans d’autres pays qui ont choisi d’adopter la </w:t>
      </w:r>
      <w:r w:rsidRPr="006C19D9">
        <w:rPr>
          <w:rFonts w:ascii="Calibri" w:eastAsia="Calibri" w:hAnsi="Calibri" w:cs="Calibri"/>
          <w:color w:val="1A1A1A"/>
        </w:rPr>
        <w:t>formule</w:t>
      </w:r>
      <w:r>
        <w:rPr>
          <w:rFonts w:ascii="Calibri" w:eastAsia="Calibri" w:hAnsi="Calibri" w:cs="Calibri"/>
          <w:color w:val="1A1A1A"/>
        </w:rPr>
        <w:t xml:space="preserve"> équivalente des droits humains, précisément choisie pour s’affranchir de l’ambiguïté sémantique, historiquement associée à la figure de l’individu masculin.</w:t>
      </w:r>
    </w:p>
    <w:p w14:paraId="29EC74DE"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Pays anglophones : rights of man versus human rights.</w:t>
      </w:r>
    </w:p>
    <w:p w14:paraId="6F4C36B9"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Pays hispanophones : derechos del hombre versus derechos humanos.</w:t>
      </w:r>
    </w:p>
    <w:p w14:paraId="59DC3B63"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Autres pays francophones : au Québec, « droits de la personne humaine » (rights of the human person).</w:t>
      </w:r>
    </w:p>
    <w:p w14:paraId="70DF1942" w14:textId="77777777" w:rsidR="001E3E87" w:rsidRDefault="005258B2">
      <w:pPr>
        <w:spacing w:after="90" w:line="264" w:lineRule="auto"/>
        <w:jc w:val="both"/>
      </w:pPr>
      <w:r>
        <w:rPr>
          <w:rFonts w:ascii="Calibri" w:eastAsia="Calibri" w:hAnsi="Calibri" w:cs="Calibri"/>
          <w:color w:val="1A1A1A"/>
        </w:rPr>
        <w:t>Il faut indiquer que le retard de la France puise ses racines dans la fierté patriotique suscitée par la Déclaration de 1789 : un tel patriotisme est-il souhaitable s’il repose sur un héritage intrinsèquement patriarcal ?</w:t>
      </w:r>
    </w:p>
    <w:p w14:paraId="39D8E014"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 déclaration des droits de l’homme et du citoyen, bien qu’érigée en texte universel, excluait de fait les femmes : celles-ci n’ont joué aucun rôle dans son élaboration et n’ont été ni représentées ni prises en compte par la Constituante.</w:t>
      </w:r>
    </w:p>
    <w:p w14:paraId="501936B5"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 tentative d’Olympe de Gouges de pallier cette invisibilisation par sa Déclaration des droits de la femme et de la citoyenne lui vaut la peine de mort.</w:t>
      </w:r>
    </w:p>
    <w:p w14:paraId="7254969E" w14:textId="77777777" w:rsidR="001E3E87" w:rsidRDefault="005258B2">
      <w:pPr>
        <w:spacing w:after="90" w:line="264" w:lineRule="auto"/>
        <w:jc w:val="both"/>
      </w:pPr>
      <w:r>
        <w:rPr>
          <w:rFonts w:ascii="Calibri" w:eastAsia="Calibri" w:hAnsi="Calibri" w:cs="Calibri"/>
          <w:color w:val="1A1A1A"/>
        </w:rPr>
        <w:lastRenderedPageBreak/>
        <w:t>Il faut démontrer que les arguments avancés par les tenants du conservatisme linguistique ne sont pas convaincants.</w:t>
      </w:r>
    </w:p>
    <w:p w14:paraId="32231593"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L’argument de l’anglicisme : un regard comparatif sur les langues autres que l’anglais révèle que l’expression « droits humains » est répandue : les hispanophones parlent de derechos humanos, les Italiens de diritti umani, et de nombreux francophones privilégient également cette formulation.</w:t>
      </w:r>
    </w:p>
    <w:p w14:paraId="06FF6AB8"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L’argument du réductionnisme et de la rigueur grammaticale : si l’on considère « humain » comme un adjectif classifiant, droits humains signifie exactement la même chose que droits des humains. C’est une tournure plus concise pour dire qu’il s’agit des droits de tous les êtres humains.</w:t>
      </w:r>
    </w:p>
    <w:p w14:paraId="0FADBECF"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Pour justifier le maintien de l’expression « droits de l’homme », capitaliser le mot Homme, pour en élargir le sens à l’ensemble de l’humanité n’est pas une solution. Cette pirouette typographique et artificielle constitue une entorse à la grammaire, et reste, en outre, imperceptible à l’oral.</w:t>
      </w:r>
    </w:p>
    <w:p w14:paraId="177DB3E3" w14:textId="77777777" w:rsidR="001E3E87" w:rsidRDefault="005258B2">
      <w:pPr>
        <w:spacing w:after="90" w:line="264" w:lineRule="auto"/>
        <w:jc w:val="both"/>
      </w:pPr>
      <w:r>
        <w:rPr>
          <w:rFonts w:ascii="Calibri" w:eastAsia="Calibri" w:hAnsi="Calibri" w:cs="Calibri"/>
          <w:color w:val="1A1A1A"/>
        </w:rPr>
        <w:t>Il faut soutenir que le langage, loin de se limiter à refléter une réalité objective, agit comme un instrument normatif qui structure et oriente la pensée. Dans une perspective juridique, il est crucial de reconnaître que la langue n’est ni neutre ni descriptive en ce qu’elle participe activement à la formation des normes sociales et politiques. En désignant les droits universels sous un terme implicitement masculin, on forge une vision du monde dans laquelle l’homme, à l’exclusion de la femme, est érigé en référence universelle.</w:t>
      </w:r>
    </w:p>
    <w:p w14:paraId="4C6AD724" w14:textId="77777777" w:rsidR="001E3E87" w:rsidRDefault="005258B2">
      <w:pPr>
        <w:spacing w:after="90" w:line="264" w:lineRule="auto"/>
        <w:jc w:val="both"/>
      </w:pPr>
      <w:r>
        <w:rPr>
          <w:rFonts w:ascii="Calibri" w:eastAsia="Calibri" w:hAnsi="Calibri" w:cs="Calibri"/>
          <w:color w:val="1A1A1A"/>
        </w:rPr>
        <w:t>Il faut montrer qu’en tant que vecteur de l’égalité et de la justice, le droit a la responsabilité de rectifier les biais présents dans le langage qui, sous couvert de neutralité, peuvent perpétuer des inégalités.</w:t>
      </w:r>
    </w:p>
    <w:p w14:paraId="39CC6B73"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Si le droit des libertés promeut l’égalité entre les individus, il doit en toute logique veiller à l’équité des termes qu’il utilise et promouvoir un langage non discriminatoire.</w:t>
      </w:r>
    </w:p>
    <w:p w14:paraId="7242FFC7"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L’expression « droits humains » permet d’éliminer le biais sexiste inhérent à la formule « droits de l’homme ».</w:t>
      </w:r>
    </w:p>
    <w:p w14:paraId="0F5B6FCE"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Cette correction lexicale vise à reconnaître l’universalité des droits, affranchie des codes de genre, et à garantir que les droits humains sont attribués à l’ensemble des êtres humains, sans distinction ni exclusion.</w:t>
      </w:r>
    </w:p>
    <w:p w14:paraId="41DCE4B6"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Au-delà d’une simple évolution linguistique, il s’agit d’un geste juridique exprimant un langage qui reflète véritablement l’égalité des sexes.</w:t>
      </w:r>
    </w:p>
    <w:p w14:paraId="523F00C5" w14:textId="77777777" w:rsidR="001E3E87" w:rsidRDefault="005258B2">
      <w:pPr>
        <w:spacing w:after="90" w:line="264" w:lineRule="auto"/>
        <w:jc w:val="both"/>
      </w:pPr>
      <w:r>
        <w:rPr>
          <w:rFonts w:ascii="Calibri" w:eastAsia="Calibri" w:hAnsi="Calibri" w:cs="Calibri"/>
          <w:color w:val="1A1A1A"/>
        </w:rPr>
        <w:t>Il faut démontrer, pour finir, que ceux qui critiquent la formule « droits humains », sous-couvert d’en rejeter le militantisme, négligent de prendre en compte l’aspect profondément politique du maintien d’une terminologie excluante :</w:t>
      </w:r>
    </w:p>
    <w:p w14:paraId="560D598F"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L’argument selon lequel « droits humains » serait une politisation excessive, issue des idéologues et des milieux féministes, dissimule souvent un rejet du changement, porté par une peur de l’effritement du modèle patriarcal traditionnel.</w:t>
      </w:r>
    </w:p>
    <w:p w14:paraId="5931B48A"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 défense de l’expression « droits de l’homme » peut être une stratégie pour maintenir un ordre symbolique où l’homme continue de dominer les représentations politiques et sociales</w:t>
      </w:r>
    </w:p>
    <w:p w14:paraId="62E7FA0E" w14:textId="77777777" w:rsidR="001E3E87" w:rsidRDefault="005258B2">
      <w:pPr>
        <w:spacing w:after="90" w:line="264" w:lineRule="auto"/>
        <w:jc w:val="both"/>
      </w:pPr>
      <w:r>
        <w:rPr>
          <w:rFonts w:ascii="Calibri" w:eastAsia="Calibri" w:hAnsi="Calibri" w:cs="Calibri"/>
          <w:color w:val="1A1A1A"/>
        </w:rPr>
        <w:t>En conclusion, en refusant de reconnaître l’égalité des sexes jusque dans les termes employés pour désigner l’universalité des droits, les détracteurs de l’évolution langagière sont ceux qui politisent réellement la question.</w:t>
      </w:r>
    </w:p>
    <w:p w14:paraId="7870E8D0" w14:textId="77777777" w:rsidR="001E3E87" w:rsidRDefault="005258B2">
      <w:r>
        <w:br w:type="page"/>
      </w:r>
    </w:p>
    <w:p w14:paraId="1EA06BD3"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2 — DISSERTATION</w:t>
      </w:r>
    </w:p>
    <w:p w14:paraId="0B5545A9" w14:textId="77777777" w:rsidR="001E3E87" w:rsidRDefault="005258B2">
      <w:pPr>
        <w:spacing w:after="160"/>
      </w:pPr>
      <w:r>
        <w:rPr>
          <w:rFonts w:ascii="Calibri" w:eastAsia="Calibri" w:hAnsi="Calibri" w:cs="Calibri"/>
          <w:i/>
          <w:iCs/>
          <w:color w:val="5A5A5A"/>
          <w:sz w:val="18"/>
          <w:szCs w:val="18"/>
        </w:rPr>
        <w:t>Fiche n° 2 — Les origines philosophiques et religieuses  |  PARTIE I. ÉLÉMENTS INTRODUCTIFS  |  Fascicule p. 25</w:t>
      </w:r>
    </w:p>
    <w:p w14:paraId="615E2D39"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74F9D2D3"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Les libertés chez les penseurs du contrat social.</w:t>
      </w:r>
    </w:p>
    <w:p w14:paraId="2F19D0CE"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526F6682" w14:textId="77777777" w:rsidR="004D015C" w:rsidRDefault="005258B2">
      <w:pPr>
        <w:spacing w:after="90" w:line="264" w:lineRule="auto"/>
        <w:jc w:val="both"/>
        <w:rPr>
          <w:rFonts w:ascii="Calibri" w:eastAsia="Calibri" w:hAnsi="Calibri" w:cs="Calibri"/>
          <w:color w:val="1A1A1A"/>
        </w:rPr>
      </w:pPr>
      <w:r>
        <w:rPr>
          <w:rFonts w:ascii="Calibri" w:eastAsia="Calibri" w:hAnsi="Calibri" w:cs="Calibri"/>
          <w:color w:val="1A1A1A"/>
        </w:rPr>
        <w:t>À travers leur théorie du passage de l’état de nature à la société politique, les trois philosophes que sont Thomas Hobbes, John Locke et Jean-Jacques Rousseau nous plongent au cœur de la doctrine des droits naturels de l’homme et des libertés. À partir du XVIIe siècle, différentes théories laïques de la fondation du pouvoir vont voir le jour, même si elles demeurent parfois empreintes de religiosité. Pour ces théories, les libertés ne résultent plus d’un don divin, elles ne sont pas une création ou une volonté de Dieu. Elles trouvent leur explication dans l’œuvre fondatrice des hommes et résulte, en somme, de leurs volontés. Hobbes, Rousseau et Locke figurent parmi les principaux théoriciens du contrat</w:t>
      </w:r>
      <w:r w:rsidR="004D015C">
        <w:rPr>
          <w:rFonts w:ascii="Calibri" w:eastAsia="Calibri" w:hAnsi="Calibri" w:cs="Calibri"/>
          <w:color w:val="1A1A1A"/>
        </w:rPr>
        <w:t xml:space="preserve"> social</w:t>
      </w:r>
      <w:r>
        <w:rPr>
          <w:rFonts w:ascii="Calibri" w:eastAsia="Calibri" w:hAnsi="Calibri" w:cs="Calibri"/>
          <w:color w:val="1A1A1A"/>
        </w:rPr>
        <w:t xml:space="preserve"> même si d’autres les ont précédés en la matière. Le point de départ de leur réflexion est que les hommes vivaient initialement dans l’état de nature avant de fonder la société politique, c’est-à-dire de fonder le pouvoir politique qui n’est autre que la puissance collective. Ils détenaient des droits naturels, c’est-à-dire des droits attachés à leur qualité d’hommes : ils étaient naturellement libres et égaux en ce sens que les hommes sont capables des mêmes choses. </w:t>
      </w:r>
    </w:p>
    <w:p w14:paraId="0C6C34BF" w14:textId="6188A6AF" w:rsidR="001E3E87" w:rsidRDefault="005258B2">
      <w:pPr>
        <w:spacing w:after="90" w:line="264" w:lineRule="auto"/>
        <w:jc w:val="both"/>
      </w:pPr>
      <w:r w:rsidRPr="004D015C">
        <w:rPr>
          <w:rFonts w:ascii="Calibri" w:eastAsia="Calibri" w:hAnsi="Calibri" w:cs="Calibri"/>
          <w:i/>
          <w:iCs/>
          <w:color w:val="1A1A1A"/>
        </w:rPr>
        <w:t>Problématique et annonce du plan :</w:t>
      </w:r>
      <w:r>
        <w:rPr>
          <w:rFonts w:ascii="Calibri" w:eastAsia="Calibri" w:hAnsi="Calibri" w:cs="Calibri"/>
          <w:color w:val="1A1A1A"/>
        </w:rPr>
        <w:t xml:space="preserve"> il faut expliquer pourquoi les hommes ont voulu sortir de l’état de nature et fonder la société politique et quelle est l’incidence de ce passage sur la protection des libertés.</w:t>
      </w:r>
    </w:p>
    <w:p w14:paraId="2E3048EC" w14:textId="77777777" w:rsidR="001E3E87" w:rsidRDefault="005258B2">
      <w:pPr>
        <w:pStyle w:val="Titre3"/>
        <w:spacing w:before="190" w:after="80"/>
      </w:pPr>
      <w:r>
        <w:rPr>
          <w:rFonts w:ascii="Calibri" w:eastAsia="Calibri" w:hAnsi="Calibri" w:cs="Calibri"/>
          <w:b/>
          <w:bCs/>
          <w:i/>
          <w:iCs/>
          <w:color w:val="1A1A1A"/>
          <w:sz w:val="21"/>
          <w:szCs w:val="21"/>
        </w:rPr>
        <w:t>I. La nécessité de sortir de l’état de nature pour garantir la liberté</w:t>
      </w:r>
    </w:p>
    <w:p w14:paraId="0D6A4ECB" w14:textId="77777777" w:rsidR="001E3E87" w:rsidRDefault="005258B2">
      <w:pPr>
        <w:pStyle w:val="Titre3"/>
        <w:spacing w:before="190" w:after="80"/>
      </w:pPr>
      <w:r>
        <w:rPr>
          <w:rFonts w:ascii="Calibri" w:eastAsia="Calibri" w:hAnsi="Calibri" w:cs="Calibri"/>
          <w:b/>
          <w:bCs/>
          <w:i/>
          <w:iCs/>
          <w:color w:val="1A1A1A"/>
          <w:sz w:val="21"/>
          <w:szCs w:val="21"/>
        </w:rPr>
        <w:t>A. L’homme en danger dans l’état de nature</w:t>
      </w:r>
    </w:p>
    <w:p w14:paraId="425D790B" w14:textId="381267C9" w:rsidR="001E3E87" w:rsidRDefault="005258B2">
      <w:pPr>
        <w:spacing w:after="90" w:line="264" w:lineRule="auto"/>
        <w:jc w:val="both"/>
      </w:pPr>
      <w:r>
        <w:rPr>
          <w:rFonts w:ascii="Calibri" w:eastAsia="Calibri" w:hAnsi="Calibri" w:cs="Calibri"/>
          <w:color w:val="1A1A1A"/>
        </w:rPr>
        <w:t>Les auteurs n’ont pas la même perception de l’état de nature, mais ils se rejoignent pour considérer que les hommes y sont en danger. Dans l’état de nature, les hommes sont tous égaux dans la mesure où ils peuvent choses égales, et notamment s’enlever la vie</w:t>
      </w:r>
      <w:r w:rsidR="004D015C">
        <w:rPr>
          <w:rFonts w:ascii="Calibri" w:eastAsia="Calibri" w:hAnsi="Calibri" w:cs="Calibri"/>
          <w:color w:val="1A1A1A"/>
        </w:rPr>
        <w:t>.</w:t>
      </w:r>
      <w:r>
        <w:rPr>
          <w:rFonts w:ascii="Calibri" w:eastAsia="Calibri" w:hAnsi="Calibri" w:cs="Calibri"/>
          <w:color w:val="1A1A1A"/>
        </w:rPr>
        <w:t xml:space="preserve"> Chacun, étant totalement libre, peut faire ce qu’il veut. On comprend que cet état de nature se caractérise par un état de guerre perpétuelle entre tous et un rapport de domination des plus forts. Pour John Locke, si les hommes y disposent d’une parfaite liberté, chacun doit rester dans les bornes de la loi de la nature. Selon cette loi, l’homme n’a pas le droit de se détruire ni de faire tort à une autre personne. Pour lui, comme pour Hobbes, les hommes sont égaux, car ils disposent des mêmes facultés. Mais la liberté et l’égalité sont menacées par la volonté réciproque des hommes de se nuire. S’agissant de Rousseau, les hommes naissent libres et égaux. Au départ, dans l’état de nature, les hommes vivent seuls et ne cherchent qu’à satisfaire leurs besoins primordiaux, c’est-à-dire à demeurer vivants.</w:t>
      </w:r>
    </w:p>
    <w:p w14:paraId="16F976C9" w14:textId="77777777" w:rsidR="001E3E87" w:rsidRDefault="005258B2">
      <w:pPr>
        <w:pStyle w:val="Titre3"/>
        <w:spacing w:before="190" w:after="80"/>
      </w:pPr>
      <w:r>
        <w:rPr>
          <w:rFonts w:ascii="Calibri" w:eastAsia="Calibri" w:hAnsi="Calibri" w:cs="Calibri"/>
          <w:b/>
          <w:bCs/>
          <w:i/>
          <w:iCs/>
          <w:color w:val="1A1A1A"/>
          <w:sz w:val="21"/>
          <w:szCs w:val="21"/>
        </w:rPr>
        <w:t>B. La garantie des libertés par la société politique</w:t>
      </w:r>
    </w:p>
    <w:p w14:paraId="7B4EC40C" w14:textId="76C9AA41" w:rsidR="001E3E87" w:rsidRDefault="005258B2">
      <w:pPr>
        <w:spacing w:after="90" w:line="264" w:lineRule="auto"/>
        <w:jc w:val="both"/>
      </w:pPr>
      <w:r>
        <w:rPr>
          <w:rFonts w:ascii="Calibri" w:eastAsia="Calibri" w:hAnsi="Calibri" w:cs="Calibri"/>
          <w:color w:val="1A1A1A"/>
        </w:rPr>
        <w:t>La même idée est partagée par ces trois auteurs : c’est en fondant la société politique que les hommes vont pouvoir assurer leur conservation et protéger les droits qu’ils possèdent dans l’état de nature. Pour Locke, les hommes ont cherché à composer un corps pour la conservation mutuelle de leurs vies, de leurs libertés et de leurs biens. Il s’agit en fait de mettre en place ce qui manque dans l’état de nature</w:t>
      </w:r>
      <w:r w:rsidR="00862579">
        <w:rPr>
          <w:rFonts w:ascii="Calibri" w:eastAsia="Calibri" w:hAnsi="Calibri" w:cs="Calibri"/>
          <w:color w:val="1A1A1A"/>
        </w:rPr>
        <w:t>.</w:t>
      </w:r>
      <w:r>
        <w:rPr>
          <w:rFonts w:ascii="Calibri" w:eastAsia="Calibri" w:hAnsi="Calibri" w:cs="Calibri"/>
          <w:color w:val="1A1A1A"/>
        </w:rPr>
        <w:t xml:space="preserve"> Rousseau explique que les possédants, pour éviter d’être tués ou dépossédés, ont réussi à faire admettre la nécessité de protéger chacun et les biens de chacun en instituant ensemble un pouvoir protecteur. En ce sens, Rousseau explique que la propriété est à l’origine de la société.</w:t>
      </w:r>
    </w:p>
    <w:p w14:paraId="17C4080F" w14:textId="77777777" w:rsidR="001E3E87" w:rsidRDefault="005258B2">
      <w:pPr>
        <w:pStyle w:val="Titre3"/>
        <w:spacing w:before="190" w:after="80"/>
      </w:pPr>
      <w:r>
        <w:rPr>
          <w:rFonts w:ascii="Calibri" w:eastAsia="Calibri" w:hAnsi="Calibri" w:cs="Calibri"/>
          <w:b/>
          <w:bCs/>
          <w:i/>
          <w:iCs/>
          <w:color w:val="1A1A1A"/>
          <w:sz w:val="21"/>
          <w:szCs w:val="21"/>
        </w:rPr>
        <w:t>II. Le pacte au fondement de la protection des libertés</w:t>
      </w:r>
    </w:p>
    <w:p w14:paraId="5675D920" w14:textId="77777777" w:rsidR="001E3E87" w:rsidRDefault="005258B2">
      <w:pPr>
        <w:pStyle w:val="Titre3"/>
        <w:spacing w:before="190" w:after="80"/>
      </w:pPr>
      <w:r>
        <w:rPr>
          <w:rFonts w:ascii="Calibri" w:eastAsia="Calibri" w:hAnsi="Calibri" w:cs="Calibri"/>
          <w:b/>
          <w:bCs/>
          <w:i/>
          <w:iCs/>
          <w:color w:val="1A1A1A"/>
          <w:sz w:val="21"/>
          <w:szCs w:val="21"/>
        </w:rPr>
        <w:t>A. Les « termes » du contrat</w:t>
      </w:r>
    </w:p>
    <w:p w14:paraId="50D55AB2" w14:textId="77777777" w:rsidR="00DF191D" w:rsidRDefault="005258B2">
      <w:pPr>
        <w:spacing w:after="90" w:line="264" w:lineRule="auto"/>
        <w:jc w:val="both"/>
        <w:rPr>
          <w:rFonts w:ascii="Calibri" w:eastAsia="Calibri" w:hAnsi="Calibri" w:cs="Calibri"/>
          <w:color w:val="1A1A1A"/>
        </w:rPr>
      </w:pPr>
      <w:r>
        <w:rPr>
          <w:rFonts w:ascii="Calibri" w:eastAsia="Calibri" w:hAnsi="Calibri" w:cs="Calibri"/>
          <w:color w:val="1A1A1A"/>
        </w:rPr>
        <w:t>Hobbes comme Rousseau considèrent que, par le pacte, les hommes abandonnent leurs droits naturels et se soumettent sans réserve au pouvoir né du contrat</w:t>
      </w:r>
      <w:r w:rsidR="00862579">
        <w:rPr>
          <w:rFonts w:ascii="Calibri" w:eastAsia="Calibri" w:hAnsi="Calibri" w:cs="Calibri"/>
          <w:color w:val="1A1A1A"/>
        </w:rPr>
        <w:t>.</w:t>
      </w:r>
      <w:r>
        <w:rPr>
          <w:rFonts w:ascii="Calibri" w:eastAsia="Calibri" w:hAnsi="Calibri" w:cs="Calibri"/>
          <w:color w:val="1A1A1A"/>
        </w:rPr>
        <w:t xml:space="preserve"> Le Léviathan, ce monstre aquatique de la mythologie phénicienne, est un être monstrueux qui symbolise le pouvoir que les hommes ont créé. Il a été envoyé par dieu pour sauvegarder la vie, les droits et les biens des citoyens, mais les hommes n’ont pas la possibilité ni le droit de se rebeller contre le souverain, même s’il est injuste. Rousseau rejoint Hobbes, car la clause fondamentale du contrat social est l’aliénation totale de l’individu envers tous (par chacun, de tous ses droits, à toute la communauté). Rousseau veut dire que chacun doit renoncer à un libre exercice de ses droits naturels et se soumettre entièrement, sans limite, à la volonté générale (la loi). Pour Rousseau, l’abandon total des droits naturels est la meilleure façon de garantir une réelle égalité et une réelle liberté. D’une part, l’égalité est assurée, car tous les hommes participent à la formation de la volonté générale et la loi est applicable à tous. </w:t>
      </w:r>
    </w:p>
    <w:p w14:paraId="02178AE1" w14:textId="17EF4276" w:rsidR="001E3E87" w:rsidRDefault="005258B2">
      <w:pPr>
        <w:spacing w:after="90" w:line="264" w:lineRule="auto"/>
        <w:jc w:val="both"/>
      </w:pPr>
      <w:r>
        <w:rPr>
          <w:rFonts w:ascii="Calibri" w:eastAsia="Calibri" w:hAnsi="Calibri" w:cs="Calibri"/>
          <w:color w:val="1A1A1A"/>
        </w:rPr>
        <w:lastRenderedPageBreak/>
        <w:t>Pour Locke, enfin, qui incarne la conception libérale du pouvoir, le contrat ne conduit pas à un abandon des droits naturels, mais seulement à leur limitation. Les hommes remettent l’égalité, la liberté et le pouvoir qu’ils avaient dans l’état de nature à la société, c’est-à-dire qu’ils renoncent à les exercer comme ils le veulent.</w:t>
      </w:r>
    </w:p>
    <w:p w14:paraId="5C377C94" w14:textId="77777777" w:rsidR="001E3E87" w:rsidRDefault="005258B2">
      <w:pPr>
        <w:pStyle w:val="Titre3"/>
        <w:spacing w:before="190" w:after="80"/>
      </w:pPr>
      <w:r>
        <w:rPr>
          <w:rFonts w:ascii="Calibri" w:eastAsia="Calibri" w:hAnsi="Calibri" w:cs="Calibri"/>
          <w:b/>
          <w:bCs/>
          <w:i/>
          <w:iCs/>
          <w:color w:val="1A1A1A"/>
          <w:sz w:val="21"/>
          <w:szCs w:val="21"/>
        </w:rPr>
        <w:t>B. Le détenteur du pouvoir</w:t>
      </w:r>
    </w:p>
    <w:p w14:paraId="57B3255D" w14:textId="77777777" w:rsidR="001E3E87" w:rsidRDefault="005258B2">
      <w:pPr>
        <w:spacing w:after="90" w:line="264" w:lineRule="auto"/>
        <w:jc w:val="both"/>
      </w:pPr>
      <w:r>
        <w:rPr>
          <w:rFonts w:ascii="Calibri" w:eastAsia="Calibri" w:hAnsi="Calibri" w:cs="Calibri"/>
          <w:color w:val="1A1A1A"/>
        </w:rPr>
        <w:t>Pour Hobbes, les hommes peuvent choisir comme souverain un homme seul et en ce cas, il s’agit d’une monarchie, ou de confier le pouvoir à plusieurs et il s’agit alors d’une aristocratie, mais la monarchie a sa préférence. Rousseau défend une conception démocratique du pouvoir. Locke défend quant à lui une représentation du peuple par une élite cultivée, raisonnable, à laquelle le pouvoir est délégué et qui prend les décisions à la majorité. L’objectif est de parvenir à mettre en place un pouvoir modéré en empruntant à la monarchie, à l’aristocratie et à la démocratie.</w:t>
      </w:r>
    </w:p>
    <w:p w14:paraId="0EAD4B56" w14:textId="77777777" w:rsidR="001E3E87" w:rsidRDefault="005258B2">
      <w:pPr>
        <w:spacing w:after="90" w:line="264" w:lineRule="auto"/>
        <w:jc w:val="both"/>
      </w:pPr>
      <w:r>
        <w:rPr>
          <w:rFonts w:ascii="Calibri" w:eastAsia="Calibri" w:hAnsi="Calibri" w:cs="Calibri"/>
          <w:color w:val="1A1A1A"/>
        </w:rPr>
        <w:t>En conclusion, les hommes ont voulu sortir de l’état de nature pour fuir le danger et garantir leur liberté politique en fondant un pacte, un contrat social et en remettant leurs libertés aux mains d’un souverain.</w:t>
      </w:r>
    </w:p>
    <w:p w14:paraId="292FE0F5" w14:textId="77777777" w:rsidR="001E3E87" w:rsidRDefault="005258B2">
      <w:r>
        <w:br w:type="page"/>
      </w:r>
    </w:p>
    <w:p w14:paraId="2CD5F21E"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3 — COMMENTAIRE DE TEXTE</w:t>
      </w:r>
    </w:p>
    <w:p w14:paraId="26B63DF2" w14:textId="77777777" w:rsidR="001E3E87" w:rsidRDefault="005258B2">
      <w:pPr>
        <w:spacing w:after="160"/>
      </w:pPr>
      <w:r>
        <w:rPr>
          <w:rFonts w:ascii="Calibri" w:eastAsia="Calibri" w:hAnsi="Calibri" w:cs="Calibri"/>
          <w:i/>
          <w:iCs/>
          <w:color w:val="5A5A5A"/>
          <w:sz w:val="18"/>
          <w:szCs w:val="18"/>
        </w:rPr>
        <w:t>Fiche n° 3 — Les origines textuelles  |  PARTIE I. ÉLÉMENTS INTRODUCTIFS  |  Fascicule p. 35</w:t>
      </w:r>
    </w:p>
    <w:p w14:paraId="3873269C"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349D0344" w14:textId="77777777" w:rsidR="001E3E87" w:rsidRDefault="005258B2">
      <w:pPr>
        <w:pBdr>
          <w:left w:val="single" w:sz="12" w:space="10" w:color="8C1C2B"/>
        </w:pBdr>
        <w:spacing w:after="90" w:line="264" w:lineRule="auto"/>
        <w:ind w:left="260"/>
        <w:jc w:val="both"/>
      </w:pPr>
      <w:r>
        <w:rPr>
          <w:rFonts w:ascii="Calibri" w:eastAsia="Calibri" w:hAnsi="Calibri" w:cs="Calibri"/>
          <w:color w:val="1E88E5"/>
        </w:rPr>
        <w:t>Article 1er</w:t>
      </w:r>
      <w:r>
        <w:rPr>
          <w:rFonts w:ascii="Calibri" w:eastAsia="Calibri" w:hAnsi="Calibri" w:cs="Calibri"/>
          <w:color w:val="1A1A1A"/>
        </w:rPr>
        <w:t xml:space="preserve"> </w:t>
      </w:r>
      <w:r>
        <w:rPr>
          <w:rFonts w:ascii="Calibri" w:eastAsia="Calibri" w:hAnsi="Calibri" w:cs="Calibri"/>
          <w:color w:val="1E88E5"/>
        </w:rPr>
        <w:t>Déclaration des droits de l’homme et du citoyen</w:t>
      </w:r>
      <w:r w:rsidRPr="00C83FEC">
        <w:rPr>
          <w:rFonts w:ascii="Calibri" w:eastAsia="Calibri" w:hAnsi="Calibri" w:cs="Calibri"/>
          <w:color w:val="1E88C7"/>
        </w:rPr>
        <w:t>, 1789</w:t>
      </w:r>
      <w:r>
        <w:rPr>
          <w:rFonts w:ascii="Calibri" w:eastAsia="Calibri" w:hAnsi="Calibri" w:cs="Calibri"/>
          <w:color w:val="1A1A1A"/>
        </w:rPr>
        <w:t xml:space="preserve"> : « Les Hommes naissent et demeurent libres et égaux en droits. Les distinctions sociales ne peuvent être fondées que sur l’utilité commune. »</w:t>
      </w:r>
    </w:p>
    <w:p w14:paraId="06932451"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55E4FE62" w14:textId="77777777" w:rsidR="001E3E87" w:rsidRDefault="005258B2">
      <w:pPr>
        <w:spacing w:after="90" w:line="264" w:lineRule="auto"/>
        <w:jc w:val="both"/>
      </w:pPr>
      <w:r>
        <w:rPr>
          <w:rFonts w:ascii="Calibri" w:eastAsia="Calibri" w:hAnsi="Calibri" w:cs="Calibri"/>
          <w:color w:val="1A1A1A"/>
        </w:rPr>
        <w:t xml:space="preserve">Un vent de liberté et de révolte souffle en France lors de l’Assemblée Constituante, nourrit par l’expérience américaine. Les rédacteurs de la </w:t>
      </w:r>
      <w:r>
        <w:rPr>
          <w:rFonts w:ascii="Calibri" w:eastAsia="Calibri" w:hAnsi="Calibri" w:cs="Calibri"/>
          <w:color w:val="1E88E5"/>
        </w:rPr>
        <w:t>Déclaration des droits de l’homme et du citoyen</w:t>
      </w:r>
      <w:r>
        <w:rPr>
          <w:rFonts w:ascii="Calibri" w:eastAsia="Calibri" w:hAnsi="Calibri" w:cs="Calibri"/>
          <w:color w:val="1A1A1A"/>
        </w:rPr>
        <w:t xml:space="preserve"> ont consacré une place d’honneur au principe d’égalité. L’égalité et la liberté sont donc instaurées et proclamées dès l’</w:t>
      </w:r>
      <w:r>
        <w:rPr>
          <w:rFonts w:ascii="Calibri" w:eastAsia="Calibri" w:hAnsi="Calibri" w:cs="Calibri"/>
          <w:color w:val="1E88E5"/>
        </w:rPr>
        <w:t>article 1er</w:t>
      </w:r>
      <w:r>
        <w:rPr>
          <w:rFonts w:ascii="Calibri" w:eastAsia="Calibri" w:hAnsi="Calibri" w:cs="Calibri"/>
          <w:color w:val="1A1A1A"/>
        </w:rPr>
        <w:t xml:space="preserve"> de la Déclaration comme des droits naturels et imprescriptibles.</w:t>
      </w:r>
    </w:p>
    <w:p w14:paraId="4CFFCFF7" w14:textId="77777777" w:rsidR="001E3E87" w:rsidRDefault="005258B2">
      <w:pPr>
        <w:spacing w:after="90" w:line="264" w:lineRule="auto"/>
        <w:jc w:val="both"/>
      </w:pPr>
      <w:r>
        <w:rPr>
          <w:rFonts w:ascii="Calibri" w:eastAsia="Calibri" w:hAnsi="Calibri" w:cs="Calibri"/>
          <w:color w:val="1A1A1A"/>
        </w:rPr>
        <w:t>Le texte de la Déclaration a une vocation universelle et il est à noter qu’il est toujours opératoire de nos jours. Ce texte est une source de droit ayant la même valeur que la Constitution.</w:t>
      </w:r>
    </w:p>
    <w:p w14:paraId="0CDA12D2" w14:textId="77777777" w:rsidR="001E3E87" w:rsidRDefault="005258B2">
      <w:pPr>
        <w:spacing w:after="90" w:line="264" w:lineRule="auto"/>
        <w:jc w:val="both"/>
      </w:pPr>
      <w:r>
        <w:rPr>
          <w:rFonts w:ascii="Calibri" w:eastAsia="Calibri" w:hAnsi="Calibri" w:cs="Calibri"/>
          <w:color w:val="1A1A1A"/>
        </w:rPr>
        <w:t>La liberté et l’égalité entre les citoyens est une condition sine qua none permettant aux Révolutionnaires de s’émanciper de l’absolutisme royal et de venir construire un nouvel ordre constitutionnel.</w:t>
      </w:r>
    </w:p>
    <w:p w14:paraId="2510BED5" w14:textId="77777777" w:rsidR="001E3E87" w:rsidRDefault="005258B2">
      <w:pPr>
        <w:spacing w:after="90" w:line="264" w:lineRule="auto"/>
        <w:jc w:val="both"/>
      </w:pPr>
      <w:r>
        <w:rPr>
          <w:rFonts w:ascii="Calibri" w:eastAsia="Calibri" w:hAnsi="Calibri" w:cs="Calibri"/>
          <w:color w:val="1A1A1A"/>
        </w:rPr>
        <w:t>La Déclaration des droits de l’homme s’inspire du précédent américain tout en ayant ses propres caractéristiques, elle proclame des droits individuels, absolus et privatifs. L’accent est mis sur l’égalité de tous permettant la réalisation de la liberté de chacun.</w:t>
      </w:r>
    </w:p>
    <w:p w14:paraId="0E75C23B"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Il s’agira donc de s’interroger sur les moyens mis en œuvre pour proclamer ces principes. À travers la </w:t>
      </w:r>
      <w:r>
        <w:rPr>
          <w:rFonts w:ascii="Calibri" w:eastAsia="Calibri" w:hAnsi="Calibri" w:cs="Calibri"/>
          <w:color w:val="1E88E5"/>
        </w:rPr>
        <w:t>Déclaration des droits de l’homme et du citoyen</w:t>
      </w:r>
      <w:r>
        <w:rPr>
          <w:rFonts w:ascii="Calibri" w:eastAsia="Calibri" w:hAnsi="Calibri" w:cs="Calibri"/>
          <w:color w:val="1A1A1A"/>
        </w:rPr>
        <w:t>, les Révolutionnaires ont consacré une liberté et une égalité entre tous les citoyens (I), tout en prévoyant de possibles limitations à ces deux principes (II).</w:t>
      </w:r>
    </w:p>
    <w:p w14:paraId="56A90489" w14:textId="77777777" w:rsidR="001E3E87" w:rsidRDefault="005258B2">
      <w:pPr>
        <w:pStyle w:val="Titre3"/>
        <w:spacing w:before="190" w:after="80"/>
      </w:pPr>
      <w:r>
        <w:rPr>
          <w:rFonts w:ascii="Calibri" w:eastAsia="Calibri" w:hAnsi="Calibri" w:cs="Calibri"/>
          <w:b/>
          <w:bCs/>
          <w:i/>
          <w:iCs/>
          <w:color w:val="1A1A1A"/>
          <w:sz w:val="21"/>
          <w:szCs w:val="21"/>
        </w:rPr>
        <w:t>I. La proclamation révolutionnaire de l’égalité et de la liberté</w:t>
      </w:r>
    </w:p>
    <w:p w14:paraId="2D1FD0F7" w14:textId="77777777" w:rsidR="001E3E87" w:rsidRDefault="005258B2">
      <w:pPr>
        <w:pStyle w:val="Titre3"/>
        <w:spacing w:before="190" w:after="80"/>
      </w:pPr>
      <w:r>
        <w:rPr>
          <w:rFonts w:ascii="Calibri" w:eastAsia="Calibri" w:hAnsi="Calibri" w:cs="Calibri"/>
          <w:b/>
          <w:bCs/>
          <w:i/>
          <w:iCs/>
          <w:color w:val="1A1A1A"/>
          <w:sz w:val="21"/>
          <w:szCs w:val="21"/>
        </w:rPr>
        <w:t>A. L’abolition nécessaire des privilèges</w:t>
      </w:r>
    </w:p>
    <w:p w14:paraId="38A05B5D" w14:textId="77777777" w:rsidR="001E3E87" w:rsidRDefault="005258B2">
      <w:pPr>
        <w:spacing w:after="90" w:line="264" w:lineRule="auto"/>
        <w:jc w:val="both"/>
      </w:pPr>
      <w:r>
        <w:rPr>
          <w:rFonts w:ascii="Calibri" w:eastAsia="Calibri" w:hAnsi="Calibri" w:cs="Calibri"/>
          <w:color w:val="1A1A1A"/>
        </w:rPr>
        <w:t>L’abolition des privilèges et des droits féodaux durant la nuit du 4 août 1789 constitue le préalable nécessaire et obligatoire pour pouvoir proclamer un nouvel ordre humain. Les anciens droits féodaux « sont sacrifiés sur l’autel du bien public ». L’abolition de la qualité de serf, de la mainmorte, des juridictions seigneuriales, du droit exclusif de la chasse, des privilèges et immunités pécuniaires, de la vénalité des offices, l’égalité de l’impôt et l’admission de tous les citoyens aux emplois civils et militaires permettent d’inscrire dans la Déclaration les principes de liberté et d’égalité.</w:t>
      </w:r>
    </w:p>
    <w:p w14:paraId="7ADDCB22" w14:textId="77777777" w:rsidR="001E3E87" w:rsidRDefault="005258B2">
      <w:pPr>
        <w:pStyle w:val="Titre3"/>
        <w:spacing w:before="190" w:after="80"/>
      </w:pPr>
      <w:r>
        <w:rPr>
          <w:rFonts w:ascii="Calibri" w:eastAsia="Calibri" w:hAnsi="Calibri" w:cs="Calibri"/>
          <w:b/>
          <w:bCs/>
          <w:i/>
          <w:iCs/>
          <w:color w:val="1A1A1A"/>
          <w:sz w:val="21"/>
          <w:szCs w:val="21"/>
        </w:rPr>
        <w:t>B. La consécration de la liberté et l’égalité en droits</w:t>
      </w:r>
    </w:p>
    <w:p w14:paraId="29C6DB14" w14:textId="77777777" w:rsidR="001E3E87" w:rsidRDefault="005258B2">
      <w:pPr>
        <w:spacing w:after="90" w:line="264" w:lineRule="auto"/>
        <w:jc w:val="both"/>
      </w:pPr>
      <w:r>
        <w:rPr>
          <w:rFonts w:ascii="Calibri" w:eastAsia="Calibri" w:hAnsi="Calibri" w:cs="Calibri"/>
          <w:color w:val="1A1A1A"/>
        </w:rPr>
        <w:t xml:space="preserve">La plupart des droits et libertés dont nous sommes titulaires découlent de la liberté et de l’égalité prévues dans la </w:t>
      </w:r>
      <w:r>
        <w:rPr>
          <w:rFonts w:ascii="Calibri" w:eastAsia="Calibri" w:hAnsi="Calibri" w:cs="Calibri"/>
          <w:color w:val="1E88E5"/>
        </w:rPr>
        <w:t>Déclaration des droits de l’homme et du citoyen</w:t>
      </w:r>
      <w:r>
        <w:rPr>
          <w:rFonts w:ascii="Calibri" w:eastAsia="Calibri" w:hAnsi="Calibri" w:cs="Calibri"/>
          <w:color w:val="1A1A1A"/>
        </w:rPr>
        <w:t xml:space="preserve">. Le principe d’égalité irrigue ainsi le suffrage universel, l’égalité des sexes, l’égalité devant la loi, la justice, la non-discrimination à l’emploi. La liberté, quant à elle, est très générale et irrigue de nombreux domaines : la liberté d’aller et de venir, la liberté d’opinion, d’expression, de réunion, de religion, la liberté syndicale, le droit de grève, la liberté sexuelle… Bien qu’il s’agisse d’une Déclaration promulguée il y a plus de 200 ans, la </w:t>
      </w:r>
      <w:r>
        <w:rPr>
          <w:rFonts w:ascii="Calibri" w:eastAsia="Calibri" w:hAnsi="Calibri" w:cs="Calibri"/>
          <w:color w:val="1E88E5"/>
        </w:rPr>
        <w:t>Déclaration des droits de l’homme et du citoyen</w:t>
      </w:r>
      <w:r>
        <w:rPr>
          <w:rFonts w:ascii="Calibri" w:eastAsia="Calibri" w:hAnsi="Calibri" w:cs="Calibri"/>
          <w:color w:val="1A1A1A"/>
        </w:rPr>
        <w:t xml:space="preserve"> résonne toujours de nos jours. Cependant, il convient d’encadrer et restreindre ces deux grands principes pour les concilier avec d’autres.</w:t>
      </w:r>
    </w:p>
    <w:p w14:paraId="4CCF4E2E" w14:textId="77777777" w:rsidR="001E3E87" w:rsidRDefault="005258B2">
      <w:pPr>
        <w:pStyle w:val="Titre3"/>
        <w:spacing w:before="190" w:after="80"/>
      </w:pPr>
      <w:r>
        <w:rPr>
          <w:rFonts w:ascii="Calibri" w:eastAsia="Calibri" w:hAnsi="Calibri" w:cs="Calibri"/>
          <w:b/>
          <w:bCs/>
          <w:i/>
          <w:iCs/>
          <w:color w:val="1A1A1A"/>
          <w:sz w:val="21"/>
          <w:szCs w:val="21"/>
        </w:rPr>
        <w:t>II. La relativité de la liberté et de l’égalité entre les citoyens</w:t>
      </w:r>
    </w:p>
    <w:p w14:paraId="47F7123A" w14:textId="77777777" w:rsidR="001E3E87" w:rsidRDefault="005258B2">
      <w:pPr>
        <w:pStyle w:val="Titre3"/>
        <w:spacing w:before="190" w:after="80"/>
      </w:pPr>
      <w:r>
        <w:rPr>
          <w:rFonts w:ascii="Calibri" w:eastAsia="Calibri" w:hAnsi="Calibri" w:cs="Calibri"/>
          <w:b/>
          <w:bCs/>
          <w:i/>
          <w:iCs/>
          <w:color w:val="1A1A1A"/>
          <w:sz w:val="21"/>
          <w:szCs w:val="21"/>
        </w:rPr>
        <w:t>A. Les possibles restrictions de la liberté</w:t>
      </w:r>
    </w:p>
    <w:p w14:paraId="1261DC2D" w14:textId="77777777" w:rsidR="00C83FEC" w:rsidRDefault="005258B2">
      <w:pPr>
        <w:spacing w:after="90" w:line="264" w:lineRule="auto"/>
        <w:jc w:val="both"/>
        <w:rPr>
          <w:rFonts w:ascii="Calibri" w:eastAsia="Calibri" w:hAnsi="Calibri" w:cs="Calibri"/>
          <w:color w:val="1A1A1A"/>
        </w:rPr>
      </w:pPr>
      <w:r>
        <w:rPr>
          <w:rFonts w:ascii="Calibri" w:eastAsia="Calibri" w:hAnsi="Calibri" w:cs="Calibri"/>
          <w:color w:val="1A1A1A"/>
        </w:rPr>
        <w:t>L’</w:t>
      </w:r>
      <w:r>
        <w:rPr>
          <w:rFonts w:ascii="Calibri" w:eastAsia="Calibri" w:hAnsi="Calibri" w:cs="Calibri"/>
          <w:color w:val="1E88E5"/>
        </w:rPr>
        <w:t>article 4</w:t>
      </w:r>
      <w:r>
        <w:rPr>
          <w:rFonts w:ascii="Calibri" w:eastAsia="Calibri" w:hAnsi="Calibri" w:cs="Calibri"/>
          <w:color w:val="1A1A1A"/>
        </w:rPr>
        <w:t xml:space="preserve"> de la </w:t>
      </w:r>
      <w:r>
        <w:rPr>
          <w:rFonts w:ascii="Calibri" w:eastAsia="Calibri" w:hAnsi="Calibri" w:cs="Calibri"/>
          <w:color w:val="1E88E5"/>
        </w:rPr>
        <w:t>Déclaration des droits de l’homme et du citoyen</w:t>
      </w:r>
      <w:r>
        <w:rPr>
          <w:rFonts w:ascii="Calibri" w:eastAsia="Calibri" w:hAnsi="Calibri" w:cs="Calibri"/>
          <w:color w:val="1A1A1A"/>
        </w:rPr>
        <w:t xml:space="preserve"> définit et limite la liberté : « La liberté consiste à faire tout ce qui ne nuit pas à autrui : ainsi, l’exercice des droits naturels de chaque homme n’a de bornes que celles qui assurent aux autres Membres de la Société la jouissance de ces mêmes droits. Ces bornes ne peuvent être déterminées que par la Loi. » Il appartiendra donc au législateur de fixer les limites et de restreindre la liberté au nom de l’intérêt général. Ici sont semées les graines du légicentrisme auquel il sera finalement mis fin deux siècles plus tard avec l’instauration du Conseil constitutionnel sous la Ve république. </w:t>
      </w:r>
    </w:p>
    <w:p w14:paraId="6C831AE7" w14:textId="736F5D79" w:rsidR="001E3E87" w:rsidRDefault="005258B2">
      <w:pPr>
        <w:spacing w:after="90" w:line="264" w:lineRule="auto"/>
        <w:jc w:val="both"/>
      </w:pPr>
      <w:r>
        <w:rPr>
          <w:rFonts w:ascii="Calibri" w:eastAsia="Calibri" w:hAnsi="Calibri" w:cs="Calibri"/>
          <w:color w:val="1A1A1A"/>
        </w:rPr>
        <w:t>Critique marxiste : liberté fondée sur le modèle de la propriété bourgeoise.</w:t>
      </w:r>
    </w:p>
    <w:p w14:paraId="7CABF5F8" w14:textId="77777777" w:rsidR="001E3E87" w:rsidRDefault="005258B2">
      <w:pPr>
        <w:pStyle w:val="Titre3"/>
        <w:spacing w:before="190" w:after="80"/>
      </w:pPr>
      <w:r>
        <w:rPr>
          <w:rFonts w:ascii="Calibri" w:eastAsia="Calibri" w:hAnsi="Calibri" w:cs="Calibri"/>
          <w:b/>
          <w:bCs/>
          <w:i/>
          <w:iCs/>
          <w:color w:val="1A1A1A"/>
          <w:sz w:val="21"/>
          <w:szCs w:val="21"/>
        </w:rPr>
        <w:lastRenderedPageBreak/>
        <w:t>B. Les aménagements de l’égalité</w:t>
      </w:r>
    </w:p>
    <w:p w14:paraId="6C081411" w14:textId="77777777" w:rsidR="001E3E87" w:rsidRDefault="005258B2">
      <w:pPr>
        <w:spacing w:after="90" w:line="264" w:lineRule="auto"/>
        <w:jc w:val="both"/>
      </w:pPr>
      <w:r>
        <w:rPr>
          <w:rFonts w:ascii="Calibri" w:eastAsia="Calibri" w:hAnsi="Calibri" w:cs="Calibri"/>
          <w:color w:val="1A1A1A"/>
        </w:rPr>
        <w:t>L’application rigoureuse du principe d’égalité peut paradoxalement engendrer des situations inégalitaires. Le législateur peut donc instaurer « des distinctions sociales » fondées une fois de plus sur l’intérêt général. L’égalité civile est affirmée avec force par les Révolutionnaires, mais elle n’est pas un droit naturel et imprescriptible. Le principe d’égalité a un statut supérieur, les Révolutionnaires estiment qu’il s’agit du fondement de tout droit naturel. Critique féministe : cette égalité ne s’appliquera pas à tous et exclura les femmes pendant de nombreux siècles.</w:t>
      </w:r>
    </w:p>
    <w:p w14:paraId="0CF6BC73" w14:textId="77777777" w:rsidR="001E3E87" w:rsidRDefault="005258B2">
      <w:pPr>
        <w:spacing w:after="90" w:line="264" w:lineRule="auto"/>
        <w:jc w:val="both"/>
      </w:pPr>
      <w:r>
        <w:rPr>
          <w:rFonts w:ascii="Calibri" w:eastAsia="Calibri" w:hAnsi="Calibri" w:cs="Calibri"/>
          <w:color w:val="1A1A1A"/>
        </w:rPr>
        <w:t>En conclusion, les Révolutionnaires ont porté aux nues les principes d’égalité et de liberté, mais ces dernières ne sont pas absolues.</w:t>
      </w:r>
    </w:p>
    <w:p w14:paraId="70A84D62" w14:textId="77777777" w:rsidR="001E3E87" w:rsidRDefault="005258B2">
      <w:r>
        <w:br w:type="page"/>
      </w:r>
    </w:p>
    <w:p w14:paraId="03AD9EFE"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4 — ARGUMENTATION JURIDIQUE</w:t>
      </w:r>
    </w:p>
    <w:p w14:paraId="36B92973" w14:textId="77777777" w:rsidR="001E3E87" w:rsidRDefault="005258B2">
      <w:pPr>
        <w:spacing w:after="160"/>
      </w:pPr>
      <w:r>
        <w:rPr>
          <w:rFonts w:ascii="Calibri" w:eastAsia="Calibri" w:hAnsi="Calibri" w:cs="Calibri"/>
          <w:i/>
          <w:iCs/>
          <w:color w:val="5A5A5A"/>
          <w:sz w:val="18"/>
          <w:szCs w:val="18"/>
        </w:rPr>
        <w:t>Fiche n° 4 — Les classifications  |  PARTIE I. ÉLÉMENTS INTRODUCTIFS  |  Fascicule p. 44</w:t>
      </w:r>
    </w:p>
    <w:p w14:paraId="7877FCF0"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2E2F6D10"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La classification des libertés fondamentales est-elle impossible ?</w:t>
      </w:r>
    </w:p>
    <w:p w14:paraId="6C77CB9D"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4ACB26D8" w14:textId="77777777" w:rsidR="001E3E87" w:rsidRDefault="005258B2">
      <w:pPr>
        <w:spacing w:after="90" w:line="264" w:lineRule="auto"/>
        <w:jc w:val="both"/>
      </w:pPr>
      <w:r>
        <w:rPr>
          <w:rFonts w:ascii="Calibri" w:eastAsia="Calibri" w:hAnsi="Calibri" w:cs="Calibri"/>
          <w:color w:val="1A1A1A"/>
        </w:rPr>
        <w:t>Dans leurs tentatives de comprendre le droit, les juristes tentent sans cesse de conceptualiser des notions. Une des tentatives de conceptualisation consiste à classifier et à distinguer. Cette méthode innerve le droit dans son ensemble : le droit est traditionnellement présenté autour de la distinction droit privé et droit public.</w:t>
      </w:r>
    </w:p>
    <w:p w14:paraId="6E9DFA04" w14:textId="77777777" w:rsidR="001E3E87" w:rsidRDefault="005258B2">
      <w:pPr>
        <w:spacing w:after="90" w:line="264" w:lineRule="auto"/>
        <w:jc w:val="both"/>
      </w:pPr>
      <w:r>
        <w:rPr>
          <w:rFonts w:ascii="Calibri" w:eastAsia="Calibri" w:hAnsi="Calibri" w:cs="Calibri"/>
          <w:color w:val="1A1A1A"/>
        </w:rPr>
        <w:t>Classer les libertés consiste à tenter d’en organiser la diversité selon des critères juridiques, historiques ou philosophiques. Mais cette entreprise se heurte à plusieurs obstacles : évolution constante des droits, pluralité des sources, diversité des objets. Faut-il en conclure que toute tentative de classification serait vaine, voire impossible ? Ou peut-on, malgré tout, en dégager des catégories pertinentes et utiles à la compréhension du droit des libertés ?</w:t>
      </w:r>
    </w:p>
    <w:p w14:paraId="3D8D6B95" w14:textId="77777777" w:rsidR="001E3E87" w:rsidRDefault="005258B2">
      <w:pPr>
        <w:spacing w:after="90" w:line="264" w:lineRule="auto"/>
        <w:jc w:val="both"/>
      </w:pPr>
      <w:r>
        <w:rPr>
          <w:rFonts w:ascii="Calibri" w:eastAsia="Calibri" w:hAnsi="Calibri" w:cs="Calibri"/>
          <w:color w:val="1A1A1A"/>
        </w:rPr>
        <w:t>Le droit des libertés fondamentales, entendues comme un ensemble de prérogatives personnelles qu’une société donnée estime être fondamentales (</w:t>
      </w:r>
      <w:r>
        <w:rPr>
          <w:rFonts w:ascii="Calibri" w:eastAsia="Calibri" w:hAnsi="Calibri" w:cs="Calibri"/>
          <w:color w:val="E91E63"/>
        </w:rPr>
        <w:t>Cons. const., décision no 84-</w:t>
      </w:r>
      <w:r w:rsidRPr="00AB3D2E">
        <w:rPr>
          <w:rFonts w:ascii="Calibri" w:eastAsia="Calibri" w:hAnsi="Calibri" w:cs="Calibri"/>
          <w:color w:val="E91D62"/>
        </w:rPr>
        <w:t>181 DC du 11 octobre 1984</w:t>
      </w:r>
      <w:r>
        <w:rPr>
          <w:rFonts w:ascii="Calibri" w:eastAsia="Calibri" w:hAnsi="Calibri" w:cs="Calibri"/>
          <w:color w:val="1A1A1A"/>
        </w:rPr>
        <w:t>), n’échappe pas à cette tendance classificatrice.</w:t>
      </w:r>
    </w:p>
    <w:p w14:paraId="7564FDD4"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 première raison est que le développement de l’État libéral a impliqué un accroissement du nombre de libertés reconnues et une évolution de leur philosophie. Dans un souci de comprendre le régime juridique applicable, le besoin de les classifier s’est fait ressentir.</w:t>
      </w:r>
    </w:p>
    <w:p w14:paraId="3E6AB1E4"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 seconde raison s’explique par la concurrence des notions. En effet, la classification a permis d’apporter une alternative à la distinction entre les notions de « libertés publiques », « libertés fondamentales » et « droits fondamentaux ».</w:t>
      </w:r>
    </w:p>
    <w:p w14:paraId="1E3745AE"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La classification des libertés publiques est-elle vouée à l’échec en raison de la complexité et de la variété des libertés, ou peut-elle au contraire constituer un outil pertinent d’analyse juridique ? Si les classifications restent possibles et utiles à certains égards (I) elles se heurtent à de réels obstacles (II).</w:t>
      </w:r>
    </w:p>
    <w:p w14:paraId="4978F37C" w14:textId="77777777" w:rsidR="001E3E87" w:rsidRDefault="005258B2">
      <w:pPr>
        <w:pStyle w:val="Titre3"/>
        <w:spacing w:before="190" w:after="80"/>
      </w:pPr>
      <w:r>
        <w:rPr>
          <w:rFonts w:ascii="Calibri" w:eastAsia="Calibri" w:hAnsi="Calibri" w:cs="Calibri"/>
          <w:b/>
          <w:bCs/>
          <w:i/>
          <w:iCs/>
          <w:color w:val="1A1A1A"/>
          <w:sz w:val="21"/>
          <w:szCs w:val="21"/>
        </w:rPr>
        <w:t>I. L’utilité concrète de certaines classifications</w:t>
      </w:r>
    </w:p>
    <w:p w14:paraId="4021BCA1" w14:textId="77777777" w:rsidR="001E3E87" w:rsidRDefault="005258B2">
      <w:pPr>
        <w:spacing w:after="90" w:line="264" w:lineRule="auto"/>
        <w:jc w:val="both"/>
      </w:pPr>
      <w:r>
        <w:rPr>
          <w:rFonts w:ascii="Calibri" w:eastAsia="Calibri" w:hAnsi="Calibri" w:cs="Calibri"/>
          <w:color w:val="1A1A1A"/>
        </w:rPr>
        <w:t>Les classifications possèdent un double intérêt. Elles sont un instrument didactique de compréhension et d’analyse (A) et elles sont opératoires en droit positif (B).</w:t>
      </w:r>
    </w:p>
    <w:p w14:paraId="694E4B7F" w14:textId="77777777" w:rsidR="001E3E87" w:rsidRDefault="005258B2">
      <w:pPr>
        <w:pStyle w:val="Titre3"/>
        <w:spacing w:before="190" w:after="80"/>
      </w:pPr>
      <w:r>
        <w:rPr>
          <w:rFonts w:ascii="Calibri" w:eastAsia="Calibri" w:hAnsi="Calibri" w:cs="Calibri"/>
          <w:b/>
          <w:bCs/>
          <w:i/>
          <w:iCs/>
          <w:color w:val="1A1A1A"/>
          <w:sz w:val="21"/>
          <w:szCs w:val="21"/>
        </w:rPr>
        <w:t>A. L’intérêt didactique des classifications</w:t>
      </w:r>
    </w:p>
    <w:p w14:paraId="7BB32D43" w14:textId="77777777" w:rsidR="001E3E87" w:rsidRDefault="005258B2">
      <w:pPr>
        <w:spacing w:after="90" w:line="264" w:lineRule="auto"/>
        <w:jc w:val="both"/>
      </w:pPr>
      <w:r>
        <w:rPr>
          <w:rFonts w:ascii="Calibri" w:eastAsia="Calibri" w:hAnsi="Calibri" w:cs="Calibri"/>
          <w:color w:val="1A1A1A"/>
        </w:rPr>
        <w:t>Les classifications n’ont pas vocation à être exhaustive. Il ne s’agit que d’une méthode de penser la matière. Elles peuvent avoir une utilité dans la détermination de leur régime juridique, mais il s’agit avant tout d’un instrument de compréhension et de témoignage des évolutions. Elles sont une grille de lecture pertinente pour l’analyse de la matière et pour refléter une vue d’ensemble de la diversité.</w:t>
      </w:r>
    </w:p>
    <w:p w14:paraId="23DC5349" w14:textId="77777777" w:rsidR="001E3E87" w:rsidRDefault="005258B2">
      <w:pPr>
        <w:pStyle w:val="Titre3"/>
        <w:spacing w:before="190" w:after="80"/>
      </w:pPr>
      <w:r>
        <w:rPr>
          <w:rFonts w:ascii="Calibri" w:eastAsia="Calibri" w:hAnsi="Calibri" w:cs="Calibri"/>
          <w:b/>
          <w:bCs/>
          <w:i/>
          <w:iCs/>
          <w:color w:val="1A1A1A"/>
          <w:sz w:val="21"/>
          <w:szCs w:val="21"/>
        </w:rPr>
        <w:t>B. Les classifications opératoires en droit positif</w:t>
      </w:r>
    </w:p>
    <w:p w14:paraId="5673D93B" w14:textId="77777777" w:rsidR="001E3E87" w:rsidRDefault="005258B2">
      <w:pPr>
        <w:spacing w:after="90" w:line="264" w:lineRule="auto"/>
        <w:jc w:val="both"/>
      </w:pPr>
      <w:r>
        <w:rPr>
          <w:rFonts w:ascii="Calibri" w:eastAsia="Calibri" w:hAnsi="Calibri" w:cs="Calibri"/>
          <w:color w:val="1A1A1A"/>
        </w:rPr>
        <w:t>Les classifications sont opératoires quand elles sont reconnues et dégagées par le juge. Elles intègrent le droit positif et favorisent leur protection. Le juge administratif va recourir à certaines classifications (notamment celle entre liberté publique et liberté fondamentale) depuis la mise en œuvre du référé-liberté (</w:t>
      </w:r>
      <w:r>
        <w:rPr>
          <w:rFonts w:ascii="Calibri" w:eastAsia="Calibri" w:hAnsi="Calibri" w:cs="Calibri"/>
          <w:color w:val="1E88E5"/>
        </w:rPr>
        <w:t>art. 521-</w:t>
      </w:r>
      <w:r w:rsidRPr="00AB3D2E">
        <w:rPr>
          <w:rFonts w:ascii="Calibri" w:eastAsia="Calibri" w:hAnsi="Calibri" w:cs="Calibri"/>
          <w:color w:val="1E88C7"/>
        </w:rPr>
        <w:t>2 du CJA</w:t>
      </w:r>
      <w:r>
        <w:rPr>
          <w:rFonts w:ascii="Calibri" w:eastAsia="Calibri" w:hAnsi="Calibri" w:cs="Calibri"/>
          <w:color w:val="1A1A1A"/>
        </w:rPr>
        <w:t xml:space="preserve">) qui organise un recours visant à la protection d’une « liberté fondamentale ». La CEDH retient également des distinctions implicites en séparant les droits absolus (comme les </w:t>
      </w:r>
      <w:r>
        <w:rPr>
          <w:rFonts w:ascii="Calibri" w:eastAsia="Calibri" w:hAnsi="Calibri" w:cs="Calibri"/>
          <w:color w:val="1E88E5"/>
        </w:rPr>
        <w:t>articles 2 et 3</w:t>
      </w:r>
      <w:r>
        <w:rPr>
          <w:rFonts w:ascii="Calibri" w:eastAsia="Calibri" w:hAnsi="Calibri" w:cs="Calibri"/>
          <w:color w:val="1A1A1A"/>
        </w:rPr>
        <w:t xml:space="preserve"> </w:t>
      </w:r>
      <w:r w:rsidRPr="00AB3D2E">
        <w:rPr>
          <w:rFonts w:ascii="Calibri" w:eastAsia="Calibri" w:hAnsi="Calibri" w:cs="Calibri"/>
          <w:color w:val="1E88C7"/>
        </w:rPr>
        <w:t>de la Convention</w:t>
      </w:r>
      <w:r>
        <w:rPr>
          <w:rFonts w:ascii="Calibri" w:eastAsia="Calibri" w:hAnsi="Calibri" w:cs="Calibri"/>
          <w:color w:val="1A1A1A"/>
        </w:rPr>
        <w:t>) des droits relatifs pouvant faire l’objet d’une certaine ingérence (comme l’</w:t>
      </w:r>
      <w:r>
        <w:rPr>
          <w:rFonts w:ascii="Calibri" w:eastAsia="Calibri" w:hAnsi="Calibri" w:cs="Calibri"/>
          <w:color w:val="1E88E5"/>
        </w:rPr>
        <w:t>article 8</w:t>
      </w:r>
      <w:r>
        <w:rPr>
          <w:rFonts w:ascii="Calibri" w:eastAsia="Calibri" w:hAnsi="Calibri" w:cs="Calibri"/>
          <w:color w:val="1A1A1A"/>
        </w:rPr>
        <w:t>). (</w:t>
      </w:r>
      <w:r>
        <w:rPr>
          <w:rFonts w:ascii="Calibri" w:eastAsia="Calibri" w:hAnsi="Calibri" w:cs="Calibri"/>
          <w:color w:val="E91E63"/>
        </w:rPr>
        <w:t>CEDH, F.G. c. Suède, 23 mars 2016, no 43611/11</w:t>
      </w:r>
      <w:r>
        <w:rPr>
          <w:rFonts w:ascii="Calibri" w:eastAsia="Calibri" w:hAnsi="Calibri" w:cs="Calibri"/>
          <w:color w:val="1A1A1A"/>
        </w:rPr>
        <w:t>). La classification permet d’identifier les régimes de contrôle, les intensités de protection, et parfois les organes compétents.</w:t>
      </w:r>
    </w:p>
    <w:p w14:paraId="356191BD" w14:textId="77777777" w:rsidR="001E3E87" w:rsidRDefault="005258B2">
      <w:pPr>
        <w:pStyle w:val="Titre3"/>
        <w:spacing w:before="190" w:after="80"/>
      </w:pPr>
      <w:r>
        <w:rPr>
          <w:rFonts w:ascii="Calibri" w:eastAsia="Calibri" w:hAnsi="Calibri" w:cs="Calibri"/>
          <w:b/>
          <w:bCs/>
          <w:i/>
          <w:iCs/>
          <w:color w:val="1A1A1A"/>
          <w:sz w:val="21"/>
          <w:szCs w:val="21"/>
        </w:rPr>
        <w:t>II. Les lacunes certaines des classifications des libertés fondamentales</w:t>
      </w:r>
    </w:p>
    <w:p w14:paraId="7B20C950" w14:textId="77777777" w:rsidR="001E3E87" w:rsidRDefault="005258B2">
      <w:pPr>
        <w:spacing w:after="90" w:line="264" w:lineRule="auto"/>
        <w:jc w:val="both"/>
        <w:rPr>
          <w:rFonts w:ascii="Calibri" w:eastAsia="Calibri" w:hAnsi="Calibri" w:cs="Calibri"/>
          <w:color w:val="1A1A1A"/>
        </w:rPr>
      </w:pPr>
      <w:r>
        <w:rPr>
          <w:rFonts w:ascii="Calibri" w:eastAsia="Calibri" w:hAnsi="Calibri" w:cs="Calibri"/>
          <w:color w:val="1A1A1A"/>
        </w:rPr>
        <w:t>Les classifications des libertés fondamentales ont des lacunes et à ce titre, elles peuvent être critiquées. En effet, soit elles ne parviennent pas à refléter la diversité des libertés (A), soit elles sont empreintes d’un dogme empêchant toute distinction objective (B).</w:t>
      </w:r>
    </w:p>
    <w:p w14:paraId="4DE00EA2" w14:textId="77777777" w:rsidR="00AB3D2E" w:rsidRDefault="00AB3D2E">
      <w:pPr>
        <w:spacing w:after="90" w:line="264" w:lineRule="auto"/>
        <w:jc w:val="both"/>
      </w:pPr>
    </w:p>
    <w:p w14:paraId="33D7F11B" w14:textId="77777777" w:rsidR="001E3E87" w:rsidRDefault="005258B2">
      <w:pPr>
        <w:pStyle w:val="Titre3"/>
        <w:spacing w:before="190" w:after="80"/>
      </w:pPr>
      <w:r>
        <w:rPr>
          <w:rFonts w:ascii="Calibri" w:eastAsia="Calibri" w:hAnsi="Calibri" w:cs="Calibri"/>
          <w:b/>
          <w:bCs/>
          <w:i/>
          <w:iCs/>
          <w:color w:val="1A1A1A"/>
          <w:sz w:val="21"/>
          <w:szCs w:val="21"/>
        </w:rPr>
        <w:lastRenderedPageBreak/>
        <w:t>A. L’impuissance à refléter la diversité des libertés</w:t>
      </w:r>
    </w:p>
    <w:p w14:paraId="7E4979FD" w14:textId="77777777" w:rsidR="001E3E87" w:rsidRDefault="005258B2">
      <w:pPr>
        <w:spacing w:after="90" w:line="264" w:lineRule="auto"/>
        <w:jc w:val="both"/>
      </w:pPr>
      <w:r>
        <w:rPr>
          <w:rFonts w:ascii="Calibri" w:eastAsia="Calibri" w:hAnsi="Calibri" w:cs="Calibri"/>
          <w:color w:val="1A1A1A"/>
        </w:rPr>
        <w:t>Les classifications peinent à refléter la diversité des libertés puisqu’il s’agit d’un mécanisme de conceptualisation qui n’est pas dynamique : elles appréhendent les libertés à un moment donné. Les sources évoluent et se diversifient, notamment sous l’influence du droit européen et international. La multiplicité des origines rend complexe une représentation concrète des libertés. Le contenu des libertés est en constante évolution. Souvent, le juge fait évoluer leur contenu ou leur reconnaît un nouveau statut (</w:t>
      </w:r>
      <w:r>
        <w:rPr>
          <w:rFonts w:ascii="Calibri" w:eastAsia="Calibri" w:hAnsi="Calibri" w:cs="Calibri"/>
          <w:color w:val="E91E63"/>
        </w:rPr>
        <w:t xml:space="preserve">Cons. const., décision no 71-44 </w:t>
      </w:r>
      <w:r w:rsidRPr="00AB3D2E">
        <w:rPr>
          <w:rFonts w:ascii="Calibri" w:eastAsia="Calibri" w:hAnsi="Calibri" w:cs="Calibri"/>
          <w:color w:val="E91D62"/>
        </w:rPr>
        <w:t>DC du 16 juillet 1971 dite « Liberté d’association »</w:t>
      </w:r>
      <w:r>
        <w:rPr>
          <w:rFonts w:ascii="Calibri" w:eastAsia="Calibri" w:hAnsi="Calibri" w:cs="Calibri"/>
          <w:color w:val="1A1A1A"/>
        </w:rPr>
        <w:t>). Le juge évite d’adopter des classifications trop rigides qui le contraindraient ultérieurement et qui limiteraient son pouvoir créateur. Enfin, il existe de nombreuses interactions entre les libertés et les classifications peuvent semer de la confusion : la liberté individuelle peut s’opposer à la liberté collective, mais elle peut être aussi la protection contre la détention arbitraire.</w:t>
      </w:r>
    </w:p>
    <w:p w14:paraId="63D9CF4D" w14:textId="77777777" w:rsidR="001E3E87" w:rsidRDefault="005258B2">
      <w:pPr>
        <w:pStyle w:val="Titre3"/>
        <w:spacing w:before="190" w:after="80"/>
      </w:pPr>
      <w:r>
        <w:rPr>
          <w:rFonts w:ascii="Calibri" w:eastAsia="Calibri" w:hAnsi="Calibri" w:cs="Calibri"/>
          <w:b/>
          <w:bCs/>
          <w:i/>
          <w:iCs/>
          <w:color w:val="1A1A1A"/>
          <w:sz w:val="21"/>
          <w:szCs w:val="21"/>
        </w:rPr>
        <w:t>B. Derrière les classifications empreintes, les dogmes</w:t>
      </w:r>
    </w:p>
    <w:p w14:paraId="35F2A87F" w14:textId="77777777" w:rsidR="001E3E87" w:rsidRDefault="005258B2">
      <w:pPr>
        <w:spacing w:after="90" w:line="264" w:lineRule="auto"/>
        <w:jc w:val="both"/>
      </w:pPr>
      <w:r>
        <w:rPr>
          <w:rFonts w:ascii="Calibri" w:eastAsia="Calibri" w:hAnsi="Calibri" w:cs="Calibri"/>
          <w:color w:val="1A1A1A"/>
        </w:rPr>
        <w:t>La plupart des classifications ne sont pas objectives. Elles sont le fruit d’une influence géographique et culturelle : les libertés de troisième et quatrième génération n’ont que peu d’importance dans des pays mal développés tandis que leur influence est croissante dans des États développés. Les classifications doctrinales des libertés tentent de refléter la conception d’une société. Pour Karl Marx, la théorie des libertés ne peut entrer en contradiction avec sa conception de la société bourgeoise et capitaliste.</w:t>
      </w:r>
    </w:p>
    <w:p w14:paraId="3936DCB7" w14:textId="77777777" w:rsidR="001E3E87" w:rsidRDefault="005258B2">
      <w:pPr>
        <w:spacing w:after="90" w:line="264" w:lineRule="auto"/>
        <w:jc w:val="both"/>
      </w:pPr>
      <w:r>
        <w:rPr>
          <w:rFonts w:ascii="Calibri" w:eastAsia="Calibri" w:hAnsi="Calibri" w:cs="Calibri"/>
          <w:color w:val="1A1A1A"/>
        </w:rPr>
        <w:t>En conclusion, les classifications sont artificielles et floues. Leur utilité ne saurait être contestée, mais leurs limites sont flagrantes. Il convient de les aborder avec du recul pour ne pas perdre de vue qu’il ne s’agit que d’une méthode et non d’une fin en soi.</w:t>
      </w:r>
    </w:p>
    <w:p w14:paraId="08BE2463" w14:textId="77777777" w:rsidR="001E3E87" w:rsidRDefault="005258B2">
      <w:r>
        <w:br w:type="page"/>
      </w:r>
    </w:p>
    <w:p w14:paraId="01869D85"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5 — ARGUMENTATION JURIDIQUE</w:t>
      </w:r>
    </w:p>
    <w:p w14:paraId="2455A998" w14:textId="77777777" w:rsidR="001E3E87" w:rsidRDefault="005258B2">
      <w:pPr>
        <w:spacing w:after="160"/>
      </w:pPr>
      <w:r>
        <w:rPr>
          <w:rFonts w:ascii="Calibri" w:eastAsia="Calibri" w:hAnsi="Calibri" w:cs="Calibri"/>
          <w:i/>
          <w:iCs/>
          <w:color w:val="5A5A5A"/>
          <w:sz w:val="18"/>
          <w:szCs w:val="18"/>
        </w:rPr>
        <w:t>Fiche n° 5 — Les principes directeurs  |  PARTIE I. ÉLÉMENTS INTRODUCTIFS  |  Fascicule p. 54</w:t>
      </w:r>
    </w:p>
    <w:p w14:paraId="0558017E"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1C3DF284"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Soutenez que l’universalité des droits humains est impossible.</w:t>
      </w:r>
    </w:p>
    <w:p w14:paraId="0F8D6279"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3E0773BE" w14:textId="77777777" w:rsidR="001E3E87" w:rsidRDefault="005258B2">
      <w:pPr>
        <w:spacing w:after="90" w:line="264" w:lineRule="auto"/>
        <w:jc w:val="both"/>
      </w:pPr>
      <w:r>
        <w:rPr>
          <w:rFonts w:ascii="Calibri" w:eastAsia="Calibri" w:hAnsi="Calibri" w:cs="Calibri"/>
          <w:color w:val="1A1A1A"/>
        </w:rPr>
        <w:t xml:space="preserve">L’universalité des droits humains constitue l’un des fondements proclamés du droit international contemporain, en particulier depuis la </w:t>
      </w:r>
      <w:r>
        <w:rPr>
          <w:rFonts w:ascii="Calibri" w:eastAsia="Calibri" w:hAnsi="Calibri" w:cs="Calibri"/>
          <w:color w:val="1E88E5"/>
        </w:rPr>
        <w:t>Déclaration universelle des droits de l’homme</w:t>
      </w:r>
      <w:r>
        <w:rPr>
          <w:rFonts w:ascii="Calibri" w:eastAsia="Calibri" w:hAnsi="Calibri" w:cs="Calibri"/>
          <w:color w:val="1A1A1A"/>
        </w:rPr>
        <w:t xml:space="preserve"> de 1948. Ce principe postule que tous les êtres humains, partout et toujours, doivent jouir des mêmes droits fondamentaux, indépendamment de leur origine, culture, religion, ou régime politique. Mais cette prétention à l’universalité fait aujourd’hui l’objet de nombreuses remises en cause. Loin d’être un consensus, elle apparaît pour certains comme une construction idéologique occidentale, inadaptée à la diversité des cultures et des traditions. En d’autres termes, il se pourrait que l’universalité des droits humains soit, dans les faits comme en droit, impossible à réaliser.</w:t>
      </w:r>
    </w:p>
    <w:p w14:paraId="3EF00F8F" w14:textId="77777777" w:rsidR="001E3E87" w:rsidRDefault="005258B2">
      <w:pPr>
        <w:spacing w:after="90" w:line="264" w:lineRule="auto"/>
        <w:jc w:val="both"/>
      </w:pPr>
      <w:r>
        <w:rPr>
          <w:rFonts w:ascii="Calibri" w:eastAsia="Calibri" w:hAnsi="Calibri" w:cs="Calibri"/>
          <w:b/>
          <w:bCs/>
          <w:color w:val="1A1A1A"/>
        </w:rPr>
        <w:t>Problématique:</w:t>
      </w:r>
      <w:r>
        <w:rPr>
          <w:rFonts w:ascii="Calibri" w:eastAsia="Calibri" w:hAnsi="Calibri" w:cs="Calibri"/>
          <w:color w:val="1A1A1A"/>
        </w:rPr>
        <w:t xml:space="preserve"> L’universalité des droits humains est-elle une réalité juridique et philosophique, ou bien une fiction incompatible avec la diversité des conceptions humaines du bien, du juste, et du droit ?</w:t>
      </w:r>
    </w:p>
    <w:p w14:paraId="1A91C6C8" w14:textId="77777777" w:rsidR="001E3E87" w:rsidRDefault="005258B2">
      <w:pPr>
        <w:spacing w:after="90" w:line="264" w:lineRule="auto"/>
        <w:jc w:val="both"/>
      </w:pPr>
      <w:r>
        <w:rPr>
          <w:rFonts w:ascii="Calibri" w:eastAsia="Calibri" w:hAnsi="Calibri" w:cs="Calibri"/>
          <w:color w:val="1A1A1A"/>
        </w:rPr>
        <w:t>Nous soutiendrons ici que l’universalité des droits humains est impossible, tant en raison de l’ancrage culturel des normes (I), que du manque de consensus sur leur mise en œuvre concrète dans les systèmes juridiques (II).</w:t>
      </w:r>
    </w:p>
    <w:p w14:paraId="6583945C" w14:textId="77777777" w:rsidR="001E3E87" w:rsidRDefault="005258B2">
      <w:pPr>
        <w:pStyle w:val="Titre3"/>
        <w:spacing w:before="190" w:after="80"/>
      </w:pPr>
      <w:r>
        <w:rPr>
          <w:rFonts w:ascii="Calibri" w:eastAsia="Calibri" w:hAnsi="Calibri" w:cs="Calibri"/>
          <w:b/>
          <w:bCs/>
          <w:i/>
          <w:iCs/>
          <w:color w:val="1A1A1A"/>
          <w:sz w:val="21"/>
          <w:szCs w:val="21"/>
        </w:rPr>
        <w:t>I. L’universalité des droits humains est impossible en raison du relativisme culturel et des conflits de valeurs</w:t>
      </w:r>
    </w:p>
    <w:p w14:paraId="03DF85FC" w14:textId="77777777" w:rsidR="001E3E87" w:rsidRDefault="005258B2">
      <w:pPr>
        <w:pStyle w:val="Titre3"/>
        <w:spacing w:before="190" w:after="80"/>
      </w:pPr>
      <w:r>
        <w:rPr>
          <w:rFonts w:ascii="Calibri" w:eastAsia="Calibri" w:hAnsi="Calibri" w:cs="Calibri"/>
          <w:b/>
          <w:bCs/>
          <w:i/>
          <w:iCs/>
          <w:color w:val="1A1A1A"/>
          <w:sz w:val="21"/>
          <w:szCs w:val="21"/>
        </w:rPr>
        <w:t>A. Les droits humains comme produit d’une culture particulière</w:t>
      </w:r>
    </w:p>
    <w:p w14:paraId="3123D1FD" w14:textId="77777777" w:rsidR="001E3E87" w:rsidRDefault="005258B2">
      <w:pPr>
        <w:spacing w:after="90" w:line="264" w:lineRule="auto"/>
        <w:jc w:val="both"/>
      </w:pPr>
      <w:r>
        <w:rPr>
          <w:rFonts w:ascii="Calibri" w:eastAsia="Calibri" w:hAnsi="Calibri" w:cs="Calibri"/>
          <w:color w:val="1A1A1A"/>
        </w:rPr>
        <w:t>L’idée même de droits « naturels », puis « universels », est née dans le contexte européen moderne, avec les Lumières, la Révolution française et la Déclaration de 1789. Les critiques postcoloniales soulignent que les droits humains reflètent une certaine vision individualiste et sécularisée de la personne humaine, étrangère à d’autres traditions : confucianisme, islam, cultures communautaires africaines… Jack Donnelly parle de « droits humains à saveur occidentale » : leur prétention à l’universalité est perçue comme une forme d’impérialisme moral.</w:t>
      </w:r>
    </w:p>
    <w:p w14:paraId="463BAEA7" w14:textId="77777777" w:rsidR="001E3E87" w:rsidRDefault="005258B2">
      <w:pPr>
        <w:pStyle w:val="Titre3"/>
        <w:spacing w:before="190" w:after="80"/>
      </w:pPr>
      <w:r>
        <w:rPr>
          <w:rFonts w:ascii="Calibri" w:eastAsia="Calibri" w:hAnsi="Calibri" w:cs="Calibri"/>
          <w:b/>
          <w:bCs/>
          <w:i/>
          <w:iCs/>
          <w:color w:val="1A1A1A"/>
          <w:sz w:val="21"/>
          <w:szCs w:val="21"/>
        </w:rPr>
        <w:t>B. Le relativisme culturel et les contestations politiques de l’universalité</w:t>
      </w:r>
    </w:p>
    <w:p w14:paraId="7AA80B0A" w14:textId="77777777" w:rsidR="001E3E87" w:rsidRDefault="005258B2">
      <w:pPr>
        <w:spacing w:after="90" w:line="264" w:lineRule="auto"/>
        <w:jc w:val="both"/>
      </w:pPr>
      <w:r>
        <w:rPr>
          <w:rFonts w:ascii="Calibri" w:eastAsia="Calibri" w:hAnsi="Calibri" w:cs="Calibri"/>
          <w:color w:val="1A1A1A"/>
        </w:rPr>
        <w:t>De nombreux États invoquent leur souveraineté ou leur spécificité culturelle pour rejeter certaines obligations : par exemple, refus de reconnaître les droits des minorités sexuelles, restrictions à la liberté de religion… La Charte africaine des droits de l’homme (1981) insiste sur les devoirs envers la communauté et les valeurs africaines, s’éloignant du modèle libéral occidental. Le « consensus de Bangkok » (1993) exprime le refus de voir imposer des standards universels perçus comme occidentaux.</w:t>
      </w:r>
    </w:p>
    <w:p w14:paraId="2954E9C0" w14:textId="7426EFF7" w:rsidR="001E3E87" w:rsidRPr="00BC2ECB" w:rsidRDefault="005258B2" w:rsidP="00BC2ECB">
      <w:pPr>
        <w:pStyle w:val="Titre3"/>
        <w:spacing w:before="190" w:after="80"/>
        <w:rPr>
          <w:sz w:val="21"/>
          <w:szCs w:val="21"/>
        </w:rPr>
      </w:pPr>
      <w:r w:rsidRPr="00BC2ECB">
        <w:rPr>
          <w:rFonts w:ascii="Calibri" w:eastAsia="Calibri" w:hAnsi="Calibri" w:cs="Calibri"/>
          <w:b/>
          <w:bCs/>
          <w:i/>
          <w:iCs/>
          <w:color w:val="1A1A1A"/>
          <w:sz w:val="21"/>
          <w:szCs w:val="21"/>
        </w:rPr>
        <w:t>II. L’universalité des droits humains est impossible en raison des divergences dans leur interprétation et leur</w:t>
      </w:r>
      <w:r w:rsidR="00BC2ECB" w:rsidRPr="00BC2ECB">
        <w:rPr>
          <w:rFonts w:ascii="Calibri" w:eastAsia="Calibri" w:hAnsi="Calibri" w:cs="Calibri"/>
          <w:b/>
          <w:bCs/>
          <w:i/>
          <w:iCs/>
          <w:color w:val="1A1A1A"/>
          <w:sz w:val="21"/>
          <w:szCs w:val="21"/>
        </w:rPr>
        <w:t xml:space="preserve"> </w:t>
      </w:r>
      <w:r w:rsidRPr="00BC2ECB">
        <w:rPr>
          <w:rFonts w:ascii="Calibri" w:eastAsia="Calibri" w:hAnsi="Calibri" w:cs="Calibri"/>
          <w:b/>
          <w:bCs/>
          <w:i/>
          <w:iCs/>
          <w:color w:val="1A1A1A"/>
          <w:sz w:val="21"/>
          <w:szCs w:val="21"/>
        </w:rPr>
        <w:t>effectivité</w:t>
      </w:r>
    </w:p>
    <w:p w14:paraId="39982CFD" w14:textId="77777777" w:rsidR="001E3E87" w:rsidRDefault="005258B2">
      <w:pPr>
        <w:pStyle w:val="Titre3"/>
        <w:spacing w:before="190" w:after="80"/>
      </w:pPr>
      <w:r>
        <w:rPr>
          <w:rFonts w:ascii="Calibri" w:eastAsia="Calibri" w:hAnsi="Calibri" w:cs="Calibri"/>
          <w:b/>
          <w:bCs/>
          <w:i/>
          <w:iCs/>
          <w:color w:val="1A1A1A"/>
          <w:sz w:val="21"/>
          <w:szCs w:val="21"/>
        </w:rPr>
        <w:t>A. L’absence de consensus sur le contenu et la hiérarchie des droits</w:t>
      </w:r>
    </w:p>
    <w:p w14:paraId="1E02AF44" w14:textId="77777777" w:rsidR="001E3E87" w:rsidRDefault="005258B2">
      <w:pPr>
        <w:spacing w:after="90" w:line="264" w:lineRule="auto"/>
        <w:jc w:val="both"/>
      </w:pPr>
      <w:r>
        <w:rPr>
          <w:rFonts w:ascii="Calibri" w:eastAsia="Calibri" w:hAnsi="Calibri" w:cs="Calibri"/>
          <w:color w:val="1A1A1A"/>
        </w:rPr>
        <w:t xml:space="preserve">La </w:t>
      </w:r>
      <w:r>
        <w:rPr>
          <w:rFonts w:ascii="Calibri" w:eastAsia="Calibri" w:hAnsi="Calibri" w:cs="Calibri"/>
          <w:color w:val="1E88E5"/>
        </w:rPr>
        <w:t>Déclaration universelle des droits de l’homme</w:t>
      </w:r>
      <w:r>
        <w:rPr>
          <w:rFonts w:ascii="Calibri" w:eastAsia="Calibri" w:hAnsi="Calibri" w:cs="Calibri"/>
          <w:color w:val="1A1A1A"/>
        </w:rPr>
        <w:t xml:space="preserve"> énumère un catalogue de droits civils, politiques, économiques et sociaux, mais leur hiérarchisation et leur interprétation varient fortement. Les pays occidentaux mettent l’accent sur les libertés individuelles, tandis que d’autres (pays en développement notamment) insistent sur les droits collectifs, le développement, ou la sécurité. Des droits nouveaux (droit à un environnement sain, droit à la paix) divisent encore plus la communauté internationale.</w:t>
      </w:r>
    </w:p>
    <w:p w14:paraId="680A96DF" w14:textId="77777777" w:rsidR="001E3E87" w:rsidRDefault="005258B2">
      <w:pPr>
        <w:pStyle w:val="Titre3"/>
        <w:spacing w:before="190" w:after="80"/>
      </w:pPr>
      <w:r>
        <w:rPr>
          <w:rFonts w:ascii="Calibri" w:eastAsia="Calibri" w:hAnsi="Calibri" w:cs="Calibri"/>
          <w:b/>
          <w:bCs/>
          <w:i/>
          <w:iCs/>
          <w:color w:val="1A1A1A"/>
          <w:sz w:val="21"/>
          <w:szCs w:val="21"/>
        </w:rPr>
        <w:t>B. Des systèmes juridiques qui traduisent inégalement ces droits</w:t>
      </w:r>
    </w:p>
    <w:p w14:paraId="794ADAAD" w14:textId="77777777" w:rsidR="001E3E87" w:rsidRDefault="005258B2">
      <w:pPr>
        <w:spacing w:after="90" w:line="264" w:lineRule="auto"/>
        <w:jc w:val="both"/>
      </w:pPr>
      <w:r>
        <w:rPr>
          <w:rFonts w:ascii="Calibri" w:eastAsia="Calibri" w:hAnsi="Calibri" w:cs="Calibri"/>
          <w:color w:val="1A1A1A"/>
        </w:rPr>
        <w:t>Les traités internationaux sont souvent signés, mais non ratifiés ou appliqués de manière sélective. Même au sein de l’Europe, des différences importantes existent dans l’interprétation de droits fondamentaux : l’interdiction du voile intégral, par exemple, oppose la France à d’autres États membres du Conseil de l’Europe. La Cour européenne des droits de l’homme reconnaît elle-même une « marge d’appréciation nationale », ce qui revient à relativiser l’universalité.</w:t>
      </w:r>
    </w:p>
    <w:p w14:paraId="47B40DBE" w14:textId="77777777" w:rsidR="001E3E87" w:rsidRDefault="005258B2">
      <w:pPr>
        <w:spacing w:after="90" w:line="264" w:lineRule="auto"/>
        <w:jc w:val="both"/>
      </w:pPr>
      <w:r>
        <w:rPr>
          <w:rFonts w:ascii="Calibri" w:eastAsia="Calibri" w:hAnsi="Calibri" w:cs="Calibri"/>
          <w:color w:val="1A1A1A"/>
        </w:rPr>
        <w:t xml:space="preserve">En conclusion, l’universalisme des droits humains demeure une idéalisation utile, mais intrinsèquement contradictoire avec la diversité culturelle, politique et juridique du monde contemporain. Sous couvert d’universalité, les droits humains sont souvent perçus comme le vecteur d’une vision particulière du monde, historiquement située. Le principe reste </w:t>
      </w:r>
      <w:r>
        <w:rPr>
          <w:rFonts w:ascii="Calibri" w:eastAsia="Calibri" w:hAnsi="Calibri" w:cs="Calibri"/>
          <w:color w:val="1A1A1A"/>
        </w:rPr>
        <w:lastRenderedPageBreak/>
        <w:t>davantage un horizon normatif dont l’effectivité est profondément conditionnée par les rapports de force et les contextes culturels qu’une réalité juridique.</w:t>
      </w:r>
    </w:p>
    <w:p w14:paraId="61800544" w14:textId="77777777" w:rsidR="001E3E87" w:rsidRDefault="005258B2">
      <w:r>
        <w:br w:type="page"/>
      </w:r>
    </w:p>
    <w:p w14:paraId="0756FA57"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6 — COMMENTAIRE DE TEXTE</w:t>
      </w:r>
    </w:p>
    <w:p w14:paraId="2ECEA004" w14:textId="77777777" w:rsidR="001E3E87" w:rsidRDefault="005258B2">
      <w:pPr>
        <w:spacing w:after="160"/>
      </w:pPr>
      <w:r>
        <w:rPr>
          <w:rFonts w:ascii="Calibri" w:eastAsia="Calibri" w:hAnsi="Calibri" w:cs="Calibri"/>
          <w:i/>
          <w:iCs/>
          <w:color w:val="5A5A5A"/>
          <w:sz w:val="18"/>
          <w:szCs w:val="18"/>
        </w:rPr>
        <w:t>Fiche n° 6 — Les régimes  |  PARTIE I. ÉLÉMENTS INTRODUCTIFS  |  Fascicule p. 60</w:t>
      </w:r>
    </w:p>
    <w:p w14:paraId="47DD8D13"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1979E0A8" w14:textId="77777777" w:rsidR="001E3E87" w:rsidRDefault="005258B2">
      <w:pPr>
        <w:pBdr>
          <w:left w:val="single" w:sz="12" w:space="10" w:color="8C1C2B"/>
        </w:pBdr>
        <w:spacing w:after="90" w:line="264" w:lineRule="auto"/>
        <w:ind w:left="260"/>
        <w:jc w:val="both"/>
      </w:pPr>
      <w:r>
        <w:rPr>
          <w:rFonts w:ascii="Calibri" w:eastAsia="Calibri" w:hAnsi="Calibri" w:cs="Calibri"/>
          <w:color w:val="1E88E5"/>
        </w:rPr>
        <w:t>article 211-1</w:t>
      </w:r>
      <w:r>
        <w:rPr>
          <w:rFonts w:ascii="Calibri" w:eastAsia="Calibri" w:hAnsi="Calibri" w:cs="Calibri"/>
          <w:color w:val="1A1A1A"/>
        </w:rPr>
        <w:t xml:space="preserve"> du </w:t>
      </w:r>
      <w:r>
        <w:rPr>
          <w:rFonts w:ascii="Calibri" w:eastAsia="Calibri" w:hAnsi="Calibri" w:cs="Calibri"/>
          <w:color w:val="1E88E5"/>
        </w:rPr>
        <w:t>Code de la sécurité intérieure</w:t>
      </w:r>
      <w:r>
        <w:rPr>
          <w:rFonts w:ascii="Calibri" w:eastAsia="Calibri" w:hAnsi="Calibri" w:cs="Calibri"/>
          <w:color w:val="1A1A1A"/>
        </w:rPr>
        <w:t xml:space="preserve"> (</w:t>
      </w:r>
      <w:r>
        <w:rPr>
          <w:rFonts w:ascii="Calibri" w:eastAsia="Calibri" w:hAnsi="Calibri" w:cs="Calibri"/>
          <w:color w:val="1E88E5"/>
        </w:rPr>
        <w:t>Ordonnance no 2012-351</w:t>
      </w:r>
      <w:r>
        <w:rPr>
          <w:rFonts w:ascii="Calibri" w:eastAsia="Calibri" w:hAnsi="Calibri" w:cs="Calibri"/>
          <w:color w:val="1A1A1A"/>
        </w:rPr>
        <w:t xml:space="preserve"> </w:t>
      </w:r>
      <w:r w:rsidRPr="00414D28">
        <w:rPr>
          <w:rFonts w:ascii="Calibri" w:eastAsia="Calibri" w:hAnsi="Calibri" w:cs="Calibri"/>
          <w:color w:val="1E88C7"/>
        </w:rPr>
        <w:t>du 12 mars 2012</w:t>
      </w:r>
      <w:r>
        <w:rPr>
          <w:rFonts w:ascii="Calibri" w:eastAsia="Calibri" w:hAnsi="Calibri" w:cs="Calibri"/>
          <w:color w:val="1A1A1A"/>
        </w:rPr>
        <w:t>) : « Sont soumis à l’obligation d’une déclaration préalable tous cortèges, défilés et rassemblements de personnes, et, d’une façon générale, toutes manifestations sur la voie publique. Toutefois, sont dispensées de cette déclaration les sorties sur la voie publique conformes aux usages locaux […]. »</w:t>
      </w:r>
    </w:p>
    <w:p w14:paraId="73AC3CD5"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31A6B33D" w14:textId="77777777" w:rsidR="001E3E87" w:rsidRDefault="005258B2">
      <w:pPr>
        <w:spacing w:after="90" w:line="264" w:lineRule="auto"/>
        <w:jc w:val="both"/>
      </w:pPr>
      <w:r>
        <w:rPr>
          <w:rFonts w:ascii="Calibri" w:eastAsia="Calibri" w:hAnsi="Calibri" w:cs="Calibri"/>
          <w:color w:val="1A1A1A"/>
        </w:rPr>
        <w:t xml:space="preserve">Le droit de manifestation et de réunion est un droit fondamental, mais non absolu et il revient normalement au pouvoir législatif d’en réglementer ses aspects. Le texte dont il est question correspond aux deux premiers alinéas d’un article du </w:t>
      </w:r>
      <w:r>
        <w:rPr>
          <w:rFonts w:ascii="Calibri" w:eastAsia="Calibri" w:hAnsi="Calibri" w:cs="Calibri"/>
          <w:color w:val="1E88E5"/>
        </w:rPr>
        <w:t>Code de la sécurité intérieure</w:t>
      </w:r>
      <w:r>
        <w:rPr>
          <w:rFonts w:ascii="Calibri" w:eastAsia="Calibri" w:hAnsi="Calibri" w:cs="Calibri"/>
          <w:color w:val="1A1A1A"/>
        </w:rPr>
        <w:t>, créé par l’ordonnance du 12 mars 2012 (l’ordonnance permettant au pouvoir réglementaire d’agir dans le champ de compétence du pouvoir législatif selon l’</w:t>
      </w:r>
      <w:r>
        <w:rPr>
          <w:rFonts w:ascii="Calibri" w:eastAsia="Calibri" w:hAnsi="Calibri" w:cs="Calibri"/>
          <w:color w:val="1E88E5"/>
        </w:rPr>
        <w:t>article 38</w:t>
      </w:r>
      <w:r>
        <w:rPr>
          <w:rFonts w:ascii="Calibri" w:eastAsia="Calibri" w:hAnsi="Calibri" w:cs="Calibri"/>
          <w:color w:val="1A1A1A"/>
        </w:rPr>
        <w:t xml:space="preserve"> de la Constitution). C’est alors la loi du 14 mars 2011 d’orientation et de programmation pour la performance de la sécurité intérieure qui habilite le gouvernement à légiférer par ordonnance pour la création d’un </w:t>
      </w:r>
      <w:r>
        <w:rPr>
          <w:rFonts w:ascii="Calibri" w:eastAsia="Calibri" w:hAnsi="Calibri" w:cs="Calibri"/>
          <w:color w:val="1E88E5"/>
        </w:rPr>
        <w:t>Code de la sécurité intérieure</w:t>
      </w:r>
      <w:r>
        <w:rPr>
          <w:rFonts w:ascii="Calibri" w:eastAsia="Calibri" w:hAnsi="Calibri" w:cs="Calibri"/>
          <w:color w:val="1A1A1A"/>
        </w:rPr>
        <w:t>. Ce texte met en place la règle générale relative au droit de réunion et de manifestation à savoir son conditionnement à une déclaration auprès des autorités publiques. Cet article démontre une certaine volonté de contrôle de l’exercice des réunions et des manifestations et l’existence d’une tension intrinsèque entre sécurité (comme composante de l’ordre public) et exercice des libertés publiques.</w:t>
      </w:r>
    </w:p>
    <w:p w14:paraId="6336E860"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Cet article est un parfait exemple du régime déclaratif, cherchant à opérer des conciliations entre les différents intérêts et la liberté de manifestation (I), bien que ce régime soit propice aux droits et libertés il peut dériver vers un régime moins protecteur (II).</w:t>
      </w:r>
    </w:p>
    <w:p w14:paraId="4C7D9413" w14:textId="77777777" w:rsidR="001E3E87" w:rsidRDefault="005258B2">
      <w:pPr>
        <w:pStyle w:val="Titre3"/>
        <w:spacing w:before="190" w:after="80"/>
      </w:pPr>
      <w:r>
        <w:rPr>
          <w:rFonts w:ascii="Calibri" w:eastAsia="Calibri" w:hAnsi="Calibri" w:cs="Calibri"/>
          <w:b/>
          <w:bCs/>
          <w:i/>
          <w:iCs/>
          <w:color w:val="1A1A1A"/>
          <w:sz w:val="21"/>
          <w:szCs w:val="21"/>
        </w:rPr>
        <w:t>I. Une déclaration en vue d’une conciliation</w:t>
      </w:r>
    </w:p>
    <w:p w14:paraId="08A677A5" w14:textId="77777777" w:rsidR="001E3E87" w:rsidRDefault="005258B2">
      <w:pPr>
        <w:pStyle w:val="Titre3"/>
        <w:spacing w:before="190" w:after="80"/>
      </w:pPr>
      <w:r>
        <w:rPr>
          <w:rFonts w:ascii="Calibri" w:eastAsia="Calibri" w:hAnsi="Calibri" w:cs="Calibri"/>
          <w:b/>
          <w:bCs/>
          <w:i/>
          <w:iCs/>
          <w:color w:val="1A1A1A"/>
          <w:sz w:val="21"/>
          <w:szCs w:val="21"/>
        </w:rPr>
        <w:t>A. La création d’un régime déclaratif pour les manifestations</w:t>
      </w:r>
    </w:p>
    <w:p w14:paraId="7548A724" w14:textId="77777777" w:rsidR="001E3E87" w:rsidRDefault="005258B2">
      <w:pPr>
        <w:spacing w:after="90" w:line="264" w:lineRule="auto"/>
        <w:jc w:val="both"/>
      </w:pPr>
      <w:r>
        <w:rPr>
          <w:rFonts w:ascii="Calibri" w:eastAsia="Calibri" w:hAnsi="Calibri" w:cs="Calibri"/>
          <w:color w:val="1A1A1A"/>
        </w:rPr>
        <w:t>L’article indique une « obligation d’une déclaration préalable » de toute réunion ou manifestation sur la voie publique. L’article prévoit donc un régime déclaratif, à savoir un régime d’enregistrement de l’activité. Il se distingue des régimes répressifs (plus libéraux) et des régimes préventifs (plus sécuritaires) par une approche intermédiaire qui postule le caractère licite a priori de la manifestation, mais soumise à déclaration. Dans ce cadre, l’article respecte le précepte énoncé dans les conclusions du commissaire du Gouvernement Corneille dans l’arrêt Baldy rendu par le Conseil d’État le 10 août 1917 à savoir que « la liberté est la règle et la restriction de police l’exception ». L’obligation énoncée dans l’article a également un corolaire : ne pas s’y conformer est puni par l’</w:t>
      </w:r>
      <w:r>
        <w:rPr>
          <w:rFonts w:ascii="Calibri" w:eastAsia="Calibri" w:hAnsi="Calibri" w:cs="Calibri"/>
          <w:color w:val="1E88E5"/>
        </w:rPr>
        <w:t>article 431-9</w:t>
      </w:r>
      <w:r>
        <w:rPr>
          <w:rFonts w:ascii="Calibri" w:eastAsia="Calibri" w:hAnsi="Calibri" w:cs="Calibri"/>
          <w:color w:val="1A1A1A"/>
        </w:rPr>
        <w:t xml:space="preserve"> du </w:t>
      </w:r>
      <w:r>
        <w:rPr>
          <w:rFonts w:ascii="Calibri" w:eastAsia="Calibri" w:hAnsi="Calibri" w:cs="Calibri"/>
          <w:color w:val="1E88E5"/>
        </w:rPr>
        <w:t>Code pénal</w:t>
      </w:r>
      <w:r>
        <w:rPr>
          <w:rFonts w:ascii="Calibri" w:eastAsia="Calibri" w:hAnsi="Calibri" w:cs="Calibri"/>
          <w:color w:val="1A1A1A"/>
        </w:rPr>
        <w:t>.</w:t>
      </w:r>
    </w:p>
    <w:p w14:paraId="7F4104BD" w14:textId="77777777" w:rsidR="001E3E87" w:rsidRDefault="005258B2">
      <w:pPr>
        <w:pStyle w:val="Titre3"/>
        <w:spacing w:before="190" w:after="80"/>
      </w:pPr>
      <w:r>
        <w:rPr>
          <w:rFonts w:ascii="Calibri" w:eastAsia="Calibri" w:hAnsi="Calibri" w:cs="Calibri"/>
          <w:b/>
          <w:bCs/>
          <w:i/>
          <w:iCs/>
          <w:color w:val="1A1A1A"/>
          <w:sz w:val="21"/>
          <w:szCs w:val="21"/>
        </w:rPr>
        <w:t>B. Une obligation sous-jacente de protection de l’ordre public</w:t>
      </w:r>
    </w:p>
    <w:p w14:paraId="7C5FBFD1" w14:textId="77777777" w:rsidR="001E3E87" w:rsidRDefault="005258B2">
      <w:pPr>
        <w:spacing w:after="90" w:line="264" w:lineRule="auto"/>
        <w:jc w:val="both"/>
      </w:pPr>
      <w:r>
        <w:rPr>
          <w:rFonts w:ascii="Calibri" w:eastAsia="Calibri" w:hAnsi="Calibri" w:cs="Calibri"/>
          <w:color w:val="1A1A1A"/>
        </w:rPr>
        <w:t>L’obligation énoncée dans l’article permet de protéger l’ordre public notamment :</w:t>
      </w:r>
    </w:p>
    <w:p w14:paraId="004EAA31"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 tranquillité et la sûreté notamment lorsqu’il est lu en parallèle de l’</w:t>
      </w:r>
      <w:r>
        <w:rPr>
          <w:rFonts w:ascii="Calibri" w:eastAsia="Calibri" w:hAnsi="Calibri" w:cs="Calibri"/>
          <w:color w:val="1E88E5"/>
        </w:rPr>
        <w:t>article L. 211-4</w:t>
      </w:r>
      <w:r>
        <w:rPr>
          <w:rFonts w:ascii="Calibri" w:eastAsia="Calibri" w:hAnsi="Calibri" w:cs="Calibri"/>
          <w:color w:val="1A1A1A"/>
        </w:rPr>
        <w:t xml:space="preserve"> du </w:t>
      </w:r>
      <w:r>
        <w:rPr>
          <w:rFonts w:ascii="Calibri" w:eastAsia="Calibri" w:hAnsi="Calibri" w:cs="Calibri"/>
          <w:color w:val="1E88E5"/>
        </w:rPr>
        <w:t>Code de la sécurité intérieure</w:t>
      </w:r>
      <w:r>
        <w:rPr>
          <w:rFonts w:ascii="Calibri" w:eastAsia="Calibri" w:hAnsi="Calibri" w:cs="Calibri"/>
          <w:color w:val="1A1A1A"/>
        </w:rPr>
        <w:t>.</w:t>
      </w:r>
    </w:p>
    <w:p w14:paraId="64E3D79D"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Toute interdiction de la manifestation peut légitimement faire l’objet d’un recours en référé-liberté devant le juge administratif. Cet article démontre l’existence d’une forme de conciliation :</w:t>
      </w:r>
    </w:p>
    <w:p w14:paraId="13D39C9F"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 préservation de l’ordre public qui est un objectif à valeur constitutionnelle (</w:t>
      </w:r>
      <w:r>
        <w:rPr>
          <w:rFonts w:ascii="Calibri" w:eastAsia="Calibri" w:hAnsi="Calibri" w:cs="Calibri"/>
          <w:color w:val="E91E63"/>
        </w:rPr>
        <w:t xml:space="preserve">Cons. const., déc. no 94- 352 </w:t>
      </w:r>
      <w:r w:rsidRPr="007B66F6">
        <w:rPr>
          <w:rFonts w:ascii="Calibri" w:eastAsia="Calibri" w:hAnsi="Calibri" w:cs="Calibri"/>
          <w:color w:val="FF1393"/>
        </w:rPr>
        <w:t>DC, 18 janvier 1995</w:t>
      </w:r>
      <w:r>
        <w:rPr>
          <w:rFonts w:ascii="Calibri" w:eastAsia="Calibri" w:hAnsi="Calibri" w:cs="Calibri"/>
          <w:color w:val="1A1A1A"/>
        </w:rPr>
        <w:t xml:space="preserve">, </w:t>
      </w:r>
      <w:r w:rsidRPr="007B66F6">
        <w:rPr>
          <w:rFonts w:ascii="Calibri" w:eastAsia="Calibri" w:hAnsi="Calibri" w:cs="Calibri"/>
          <w:color w:val="1E88C7"/>
        </w:rPr>
        <w:t>Loi d’orientation et de programmation relative à la sécurité</w:t>
      </w:r>
      <w:r>
        <w:rPr>
          <w:rFonts w:ascii="Calibri" w:eastAsia="Calibri" w:hAnsi="Calibri" w:cs="Calibri"/>
          <w:color w:val="1A1A1A"/>
        </w:rPr>
        <w:t>).</w:t>
      </w:r>
    </w:p>
    <w:p w14:paraId="382C47EB"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 droit de réunion et de manifestation, possédant des liens importants avec la liberté d’expression et donc fondamentale dans une société démocratique, possédant une valeur constitutionnelle indirecte (</w:t>
      </w:r>
      <w:r>
        <w:rPr>
          <w:rFonts w:ascii="Calibri" w:eastAsia="Calibri" w:hAnsi="Calibri" w:cs="Calibri"/>
          <w:color w:val="E91E63"/>
        </w:rPr>
        <w:t xml:space="preserve">Cons. const., déc. no 93-345 </w:t>
      </w:r>
      <w:r w:rsidRPr="00A5395D">
        <w:rPr>
          <w:rFonts w:ascii="Calibri" w:eastAsia="Calibri" w:hAnsi="Calibri" w:cs="Calibri"/>
          <w:color w:val="FF1393"/>
        </w:rPr>
        <w:t>DC, 29 juillet 1994</w:t>
      </w:r>
      <w:r>
        <w:rPr>
          <w:rFonts w:ascii="Calibri" w:eastAsia="Calibri" w:hAnsi="Calibri" w:cs="Calibri"/>
          <w:color w:val="1A1A1A"/>
        </w:rPr>
        <w:t xml:space="preserve">, </w:t>
      </w:r>
      <w:r w:rsidRPr="00A5395D">
        <w:rPr>
          <w:rFonts w:ascii="Calibri" w:eastAsia="Calibri" w:hAnsi="Calibri" w:cs="Calibri"/>
          <w:color w:val="1E88C7"/>
        </w:rPr>
        <w:t xml:space="preserve">Loi relative à l’emploi de la langue française </w:t>
      </w:r>
      <w:r>
        <w:rPr>
          <w:rFonts w:ascii="Calibri" w:eastAsia="Calibri" w:hAnsi="Calibri" w:cs="Calibri"/>
          <w:color w:val="1A1A1A"/>
        </w:rPr>
        <w:t xml:space="preserve">et </w:t>
      </w:r>
      <w:r w:rsidRPr="00A5395D">
        <w:rPr>
          <w:rFonts w:ascii="Calibri" w:eastAsia="Calibri" w:hAnsi="Calibri" w:cs="Calibri"/>
          <w:color w:val="E91D62"/>
        </w:rPr>
        <w:t>déc. no 2019-780 DC, 4 avril 2019</w:t>
      </w:r>
      <w:r>
        <w:rPr>
          <w:rFonts w:ascii="Calibri" w:eastAsia="Calibri" w:hAnsi="Calibri" w:cs="Calibri"/>
          <w:color w:val="1A1A1A"/>
        </w:rPr>
        <w:t>, Loi visant à renforcer et garantir le maintien de l’ordre public lors des manifestations, par référence à l’</w:t>
      </w:r>
      <w:r>
        <w:rPr>
          <w:rFonts w:ascii="Calibri" w:eastAsia="Calibri" w:hAnsi="Calibri" w:cs="Calibri"/>
          <w:color w:val="1E88E5"/>
        </w:rPr>
        <w:t>article 11</w:t>
      </w:r>
      <w:r>
        <w:rPr>
          <w:rFonts w:ascii="Calibri" w:eastAsia="Calibri" w:hAnsi="Calibri" w:cs="Calibri"/>
          <w:color w:val="1A1A1A"/>
        </w:rPr>
        <w:t xml:space="preserve"> de la </w:t>
      </w:r>
      <w:r>
        <w:rPr>
          <w:rFonts w:ascii="Calibri" w:eastAsia="Calibri" w:hAnsi="Calibri" w:cs="Calibri"/>
          <w:color w:val="1E88E5"/>
        </w:rPr>
        <w:t>Déclaration des droits de l’homme et du citoyen</w:t>
      </w:r>
      <w:r>
        <w:rPr>
          <w:rFonts w:ascii="Calibri" w:eastAsia="Calibri" w:hAnsi="Calibri" w:cs="Calibri"/>
          <w:color w:val="1A1A1A"/>
        </w:rPr>
        <w:t>) et possédant une valeur conventionnelle largement reconnue dans les instruments normatifs internationaux (</w:t>
      </w:r>
      <w:r>
        <w:rPr>
          <w:rFonts w:ascii="Calibri" w:eastAsia="Calibri" w:hAnsi="Calibri" w:cs="Calibri"/>
          <w:color w:val="1E88E5"/>
        </w:rPr>
        <w:t>art. 10 et 11</w:t>
      </w:r>
      <w:r>
        <w:rPr>
          <w:rFonts w:ascii="Calibri" w:eastAsia="Calibri" w:hAnsi="Calibri" w:cs="Calibri"/>
          <w:color w:val="1A1A1A"/>
        </w:rPr>
        <w:t xml:space="preserve"> de la </w:t>
      </w:r>
      <w:r>
        <w:rPr>
          <w:rFonts w:ascii="Calibri" w:eastAsia="Calibri" w:hAnsi="Calibri" w:cs="Calibri"/>
          <w:color w:val="1E88E5"/>
        </w:rPr>
        <w:t>Convention européenne des droits de l’homme</w:t>
      </w:r>
      <w:r>
        <w:rPr>
          <w:rFonts w:ascii="Calibri" w:eastAsia="Calibri" w:hAnsi="Calibri" w:cs="Calibri"/>
          <w:color w:val="1A1A1A"/>
        </w:rPr>
        <w:t xml:space="preserve">, et </w:t>
      </w:r>
      <w:r>
        <w:rPr>
          <w:rFonts w:ascii="Calibri" w:eastAsia="Calibri" w:hAnsi="Calibri" w:cs="Calibri"/>
          <w:color w:val="1E88E5"/>
        </w:rPr>
        <w:t>articles 11 et 12</w:t>
      </w:r>
      <w:r>
        <w:rPr>
          <w:rFonts w:ascii="Calibri" w:eastAsia="Calibri" w:hAnsi="Calibri" w:cs="Calibri"/>
          <w:color w:val="1A1A1A"/>
        </w:rPr>
        <w:t xml:space="preserve"> de la </w:t>
      </w:r>
      <w:r>
        <w:rPr>
          <w:rFonts w:ascii="Calibri" w:eastAsia="Calibri" w:hAnsi="Calibri" w:cs="Calibri"/>
          <w:color w:val="1E88E5"/>
        </w:rPr>
        <w:t>Charte des droits fondamentaux de l’Union européenne</w:t>
      </w:r>
      <w:r>
        <w:rPr>
          <w:rFonts w:ascii="Calibri" w:eastAsia="Calibri" w:hAnsi="Calibri" w:cs="Calibri"/>
          <w:color w:val="1A1A1A"/>
        </w:rPr>
        <w:t>). L’interdiction ne peut avoir lieu qu’en cas de risque de troubles à l’ordre public (en cas de danger réel), selon l’</w:t>
      </w:r>
      <w:r>
        <w:rPr>
          <w:rFonts w:ascii="Calibri" w:eastAsia="Calibri" w:hAnsi="Calibri" w:cs="Calibri"/>
          <w:color w:val="1E88E5"/>
        </w:rPr>
        <w:t>article 211-4</w:t>
      </w:r>
      <w:r>
        <w:rPr>
          <w:rFonts w:ascii="Calibri" w:eastAsia="Calibri" w:hAnsi="Calibri" w:cs="Calibri"/>
          <w:color w:val="1A1A1A"/>
        </w:rPr>
        <w:t xml:space="preserve"> du </w:t>
      </w:r>
      <w:r>
        <w:rPr>
          <w:rFonts w:ascii="Calibri" w:eastAsia="Calibri" w:hAnsi="Calibri" w:cs="Calibri"/>
          <w:color w:val="1E88E5"/>
        </w:rPr>
        <w:t>Code de la sécurité intérieure</w:t>
      </w:r>
      <w:r>
        <w:rPr>
          <w:rFonts w:ascii="Calibri" w:eastAsia="Calibri" w:hAnsi="Calibri" w:cs="Calibri"/>
          <w:color w:val="1A1A1A"/>
        </w:rPr>
        <w:t xml:space="preserve">, cela devant rester exceptionnel. Le régime permet également de prévoir toute possibilité de débordement et donc </w:t>
      </w:r>
      <w:r>
        <w:rPr>
          <w:rFonts w:ascii="Calibri" w:eastAsia="Calibri" w:hAnsi="Calibri" w:cs="Calibri"/>
          <w:color w:val="1A1A1A"/>
        </w:rPr>
        <w:lastRenderedPageBreak/>
        <w:t>d’abus de cette liberté en prévoyant des dispositifs de sécurité (d’où la nécessité informative) et l’obligation qui en est même faite et constitue un juste milieu dans la conciliation des intérêts.</w:t>
      </w:r>
    </w:p>
    <w:p w14:paraId="15CFD924" w14:textId="77777777" w:rsidR="001E3E87" w:rsidRDefault="005258B2">
      <w:pPr>
        <w:pStyle w:val="Titre3"/>
        <w:spacing w:before="190" w:after="80"/>
      </w:pPr>
      <w:r>
        <w:rPr>
          <w:rFonts w:ascii="Calibri" w:eastAsia="Calibri" w:hAnsi="Calibri" w:cs="Calibri"/>
          <w:b/>
          <w:bCs/>
          <w:i/>
          <w:iCs/>
          <w:color w:val="1A1A1A"/>
          <w:sz w:val="21"/>
          <w:szCs w:val="21"/>
        </w:rPr>
        <w:t>II. Les limites du régime déclaratif du droit de manifester</w:t>
      </w:r>
    </w:p>
    <w:p w14:paraId="61C9FA97" w14:textId="77777777" w:rsidR="001E3E87" w:rsidRDefault="005258B2">
      <w:pPr>
        <w:pStyle w:val="Titre3"/>
        <w:spacing w:before="190" w:after="80"/>
      </w:pPr>
      <w:r>
        <w:rPr>
          <w:rFonts w:ascii="Calibri" w:eastAsia="Calibri" w:hAnsi="Calibri" w:cs="Calibri"/>
          <w:b/>
          <w:bCs/>
          <w:i/>
          <w:iCs/>
          <w:color w:val="1A1A1A"/>
          <w:sz w:val="21"/>
          <w:szCs w:val="21"/>
        </w:rPr>
        <w:t>A. Les limites traditionnelles</w:t>
      </w:r>
    </w:p>
    <w:p w14:paraId="1C9F5BC2" w14:textId="77777777" w:rsidR="001E3E87" w:rsidRDefault="005258B2">
      <w:pPr>
        <w:spacing w:after="90" w:line="264" w:lineRule="auto"/>
        <w:jc w:val="both"/>
      </w:pPr>
      <w:r>
        <w:rPr>
          <w:rFonts w:ascii="Calibri" w:eastAsia="Calibri" w:hAnsi="Calibri" w:cs="Calibri"/>
          <w:color w:val="1A1A1A"/>
        </w:rPr>
        <w:t>La notion d’« usages locaux » correspond à des règles non écrites à savoir des coutumes locales s’appliquant à tous ou des usages propres s’adressant à certaines catégories (agriculteurs, particuliers…) et fait référence ici à des manifestations traditionnelles. Leur caractère coutumier et traditionnel fait de ces manifestations des événements bien installés dans le paysage social, ce qui prévient en théorie tout risque à l’ordre public. La manifestation est coutumière donc connue (ce qui rend superflue sa déclaration à titre informatif aux autorités), mais également acceptée tacitement et ne troublant pas outre mesure la tranquillité publique, voire participant aux valeurs nationales et à l’état de paix sociale. Cependant, certaines conditions peuvent tout de même conduire à interdire préventivement certains usages locaux à l’instar de l’arrêté préfectoral du 20 juin 2023 de la Préfète de la Région Grand-Est interdisant entre autres les feux de la St Jean pour risques environnementaux, montrant que ce régime n’est pas absolu. Les « usages locaux » n’étant cependant pas définis clairement, ils peuvent faire l’objet d’une interprétation par les autorités. Pour ces usages, il s’agit d’un régime répressif, permettant une protection plus étendue et faisant une distinction dans les protections entre manifestations traditionnelles (davantage protégées par le système répressif) et manifestations autres concernant des revendications (soumises à un régime plus contraignant), ce qui peut questionner la légitimité de cette distinction.</w:t>
      </w:r>
    </w:p>
    <w:p w14:paraId="288FE058" w14:textId="77777777" w:rsidR="001E3E87" w:rsidRDefault="005258B2">
      <w:pPr>
        <w:pStyle w:val="Titre3"/>
        <w:spacing w:before="190" w:after="80"/>
      </w:pPr>
      <w:r>
        <w:rPr>
          <w:rFonts w:ascii="Calibri" w:eastAsia="Calibri" w:hAnsi="Calibri" w:cs="Calibri"/>
          <w:b/>
          <w:bCs/>
          <w:i/>
          <w:iCs/>
          <w:color w:val="1A1A1A"/>
          <w:sz w:val="21"/>
          <w:szCs w:val="21"/>
        </w:rPr>
        <w:t>B. Le risque du basculement vers un régime préventif</w:t>
      </w:r>
    </w:p>
    <w:p w14:paraId="329E52A8" w14:textId="77777777" w:rsidR="001E3E87" w:rsidRDefault="005258B2">
      <w:pPr>
        <w:spacing w:after="90" w:line="264" w:lineRule="auto"/>
        <w:jc w:val="both"/>
      </w:pPr>
      <w:r>
        <w:rPr>
          <w:rFonts w:ascii="Calibri" w:eastAsia="Calibri" w:hAnsi="Calibri" w:cs="Calibri"/>
          <w:color w:val="1A1A1A"/>
        </w:rPr>
        <w:t>Malgré ce que présente cet article, à savoir une appréhension non restrictive du droit de réunion et de manifestation, cette « règle » générale a pu devenir résiduelle et se transformer en régime préventif lors de l’état d’urgence sanitaire :</w:t>
      </w:r>
    </w:p>
    <w:p w14:paraId="7ED5C3D4" w14:textId="77777777" w:rsidR="001E3E87" w:rsidRDefault="005258B2">
      <w:pPr>
        <w:pStyle w:val="Paragraphedeliste"/>
        <w:numPr>
          <w:ilvl w:val="0"/>
          <w:numId w:val="2"/>
        </w:numPr>
        <w:spacing w:after="70" w:line="264" w:lineRule="auto"/>
        <w:jc w:val="both"/>
      </w:pPr>
      <w:r w:rsidRPr="00A5395D">
        <w:rPr>
          <w:rFonts w:ascii="Calibri" w:eastAsia="Calibri" w:hAnsi="Calibri" w:cs="Calibri"/>
          <w:color w:val="1E88C7"/>
        </w:rPr>
        <w:t>Art. L. 3131-15</w:t>
      </w:r>
      <w:r>
        <w:rPr>
          <w:rFonts w:ascii="Calibri" w:eastAsia="Calibri" w:hAnsi="Calibri" w:cs="Calibri"/>
          <w:color w:val="1A1A1A"/>
        </w:rPr>
        <w:t xml:space="preserve"> </w:t>
      </w:r>
      <w:r>
        <w:rPr>
          <w:rFonts w:ascii="Calibri" w:eastAsia="Calibri" w:hAnsi="Calibri" w:cs="Calibri"/>
          <w:color w:val="1E88E5"/>
        </w:rPr>
        <w:t>Code de la santé publique</w:t>
      </w:r>
      <w:r>
        <w:rPr>
          <w:rFonts w:ascii="Calibri" w:eastAsia="Calibri" w:hAnsi="Calibri" w:cs="Calibri"/>
          <w:color w:val="1A1A1A"/>
        </w:rPr>
        <w:t>.</w:t>
      </w:r>
    </w:p>
    <w:p w14:paraId="69C6A32F"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 décret du 20 mai 2020, finalement abrogé par le décret du 10 juillet 2020, transformait le régime énoncé dans l’</w:t>
      </w:r>
      <w:r>
        <w:rPr>
          <w:rFonts w:ascii="Calibri" w:eastAsia="Calibri" w:hAnsi="Calibri" w:cs="Calibri"/>
          <w:color w:val="1E88E5"/>
        </w:rPr>
        <w:t>article 211-1</w:t>
      </w:r>
      <w:r>
        <w:rPr>
          <w:rFonts w:ascii="Calibri" w:eastAsia="Calibri" w:hAnsi="Calibri" w:cs="Calibri"/>
          <w:color w:val="1A1A1A"/>
        </w:rPr>
        <w:t xml:space="preserve"> du </w:t>
      </w:r>
      <w:r>
        <w:rPr>
          <w:rFonts w:ascii="Calibri" w:eastAsia="Calibri" w:hAnsi="Calibri" w:cs="Calibri"/>
          <w:color w:val="1E88E5"/>
        </w:rPr>
        <w:t>Code de la sécurité intérieure</w:t>
      </w:r>
      <w:r>
        <w:rPr>
          <w:rFonts w:ascii="Calibri" w:eastAsia="Calibri" w:hAnsi="Calibri" w:cs="Calibri"/>
          <w:color w:val="1A1A1A"/>
        </w:rPr>
        <w:t xml:space="preserve"> en régime préventif : ce qui a été sanctionné par le juge administratif, grâce à un contrôle entier, considérant qu’il ne s’agissait pas d’une mesure « adaptée, proportionnée et nécessaire » (</w:t>
      </w:r>
      <w:r>
        <w:rPr>
          <w:rFonts w:ascii="Calibri" w:eastAsia="Calibri" w:hAnsi="Calibri" w:cs="Calibri"/>
          <w:color w:val="E91E63"/>
        </w:rPr>
        <w:t>CE, ord., 13 juin 2020, Ligue des droits de l’homme, CGT-Travail et autres, no 440846</w:t>
      </w:r>
      <w:r>
        <w:rPr>
          <w:rFonts w:ascii="Calibri" w:eastAsia="Calibri" w:hAnsi="Calibri" w:cs="Calibri"/>
          <w:color w:val="1A1A1A"/>
        </w:rPr>
        <w:t xml:space="preserve">, 440856, 441015). Le juge permet alors de protéger la liberté de manifester en empêchant son changement de régime, pouvant s’apparenter à une mesure liberticide et ainsi préserver cet article comme étant la règle générale. Malgré cela, d’autres mesures cherchent à contrôler les manifestations notamment la </w:t>
      </w:r>
      <w:r w:rsidRPr="00A5395D">
        <w:rPr>
          <w:rFonts w:ascii="Calibri" w:eastAsia="Calibri" w:hAnsi="Calibri" w:cs="Calibri"/>
          <w:color w:val="1E88C7"/>
        </w:rPr>
        <w:t xml:space="preserve">loi du 10 avril 2019 </w:t>
      </w:r>
      <w:r>
        <w:rPr>
          <w:rFonts w:ascii="Calibri" w:eastAsia="Calibri" w:hAnsi="Calibri" w:cs="Calibri"/>
          <w:color w:val="1A1A1A"/>
        </w:rPr>
        <w:t>visant à renforcer et garantir le maintien de l’ordre public lors des manifestations et autorisant les forces de l’ordre à effectuer divers contrôles, ou les règles relatives à la dissimulation du visage dans l’espace public (</w:t>
      </w:r>
      <w:r>
        <w:rPr>
          <w:rFonts w:ascii="Calibri" w:eastAsia="Calibri" w:hAnsi="Calibri" w:cs="Calibri"/>
          <w:color w:val="1E88E5"/>
        </w:rPr>
        <w:t>art. 431-9-1 et R645-14</w:t>
      </w:r>
      <w:r>
        <w:rPr>
          <w:rFonts w:ascii="Calibri" w:eastAsia="Calibri" w:hAnsi="Calibri" w:cs="Calibri"/>
          <w:color w:val="1A1A1A"/>
        </w:rPr>
        <w:t xml:space="preserve"> du </w:t>
      </w:r>
      <w:r>
        <w:rPr>
          <w:rFonts w:ascii="Calibri" w:eastAsia="Calibri" w:hAnsi="Calibri" w:cs="Calibri"/>
          <w:color w:val="1E88E5"/>
        </w:rPr>
        <w:t>Code pénal</w:t>
      </w:r>
      <w:r>
        <w:rPr>
          <w:rFonts w:ascii="Calibri" w:eastAsia="Calibri" w:hAnsi="Calibri" w:cs="Calibri"/>
          <w:color w:val="1A1A1A"/>
        </w:rPr>
        <w:t>), démontrant une certaine méfiance des autorités publiques à l’égard des manifestations et donc une nécessité de contrôle renforcé du juge.</w:t>
      </w:r>
    </w:p>
    <w:p w14:paraId="046F35FE" w14:textId="77777777" w:rsidR="001E3E87" w:rsidRDefault="005258B2">
      <w:pPr>
        <w:spacing w:after="90" w:line="264" w:lineRule="auto"/>
        <w:jc w:val="both"/>
      </w:pPr>
      <w:r>
        <w:rPr>
          <w:rFonts w:ascii="Calibri" w:eastAsia="Calibri" w:hAnsi="Calibri" w:cs="Calibri"/>
          <w:color w:val="1A1A1A"/>
        </w:rPr>
        <w:t>En conclusion, le régime déclaratif concernant l’autorisation des manifestations est un régime protecteur des libertés grâce à l’équilibre trouvé avec la protection de l’ordre public.</w:t>
      </w:r>
    </w:p>
    <w:p w14:paraId="397704AD" w14:textId="77777777" w:rsidR="001E3E87" w:rsidRDefault="005258B2">
      <w:r>
        <w:br w:type="page"/>
      </w:r>
    </w:p>
    <w:p w14:paraId="25FB2B8E"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7 — DISSERTATION</w:t>
      </w:r>
    </w:p>
    <w:p w14:paraId="2FC29DBC" w14:textId="77777777" w:rsidR="001E3E87" w:rsidRDefault="005258B2">
      <w:pPr>
        <w:spacing w:after="160"/>
      </w:pPr>
      <w:r>
        <w:rPr>
          <w:rFonts w:ascii="Calibri" w:eastAsia="Calibri" w:hAnsi="Calibri" w:cs="Calibri"/>
          <w:i/>
          <w:iCs/>
          <w:color w:val="5A5A5A"/>
          <w:sz w:val="18"/>
          <w:szCs w:val="18"/>
        </w:rPr>
        <w:t>Fiche n° 7 — Limitations et états d’exception  |  PARTIE I. ÉLÉMENTS INTRODUCTIFS  |  Fascicule p. 72</w:t>
      </w:r>
    </w:p>
    <w:p w14:paraId="582A0325"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5EC79814"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Les limitations des droits humains en période d’exception constituent-elles réellement des exceptions ?</w:t>
      </w:r>
    </w:p>
    <w:p w14:paraId="2A2217DA"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78F9BED7" w14:textId="77777777" w:rsidR="001E3E87" w:rsidRDefault="005258B2">
      <w:pPr>
        <w:spacing w:after="90" w:line="264" w:lineRule="auto"/>
        <w:jc w:val="both"/>
      </w:pPr>
      <w:r>
        <w:rPr>
          <w:rFonts w:ascii="Calibri" w:eastAsia="Calibri" w:hAnsi="Calibri" w:cs="Calibri"/>
          <w:color w:val="1A1A1A"/>
        </w:rPr>
        <w:t>L’</w:t>
      </w:r>
      <w:r>
        <w:rPr>
          <w:rFonts w:ascii="Calibri" w:eastAsia="Calibri" w:hAnsi="Calibri" w:cs="Calibri"/>
          <w:color w:val="1E88E5"/>
        </w:rPr>
        <w:t>article L100-2</w:t>
      </w:r>
      <w:r>
        <w:rPr>
          <w:rFonts w:ascii="Calibri" w:eastAsia="Calibri" w:hAnsi="Calibri" w:cs="Calibri"/>
          <w:color w:val="1A1A1A"/>
        </w:rPr>
        <w:t xml:space="preserve"> du Code des relations entre le public et l’administration prévoit expressément que l’administration « respecte le principe de légalité ». Certaines situations conduisent à la mise en œuvre d’une légalité de crise, impliquant des limitations à l’exercice de certains droits humains.</w:t>
      </w:r>
    </w:p>
    <w:p w14:paraId="201B243C" w14:textId="77777777" w:rsidR="001E3E87" w:rsidRDefault="005258B2">
      <w:pPr>
        <w:spacing w:after="90" w:line="264" w:lineRule="auto"/>
        <w:jc w:val="both"/>
      </w:pPr>
      <w:r>
        <w:rPr>
          <w:rFonts w:ascii="Calibri" w:eastAsia="Calibri" w:hAnsi="Calibri" w:cs="Calibri"/>
          <w:color w:val="1A1A1A"/>
        </w:rPr>
        <w:t>Les régimes d’exception accroissent les prérogatives des autorités publiques sur le fondement d’une législation spécifique, dérogeant au droit commun en temps normal. Le droit français contient une diversité de régimes d’exception reposant sur des fondements juridiques pluraux.</w:t>
      </w:r>
    </w:p>
    <w:p w14:paraId="4C49DB73" w14:textId="77777777" w:rsidR="001E3E87" w:rsidRDefault="005258B2">
      <w:pPr>
        <w:spacing w:after="90" w:line="264" w:lineRule="auto"/>
        <w:jc w:val="both"/>
      </w:pPr>
      <w:r>
        <w:rPr>
          <w:rFonts w:ascii="Calibri" w:eastAsia="Calibri" w:hAnsi="Calibri" w:cs="Calibri"/>
          <w:color w:val="1A1A1A"/>
        </w:rPr>
        <w:t>Ces régimes ont vocation à s’étendre sur une durée déterminée. Or, le XXIe siècle est marqué par la succession de plusieurs états d’urgence, ce qui interroge leur caractère exceptionnel. En outre, un certain nombre de dispositions exceptionnelles ont été intégrées dans le droit commun, ce qui accentue cette interrogation.</w:t>
      </w:r>
    </w:p>
    <w:p w14:paraId="4874B9D2"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Si des limitations de droits humains apparaissent nécessaires en période d’exception (I), force est de constater que ces limitations tendent à se normaliser (II).</w:t>
      </w:r>
    </w:p>
    <w:p w14:paraId="41098E79" w14:textId="77777777" w:rsidR="001E3E87" w:rsidRDefault="005258B2">
      <w:pPr>
        <w:pStyle w:val="Titre3"/>
        <w:spacing w:before="190" w:after="80"/>
      </w:pPr>
      <w:r>
        <w:rPr>
          <w:rFonts w:ascii="Calibri" w:eastAsia="Calibri" w:hAnsi="Calibri" w:cs="Calibri"/>
          <w:b/>
          <w:bCs/>
          <w:i/>
          <w:iCs/>
          <w:color w:val="1A1A1A"/>
          <w:sz w:val="21"/>
          <w:szCs w:val="21"/>
        </w:rPr>
        <w:t>I. La nécessité de limiter temporairement des droits humains en période d’exception</w:t>
      </w:r>
    </w:p>
    <w:p w14:paraId="26AB81FD" w14:textId="77777777" w:rsidR="001E3E87" w:rsidRDefault="005258B2">
      <w:pPr>
        <w:pStyle w:val="Titre3"/>
        <w:spacing w:before="190" w:after="80"/>
      </w:pPr>
      <w:r>
        <w:rPr>
          <w:rFonts w:ascii="Calibri" w:eastAsia="Calibri" w:hAnsi="Calibri" w:cs="Calibri"/>
          <w:b/>
          <w:bCs/>
          <w:i/>
          <w:iCs/>
          <w:color w:val="1A1A1A"/>
          <w:sz w:val="21"/>
          <w:szCs w:val="21"/>
        </w:rPr>
        <w:t>A. Des limitations aux droits justifiées par des situations exceptionnelles</w:t>
      </w:r>
    </w:p>
    <w:p w14:paraId="1CA68C12" w14:textId="77777777" w:rsidR="001E3E87" w:rsidRDefault="005258B2">
      <w:pPr>
        <w:spacing w:after="90" w:line="264" w:lineRule="auto"/>
        <w:jc w:val="both"/>
      </w:pPr>
      <w:r>
        <w:rPr>
          <w:rFonts w:ascii="Calibri" w:eastAsia="Calibri" w:hAnsi="Calibri" w:cs="Calibri"/>
          <w:color w:val="1A1A1A"/>
        </w:rPr>
        <w:t xml:space="preserve">Certaines situations sont marquées d’une telle gravité qu’il est difficile d’appliquer le droit commun et nécessitent la mise en œuvre d’un droit exceptionnel. Par exemple, la protection de la santé constitue un objectif de valeur constitutionnelle qui découle du onzième alinéa du </w:t>
      </w:r>
      <w:r>
        <w:rPr>
          <w:rFonts w:ascii="Calibri" w:eastAsia="Calibri" w:hAnsi="Calibri" w:cs="Calibri"/>
          <w:color w:val="1E88E5"/>
        </w:rPr>
        <w:t>Préambule de la Constitution de 1946</w:t>
      </w:r>
      <w:r>
        <w:rPr>
          <w:rFonts w:ascii="Calibri" w:eastAsia="Calibri" w:hAnsi="Calibri" w:cs="Calibri"/>
          <w:color w:val="1A1A1A"/>
        </w:rPr>
        <w:t xml:space="preserve">. En cas d’épidémie, il apparaît justifié que des mesures suspendent ou restreignent des droits humains. Par un </w:t>
      </w:r>
      <w:r w:rsidRPr="00DE61A1">
        <w:rPr>
          <w:rFonts w:ascii="Calibri" w:eastAsia="Calibri" w:hAnsi="Calibri" w:cs="Calibri"/>
          <w:color w:val="E91D62"/>
        </w:rPr>
        <w:t>arrêt rendu le 29 août 2024, Pasquinelli et a. contre San Marin</w:t>
      </w:r>
      <w:r>
        <w:rPr>
          <w:rFonts w:ascii="Calibri" w:eastAsia="Calibri" w:hAnsi="Calibri" w:cs="Calibri"/>
          <w:color w:val="1A1A1A"/>
        </w:rPr>
        <w:t>, la Cour européenne a affirmé que l’obligation vaccinale de tous les professionnels de santé n’était pas contraire à l’</w:t>
      </w:r>
      <w:r>
        <w:rPr>
          <w:rFonts w:ascii="Calibri" w:eastAsia="Calibri" w:hAnsi="Calibri" w:cs="Calibri"/>
          <w:color w:val="1E88E5"/>
        </w:rPr>
        <w:t>article 8</w:t>
      </w:r>
      <w:r>
        <w:rPr>
          <w:rFonts w:ascii="Calibri" w:eastAsia="Calibri" w:hAnsi="Calibri" w:cs="Calibri"/>
          <w:color w:val="1A1A1A"/>
        </w:rPr>
        <w:t xml:space="preserve"> de la Convention, car elle poursuivait le but légitime de protection de la santé de la population en général.</w:t>
      </w:r>
    </w:p>
    <w:p w14:paraId="3C585B1E" w14:textId="77777777" w:rsidR="001E3E87" w:rsidRDefault="005258B2">
      <w:pPr>
        <w:pStyle w:val="Titre3"/>
        <w:spacing w:before="190" w:after="80"/>
      </w:pPr>
      <w:r>
        <w:rPr>
          <w:rFonts w:ascii="Calibri" w:eastAsia="Calibri" w:hAnsi="Calibri" w:cs="Calibri"/>
          <w:b/>
          <w:bCs/>
          <w:i/>
          <w:iCs/>
          <w:color w:val="1A1A1A"/>
          <w:sz w:val="21"/>
          <w:szCs w:val="21"/>
        </w:rPr>
        <w:t>B. L’existence de droits humains indérogeables même en période d’exception</w:t>
      </w:r>
    </w:p>
    <w:p w14:paraId="24AC59CE" w14:textId="10BBF5AA" w:rsidR="001E3E87" w:rsidRDefault="005258B2">
      <w:pPr>
        <w:spacing w:after="90" w:line="264" w:lineRule="auto"/>
        <w:jc w:val="both"/>
      </w:pPr>
      <w:r>
        <w:rPr>
          <w:rFonts w:ascii="Calibri" w:eastAsia="Calibri" w:hAnsi="Calibri" w:cs="Calibri"/>
          <w:color w:val="1A1A1A"/>
        </w:rPr>
        <w:t>Les limitations aux droits humains en période d’exception ne signifie</w:t>
      </w:r>
      <w:r w:rsidR="00DE61A1">
        <w:rPr>
          <w:rFonts w:ascii="Calibri" w:eastAsia="Calibri" w:hAnsi="Calibri" w:cs="Calibri"/>
          <w:color w:val="1A1A1A"/>
        </w:rPr>
        <w:t>nt</w:t>
      </w:r>
      <w:r>
        <w:rPr>
          <w:rFonts w:ascii="Calibri" w:eastAsia="Calibri" w:hAnsi="Calibri" w:cs="Calibri"/>
          <w:color w:val="1A1A1A"/>
        </w:rPr>
        <w:t xml:space="preserve"> pas que tous les droits puissent faire l’objet de dérogations. Certains droits ne peuvent souffrir d’aucune limitation. C’est ce que prévoient l’</w:t>
      </w:r>
      <w:r>
        <w:rPr>
          <w:rFonts w:ascii="Calibri" w:eastAsia="Calibri" w:hAnsi="Calibri" w:cs="Calibri"/>
          <w:color w:val="1E88E5"/>
        </w:rPr>
        <w:t>article 4</w:t>
      </w:r>
      <w:r>
        <w:rPr>
          <w:rFonts w:ascii="Calibri" w:eastAsia="Calibri" w:hAnsi="Calibri" w:cs="Calibri"/>
          <w:color w:val="1A1A1A"/>
        </w:rPr>
        <w:t xml:space="preserve"> du </w:t>
      </w:r>
      <w:r>
        <w:rPr>
          <w:rFonts w:ascii="Calibri" w:eastAsia="Calibri" w:hAnsi="Calibri" w:cs="Calibri"/>
          <w:color w:val="1E88E5"/>
        </w:rPr>
        <w:t>Pacte international relatif aux droits civils et politiques</w:t>
      </w:r>
      <w:r>
        <w:rPr>
          <w:rFonts w:ascii="Calibri" w:eastAsia="Calibri" w:hAnsi="Calibri" w:cs="Calibri"/>
          <w:color w:val="1A1A1A"/>
        </w:rPr>
        <w:t xml:space="preserve"> et l’</w:t>
      </w:r>
      <w:r>
        <w:rPr>
          <w:rFonts w:ascii="Calibri" w:eastAsia="Calibri" w:hAnsi="Calibri" w:cs="Calibri"/>
          <w:color w:val="1E88E5"/>
        </w:rPr>
        <w:t>article 15</w:t>
      </w:r>
      <w:r>
        <w:rPr>
          <w:rFonts w:ascii="Calibri" w:eastAsia="Calibri" w:hAnsi="Calibri" w:cs="Calibri"/>
          <w:color w:val="1A1A1A"/>
        </w:rPr>
        <w:t xml:space="preserve"> de la </w:t>
      </w:r>
      <w:r w:rsidRPr="00DE61A1">
        <w:rPr>
          <w:rFonts w:ascii="Calibri" w:eastAsia="Calibri" w:hAnsi="Calibri" w:cs="Calibri"/>
          <w:color w:val="1E88C7"/>
        </w:rPr>
        <w:t>Convention européenne</w:t>
      </w:r>
      <w:r w:rsidRPr="00DE61A1">
        <w:rPr>
          <w:rFonts w:ascii="Calibri" w:eastAsia="Calibri" w:hAnsi="Calibri" w:cs="Calibri"/>
          <w:color w:val="00B0F0"/>
        </w:rPr>
        <w:t xml:space="preserve"> </w:t>
      </w:r>
      <w:r>
        <w:rPr>
          <w:rFonts w:ascii="Calibri" w:eastAsia="Calibri" w:hAnsi="Calibri" w:cs="Calibri"/>
          <w:color w:val="1A1A1A"/>
        </w:rPr>
        <w:t>(droit à la vie, sauf en cas d’actes licites de guerre, interdiction de la torture et des traitements ou peines inhumains ou dégradants, interdiction de l’esclavage et de la servitude, principe de la légalité des peines), ainsi que l’</w:t>
      </w:r>
      <w:r>
        <w:rPr>
          <w:rFonts w:ascii="Calibri" w:eastAsia="Calibri" w:hAnsi="Calibri" w:cs="Calibri"/>
          <w:color w:val="1E88E5"/>
        </w:rPr>
        <w:t>article 4</w:t>
      </w:r>
      <w:r>
        <w:rPr>
          <w:rFonts w:ascii="Calibri" w:eastAsia="Calibri" w:hAnsi="Calibri" w:cs="Calibri"/>
          <w:color w:val="1A1A1A"/>
        </w:rPr>
        <w:t xml:space="preserve"> du </w:t>
      </w:r>
      <w:r>
        <w:rPr>
          <w:rFonts w:ascii="Calibri" w:eastAsia="Calibri" w:hAnsi="Calibri" w:cs="Calibri"/>
          <w:color w:val="1E88E5"/>
        </w:rPr>
        <w:t>Protocole no 7</w:t>
      </w:r>
      <w:r>
        <w:rPr>
          <w:rFonts w:ascii="Calibri" w:eastAsia="Calibri" w:hAnsi="Calibri" w:cs="Calibri"/>
          <w:color w:val="1A1A1A"/>
        </w:rPr>
        <w:t xml:space="preserve"> (droit à ne pas être puni ou jugé deux fois) et l’</w:t>
      </w:r>
      <w:r>
        <w:rPr>
          <w:rFonts w:ascii="Calibri" w:eastAsia="Calibri" w:hAnsi="Calibri" w:cs="Calibri"/>
          <w:color w:val="1E88E5"/>
        </w:rPr>
        <w:t>article 2</w:t>
      </w:r>
      <w:r>
        <w:rPr>
          <w:rFonts w:ascii="Calibri" w:eastAsia="Calibri" w:hAnsi="Calibri" w:cs="Calibri"/>
          <w:color w:val="1A1A1A"/>
        </w:rPr>
        <w:t xml:space="preserve"> du </w:t>
      </w:r>
      <w:r>
        <w:rPr>
          <w:rFonts w:ascii="Calibri" w:eastAsia="Calibri" w:hAnsi="Calibri" w:cs="Calibri"/>
          <w:color w:val="1E88E5"/>
        </w:rPr>
        <w:t>Protocole no 13</w:t>
      </w:r>
      <w:r>
        <w:rPr>
          <w:rFonts w:ascii="Calibri" w:eastAsia="Calibri" w:hAnsi="Calibri" w:cs="Calibri"/>
          <w:color w:val="1A1A1A"/>
        </w:rPr>
        <w:t xml:space="preserve"> (interdiction de la peine de mort) de cette même convention.</w:t>
      </w:r>
    </w:p>
    <w:p w14:paraId="02FDE764" w14:textId="77777777" w:rsidR="001E3E87" w:rsidRDefault="005258B2">
      <w:pPr>
        <w:pStyle w:val="Titre3"/>
        <w:spacing w:before="190" w:after="80"/>
      </w:pPr>
      <w:r>
        <w:rPr>
          <w:rFonts w:ascii="Calibri" w:eastAsia="Calibri" w:hAnsi="Calibri" w:cs="Calibri"/>
          <w:b/>
          <w:bCs/>
          <w:i/>
          <w:iCs/>
          <w:color w:val="1A1A1A"/>
          <w:sz w:val="21"/>
          <w:szCs w:val="21"/>
        </w:rPr>
        <w:t>II. La normalisation des limitations aux droits humains</w:t>
      </w:r>
    </w:p>
    <w:p w14:paraId="61A2999A" w14:textId="77777777" w:rsidR="001E3E87" w:rsidRDefault="005258B2">
      <w:pPr>
        <w:pStyle w:val="Titre3"/>
        <w:spacing w:before="190" w:after="80"/>
      </w:pPr>
      <w:r>
        <w:rPr>
          <w:rFonts w:ascii="Calibri" w:eastAsia="Calibri" w:hAnsi="Calibri" w:cs="Calibri"/>
          <w:b/>
          <w:bCs/>
          <w:i/>
          <w:iCs/>
          <w:color w:val="1A1A1A"/>
          <w:sz w:val="21"/>
          <w:szCs w:val="21"/>
        </w:rPr>
        <w:t>A. La multiplication des périodes d’exception au XXIe siècle</w:t>
      </w:r>
    </w:p>
    <w:p w14:paraId="35EBA495" w14:textId="77777777" w:rsidR="001E3E87" w:rsidRDefault="005258B2">
      <w:pPr>
        <w:spacing w:after="90" w:line="264" w:lineRule="auto"/>
        <w:jc w:val="both"/>
      </w:pPr>
      <w:r>
        <w:rPr>
          <w:rFonts w:ascii="Calibri" w:eastAsia="Calibri" w:hAnsi="Calibri" w:cs="Calibri"/>
          <w:color w:val="1A1A1A"/>
        </w:rPr>
        <w:t>Le principe de légalité, pierre angulaire de l’État de droit, a été de nombreuses fois confronté à une légalité d’exception depuis le début du XXIe siècle en France. Entre 2005 et 2024, l’état d’urgence a été décrété à quatre reprises. L’état d’urgence déclenché à la suite des attentats terroristes du 13 novembre 2015 a duré près de deux ans. À l’aune de l’imprévisibilité des attaques, cette durée a suscité des critiques et des interrogations quant à la nécessité de maintenir aussi longtemps l’état d’urgence.</w:t>
      </w:r>
    </w:p>
    <w:p w14:paraId="2C15A75F" w14:textId="77777777" w:rsidR="001E3E87" w:rsidRDefault="005258B2">
      <w:pPr>
        <w:pStyle w:val="Titre3"/>
        <w:spacing w:before="190" w:after="80"/>
      </w:pPr>
      <w:r>
        <w:rPr>
          <w:rFonts w:ascii="Calibri" w:eastAsia="Calibri" w:hAnsi="Calibri" w:cs="Calibri"/>
          <w:b/>
          <w:bCs/>
          <w:i/>
          <w:iCs/>
          <w:color w:val="1A1A1A"/>
          <w:sz w:val="21"/>
          <w:szCs w:val="21"/>
        </w:rPr>
        <w:t>B. L’intégration de dispositions exceptionnelles dans le droit commun</w:t>
      </w:r>
    </w:p>
    <w:p w14:paraId="55C2A6AD" w14:textId="77777777" w:rsidR="001E3E87" w:rsidRDefault="005258B2">
      <w:pPr>
        <w:spacing w:after="90" w:line="264" w:lineRule="auto"/>
        <w:jc w:val="both"/>
      </w:pPr>
      <w:r>
        <w:rPr>
          <w:rFonts w:ascii="Calibri" w:eastAsia="Calibri" w:hAnsi="Calibri" w:cs="Calibri"/>
          <w:color w:val="1A1A1A"/>
        </w:rPr>
        <w:t xml:space="preserve">L’amoindrissement de ce caractère temporaire réside également dans l’ancrage de dispositions exceptionnelles dans le droit commun alors que l’état d’urgence doit permettre de revenir à une situation normale à son issue. Plusieurs dispositions prises lors de l’état d’urgence de 2015 sont restées dans le droit commun. Par exemple, la loi du 21 juillet 2016 de prolongation de l’état d’urgence a créé un cadre légal de vidéosurveillance en détention dans le cadre de la répression du terrorisme. En outre, la loi du 30 octobre 2017 prévoit de nouveaux régimes de mesures individuelles de contrôle administratif et de surveillance. Qui plus est, alors que l’état d’urgence en Nouvelle-Calédonie a pris fin le 28 </w:t>
      </w:r>
      <w:r>
        <w:rPr>
          <w:rFonts w:ascii="Calibri" w:eastAsia="Calibri" w:hAnsi="Calibri" w:cs="Calibri"/>
          <w:color w:val="1A1A1A"/>
        </w:rPr>
        <w:lastRenderedPageBreak/>
        <w:t>mai 2024, le couvre-feu décidé en mai a continué de s’appliquer jusqu’en décembre 2024 et a été réappliqué pour le nouvel an.</w:t>
      </w:r>
    </w:p>
    <w:p w14:paraId="27811969" w14:textId="77777777" w:rsidR="001E3E87" w:rsidRDefault="005258B2">
      <w:pPr>
        <w:spacing w:after="90" w:line="264" w:lineRule="auto"/>
        <w:jc w:val="both"/>
      </w:pPr>
      <w:r>
        <w:rPr>
          <w:rFonts w:ascii="Calibri" w:eastAsia="Calibri" w:hAnsi="Calibri" w:cs="Calibri"/>
          <w:color w:val="1A1A1A"/>
        </w:rPr>
        <w:t>Dans ses conclusions de l’arrêt Baldy de 1917, le commissaire du gouvernement Corneille avait employé la formule suivante : « La liberté est la règle et la restriction de police l’exception. » Un principe dont l’application s’amenuise du fait de la succession des états d’exception et de leurs conséquences durables sur l’exercice des droits humains.</w:t>
      </w:r>
    </w:p>
    <w:p w14:paraId="1EB88D77" w14:textId="77777777" w:rsidR="001E3E87" w:rsidRDefault="005258B2">
      <w:r>
        <w:br w:type="page"/>
      </w:r>
    </w:p>
    <w:p w14:paraId="2917CA2D"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8 — COMMENTAIRE DE TEXTE</w:t>
      </w:r>
    </w:p>
    <w:p w14:paraId="10B3DFD1" w14:textId="77777777" w:rsidR="001E3E87" w:rsidRDefault="005258B2">
      <w:pPr>
        <w:spacing w:after="160"/>
      </w:pPr>
      <w:r>
        <w:rPr>
          <w:rFonts w:ascii="Calibri" w:eastAsia="Calibri" w:hAnsi="Calibri" w:cs="Calibri"/>
          <w:i/>
          <w:iCs/>
          <w:color w:val="5A5A5A"/>
          <w:sz w:val="18"/>
          <w:szCs w:val="18"/>
        </w:rPr>
        <w:t>Fiche n° 8 — La crise des droits humains et l’état de droit  |  PARTIE I. ÉLÉMENTS INTRODUCTIFS  |  Fascicule p. 80</w:t>
      </w:r>
    </w:p>
    <w:p w14:paraId="5F9E02A1"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4BD7D30C" w14:textId="77777777" w:rsidR="001E3E87" w:rsidRDefault="005258B2">
      <w:pPr>
        <w:pBdr>
          <w:left w:val="single" w:sz="12" w:space="10" w:color="8C1C2B"/>
        </w:pBdr>
        <w:spacing w:after="90" w:line="264" w:lineRule="auto"/>
        <w:ind w:left="260"/>
        <w:jc w:val="both"/>
      </w:pPr>
      <w:r>
        <w:rPr>
          <w:rFonts w:ascii="Calibri" w:eastAsia="Calibri" w:hAnsi="Calibri" w:cs="Calibri"/>
          <w:color w:val="1E88E5"/>
        </w:rPr>
        <w:t>Article 2</w:t>
      </w:r>
      <w:r>
        <w:rPr>
          <w:rFonts w:ascii="Calibri" w:eastAsia="Calibri" w:hAnsi="Calibri" w:cs="Calibri"/>
          <w:color w:val="1A1A1A"/>
        </w:rPr>
        <w:t xml:space="preserve"> du </w:t>
      </w:r>
      <w:r>
        <w:rPr>
          <w:rFonts w:ascii="Calibri" w:eastAsia="Calibri" w:hAnsi="Calibri" w:cs="Calibri"/>
          <w:color w:val="1E88E5"/>
        </w:rPr>
        <w:t>Traité sur l’Union européenne</w:t>
      </w:r>
      <w:r>
        <w:rPr>
          <w:rFonts w:ascii="Calibri" w:eastAsia="Calibri" w:hAnsi="Calibri" w:cs="Calibri"/>
          <w:color w:val="1A1A1A"/>
        </w:rPr>
        <w:t xml:space="preserve"> : « L’Union est fondée sur les valeurs de respect de la dignité humaine, de liberté, de démocratie, d’égalité, de l’État de droit, ainsi que de respect des droits de l’homme, y compris des droits des personnes appartenant à des minorités. Ces valeurs sont communes aux États membres dans une société caractérisée par le pluralisme, la non-discrimination, la tolérance, la justice, la solidarité et l’égalité entre les femmes et les hommes. »</w:t>
      </w:r>
    </w:p>
    <w:p w14:paraId="31C8572A"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6DC4BDFF" w14:textId="77777777" w:rsidR="001E3E87" w:rsidRDefault="005258B2">
      <w:pPr>
        <w:spacing w:after="90" w:line="264" w:lineRule="auto"/>
        <w:jc w:val="both"/>
      </w:pPr>
      <w:r>
        <w:rPr>
          <w:rFonts w:ascii="Calibri" w:eastAsia="Calibri" w:hAnsi="Calibri" w:cs="Calibri"/>
          <w:color w:val="1A1A1A"/>
        </w:rPr>
        <w:t xml:space="preserve">Signé en 1992 et entré en vigueur en 1993, le </w:t>
      </w:r>
      <w:r>
        <w:rPr>
          <w:rFonts w:ascii="Calibri" w:eastAsia="Calibri" w:hAnsi="Calibri" w:cs="Calibri"/>
          <w:color w:val="1E88E5"/>
        </w:rPr>
        <w:t>Traité sur l’Union européenne</w:t>
      </w:r>
      <w:r>
        <w:rPr>
          <w:rFonts w:ascii="Calibri" w:eastAsia="Calibri" w:hAnsi="Calibri" w:cs="Calibri"/>
          <w:color w:val="1A1A1A"/>
        </w:rPr>
        <w:t xml:space="preserve"> (Traité de Maastricht) fait partie du droit primaire de l’Union européenne. Il établit les principes politiques et les valeurs fondatrices de l’Union. Révisé à plusieurs reprises (par les Traités d’Amsterdam, de Nice, et de Lisbonne), il encadre la répartition des compétences entre l’Union et ses États membres, comporte des dispositions relatives aux institutions de l’organisation et fixe des règles de coopération dans certains domaines. L’</w:t>
      </w:r>
      <w:r>
        <w:rPr>
          <w:rFonts w:ascii="Calibri" w:eastAsia="Calibri" w:hAnsi="Calibri" w:cs="Calibri"/>
          <w:color w:val="1E88E5"/>
        </w:rPr>
        <w:t>article 6</w:t>
      </w:r>
      <w:r>
        <w:rPr>
          <w:rFonts w:ascii="Calibri" w:eastAsia="Calibri" w:hAnsi="Calibri" w:cs="Calibri"/>
          <w:color w:val="1A1A1A"/>
        </w:rPr>
        <w:t xml:space="preserve"> de la version initiale comportait des dispositions similaires, mais moins détaillées, aux dispositions de l’actuel </w:t>
      </w:r>
      <w:r>
        <w:rPr>
          <w:rFonts w:ascii="Calibri" w:eastAsia="Calibri" w:hAnsi="Calibri" w:cs="Calibri"/>
          <w:color w:val="1E88E5"/>
        </w:rPr>
        <w:t>article 2</w:t>
      </w:r>
      <w:r>
        <w:rPr>
          <w:rFonts w:ascii="Calibri" w:eastAsia="Calibri" w:hAnsi="Calibri" w:cs="Calibri"/>
          <w:color w:val="1A1A1A"/>
        </w:rPr>
        <w:t>. Ce contenu était d’ores et déjà en germe dans l’Acte unique européen de 1986. Les valeurs exposées s’inscrivent dans le sillage des standards matriciels du Conseil de l’Europe. La portée juridique ainsi que la justiciabilité de ces valeurs interpellent à l’aune des atteintes répétées par des États européens aux valeurs que cet article contient.</w:t>
      </w:r>
    </w:p>
    <w:p w14:paraId="2FB9D460" w14:textId="77777777" w:rsidR="001E3E87" w:rsidRDefault="005258B2">
      <w:pPr>
        <w:spacing w:after="90" w:line="264" w:lineRule="auto"/>
        <w:jc w:val="both"/>
      </w:pPr>
      <w:r>
        <w:rPr>
          <w:rFonts w:ascii="Calibri" w:eastAsia="Calibri" w:hAnsi="Calibri" w:cs="Calibri"/>
          <w:color w:val="1A1A1A"/>
        </w:rPr>
        <w:t xml:space="preserve">Problématique et annonce de plan : Malgré la reconnaissance textuelle de valeurs libérales gravées dans le marbre du </w:t>
      </w:r>
      <w:r>
        <w:rPr>
          <w:rFonts w:ascii="Calibri" w:eastAsia="Calibri" w:hAnsi="Calibri" w:cs="Calibri"/>
          <w:color w:val="1E88E5"/>
        </w:rPr>
        <w:t>Traité sur l’Union européenne</w:t>
      </w:r>
      <w:r>
        <w:rPr>
          <w:rFonts w:ascii="Calibri" w:eastAsia="Calibri" w:hAnsi="Calibri" w:cs="Calibri"/>
          <w:color w:val="1A1A1A"/>
        </w:rPr>
        <w:t xml:space="preserve"> (I), le respect de ces valeurs tend vers un affaiblissement croissant (II).</w:t>
      </w:r>
    </w:p>
    <w:p w14:paraId="07154091" w14:textId="77777777" w:rsidR="001E3E87" w:rsidRDefault="005258B2">
      <w:pPr>
        <w:pStyle w:val="Titre3"/>
        <w:spacing w:before="190" w:after="80"/>
      </w:pPr>
      <w:r>
        <w:rPr>
          <w:rFonts w:ascii="Calibri" w:eastAsia="Calibri" w:hAnsi="Calibri" w:cs="Calibri"/>
          <w:b/>
          <w:bCs/>
          <w:i/>
          <w:iCs/>
          <w:color w:val="1A1A1A"/>
          <w:sz w:val="21"/>
          <w:szCs w:val="21"/>
        </w:rPr>
        <w:t>I. Une reconnaissance textuelle des valeurs fondatrices de l’Union européenne</w:t>
      </w:r>
    </w:p>
    <w:p w14:paraId="555ABE69" w14:textId="77777777" w:rsidR="001E3E87" w:rsidRDefault="005258B2">
      <w:pPr>
        <w:pStyle w:val="Titre3"/>
        <w:spacing w:before="190" w:after="80"/>
      </w:pPr>
      <w:r>
        <w:rPr>
          <w:rFonts w:ascii="Calibri" w:eastAsia="Calibri" w:hAnsi="Calibri" w:cs="Calibri"/>
          <w:b/>
          <w:bCs/>
          <w:i/>
          <w:iCs/>
          <w:color w:val="1A1A1A"/>
          <w:sz w:val="21"/>
          <w:szCs w:val="21"/>
        </w:rPr>
        <w:t>A. Une manifestation des valeurs libérales de l’Union européenne</w:t>
      </w:r>
    </w:p>
    <w:p w14:paraId="1547A3C7" w14:textId="77777777" w:rsidR="001E3E87" w:rsidRDefault="005258B2">
      <w:pPr>
        <w:spacing w:after="90" w:line="264" w:lineRule="auto"/>
        <w:jc w:val="both"/>
      </w:pPr>
      <w:r>
        <w:rPr>
          <w:rFonts w:ascii="Calibri" w:eastAsia="Calibri" w:hAnsi="Calibri" w:cs="Calibri"/>
          <w:color w:val="1A1A1A"/>
        </w:rPr>
        <w:t>Définir précisément le libéralisme peut être complexe en raison des diverses interprétations possibles. Le libéralisme se caractérise par la protection des libertés individuelles face à la puissance publique, dans un cadre juridique qui garantit les droits humains. Si ces libertés peuvent être limitées pour des raisons d’intérêt général ou d’ordre public, de telles restrictions doivent rester l’exception. Les valeurs énoncées à l’</w:t>
      </w:r>
      <w:r>
        <w:rPr>
          <w:rFonts w:ascii="Calibri" w:eastAsia="Calibri" w:hAnsi="Calibri" w:cs="Calibri"/>
          <w:color w:val="1E88E5"/>
        </w:rPr>
        <w:t>article 2</w:t>
      </w:r>
      <w:r>
        <w:rPr>
          <w:rFonts w:ascii="Calibri" w:eastAsia="Calibri" w:hAnsi="Calibri" w:cs="Calibri"/>
          <w:color w:val="1A1A1A"/>
        </w:rPr>
        <w:t xml:space="preserve"> reflètent la dimension libérale de l’organisation, des valeurs qui irriguent l’ensemble de la politique de l’Union. Elles trouvent un écho dans le Préambule de la </w:t>
      </w:r>
      <w:r>
        <w:rPr>
          <w:rFonts w:ascii="Calibri" w:eastAsia="Calibri" w:hAnsi="Calibri" w:cs="Calibri"/>
          <w:color w:val="1E88E5"/>
        </w:rPr>
        <w:t>Charte des droits fondamentaux de l’Union européenne</w:t>
      </w:r>
      <w:r>
        <w:rPr>
          <w:rFonts w:ascii="Calibri" w:eastAsia="Calibri" w:hAnsi="Calibri" w:cs="Calibri"/>
          <w:color w:val="1A1A1A"/>
        </w:rPr>
        <w:t xml:space="preserve"> qui réitère ces valeurs en affirmant notamment que l’Union « repose sur le principe de la démocratie et le principe de l’État de droit ».</w:t>
      </w:r>
    </w:p>
    <w:p w14:paraId="7862D6C4" w14:textId="77777777" w:rsidR="001E3E87" w:rsidRDefault="005258B2">
      <w:pPr>
        <w:pStyle w:val="Titre3"/>
        <w:spacing w:before="190" w:after="80"/>
      </w:pPr>
      <w:r>
        <w:rPr>
          <w:rFonts w:ascii="Calibri" w:eastAsia="Calibri" w:hAnsi="Calibri" w:cs="Calibri"/>
          <w:b/>
          <w:bCs/>
          <w:i/>
          <w:iCs/>
          <w:color w:val="1A1A1A"/>
          <w:sz w:val="21"/>
          <w:szCs w:val="21"/>
        </w:rPr>
        <w:t>B. Une reconnaissance assortie de mécanismes de garantie</w:t>
      </w:r>
    </w:p>
    <w:p w14:paraId="02D6165E" w14:textId="77777777" w:rsidR="001E3E87" w:rsidRDefault="005258B2">
      <w:pPr>
        <w:spacing w:after="90" w:line="264" w:lineRule="auto"/>
        <w:jc w:val="both"/>
      </w:pPr>
      <w:r>
        <w:rPr>
          <w:rFonts w:ascii="Calibri" w:eastAsia="Calibri" w:hAnsi="Calibri" w:cs="Calibri"/>
          <w:color w:val="1A1A1A"/>
        </w:rPr>
        <w:t>L’</w:t>
      </w:r>
      <w:r>
        <w:rPr>
          <w:rFonts w:ascii="Calibri" w:eastAsia="Calibri" w:hAnsi="Calibri" w:cs="Calibri"/>
          <w:color w:val="1E88E5"/>
        </w:rPr>
        <w:t>article 7</w:t>
      </w:r>
      <w:r>
        <w:rPr>
          <w:rFonts w:ascii="Calibri" w:eastAsia="Calibri" w:hAnsi="Calibri" w:cs="Calibri"/>
          <w:color w:val="1A1A1A"/>
        </w:rPr>
        <w:t xml:space="preserve"> du </w:t>
      </w:r>
      <w:r>
        <w:rPr>
          <w:rFonts w:ascii="Calibri" w:eastAsia="Calibri" w:hAnsi="Calibri" w:cs="Calibri"/>
          <w:color w:val="1E88E5"/>
        </w:rPr>
        <w:t>Traité sur l’Union européenne</w:t>
      </w:r>
      <w:r>
        <w:rPr>
          <w:rFonts w:ascii="Calibri" w:eastAsia="Calibri" w:hAnsi="Calibri" w:cs="Calibri"/>
          <w:color w:val="1A1A1A"/>
        </w:rPr>
        <w:t xml:space="preserve"> établit un mécanisme non-juridictionnel de prévention et de sanction visant à constater « un risque clair de violation grave par un État membre des valeurs visées à l’</w:t>
      </w:r>
      <w:r>
        <w:rPr>
          <w:rFonts w:ascii="Calibri" w:eastAsia="Calibri" w:hAnsi="Calibri" w:cs="Calibri"/>
          <w:color w:val="1E88E5"/>
        </w:rPr>
        <w:t>article 2</w:t>
      </w:r>
      <w:r>
        <w:rPr>
          <w:rFonts w:ascii="Calibri" w:eastAsia="Calibri" w:hAnsi="Calibri" w:cs="Calibri"/>
          <w:color w:val="1A1A1A"/>
        </w:rPr>
        <w:t xml:space="preserve"> ». Cette procédure a été activée à l’encontre de la Pologne en 2017 ainsi qu’à l’encontre de la Hongrie en 2018. La faible effectivité de cette procédure a mené au renforcement du cadre de garanties des valeurs de l’Union. L’</w:t>
      </w:r>
      <w:r>
        <w:rPr>
          <w:rFonts w:ascii="Calibri" w:eastAsia="Calibri" w:hAnsi="Calibri" w:cs="Calibri"/>
          <w:color w:val="1E88E5"/>
        </w:rPr>
        <w:t>article 258</w:t>
      </w:r>
      <w:r>
        <w:rPr>
          <w:rFonts w:ascii="Calibri" w:eastAsia="Calibri" w:hAnsi="Calibri" w:cs="Calibri"/>
          <w:color w:val="1A1A1A"/>
        </w:rPr>
        <w:t xml:space="preserve"> du </w:t>
      </w:r>
      <w:r>
        <w:rPr>
          <w:rFonts w:ascii="Calibri" w:eastAsia="Calibri" w:hAnsi="Calibri" w:cs="Calibri"/>
          <w:color w:val="1E88E5"/>
        </w:rPr>
        <w:t>Traité sur le fonctionnement de l’Union européenne</w:t>
      </w:r>
      <w:r>
        <w:rPr>
          <w:rFonts w:ascii="Calibri" w:eastAsia="Calibri" w:hAnsi="Calibri" w:cs="Calibri"/>
          <w:color w:val="1A1A1A"/>
        </w:rPr>
        <w:t xml:space="preserve"> prévoit une procédure en manquement. Un règlement sur la conditionnalité de fonds européens a été adopté le 16 décembre 2020 afin d’exercer une pression financière sur les États qui ne respectent pas les valeurs de l’Union. Des mécanismes juridictionnels visent à assurer implicitement le respect de ces valeurs, tel que le recours en manquement.</w:t>
      </w:r>
    </w:p>
    <w:p w14:paraId="6A24BCAF" w14:textId="77777777" w:rsidR="001E3E87" w:rsidRDefault="005258B2">
      <w:pPr>
        <w:pStyle w:val="Titre3"/>
        <w:spacing w:before="190" w:after="80"/>
      </w:pPr>
      <w:r>
        <w:rPr>
          <w:rFonts w:ascii="Calibri" w:eastAsia="Calibri" w:hAnsi="Calibri" w:cs="Calibri"/>
          <w:b/>
          <w:bCs/>
          <w:i/>
          <w:iCs/>
          <w:color w:val="1A1A1A"/>
          <w:sz w:val="21"/>
          <w:szCs w:val="21"/>
        </w:rPr>
        <w:t>II. Un affaiblissement croissant du respect des valeurs de l’Union européenne</w:t>
      </w:r>
    </w:p>
    <w:p w14:paraId="1E6769AF" w14:textId="77777777" w:rsidR="001E3E87" w:rsidRDefault="005258B2">
      <w:pPr>
        <w:pStyle w:val="Titre3"/>
        <w:spacing w:before="190" w:after="80"/>
      </w:pPr>
      <w:r>
        <w:rPr>
          <w:rFonts w:ascii="Calibri" w:eastAsia="Calibri" w:hAnsi="Calibri" w:cs="Calibri"/>
          <w:b/>
          <w:bCs/>
          <w:i/>
          <w:iCs/>
          <w:color w:val="1A1A1A"/>
          <w:sz w:val="21"/>
          <w:szCs w:val="21"/>
        </w:rPr>
        <w:t>A. La crise des valeurs au sein des États membres de l’Union européenne</w:t>
      </w:r>
    </w:p>
    <w:p w14:paraId="004E1C78" w14:textId="1B072CAB" w:rsidR="001E3E87" w:rsidRDefault="005258B2">
      <w:pPr>
        <w:spacing w:after="90" w:line="264" w:lineRule="auto"/>
        <w:jc w:val="both"/>
      </w:pPr>
      <w:r>
        <w:rPr>
          <w:rFonts w:ascii="Calibri" w:eastAsia="Calibri" w:hAnsi="Calibri" w:cs="Calibri"/>
          <w:color w:val="1A1A1A"/>
        </w:rPr>
        <w:t>L’article commenté consacre le pluralisme parmi les valeurs fondamentales de l’Union. Toutefois, le respect de ce pluralisme est en péril dans plusieurs États, notamment en Hongrie avec un fort contrôle gouvernemental sur les médias mis en place. Le rapport sur l’</w:t>
      </w:r>
      <w:r w:rsidR="0086388D">
        <w:rPr>
          <w:rFonts w:ascii="Calibri" w:eastAsia="Calibri" w:hAnsi="Calibri" w:cs="Calibri"/>
          <w:color w:val="1A1A1A"/>
        </w:rPr>
        <w:t>État</w:t>
      </w:r>
      <w:r>
        <w:rPr>
          <w:rFonts w:ascii="Calibri" w:eastAsia="Calibri" w:hAnsi="Calibri" w:cs="Calibri"/>
          <w:color w:val="1A1A1A"/>
        </w:rPr>
        <w:t xml:space="preserve"> de droit dans l’Union européenne de 2024 expose des inquiétudes relatives à la transparence en matière de propriété des médias en France ainsi qu’aux menaces et agressions, notamment lors de manifestations de journalistes. Une incarnation tragique de la crise de la liberté de presse se traduit par le meurtre en 2017 de la journaliste Daphne Caruana Galizia qui enquêtait sur la corruption à Malte.</w:t>
      </w:r>
    </w:p>
    <w:p w14:paraId="4FA6DC6B" w14:textId="77777777" w:rsidR="001E3E87" w:rsidRDefault="005258B2">
      <w:pPr>
        <w:pStyle w:val="Titre3"/>
        <w:spacing w:before="190" w:after="80"/>
      </w:pPr>
      <w:r>
        <w:rPr>
          <w:rFonts w:ascii="Calibri" w:eastAsia="Calibri" w:hAnsi="Calibri" w:cs="Calibri"/>
          <w:b/>
          <w:bCs/>
          <w:i/>
          <w:iCs/>
          <w:color w:val="1A1A1A"/>
          <w:sz w:val="21"/>
          <w:szCs w:val="21"/>
        </w:rPr>
        <w:lastRenderedPageBreak/>
        <w:t>B. Le relâchement des valeurs au sein de l’Union européenne</w:t>
      </w:r>
    </w:p>
    <w:p w14:paraId="4F62D0E2" w14:textId="77777777" w:rsidR="001E3E87" w:rsidRDefault="005258B2">
      <w:pPr>
        <w:spacing w:after="90" w:line="264" w:lineRule="auto"/>
        <w:jc w:val="both"/>
      </w:pPr>
      <w:r>
        <w:rPr>
          <w:rFonts w:ascii="Calibri" w:eastAsia="Calibri" w:hAnsi="Calibri" w:cs="Calibri"/>
          <w:color w:val="1A1A1A"/>
        </w:rPr>
        <w:t>Dans la liste des critères de l’État de droit précitée, la Commission de Venise expose parmi les exemples de défis spécifiques à l’État de droit la corruption et les conflits d’intérêts. Selon ses termes, la corruption « débouche sur l’arbitraire et l’abus de pouvoir, car les décisions ne sont pas prises conformément au droit, et mine ainsi les fondements mêmes de l’État de droit ». Les récentes affaires du « Qatargate » et du « Marocgate » contribuent à l’affaiblissement de la crédibilité des valeurs promues par l’Union européenne, y compris à l’échelle internationale, alors que le respect des droits humains constitue une condition d’adhésion et de maintien dans l’Union européenne et que ces valeurs sont promues par l’Union.</w:t>
      </w:r>
    </w:p>
    <w:p w14:paraId="1CF4586D" w14:textId="7D495AD5" w:rsidR="001E3E87" w:rsidRDefault="005258B2">
      <w:pPr>
        <w:spacing w:after="90" w:line="264" w:lineRule="auto"/>
        <w:jc w:val="both"/>
      </w:pPr>
      <w:r>
        <w:rPr>
          <w:rFonts w:ascii="Calibri" w:eastAsia="Calibri" w:hAnsi="Calibri" w:cs="Calibri"/>
          <w:color w:val="1A1A1A"/>
        </w:rPr>
        <w:t>En conclusion, la montée de l’illibéralisme soulève des interrogations sur l’avenir de la préservation de celles-ci et des mécanismes garantissant leur respect. Dans sa liste des critères de l’État de droit, la Commission de Venise affirme que, parallèlement à la dimension juridique, l’État de droit doit être, au sein d’une société, accompagné d’une culture politique et juridique.</w:t>
      </w:r>
    </w:p>
    <w:p w14:paraId="64F11DC5" w14:textId="77777777" w:rsidR="001E3E87" w:rsidRDefault="005258B2">
      <w:r>
        <w:br w:type="page"/>
      </w:r>
    </w:p>
    <w:p w14:paraId="110FF60C" w14:textId="77777777" w:rsidR="001E3E87" w:rsidRDefault="005258B2">
      <w:pPr>
        <w:shd w:val="clear" w:color="auto" w:fill="F2E9EA"/>
        <w:spacing w:before="200" w:after="200"/>
        <w:jc w:val="center"/>
      </w:pPr>
      <w:r>
        <w:rPr>
          <w:rFonts w:ascii="Calibri" w:eastAsia="Calibri" w:hAnsi="Calibri" w:cs="Calibri"/>
          <w:b/>
          <w:bCs/>
          <w:color w:val="8C1C2B"/>
          <w:spacing w:val="30"/>
          <w:sz w:val="26"/>
          <w:szCs w:val="26"/>
        </w:rPr>
        <w:lastRenderedPageBreak/>
        <w:t>PARTIE II. LES SOURCES INTERNES</w:t>
      </w:r>
    </w:p>
    <w:p w14:paraId="2C5ED7EB"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t>ENTRAÎNEMENT N° 9 — COMMENTAIRE DE DÉCISION</w:t>
      </w:r>
    </w:p>
    <w:p w14:paraId="4D8E16A1" w14:textId="77777777" w:rsidR="001E3E87" w:rsidRDefault="005258B2">
      <w:pPr>
        <w:spacing w:after="160"/>
      </w:pPr>
      <w:r>
        <w:rPr>
          <w:rFonts w:ascii="Calibri" w:eastAsia="Calibri" w:hAnsi="Calibri" w:cs="Calibri"/>
          <w:i/>
          <w:iCs/>
          <w:color w:val="5A5A5A"/>
          <w:sz w:val="18"/>
          <w:szCs w:val="18"/>
        </w:rPr>
        <w:t>Fiche n° 9 — Les sources constitutionnelles  |  PARTIE II. LES SOURCES INTERNES  |  Fascicule p. 92</w:t>
      </w:r>
    </w:p>
    <w:p w14:paraId="5F070A89"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2C2C00C3" w14:textId="77777777" w:rsidR="001E3E87" w:rsidRDefault="005258B2">
      <w:pPr>
        <w:pBdr>
          <w:left w:val="single" w:sz="12" w:space="10" w:color="8C1C2B"/>
        </w:pBdr>
        <w:spacing w:after="90" w:line="264" w:lineRule="auto"/>
        <w:ind w:left="260"/>
        <w:jc w:val="both"/>
      </w:pPr>
      <w:r>
        <w:rPr>
          <w:rFonts w:ascii="Calibri" w:eastAsia="Calibri" w:hAnsi="Calibri" w:cs="Calibri"/>
          <w:color w:val="E91E63"/>
        </w:rPr>
        <w:t xml:space="preserve">Cons. const., no 71-44 </w:t>
      </w:r>
      <w:r w:rsidRPr="009A094A">
        <w:rPr>
          <w:rFonts w:ascii="Calibri" w:eastAsia="Calibri" w:hAnsi="Calibri" w:cs="Calibri"/>
          <w:color w:val="E91D62"/>
        </w:rPr>
        <w:t>DC, 16 juillet 1971</w:t>
      </w:r>
      <w:r>
        <w:rPr>
          <w:rFonts w:ascii="Calibri" w:eastAsia="Calibri" w:hAnsi="Calibri" w:cs="Calibri"/>
          <w:color w:val="1A1A1A"/>
        </w:rPr>
        <w:t xml:space="preserve">, Loi complétant les dispositions des </w:t>
      </w:r>
      <w:r>
        <w:rPr>
          <w:rFonts w:ascii="Calibri" w:eastAsia="Calibri" w:hAnsi="Calibri" w:cs="Calibri"/>
          <w:color w:val="1E88E5"/>
        </w:rPr>
        <w:t>articles 5 et 7</w:t>
      </w:r>
      <w:r>
        <w:rPr>
          <w:rFonts w:ascii="Calibri" w:eastAsia="Calibri" w:hAnsi="Calibri" w:cs="Calibri"/>
          <w:color w:val="1A1A1A"/>
        </w:rPr>
        <w:t xml:space="preserve"> de la loi du 1er juillet 1901 relative au contrat d’association.</w:t>
      </w:r>
    </w:p>
    <w:p w14:paraId="2F260E42"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61FDD683" w14:textId="77777777" w:rsidR="001E3E87" w:rsidRDefault="005258B2">
      <w:pPr>
        <w:spacing w:after="90" w:line="264" w:lineRule="auto"/>
        <w:jc w:val="both"/>
      </w:pPr>
      <w:r>
        <w:rPr>
          <w:rFonts w:ascii="Calibri" w:eastAsia="Calibri" w:hAnsi="Calibri" w:cs="Calibri"/>
          <w:color w:val="1A1A1A"/>
        </w:rPr>
        <w:t xml:space="preserve">Cette célèbre décision du Conseil constitutionnel vient fixer les contours du contrôle de constitutionnalité des lois effectué par ce dernier. Elle illustre la capacité du Conseil constitutionnel à se donner ses propres normes de référence pour exercer ce contrôle de constitutionnalité des lois. Cette décision phare a aussi permis au préambule de la </w:t>
      </w:r>
      <w:r>
        <w:rPr>
          <w:rFonts w:ascii="Calibri" w:eastAsia="Calibri" w:hAnsi="Calibri" w:cs="Calibri"/>
          <w:color w:val="1E88E5"/>
        </w:rPr>
        <w:t>Constitution de 1958</w:t>
      </w:r>
      <w:r>
        <w:rPr>
          <w:rFonts w:ascii="Calibri" w:eastAsia="Calibri" w:hAnsi="Calibri" w:cs="Calibri"/>
          <w:color w:val="1A1A1A"/>
        </w:rPr>
        <w:t xml:space="preserve"> d’être consacré comme constitutionnel. Initialement, pour exercer son contrôle de constitutionnalité des lois, le Conseil constitutionnel était limité aux dispositions des </w:t>
      </w:r>
      <w:r>
        <w:rPr>
          <w:rFonts w:ascii="Calibri" w:eastAsia="Calibri" w:hAnsi="Calibri" w:cs="Calibri"/>
          <w:color w:val="1E88E5"/>
        </w:rPr>
        <w:t>articles 1er à 89</w:t>
      </w:r>
      <w:r>
        <w:rPr>
          <w:rFonts w:ascii="Calibri" w:eastAsia="Calibri" w:hAnsi="Calibri" w:cs="Calibri"/>
          <w:color w:val="1A1A1A"/>
        </w:rPr>
        <w:t xml:space="preserve"> de la </w:t>
      </w:r>
      <w:r>
        <w:rPr>
          <w:rFonts w:ascii="Calibri" w:eastAsia="Calibri" w:hAnsi="Calibri" w:cs="Calibri"/>
          <w:color w:val="1E88E5"/>
        </w:rPr>
        <w:t>Constitution de 1958</w:t>
      </w:r>
      <w:r>
        <w:rPr>
          <w:rFonts w:ascii="Calibri" w:eastAsia="Calibri" w:hAnsi="Calibri" w:cs="Calibri"/>
          <w:color w:val="1A1A1A"/>
        </w:rPr>
        <w:t xml:space="preserve">. Dans cette décision de 1971, les juges constitutionnels ont de manière prétorienne décidé de censurer une loi en se référant à une catégorie de normes mentionnée dans le préambule de la </w:t>
      </w:r>
      <w:r>
        <w:rPr>
          <w:rFonts w:ascii="Calibri" w:eastAsia="Calibri" w:hAnsi="Calibri" w:cs="Calibri"/>
          <w:color w:val="1E88E5"/>
        </w:rPr>
        <w:t>Constitution de 1958</w:t>
      </w:r>
      <w:r>
        <w:rPr>
          <w:rFonts w:ascii="Calibri" w:eastAsia="Calibri" w:hAnsi="Calibri" w:cs="Calibri"/>
          <w:color w:val="1A1A1A"/>
        </w:rPr>
        <w:t xml:space="preserve"> : les principes fondamentaux reconnus par les lois de la République. Cette décision de 1971 n’est pas la première dans laquelle le Conseil constitutionnel mentionne le préambule de la </w:t>
      </w:r>
      <w:r>
        <w:rPr>
          <w:rFonts w:ascii="Calibri" w:eastAsia="Calibri" w:hAnsi="Calibri" w:cs="Calibri"/>
          <w:color w:val="1E88E5"/>
        </w:rPr>
        <w:t>Constitution de 1958</w:t>
      </w:r>
      <w:r>
        <w:rPr>
          <w:rFonts w:ascii="Calibri" w:eastAsia="Calibri" w:hAnsi="Calibri" w:cs="Calibri"/>
          <w:color w:val="1A1A1A"/>
        </w:rPr>
        <w:t xml:space="preserve"> (</w:t>
      </w:r>
      <w:r>
        <w:rPr>
          <w:rFonts w:ascii="Calibri" w:eastAsia="Calibri" w:hAnsi="Calibri" w:cs="Calibri"/>
          <w:color w:val="E91E63"/>
        </w:rPr>
        <w:t xml:space="preserve">Cons. const., </w:t>
      </w:r>
      <w:r w:rsidRPr="009A094A">
        <w:rPr>
          <w:rFonts w:ascii="Calibri" w:eastAsia="Calibri" w:hAnsi="Calibri" w:cs="Calibri"/>
          <w:color w:val="E91D62"/>
        </w:rPr>
        <w:t>no 70-39 DC, 19 juin 1970</w:t>
      </w:r>
      <w:r>
        <w:rPr>
          <w:rFonts w:ascii="Calibri" w:eastAsia="Calibri" w:hAnsi="Calibri" w:cs="Calibri"/>
          <w:color w:val="1A1A1A"/>
        </w:rPr>
        <w:t xml:space="preserve">), mais il s’agit de la première qui censure explicitement sur le fondement du préambule de la </w:t>
      </w:r>
      <w:r>
        <w:rPr>
          <w:rFonts w:ascii="Calibri" w:eastAsia="Calibri" w:hAnsi="Calibri" w:cs="Calibri"/>
          <w:color w:val="1E88E5"/>
        </w:rPr>
        <w:t>Constitution de 1958</w:t>
      </w:r>
      <w:r>
        <w:rPr>
          <w:rFonts w:ascii="Calibri" w:eastAsia="Calibri" w:hAnsi="Calibri" w:cs="Calibri"/>
          <w:color w:val="1A1A1A"/>
        </w:rPr>
        <w:t>. Problématique et annonce du plan : Le conseil constitutionnel fonde désormais son contrôle sur les libertés fondamentales en s’appuyant sur le préambule de la Constitution (I) pour protéger constitutionnellement la liberté d’association (II).</w:t>
      </w:r>
    </w:p>
    <w:p w14:paraId="621B45F1" w14:textId="77777777" w:rsidR="001E3E87" w:rsidRDefault="005258B2">
      <w:pPr>
        <w:pStyle w:val="Titre3"/>
        <w:spacing w:before="190" w:after="80"/>
      </w:pPr>
      <w:r>
        <w:rPr>
          <w:rFonts w:ascii="Calibri" w:eastAsia="Calibri" w:hAnsi="Calibri" w:cs="Calibri"/>
          <w:b/>
          <w:bCs/>
          <w:i/>
          <w:iCs/>
          <w:color w:val="1A1A1A"/>
          <w:sz w:val="21"/>
          <w:szCs w:val="21"/>
        </w:rPr>
        <w:t>I. Le contrôle de constitutionnalité désormais fondé sur les libertés</w:t>
      </w:r>
    </w:p>
    <w:p w14:paraId="4B570D09" w14:textId="77777777" w:rsidR="001E3E87" w:rsidRDefault="005258B2">
      <w:pPr>
        <w:pStyle w:val="Titre3"/>
        <w:spacing w:before="190" w:after="80"/>
      </w:pPr>
      <w:r>
        <w:rPr>
          <w:rFonts w:ascii="Calibri" w:eastAsia="Calibri" w:hAnsi="Calibri" w:cs="Calibri"/>
          <w:b/>
          <w:bCs/>
          <w:i/>
          <w:iCs/>
          <w:color w:val="1A1A1A"/>
          <w:sz w:val="21"/>
          <w:szCs w:val="21"/>
        </w:rPr>
        <w:t>A. Toute la Constitution, rien que la Constitution</w:t>
      </w:r>
    </w:p>
    <w:p w14:paraId="659BEDFB" w14:textId="77777777" w:rsidR="001E3E87" w:rsidRDefault="005258B2">
      <w:pPr>
        <w:spacing w:after="90" w:line="264" w:lineRule="auto"/>
        <w:jc w:val="both"/>
      </w:pPr>
      <w:r>
        <w:rPr>
          <w:rFonts w:ascii="Calibri" w:eastAsia="Calibri" w:hAnsi="Calibri" w:cs="Calibri"/>
          <w:color w:val="1A1A1A"/>
        </w:rPr>
        <w:t xml:space="preserve">Initialement, le Conseil constitutionnel pour effectuer son contrôle de constitutionnalité des lois ne pouvait se référer qu’aux </w:t>
      </w:r>
      <w:r>
        <w:rPr>
          <w:rFonts w:ascii="Calibri" w:eastAsia="Calibri" w:hAnsi="Calibri" w:cs="Calibri"/>
          <w:color w:val="1E88E5"/>
        </w:rPr>
        <w:t>articles 1er à 89</w:t>
      </w:r>
      <w:r>
        <w:rPr>
          <w:rFonts w:ascii="Calibri" w:eastAsia="Calibri" w:hAnsi="Calibri" w:cs="Calibri"/>
          <w:color w:val="1A1A1A"/>
        </w:rPr>
        <w:t xml:space="preserve"> de la Constitution. Le corps de la </w:t>
      </w:r>
      <w:r>
        <w:rPr>
          <w:rFonts w:ascii="Calibri" w:eastAsia="Calibri" w:hAnsi="Calibri" w:cs="Calibri"/>
          <w:color w:val="1E88E5"/>
        </w:rPr>
        <w:t>Constitution de 1958</w:t>
      </w:r>
      <w:r>
        <w:rPr>
          <w:rFonts w:ascii="Calibri" w:eastAsia="Calibri" w:hAnsi="Calibri" w:cs="Calibri"/>
          <w:color w:val="1A1A1A"/>
        </w:rPr>
        <w:t xml:space="preserve"> contient peu de droit et libertés même si certains articles y font tout de même référence. (Exemples : </w:t>
      </w:r>
      <w:r>
        <w:rPr>
          <w:rFonts w:ascii="Calibri" w:eastAsia="Calibri" w:hAnsi="Calibri" w:cs="Calibri"/>
          <w:color w:val="1E88E5"/>
        </w:rPr>
        <w:t>Article 1</w:t>
      </w:r>
      <w:r>
        <w:rPr>
          <w:rFonts w:ascii="Calibri" w:eastAsia="Calibri" w:hAnsi="Calibri" w:cs="Calibri"/>
          <w:color w:val="1A1A1A"/>
        </w:rPr>
        <w:t xml:space="preserve"> : égalité devant la loi de tous les citoyens sans distinction d’origine, de race ou de religion, et l’égalité entre les sexes dans les fonctions électives professionnelles et sociales. </w:t>
      </w:r>
      <w:r>
        <w:rPr>
          <w:rFonts w:ascii="Calibri" w:eastAsia="Calibri" w:hAnsi="Calibri" w:cs="Calibri"/>
          <w:color w:val="1E88E5"/>
        </w:rPr>
        <w:t>Article 2</w:t>
      </w:r>
      <w:r>
        <w:rPr>
          <w:rFonts w:ascii="Calibri" w:eastAsia="Calibri" w:hAnsi="Calibri" w:cs="Calibri"/>
          <w:color w:val="1A1A1A"/>
        </w:rPr>
        <w:t xml:space="preserve"> : forme démocratique du régime et devise « Liberté, égalité, fraternité ». </w:t>
      </w:r>
      <w:r>
        <w:rPr>
          <w:rFonts w:ascii="Calibri" w:eastAsia="Calibri" w:hAnsi="Calibri" w:cs="Calibri"/>
          <w:color w:val="1E88E5"/>
        </w:rPr>
        <w:t>Article 3</w:t>
      </w:r>
      <w:r>
        <w:rPr>
          <w:rFonts w:ascii="Calibri" w:eastAsia="Calibri" w:hAnsi="Calibri" w:cs="Calibri"/>
          <w:color w:val="1A1A1A"/>
        </w:rPr>
        <w:t xml:space="preserve"> : suffrage universel, égal et secret. </w:t>
      </w:r>
      <w:r>
        <w:rPr>
          <w:rFonts w:ascii="Calibri" w:eastAsia="Calibri" w:hAnsi="Calibri" w:cs="Calibri"/>
          <w:color w:val="1E88E5"/>
        </w:rPr>
        <w:t>Article 4</w:t>
      </w:r>
      <w:r>
        <w:rPr>
          <w:rFonts w:ascii="Calibri" w:eastAsia="Calibri" w:hAnsi="Calibri" w:cs="Calibri"/>
          <w:color w:val="1A1A1A"/>
        </w:rPr>
        <w:t xml:space="preserve"> : pluralisme et liberté des partis politiques. Cette limitation au corps même de la Constitution restreignait le champ des normes applicables par le Conseil constitutionnel lors de son contrôle.</w:t>
      </w:r>
    </w:p>
    <w:p w14:paraId="2A059C9D" w14:textId="77777777" w:rsidR="001E3E87" w:rsidRDefault="005258B2">
      <w:pPr>
        <w:pStyle w:val="Titre3"/>
        <w:spacing w:before="190" w:after="80"/>
      </w:pPr>
      <w:r>
        <w:rPr>
          <w:rFonts w:ascii="Calibri" w:eastAsia="Calibri" w:hAnsi="Calibri" w:cs="Calibri"/>
          <w:b/>
          <w:bCs/>
          <w:i/>
          <w:iCs/>
          <w:color w:val="1A1A1A"/>
          <w:sz w:val="21"/>
          <w:szCs w:val="21"/>
        </w:rPr>
        <w:t>B. La création prétorienne du bloc de constitutionnalité</w:t>
      </w:r>
    </w:p>
    <w:p w14:paraId="3455F220" w14:textId="77777777" w:rsidR="001E3E87" w:rsidRDefault="005258B2">
      <w:pPr>
        <w:spacing w:after="90" w:line="264" w:lineRule="auto"/>
        <w:jc w:val="both"/>
      </w:pPr>
      <w:r>
        <w:rPr>
          <w:rFonts w:ascii="Calibri" w:eastAsia="Calibri" w:hAnsi="Calibri" w:cs="Calibri"/>
          <w:color w:val="1A1A1A"/>
        </w:rPr>
        <w:t xml:space="preserve">Nécessité pour le Conseil constitutionnel d’utiliser le préambule de la </w:t>
      </w:r>
      <w:r>
        <w:rPr>
          <w:rFonts w:ascii="Calibri" w:eastAsia="Calibri" w:hAnsi="Calibri" w:cs="Calibri"/>
          <w:color w:val="1E88E5"/>
        </w:rPr>
        <w:t>Constitution de 1958</w:t>
      </w:r>
      <w:r>
        <w:rPr>
          <w:rFonts w:ascii="Calibri" w:eastAsia="Calibri" w:hAnsi="Calibri" w:cs="Calibri"/>
          <w:color w:val="1A1A1A"/>
        </w:rPr>
        <w:t xml:space="preserve"> qui fait référence à la </w:t>
      </w:r>
      <w:r>
        <w:rPr>
          <w:rFonts w:ascii="Calibri" w:eastAsia="Calibri" w:hAnsi="Calibri" w:cs="Calibri"/>
          <w:color w:val="1E88E5"/>
        </w:rPr>
        <w:t>Déclaration des droits de l’homme et du citoyen</w:t>
      </w:r>
      <w:r>
        <w:rPr>
          <w:rFonts w:ascii="Calibri" w:eastAsia="Calibri" w:hAnsi="Calibri" w:cs="Calibri"/>
          <w:color w:val="1A1A1A"/>
        </w:rPr>
        <w:t>, au préambule de 1946 (la Charte de l’environnement de 2004 sera rajoutée en 2005 par une révision constitutionnelle). Et par ricochet, utilisation des principes fondamentaux reconnus par les lois de la République présents dans le préambule de 1946.</w:t>
      </w:r>
    </w:p>
    <w:p w14:paraId="60368D37" w14:textId="77777777" w:rsidR="001E3E87" w:rsidRDefault="005258B2">
      <w:pPr>
        <w:pStyle w:val="Titre3"/>
        <w:spacing w:before="190" w:after="80"/>
      </w:pPr>
      <w:r>
        <w:rPr>
          <w:rFonts w:ascii="Calibri" w:eastAsia="Calibri" w:hAnsi="Calibri" w:cs="Calibri"/>
          <w:b/>
          <w:bCs/>
          <w:i/>
          <w:iCs/>
          <w:color w:val="1A1A1A"/>
          <w:sz w:val="21"/>
          <w:szCs w:val="21"/>
        </w:rPr>
        <w:t>II. La consécration constitutionnelle de la liberté d’association</w:t>
      </w:r>
    </w:p>
    <w:p w14:paraId="27D45DC9" w14:textId="77777777" w:rsidR="001E3E87" w:rsidRDefault="005258B2">
      <w:pPr>
        <w:pStyle w:val="Titre3"/>
        <w:spacing w:before="190" w:after="80"/>
      </w:pPr>
      <w:r>
        <w:rPr>
          <w:rFonts w:ascii="Calibri" w:eastAsia="Calibri" w:hAnsi="Calibri" w:cs="Calibri"/>
          <w:b/>
          <w:bCs/>
          <w:i/>
          <w:iCs/>
          <w:color w:val="1A1A1A"/>
          <w:sz w:val="21"/>
          <w:szCs w:val="21"/>
        </w:rPr>
        <w:t>A. Une tentative législative de restriction de la liberté d’association</w:t>
      </w:r>
    </w:p>
    <w:p w14:paraId="191EA397" w14:textId="77777777" w:rsidR="001E3E87" w:rsidRDefault="005258B2">
      <w:pPr>
        <w:spacing w:after="90" w:line="264" w:lineRule="auto"/>
        <w:jc w:val="both"/>
      </w:pPr>
      <w:r>
        <w:rPr>
          <w:rFonts w:ascii="Calibri" w:eastAsia="Calibri" w:hAnsi="Calibri" w:cs="Calibri"/>
          <w:color w:val="1A1A1A"/>
        </w:rPr>
        <w:t>La loi soumise au Conseil constitutionnel avait pour objet de modifier la loi du 1er juillet 1901 qui consacrait la liberté d’association. Elle avait pour objet de rendre cette dernière plus restrictive en permettant au préfet de saisir le juge judiciaire pour contrôler l’objet de l’association avant la remise du récépissé de déclaration permettant à l’association d’exister. In fine, cela revenait à mettre en place un régime d’autorisation et non plus de simple déclaration pour permettre la constitution d’une association. En l’espèce, il s’agissait de s’opposer à l’association « Les amis de la cause du peuple » fondée par Simone de Beauvoir et M. Leyris.</w:t>
      </w:r>
    </w:p>
    <w:p w14:paraId="47769AD7" w14:textId="77777777" w:rsidR="001E3E87" w:rsidRDefault="005258B2">
      <w:pPr>
        <w:pStyle w:val="Titre3"/>
        <w:spacing w:before="190" w:after="80"/>
      </w:pPr>
      <w:r>
        <w:rPr>
          <w:rFonts w:ascii="Calibri" w:eastAsia="Calibri" w:hAnsi="Calibri" w:cs="Calibri"/>
          <w:b/>
          <w:bCs/>
          <w:i/>
          <w:iCs/>
          <w:color w:val="1A1A1A"/>
          <w:sz w:val="21"/>
          <w:szCs w:val="21"/>
        </w:rPr>
        <w:t>B. La valeur de la liberté d’association</w:t>
      </w:r>
    </w:p>
    <w:p w14:paraId="2C1F12C8" w14:textId="77777777" w:rsidR="001E3E87" w:rsidRDefault="005258B2">
      <w:pPr>
        <w:spacing w:after="90" w:line="264" w:lineRule="auto"/>
        <w:jc w:val="both"/>
      </w:pPr>
      <w:r>
        <w:rPr>
          <w:rFonts w:ascii="Calibri" w:eastAsia="Calibri" w:hAnsi="Calibri" w:cs="Calibri"/>
          <w:color w:val="1A1A1A"/>
        </w:rPr>
        <w:t xml:space="preserve">Depuis la loi de 1901, la liberté d’association n’a pas été consacrée constitutionnellement. Le Conseil d’État l’avait déjà reconnue comme principe fondamental reconnu par les lois de la République </w:t>
      </w:r>
      <w:r w:rsidRPr="002538AC">
        <w:rPr>
          <w:rFonts w:ascii="Calibri" w:eastAsia="Calibri" w:hAnsi="Calibri" w:cs="Calibri"/>
          <w:color w:val="FF1393"/>
        </w:rPr>
        <w:t>(CE, ass., 11 juillet 1956, Amicale des annamites de Paris)</w:t>
      </w:r>
      <w:r>
        <w:rPr>
          <w:rFonts w:ascii="Calibri" w:eastAsia="Calibri" w:hAnsi="Calibri" w:cs="Calibri"/>
          <w:color w:val="1A1A1A"/>
        </w:rPr>
        <w:t xml:space="preserve">. Confirmation dans la décision du Conseil constitutionnel qui la consacre et nourrit une nouvelle </w:t>
      </w:r>
      <w:r>
        <w:rPr>
          <w:rFonts w:ascii="Calibri" w:eastAsia="Calibri" w:hAnsi="Calibri" w:cs="Calibri"/>
          <w:color w:val="1A1A1A"/>
        </w:rPr>
        <w:lastRenderedPageBreak/>
        <w:t>catégorie de normes constitutionnelles. Liberté d’association : concentre tous les aspects de la reconnaissance du droit à l’action collective. Volet négatif de la liberté d’association : liberté pour l’individu de ne pas être contraint par la loi ou la puissance publique à s’associer. Nombreux droits reconnus aux associations : principe d’égalité entre les associations, droit d’ester en justice.</w:t>
      </w:r>
    </w:p>
    <w:p w14:paraId="3F2052FB" w14:textId="77777777" w:rsidR="001E3E87" w:rsidRDefault="005258B2">
      <w:pPr>
        <w:spacing w:after="90" w:line="264" w:lineRule="auto"/>
        <w:jc w:val="both"/>
      </w:pPr>
      <w:r>
        <w:rPr>
          <w:rFonts w:ascii="Calibri" w:eastAsia="Calibri" w:hAnsi="Calibri" w:cs="Calibri"/>
          <w:color w:val="1A1A1A"/>
        </w:rPr>
        <w:t>En conclusion, le Conseil constitutionnel est ainsi devenu acteur et maître du contrôle de constitutionnalité des lois en élargissant les normes de référence pour exercer son contrôle de constitutionnalité des lois en garantissant le plus largement possible les différents droits et libertés fondamentaux.</w:t>
      </w:r>
    </w:p>
    <w:p w14:paraId="561C363B" w14:textId="77777777" w:rsidR="001E3E87" w:rsidRDefault="005258B2">
      <w:r>
        <w:br w:type="page"/>
      </w:r>
    </w:p>
    <w:p w14:paraId="1359677A"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10 — COMMENTAIRE DE TEXTE</w:t>
      </w:r>
    </w:p>
    <w:p w14:paraId="67E37854" w14:textId="77777777" w:rsidR="001E3E87" w:rsidRDefault="005258B2">
      <w:pPr>
        <w:spacing w:after="160"/>
      </w:pPr>
      <w:r>
        <w:rPr>
          <w:rFonts w:ascii="Calibri" w:eastAsia="Calibri" w:hAnsi="Calibri" w:cs="Calibri"/>
          <w:i/>
          <w:iCs/>
          <w:color w:val="5A5A5A"/>
          <w:sz w:val="18"/>
          <w:szCs w:val="18"/>
        </w:rPr>
        <w:t>Fiche n° 10 — Le bloc de légalité  |  PARTIE II. LES SOURCES INTERNES  |  Fascicule p. 102</w:t>
      </w:r>
    </w:p>
    <w:p w14:paraId="1C8C1385"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44D5A976" w14:textId="77777777" w:rsidR="001E3E87" w:rsidRDefault="005258B2">
      <w:pPr>
        <w:pBdr>
          <w:left w:val="single" w:sz="12" w:space="10" w:color="8C1C2B"/>
        </w:pBdr>
        <w:spacing w:after="90" w:line="264" w:lineRule="auto"/>
        <w:ind w:left="260"/>
        <w:jc w:val="both"/>
      </w:pPr>
      <w:r>
        <w:rPr>
          <w:rFonts w:ascii="Calibri" w:eastAsia="Calibri" w:hAnsi="Calibri" w:cs="Calibri"/>
          <w:color w:val="1E88E5"/>
        </w:rPr>
        <w:t>Loi constitutionnelle no 2024-</w:t>
      </w:r>
      <w:r w:rsidRPr="00626788">
        <w:rPr>
          <w:rFonts w:ascii="Calibri" w:eastAsia="Calibri" w:hAnsi="Calibri" w:cs="Calibri"/>
          <w:color w:val="1E88C7"/>
        </w:rPr>
        <w:t>200 du 8 mars 2024 relative à la liberté de recourir à l’interruption volontaire de grossesse</w:t>
      </w:r>
      <w:r>
        <w:rPr>
          <w:rFonts w:ascii="Calibri" w:eastAsia="Calibri" w:hAnsi="Calibri" w:cs="Calibri"/>
          <w:color w:val="1A1A1A"/>
        </w:rPr>
        <w:t xml:space="preserve"> : Article unique : « Après le dix-septième alinéa de l’</w:t>
      </w:r>
      <w:r>
        <w:rPr>
          <w:rFonts w:ascii="Calibri" w:eastAsia="Calibri" w:hAnsi="Calibri" w:cs="Calibri"/>
          <w:color w:val="1E88E5"/>
        </w:rPr>
        <w:t>article 34</w:t>
      </w:r>
      <w:r>
        <w:rPr>
          <w:rFonts w:ascii="Calibri" w:eastAsia="Calibri" w:hAnsi="Calibri" w:cs="Calibri"/>
          <w:color w:val="1A1A1A"/>
        </w:rPr>
        <w:t xml:space="preserve"> de la Constitution, il est inséré un alinéa ainsi rédigé : “La loi détermine les conditions dans lesquelles s’exerce la liberté garantie à la femme d’avoir recours à une interruption volontaire de grossesse”. La présente loi sera exécutée comme loi de l’État. »</w:t>
      </w:r>
    </w:p>
    <w:p w14:paraId="53D2ED08"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5DDC2B97" w14:textId="77777777" w:rsidR="001E3E87" w:rsidRDefault="005258B2">
      <w:pPr>
        <w:spacing w:after="90" w:line="264" w:lineRule="auto"/>
        <w:jc w:val="both"/>
      </w:pPr>
      <w:r>
        <w:rPr>
          <w:rFonts w:ascii="Calibri" w:eastAsia="Calibri" w:hAnsi="Calibri" w:cs="Calibri"/>
          <w:color w:val="1A1A1A"/>
        </w:rPr>
        <w:t>Face à un risque de recul des droits des femmes et notamment de la liberté de recourir à l’avortement, le 8 mai 2024, la France est devenue le premier état à faire entrer dans sa Constitution une telle liberté. L’objectif affiché d’une telle démarche était d’empêcher pour l’avenir toute remise en cause de cette liberté par la loi. En effet, jusque-là, ce droit n’avait aucune valeur constitutionnelle, le Conseil constitutionnel s’étant refusé de lui conférer une telle valeur. En d’autres termes, la liberté de la femme de recourir à l’avortement était une affaire du législateur : la loi Veil de 1975 relative à l’interruption volontaire de grossesse a permis de dépénaliser le recours à l’avortement puis une autre loi de 1979 a permis de rendre définitives les dispositions de la loi de 1975. D’autres lois sont venues apporter quelques précisions notamment en supprimant la notion « situation de détresse » ou encore afin d’allonger le délai légal de recours de 12 à 14 semaines par une loi du 2 mars 2022. Cependant, ce que la loi pouvait faire, elle pouvait le défaire à défaut d’ancrage constitutionnel. L’IVG était donc à la merci d’un changement de majorité au Parlement. C’est à cette difficulté que tend à répondre la loi constitutionnelle du 8 mars 2024 destinée à modifier l’</w:t>
      </w:r>
      <w:r>
        <w:rPr>
          <w:rFonts w:ascii="Calibri" w:eastAsia="Calibri" w:hAnsi="Calibri" w:cs="Calibri"/>
          <w:color w:val="1E88E5"/>
        </w:rPr>
        <w:t>article 34</w:t>
      </w:r>
      <w:r>
        <w:rPr>
          <w:rFonts w:ascii="Calibri" w:eastAsia="Calibri" w:hAnsi="Calibri" w:cs="Calibri"/>
          <w:color w:val="1A1A1A"/>
        </w:rPr>
        <w:t xml:space="preserve"> de la Constitution. Aux termes de plusieurs débats au sein de chaque assemblée parlementaire, le Parlement réuni en congrès a approuvé le projet avec 780 pour et 72 contre. Par cette loi constitutionnelle, l’</w:t>
      </w:r>
      <w:r>
        <w:rPr>
          <w:rFonts w:ascii="Calibri" w:eastAsia="Calibri" w:hAnsi="Calibri" w:cs="Calibri"/>
          <w:color w:val="1E88E5"/>
        </w:rPr>
        <w:t>article 34</w:t>
      </w:r>
      <w:r>
        <w:rPr>
          <w:rFonts w:ascii="Calibri" w:eastAsia="Calibri" w:hAnsi="Calibri" w:cs="Calibri"/>
          <w:color w:val="1A1A1A"/>
        </w:rPr>
        <w:t xml:space="preserve"> de la Constitution prévoit désormais que le législateur dispose d’une compétence pour déterminer les conditions d’exercice de la liberté de recourir à l’IVG. Il convient de comprendre les incidences de la loi sur l’exercice de cette liberté.</w:t>
      </w:r>
    </w:p>
    <w:p w14:paraId="628117F8"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Dans quelle mesure cette loi constitutionnelle est venue bouleverser la conception traditionnelle du droit de recourir à l’interruption volontaire de grossesse ? Cette modification de l’</w:t>
      </w:r>
      <w:r>
        <w:rPr>
          <w:rFonts w:ascii="Calibri" w:eastAsia="Calibri" w:hAnsi="Calibri" w:cs="Calibri"/>
          <w:color w:val="1E88E5"/>
        </w:rPr>
        <w:t>article 34</w:t>
      </w:r>
      <w:r>
        <w:rPr>
          <w:rFonts w:ascii="Calibri" w:eastAsia="Calibri" w:hAnsi="Calibri" w:cs="Calibri"/>
          <w:color w:val="1A1A1A"/>
        </w:rPr>
        <w:t xml:space="preserve"> de la Constitution permet une reconnaissance constitutionnelle de cette liberté (I) tout en encadrant la possibilité pour le législateur d’y porter atteinte (II).</w:t>
      </w:r>
    </w:p>
    <w:p w14:paraId="0D817650" w14:textId="77777777" w:rsidR="001E3E87" w:rsidRDefault="005258B2">
      <w:pPr>
        <w:pStyle w:val="Titre3"/>
        <w:spacing w:before="190" w:after="80"/>
      </w:pPr>
      <w:r>
        <w:rPr>
          <w:rFonts w:ascii="Calibri" w:eastAsia="Calibri" w:hAnsi="Calibri" w:cs="Calibri"/>
          <w:b/>
          <w:bCs/>
          <w:i/>
          <w:iCs/>
          <w:color w:val="1A1A1A"/>
          <w:sz w:val="21"/>
          <w:szCs w:val="21"/>
        </w:rPr>
        <w:t>I. Une reconnaissance constitutionnelle de la liberté d’avorter</w:t>
      </w:r>
    </w:p>
    <w:p w14:paraId="3AA4A026" w14:textId="77777777" w:rsidR="001E3E87" w:rsidRDefault="005258B2">
      <w:pPr>
        <w:pStyle w:val="Titre3"/>
        <w:spacing w:before="190" w:after="80"/>
      </w:pPr>
      <w:r>
        <w:rPr>
          <w:rFonts w:ascii="Calibri" w:eastAsia="Calibri" w:hAnsi="Calibri" w:cs="Calibri"/>
          <w:b/>
          <w:bCs/>
          <w:i/>
          <w:iCs/>
          <w:color w:val="1A1A1A"/>
          <w:sz w:val="21"/>
          <w:szCs w:val="21"/>
        </w:rPr>
        <w:t>A. Une inscription dans un contexte troublé</w:t>
      </w:r>
    </w:p>
    <w:p w14:paraId="58A09769" w14:textId="77777777" w:rsidR="001E3E87" w:rsidRDefault="005258B2">
      <w:pPr>
        <w:spacing w:after="90" w:line="264" w:lineRule="auto"/>
        <w:jc w:val="both"/>
      </w:pPr>
      <w:r>
        <w:rPr>
          <w:rFonts w:ascii="Calibri" w:eastAsia="Calibri" w:hAnsi="Calibri" w:cs="Calibri"/>
          <w:color w:val="1A1A1A"/>
        </w:rPr>
        <w:t>Cette réforme intervient dans un contexte où plusieurs pays, notamment les États-Unis depuis l’arrêt Dobbs v. Jackson Women’s Health Organization (2022) de la Cour suprême, ont restreint voire ont supprimé l’accès à l’avortement. En réponse, le constituant français entend prévenir une régression du droit à l’IVG en élevant sa protection au niveau constitutionnel. Les avancées sociales majeures aux États-Unis sont le fruit de la Cour suprême (mariage des couples de même sexe, IVG, déségrégation) tandis qu’en France, c’est le législateur qui se saisit souvent de ces questions (loi Veil de 1975, loi Taubira de 2013). Cette compétence du législateur s’explique par l’ancienne tradition légicentriste, mais aussi par la compétence constitutionnelle du Parlement en matière de détermination des droits et libertés.</w:t>
      </w:r>
    </w:p>
    <w:p w14:paraId="23DD8D89" w14:textId="77777777" w:rsidR="001E3E87" w:rsidRDefault="005258B2">
      <w:pPr>
        <w:pStyle w:val="Titre3"/>
        <w:spacing w:before="190" w:after="80"/>
      </w:pPr>
      <w:r>
        <w:rPr>
          <w:rFonts w:ascii="Calibri" w:eastAsia="Calibri" w:hAnsi="Calibri" w:cs="Calibri"/>
          <w:b/>
          <w:bCs/>
          <w:i/>
          <w:iCs/>
          <w:color w:val="1A1A1A"/>
          <w:sz w:val="21"/>
          <w:szCs w:val="21"/>
        </w:rPr>
        <w:t>B. La consécration au sein de l’</w:t>
      </w:r>
      <w:r>
        <w:rPr>
          <w:rFonts w:ascii="Calibri" w:eastAsia="Calibri" w:hAnsi="Calibri" w:cs="Calibri"/>
          <w:b/>
          <w:bCs/>
          <w:i/>
          <w:iCs/>
          <w:color w:val="1E88E5"/>
          <w:sz w:val="21"/>
          <w:szCs w:val="21"/>
        </w:rPr>
        <w:t>article 34</w:t>
      </w:r>
      <w:r>
        <w:rPr>
          <w:rFonts w:ascii="Calibri" w:eastAsia="Calibri" w:hAnsi="Calibri" w:cs="Calibri"/>
          <w:b/>
          <w:bCs/>
          <w:i/>
          <w:iCs/>
          <w:color w:val="1A1A1A"/>
          <w:sz w:val="21"/>
          <w:szCs w:val="21"/>
        </w:rPr>
        <w:t xml:space="preserve"> de la Constitution</w:t>
      </w:r>
    </w:p>
    <w:p w14:paraId="058B73F3" w14:textId="77777777" w:rsidR="001E3E87" w:rsidRDefault="005258B2">
      <w:pPr>
        <w:spacing w:after="90" w:line="264" w:lineRule="auto"/>
        <w:jc w:val="both"/>
      </w:pPr>
      <w:r>
        <w:rPr>
          <w:rFonts w:ascii="Calibri" w:eastAsia="Calibri" w:hAnsi="Calibri" w:cs="Calibri"/>
          <w:color w:val="1A1A1A"/>
        </w:rPr>
        <w:t>Un nouvel alinéa est introduit dans l’</w:t>
      </w:r>
      <w:r>
        <w:rPr>
          <w:rFonts w:ascii="Calibri" w:eastAsia="Calibri" w:hAnsi="Calibri" w:cs="Calibri"/>
          <w:color w:val="1E88E5"/>
        </w:rPr>
        <w:t>article 34</w:t>
      </w:r>
      <w:r>
        <w:rPr>
          <w:rFonts w:ascii="Calibri" w:eastAsia="Calibri" w:hAnsi="Calibri" w:cs="Calibri"/>
          <w:color w:val="1A1A1A"/>
        </w:rPr>
        <w:t xml:space="preserve"> de la Constitution relatif au domaine de la loi. Ce choix témoigne d’une volonté de constitutionnaliser non pas un droit fondamental stricto sensu, mais une « liberté garantie », dont l’exercice relève du législateur. Il s’agit d’un équilibre entre affirmation de principe et encadrement parlementaire. L’insertion dans la Constitution empêche toute remise en cause totale par la loi de cette liberté et réserve le soin au législateur de déterminer les conditions d’exercice. Cette modification permet de contrebalancer l’absence de protection supra-législative de cette liberté : le Conseil constitutionnel refusait de consacrer un principe constitutionnel et la CEDH reste prudente sur cette question en renvoyant à la marge d’appréciation des États.</w:t>
      </w:r>
    </w:p>
    <w:p w14:paraId="092FADA5" w14:textId="77777777" w:rsidR="00627E67" w:rsidRDefault="00627E67">
      <w:pPr>
        <w:pStyle w:val="Titre3"/>
        <w:spacing w:before="190" w:after="80"/>
        <w:rPr>
          <w:rFonts w:ascii="Calibri" w:eastAsia="Calibri" w:hAnsi="Calibri" w:cs="Calibri"/>
          <w:b/>
          <w:bCs/>
          <w:i/>
          <w:iCs/>
          <w:color w:val="1A1A1A"/>
          <w:sz w:val="21"/>
          <w:szCs w:val="21"/>
        </w:rPr>
      </w:pPr>
    </w:p>
    <w:p w14:paraId="2A9BAA0F" w14:textId="77777777" w:rsidR="00627E67" w:rsidRDefault="00627E67">
      <w:pPr>
        <w:pStyle w:val="Titre3"/>
        <w:spacing w:before="190" w:after="80"/>
        <w:rPr>
          <w:rFonts w:ascii="Calibri" w:eastAsia="Calibri" w:hAnsi="Calibri" w:cs="Calibri"/>
          <w:b/>
          <w:bCs/>
          <w:i/>
          <w:iCs/>
          <w:color w:val="1A1A1A"/>
          <w:sz w:val="21"/>
          <w:szCs w:val="21"/>
        </w:rPr>
      </w:pPr>
    </w:p>
    <w:p w14:paraId="51EBE713" w14:textId="35341879" w:rsidR="001E3E87" w:rsidRDefault="005258B2">
      <w:pPr>
        <w:pStyle w:val="Titre3"/>
        <w:spacing w:before="190" w:after="80"/>
      </w:pPr>
      <w:r>
        <w:rPr>
          <w:rFonts w:ascii="Calibri" w:eastAsia="Calibri" w:hAnsi="Calibri" w:cs="Calibri"/>
          <w:b/>
          <w:bCs/>
          <w:i/>
          <w:iCs/>
          <w:color w:val="1A1A1A"/>
          <w:sz w:val="21"/>
          <w:szCs w:val="21"/>
        </w:rPr>
        <w:lastRenderedPageBreak/>
        <w:t>II. Les implications juridiques de la constitutionnalisation</w:t>
      </w:r>
    </w:p>
    <w:p w14:paraId="620CADC6" w14:textId="77777777" w:rsidR="001E3E87" w:rsidRDefault="005258B2">
      <w:pPr>
        <w:pStyle w:val="Titre3"/>
        <w:spacing w:before="190" w:after="80"/>
      </w:pPr>
      <w:r>
        <w:rPr>
          <w:rFonts w:ascii="Calibri" w:eastAsia="Calibri" w:hAnsi="Calibri" w:cs="Calibri"/>
          <w:b/>
          <w:bCs/>
          <w:i/>
          <w:iCs/>
          <w:color w:val="1A1A1A"/>
          <w:sz w:val="21"/>
          <w:szCs w:val="21"/>
        </w:rPr>
        <w:t>A. Une nouvelle norme de référence du contrôle de la loi</w:t>
      </w:r>
    </w:p>
    <w:p w14:paraId="1B737806" w14:textId="77777777" w:rsidR="001E3E87" w:rsidRDefault="005258B2">
      <w:pPr>
        <w:spacing w:after="90" w:line="264" w:lineRule="auto"/>
        <w:jc w:val="both"/>
      </w:pPr>
      <w:r>
        <w:rPr>
          <w:rFonts w:ascii="Calibri" w:eastAsia="Calibri" w:hAnsi="Calibri" w:cs="Calibri"/>
          <w:color w:val="1A1A1A"/>
        </w:rPr>
        <w:t>La terminologie choisie – « liberté garantie » – confère à l’IVG un statut supérieur dans la hiérarchie des normes. Toute loi future portant atteinte à cette liberté pourrait faire l’objet d’une censure par le Conseil constitutionnel. Le contrôle de constitutionnalité (y compris par voie de QPC) pourrait donc devenir un outil de protection renforcée contre d’éventuelles atteintes. La mention explicite du fait que « la loi détermine les conditions » d’exercice de cette liberté souligne que le législateur garde la main sur l’encadrement du recours à l’IVG : délais, modalités, obligations d’information ou d’accompagnement… Ainsi, la liberté d’avorter est protégée, mais non absolutisée : son exercice pourra continuer à faire l’objet de régulations raisonnables, pourvu qu’elles ne portent pas atteinte à son essence.</w:t>
      </w:r>
    </w:p>
    <w:p w14:paraId="37D031A8" w14:textId="77777777" w:rsidR="001E3E87" w:rsidRDefault="005258B2">
      <w:pPr>
        <w:pStyle w:val="Titre3"/>
        <w:spacing w:before="190" w:after="80"/>
      </w:pPr>
      <w:r>
        <w:rPr>
          <w:rFonts w:ascii="Calibri" w:eastAsia="Calibri" w:hAnsi="Calibri" w:cs="Calibri"/>
          <w:b/>
          <w:bCs/>
          <w:i/>
          <w:iCs/>
          <w:color w:val="1A1A1A"/>
          <w:sz w:val="21"/>
          <w:szCs w:val="21"/>
        </w:rPr>
        <w:t>B. L’absence d’empiètement sur d’autres droits</w:t>
      </w:r>
    </w:p>
    <w:p w14:paraId="490DCBB4" w14:textId="77777777" w:rsidR="001E3E87" w:rsidRDefault="005258B2">
      <w:pPr>
        <w:spacing w:after="90" w:line="264" w:lineRule="auto"/>
        <w:jc w:val="both"/>
      </w:pPr>
      <w:r>
        <w:rPr>
          <w:rFonts w:ascii="Calibri" w:eastAsia="Calibri" w:hAnsi="Calibri" w:cs="Calibri"/>
          <w:color w:val="1A1A1A"/>
        </w:rPr>
        <w:t>La consécration de cette liberté ne remet pas en cause l’exercice d’autres libertés, notamment la liberté de conscience des médecins et des sage-femmes qui leur permet de ne pas pratiquer l’IVG si cet acte est contraire à leurs convictions. Concernant la clause de conscience, elle est reconnue et préservée. Si cette clause doit être maintenue, elle peut, dans certains cas, notamment en l’absence de nombre suffisant de praticiens exerçant l’intervention ou encore en cas d’information défaillante des femmes concernées, constituer un obstacle à l’IVG. En conclusion, cette révision constitutionnelle a permis de pérenniser le droit de recourir à l’IVG tout en assurant un juste équilibre avec les autres droits. Désormais, le législateur peut adapter le principe sans le remettre en cause.</w:t>
      </w:r>
    </w:p>
    <w:p w14:paraId="314C91C8" w14:textId="77777777" w:rsidR="001E3E87" w:rsidRDefault="005258B2">
      <w:r>
        <w:br w:type="page"/>
      </w:r>
    </w:p>
    <w:p w14:paraId="618173E1"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11 — DISSERTATION</w:t>
      </w:r>
    </w:p>
    <w:p w14:paraId="3E4770DB" w14:textId="77777777" w:rsidR="001E3E87" w:rsidRDefault="005258B2">
      <w:pPr>
        <w:spacing w:after="160"/>
      </w:pPr>
      <w:r>
        <w:rPr>
          <w:rFonts w:ascii="Calibri" w:eastAsia="Calibri" w:hAnsi="Calibri" w:cs="Calibri"/>
          <w:i/>
          <w:iCs/>
          <w:color w:val="5A5A5A"/>
          <w:sz w:val="18"/>
          <w:szCs w:val="18"/>
        </w:rPr>
        <w:t>Fiche n° 11 — Le règlement et les libertés  |  PARTIE II. LES SOURCES INTERNES  |  Fascicule p. 113</w:t>
      </w:r>
    </w:p>
    <w:p w14:paraId="55C14D89"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73C861A6"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Le pouvoir règlementaire est-il gardien des libertés ?</w:t>
      </w:r>
    </w:p>
    <w:p w14:paraId="6957182F"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4D47BF14" w14:textId="77777777" w:rsidR="001E3E87" w:rsidRDefault="005258B2">
      <w:pPr>
        <w:spacing w:after="90" w:line="264" w:lineRule="auto"/>
        <w:jc w:val="both"/>
      </w:pPr>
      <w:r>
        <w:rPr>
          <w:rFonts w:ascii="Calibri" w:eastAsia="Calibri" w:hAnsi="Calibri" w:cs="Calibri"/>
          <w:color w:val="1A1A1A"/>
        </w:rPr>
        <w:t>En France, le pouvoir règlementaire, défini comme la compétence de prendre des actes de portée générale et impersonnelle en dehors du champ de la loi, est un attribut essentiel du pouvoir exécutif. Il est exercé principalement par le Premier ministre (</w:t>
      </w:r>
      <w:r>
        <w:rPr>
          <w:rFonts w:ascii="Calibri" w:eastAsia="Calibri" w:hAnsi="Calibri" w:cs="Calibri"/>
          <w:color w:val="1E88E5"/>
        </w:rPr>
        <w:t>art. 21</w:t>
      </w:r>
      <w:r>
        <w:rPr>
          <w:rFonts w:ascii="Calibri" w:eastAsia="Calibri" w:hAnsi="Calibri" w:cs="Calibri"/>
          <w:color w:val="1A1A1A"/>
        </w:rPr>
        <w:t xml:space="preserve"> de la Constitution) et le président de la République (</w:t>
      </w:r>
      <w:r>
        <w:rPr>
          <w:rFonts w:ascii="Calibri" w:eastAsia="Calibri" w:hAnsi="Calibri" w:cs="Calibri"/>
          <w:color w:val="1E88E5"/>
        </w:rPr>
        <w:t>art. 13</w:t>
      </w:r>
      <w:r>
        <w:rPr>
          <w:rFonts w:ascii="Calibri" w:eastAsia="Calibri" w:hAnsi="Calibri" w:cs="Calibri"/>
          <w:color w:val="1A1A1A"/>
        </w:rPr>
        <w:t xml:space="preserve">), mais aussi par les autorités déconcentrées et décentralisées. Traditionnellement perçu comme un simple outil d’exécution des lois, le pouvoir règlementaire joue néanmoins un rôle non négligeable dans la définition et l’encadrement des libertés publiques, qu’il contribue à organiser, mais aussi parfois à restreindre. Dans un État de droit démocratique, les libertés publiques constituent un socle fondamental, c’est pourquoi la </w:t>
      </w:r>
      <w:r>
        <w:rPr>
          <w:rFonts w:ascii="Calibri" w:eastAsia="Calibri" w:hAnsi="Calibri" w:cs="Calibri"/>
          <w:color w:val="1E88E5"/>
        </w:rPr>
        <w:t>Constitution de 1958</w:t>
      </w:r>
      <w:r>
        <w:rPr>
          <w:rFonts w:ascii="Calibri" w:eastAsia="Calibri" w:hAnsi="Calibri" w:cs="Calibri"/>
          <w:color w:val="1A1A1A"/>
        </w:rPr>
        <w:t xml:space="preserve"> réserve au législateur le soin d’en déterminer les modalités d’exercice. Cependant, progressivement, le pouvoir règlementaire a été doté d’un arsenal juridique lui permettant de connaître des questions intéressant les libertés.</w:t>
      </w:r>
    </w:p>
    <w:p w14:paraId="547A53B5" w14:textId="77777777" w:rsidR="001E3E87" w:rsidRDefault="005258B2">
      <w:pPr>
        <w:spacing w:after="90" w:line="264" w:lineRule="auto"/>
        <w:jc w:val="both"/>
      </w:pPr>
      <w:r>
        <w:rPr>
          <w:rFonts w:ascii="Calibri" w:eastAsia="Calibri" w:hAnsi="Calibri" w:cs="Calibri"/>
          <w:b/>
          <w:bCs/>
          <w:color w:val="1A1A1A"/>
        </w:rPr>
        <w:t>Problématique/fil directeur:</w:t>
      </w:r>
      <w:r>
        <w:rPr>
          <w:rFonts w:ascii="Calibri" w:eastAsia="Calibri" w:hAnsi="Calibri" w:cs="Calibri"/>
          <w:color w:val="1A1A1A"/>
        </w:rPr>
        <w:t xml:space="preserve"> Dans quelle mesure le pouvoir règlementaire, bien qu’issu de l’exécutif, peut-il être perçu comme un garant des libertés fondamentales, alors même qu’il détient un pouvoir normatif susceptible de les restreindre ?</w:t>
      </w:r>
    </w:p>
    <w:p w14:paraId="73EA20BD" w14:textId="77777777" w:rsidR="001E3E87" w:rsidRDefault="005258B2">
      <w:pPr>
        <w:spacing w:after="90" w:line="264" w:lineRule="auto"/>
        <w:jc w:val="both"/>
      </w:pPr>
      <w:r>
        <w:rPr>
          <w:rFonts w:ascii="Calibri" w:eastAsia="Calibri" w:hAnsi="Calibri" w:cs="Calibri"/>
          <w:color w:val="1A1A1A"/>
        </w:rPr>
        <w:t>Ce sujet invite à s’interroger sur le paradoxe du pouvoir règlementaire : instrument de mise en œuvre des libertés publiques, il en est aussi le limiteur, voire l’adversaire s’il n’est pas strictement encadré. Nous verrons ainsi que le pouvoir règlementaire peut être un outil nécessaire à la garantie concrète des libertés publiques (I), mais qu’il comporte aussi un risque d’atteinte à ces libertés si son usage échappe à un contrôle rigoureux (II).</w:t>
      </w:r>
    </w:p>
    <w:p w14:paraId="77F6F8A1" w14:textId="77777777" w:rsidR="001E3E87" w:rsidRDefault="005258B2">
      <w:pPr>
        <w:pStyle w:val="Titre3"/>
        <w:spacing w:before="190" w:after="80"/>
      </w:pPr>
      <w:r>
        <w:rPr>
          <w:rFonts w:ascii="Calibri" w:eastAsia="Calibri" w:hAnsi="Calibri" w:cs="Calibri"/>
          <w:b/>
          <w:bCs/>
          <w:i/>
          <w:iCs/>
          <w:color w:val="1A1A1A"/>
          <w:sz w:val="21"/>
          <w:szCs w:val="21"/>
        </w:rPr>
        <w:t>I. Le pouvoir règlementaire : un instrument de protection des libertés</w:t>
      </w:r>
    </w:p>
    <w:p w14:paraId="58AD2FFF" w14:textId="77777777" w:rsidR="001E3E87" w:rsidRDefault="005258B2">
      <w:pPr>
        <w:pStyle w:val="Titre3"/>
        <w:spacing w:before="190" w:after="80"/>
      </w:pPr>
      <w:r>
        <w:rPr>
          <w:rFonts w:ascii="Calibri" w:eastAsia="Calibri" w:hAnsi="Calibri" w:cs="Calibri"/>
          <w:b/>
          <w:bCs/>
          <w:i/>
          <w:iCs/>
          <w:color w:val="1A1A1A"/>
          <w:sz w:val="21"/>
          <w:szCs w:val="21"/>
        </w:rPr>
        <w:t>A. Une compétence normative encadrée qui peut garantir les droits</w:t>
      </w:r>
    </w:p>
    <w:p w14:paraId="07173F0E" w14:textId="77777777" w:rsidR="001E3E87" w:rsidRDefault="005258B2">
      <w:pPr>
        <w:spacing w:after="90" w:line="264" w:lineRule="auto"/>
        <w:jc w:val="both"/>
      </w:pPr>
      <w:r>
        <w:rPr>
          <w:rFonts w:ascii="Calibri" w:eastAsia="Calibri" w:hAnsi="Calibri" w:cs="Calibri"/>
          <w:color w:val="1A1A1A"/>
        </w:rPr>
        <w:t>Le pouvoir règlementaire est juridiquement subordonné à la loi (</w:t>
      </w:r>
      <w:r>
        <w:rPr>
          <w:rFonts w:ascii="Calibri" w:eastAsia="Calibri" w:hAnsi="Calibri" w:cs="Calibri"/>
          <w:color w:val="1E88E5"/>
        </w:rPr>
        <w:t>art. 34 et 37</w:t>
      </w:r>
      <w:r>
        <w:rPr>
          <w:rFonts w:ascii="Calibri" w:eastAsia="Calibri" w:hAnsi="Calibri" w:cs="Calibri"/>
          <w:color w:val="1A1A1A"/>
        </w:rPr>
        <w:t xml:space="preserve"> de la Constitution), mais il dispose d’une autonomie dans le domaine règlementaire propre (</w:t>
      </w:r>
      <w:r w:rsidRPr="00A64B10">
        <w:rPr>
          <w:rFonts w:ascii="Calibri" w:eastAsia="Calibri" w:hAnsi="Calibri" w:cs="Calibri"/>
          <w:color w:val="FF1393"/>
        </w:rPr>
        <w:t>CE, Labonne, 1919</w:t>
      </w:r>
      <w:r>
        <w:rPr>
          <w:rFonts w:ascii="Calibri" w:eastAsia="Calibri" w:hAnsi="Calibri" w:cs="Calibri"/>
          <w:color w:val="1A1A1A"/>
        </w:rPr>
        <w:t>). Dans ce cadre, il peut poser des règles nécessaires à l’exercice des libertés : fixer les modalités de leur mise en œuvre (ex. : décrets d’application de lois garantissant l’exercice de certaines libertés). Le Conseil d’État reconnaît que le pouvoir règlementaire est tenu de respecter les droits et libertés constitutionnellement garantis (</w:t>
      </w:r>
      <w:r w:rsidRPr="00A64B10">
        <w:rPr>
          <w:rFonts w:ascii="Calibri" w:eastAsia="Calibri" w:hAnsi="Calibri" w:cs="Calibri"/>
          <w:color w:val="FF1393"/>
        </w:rPr>
        <w:t>CE, Amicale des Annamites de Paris, 1956 ; Koné, 1996</w:t>
      </w:r>
      <w:r>
        <w:rPr>
          <w:rFonts w:ascii="Calibri" w:eastAsia="Calibri" w:hAnsi="Calibri" w:cs="Calibri"/>
          <w:color w:val="1A1A1A"/>
        </w:rPr>
        <w:t>).</w:t>
      </w:r>
    </w:p>
    <w:p w14:paraId="21DAA167" w14:textId="77777777" w:rsidR="001E3E87" w:rsidRDefault="005258B2">
      <w:pPr>
        <w:pStyle w:val="Titre3"/>
        <w:spacing w:before="190" w:after="80"/>
      </w:pPr>
      <w:r>
        <w:rPr>
          <w:rFonts w:ascii="Calibri" w:eastAsia="Calibri" w:hAnsi="Calibri" w:cs="Calibri"/>
          <w:b/>
          <w:bCs/>
          <w:i/>
          <w:iCs/>
          <w:color w:val="1A1A1A"/>
          <w:sz w:val="21"/>
          <w:szCs w:val="21"/>
        </w:rPr>
        <w:t>B. Une action administrative au service de la conciliation des libertés</w:t>
      </w:r>
    </w:p>
    <w:p w14:paraId="5B6EB16D" w14:textId="77777777" w:rsidR="001E3E87" w:rsidRDefault="005258B2">
      <w:pPr>
        <w:spacing w:after="90" w:line="264" w:lineRule="auto"/>
        <w:jc w:val="both"/>
      </w:pPr>
      <w:r>
        <w:rPr>
          <w:rFonts w:ascii="Calibri" w:eastAsia="Calibri" w:hAnsi="Calibri" w:cs="Calibri"/>
          <w:color w:val="1A1A1A"/>
        </w:rPr>
        <w:t>Le pouvoir règlementaire est aussi le support des règlements de police générale, qui visent à prévenir les troubles à l’ordre public, condition nécessaire à l’exercice des libertés. La jurisprudence impose une conciliation entre libertés publiques et ordre public (</w:t>
      </w:r>
      <w:r w:rsidRPr="00A64B10">
        <w:rPr>
          <w:rFonts w:ascii="Calibri" w:eastAsia="Calibri" w:hAnsi="Calibri" w:cs="Calibri"/>
          <w:color w:val="FF1393"/>
        </w:rPr>
        <w:t>CE, Benjamin, 1933</w:t>
      </w:r>
      <w:r>
        <w:rPr>
          <w:rFonts w:ascii="Calibri" w:eastAsia="Calibri" w:hAnsi="Calibri" w:cs="Calibri"/>
          <w:color w:val="1A1A1A"/>
        </w:rPr>
        <w:t>), exigeant une proportionnalité dans les restrictions imposées. Certaines autorités administratives indépendantes dotées d’un pouvoir règlementaire (ex. : CNIL, ARCOM) ont précisément pour mission de protéger des libertés spécifiques, comme le droit à la vie privée ou la liberté de communication.</w:t>
      </w:r>
    </w:p>
    <w:p w14:paraId="4099879A" w14:textId="77777777" w:rsidR="001E3E87" w:rsidRDefault="005258B2">
      <w:pPr>
        <w:pStyle w:val="Titre3"/>
        <w:spacing w:before="190" w:after="80"/>
      </w:pPr>
      <w:r>
        <w:rPr>
          <w:rFonts w:ascii="Calibri" w:eastAsia="Calibri" w:hAnsi="Calibri" w:cs="Calibri"/>
          <w:b/>
          <w:bCs/>
          <w:i/>
          <w:iCs/>
          <w:color w:val="1A1A1A"/>
          <w:sz w:val="21"/>
          <w:szCs w:val="21"/>
        </w:rPr>
        <w:t>II. Un pouvoir susceptible de porter atteinte aux libertés fondamentales</w:t>
      </w:r>
    </w:p>
    <w:p w14:paraId="5CF3F317" w14:textId="77777777" w:rsidR="001E3E87" w:rsidRDefault="005258B2">
      <w:pPr>
        <w:pStyle w:val="Titre3"/>
        <w:spacing w:before="190" w:after="80"/>
      </w:pPr>
      <w:r>
        <w:rPr>
          <w:rFonts w:ascii="Calibri" w:eastAsia="Calibri" w:hAnsi="Calibri" w:cs="Calibri"/>
          <w:b/>
          <w:bCs/>
          <w:i/>
          <w:iCs/>
          <w:color w:val="1A1A1A"/>
          <w:sz w:val="21"/>
          <w:szCs w:val="21"/>
        </w:rPr>
        <w:t>A. Un pouvoir exercé par l’exécutif, historiquement suspect</w:t>
      </w:r>
    </w:p>
    <w:p w14:paraId="15C19286" w14:textId="77777777" w:rsidR="001E3E87" w:rsidRDefault="005258B2">
      <w:pPr>
        <w:spacing w:after="90" w:line="264" w:lineRule="auto"/>
        <w:jc w:val="both"/>
        <w:rPr>
          <w:rFonts w:ascii="Calibri" w:eastAsia="Calibri" w:hAnsi="Calibri" w:cs="Calibri"/>
          <w:color w:val="1A1A1A"/>
        </w:rPr>
      </w:pPr>
      <w:r>
        <w:rPr>
          <w:rFonts w:ascii="Calibri" w:eastAsia="Calibri" w:hAnsi="Calibri" w:cs="Calibri"/>
          <w:color w:val="1A1A1A"/>
        </w:rPr>
        <w:t xml:space="preserve">Le pouvoir règlementaire, exercé par le gouvernement, est historiquement associé à l’arbitraire, en particulier sous l’Ancien Régime. La tradition libérale place la loi, expression de la volonté générale, comme seule source légitime des restrictions aux libertés : </w:t>
      </w:r>
      <w:r>
        <w:rPr>
          <w:rFonts w:ascii="Calibri" w:eastAsia="Calibri" w:hAnsi="Calibri" w:cs="Calibri"/>
          <w:color w:val="1E88E5"/>
        </w:rPr>
        <w:t>article 34</w:t>
      </w:r>
      <w:r>
        <w:rPr>
          <w:rFonts w:ascii="Calibri" w:eastAsia="Calibri" w:hAnsi="Calibri" w:cs="Calibri"/>
          <w:color w:val="1A1A1A"/>
        </w:rPr>
        <w:t xml:space="preserve"> de la Constitution, mais aussi </w:t>
      </w:r>
      <w:r>
        <w:rPr>
          <w:rFonts w:ascii="Calibri" w:eastAsia="Calibri" w:hAnsi="Calibri" w:cs="Calibri"/>
          <w:color w:val="1E88E5"/>
        </w:rPr>
        <w:t>article 8</w:t>
      </w:r>
      <w:r>
        <w:rPr>
          <w:rFonts w:ascii="Calibri" w:eastAsia="Calibri" w:hAnsi="Calibri" w:cs="Calibri"/>
          <w:color w:val="1A1A1A"/>
        </w:rPr>
        <w:t xml:space="preserve"> de la </w:t>
      </w:r>
      <w:r>
        <w:rPr>
          <w:rFonts w:ascii="Calibri" w:eastAsia="Calibri" w:hAnsi="Calibri" w:cs="Calibri"/>
          <w:color w:val="1E88E5"/>
        </w:rPr>
        <w:t>Déclaration des droits de l’homme et du citoyen</w:t>
      </w:r>
      <w:r>
        <w:rPr>
          <w:rFonts w:ascii="Calibri" w:eastAsia="Calibri" w:hAnsi="Calibri" w:cs="Calibri"/>
          <w:color w:val="1A1A1A"/>
        </w:rPr>
        <w:t>. L’exécutif peut être tenté d’utiliser le pouvoir règlementaire pour restreindre abusivement les libertés, notamment en période de crise (ex. : état d’urgence, pandémie de Covid-19). Le pouvoir exécutif est le vecteur normatif des régimes de crise. Historiquement, il revient au pouvoir exécutif de mettre en place des régimes restrictifs des libertés (état d’urgence, état de siège).</w:t>
      </w:r>
    </w:p>
    <w:p w14:paraId="65B11692" w14:textId="77777777" w:rsidR="00A64B10" w:rsidRDefault="00A64B10">
      <w:pPr>
        <w:spacing w:after="90" w:line="264" w:lineRule="auto"/>
        <w:jc w:val="both"/>
        <w:rPr>
          <w:rFonts w:ascii="Calibri" w:eastAsia="Calibri" w:hAnsi="Calibri" w:cs="Calibri"/>
          <w:color w:val="1A1A1A"/>
        </w:rPr>
      </w:pPr>
    </w:p>
    <w:p w14:paraId="1DBEC0C4" w14:textId="77777777" w:rsidR="00A64B10" w:rsidRDefault="00A64B10">
      <w:pPr>
        <w:spacing w:after="90" w:line="264" w:lineRule="auto"/>
        <w:jc w:val="both"/>
      </w:pPr>
    </w:p>
    <w:p w14:paraId="3E1ED800" w14:textId="77777777" w:rsidR="001E3E87" w:rsidRDefault="005258B2">
      <w:pPr>
        <w:pStyle w:val="Titre3"/>
        <w:spacing w:before="190" w:after="80"/>
      </w:pPr>
      <w:r>
        <w:rPr>
          <w:rFonts w:ascii="Calibri" w:eastAsia="Calibri" w:hAnsi="Calibri" w:cs="Calibri"/>
          <w:b/>
          <w:bCs/>
          <w:i/>
          <w:iCs/>
          <w:color w:val="1A1A1A"/>
          <w:sz w:val="21"/>
          <w:szCs w:val="21"/>
        </w:rPr>
        <w:lastRenderedPageBreak/>
        <w:t>B. Une garantie des libertés qui repose davantage sur le juge que sur le pouvoir règlementaire</w:t>
      </w:r>
    </w:p>
    <w:p w14:paraId="4051501E" w14:textId="39F5E3FD" w:rsidR="001E3E87" w:rsidRDefault="005258B2">
      <w:pPr>
        <w:spacing w:after="90" w:line="264" w:lineRule="auto"/>
        <w:jc w:val="both"/>
      </w:pPr>
      <w:r>
        <w:rPr>
          <w:rFonts w:ascii="Calibri" w:eastAsia="Calibri" w:hAnsi="Calibri" w:cs="Calibri"/>
          <w:color w:val="1A1A1A"/>
        </w:rPr>
        <w:t>Le juge administratif contrôle la conformité des actes règlementaires aux droits fondamentaux. C’est davantage par ce contrôle que les libertés sont garanties, que par l’initiative du pouvoir règlementaire lui- même. Le pouvoir règlementaire peut être suspendu ou annulé s’il méconnaît une liberté fondamentale, notamment par la voie du référé-liberté (</w:t>
      </w:r>
      <w:r>
        <w:rPr>
          <w:rFonts w:ascii="Calibri" w:eastAsia="Calibri" w:hAnsi="Calibri" w:cs="Calibri"/>
          <w:color w:val="E91E63"/>
        </w:rPr>
        <w:t>CE, ord., 9 janvier 2014, Dieudonné M’Bala et les productions de la plume, no 374508</w:t>
      </w:r>
      <w:r>
        <w:rPr>
          <w:rFonts w:ascii="Calibri" w:eastAsia="Calibri" w:hAnsi="Calibri" w:cs="Calibri"/>
          <w:color w:val="1A1A1A"/>
        </w:rPr>
        <w:t>). La confiance dans le pouvoir règlementaire comme gardien des libertés suppose donc un encadrement juridictionnel fort, ce qui témoigne de sa fragilité dans ce rôle.</w:t>
      </w:r>
    </w:p>
    <w:p w14:paraId="0A7B59C1" w14:textId="77777777" w:rsidR="001E3E87" w:rsidRDefault="005258B2">
      <w:pPr>
        <w:spacing w:after="90" w:line="264" w:lineRule="auto"/>
        <w:jc w:val="both"/>
      </w:pPr>
      <w:r>
        <w:rPr>
          <w:rFonts w:ascii="Calibri" w:eastAsia="Calibri" w:hAnsi="Calibri" w:cs="Calibri"/>
          <w:color w:val="1A1A1A"/>
        </w:rPr>
        <w:t>En conclusion, le pouvoir règlementaire occupe un rôle important dans la détermination des modalités d’exercice des libertés publiques. Soumis à la loi sous le contrôle du juge, il ne saurait altérer la portée de la loi pour en modifier les effets. Son pouvoir étendu, notamment en matière de police, ne doit pas être un prétexte pour porter atteinte aux libertés.</w:t>
      </w:r>
    </w:p>
    <w:p w14:paraId="392F0633" w14:textId="77777777" w:rsidR="001E3E87" w:rsidRDefault="005258B2">
      <w:r>
        <w:br w:type="page"/>
      </w:r>
    </w:p>
    <w:p w14:paraId="5C0D9822" w14:textId="77777777" w:rsidR="001E3E87" w:rsidRDefault="005258B2">
      <w:pPr>
        <w:shd w:val="clear" w:color="auto" w:fill="F2E9EA"/>
        <w:spacing w:before="200" w:after="200"/>
        <w:jc w:val="center"/>
      </w:pPr>
      <w:r>
        <w:rPr>
          <w:rFonts w:ascii="Calibri" w:eastAsia="Calibri" w:hAnsi="Calibri" w:cs="Calibri"/>
          <w:b/>
          <w:bCs/>
          <w:color w:val="8C1C2B"/>
          <w:spacing w:val="30"/>
          <w:sz w:val="26"/>
          <w:szCs w:val="26"/>
        </w:rPr>
        <w:lastRenderedPageBreak/>
        <w:t>PARTIE III. LES SOURCES EXTERNES</w:t>
      </w:r>
    </w:p>
    <w:p w14:paraId="109246BE"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t>ENTRAÎNEMENT N° 12 — DISSERTATION</w:t>
      </w:r>
    </w:p>
    <w:p w14:paraId="56B09A33" w14:textId="77777777" w:rsidR="001E3E87" w:rsidRDefault="005258B2">
      <w:pPr>
        <w:spacing w:after="160"/>
      </w:pPr>
      <w:r>
        <w:rPr>
          <w:rFonts w:ascii="Calibri" w:eastAsia="Calibri" w:hAnsi="Calibri" w:cs="Calibri"/>
          <w:i/>
          <w:iCs/>
          <w:color w:val="5A5A5A"/>
          <w:sz w:val="18"/>
          <w:szCs w:val="18"/>
        </w:rPr>
        <w:t>Fiche n° 12 — L’internationalisation du droit des libertés  |  PARTIE III. LES SOURCES EXTERNES  |  Fascicule p. 123</w:t>
      </w:r>
    </w:p>
    <w:p w14:paraId="501872B0"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54F4B3CF"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Internationalisation du droit des libertés et souveraineté des États</w:t>
      </w:r>
    </w:p>
    <w:p w14:paraId="4AA2FF4A"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6A2893B8" w14:textId="77777777" w:rsidR="001E3E87" w:rsidRDefault="005258B2">
      <w:pPr>
        <w:spacing w:after="90" w:line="264" w:lineRule="auto"/>
        <w:jc w:val="both"/>
      </w:pPr>
      <w:r>
        <w:rPr>
          <w:rFonts w:ascii="Calibri" w:eastAsia="Calibri" w:hAnsi="Calibri" w:cs="Calibri"/>
          <w:color w:val="1A1A1A"/>
        </w:rPr>
        <w:t>De même qu’il existe une affirmation interne des libertés publiques (constitutionnelle, législative), une affirmation similaire se déploie à l’échelle internationale (</w:t>
      </w:r>
      <w:r>
        <w:rPr>
          <w:rFonts w:ascii="Calibri" w:eastAsia="Calibri" w:hAnsi="Calibri" w:cs="Calibri"/>
          <w:color w:val="1E88E5"/>
        </w:rPr>
        <w:t>Déclaration Universelle des droits de l’homme</w:t>
      </w:r>
      <w:r>
        <w:rPr>
          <w:rFonts w:ascii="Calibri" w:eastAsia="Calibri" w:hAnsi="Calibri" w:cs="Calibri"/>
          <w:color w:val="1A1A1A"/>
        </w:rPr>
        <w:t xml:space="preserve"> et </w:t>
      </w:r>
      <w:r>
        <w:rPr>
          <w:rFonts w:ascii="Calibri" w:eastAsia="Calibri" w:hAnsi="Calibri" w:cs="Calibri"/>
          <w:color w:val="1E88E5"/>
        </w:rPr>
        <w:t>Convention de sauvegarde des droits de l’homme</w:t>
      </w:r>
      <w:r>
        <w:rPr>
          <w:rFonts w:ascii="Calibri" w:eastAsia="Calibri" w:hAnsi="Calibri" w:cs="Calibri"/>
          <w:color w:val="1A1A1A"/>
        </w:rPr>
        <w:t xml:space="preserve">). Présentation de l’internationalisation des droits humains à travers la </w:t>
      </w:r>
      <w:r>
        <w:rPr>
          <w:rFonts w:ascii="Calibri" w:eastAsia="Calibri" w:hAnsi="Calibri" w:cs="Calibri"/>
          <w:color w:val="1E88E5"/>
        </w:rPr>
        <w:t>Charte des Nations unies</w:t>
      </w:r>
      <w:r>
        <w:rPr>
          <w:rFonts w:ascii="Calibri" w:eastAsia="Calibri" w:hAnsi="Calibri" w:cs="Calibri"/>
          <w:color w:val="1A1A1A"/>
        </w:rPr>
        <w:t xml:space="preserve">, la </w:t>
      </w:r>
      <w:r>
        <w:rPr>
          <w:rFonts w:ascii="Calibri" w:eastAsia="Calibri" w:hAnsi="Calibri" w:cs="Calibri"/>
          <w:color w:val="1E88E5"/>
        </w:rPr>
        <w:t>Déclaration universelle des droits de l’homme</w:t>
      </w:r>
      <w:r>
        <w:rPr>
          <w:rFonts w:ascii="Calibri" w:eastAsia="Calibri" w:hAnsi="Calibri" w:cs="Calibri"/>
          <w:color w:val="1A1A1A"/>
        </w:rPr>
        <w:t xml:space="preserve"> et les Pactes de 1966. Évocation du paradigme de Westphalie, qui place la souveraineté étatique au cœur du droit international classique, ambiguïté de la position des Nations unies face à la souveraineté étatique.</w:t>
      </w:r>
    </w:p>
    <w:p w14:paraId="31B7F1E1" w14:textId="77777777" w:rsidR="001E3E87" w:rsidRDefault="005258B2">
      <w:pPr>
        <w:spacing w:after="90" w:line="264" w:lineRule="auto"/>
        <w:jc w:val="both"/>
      </w:pPr>
      <w:r>
        <w:rPr>
          <w:rFonts w:ascii="Calibri" w:eastAsia="Calibri" w:hAnsi="Calibri" w:cs="Calibri"/>
          <w:color w:val="1A1A1A"/>
        </w:rPr>
        <w:t>Définition des termes/expressions :</w:t>
      </w:r>
    </w:p>
    <w:p w14:paraId="78C71E20"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Internationalisation du droit des libertés : processus par lequel les droits fondamentaux, initialement consacrés dans les ordres juridiques internes, sont progressivement affirmés, protégés et garantis à l’échelle internationale et régionale.</w:t>
      </w:r>
    </w:p>
    <w:p w14:paraId="09DBA638"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Souveraineté :</w:t>
      </w:r>
    </w:p>
    <w:p w14:paraId="4A8457BC" w14:textId="77777777" w:rsidR="001E3E87" w:rsidRDefault="005258B2">
      <w:pPr>
        <w:pStyle w:val="Paragraphedeliste"/>
        <w:numPr>
          <w:ilvl w:val="1"/>
          <w:numId w:val="2"/>
        </w:numPr>
        <w:spacing w:after="70" w:line="264" w:lineRule="auto"/>
        <w:jc w:val="both"/>
      </w:pPr>
      <w:r>
        <w:rPr>
          <w:rFonts w:ascii="Calibri" w:eastAsia="Calibri" w:hAnsi="Calibri" w:cs="Calibri"/>
          <w:color w:val="1A1A1A"/>
        </w:rPr>
        <w:t>Étatique (souveraineté externe) : autonomie d’un État dans la conduite de ses affaires intérieures et extérieures, à l’abri de toute ingérence. Logique de liberté.</w:t>
      </w:r>
    </w:p>
    <w:p w14:paraId="52269346" w14:textId="77777777" w:rsidR="001E3E87" w:rsidRDefault="005258B2">
      <w:pPr>
        <w:pStyle w:val="Paragraphedeliste"/>
        <w:numPr>
          <w:ilvl w:val="1"/>
          <w:numId w:val="2"/>
        </w:numPr>
        <w:spacing w:after="70" w:line="264" w:lineRule="auto"/>
        <w:jc w:val="both"/>
      </w:pPr>
      <w:r>
        <w:rPr>
          <w:rFonts w:ascii="Calibri" w:eastAsia="Calibri" w:hAnsi="Calibri" w:cs="Calibri"/>
          <w:color w:val="1A1A1A"/>
        </w:rPr>
        <w:t>Démocratique (souveraineté interne) : source du pouvoir dans le peuple, qui l’exerce directement, ou par l’intermédiaire de représentants élus. La souveraineté démocratique suppose l’existence d’un État de droit garantissant protection des libertés publiques et droits fondamentaux. Logique de pouvoir (compétence de la compétence).</w:t>
      </w:r>
    </w:p>
    <w:p w14:paraId="2CECC550"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L’universalisation des droits fondamentaux portée par le droit international vient-il heurter le principe de souveraineté étatique, pilier du droit international classique ? L’internationalisation du droit des libertés, perçue comme un frein à la souveraineté étatique (I), favorise, en réalité, la souveraineté démocratique et les droits fondamentaux, tant sur la scène interne qu’internationale (II).</w:t>
      </w:r>
    </w:p>
    <w:p w14:paraId="125A6296" w14:textId="77777777" w:rsidR="001E3E87" w:rsidRDefault="005258B2">
      <w:pPr>
        <w:pStyle w:val="Titre3"/>
        <w:spacing w:before="190" w:after="80"/>
      </w:pPr>
      <w:r>
        <w:rPr>
          <w:rFonts w:ascii="Calibri" w:eastAsia="Calibri" w:hAnsi="Calibri" w:cs="Calibri"/>
          <w:b/>
          <w:bCs/>
          <w:i/>
          <w:iCs/>
          <w:color w:val="1A1A1A"/>
          <w:sz w:val="21"/>
          <w:szCs w:val="21"/>
        </w:rPr>
        <w:t>I. Limitation de la souveraineté classique des États au profit des droits humains</w:t>
      </w:r>
    </w:p>
    <w:p w14:paraId="3084C3C6" w14:textId="77777777" w:rsidR="001E3E87" w:rsidRDefault="005258B2">
      <w:pPr>
        <w:pStyle w:val="Titre3"/>
        <w:spacing w:before="190" w:after="80"/>
      </w:pPr>
      <w:r>
        <w:rPr>
          <w:rFonts w:ascii="Calibri" w:eastAsia="Calibri" w:hAnsi="Calibri" w:cs="Calibri"/>
          <w:b/>
          <w:bCs/>
          <w:i/>
          <w:iCs/>
          <w:color w:val="1A1A1A"/>
          <w:sz w:val="21"/>
          <w:szCs w:val="21"/>
        </w:rPr>
        <w:t>A. Le tournant de 1948 : la mise en cause des États et reconnaissance des droits humains</w:t>
      </w:r>
    </w:p>
    <w:p w14:paraId="70574E01" w14:textId="77777777" w:rsidR="001E3E87" w:rsidRDefault="005258B2">
      <w:pPr>
        <w:spacing w:after="90" w:line="264" w:lineRule="auto"/>
        <w:jc w:val="both"/>
      </w:pPr>
      <w:r>
        <w:rPr>
          <w:rFonts w:ascii="Calibri" w:eastAsia="Calibri" w:hAnsi="Calibri" w:cs="Calibri"/>
          <w:color w:val="1A1A1A"/>
        </w:rPr>
        <w:t>Désormais « l’humanité a des droits sur l’État ». Après les atrocités des guerres mondiales, les États, responsables des violations massives des droits humains, sont sommés de se soumettre à de nouvelles normes internationales. Les Nations unies, tout en affirmant le respect de la souveraineté des États, promeut des valeurs universelles qu’elle peine parfois à imposer. Néanmoins, des mécanismes de contrôle (commissions, comités) et des possibilités de sanction apparaissent.</w:t>
      </w:r>
    </w:p>
    <w:p w14:paraId="60587CB7" w14:textId="38D6BD24" w:rsidR="001E3E87" w:rsidRDefault="005258B2">
      <w:pPr>
        <w:spacing w:after="90" w:line="264" w:lineRule="auto"/>
        <w:jc w:val="both"/>
      </w:pPr>
      <w:r>
        <w:rPr>
          <w:rFonts w:ascii="Calibri" w:eastAsia="Calibri" w:hAnsi="Calibri" w:cs="Calibri"/>
          <w:color w:val="1A1A1A"/>
        </w:rPr>
        <w:t>Rôle des traités internationaux (discrimination envers les femmes ou sur l’origine, protection des enfants…) qui complètent les Pactes des Nations unies. Ces traités largement ratifiés contribuent à l’internationalisation des droits humains. Mais leur efficacité dépend du respect par les États des obligations sans les réserves qui en altèrent la substance. Des organes de contrôle se prononcent sur la validité des réserves comme l’illustrent les décisions de la Cour européenne des droits de l’homme et de la Cour interaméricaine (</w:t>
      </w:r>
      <w:r w:rsidRPr="006019EA">
        <w:rPr>
          <w:rFonts w:ascii="Calibri" w:eastAsia="Calibri" w:hAnsi="Calibri" w:cs="Calibri"/>
          <w:color w:val="E91D62"/>
        </w:rPr>
        <w:t>CEDH, arrêt Belilos c Suisse, 1988</w:t>
      </w:r>
      <w:r>
        <w:rPr>
          <w:rFonts w:ascii="Calibri" w:eastAsia="Calibri" w:hAnsi="Calibri" w:cs="Calibri"/>
          <w:color w:val="1A1A1A"/>
        </w:rPr>
        <w:t>). Plusieurs Comités d’experts suivent cette approche, bien que certains États y résistent</w:t>
      </w:r>
      <w:r w:rsidR="006019EA">
        <w:rPr>
          <w:rFonts w:ascii="Calibri" w:eastAsia="Calibri" w:hAnsi="Calibri" w:cs="Calibri"/>
          <w:color w:val="1A1A1A"/>
        </w:rPr>
        <w:t xml:space="preserve">. </w:t>
      </w:r>
    </w:p>
    <w:p w14:paraId="3DB5582A" w14:textId="77777777" w:rsidR="001E3E87" w:rsidRDefault="005258B2">
      <w:pPr>
        <w:pStyle w:val="Titre3"/>
        <w:spacing w:before="190" w:after="80"/>
      </w:pPr>
      <w:r>
        <w:rPr>
          <w:rFonts w:ascii="Calibri" w:eastAsia="Calibri" w:hAnsi="Calibri" w:cs="Calibri"/>
          <w:b/>
          <w:bCs/>
          <w:i/>
          <w:iCs/>
          <w:color w:val="1A1A1A"/>
          <w:sz w:val="21"/>
          <w:szCs w:val="21"/>
        </w:rPr>
        <w:t>B. L’européanisation et la remise en cause de la souveraineté étatique</w:t>
      </w:r>
    </w:p>
    <w:p w14:paraId="71041B5F" w14:textId="77777777" w:rsidR="001E3E87" w:rsidRDefault="005258B2">
      <w:pPr>
        <w:spacing w:after="90" w:line="264" w:lineRule="auto"/>
        <w:jc w:val="both"/>
      </w:pPr>
      <w:r>
        <w:rPr>
          <w:rFonts w:ascii="Calibri" w:eastAsia="Calibri" w:hAnsi="Calibri" w:cs="Calibri"/>
          <w:color w:val="1A1A1A"/>
        </w:rPr>
        <w:t xml:space="preserve">L’édification progressive de l’ordre international se traduit par le développement d’instruments juridiques destinés, au-delà des systèmes juridiques nationaux, à garantir les droits fondamentaux. La </w:t>
      </w:r>
      <w:r>
        <w:rPr>
          <w:rFonts w:ascii="Calibri" w:eastAsia="Calibri" w:hAnsi="Calibri" w:cs="Calibri"/>
          <w:color w:val="1E88E5"/>
        </w:rPr>
        <w:t>Convention européenne des droits de l’homme</w:t>
      </w:r>
      <w:r>
        <w:rPr>
          <w:rFonts w:ascii="Calibri" w:eastAsia="Calibri" w:hAnsi="Calibri" w:cs="Calibri"/>
          <w:color w:val="1A1A1A"/>
        </w:rPr>
        <w:t xml:space="preserve"> illustre cette internationalisation effective des droits fondamentaux en Europe, grâce à la création d’institutions juridiques dotées du pouvoir de contrôle. L’européanisation des droits fondamentaux est l’un des aspects les plus significatifs de la transformation juridique des systèmes nationaux. À côté de la Convention, le rôle de l’Union européenne </w:t>
      </w:r>
      <w:r>
        <w:rPr>
          <w:rFonts w:ascii="Calibri" w:eastAsia="Calibri" w:hAnsi="Calibri" w:cs="Calibri"/>
          <w:color w:val="1A1A1A"/>
        </w:rPr>
        <w:lastRenderedPageBreak/>
        <w:t xml:space="preserve">doit être souligné, même si l’intégration européenne a suscité des réticences. L’atteinte à la souveraineté des États était d’autant plus vive que les Communauté manquaient de légitimité démocratique et ne consacraient pas les droits fondamentaux. L’européanisation s’est manifestée d’abord par la reconnaissance des principes généraux du droit issus des traditions constitutionnelles, puis par l’alignement sur la jurisprudence de la Cour européenne des droits de l’homme. Elle a trouvé son aboutissement dans la </w:t>
      </w:r>
      <w:r>
        <w:rPr>
          <w:rFonts w:ascii="Calibri" w:eastAsia="Calibri" w:hAnsi="Calibri" w:cs="Calibri"/>
          <w:color w:val="1E88E5"/>
        </w:rPr>
        <w:t>Charte des droits fondamentaux</w:t>
      </w:r>
      <w:r>
        <w:rPr>
          <w:rFonts w:ascii="Calibri" w:eastAsia="Calibri" w:hAnsi="Calibri" w:cs="Calibri"/>
          <w:color w:val="1A1A1A"/>
        </w:rPr>
        <w:t xml:space="preserve"> devenue contraignante en 2009 avec le traité de Lisbonne.</w:t>
      </w:r>
    </w:p>
    <w:p w14:paraId="459AFCBA" w14:textId="77777777" w:rsidR="001E3E87" w:rsidRDefault="005258B2">
      <w:pPr>
        <w:pStyle w:val="Titre3"/>
        <w:spacing w:before="190" w:after="80"/>
      </w:pPr>
      <w:r>
        <w:rPr>
          <w:rFonts w:ascii="Calibri" w:eastAsia="Calibri" w:hAnsi="Calibri" w:cs="Calibri"/>
          <w:b/>
          <w:bCs/>
          <w:i/>
          <w:iCs/>
          <w:color w:val="1A1A1A"/>
          <w:sz w:val="21"/>
          <w:szCs w:val="21"/>
        </w:rPr>
        <w:t>II. Renforcer la démocratie et les droits humains à l’échelle nationale et internationale</w:t>
      </w:r>
    </w:p>
    <w:p w14:paraId="65DE5717" w14:textId="77777777" w:rsidR="001E3E87" w:rsidRDefault="005258B2">
      <w:pPr>
        <w:pStyle w:val="Titre3"/>
        <w:spacing w:before="190" w:after="80"/>
      </w:pPr>
      <w:r>
        <w:rPr>
          <w:rFonts w:ascii="Calibri" w:eastAsia="Calibri" w:hAnsi="Calibri" w:cs="Calibri"/>
          <w:b/>
          <w:bCs/>
          <w:i/>
          <w:iCs/>
          <w:color w:val="1A1A1A"/>
          <w:sz w:val="21"/>
          <w:szCs w:val="21"/>
        </w:rPr>
        <w:t>A. Protéger la démocratie et l’État de droit sur la scène interne</w:t>
      </w:r>
    </w:p>
    <w:p w14:paraId="1DC0004C" w14:textId="77777777" w:rsidR="001E3E87" w:rsidRDefault="005258B2">
      <w:pPr>
        <w:spacing w:after="90" w:line="264" w:lineRule="auto"/>
        <w:jc w:val="both"/>
      </w:pPr>
      <w:r>
        <w:rPr>
          <w:rFonts w:ascii="Calibri" w:eastAsia="Calibri" w:hAnsi="Calibri" w:cs="Calibri"/>
          <w:color w:val="1A1A1A"/>
        </w:rPr>
        <w:t>En Europe, l’Union européenne, longtemps perçue comme un projet anti-démocratique, s’affirme désormais comme un acteur clé dans la protection des droits fondamentaux, en diffusant les valeurs de démocratie, de dignité humaine et d’État de droit. L’Union s’est ainsi distinguée dans la défense des droits humains en Pologne, face aux dérives constatées en 2015. En réponse aux réformes menaçant l’indépendance judiciaire, la Commission a activé l’</w:t>
      </w:r>
      <w:r>
        <w:rPr>
          <w:rFonts w:ascii="Calibri" w:eastAsia="Calibri" w:hAnsi="Calibri" w:cs="Calibri"/>
          <w:color w:val="1E88E5"/>
        </w:rPr>
        <w:t>article 7</w:t>
      </w:r>
      <w:r>
        <w:rPr>
          <w:rFonts w:ascii="Calibri" w:eastAsia="Calibri" w:hAnsi="Calibri" w:cs="Calibri"/>
          <w:color w:val="1A1A1A"/>
        </w:rPr>
        <w:t xml:space="preserve"> du Traité, ouvrant la voie à des sanctions. Elle a également initié des recours devant la Cour de justice, qui a condamné la Pologne à plusieurs reprises (</w:t>
      </w:r>
      <w:r w:rsidRPr="00324DFD">
        <w:rPr>
          <w:rFonts w:ascii="Calibri" w:eastAsia="Calibri" w:hAnsi="Calibri" w:cs="Calibri"/>
          <w:color w:val="E91D62"/>
        </w:rPr>
        <w:t>Commission c Pologne, 15 juillet 2021, aff. C-791-19</w:t>
      </w:r>
      <w:r>
        <w:rPr>
          <w:rFonts w:ascii="Calibri" w:eastAsia="Calibri" w:hAnsi="Calibri" w:cs="Calibri"/>
          <w:color w:val="1A1A1A"/>
        </w:rPr>
        <w:t>). Par ailleurs, elle a activé les leviers financiers via le mécanisme de conditionnalité budgétaire. Par ces actions diversifiées, les institutions de l’Union ont affirmé leur engagement en faveur des principes démocratiques et consolidé leur rôle de gardiennes actives de ces valeurs.</w:t>
      </w:r>
    </w:p>
    <w:p w14:paraId="69D82F82" w14:textId="77777777" w:rsidR="001E3E87" w:rsidRDefault="005258B2">
      <w:pPr>
        <w:pStyle w:val="Titre3"/>
        <w:spacing w:before="190" w:after="80"/>
      </w:pPr>
      <w:r>
        <w:rPr>
          <w:rFonts w:ascii="Calibri" w:eastAsia="Calibri" w:hAnsi="Calibri" w:cs="Calibri"/>
          <w:b/>
          <w:bCs/>
          <w:i/>
          <w:iCs/>
          <w:color w:val="1A1A1A"/>
          <w:sz w:val="21"/>
          <w:szCs w:val="21"/>
        </w:rPr>
        <w:t>B. Un droit à la démocratie : internationalisation et démocratisation</w:t>
      </w:r>
    </w:p>
    <w:p w14:paraId="25A38E81" w14:textId="77777777" w:rsidR="001E3E87" w:rsidRDefault="005258B2">
      <w:pPr>
        <w:spacing w:after="90" w:line="264" w:lineRule="auto"/>
        <w:jc w:val="both"/>
      </w:pPr>
      <w:r>
        <w:rPr>
          <w:rFonts w:ascii="Calibri" w:eastAsia="Calibri" w:hAnsi="Calibri" w:cs="Calibri"/>
          <w:color w:val="1A1A1A"/>
        </w:rPr>
        <w:t xml:space="preserve">Dans le cadre mondial, plusieurs résolutions de l’Assemblée générale et de la Commission des droits de l’homme des Nations unies ont encouragé l’émergence d’un droit à la démocratie, un droit à être gouverné de manière démocratique. La légitimité démocratique inscrite dans la </w:t>
      </w:r>
      <w:r>
        <w:rPr>
          <w:rFonts w:ascii="Calibri" w:eastAsia="Calibri" w:hAnsi="Calibri" w:cs="Calibri"/>
          <w:color w:val="1E88E5"/>
        </w:rPr>
        <w:t>Déclaration universelle des droits de l’homme</w:t>
      </w:r>
      <w:r>
        <w:rPr>
          <w:rFonts w:ascii="Calibri" w:eastAsia="Calibri" w:hAnsi="Calibri" w:cs="Calibri"/>
          <w:color w:val="1A1A1A"/>
        </w:rPr>
        <w:t xml:space="preserve"> a été redécouverte, mettant en valeur le rôle du peuple par rapport à l’État, avec un accent sur les droits des citoyens. Cercle vertueux entre démocratisation au niveau national et renforcement du droit international. L’internationalisation du droit des libertés s’est accélérée avec les vagues de démocratisation. La fin des régimes autoritaires et les processus démocratiques ont favorisé l’adhésion des États aux traités internationaux et la reconnaissance d’un contrôle international sur le respect des droits humains à l’échelle nationale.</w:t>
      </w:r>
    </w:p>
    <w:p w14:paraId="0E9EC382" w14:textId="77777777" w:rsidR="001E3E87" w:rsidRDefault="005258B2">
      <w:pPr>
        <w:spacing w:after="90" w:line="264" w:lineRule="auto"/>
        <w:jc w:val="both"/>
      </w:pPr>
      <w:r>
        <w:rPr>
          <w:rFonts w:ascii="Calibri" w:eastAsia="Calibri" w:hAnsi="Calibri" w:cs="Calibri"/>
          <w:color w:val="1A1A1A"/>
        </w:rPr>
        <w:t>En conclusion, l’internationalisation des droits humains, qui s’est intensifiée au milieu du siècle dernier, s’enrichit des apports culturels divers, notamment en ce qui concerne l’indivisibilité des droits fondamentaux, les droits de solidarité ainsi que les droits des minorités et peuples autochtones. Ce processus incite à intégrer une éthique humaine universelle, favorisant démocratie et coopération, au niveau interne et international. L’essor des organisations internationales non gouvernementales et de la société civile mondiale renforce cette dynamique. Le droit international des droits humains, avec ses institutions, procédures et jurisprudence, vise ainsi à bâtir un ordre mondial accepté par toutes les cultures, comme une maison commune pour la famille humaine.</w:t>
      </w:r>
    </w:p>
    <w:p w14:paraId="7BBF0121" w14:textId="77777777" w:rsidR="001E3E87" w:rsidRDefault="005258B2">
      <w:r>
        <w:br w:type="page"/>
      </w:r>
    </w:p>
    <w:p w14:paraId="699B43F3"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13 — ARGUMENTATION JURIDIQUE</w:t>
      </w:r>
    </w:p>
    <w:p w14:paraId="048AAFF3" w14:textId="77777777" w:rsidR="001E3E87" w:rsidRDefault="005258B2">
      <w:pPr>
        <w:spacing w:after="160"/>
      </w:pPr>
      <w:r>
        <w:rPr>
          <w:rFonts w:ascii="Calibri" w:eastAsia="Calibri" w:hAnsi="Calibri" w:cs="Calibri"/>
          <w:i/>
          <w:iCs/>
          <w:color w:val="5A5A5A"/>
          <w:sz w:val="18"/>
          <w:szCs w:val="18"/>
        </w:rPr>
        <w:t>Fiche n° 13 — Le droit onusien  |  PARTIE III. LES SOURCES EXTERNES  |  Fascicule p. 131</w:t>
      </w:r>
    </w:p>
    <w:p w14:paraId="578CBB9E"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4D067B08"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 xml:space="preserve">Soutenez que la </w:t>
      </w:r>
      <w:r>
        <w:rPr>
          <w:rFonts w:ascii="Calibri" w:eastAsia="Calibri" w:hAnsi="Calibri" w:cs="Calibri"/>
          <w:color w:val="1E88E5"/>
        </w:rPr>
        <w:t>Déclaration universelle des droits de l’homme</w:t>
      </w:r>
      <w:r>
        <w:rPr>
          <w:rFonts w:ascii="Calibri" w:eastAsia="Calibri" w:hAnsi="Calibri" w:cs="Calibri"/>
          <w:color w:val="1A1A1A"/>
        </w:rPr>
        <w:t xml:space="preserve"> contribue à la protection des droits humains malgré son caractère non contraignant.</w:t>
      </w:r>
    </w:p>
    <w:p w14:paraId="0CAACB8F"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0F4FE4C6" w14:textId="77777777" w:rsidR="001E3E87" w:rsidRDefault="005258B2">
      <w:pPr>
        <w:spacing w:after="90" w:line="264" w:lineRule="auto"/>
        <w:jc w:val="both"/>
      </w:pPr>
      <w:r>
        <w:rPr>
          <w:rFonts w:ascii="Calibri" w:eastAsia="Calibri" w:hAnsi="Calibri" w:cs="Calibri"/>
          <w:color w:val="1A1A1A"/>
        </w:rPr>
        <w:t xml:space="preserve">La </w:t>
      </w:r>
      <w:r>
        <w:rPr>
          <w:rFonts w:ascii="Calibri" w:eastAsia="Calibri" w:hAnsi="Calibri" w:cs="Calibri"/>
          <w:color w:val="1E88E5"/>
        </w:rPr>
        <w:t>Déclaration universelle des droits de l’homme</w:t>
      </w:r>
      <w:r>
        <w:rPr>
          <w:rFonts w:ascii="Calibri" w:eastAsia="Calibri" w:hAnsi="Calibri" w:cs="Calibri"/>
          <w:color w:val="1A1A1A"/>
        </w:rPr>
        <w:t xml:space="preserve"> constitue le fondement du système onusien de protection des droits humains. Il s’agit de la première déclaration solennelle internationale sous forme d’énonciation de droits fondamentaux, adoptée le 10 décembre 1948 à Paris par l’Assemblée générale des Nations unies. Les droits listés recouvrent une grande partie du système classique de protection qu’est le droit international des droits de l’homme, protégeant à la fois des droits civils, politiques, économiques et sociaux. Malgré ce caractère universel et le fait qu’elle soit au fondement du développement des droits humains onusiens, elle ne possède pas de caractère contraignant, s’agissant d’une déclaration et non d’une convention.</w:t>
      </w:r>
    </w:p>
    <w:p w14:paraId="07083FC6"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La Déclaration semble alors ne pas avoir de réelle valeur juridique et ainsi être seulement une déclaration d’intention de la part de la communauté internationale. Or, la Déclaration constitue le socle de tout le droit onusien de la protection des droits humains (I) et sa portée dépasse son simple statut de déclaration non contraignante (II).</w:t>
      </w:r>
    </w:p>
    <w:p w14:paraId="6283391D" w14:textId="77777777" w:rsidR="001E3E87" w:rsidRDefault="005258B2">
      <w:pPr>
        <w:pStyle w:val="Titre3"/>
        <w:spacing w:before="190" w:after="80"/>
      </w:pPr>
      <w:r>
        <w:rPr>
          <w:rFonts w:ascii="Calibri" w:eastAsia="Calibri" w:hAnsi="Calibri" w:cs="Calibri"/>
          <w:b/>
          <w:bCs/>
          <w:i/>
          <w:iCs/>
          <w:color w:val="1A1A1A"/>
          <w:sz w:val="21"/>
          <w:szCs w:val="21"/>
        </w:rPr>
        <w:t>I. Un fondement de la protection internationale des droits humains</w:t>
      </w:r>
    </w:p>
    <w:p w14:paraId="5F32F17D" w14:textId="77777777" w:rsidR="001E3E87" w:rsidRDefault="005258B2">
      <w:pPr>
        <w:pStyle w:val="Titre3"/>
        <w:spacing w:before="190" w:after="80"/>
      </w:pPr>
      <w:r>
        <w:rPr>
          <w:rFonts w:ascii="Calibri" w:eastAsia="Calibri" w:hAnsi="Calibri" w:cs="Calibri"/>
          <w:b/>
          <w:bCs/>
          <w:i/>
          <w:iCs/>
          <w:color w:val="1A1A1A"/>
          <w:sz w:val="21"/>
          <w:szCs w:val="21"/>
        </w:rPr>
        <w:t>A. Une source d’inspiration</w:t>
      </w:r>
    </w:p>
    <w:p w14:paraId="2912216D" w14:textId="77777777" w:rsidR="00136770" w:rsidRDefault="005258B2">
      <w:pPr>
        <w:spacing w:after="90" w:line="264" w:lineRule="auto"/>
        <w:jc w:val="both"/>
        <w:rPr>
          <w:rFonts w:ascii="Calibri" w:eastAsia="Calibri" w:hAnsi="Calibri" w:cs="Calibri"/>
          <w:color w:val="1A1A1A"/>
        </w:rPr>
      </w:pPr>
      <w:r>
        <w:rPr>
          <w:rFonts w:ascii="Calibri" w:eastAsia="Calibri" w:hAnsi="Calibri" w:cs="Calibri"/>
          <w:color w:val="1A1A1A"/>
        </w:rPr>
        <w:t xml:space="preserve">Une déclaration inspirée d’un texte contraignant : la Déclaration universelle a été inspirée en partie de la </w:t>
      </w:r>
      <w:r>
        <w:rPr>
          <w:rFonts w:ascii="Calibri" w:eastAsia="Calibri" w:hAnsi="Calibri" w:cs="Calibri"/>
          <w:color w:val="1E88E5"/>
        </w:rPr>
        <w:t>Déclaration des droits de l’homme et du citoyen</w:t>
      </w:r>
      <w:r>
        <w:rPr>
          <w:rFonts w:ascii="Calibri" w:eastAsia="Calibri" w:hAnsi="Calibri" w:cs="Calibri"/>
          <w:color w:val="1A1A1A"/>
        </w:rPr>
        <w:t xml:space="preserve"> française qui a valeur constitutionnelle dans l’ordre interne français. </w:t>
      </w:r>
    </w:p>
    <w:p w14:paraId="073CB98A" w14:textId="77777777" w:rsidR="00136770" w:rsidRDefault="005258B2">
      <w:pPr>
        <w:spacing w:after="90" w:line="264" w:lineRule="auto"/>
        <w:jc w:val="both"/>
        <w:rPr>
          <w:rFonts w:ascii="Calibri" w:eastAsia="Calibri" w:hAnsi="Calibri" w:cs="Calibri"/>
          <w:color w:val="1A1A1A"/>
        </w:rPr>
      </w:pPr>
      <w:r>
        <w:rPr>
          <w:rFonts w:ascii="Calibri" w:eastAsia="Calibri" w:hAnsi="Calibri" w:cs="Calibri"/>
          <w:color w:val="1A1A1A"/>
        </w:rPr>
        <w:t xml:space="preserve">Une déclaration inspirant le droit international des droits humains : au-delà du système onusien, la Déclaration a été une source d’inspiration importante pour la rédaction des autres instruments de protection des droits humains au niveau international comme en témoignent la </w:t>
      </w:r>
      <w:r>
        <w:rPr>
          <w:rFonts w:ascii="Calibri" w:eastAsia="Calibri" w:hAnsi="Calibri" w:cs="Calibri"/>
          <w:color w:val="1E88E5"/>
        </w:rPr>
        <w:t>Convention européenne des droits de l’homme</w:t>
      </w:r>
      <w:r>
        <w:rPr>
          <w:rFonts w:ascii="Calibri" w:eastAsia="Calibri" w:hAnsi="Calibri" w:cs="Calibri"/>
          <w:color w:val="1A1A1A"/>
        </w:rPr>
        <w:t xml:space="preserve">, la </w:t>
      </w:r>
      <w:r w:rsidRPr="00136770">
        <w:rPr>
          <w:rFonts w:ascii="Calibri" w:eastAsia="Calibri" w:hAnsi="Calibri" w:cs="Calibri"/>
          <w:color w:val="1E88C7"/>
        </w:rPr>
        <w:t xml:space="preserve">Convention américaine des droits de l’homme </w:t>
      </w:r>
      <w:r>
        <w:rPr>
          <w:rFonts w:ascii="Calibri" w:eastAsia="Calibri" w:hAnsi="Calibri" w:cs="Calibri"/>
          <w:color w:val="1A1A1A"/>
        </w:rPr>
        <w:t xml:space="preserve">et la </w:t>
      </w:r>
      <w:r w:rsidRPr="00136770">
        <w:rPr>
          <w:rFonts w:ascii="Calibri" w:eastAsia="Calibri" w:hAnsi="Calibri" w:cs="Calibri"/>
          <w:color w:val="1E88C7"/>
        </w:rPr>
        <w:t>Charte africaine des droits de l’homme et des peuples</w:t>
      </w:r>
      <w:r>
        <w:rPr>
          <w:rFonts w:ascii="Calibri" w:eastAsia="Calibri" w:hAnsi="Calibri" w:cs="Calibri"/>
          <w:color w:val="1A1A1A"/>
        </w:rPr>
        <w:t xml:space="preserve"> qui mentionnent la Déclaration dans leurs préambules respectifs. </w:t>
      </w:r>
    </w:p>
    <w:p w14:paraId="40672E17" w14:textId="3799180F" w:rsidR="001E3E87" w:rsidRDefault="005258B2">
      <w:pPr>
        <w:spacing w:after="90" w:line="264" w:lineRule="auto"/>
        <w:jc w:val="both"/>
      </w:pPr>
      <w:r>
        <w:rPr>
          <w:rFonts w:ascii="Calibri" w:eastAsia="Calibri" w:hAnsi="Calibri" w:cs="Calibri"/>
          <w:color w:val="1A1A1A"/>
        </w:rPr>
        <w:t>Un rôle de promotion des droits humains : le caractère non contraignant du texte permet aussi aux États de s’y référer sans le caractère dissuasif d’une répression internationale et est ainsi un instrument d’application souple.</w:t>
      </w:r>
    </w:p>
    <w:p w14:paraId="515FEE7D" w14:textId="77777777" w:rsidR="001E3E87" w:rsidRDefault="005258B2">
      <w:pPr>
        <w:pStyle w:val="Titre3"/>
        <w:spacing w:before="190" w:after="80"/>
      </w:pPr>
      <w:r>
        <w:rPr>
          <w:rFonts w:ascii="Calibri" w:eastAsia="Calibri" w:hAnsi="Calibri" w:cs="Calibri"/>
          <w:b/>
          <w:bCs/>
          <w:i/>
          <w:iCs/>
          <w:color w:val="1A1A1A"/>
          <w:sz w:val="21"/>
          <w:szCs w:val="21"/>
        </w:rPr>
        <w:t>B. La clé de voûte du système onusien de protection</w:t>
      </w:r>
    </w:p>
    <w:p w14:paraId="684D0BD9" w14:textId="77777777" w:rsidR="001E3E87" w:rsidRDefault="005258B2">
      <w:pPr>
        <w:spacing w:after="90" w:line="264" w:lineRule="auto"/>
        <w:jc w:val="both"/>
      </w:pPr>
      <w:r>
        <w:rPr>
          <w:rFonts w:ascii="Calibri" w:eastAsia="Calibri" w:hAnsi="Calibri" w:cs="Calibri"/>
          <w:color w:val="1A1A1A"/>
        </w:rPr>
        <w:t>La Charte du droit international des droits de l’homme comme structure de la protection onusienne :</w:t>
      </w:r>
    </w:p>
    <w:p w14:paraId="6ECC66E2"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 projet de la Déclaration prévoyait qu’elle serait accompagnée d’un ou plusieurs autres textes rendant les principes qui y sont énoncés contraignants (au travers des Pactes de 1966), rendant ces textes intrinsèquement liés.</w:t>
      </w:r>
    </w:p>
    <w:p w14:paraId="3293F140"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Les dispositions de la Déclaration sont majoritairement reprises dans les Pactes (mise à part le droit de propriété et l’</w:t>
      </w:r>
      <w:r>
        <w:rPr>
          <w:rFonts w:ascii="Calibri" w:eastAsia="Calibri" w:hAnsi="Calibri" w:cs="Calibri"/>
          <w:color w:val="1E88E5"/>
        </w:rPr>
        <w:t>article 28</w:t>
      </w:r>
      <w:r>
        <w:rPr>
          <w:rFonts w:ascii="Calibri" w:eastAsia="Calibri" w:hAnsi="Calibri" w:cs="Calibri"/>
          <w:color w:val="1A1A1A"/>
        </w:rPr>
        <w:t xml:space="preserve"> ne trouvant pas d’équivalent), bien qu’elles soient parfois formulées différemment, ce qui permet de rendre substantiellement la Déclaration effective par le biais des Pactes et au-delà, par les autres systèmes s’en inspirant.</w:t>
      </w:r>
    </w:p>
    <w:p w14:paraId="709AF58B"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 Déclaration incite par ailleurs les États à prendre des mesures pour la reconnaissance des droits énoncés en s’adressant directement à eux dans son préambule.</w:t>
      </w:r>
    </w:p>
    <w:p w14:paraId="03CAD8C6" w14:textId="77777777" w:rsidR="001E3E87" w:rsidRDefault="005258B2">
      <w:pPr>
        <w:pStyle w:val="Titre3"/>
        <w:spacing w:before="190" w:after="80"/>
      </w:pPr>
      <w:r>
        <w:rPr>
          <w:rFonts w:ascii="Calibri" w:eastAsia="Calibri" w:hAnsi="Calibri" w:cs="Calibri"/>
          <w:b/>
          <w:bCs/>
          <w:i/>
          <w:iCs/>
          <w:color w:val="1A1A1A"/>
          <w:sz w:val="21"/>
          <w:szCs w:val="21"/>
        </w:rPr>
        <w:t>II. Une absence de caractère contraignant discutable</w:t>
      </w:r>
    </w:p>
    <w:p w14:paraId="17EAE066" w14:textId="77777777" w:rsidR="001E3E87" w:rsidRDefault="005258B2">
      <w:pPr>
        <w:pStyle w:val="Titre3"/>
        <w:spacing w:before="190" w:after="80"/>
      </w:pPr>
      <w:r>
        <w:rPr>
          <w:rFonts w:ascii="Calibri" w:eastAsia="Calibri" w:hAnsi="Calibri" w:cs="Calibri"/>
          <w:b/>
          <w:bCs/>
          <w:i/>
          <w:iCs/>
          <w:color w:val="1A1A1A"/>
          <w:sz w:val="21"/>
          <w:szCs w:val="21"/>
        </w:rPr>
        <w:t>A. Un caractère contraignant selon les systèmes</w:t>
      </w:r>
    </w:p>
    <w:p w14:paraId="28AF72F0" w14:textId="77777777" w:rsidR="001E3E87" w:rsidRDefault="005258B2">
      <w:pPr>
        <w:spacing w:after="90" w:line="264" w:lineRule="auto"/>
        <w:jc w:val="both"/>
      </w:pPr>
      <w:r>
        <w:rPr>
          <w:rFonts w:ascii="Calibri" w:eastAsia="Calibri" w:hAnsi="Calibri" w:cs="Calibri"/>
          <w:color w:val="1A1A1A"/>
        </w:rPr>
        <w:t>Sur le plan interne :</w:t>
      </w:r>
    </w:p>
    <w:p w14:paraId="6DD91868"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 xml:space="preserve">La Déclaration est certes non contraignante sur le plan international ou dans les systèmes monistes (c’est le cas de la France, </w:t>
      </w:r>
      <w:r>
        <w:rPr>
          <w:rFonts w:ascii="Calibri" w:eastAsia="Calibri" w:hAnsi="Calibri" w:cs="Calibri"/>
          <w:color w:val="E91E63"/>
        </w:rPr>
        <w:t>CE, 18 avril 1951, Élections de Nolay, no 94.389</w:t>
      </w:r>
      <w:r>
        <w:rPr>
          <w:rFonts w:ascii="Calibri" w:eastAsia="Calibri" w:hAnsi="Calibri" w:cs="Calibri"/>
          <w:color w:val="1A1A1A"/>
        </w:rPr>
        <w:t>), en revanche, les États peuvent intégrer directement ses dispositions dans leur ordre interne.</w:t>
      </w:r>
    </w:p>
    <w:p w14:paraId="3C8A48F7"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lastRenderedPageBreak/>
        <w:t xml:space="preserve">Certaines constitutions mentionnent directement la Déclaration comme source d’obligations : la Constitution espagnole en son </w:t>
      </w:r>
      <w:r>
        <w:rPr>
          <w:rFonts w:ascii="Calibri" w:eastAsia="Calibri" w:hAnsi="Calibri" w:cs="Calibri"/>
          <w:color w:val="1E88E5"/>
        </w:rPr>
        <w:t>article 10.2</w:t>
      </w:r>
      <w:r>
        <w:rPr>
          <w:rFonts w:ascii="Calibri" w:eastAsia="Calibri" w:hAnsi="Calibri" w:cs="Calibri"/>
          <w:color w:val="1A1A1A"/>
        </w:rPr>
        <w:t>, mais également l’</w:t>
      </w:r>
      <w:r>
        <w:rPr>
          <w:rFonts w:ascii="Calibri" w:eastAsia="Calibri" w:hAnsi="Calibri" w:cs="Calibri"/>
          <w:color w:val="1E88E5"/>
        </w:rPr>
        <w:t>article 16</w:t>
      </w:r>
      <w:r>
        <w:rPr>
          <w:rFonts w:ascii="Calibri" w:eastAsia="Calibri" w:hAnsi="Calibri" w:cs="Calibri"/>
          <w:color w:val="1A1A1A"/>
        </w:rPr>
        <w:t xml:space="preserve"> de la Constitution portugaise de 1976, l’</w:t>
      </w:r>
      <w:r>
        <w:rPr>
          <w:rFonts w:ascii="Calibri" w:eastAsia="Calibri" w:hAnsi="Calibri" w:cs="Calibri"/>
          <w:color w:val="1E88E5"/>
        </w:rPr>
        <w:t>article 20</w:t>
      </w:r>
      <w:r>
        <w:rPr>
          <w:rFonts w:ascii="Calibri" w:eastAsia="Calibri" w:hAnsi="Calibri" w:cs="Calibri"/>
          <w:color w:val="1A1A1A"/>
        </w:rPr>
        <w:t xml:space="preserve"> de la Constitution roumaine de 1991 : toutes imposent d’interpréter les droits fondamentaux de l’ordre interne en conformité avec la Déclaration. La Constitution d’Andorre considère en son </w:t>
      </w:r>
      <w:r>
        <w:rPr>
          <w:rFonts w:ascii="Calibri" w:eastAsia="Calibri" w:hAnsi="Calibri" w:cs="Calibri"/>
          <w:color w:val="1E88E5"/>
        </w:rPr>
        <w:t>article 5</w:t>
      </w:r>
      <w:r>
        <w:rPr>
          <w:rFonts w:ascii="Calibri" w:eastAsia="Calibri" w:hAnsi="Calibri" w:cs="Calibri"/>
          <w:color w:val="1A1A1A"/>
        </w:rPr>
        <w:t xml:space="preserve"> que « la </w:t>
      </w:r>
      <w:r>
        <w:rPr>
          <w:rFonts w:ascii="Calibri" w:eastAsia="Calibri" w:hAnsi="Calibri" w:cs="Calibri"/>
          <w:color w:val="1E88E5"/>
        </w:rPr>
        <w:t>Déclaration universelle des droits de l’homme</w:t>
      </w:r>
      <w:r>
        <w:rPr>
          <w:rFonts w:ascii="Calibri" w:eastAsia="Calibri" w:hAnsi="Calibri" w:cs="Calibri"/>
          <w:color w:val="1A1A1A"/>
        </w:rPr>
        <w:t xml:space="preserve"> est en vigueur en Andorre », lui conférant directement un caractère contraignant. Les juridictions régionales de protection des droits humains y font également référence en tant que source d’inspiration pour l’interprétation de leur convention : (</w:t>
      </w:r>
      <w:r>
        <w:rPr>
          <w:rFonts w:ascii="Calibri" w:eastAsia="Calibri" w:hAnsi="Calibri" w:cs="Calibri"/>
          <w:color w:val="E91E63"/>
        </w:rPr>
        <w:t>CEDH, 8 novembre 2016, Magyar Helsinki Bizottság c. Hongrie, no 18030/11</w:t>
      </w:r>
      <w:r>
        <w:rPr>
          <w:rFonts w:ascii="Calibri" w:eastAsia="Calibri" w:hAnsi="Calibri" w:cs="Calibri"/>
          <w:color w:val="1A1A1A"/>
        </w:rPr>
        <w:t>). Dans certains systèmes, elle peut être considérée comme un instrument contraignant à part entière (</w:t>
      </w:r>
      <w:r w:rsidRPr="00136770">
        <w:rPr>
          <w:rFonts w:ascii="Calibri" w:eastAsia="Calibri" w:hAnsi="Calibri" w:cs="Calibri"/>
          <w:color w:val="E91D62"/>
        </w:rPr>
        <w:t>Cour africaine des droits de l’homme et des peuples, 22 mars 2018, Ochieng Anudo c. République-Unie de Tanzanie, no 012/2015</w:t>
      </w:r>
      <w:r>
        <w:rPr>
          <w:rFonts w:ascii="Calibri" w:eastAsia="Calibri" w:hAnsi="Calibri" w:cs="Calibri"/>
          <w:color w:val="1A1A1A"/>
        </w:rPr>
        <w:t>).</w:t>
      </w:r>
    </w:p>
    <w:p w14:paraId="201DF6E3" w14:textId="77777777" w:rsidR="001E3E87" w:rsidRDefault="005258B2">
      <w:pPr>
        <w:pStyle w:val="Titre3"/>
        <w:spacing w:before="190" w:after="80"/>
      </w:pPr>
      <w:r>
        <w:rPr>
          <w:rFonts w:ascii="Calibri" w:eastAsia="Calibri" w:hAnsi="Calibri" w:cs="Calibri"/>
          <w:b/>
          <w:bCs/>
          <w:i/>
          <w:iCs/>
          <w:color w:val="1A1A1A"/>
          <w:sz w:val="21"/>
          <w:szCs w:val="21"/>
        </w:rPr>
        <w:t>B. La Déclaration, une valeur symbolique</w:t>
      </w:r>
    </w:p>
    <w:p w14:paraId="38951D0F" w14:textId="77777777" w:rsidR="001E3E87" w:rsidRDefault="005258B2">
      <w:pPr>
        <w:spacing w:after="90" w:line="264" w:lineRule="auto"/>
        <w:jc w:val="both"/>
      </w:pPr>
      <w:r>
        <w:rPr>
          <w:rFonts w:ascii="Calibri" w:eastAsia="Calibri" w:hAnsi="Calibri" w:cs="Calibri"/>
          <w:color w:val="1A1A1A"/>
        </w:rPr>
        <w:t>La Déclaration a également une valeur symbolique en tant qu’instrument conférant directement des droits à tous les individus, et constitue un tournant dans la création du droit international qui n’est alors plus uniquement centré sur les États, devant désormais également protéger les individus. Elle constitue une inspiration morale, symbolique et permet la détermination des principes directeurs des droits humains. Elle véhicule un idéal libéral ainsi que des principes fondamentaux tels que l’universalité, l’interdépendance des droits, le principe de dignité humaine…</w:t>
      </w:r>
    </w:p>
    <w:p w14:paraId="4B88A3F0" w14:textId="77777777" w:rsidR="001E3E87" w:rsidRDefault="005258B2">
      <w:pPr>
        <w:spacing w:after="90" w:line="264" w:lineRule="auto"/>
        <w:jc w:val="both"/>
      </w:pPr>
      <w:r>
        <w:rPr>
          <w:rFonts w:ascii="Calibri" w:eastAsia="Calibri" w:hAnsi="Calibri" w:cs="Calibri"/>
          <w:color w:val="1A1A1A"/>
        </w:rPr>
        <w:t xml:space="preserve">En conclusion, malgré son caractère non contraignant, la </w:t>
      </w:r>
      <w:r>
        <w:rPr>
          <w:rFonts w:ascii="Calibri" w:eastAsia="Calibri" w:hAnsi="Calibri" w:cs="Calibri"/>
          <w:color w:val="1E88E5"/>
        </w:rPr>
        <w:t>Déclaration universelle des droits de l’homme</w:t>
      </w:r>
      <w:r>
        <w:rPr>
          <w:rFonts w:ascii="Calibri" w:eastAsia="Calibri" w:hAnsi="Calibri" w:cs="Calibri"/>
          <w:color w:val="1A1A1A"/>
        </w:rPr>
        <w:t xml:space="preserve"> n’est pas dépourvue d’effet et constitue un instrument déterminant pour la protection des droits humains.</w:t>
      </w:r>
    </w:p>
    <w:p w14:paraId="5405FFB5" w14:textId="77777777" w:rsidR="001E3E87" w:rsidRDefault="005258B2">
      <w:r>
        <w:br w:type="page"/>
      </w:r>
    </w:p>
    <w:p w14:paraId="052FB493"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14 — DISSERTATION</w:t>
      </w:r>
    </w:p>
    <w:p w14:paraId="122F1B82" w14:textId="761D62A2" w:rsidR="001E3E87" w:rsidRDefault="005258B2">
      <w:pPr>
        <w:spacing w:after="160"/>
      </w:pPr>
      <w:r>
        <w:rPr>
          <w:rFonts w:ascii="Calibri" w:eastAsia="Calibri" w:hAnsi="Calibri" w:cs="Calibri"/>
          <w:i/>
          <w:iCs/>
          <w:color w:val="5A5A5A"/>
          <w:sz w:val="18"/>
          <w:szCs w:val="18"/>
        </w:rPr>
        <w:t xml:space="preserve">Fiche n° 14 — Le conseil de </w:t>
      </w:r>
      <w:r w:rsidR="00136770">
        <w:rPr>
          <w:rFonts w:ascii="Calibri" w:eastAsia="Calibri" w:hAnsi="Calibri" w:cs="Calibri"/>
          <w:i/>
          <w:iCs/>
          <w:color w:val="5A5A5A"/>
          <w:sz w:val="18"/>
          <w:szCs w:val="18"/>
        </w:rPr>
        <w:t>l’Europe</w:t>
      </w:r>
      <w:r>
        <w:rPr>
          <w:rFonts w:ascii="Calibri" w:eastAsia="Calibri" w:hAnsi="Calibri" w:cs="Calibri"/>
          <w:i/>
          <w:iCs/>
          <w:color w:val="5A5A5A"/>
          <w:sz w:val="18"/>
          <w:szCs w:val="18"/>
        </w:rPr>
        <w:t xml:space="preserve"> et la convention européenne des droits de l’homme  |  PARTIE III. LES SOURCES EXTERNES  |  Fascicule p. 142</w:t>
      </w:r>
    </w:p>
    <w:p w14:paraId="343F153B"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731E4B74"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Existe-t-il un gouvernement des juges de la Cour européenne des droits de l’homme ?</w:t>
      </w:r>
    </w:p>
    <w:p w14:paraId="6C4184DE"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28932FDC" w14:textId="77777777" w:rsidR="001E3E87" w:rsidRDefault="005258B2">
      <w:pPr>
        <w:spacing w:after="90" w:line="264" w:lineRule="auto"/>
        <w:jc w:val="both"/>
      </w:pPr>
      <w:r>
        <w:rPr>
          <w:rFonts w:ascii="Calibri" w:eastAsia="Calibri" w:hAnsi="Calibri" w:cs="Calibri"/>
          <w:color w:val="1A1A1A"/>
        </w:rPr>
        <w:t>La Cour européenne des droits de l’homme est l’interprète exclusif de la Convention EDH depuis 1959 en vertu de l’</w:t>
      </w:r>
      <w:r>
        <w:rPr>
          <w:rFonts w:ascii="Calibri" w:eastAsia="Calibri" w:hAnsi="Calibri" w:cs="Calibri"/>
          <w:color w:val="1E88E5"/>
        </w:rPr>
        <w:t>article 32</w:t>
      </w:r>
      <w:r>
        <w:rPr>
          <w:rFonts w:ascii="Calibri" w:eastAsia="Calibri" w:hAnsi="Calibri" w:cs="Calibri"/>
          <w:color w:val="1A1A1A"/>
        </w:rPr>
        <w:t xml:space="preserve"> de ce texte. Elle assure ainsi la protection des droits de toute personne relevant de la juridiction des Hautes Parties contractantes que ce soit dans le cadre de recours interétatiques ou de recours individuels depuis 1998. Pour ce faire, cette juridiction internationale a joué un rôle fondamental au niveau européen dans la protection des droits humains, notamment en développant une interprétation dynamique et évolutive. Ce faisant, la Cour a considérablement enrichi la Convention. Cette œuvre jurisprudentielle a cependant fait l’objet de nombreuses et vives critiques lui reprochant notamment d’avoir imposé aux États des obligations qu’ils n’auraient pas consenti lors de leur signature du traité. Le 22 mai 2025, 9 chefs de gouvernement d’États du Conseil de l’Europe ont ainsi ouvertement critiqué la jurisprudence de la Cour en matière d’immigration estimant que celle-ci les empêchait de protéger leurs sociétés démocratiques. Si la Cour a certes considérablement enrichi la protection des droits humains offerte par le texte initial de la Convention, on ne saurait pour autant évoquer un quelconque gouvernement des juges strasbourgeois.</w:t>
      </w:r>
    </w:p>
    <w:p w14:paraId="319FE476"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La Cour demeure en effet non-seulement liée par les méthodes d’interprétation classiques des traités issues du droit international (I), mais ce mécanisme de protection des droits repose également sur le principe de subsidiarité (II).</w:t>
      </w:r>
    </w:p>
    <w:p w14:paraId="1BA6796B" w14:textId="57DD6C8A" w:rsidR="001E3E87" w:rsidRPr="00BB4DDF" w:rsidRDefault="005258B2" w:rsidP="00BB4DDF">
      <w:pPr>
        <w:pStyle w:val="Titre3"/>
        <w:spacing w:before="190" w:after="80"/>
      </w:pPr>
      <w:r>
        <w:rPr>
          <w:rFonts w:ascii="Calibri" w:eastAsia="Calibri" w:hAnsi="Calibri" w:cs="Calibri"/>
          <w:b/>
          <w:bCs/>
          <w:i/>
          <w:iCs/>
          <w:color w:val="1A1A1A"/>
          <w:sz w:val="21"/>
          <w:szCs w:val="21"/>
        </w:rPr>
        <w:t>I. Une interprétation dynamique de la Convention freinée par des méthodes d’interprétation issues du droit</w:t>
      </w:r>
      <w:r w:rsidR="00BB4DDF">
        <w:rPr>
          <w:rFonts w:ascii="Calibri" w:eastAsia="Calibri" w:hAnsi="Calibri" w:cs="Calibri"/>
          <w:b/>
          <w:bCs/>
          <w:i/>
          <w:iCs/>
          <w:color w:val="1A1A1A"/>
          <w:sz w:val="21"/>
          <w:szCs w:val="21"/>
        </w:rPr>
        <w:t xml:space="preserve"> </w:t>
      </w:r>
      <w:r w:rsidRPr="00BB4DDF">
        <w:rPr>
          <w:rFonts w:ascii="Calibri" w:eastAsia="Calibri" w:hAnsi="Calibri" w:cs="Calibri"/>
          <w:b/>
          <w:bCs/>
          <w:i/>
          <w:iCs/>
          <w:color w:val="1A1A1A"/>
          <w:sz w:val="21"/>
          <w:szCs w:val="21"/>
        </w:rPr>
        <w:t>international</w:t>
      </w:r>
    </w:p>
    <w:p w14:paraId="5C8CCA99" w14:textId="77777777" w:rsidR="001E3E87" w:rsidRDefault="005258B2">
      <w:pPr>
        <w:pStyle w:val="Titre3"/>
        <w:spacing w:before="190" w:after="80"/>
      </w:pPr>
      <w:r>
        <w:rPr>
          <w:rFonts w:ascii="Calibri" w:eastAsia="Calibri" w:hAnsi="Calibri" w:cs="Calibri"/>
          <w:b/>
          <w:bCs/>
          <w:i/>
          <w:iCs/>
          <w:color w:val="1A1A1A"/>
          <w:sz w:val="21"/>
          <w:szCs w:val="21"/>
        </w:rPr>
        <w:t>A. L’interprétation téléologique de la Convention</w:t>
      </w:r>
    </w:p>
    <w:p w14:paraId="2045296C" w14:textId="77777777" w:rsidR="001E3E87" w:rsidRDefault="005258B2">
      <w:pPr>
        <w:spacing w:after="90" w:line="264" w:lineRule="auto"/>
        <w:jc w:val="both"/>
      </w:pPr>
      <w:r>
        <w:rPr>
          <w:rFonts w:ascii="Calibri" w:eastAsia="Calibri" w:hAnsi="Calibri" w:cs="Calibri"/>
          <w:color w:val="1A1A1A"/>
        </w:rPr>
        <w:t xml:space="preserve">La Cour n’interprète pas de manière arbitraire les droits issus de la Convention. La Cour doit en effet fonder son interprétation de ce texte sur des méthodes issues des </w:t>
      </w:r>
      <w:r>
        <w:rPr>
          <w:rFonts w:ascii="Calibri" w:eastAsia="Calibri" w:hAnsi="Calibri" w:cs="Calibri"/>
          <w:color w:val="1E88E5"/>
        </w:rPr>
        <w:t>articles 31 à 33</w:t>
      </w:r>
      <w:r>
        <w:rPr>
          <w:rFonts w:ascii="Calibri" w:eastAsia="Calibri" w:hAnsi="Calibri" w:cs="Calibri"/>
          <w:color w:val="1A1A1A"/>
        </w:rPr>
        <w:t xml:space="preserve"> de la </w:t>
      </w:r>
      <w:r w:rsidRPr="00BB4DDF">
        <w:rPr>
          <w:rFonts w:ascii="Calibri" w:eastAsia="Calibri" w:hAnsi="Calibri" w:cs="Calibri"/>
          <w:color w:val="1E88C7"/>
        </w:rPr>
        <w:t xml:space="preserve">Convention de Vienne de 1969 </w:t>
      </w:r>
      <w:r>
        <w:rPr>
          <w:rFonts w:ascii="Calibri" w:eastAsia="Calibri" w:hAnsi="Calibri" w:cs="Calibri"/>
          <w:color w:val="1A1A1A"/>
        </w:rPr>
        <w:t>sur l’interprétation des traités. Elle peut ainsi avoir recours aux travaux préparatoires de la Convention (</w:t>
      </w:r>
      <w:r>
        <w:rPr>
          <w:rFonts w:ascii="Calibri" w:eastAsia="Calibri" w:hAnsi="Calibri" w:cs="Calibri"/>
          <w:color w:val="E91E63"/>
        </w:rPr>
        <w:t>CEDH, GC., 18 novembre 2020, Slovénie c. Croatie, déc., no 54155/16</w:t>
      </w:r>
      <w:r>
        <w:rPr>
          <w:rFonts w:ascii="Calibri" w:eastAsia="Calibri" w:hAnsi="Calibri" w:cs="Calibri"/>
          <w:color w:val="1A1A1A"/>
        </w:rPr>
        <w:t>), mais également opérer une comparaison entre les différentes versions linguistiques afin de déterminer le sens du texte. La Cour mène une interprétation téléologique de la Convention la conduisant à lire cette dernière à la lumière de ses buts et de ceux de l’organisation internationale au sein de laquelle elle s’insère (</w:t>
      </w:r>
      <w:r>
        <w:rPr>
          <w:rFonts w:ascii="Calibri" w:eastAsia="Calibri" w:hAnsi="Calibri" w:cs="Calibri"/>
          <w:color w:val="E91E63"/>
        </w:rPr>
        <w:t>CEDH, 27 juin 1968, Wemhoff c. Allemagne, no 2122/64</w:t>
      </w:r>
      <w:r>
        <w:rPr>
          <w:rFonts w:ascii="Calibri" w:eastAsia="Calibri" w:hAnsi="Calibri" w:cs="Calibri"/>
          <w:color w:val="1A1A1A"/>
        </w:rPr>
        <w:t>). La Cour ne crée donc pas de toutes pièces des droits sans que ces derniers ne puissent être rattachés à une stipulation de la Convention. Le droit à un environnement sain n’est ainsi protégé que dans la mesure où l’atteinte environnementale porterait atteinte à un droit garanti par la Convention. Le système de la Convention n’évolue pas en vase clos. La Convention peut en effet entretenir des liens plus ou moins étroits avec divers textes internationaux. La prise en compte du droit international pertinent se justifie donc également pour éviter les contradictions entre les différents engagements de l’État.</w:t>
      </w:r>
    </w:p>
    <w:p w14:paraId="1852E5E9" w14:textId="77777777" w:rsidR="001E3E87" w:rsidRDefault="005258B2">
      <w:pPr>
        <w:pStyle w:val="Titre3"/>
        <w:spacing w:before="190" w:after="80"/>
      </w:pPr>
      <w:r>
        <w:rPr>
          <w:rFonts w:ascii="Calibri" w:eastAsia="Calibri" w:hAnsi="Calibri" w:cs="Calibri"/>
          <w:b/>
          <w:bCs/>
          <w:i/>
          <w:iCs/>
          <w:color w:val="1A1A1A"/>
          <w:sz w:val="21"/>
          <w:szCs w:val="21"/>
        </w:rPr>
        <w:t>B. La prise en considération de la souveraineté étatique dans l’application des garanties de la Convention</w:t>
      </w:r>
    </w:p>
    <w:p w14:paraId="3F4ACEAC" w14:textId="451EB691" w:rsidR="001E3E87" w:rsidRDefault="005258B2">
      <w:pPr>
        <w:spacing w:after="90" w:line="264" w:lineRule="auto"/>
        <w:jc w:val="both"/>
      </w:pPr>
      <w:r>
        <w:rPr>
          <w:rFonts w:ascii="Calibri" w:eastAsia="Calibri" w:hAnsi="Calibri" w:cs="Calibri"/>
          <w:color w:val="1A1A1A"/>
        </w:rPr>
        <w:t>Les États ayant signé la Convention conservent la possibilité de formuler des réserves dans la mesure où elles n’ont pas pour effet de contredire leur engagement conventionnel. Ils conservent par ailleurs la faculté de déroger temporairement aux garanties de la Convention en cas de circonstances exceptionnelles (</w:t>
      </w:r>
      <w:r>
        <w:rPr>
          <w:rFonts w:ascii="Calibri" w:eastAsia="Calibri" w:hAnsi="Calibri" w:cs="Calibri"/>
          <w:color w:val="E91E63"/>
        </w:rPr>
        <w:t>CEDH, 1er juillet 1961, Lawless c. Irlande (no 3), no 332/57</w:t>
      </w:r>
      <w:r>
        <w:rPr>
          <w:rFonts w:ascii="Calibri" w:eastAsia="Calibri" w:hAnsi="Calibri" w:cs="Calibri"/>
          <w:color w:val="1A1A1A"/>
        </w:rPr>
        <w:t xml:space="preserve">). En outre, les protocoles dont a fait l’objet la Convention EDH ne peuvent être opposables aux États que dans la mesure où ceux-ci l’ont ratifié. La Cour est ainsi liée dans ce cas par la souveraineté étatique (voir par exemple l’interdiction générale et autonome de la discrimination issue du </w:t>
      </w:r>
      <w:r>
        <w:rPr>
          <w:rFonts w:ascii="Calibri" w:eastAsia="Calibri" w:hAnsi="Calibri" w:cs="Calibri"/>
          <w:color w:val="1E88E5"/>
        </w:rPr>
        <w:t>Protocole no 12</w:t>
      </w:r>
      <w:r>
        <w:rPr>
          <w:rFonts w:ascii="Calibri" w:eastAsia="Calibri" w:hAnsi="Calibri" w:cs="Calibri"/>
          <w:color w:val="1A1A1A"/>
        </w:rPr>
        <w:t>).</w:t>
      </w:r>
    </w:p>
    <w:p w14:paraId="33E76AB6" w14:textId="77777777" w:rsidR="001E3E87" w:rsidRDefault="005258B2">
      <w:pPr>
        <w:pStyle w:val="Titre3"/>
        <w:spacing w:before="190" w:after="80"/>
      </w:pPr>
      <w:r>
        <w:rPr>
          <w:rFonts w:ascii="Calibri" w:eastAsia="Calibri" w:hAnsi="Calibri" w:cs="Calibri"/>
          <w:b/>
          <w:bCs/>
          <w:i/>
          <w:iCs/>
          <w:color w:val="1A1A1A"/>
          <w:sz w:val="21"/>
          <w:szCs w:val="21"/>
        </w:rPr>
        <w:t>II. Une interprétation dynamique freinée par le rôle subsidiaire du système conventionnel</w:t>
      </w:r>
    </w:p>
    <w:p w14:paraId="4FF593DE" w14:textId="77777777" w:rsidR="001E3E87" w:rsidRDefault="005258B2">
      <w:pPr>
        <w:pStyle w:val="Titre3"/>
        <w:spacing w:before="190" w:after="80"/>
      </w:pPr>
      <w:r>
        <w:rPr>
          <w:rFonts w:ascii="Calibri" w:eastAsia="Calibri" w:hAnsi="Calibri" w:cs="Calibri"/>
          <w:b/>
          <w:bCs/>
          <w:i/>
          <w:iCs/>
          <w:color w:val="1A1A1A"/>
          <w:sz w:val="21"/>
          <w:szCs w:val="21"/>
        </w:rPr>
        <w:t>A. La prise en compte de la subsidiarité dans la construction du mécanisme de protection des droits</w:t>
      </w:r>
    </w:p>
    <w:p w14:paraId="1B369DFE" w14:textId="77777777" w:rsidR="001E3E87" w:rsidRDefault="005258B2">
      <w:pPr>
        <w:spacing w:after="90" w:line="264" w:lineRule="auto"/>
        <w:jc w:val="both"/>
      </w:pPr>
      <w:r>
        <w:rPr>
          <w:rFonts w:ascii="Calibri" w:eastAsia="Calibri" w:hAnsi="Calibri" w:cs="Calibri"/>
          <w:color w:val="1A1A1A"/>
        </w:rPr>
        <w:t>Le principe de subsidiarité est omniprésent au sein du système conventionnel depuis qu’il a été consacré par la jurisprudence (</w:t>
      </w:r>
      <w:r w:rsidRPr="00BB4DDF">
        <w:rPr>
          <w:rFonts w:ascii="Calibri" w:eastAsia="Calibri" w:hAnsi="Calibri" w:cs="Calibri"/>
          <w:color w:val="E91D62"/>
        </w:rPr>
        <w:t>CEDH, 23 juillet 1968, Affaire relative à certains aspects du régime linguistique de l’enseignement en Belgique</w:t>
      </w:r>
      <w:r>
        <w:rPr>
          <w:rFonts w:ascii="Calibri" w:eastAsia="Calibri" w:hAnsi="Calibri" w:cs="Calibri"/>
          <w:color w:val="1A1A1A"/>
        </w:rPr>
        <w:t xml:space="preserve">). Il a par la suite fait l’objet d’une consécration textuelle au sein du préambule de la Convention après l’entrée </w:t>
      </w:r>
      <w:r>
        <w:rPr>
          <w:rFonts w:ascii="Calibri" w:eastAsia="Calibri" w:hAnsi="Calibri" w:cs="Calibri"/>
          <w:color w:val="1A1A1A"/>
        </w:rPr>
        <w:lastRenderedPageBreak/>
        <w:t xml:space="preserve">en vigueur du </w:t>
      </w:r>
      <w:r w:rsidRPr="00BB4DDF">
        <w:rPr>
          <w:rFonts w:ascii="Calibri" w:eastAsia="Calibri" w:hAnsi="Calibri" w:cs="Calibri"/>
          <w:color w:val="1E88C7"/>
        </w:rPr>
        <w:t>protocole no 15</w:t>
      </w:r>
      <w:r>
        <w:rPr>
          <w:rFonts w:ascii="Calibri" w:eastAsia="Calibri" w:hAnsi="Calibri" w:cs="Calibri"/>
          <w:color w:val="1A1A1A"/>
        </w:rPr>
        <w:t>. Avant d’introduire une requête auprès de la Cour, les requérants doivent avoir préalablement épuisé les voies de recours internes (</w:t>
      </w:r>
      <w:r>
        <w:rPr>
          <w:rFonts w:ascii="Calibri" w:eastAsia="Calibri" w:hAnsi="Calibri" w:cs="Calibri"/>
          <w:color w:val="1E88E5"/>
        </w:rPr>
        <w:t>art. 35 § 1</w:t>
      </w:r>
      <w:r>
        <w:rPr>
          <w:rFonts w:ascii="Calibri" w:eastAsia="Calibri" w:hAnsi="Calibri" w:cs="Calibri"/>
          <w:color w:val="1A1A1A"/>
        </w:rPr>
        <w:t xml:space="preserve">). L’État doit donc avoir eu l’opportunité de redresser une violation de la Convention avant que la Cour européenne des droits de l’homme ne soit saisie. Tous les États disposent d’un juge appelé à siéger notamment dans les affaires qui concerneraient leur pays dans le cadre des arrêts de section ou de grande chambre. Les États disposent surtout de moyens afin d’éviter un potentiel arrêt de condamnation prononcé par la cour : par le biais d’un règlement amiable (Conv. EDH, </w:t>
      </w:r>
      <w:r>
        <w:rPr>
          <w:rFonts w:ascii="Calibri" w:eastAsia="Calibri" w:hAnsi="Calibri" w:cs="Calibri"/>
          <w:color w:val="1E88E5"/>
        </w:rPr>
        <w:t>art. 39</w:t>
      </w:r>
      <w:r>
        <w:rPr>
          <w:rFonts w:ascii="Calibri" w:eastAsia="Calibri" w:hAnsi="Calibri" w:cs="Calibri"/>
          <w:color w:val="1A1A1A"/>
        </w:rPr>
        <w:t xml:space="preserve"> ; </w:t>
      </w:r>
      <w:r>
        <w:rPr>
          <w:rFonts w:ascii="Calibri" w:eastAsia="Calibri" w:hAnsi="Calibri" w:cs="Calibri"/>
          <w:color w:val="1E88E5"/>
        </w:rPr>
        <w:t>art. 62</w:t>
      </w:r>
      <w:r>
        <w:rPr>
          <w:rFonts w:ascii="Calibri" w:eastAsia="Calibri" w:hAnsi="Calibri" w:cs="Calibri"/>
          <w:color w:val="1A1A1A"/>
        </w:rPr>
        <w:t xml:space="preserve"> du règlement de procédure), mais également par des demandes d’avis formulées par les hautes autorités juridictionnelles (</w:t>
      </w:r>
      <w:r w:rsidRPr="00BB4DDF">
        <w:rPr>
          <w:rFonts w:ascii="Calibri" w:eastAsia="Calibri" w:hAnsi="Calibri" w:cs="Calibri"/>
          <w:color w:val="1E88C7"/>
        </w:rPr>
        <w:t>protocole no 16</w:t>
      </w:r>
      <w:r>
        <w:rPr>
          <w:rFonts w:ascii="Calibri" w:eastAsia="Calibri" w:hAnsi="Calibri" w:cs="Calibri"/>
          <w:color w:val="1A1A1A"/>
        </w:rPr>
        <w:t>).</w:t>
      </w:r>
    </w:p>
    <w:p w14:paraId="1957D3CC" w14:textId="77777777" w:rsidR="001E3E87" w:rsidRDefault="005258B2">
      <w:pPr>
        <w:pStyle w:val="Titre3"/>
        <w:spacing w:before="190" w:after="80"/>
      </w:pPr>
      <w:r>
        <w:rPr>
          <w:rFonts w:ascii="Calibri" w:eastAsia="Calibri" w:hAnsi="Calibri" w:cs="Calibri"/>
          <w:b/>
          <w:bCs/>
          <w:i/>
          <w:iCs/>
          <w:color w:val="1A1A1A"/>
          <w:sz w:val="21"/>
          <w:szCs w:val="21"/>
        </w:rPr>
        <w:t>B. La prise en compte de la subsidiarité dans le contrôle du respect des droits</w:t>
      </w:r>
    </w:p>
    <w:p w14:paraId="5964E744" w14:textId="77777777" w:rsidR="001E3E87" w:rsidRDefault="005258B2">
      <w:pPr>
        <w:spacing w:after="90" w:line="264" w:lineRule="auto"/>
        <w:jc w:val="both"/>
      </w:pPr>
      <w:r>
        <w:rPr>
          <w:rFonts w:ascii="Calibri" w:eastAsia="Calibri" w:hAnsi="Calibri" w:cs="Calibri"/>
          <w:color w:val="1A1A1A"/>
        </w:rPr>
        <w:t>La Cour n’est pas un quatrième degré de juridiction et ne peut donc en principe se substituer aux constats dressés par les juridictions nationales (</w:t>
      </w:r>
      <w:r>
        <w:rPr>
          <w:rFonts w:ascii="Calibri" w:eastAsia="Calibri" w:hAnsi="Calibri" w:cs="Calibri"/>
          <w:color w:val="E91E63"/>
        </w:rPr>
        <w:t>CEDH, 24 novembre 1994, Kemmache c. France (no 3), no 17621/91</w:t>
      </w:r>
      <w:r>
        <w:rPr>
          <w:rFonts w:ascii="Calibri" w:eastAsia="Calibri" w:hAnsi="Calibri" w:cs="Calibri"/>
          <w:color w:val="1A1A1A"/>
        </w:rPr>
        <w:t>). Selon le principe de subsidiarité, les États disposent d’une marge d’appréciation plus ou moins étendue dans le choix des mesures et la manière de les exécuter afin de se conformer aux obligations conventionnelles (</w:t>
      </w:r>
      <w:r w:rsidRPr="00BB4DDF">
        <w:rPr>
          <w:rFonts w:ascii="Calibri" w:eastAsia="Calibri" w:hAnsi="Calibri" w:cs="Calibri"/>
          <w:color w:val="1E88C7"/>
        </w:rPr>
        <w:t>protocole no 15</w:t>
      </w:r>
      <w:r>
        <w:rPr>
          <w:rFonts w:ascii="Calibri" w:eastAsia="Calibri" w:hAnsi="Calibri" w:cs="Calibri"/>
          <w:color w:val="1A1A1A"/>
        </w:rPr>
        <w:t>). Les États disposent donc d’une certaine liberté dans la mise en œuvre de la Convention. Dans le cadre de l’examen de la nécessité des ingérences la Cour prend par ailleurs en considération les particularités nationales afin de ne pas imposer un fardeau excessif à l’État. Cette liberté se retrouve également lorsque l’État a été reconnu responsable d’une violation. Si la Cour peut parfois proposer des mesures permettant à l’État de se conformer à ses obligations au titre de la Convention, elle ne lui impose toutefois rien. C’est à ce dernier de déterminer les mesures adéquates afin de mettre fin à la violation (</w:t>
      </w:r>
      <w:r>
        <w:rPr>
          <w:rFonts w:ascii="Calibri" w:eastAsia="Calibri" w:hAnsi="Calibri" w:cs="Calibri"/>
          <w:color w:val="E91E63"/>
        </w:rPr>
        <w:t>CEDH, AP., 29 avril 1988, Belilos c. Suisse, no 10328/83</w:t>
      </w:r>
      <w:r>
        <w:rPr>
          <w:rFonts w:ascii="Calibri" w:eastAsia="Calibri" w:hAnsi="Calibri" w:cs="Calibri"/>
          <w:color w:val="1A1A1A"/>
        </w:rPr>
        <w:t>). Loin de s’avérer arbitraire, l’interprétation des obligations étatiques par la Cour repose donc sur la souveraineté des États qui disposent, conformément au principe de subsidiarité, du premier et du dernier mot sur la mise en œuvre de leurs obligations découlant de la Convention.</w:t>
      </w:r>
    </w:p>
    <w:p w14:paraId="0F08F159" w14:textId="77777777" w:rsidR="001E3E87" w:rsidRDefault="005258B2">
      <w:r>
        <w:br w:type="page"/>
      </w:r>
    </w:p>
    <w:p w14:paraId="651FAE69"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15 — ARGUMENTATION JURIDIQUE</w:t>
      </w:r>
    </w:p>
    <w:p w14:paraId="0B72CC23" w14:textId="77777777" w:rsidR="001E3E87" w:rsidRDefault="005258B2">
      <w:pPr>
        <w:spacing w:after="160"/>
      </w:pPr>
      <w:r>
        <w:rPr>
          <w:rFonts w:ascii="Calibri" w:eastAsia="Calibri" w:hAnsi="Calibri" w:cs="Calibri"/>
          <w:i/>
          <w:iCs/>
          <w:color w:val="5A5A5A"/>
          <w:sz w:val="18"/>
          <w:szCs w:val="18"/>
        </w:rPr>
        <w:t>Fiche n° 15 — Le droit de l’union européenne  |  PARTIE III. LES SOURCES EXTERNES  |  Fascicule p. 151</w:t>
      </w:r>
    </w:p>
    <w:p w14:paraId="4E0E13F6"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0D209585"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Soutenez qu’il existe un décalage entre le discours actuel de l’Union européenne sur les droits humains et la réalité observée en matière de politique migratoire, de lutte contre les discriminations et de protection de l’État de droit.</w:t>
      </w:r>
    </w:p>
    <w:p w14:paraId="3614B7EE"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53E0EA2B" w14:textId="77777777" w:rsidR="001E3E87" w:rsidRDefault="005258B2">
      <w:pPr>
        <w:spacing w:after="90" w:line="264" w:lineRule="auto"/>
        <w:jc w:val="both"/>
      </w:pPr>
      <w:r>
        <w:rPr>
          <w:rFonts w:ascii="Calibri" w:eastAsia="Calibri" w:hAnsi="Calibri" w:cs="Calibri"/>
          <w:color w:val="1A1A1A"/>
        </w:rPr>
        <w:t>Il faut définir les termes du sujet</w:t>
      </w:r>
    </w:p>
    <w:p w14:paraId="7684631D"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Politique migratoire : ensemble des règles et mesures adoptées au niveau de l’Union européenne pour encadrer l’entrée et le séjour des ressortissants de pays tiers.</w:t>
      </w:r>
    </w:p>
    <w:p w14:paraId="4FDB342A" w14:textId="061EB85D" w:rsidR="001E3E87" w:rsidRDefault="005258B2">
      <w:pPr>
        <w:pStyle w:val="Paragraphedeliste"/>
        <w:numPr>
          <w:ilvl w:val="0"/>
          <w:numId w:val="2"/>
        </w:numPr>
        <w:spacing w:after="70" w:line="264" w:lineRule="auto"/>
        <w:jc w:val="both"/>
      </w:pPr>
      <w:r>
        <w:rPr>
          <w:rFonts w:ascii="Calibri" w:eastAsia="Calibri" w:hAnsi="Calibri" w:cs="Calibri"/>
          <w:color w:val="1A1A1A"/>
        </w:rPr>
        <w:t>Lutte contre les discriminations : recouvre les politiques et instruments visant à garantir l’égalité de traitement entre les individus, indépendamment de l’origine ethnique, religion, sexe, l’orientation sexuelle, handicap ou âge.</w:t>
      </w:r>
    </w:p>
    <w:p w14:paraId="276D0700" w14:textId="29E4426C" w:rsidR="001E3E87" w:rsidRDefault="005258B2">
      <w:pPr>
        <w:pStyle w:val="Paragraphedeliste"/>
        <w:numPr>
          <w:ilvl w:val="0"/>
          <w:numId w:val="2"/>
        </w:numPr>
        <w:spacing w:after="70" w:line="264" w:lineRule="auto"/>
        <w:jc w:val="both"/>
      </w:pPr>
      <w:r>
        <w:rPr>
          <w:rFonts w:ascii="Calibri" w:eastAsia="Calibri" w:hAnsi="Calibri" w:cs="Calibri"/>
          <w:color w:val="1A1A1A"/>
        </w:rPr>
        <w:t>Protection de l’</w:t>
      </w:r>
      <w:r w:rsidR="002F7BC2">
        <w:rPr>
          <w:rFonts w:ascii="Calibri" w:eastAsia="Calibri" w:hAnsi="Calibri" w:cs="Calibri"/>
          <w:color w:val="1A1A1A"/>
        </w:rPr>
        <w:t>État</w:t>
      </w:r>
      <w:r>
        <w:rPr>
          <w:rFonts w:ascii="Calibri" w:eastAsia="Calibri" w:hAnsi="Calibri" w:cs="Calibri"/>
          <w:color w:val="1A1A1A"/>
        </w:rPr>
        <w:t xml:space="preserve"> de droit : renvoie au respect des principes fondamentaux d’une démocratie (primauté du droit, indépendance de la justice, séparation des pouvoirs, contrôle de la légalité de l’action publique).</w:t>
      </w:r>
    </w:p>
    <w:p w14:paraId="1CB25961" w14:textId="77777777" w:rsidR="001E3E87" w:rsidRDefault="005258B2">
      <w:pPr>
        <w:spacing w:after="90" w:line="264" w:lineRule="auto"/>
        <w:jc w:val="both"/>
      </w:pPr>
      <w:r>
        <w:rPr>
          <w:rFonts w:ascii="Calibri" w:eastAsia="Calibri" w:hAnsi="Calibri" w:cs="Calibri"/>
          <w:color w:val="1A1A1A"/>
        </w:rPr>
        <w:t>Il faut commencer par rappeler que l’Union dispose, depuis 2000, d’une charte des droits fondamentaux (entrée en vigueur en 2009 avec le traité de Lisbonne) dont le préambule annonce que l’Union repose sur le principe de l’État de droit et qu’elle place la personne au cœur de son action, notamment en créant un espace de liberté, de sécurité et de justice.</w:t>
      </w:r>
    </w:p>
    <w:p w14:paraId="011B9191" w14:textId="77777777" w:rsidR="001E3E87" w:rsidRDefault="005258B2">
      <w:pPr>
        <w:spacing w:after="90" w:line="264" w:lineRule="auto"/>
        <w:jc w:val="both"/>
      </w:pPr>
      <w:r>
        <w:rPr>
          <w:rFonts w:ascii="Calibri" w:eastAsia="Calibri" w:hAnsi="Calibri" w:cs="Calibri"/>
          <w:color w:val="1A1A1A"/>
        </w:rPr>
        <w:t>Il faut savoir que l’Union se définit elle-même comme une « Union de droit » (</w:t>
      </w:r>
      <w:r>
        <w:rPr>
          <w:rFonts w:ascii="Calibri" w:eastAsia="Calibri" w:hAnsi="Calibri" w:cs="Calibri"/>
          <w:color w:val="E91E63"/>
        </w:rPr>
        <w:t>CJUE, Gde ch., 29 juin 2010, E et F, aff. C-550/09</w:t>
      </w:r>
      <w:r w:rsidRPr="002F7BC2">
        <w:rPr>
          <w:rFonts w:ascii="Calibri" w:eastAsia="Calibri" w:hAnsi="Calibri" w:cs="Calibri"/>
          <w:color w:val="FF1393"/>
        </w:rPr>
        <w:t>, point 44</w:t>
      </w:r>
      <w:r>
        <w:rPr>
          <w:rFonts w:ascii="Calibri" w:eastAsia="Calibri" w:hAnsi="Calibri" w:cs="Calibri"/>
          <w:color w:val="1A1A1A"/>
        </w:rPr>
        <w:t>)</w:t>
      </w:r>
    </w:p>
    <w:p w14:paraId="19AC2B6A" w14:textId="77777777" w:rsidR="001E3E87" w:rsidRDefault="005258B2">
      <w:pPr>
        <w:spacing w:after="90" w:line="264" w:lineRule="auto"/>
        <w:jc w:val="both"/>
      </w:pPr>
      <w:r>
        <w:rPr>
          <w:rFonts w:ascii="Calibri" w:eastAsia="Calibri" w:hAnsi="Calibri" w:cs="Calibri"/>
          <w:color w:val="1A1A1A"/>
        </w:rPr>
        <w:t>Il faut indiquer que lesdites politiques entrent dans le champ du droit de l’Union et donner la base juridique de ces domaines :</w:t>
      </w:r>
    </w:p>
    <w:p w14:paraId="7D0A3CC6"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 xml:space="preserve">Politique d’immigration : </w:t>
      </w:r>
      <w:r>
        <w:rPr>
          <w:rFonts w:ascii="Calibri" w:eastAsia="Calibri" w:hAnsi="Calibri" w:cs="Calibri"/>
          <w:color w:val="1E88E5"/>
        </w:rPr>
        <w:t>article 79 et 89</w:t>
      </w:r>
      <w:r>
        <w:rPr>
          <w:rFonts w:ascii="Calibri" w:eastAsia="Calibri" w:hAnsi="Calibri" w:cs="Calibri"/>
          <w:color w:val="1A1A1A"/>
        </w:rPr>
        <w:t xml:space="preserve"> du traité sur le fonctionnement de l’Union.</w:t>
      </w:r>
    </w:p>
    <w:p w14:paraId="0CCA7746"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 xml:space="preserve">Lutte contre les discriminations et protection de l’État de droit : </w:t>
      </w:r>
      <w:r>
        <w:rPr>
          <w:rFonts w:ascii="Calibri" w:eastAsia="Calibri" w:hAnsi="Calibri" w:cs="Calibri"/>
          <w:color w:val="1E88E5"/>
        </w:rPr>
        <w:t>article 2</w:t>
      </w:r>
      <w:r>
        <w:rPr>
          <w:rFonts w:ascii="Calibri" w:eastAsia="Calibri" w:hAnsi="Calibri" w:cs="Calibri"/>
          <w:color w:val="1A1A1A"/>
        </w:rPr>
        <w:t xml:space="preserve"> du traité sur l’Union européenne aux termes duquel « l’Union est fondée sur les valeurs de respect de la dignité humaine, de démocratie, d’égalité, de l’État de droit, ainsi que de respect des droits de l’homme, y compris des droits des personnes appartenant à des minorités. Ces valeurs sont communes aux États membres dans une société caractérisée par la non-discrimination […] et l’égalité entre les femmes et les hommes ».</w:t>
      </w:r>
    </w:p>
    <w:p w14:paraId="4E4E738C" w14:textId="77777777" w:rsidR="001E3E87" w:rsidRDefault="005258B2">
      <w:pPr>
        <w:spacing w:after="90" w:line="264" w:lineRule="auto"/>
        <w:jc w:val="both"/>
      </w:pPr>
      <w:r>
        <w:rPr>
          <w:rFonts w:ascii="Calibri" w:eastAsia="Calibri" w:hAnsi="Calibri" w:cs="Calibri"/>
          <w:color w:val="1A1A1A"/>
        </w:rPr>
        <w:t>Il faut démontrer que l’Union, qui se pense comme un espace de droit, est une forteresse où le droit s’efface lorsque l’urgence politique s’impose. La question migratoire en témoigne : en 2024, la politique migratoire de l’Union a pris un tournant préoccupant, illustrant une stratégie de dissuasion brutale. Sous couvert de gestion des flux migratoires, le Pacte sur la migration et l’asile restreint l’accès à la protection internationale, facilite les décisions expéditives et accroît la détention aux frontières. Des notions juridiquement floues comme « afflux massif » permettent désormais de contourner le droit d’asile, au mépris des garanties fondamentales.</w:t>
      </w:r>
    </w:p>
    <w:p w14:paraId="32B3A7C3" w14:textId="77777777" w:rsidR="001E3E87" w:rsidRDefault="005258B2">
      <w:pPr>
        <w:spacing w:after="90" w:line="264" w:lineRule="auto"/>
        <w:jc w:val="both"/>
      </w:pPr>
      <w:r>
        <w:rPr>
          <w:rFonts w:ascii="Calibri" w:eastAsia="Calibri" w:hAnsi="Calibri" w:cs="Calibri"/>
          <w:color w:val="1A1A1A"/>
        </w:rPr>
        <w:t>Il faut savoir que l’Union européenne externalise, par ailleurs, sa politique migratoire, déléguant à des pays tiers – Égypte, Mauritanie, Tunisie – le contrôle des frontières, au prix d’un silence coupable face aux violations graves et systématiques des droits humains dans ces zones.</w:t>
      </w:r>
    </w:p>
    <w:p w14:paraId="3137BEE1" w14:textId="77777777" w:rsidR="001E3E87" w:rsidRDefault="005258B2">
      <w:pPr>
        <w:spacing w:after="90" w:line="264" w:lineRule="auto"/>
        <w:jc w:val="both"/>
      </w:pPr>
      <w:r>
        <w:rPr>
          <w:rFonts w:ascii="Calibri" w:eastAsia="Calibri" w:hAnsi="Calibri" w:cs="Calibri"/>
          <w:b/>
          <w:bCs/>
          <w:color w:val="1A1A1A"/>
        </w:rPr>
        <w:t>Il faut rappeler les statistiques:</w:t>
      </w:r>
      <w:r>
        <w:rPr>
          <w:rFonts w:ascii="Calibri" w:eastAsia="Calibri" w:hAnsi="Calibri" w:cs="Calibri"/>
          <w:color w:val="1A1A1A"/>
        </w:rPr>
        <w:t xml:space="preserve"> plus de 2 000 personnes ont péri en mer en 2024. Face à cette hécatombe, la complaisance institutionnelle de l’Union interroge son engagement envers ses propres valeurs. L’Agence des droits fondamentaux et la Médiatrice européenne appellent à des mécanismes de contrôle plus robustes.</w:t>
      </w:r>
    </w:p>
    <w:p w14:paraId="42A28BD0" w14:textId="77777777" w:rsidR="001E3E87" w:rsidRDefault="005258B2">
      <w:pPr>
        <w:spacing w:after="90" w:line="264" w:lineRule="auto"/>
        <w:jc w:val="both"/>
      </w:pPr>
      <w:r>
        <w:rPr>
          <w:rFonts w:ascii="Calibri" w:eastAsia="Calibri" w:hAnsi="Calibri" w:cs="Calibri"/>
          <w:color w:val="1A1A1A"/>
        </w:rPr>
        <w:t>Il faut montrer que l’Europe a vu une progression de l’intolérance, alimentée par la montée de l’extrême droite et la banalisation de discours racistes et xénophobes : des rapports de l’Agence des droits fondamentaux montrent l’ampleur de l’antisémitisme et des discriminations subies par les musulmans, y compris des violences policières.</w:t>
      </w:r>
    </w:p>
    <w:p w14:paraId="70DA8EBD" w14:textId="77777777" w:rsidR="001E3E87" w:rsidRDefault="005258B2">
      <w:pPr>
        <w:spacing w:after="90" w:line="264" w:lineRule="auto"/>
        <w:jc w:val="both"/>
      </w:pPr>
      <w:r>
        <w:rPr>
          <w:rFonts w:ascii="Calibri" w:eastAsia="Calibri" w:hAnsi="Calibri" w:cs="Calibri"/>
          <w:color w:val="1A1A1A"/>
        </w:rPr>
        <w:t>Il faut aussi insister sur l’augmentation, parmi les États membres, de la discrimination envers les personnes d’origine africaine, les migrants et les personnes LGBT, alimentée par la désinformation sur les réseaux sociaux (fake news). Sur le plan législatif, l’Union a adopté une directive sur la violence contre les femmes, sans toutefois inclure de définition du viol fondée sur le consentement ni interdire la stérilisation forcée, pourtant légale dans plusieurs États membres.</w:t>
      </w:r>
    </w:p>
    <w:p w14:paraId="0BA2E33F" w14:textId="77777777" w:rsidR="001E3E87" w:rsidRDefault="005258B2">
      <w:pPr>
        <w:spacing w:after="90" w:line="264" w:lineRule="auto"/>
        <w:jc w:val="both"/>
      </w:pPr>
      <w:r>
        <w:rPr>
          <w:rFonts w:ascii="Calibri" w:eastAsia="Calibri" w:hAnsi="Calibri" w:cs="Calibri"/>
          <w:color w:val="1A1A1A"/>
        </w:rPr>
        <w:lastRenderedPageBreak/>
        <w:t>Il faut indiquer que la stratégie de la Commission pour 2024-2029 relègue les questions d’égalité à un portefeuille de gestion des crises, marquant un recul institutionnel majeur, d’autant plus qu’un rapport de la Commission en 2024 a révélé l’écart persistant entre les pensions de retraite des hommes et des femmes en 2022.</w:t>
      </w:r>
    </w:p>
    <w:p w14:paraId="02F4A1A9" w14:textId="77777777" w:rsidR="001E3E87" w:rsidRDefault="005258B2">
      <w:pPr>
        <w:spacing w:after="90" w:line="264" w:lineRule="auto"/>
        <w:jc w:val="both"/>
      </w:pPr>
      <w:r>
        <w:rPr>
          <w:rFonts w:ascii="Calibri" w:eastAsia="Calibri" w:hAnsi="Calibri" w:cs="Calibri"/>
          <w:color w:val="1A1A1A"/>
        </w:rPr>
        <w:t>Il faut rappeler que malgré la création, en 2004, d’un poste de Commissaire à la démocratie, à la justice et à l’État de droit, les actions concrètes de l’Union demeurent insuffisantes : la Hongrie, toujours sous examen de l’</w:t>
      </w:r>
      <w:r>
        <w:rPr>
          <w:rFonts w:ascii="Calibri" w:eastAsia="Calibri" w:hAnsi="Calibri" w:cs="Calibri"/>
          <w:color w:val="1E88E5"/>
        </w:rPr>
        <w:t>article 7</w:t>
      </w:r>
      <w:r>
        <w:rPr>
          <w:rFonts w:ascii="Calibri" w:eastAsia="Calibri" w:hAnsi="Calibri" w:cs="Calibri"/>
          <w:color w:val="1A1A1A"/>
        </w:rPr>
        <w:t xml:space="preserve"> pour des violations graves de l’État de droit, n’a, à l’heure actuelle, fait l’objet d’aucune sanction ; en Pologne, alors que les réformes nécessaires n’ont pas été mises en œuvre, la Commission a mis fin à la procédure de l’</w:t>
      </w:r>
      <w:r>
        <w:rPr>
          <w:rFonts w:ascii="Calibri" w:eastAsia="Calibri" w:hAnsi="Calibri" w:cs="Calibri"/>
          <w:color w:val="1E88E5"/>
        </w:rPr>
        <w:t>article 7</w:t>
      </w:r>
      <w:r>
        <w:rPr>
          <w:rFonts w:ascii="Calibri" w:eastAsia="Calibri" w:hAnsi="Calibri" w:cs="Calibri"/>
          <w:color w:val="1A1A1A"/>
        </w:rPr>
        <w:t>.</w:t>
      </w:r>
    </w:p>
    <w:p w14:paraId="7DEA8597" w14:textId="77777777" w:rsidR="001E3E87" w:rsidRDefault="005258B2">
      <w:pPr>
        <w:spacing w:after="90" w:line="264" w:lineRule="auto"/>
        <w:jc w:val="both"/>
      </w:pPr>
      <w:r>
        <w:rPr>
          <w:rFonts w:ascii="Calibri" w:eastAsia="Calibri" w:hAnsi="Calibri" w:cs="Calibri"/>
          <w:color w:val="1A1A1A"/>
        </w:rPr>
        <w:t>Il faut souligner que, bien que le règlement sur l’IA adopté en juin 2024 constitue un progrès – avec l’interdiction de la notation sociale et les restrictions sur la surveillance biométrique –, l’Union a cédé aux pressions des entreprises en retirant son projet de directive sur la responsabilité, au moment même où les atteintes de l’IA aux droits fondamentaux (vie privée, protection des données, biais, discriminations) n’ont jamais été aussi préoccupantes.</w:t>
      </w:r>
    </w:p>
    <w:p w14:paraId="2913F0B7" w14:textId="77777777" w:rsidR="001E3E87" w:rsidRDefault="005258B2">
      <w:pPr>
        <w:spacing w:after="90" w:line="264" w:lineRule="auto"/>
        <w:jc w:val="both"/>
      </w:pPr>
      <w:r>
        <w:rPr>
          <w:rFonts w:ascii="Calibri" w:eastAsia="Calibri" w:hAnsi="Calibri" w:cs="Calibri"/>
          <w:color w:val="1A1A1A"/>
        </w:rPr>
        <w:t>En conclusion, il existe un puissant paradoxe. D’une part, l’Union européenne érige les droits fondamentaux en socle de légitimité. D’autre part, elle tolère, voire génère, des logiques sécuritaires, économiques ou politiques qui les érodent de l’intérieur. Ce décalage entre les principes proclamés et les réalités constatées (replis identitaires, dérives autoritaires et nouvelles technologies) entame la crédibilité du projet européen. L’Union doit, pour rester fidèle à ses valeurs, cesser de faire des droits humains une variable d’ajustement.</w:t>
      </w:r>
    </w:p>
    <w:p w14:paraId="7D065473" w14:textId="77777777" w:rsidR="001E3E87" w:rsidRDefault="005258B2">
      <w:r>
        <w:br w:type="page"/>
      </w:r>
    </w:p>
    <w:p w14:paraId="76E2B3EA" w14:textId="77777777" w:rsidR="001E3E87" w:rsidRDefault="005258B2">
      <w:pPr>
        <w:shd w:val="clear" w:color="auto" w:fill="F2E9EA"/>
        <w:spacing w:before="200" w:after="200"/>
        <w:jc w:val="center"/>
      </w:pPr>
      <w:r>
        <w:rPr>
          <w:rFonts w:ascii="Calibri" w:eastAsia="Calibri" w:hAnsi="Calibri" w:cs="Calibri"/>
          <w:b/>
          <w:bCs/>
          <w:color w:val="8C1C2B"/>
          <w:spacing w:val="30"/>
          <w:sz w:val="26"/>
          <w:szCs w:val="26"/>
        </w:rPr>
        <w:lastRenderedPageBreak/>
        <w:t>PARTIE IV. LES MÉCANISMES INTERNES DE PROTECTION</w:t>
      </w:r>
    </w:p>
    <w:p w14:paraId="721D06AD"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t>ENTRAÎNEMENT N° 16 — COMMENTAIRE DE TEXTE</w:t>
      </w:r>
    </w:p>
    <w:p w14:paraId="5E95FFA0" w14:textId="77777777" w:rsidR="001E3E87" w:rsidRDefault="005258B2">
      <w:pPr>
        <w:spacing w:after="160"/>
      </w:pPr>
      <w:r>
        <w:rPr>
          <w:rFonts w:ascii="Calibri" w:eastAsia="Calibri" w:hAnsi="Calibri" w:cs="Calibri"/>
          <w:i/>
          <w:iCs/>
          <w:color w:val="5A5A5A"/>
          <w:sz w:val="18"/>
          <w:szCs w:val="18"/>
        </w:rPr>
        <w:t>Fiche n° 16 — La protection par le juge constitutionnel  |  PARTIE IV. LES MÉCANISMES INTERNES DE PROTECTION  |  Fascicule p. 162</w:t>
      </w:r>
    </w:p>
    <w:p w14:paraId="3B7C82CE"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32B2DEF8"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 xml:space="preserve">commentez les </w:t>
      </w:r>
      <w:r>
        <w:rPr>
          <w:rFonts w:ascii="Calibri" w:eastAsia="Calibri" w:hAnsi="Calibri" w:cs="Calibri"/>
          <w:color w:val="1E88E5"/>
        </w:rPr>
        <w:t>articles 61 et 61-1</w:t>
      </w:r>
      <w:r>
        <w:rPr>
          <w:rFonts w:ascii="Calibri" w:eastAsia="Calibri" w:hAnsi="Calibri" w:cs="Calibri"/>
          <w:color w:val="1A1A1A"/>
        </w:rPr>
        <w:t xml:space="preserve"> de la </w:t>
      </w:r>
      <w:r>
        <w:rPr>
          <w:rFonts w:ascii="Calibri" w:eastAsia="Calibri" w:hAnsi="Calibri" w:cs="Calibri"/>
          <w:color w:val="1E88E5"/>
        </w:rPr>
        <w:t>Constitution de 1958</w:t>
      </w:r>
      <w:r>
        <w:rPr>
          <w:rFonts w:ascii="Calibri" w:eastAsia="Calibri" w:hAnsi="Calibri" w:cs="Calibri"/>
          <w:color w:val="1A1A1A"/>
        </w:rPr>
        <w:t>.</w:t>
      </w:r>
    </w:p>
    <w:p w14:paraId="1320AA89"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673B0676" w14:textId="77777777" w:rsidR="001E3E87" w:rsidRDefault="005258B2">
      <w:pPr>
        <w:spacing w:after="90" w:line="264" w:lineRule="auto"/>
        <w:jc w:val="both"/>
      </w:pPr>
      <w:r>
        <w:rPr>
          <w:rFonts w:ascii="Calibri" w:eastAsia="Calibri" w:hAnsi="Calibri" w:cs="Calibri"/>
          <w:color w:val="1A1A1A"/>
        </w:rPr>
        <w:t xml:space="preserve">L’une des majeures innovations de la </w:t>
      </w:r>
      <w:r>
        <w:rPr>
          <w:rFonts w:ascii="Calibri" w:eastAsia="Calibri" w:hAnsi="Calibri" w:cs="Calibri"/>
          <w:color w:val="1E88E5"/>
        </w:rPr>
        <w:t>Constitution de 1958</w:t>
      </w:r>
      <w:r>
        <w:rPr>
          <w:rFonts w:ascii="Calibri" w:eastAsia="Calibri" w:hAnsi="Calibri" w:cs="Calibri"/>
          <w:color w:val="1A1A1A"/>
        </w:rPr>
        <w:t xml:space="preserve"> est de mettre en place le Conseil constitutionnel et un contrôle de constitutionnalité des lois. En effet, pendant très longtemps en France, le légicentrisme régnait en maître. La loi ne pouvant mal faire. Dès lors, tout contrôle de constitutionnalité était exclu. Quelques tentatives sont restées vaines, telles que le jury constitutionnaire de Sieyès ou le Comité constitutionnel de la IVe République. Il faudra donc attendre 1958 et la Ve République pour qu’un réel juge constitutionnel soit instauré ainsi qu’un contrôle de constitutionnalité des lois en France. Nonobstant, il faudra attendre quelques décennies pour que le Conseil constitutionnel endosse son rôle de gardien des droits et libertés :</w:t>
      </w:r>
    </w:p>
    <w:p w14:paraId="5E73BBA6"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Ce contrôle de constitutionnalité des lois était initialement pensé comme un garde-fou face au pouvoir législatif afin que ce dernier respecte son domaine d’attribution.</w:t>
      </w:r>
    </w:p>
    <w:p w14:paraId="18F2C6E5"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Grâce à une jurisprudence audacieuse, le Conseil constitutionnel s’est érigé progressivement comme garant des droits et libertés que la Constitution garantit (</w:t>
      </w:r>
      <w:r>
        <w:rPr>
          <w:rFonts w:ascii="Calibri" w:eastAsia="Calibri" w:hAnsi="Calibri" w:cs="Calibri"/>
          <w:color w:val="E91E63"/>
        </w:rPr>
        <w:t xml:space="preserve">Cons. const., déc. no 71-44 </w:t>
      </w:r>
      <w:r>
        <w:rPr>
          <w:rFonts w:ascii="Calibri" w:eastAsia="Calibri" w:hAnsi="Calibri" w:cs="Calibri"/>
          <w:color w:val="1A1A1A"/>
        </w:rPr>
        <w:t xml:space="preserve">DC, 16 juillet 1971, Liberté d’association : référence au </w:t>
      </w:r>
      <w:r>
        <w:rPr>
          <w:rFonts w:ascii="Calibri" w:eastAsia="Calibri" w:hAnsi="Calibri" w:cs="Calibri"/>
          <w:color w:val="1E88E5"/>
        </w:rPr>
        <w:t>Préambule de la Constitution de 1946</w:t>
      </w:r>
      <w:r>
        <w:rPr>
          <w:rFonts w:ascii="Calibri" w:eastAsia="Calibri" w:hAnsi="Calibri" w:cs="Calibri"/>
          <w:color w:val="1A1A1A"/>
        </w:rPr>
        <w:t xml:space="preserve"> et aux principes fondamentaux reconnus par les lois de la République pour censurer la loi / déc. no 73-51 DC, 27 décembre 1973, Taxation d’office : référence à la Déclaration des droits de l’homme).</w:t>
      </w:r>
    </w:p>
    <w:p w14:paraId="34C4EEC6" w14:textId="77777777" w:rsidR="001E3E87" w:rsidRDefault="005258B2">
      <w:pPr>
        <w:spacing w:after="90" w:line="264" w:lineRule="auto"/>
        <w:jc w:val="both"/>
      </w:pPr>
      <w:r>
        <w:rPr>
          <w:rFonts w:ascii="Calibri" w:eastAsia="Calibri" w:hAnsi="Calibri" w:cs="Calibri"/>
          <w:b/>
          <w:bCs/>
          <w:color w:val="1A1A1A"/>
        </w:rPr>
        <w:t>Problématique:</w:t>
      </w:r>
      <w:r>
        <w:rPr>
          <w:rFonts w:ascii="Calibri" w:eastAsia="Calibri" w:hAnsi="Calibri" w:cs="Calibri"/>
          <w:color w:val="1A1A1A"/>
        </w:rPr>
        <w:t xml:space="preserve"> Tirant les enseignements des dérives des IIIe et IVe République, la nécessité d’instaurer un contrôle de constitutionnalité des lois s’est imposé sous la Ve République (I), contrôle renforcé avec l’instauration de la question prioritaire de constitutionnalité (II).</w:t>
      </w:r>
    </w:p>
    <w:p w14:paraId="0208E286" w14:textId="77777777" w:rsidR="001E3E87" w:rsidRDefault="005258B2">
      <w:pPr>
        <w:pStyle w:val="Titre3"/>
        <w:spacing w:before="190" w:after="80"/>
      </w:pPr>
      <w:r>
        <w:rPr>
          <w:rFonts w:ascii="Calibri" w:eastAsia="Calibri" w:hAnsi="Calibri" w:cs="Calibri"/>
          <w:b/>
          <w:bCs/>
          <w:i/>
          <w:iCs/>
          <w:color w:val="1A1A1A"/>
          <w:sz w:val="21"/>
          <w:szCs w:val="21"/>
        </w:rPr>
        <w:t>I. La reconnaissance d’un nécessaire contrôle de constitutionnalité des lois</w:t>
      </w:r>
    </w:p>
    <w:p w14:paraId="29E6D1D3" w14:textId="77777777" w:rsidR="001E3E87" w:rsidRDefault="005258B2">
      <w:pPr>
        <w:pStyle w:val="Titre3"/>
        <w:spacing w:before="190" w:after="80"/>
      </w:pPr>
      <w:r>
        <w:rPr>
          <w:rFonts w:ascii="Calibri" w:eastAsia="Calibri" w:hAnsi="Calibri" w:cs="Calibri"/>
          <w:b/>
          <w:bCs/>
          <w:i/>
          <w:iCs/>
          <w:color w:val="1A1A1A"/>
          <w:sz w:val="21"/>
          <w:szCs w:val="21"/>
        </w:rPr>
        <w:t>A. La mise en place d’un contrôle a priori des lois</w:t>
      </w:r>
    </w:p>
    <w:p w14:paraId="170C4667" w14:textId="77777777" w:rsidR="001E3E87" w:rsidRDefault="005258B2">
      <w:pPr>
        <w:spacing w:after="90" w:line="264" w:lineRule="auto"/>
        <w:jc w:val="both"/>
      </w:pPr>
      <w:r>
        <w:rPr>
          <w:rFonts w:ascii="Calibri" w:eastAsia="Calibri" w:hAnsi="Calibri" w:cs="Calibri"/>
          <w:color w:val="1E88E5"/>
        </w:rPr>
        <w:t>Article 56</w:t>
      </w:r>
      <w:r>
        <w:rPr>
          <w:rFonts w:ascii="Calibri" w:eastAsia="Calibri" w:hAnsi="Calibri" w:cs="Calibri"/>
          <w:color w:val="1A1A1A"/>
        </w:rPr>
        <w:t xml:space="preserve"> de la Constitution : instauration du Conseil constitutionnel : neuf membres pour un mandat de 9 ans avec trois autorités de nomination (président de la République, président de l’Assemblée national et président du Sénat) avec un renouvellement par tiers tous les 3 ans. </w:t>
      </w:r>
      <w:r>
        <w:rPr>
          <w:rFonts w:ascii="Calibri" w:eastAsia="Calibri" w:hAnsi="Calibri" w:cs="Calibri"/>
          <w:color w:val="1E88E5"/>
        </w:rPr>
        <w:t>Article 61</w:t>
      </w:r>
      <w:r>
        <w:rPr>
          <w:rFonts w:ascii="Calibri" w:eastAsia="Calibri" w:hAnsi="Calibri" w:cs="Calibri"/>
          <w:color w:val="1A1A1A"/>
        </w:rPr>
        <w:t xml:space="preserve"> de la Constitution : création du contrôle a priori des lois, examen par le Conseil constitutionnel de la conformité des lois à la Constitution : saisine obligatoire du Conseil constitutionnel pour : les lois organiques, les lois référendaires et les règlements des assemblées parlementaires / saisine facultative : pour toutes les lois ordinaires. Initialement : contrôle de constitutionnalité fait uniquement au regard du corps de la Constitution puis point de bascule avec la décision liberté d’association de 1971 et la création prétorienne du bloc de constitutionnalité permettant au Conseil constitutionnel d’élargir ses normes de référence lors de son contrôle.</w:t>
      </w:r>
    </w:p>
    <w:p w14:paraId="4CF5911E" w14:textId="77777777" w:rsidR="001E3E87" w:rsidRDefault="005258B2">
      <w:pPr>
        <w:pStyle w:val="Titre3"/>
        <w:spacing w:before="190" w:after="80"/>
      </w:pPr>
      <w:r>
        <w:rPr>
          <w:rFonts w:ascii="Calibri" w:eastAsia="Calibri" w:hAnsi="Calibri" w:cs="Calibri"/>
          <w:b/>
          <w:bCs/>
          <w:i/>
          <w:iCs/>
          <w:color w:val="1A1A1A"/>
          <w:sz w:val="21"/>
          <w:szCs w:val="21"/>
        </w:rPr>
        <w:t>B. L’élargissement des autorités de saisine</w:t>
      </w:r>
    </w:p>
    <w:p w14:paraId="03CD127B" w14:textId="77777777" w:rsidR="001E3E87" w:rsidRDefault="005258B2">
      <w:pPr>
        <w:spacing w:after="90" w:line="264" w:lineRule="auto"/>
        <w:jc w:val="both"/>
      </w:pPr>
      <w:r>
        <w:rPr>
          <w:rFonts w:ascii="Calibri" w:eastAsia="Calibri" w:hAnsi="Calibri" w:cs="Calibri"/>
          <w:color w:val="1A1A1A"/>
        </w:rPr>
        <w:t xml:space="preserve">Initialement, seuls le président de la République, le Premier ministre, le président de l’Assemblée nationale, le président du Sénat pouvaient saisir le Conseil constitutionnel dans le cadre du contrôle a priori des lois. Cette saisine restreinte par ces quatre autorités souvent du même parti ou bord politique pouvait conduire à ce que certaines lois issues de la majorité ne soient pas déférées devant le Conseil constitutionnel. La </w:t>
      </w:r>
      <w:r>
        <w:rPr>
          <w:rFonts w:ascii="Calibri" w:eastAsia="Calibri" w:hAnsi="Calibri" w:cs="Calibri"/>
          <w:color w:val="1E88E5"/>
        </w:rPr>
        <w:t>loi constitutionnelle no 74-904</w:t>
      </w:r>
      <w:r>
        <w:rPr>
          <w:rFonts w:ascii="Calibri" w:eastAsia="Calibri" w:hAnsi="Calibri" w:cs="Calibri"/>
          <w:color w:val="1A1A1A"/>
        </w:rPr>
        <w:t>, promulguée le 29 octobre 1974, révise l’</w:t>
      </w:r>
      <w:r>
        <w:rPr>
          <w:rFonts w:ascii="Calibri" w:eastAsia="Calibri" w:hAnsi="Calibri" w:cs="Calibri"/>
          <w:color w:val="1E88E5"/>
        </w:rPr>
        <w:t>article 61</w:t>
      </w:r>
      <w:r>
        <w:rPr>
          <w:rFonts w:ascii="Calibri" w:eastAsia="Calibri" w:hAnsi="Calibri" w:cs="Calibri"/>
          <w:color w:val="1A1A1A"/>
        </w:rPr>
        <w:t xml:space="preserve"> de la Constitution afin de permettre à l’opposition parlementaire, 60 députés ou 60 sénateurs de déférer une loi votée par le Parlement au Conseil constitutionnel avant sa promulgation par le président de la République. Cependant, le caractère facultatif du contrôle des lois ordinaires permet à certaines lois inconstitutionnelles d’être promulguées.</w:t>
      </w:r>
    </w:p>
    <w:p w14:paraId="6D4A9F58" w14:textId="77777777" w:rsidR="001E3E87" w:rsidRDefault="005258B2">
      <w:pPr>
        <w:pStyle w:val="Titre3"/>
        <w:spacing w:before="190" w:after="80"/>
      </w:pPr>
      <w:r>
        <w:rPr>
          <w:rFonts w:ascii="Calibri" w:eastAsia="Calibri" w:hAnsi="Calibri" w:cs="Calibri"/>
          <w:b/>
          <w:bCs/>
          <w:i/>
          <w:iCs/>
          <w:color w:val="1A1A1A"/>
          <w:sz w:val="21"/>
          <w:szCs w:val="21"/>
        </w:rPr>
        <w:t>II. Le renforcement du contrôle de constitutionnalité avec la question prioritaire de constitutionnalité</w:t>
      </w:r>
    </w:p>
    <w:p w14:paraId="62CFE8AE" w14:textId="77777777" w:rsidR="001E3E87" w:rsidRDefault="005258B2">
      <w:pPr>
        <w:pStyle w:val="Titre3"/>
        <w:spacing w:before="190" w:after="80"/>
      </w:pPr>
      <w:r>
        <w:rPr>
          <w:rFonts w:ascii="Calibri" w:eastAsia="Calibri" w:hAnsi="Calibri" w:cs="Calibri"/>
          <w:b/>
          <w:bCs/>
          <w:i/>
          <w:iCs/>
          <w:color w:val="1A1A1A"/>
          <w:sz w:val="21"/>
          <w:szCs w:val="21"/>
        </w:rPr>
        <w:t>A. Les marques procédurales de la question prioritaire</w:t>
      </w:r>
    </w:p>
    <w:p w14:paraId="5D1E42D6" w14:textId="77777777" w:rsidR="001E3E87" w:rsidRDefault="005258B2">
      <w:pPr>
        <w:spacing w:after="90" w:line="264" w:lineRule="auto"/>
        <w:jc w:val="both"/>
      </w:pPr>
      <w:r>
        <w:rPr>
          <w:rFonts w:ascii="Calibri" w:eastAsia="Calibri" w:hAnsi="Calibri" w:cs="Calibri"/>
          <w:color w:val="1E88E5"/>
        </w:rPr>
        <w:lastRenderedPageBreak/>
        <w:t>Loi constitutionnelle no 2008-724</w:t>
      </w:r>
      <w:r>
        <w:rPr>
          <w:rFonts w:ascii="Calibri" w:eastAsia="Calibri" w:hAnsi="Calibri" w:cs="Calibri"/>
          <w:color w:val="1A1A1A"/>
        </w:rPr>
        <w:t xml:space="preserve"> du 23 juillet 2008 de modernisation des institutions de la Ve République : </w:t>
      </w:r>
      <w:r>
        <w:rPr>
          <w:rFonts w:ascii="Calibri" w:eastAsia="Calibri" w:hAnsi="Calibri" w:cs="Calibri"/>
          <w:color w:val="1E88E5"/>
        </w:rPr>
        <w:t>article 61-1</w:t>
      </w:r>
      <w:r>
        <w:rPr>
          <w:rFonts w:ascii="Calibri" w:eastAsia="Calibri" w:hAnsi="Calibri" w:cs="Calibri"/>
          <w:color w:val="1A1A1A"/>
        </w:rPr>
        <w:t xml:space="preserve"> de la Constitution. Lors d’un procès, un citoyen peut contester une loi s’il estime qu’elle porte atteinte aux droits et libertés garanties par la Constitution, en posant une question prioritaire de constitutionnalité (QPC). Avant cette réforme, il n’était pas possible de contester la conformité constitutionnelle d’une loi déjà entrée en vigueur. </w:t>
      </w:r>
      <w:r>
        <w:rPr>
          <w:rFonts w:ascii="Calibri" w:eastAsia="Calibri" w:hAnsi="Calibri" w:cs="Calibri"/>
          <w:color w:val="1E88E5"/>
        </w:rPr>
        <w:t>Loi organique no 2009-1523</w:t>
      </w:r>
      <w:r>
        <w:rPr>
          <w:rFonts w:ascii="Calibri" w:eastAsia="Calibri" w:hAnsi="Calibri" w:cs="Calibri"/>
          <w:color w:val="1A1A1A"/>
        </w:rPr>
        <w:t xml:space="preserve"> du 10 décembre 2009 relative à l’application de l’</w:t>
      </w:r>
      <w:r>
        <w:rPr>
          <w:rFonts w:ascii="Calibri" w:eastAsia="Calibri" w:hAnsi="Calibri" w:cs="Calibri"/>
          <w:color w:val="1E88E5"/>
        </w:rPr>
        <w:t>article 61-1</w:t>
      </w:r>
      <w:r>
        <w:rPr>
          <w:rFonts w:ascii="Calibri" w:eastAsia="Calibri" w:hAnsi="Calibri" w:cs="Calibri"/>
          <w:color w:val="1A1A1A"/>
        </w:rPr>
        <w:t xml:space="preserve"> de la Constitution : fixe les règles procédurales de la QPC. Trois conditions de fond de la QPC : l’applicabilité de la loi au litige, l’absence de déclaration préalable de conformité, le caractère sérieux ou nouveau de la question. Double filtre : juge du fond puis saisine du Conseil d’État ou de la Cour de cassation qui transmettent (ou pas) au Conseil constitutionnel.</w:t>
      </w:r>
    </w:p>
    <w:p w14:paraId="6CF6ED99" w14:textId="77777777" w:rsidR="001E3E87" w:rsidRDefault="005258B2">
      <w:pPr>
        <w:pStyle w:val="Titre3"/>
        <w:spacing w:before="190" w:after="80"/>
      </w:pPr>
      <w:r>
        <w:rPr>
          <w:rFonts w:ascii="Calibri" w:eastAsia="Calibri" w:hAnsi="Calibri" w:cs="Calibri"/>
          <w:b/>
          <w:bCs/>
          <w:i/>
          <w:iCs/>
          <w:color w:val="1A1A1A"/>
          <w:sz w:val="21"/>
          <w:szCs w:val="21"/>
        </w:rPr>
        <w:t>B. Les effets du contrôle de constitutionnalité des lois</w:t>
      </w:r>
    </w:p>
    <w:p w14:paraId="5805E8F6" w14:textId="77777777" w:rsidR="001E3E87" w:rsidRDefault="005258B2">
      <w:pPr>
        <w:spacing w:after="90" w:line="264" w:lineRule="auto"/>
        <w:jc w:val="both"/>
      </w:pPr>
      <w:r>
        <w:rPr>
          <w:rFonts w:ascii="Calibri" w:eastAsia="Calibri" w:hAnsi="Calibri" w:cs="Calibri"/>
          <w:color w:val="1A1A1A"/>
        </w:rPr>
        <w:t>Examen de la loi ou de la disposition de loi par le Conseil constitution au regard du bloc de constitutionnalité. Une disposition déclarée inconstitutionnelle sur le fondement de l’</w:t>
      </w:r>
      <w:r>
        <w:rPr>
          <w:rFonts w:ascii="Calibri" w:eastAsia="Calibri" w:hAnsi="Calibri" w:cs="Calibri"/>
          <w:color w:val="1E88E5"/>
        </w:rPr>
        <w:t>article 61</w:t>
      </w:r>
      <w:r>
        <w:rPr>
          <w:rFonts w:ascii="Calibri" w:eastAsia="Calibri" w:hAnsi="Calibri" w:cs="Calibri"/>
          <w:color w:val="1A1A1A"/>
        </w:rPr>
        <w:t xml:space="preserve"> ne peut être promulguée ni mise en application. Une disposition déclarée inconstitutionnelle sur le fondement de l’</w:t>
      </w:r>
      <w:r>
        <w:rPr>
          <w:rFonts w:ascii="Calibri" w:eastAsia="Calibri" w:hAnsi="Calibri" w:cs="Calibri"/>
          <w:color w:val="1E88E5"/>
        </w:rPr>
        <w:t>article 61-1</w:t>
      </w:r>
      <w:r>
        <w:rPr>
          <w:rFonts w:ascii="Calibri" w:eastAsia="Calibri" w:hAnsi="Calibri" w:cs="Calibri"/>
          <w:color w:val="1A1A1A"/>
        </w:rPr>
        <w:t xml:space="preserve"> est abrogée à compter de la publication de la décision du Conseil constitutionnel ou d’une date ultérieure fixée par cette décision. Le Conseil constitutionnel détermine les conditions et limites dans lesquelles les effets que la disposition a produits sont susceptibles d’être remis en cause. Possible modulation des effets dans le temps des décisions du Conseil constitutionnel. Les décisions du Conseil constitutionnel ne sont susceptibles d’aucun recours. Elles s’imposent aux pouvoirs publics et à toutes les autorités administratives et juridictionnelles.</w:t>
      </w:r>
    </w:p>
    <w:p w14:paraId="75C7123C" w14:textId="77777777" w:rsidR="001E3E87" w:rsidRDefault="005258B2">
      <w:pPr>
        <w:spacing w:after="90" w:line="264" w:lineRule="auto"/>
        <w:jc w:val="both"/>
      </w:pPr>
      <w:r>
        <w:rPr>
          <w:rFonts w:ascii="Calibri" w:eastAsia="Calibri" w:hAnsi="Calibri" w:cs="Calibri"/>
          <w:color w:val="1A1A1A"/>
        </w:rPr>
        <w:t>En conclusion, le Conseil constitutionnel a indubitablement dépassé pleinement le carcan initial de « chien de garde de l’exécutif » pour s’ériger en protecteur des droits et libertés fondamentaux en s’appropriant pleinement le contrôle de constitutionnalité des lois au regard du bloc de constitutionnalité.</w:t>
      </w:r>
    </w:p>
    <w:p w14:paraId="71138513" w14:textId="77777777" w:rsidR="001E3E87" w:rsidRDefault="005258B2">
      <w:r>
        <w:br w:type="page"/>
      </w:r>
    </w:p>
    <w:p w14:paraId="14E51EB8"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17 — ARGUMENTATION JURIDIQUE</w:t>
      </w:r>
    </w:p>
    <w:p w14:paraId="34D83337" w14:textId="77777777" w:rsidR="001E3E87" w:rsidRDefault="005258B2">
      <w:pPr>
        <w:spacing w:after="160"/>
      </w:pPr>
      <w:r>
        <w:rPr>
          <w:rFonts w:ascii="Calibri" w:eastAsia="Calibri" w:hAnsi="Calibri" w:cs="Calibri"/>
          <w:i/>
          <w:iCs/>
          <w:color w:val="5A5A5A"/>
          <w:sz w:val="18"/>
          <w:szCs w:val="18"/>
        </w:rPr>
        <w:t>Fiche n° 17 — La protection par le juge judiciaire  |  PARTIE IV. LES MÉCANISMES INTERNES DE PROTECTION  |  Fascicule p. 174</w:t>
      </w:r>
    </w:p>
    <w:p w14:paraId="65318B90"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38C3F133"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Soutenez que les contrôles de conventionnalité sont nécessaires afin d’assurer le respect des droits humains.</w:t>
      </w:r>
    </w:p>
    <w:p w14:paraId="5008FBDB"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03B2E198" w14:textId="77777777" w:rsidR="001E3E87" w:rsidRDefault="005258B2">
      <w:pPr>
        <w:spacing w:after="90" w:line="264" w:lineRule="auto"/>
        <w:jc w:val="both"/>
      </w:pPr>
      <w:r>
        <w:rPr>
          <w:rFonts w:ascii="Calibri" w:eastAsia="Calibri" w:hAnsi="Calibri" w:cs="Calibri"/>
          <w:color w:val="1A1A1A"/>
        </w:rPr>
        <w:t>Les traités et conventions internationales disposent, en vertu de l’</w:t>
      </w:r>
      <w:r>
        <w:rPr>
          <w:rFonts w:ascii="Calibri" w:eastAsia="Calibri" w:hAnsi="Calibri" w:cs="Calibri"/>
          <w:color w:val="1E88E5"/>
        </w:rPr>
        <w:t>article 55</w:t>
      </w:r>
      <w:r>
        <w:rPr>
          <w:rFonts w:ascii="Calibri" w:eastAsia="Calibri" w:hAnsi="Calibri" w:cs="Calibri"/>
          <w:color w:val="1A1A1A"/>
        </w:rPr>
        <w:t xml:space="preserve"> de la Constitution, d’une valeur infra-constitutionnelle, mais supra-législative. Les textes internationaux disposent également en vertu de ce texte d’un principe de primauté selon lequel en cas de norme contraire inférieure au texte de droit international, celle de rang inférieur devrait être écartée. Ces principes répondent tout à la fois à un souci de cohérence des ordres juridiques nationaux internationaux et d’effectivité des normes internationales. L’un des principaux moyens pour que la Convention EDH soit appliquée au niveau national est, en effet, que le juge interne se fonde directement sur cette norme dans le cadre des litiges qu’il a à trancher. Selon le principe de subsidiarité, il revient en premier lieu aux États parties d’appliquer la Convention. Le juge européen n’interviendra ainsi qu’en ultime recours lorsque les juridictions nationales n’auront pas été en mesure d’assurer le respect de la Convention. Afin d’assurer la primauté du droit international, plusieurs notions peuvent être utilisées par le juge : l’effet direct du droit international et le contrôle de conventionnalité. Pour que le principe de primauté s’applique, les normes doivent cependant avoir le même champ d’application matériel. Cela suppose en outre qu’un juge soit en mesure d’analyser la conformité des premières aux secondes. En France, les juges ordinaires exercent ces missions depuis que le Conseil constitutionnel a expressément exclu sa compétence (</w:t>
      </w:r>
      <w:r>
        <w:rPr>
          <w:rFonts w:ascii="Calibri" w:eastAsia="Calibri" w:hAnsi="Calibri" w:cs="Calibri"/>
          <w:color w:val="E91E63"/>
        </w:rPr>
        <w:t xml:space="preserve">Cons. const., déc., no 74-54 </w:t>
      </w:r>
      <w:r>
        <w:rPr>
          <w:rFonts w:ascii="Calibri" w:eastAsia="Calibri" w:hAnsi="Calibri" w:cs="Calibri"/>
          <w:color w:val="1A1A1A"/>
        </w:rPr>
        <w:t>DC, 15 janvier 1975, Loi relative à l’interruption volontaire de la grossesse). Son incompétence en la matière a laissé le champ libre aux juridictions administrative ou judiciaire. Ainsi, toutes les juridictions ordinaires sont compétentes pour mener ce contrôle de conventionnalité (</w:t>
      </w:r>
      <w:r>
        <w:rPr>
          <w:rFonts w:ascii="Calibri" w:eastAsia="Calibri" w:hAnsi="Calibri" w:cs="Calibri"/>
          <w:color w:val="E91E63"/>
        </w:rPr>
        <w:t>Cass. com., 20 octobre 1998, no 96- 19.277</w:t>
      </w:r>
      <w:r>
        <w:rPr>
          <w:rFonts w:ascii="Calibri" w:eastAsia="Calibri" w:hAnsi="Calibri" w:cs="Calibri"/>
          <w:color w:val="1A1A1A"/>
        </w:rPr>
        <w:t>). Le contrôle de conventionnalité a progressivement évolué, il vise désormais une dualité de contrôle, un contrôle concret de conventionnalité dit « contrôle de proportionnalité », venant compléter le contrôle abstrait de conventionnalité réalisé depuis 1975.</w:t>
      </w:r>
    </w:p>
    <w:p w14:paraId="00854051"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Le contrôle de conventionnalité permet tout à la fois de mettre à l’écart une loi nationale contraire au droit international par le biais d’un contrôle abstrait (I), qu’une loi conforme à ce texte, mais dont l’application aurait concrètement pour effet d’y porter atteinte (II).</w:t>
      </w:r>
    </w:p>
    <w:p w14:paraId="13010A77" w14:textId="77777777" w:rsidR="001E3E87" w:rsidRDefault="005258B2">
      <w:pPr>
        <w:pStyle w:val="Titre3"/>
        <w:spacing w:before="190" w:after="80"/>
      </w:pPr>
      <w:r>
        <w:rPr>
          <w:rFonts w:ascii="Calibri" w:eastAsia="Calibri" w:hAnsi="Calibri" w:cs="Calibri"/>
          <w:b/>
          <w:bCs/>
          <w:i/>
          <w:iCs/>
          <w:color w:val="1A1A1A"/>
          <w:sz w:val="21"/>
          <w:szCs w:val="21"/>
        </w:rPr>
        <w:t>I. La mise à l’écart d’une loi contraire à la Convention par le contrôle abstrait de conventionnalité</w:t>
      </w:r>
    </w:p>
    <w:p w14:paraId="29FB4310" w14:textId="77777777" w:rsidR="001E3E87" w:rsidRDefault="005258B2">
      <w:pPr>
        <w:pStyle w:val="Titre3"/>
        <w:spacing w:before="190" w:after="80"/>
      </w:pPr>
      <w:r>
        <w:rPr>
          <w:rFonts w:ascii="Calibri" w:eastAsia="Calibri" w:hAnsi="Calibri" w:cs="Calibri"/>
          <w:b/>
          <w:bCs/>
          <w:i/>
          <w:iCs/>
          <w:color w:val="1A1A1A"/>
          <w:sz w:val="21"/>
          <w:szCs w:val="21"/>
        </w:rPr>
        <w:t>A. L’appréciation abstraite d’une situation de non-conformité</w:t>
      </w:r>
    </w:p>
    <w:p w14:paraId="274874E6" w14:textId="77777777" w:rsidR="001E3E87" w:rsidRDefault="005258B2">
      <w:pPr>
        <w:spacing w:after="90" w:line="264" w:lineRule="auto"/>
        <w:jc w:val="both"/>
      </w:pPr>
      <w:r>
        <w:rPr>
          <w:rFonts w:ascii="Calibri" w:eastAsia="Calibri" w:hAnsi="Calibri" w:cs="Calibri"/>
          <w:color w:val="1A1A1A"/>
        </w:rPr>
        <w:t>Le juge judiciaire accepte depuis 1975 de contrôler la conformité d’une disposition nationale au droit international et ce, qu’elle soit antérieure ou postérieure à la signature du traité (</w:t>
      </w:r>
      <w:r>
        <w:rPr>
          <w:rFonts w:ascii="Calibri" w:eastAsia="Calibri" w:hAnsi="Calibri" w:cs="Calibri"/>
          <w:color w:val="E91E63"/>
        </w:rPr>
        <w:t>Cass. mixte, 24 mai 1975, Société des cafés Jacques Vabre, no 73-13.556</w:t>
      </w:r>
      <w:r>
        <w:rPr>
          <w:rFonts w:ascii="Calibri" w:eastAsia="Calibri" w:hAnsi="Calibri" w:cs="Calibri"/>
          <w:color w:val="1A1A1A"/>
        </w:rPr>
        <w:t>). La mise en œuvre du contrôle de conventionnalité abstrait conduit le juge interne à comparer la norme nationale à celle issue du droit international et d’apprécier si la première offre des garanties conformes à la seconde. Lorsque la norme interne de rang inférieur s’avère être non conforme à celle issue de l’ordre international, il devra alors appliquer la seconde. La réalisation de ce contrôle suppose donc que les normes internationales soient dotées d’effet direct en droit interne, ce qui n’est pas le cas de l’</w:t>
      </w:r>
      <w:r>
        <w:rPr>
          <w:rFonts w:ascii="Calibri" w:eastAsia="Calibri" w:hAnsi="Calibri" w:cs="Calibri"/>
          <w:color w:val="1E88E5"/>
        </w:rPr>
        <w:t>article 24</w:t>
      </w:r>
      <w:r>
        <w:rPr>
          <w:rFonts w:ascii="Calibri" w:eastAsia="Calibri" w:hAnsi="Calibri" w:cs="Calibri"/>
          <w:color w:val="1A1A1A"/>
        </w:rPr>
        <w:t xml:space="preserve"> de la Charte sociale européenne. (</w:t>
      </w:r>
      <w:r>
        <w:rPr>
          <w:rFonts w:ascii="Calibri" w:eastAsia="Calibri" w:hAnsi="Calibri" w:cs="Calibri"/>
          <w:color w:val="E91E63"/>
        </w:rPr>
        <w:t>Cass. ass. plén., avis, 17 juillet 2019, no 19-70.010</w:t>
      </w:r>
      <w:r>
        <w:rPr>
          <w:rFonts w:ascii="Calibri" w:eastAsia="Calibri" w:hAnsi="Calibri" w:cs="Calibri"/>
          <w:color w:val="1A1A1A"/>
        </w:rPr>
        <w:t>). Le contrôle est possible même lorsque la loi contrôlée a déjà été déclarée conforme à la Constitution. Les juges du fond peuvent également avoir recours à la procédure d’avis auprès de la Cour de cassation pour avoir sa position à propos de la conventionnalité d’une disposition applicable à un litige en cours au regard du droit international (</w:t>
      </w:r>
      <w:r>
        <w:rPr>
          <w:rFonts w:ascii="Calibri" w:eastAsia="Calibri" w:hAnsi="Calibri" w:cs="Calibri"/>
          <w:color w:val="E91E63"/>
        </w:rPr>
        <w:t>Cass. ass. plén., avis, 17 juillet 2019, no 19-70.010</w:t>
      </w:r>
      <w:r>
        <w:rPr>
          <w:rFonts w:ascii="Calibri" w:eastAsia="Calibri" w:hAnsi="Calibri" w:cs="Calibri"/>
          <w:color w:val="1A1A1A"/>
        </w:rPr>
        <w:t>). Afin d’apprécier la conventionnalité d’une norme interne, le juge doit également prendre en considération la portée de la jurisprudence de la Cour européenne des droits de l’homme (</w:t>
      </w:r>
      <w:r>
        <w:rPr>
          <w:rFonts w:ascii="Calibri" w:eastAsia="Calibri" w:hAnsi="Calibri" w:cs="Calibri"/>
          <w:color w:val="E91E63"/>
        </w:rPr>
        <w:t>Cass. ass. plén., 15 avril 2011, nos 10- 17.049</w:t>
      </w:r>
      <w:r>
        <w:rPr>
          <w:rFonts w:ascii="Calibri" w:eastAsia="Calibri" w:hAnsi="Calibri" w:cs="Calibri"/>
          <w:color w:val="1A1A1A"/>
        </w:rPr>
        <w:t>, 10-30.242, 10-30.313 et 10-30.316).</w:t>
      </w:r>
    </w:p>
    <w:p w14:paraId="21B9609A" w14:textId="77777777" w:rsidR="001E3E87" w:rsidRDefault="005258B2">
      <w:pPr>
        <w:pStyle w:val="Titre3"/>
        <w:spacing w:before="190" w:after="80"/>
      </w:pPr>
      <w:r>
        <w:rPr>
          <w:rFonts w:ascii="Calibri" w:eastAsia="Calibri" w:hAnsi="Calibri" w:cs="Calibri"/>
          <w:b/>
          <w:bCs/>
          <w:i/>
          <w:iCs/>
          <w:color w:val="1A1A1A"/>
          <w:sz w:val="21"/>
          <w:szCs w:val="21"/>
        </w:rPr>
        <w:t>B. La mise à l’écart de la norme non-conforme</w:t>
      </w:r>
    </w:p>
    <w:p w14:paraId="5FBBC940" w14:textId="77777777" w:rsidR="001E3E87" w:rsidRDefault="005258B2">
      <w:pPr>
        <w:spacing w:after="90" w:line="264" w:lineRule="auto"/>
        <w:jc w:val="both"/>
      </w:pPr>
      <w:r>
        <w:rPr>
          <w:rFonts w:ascii="Calibri" w:eastAsia="Calibri" w:hAnsi="Calibri" w:cs="Calibri"/>
          <w:color w:val="1A1A1A"/>
        </w:rPr>
        <w:t xml:space="preserve">En cas de constat de non-conformité au regard du droit international, plusieurs solutions seront possibles afin d’assurer la primauté du droit international. Le juge </w:t>
      </w:r>
      <w:proofErr w:type="gramStart"/>
      <w:r>
        <w:rPr>
          <w:rFonts w:ascii="Calibri" w:eastAsia="Calibri" w:hAnsi="Calibri" w:cs="Calibri"/>
          <w:color w:val="1A1A1A"/>
        </w:rPr>
        <w:t>pourra</w:t>
      </w:r>
      <w:proofErr w:type="gramEnd"/>
      <w:r>
        <w:rPr>
          <w:rFonts w:ascii="Calibri" w:eastAsia="Calibri" w:hAnsi="Calibri" w:cs="Calibri"/>
          <w:color w:val="1A1A1A"/>
        </w:rPr>
        <w:t xml:space="preserve"> ainsi opter pour un revirement de jurisprudence si la non-conformité était causée par l’interprétation de la norme interne. La disposition en cause pourra alors être maintenue au sein de l’ordre juridique. Au contraire, lorsque la non-conformité est issue du texte, la disposition sera écartée par le juge pour les litiges au sein desquels elle aurait été normalement applicable dans le but d’assurer le respect du droit international. </w:t>
      </w:r>
      <w:r>
        <w:rPr>
          <w:rFonts w:ascii="Calibri" w:eastAsia="Calibri" w:hAnsi="Calibri" w:cs="Calibri"/>
          <w:color w:val="1A1A1A"/>
        </w:rPr>
        <w:lastRenderedPageBreak/>
        <w:t>Lorsque le contrôle de conventionnalité aboutit à un constat de non-conformité, la norme ne disparaît toutefois pas de plein droit de l’ordre juridique, elle sera déclarée inapplicable par les juges. En pratique, ce constat va entraîner son abrogation par le législateur.</w:t>
      </w:r>
    </w:p>
    <w:p w14:paraId="42248184" w14:textId="77777777" w:rsidR="001E3E87" w:rsidRDefault="005258B2">
      <w:pPr>
        <w:pStyle w:val="Titre3"/>
        <w:spacing w:before="190" w:after="80"/>
      </w:pPr>
      <w:r>
        <w:rPr>
          <w:rFonts w:ascii="Calibri" w:eastAsia="Calibri" w:hAnsi="Calibri" w:cs="Calibri"/>
          <w:b/>
          <w:bCs/>
          <w:i/>
          <w:iCs/>
          <w:color w:val="1A1A1A"/>
          <w:sz w:val="21"/>
          <w:szCs w:val="21"/>
        </w:rPr>
        <w:t>II. La mise à l’écart d’une loi conforme à la Convention par le contrôle concret de conventionnalité</w:t>
      </w:r>
    </w:p>
    <w:p w14:paraId="0D897E59" w14:textId="77777777" w:rsidR="001E3E87" w:rsidRDefault="005258B2">
      <w:pPr>
        <w:pStyle w:val="Titre3"/>
        <w:spacing w:before="190" w:after="80"/>
      </w:pPr>
      <w:r>
        <w:rPr>
          <w:rFonts w:ascii="Calibri" w:eastAsia="Calibri" w:hAnsi="Calibri" w:cs="Calibri"/>
          <w:b/>
          <w:bCs/>
          <w:i/>
          <w:iCs/>
          <w:color w:val="1A1A1A"/>
          <w:sz w:val="21"/>
          <w:szCs w:val="21"/>
        </w:rPr>
        <w:t>A. L’appréciation concrète de la conformité à la Convention</w:t>
      </w:r>
    </w:p>
    <w:p w14:paraId="6EC0C431" w14:textId="77777777" w:rsidR="001E3E87" w:rsidRDefault="005258B2">
      <w:pPr>
        <w:spacing w:after="90" w:line="264" w:lineRule="auto"/>
        <w:jc w:val="both"/>
      </w:pPr>
      <w:r>
        <w:rPr>
          <w:rFonts w:ascii="Calibri" w:eastAsia="Calibri" w:hAnsi="Calibri" w:cs="Calibri"/>
          <w:color w:val="1A1A1A"/>
        </w:rPr>
        <w:t>Depuis 2013 (</w:t>
      </w:r>
      <w:r>
        <w:rPr>
          <w:rFonts w:ascii="Calibri" w:eastAsia="Calibri" w:hAnsi="Calibri" w:cs="Calibri"/>
          <w:color w:val="E91E63"/>
        </w:rPr>
        <w:t>Cass. civ. 1re, 4 décembre 2013, no 12-26.066</w:t>
      </w:r>
      <w:r>
        <w:rPr>
          <w:rFonts w:ascii="Calibri" w:eastAsia="Calibri" w:hAnsi="Calibri" w:cs="Calibri"/>
          <w:color w:val="1A1A1A"/>
        </w:rPr>
        <w:t>), la Cour de cassation admet la mise en œuvre d’un autre type de contrôle de conventionnalité : le contrôle concret, dit de « proportionnalité ». La mise en œuvre du contrôle de proportionnalité n’est pas nouvelle, cette méthode était déjà utilisée par la Cour de cassation, notamment en cas de conflit de droits. Ce contrôle est toutefois innovant, car la Cour mène un contrôle concret de conformité de la solution obtenue par l’application de la loi interne au droit international. Ce contrôle, qui avait initialement été utilisé dans le domaine du droit de la famille (</w:t>
      </w:r>
      <w:r>
        <w:rPr>
          <w:rFonts w:ascii="Calibri" w:eastAsia="Calibri" w:hAnsi="Calibri" w:cs="Calibri"/>
          <w:color w:val="E91E63"/>
        </w:rPr>
        <w:t>Cass. civ 1re, 14 novembre 2024, no 23-50.016</w:t>
      </w:r>
      <w:r>
        <w:rPr>
          <w:rFonts w:ascii="Calibri" w:eastAsia="Calibri" w:hAnsi="Calibri" w:cs="Calibri"/>
          <w:color w:val="1A1A1A"/>
        </w:rPr>
        <w:t>), semble désormais avoir été étendu à d’autres domaines juridiques, tels que le droit du travail (Cass. soc., 11 mai 2022, 21-14.490). Lorsque le juge met en œuvre ce contrôle, il prend en considération les conséquences concrètes que pourraient avoir l’application de la disposition interne au regard des parties au litige et non de manière abstraite le seul texte de la loi. Dès lors, une norme ayant d’ores et déjà été jugée comme conforme au droit international peut tout à fait par la suite faire l’objet d’un tel contrôle de proportionnalité. Bien que la Cour de cassation ait estimé que l’</w:t>
      </w:r>
      <w:r>
        <w:rPr>
          <w:rFonts w:ascii="Calibri" w:eastAsia="Calibri" w:hAnsi="Calibri" w:cs="Calibri"/>
          <w:color w:val="1E88E5"/>
        </w:rPr>
        <w:t>article L. 1253-3</w:t>
      </w:r>
      <w:r>
        <w:rPr>
          <w:rFonts w:ascii="Calibri" w:eastAsia="Calibri" w:hAnsi="Calibri" w:cs="Calibri"/>
          <w:color w:val="1A1A1A"/>
        </w:rPr>
        <w:t xml:space="preserve"> du </w:t>
      </w:r>
      <w:r>
        <w:rPr>
          <w:rFonts w:ascii="Calibri" w:eastAsia="Calibri" w:hAnsi="Calibri" w:cs="Calibri"/>
          <w:color w:val="1E88E5"/>
        </w:rPr>
        <w:t>Code du travail</w:t>
      </w:r>
      <w:r>
        <w:rPr>
          <w:rFonts w:ascii="Calibri" w:eastAsia="Calibri" w:hAnsi="Calibri" w:cs="Calibri"/>
          <w:color w:val="1A1A1A"/>
        </w:rPr>
        <w:t xml:space="preserve"> était conforme à l’</w:t>
      </w:r>
      <w:r>
        <w:rPr>
          <w:rFonts w:ascii="Calibri" w:eastAsia="Calibri" w:hAnsi="Calibri" w:cs="Calibri"/>
          <w:color w:val="1E88E5"/>
        </w:rPr>
        <w:t>article 10</w:t>
      </w:r>
      <w:r>
        <w:rPr>
          <w:rFonts w:ascii="Calibri" w:eastAsia="Calibri" w:hAnsi="Calibri" w:cs="Calibri"/>
          <w:color w:val="1A1A1A"/>
        </w:rPr>
        <w:t xml:space="preserve"> de la Convention no 158 de l’OIT, elle a tout de même apprécié si son application dans l’affaire pendante n’avait pas pour effet d’engendrer une atteinte injustifiée aux droits consacrés par ce texte.</w:t>
      </w:r>
    </w:p>
    <w:p w14:paraId="74337DEA" w14:textId="77777777" w:rsidR="001E3E87" w:rsidRDefault="005258B2">
      <w:pPr>
        <w:pStyle w:val="Titre3"/>
        <w:spacing w:before="190" w:after="80"/>
      </w:pPr>
      <w:r>
        <w:rPr>
          <w:rFonts w:ascii="Calibri" w:eastAsia="Calibri" w:hAnsi="Calibri" w:cs="Calibri"/>
          <w:b/>
          <w:bCs/>
          <w:i/>
          <w:iCs/>
          <w:color w:val="1A1A1A"/>
          <w:sz w:val="21"/>
          <w:szCs w:val="21"/>
        </w:rPr>
        <w:t>B. Le maintien de la norme conforme à la Convention</w:t>
      </w:r>
    </w:p>
    <w:p w14:paraId="76726C6C" w14:textId="77777777" w:rsidR="001E3E87" w:rsidRDefault="005258B2">
      <w:pPr>
        <w:spacing w:after="90" w:line="264" w:lineRule="auto"/>
        <w:jc w:val="both"/>
      </w:pPr>
      <w:r>
        <w:rPr>
          <w:rFonts w:ascii="Calibri" w:eastAsia="Calibri" w:hAnsi="Calibri" w:cs="Calibri"/>
          <w:color w:val="1A1A1A"/>
        </w:rPr>
        <w:t>Ce contrôle de proportionnalité est sans incidence sur l’application de la loi pour les litiges au sein desquelles elle serait normalement applicable. En cas de non-conformité, la loi dont l’application a été écartée au cas d’espèce demeure théoriquement parfaitement conforme au droit international (cette loi ayant pu a fortiori avoir été préalablement déclarée conforme à la Constitution ou au droit international). Contrairement au contrôle abstrait de conventionnalité, la réalisation du contrôle de proportionnalité permet au juge d’éviter l’application de la loi au litige sans pour autant qu’elle ne disparaisse par la suite. Ce contrôle concret permet d’approfondir la question de la conformité du droit interne au regard du droit international puisqu’il permet l’éviction, pour un litige particulier, d’une loi nationale portant en apparence une atteinte proportionnée à un droit, mais qui en réalité aurait pour effet d’y porter une atteinte trop vigoureuse.</w:t>
      </w:r>
    </w:p>
    <w:p w14:paraId="1EB6532A" w14:textId="77777777" w:rsidR="001E3E87" w:rsidRDefault="005258B2">
      <w:pPr>
        <w:spacing w:after="90" w:line="264" w:lineRule="auto"/>
        <w:jc w:val="both"/>
      </w:pPr>
      <w:r>
        <w:rPr>
          <w:rFonts w:ascii="Calibri" w:eastAsia="Calibri" w:hAnsi="Calibri" w:cs="Calibri"/>
          <w:color w:val="1A1A1A"/>
        </w:rPr>
        <w:t>En conclusion, l’internationalisation de la protection des droits humains a rendu indispensable la réalisation d’un contrôle de conformité du droit interne à ces garanties internationales afin de s’assurer du respect des engagements étatiques. Celui-ci ne peut cependant être efficace qu’en prenant la forme d’un double contrôle de conventionnalité, abstrait et concret, se rapprochant de la sorte des contrôles réalisés par les juridictions internationales de protection des droits humains.</w:t>
      </w:r>
    </w:p>
    <w:p w14:paraId="53A12356" w14:textId="77777777" w:rsidR="001E3E87" w:rsidRDefault="005258B2">
      <w:r>
        <w:br w:type="page"/>
      </w:r>
    </w:p>
    <w:p w14:paraId="67D5731B"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18 — COMMENTAIRE DE DÉCISION</w:t>
      </w:r>
    </w:p>
    <w:p w14:paraId="02ADBCFC" w14:textId="77777777" w:rsidR="001E3E87" w:rsidRDefault="005258B2">
      <w:pPr>
        <w:spacing w:after="160"/>
      </w:pPr>
      <w:r>
        <w:rPr>
          <w:rFonts w:ascii="Calibri" w:eastAsia="Calibri" w:hAnsi="Calibri" w:cs="Calibri"/>
          <w:i/>
          <w:iCs/>
          <w:color w:val="5A5A5A"/>
          <w:sz w:val="18"/>
          <w:szCs w:val="18"/>
        </w:rPr>
        <w:t>Fiche n° 18 — La protection par le juge administratif  |  PARTIE IV. LES MÉCANISMES INTERNES DE PROTECTION  |  Fascicule p. 186</w:t>
      </w:r>
    </w:p>
    <w:p w14:paraId="5E37D1C8"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1E77D561" w14:textId="77777777" w:rsidR="001E3E87" w:rsidRDefault="005258B2">
      <w:pPr>
        <w:pBdr>
          <w:left w:val="single" w:sz="12" w:space="10" w:color="8C1C2B"/>
        </w:pBdr>
        <w:spacing w:after="90" w:line="264" w:lineRule="auto"/>
        <w:ind w:left="260"/>
        <w:jc w:val="both"/>
      </w:pPr>
      <w:r>
        <w:rPr>
          <w:rFonts w:ascii="Calibri" w:eastAsia="Calibri" w:hAnsi="Calibri" w:cs="Calibri"/>
          <w:color w:val="E91E63"/>
        </w:rPr>
        <w:t>CE, ord., 12 janvier 2001, Hyacinthe, no 229039.</w:t>
      </w:r>
    </w:p>
    <w:p w14:paraId="7641AE0C"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50BEEAF5" w14:textId="77777777" w:rsidR="001E3E87" w:rsidRDefault="005258B2">
      <w:pPr>
        <w:spacing w:after="90" w:line="264" w:lineRule="auto"/>
        <w:jc w:val="both"/>
      </w:pPr>
      <w:r>
        <w:rPr>
          <w:rFonts w:ascii="Calibri" w:eastAsia="Calibri" w:hAnsi="Calibri" w:cs="Calibri"/>
          <w:color w:val="1A1A1A"/>
        </w:rPr>
        <w:t xml:space="preserve">En matière de référé administratif, l’urgence et le sérieux des moyens invoqués sont au cœur du contrôle du juge. En effet, le référé-liberté est une voie de droit créée par la loi du 30 juin 2000 relative aux procédures d’urgence devant le juge administratif. Il permet au requérant de saisir le juge administratif de toute atteinte de l’administration à ses droits ou libertés garantis. En l’espèce, une ressortissante haïtienne est arrivée en France pour rejoindre son compagnon alors qu’elle était enceinte. Cette dernière a été emprisonnée en raison d’une condamnation pour </w:t>
      </w:r>
      <w:proofErr w:type="spellStart"/>
      <w:r>
        <w:rPr>
          <w:rFonts w:ascii="Calibri" w:eastAsia="Calibri" w:hAnsi="Calibri" w:cs="Calibri"/>
          <w:color w:val="1A1A1A"/>
        </w:rPr>
        <w:t>entrée</w:t>
      </w:r>
      <w:proofErr w:type="spellEnd"/>
      <w:r>
        <w:rPr>
          <w:rFonts w:ascii="Calibri" w:eastAsia="Calibri" w:hAnsi="Calibri" w:cs="Calibri"/>
          <w:color w:val="1A1A1A"/>
        </w:rPr>
        <w:t xml:space="preserve"> et séjour irrégulier en France et usage de faux documents. La requérante a été mise dans l’impossibilité par les services de la préfecture de la Seine-Saint-Denis de présenter une demande d’admission au titre de l’asile. Quant à la procédure, la requérante a saisi le tribunal administratif de Cergy-Pontoise en vue d’enjoindre au préfet d’enregistrer sa demande d’admission au séjour et de lui délivrer un titre de séjour provisoire. Le TA l’a déboutée et elle saisit le juge des référés du Conseil d’État pour faire annuler l’ordonnance du TA et pour enjoindre au </w:t>
      </w:r>
      <w:proofErr w:type="gramStart"/>
      <w:r>
        <w:rPr>
          <w:rFonts w:ascii="Calibri" w:eastAsia="Calibri" w:hAnsi="Calibri" w:cs="Calibri"/>
          <w:color w:val="1A1A1A"/>
        </w:rPr>
        <w:t>Préfet</w:t>
      </w:r>
      <w:proofErr w:type="gramEnd"/>
      <w:r>
        <w:rPr>
          <w:rFonts w:ascii="Calibri" w:eastAsia="Calibri" w:hAnsi="Calibri" w:cs="Calibri"/>
          <w:color w:val="1A1A1A"/>
        </w:rPr>
        <w:t xml:space="preserve"> de satisfaire sa demande initiale.</w:t>
      </w:r>
    </w:p>
    <w:p w14:paraId="4748A8B9" w14:textId="77777777" w:rsidR="001E3E87" w:rsidRDefault="005258B2">
      <w:pPr>
        <w:spacing w:after="90" w:line="264" w:lineRule="auto"/>
        <w:jc w:val="both"/>
      </w:pPr>
      <w:r>
        <w:rPr>
          <w:rFonts w:ascii="Calibri" w:eastAsia="Calibri" w:hAnsi="Calibri" w:cs="Calibri"/>
          <w:b/>
          <w:bCs/>
          <w:color w:val="1A1A1A"/>
        </w:rPr>
        <w:t>Problématique:</w:t>
      </w:r>
      <w:r>
        <w:rPr>
          <w:rFonts w:ascii="Calibri" w:eastAsia="Calibri" w:hAnsi="Calibri" w:cs="Calibri"/>
          <w:color w:val="1A1A1A"/>
        </w:rPr>
        <w:t xml:space="preserve"> le droit d’asile est-il une liberté fondamentale au sens de l’</w:t>
      </w:r>
      <w:r>
        <w:rPr>
          <w:rFonts w:ascii="Calibri" w:eastAsia="Calibri" w:hAnsi="Calibri" w:cs="Calibri"/>
          <w:color w:val="1E88E5"/>
        </w:rPr>
        <w:t>article L. 521-2</w:t>
      </w:r>
      <w:r>
        <w:rPr>
          <w:rFonts w:ascii="Calibri" w:eastAsia="Calibri" w:hAnsi="Calibri" w:cs="Calibri"/>
          <w:color w:val="1A1A1A"/>
        </w:rPr>
        <w:t xml:space="preserve"> du </w:t>
      </w:r>
      <w:r>
        <w:rPr>
          <w:rFonts w:ascii="Calibri" w:eastAsia="Calibri" w:hAnsi="Calibri" w:cs="Calibri"/>
          <w:color w:val="1E88E5"/>
        </w:rPr>
        <w:t>Code de justice administrative</w:t>
      </w:r>
      <w:r>
        <w:rPr>
          <w:rFonts w:ascii="Calibri" w:eastAsia="Calibri" w:hAnsi="Calibri" w:cs="Calibri"/>
          <w:color w:val="1A1A1A"/>
        </w:rPr>
        <w:t xml:space="preserve"> justifiant l’exercice d’un référé-liberté ?</w:t>
      </w:r>
    </w:p>
    <w:p w14:paraId="497D9461" w14:textId="77777777" w:rsidR="001E3E87" w:rsidRDefault="005258B2">
      <w:pPr>
        <w:pStyle w:val="Titre3"/>
        <w:spacing w:before="190" w:after="80"/>
      </w:pPr>
      <w:r>
        <w:rPr>
          <w:rFonts w:ascii="Calibri" w:eastAsia="Calibri" w:hAnsi="Calibri" w:cs="Calibri"/>
          <w:b/>
          <w:bCs/>
          <w:i/>
          <w:iCs/>
          <w:color w:val="1A1A1A"/>
          <w:sz w:val="21"/>
          <w:szCs w:val="21"/>
        </w:rPr>
        <w:t>I. L’atteinte à une liberté fondamentale consacrée par la Constitution</w:t>
      </w:r>
    </w:p>
    <w:p w14:paraId="71B2188A" w14:textId="77777777" w:rsidR="001E3E87" w:rsidRDefault="005258B2">
      <w:pPr>
        <w:pStyle w:val="Titre3"/>
        <w:spacing w:before="190" w:after="80"/>
      </w:pPr>
      <w:r>
        <w:rPr>
          <w:rFonts w:ascii="Calibri" w:eastAsia="Calibri" w:hAnsi="Calibri" w:cs="Calibri"/>
          <w:b/>
          <w:bCs/>
          <w:i/>
          <w:iCs/>
          <w:color w:val="1A1A1A"/>
          <w:sz w:val="21"/>
          <w:szCs w:val="21"/>
        </w:rPr>
        <w:t>A. La reconnaissance d’un droit subsidiaire : le droit d’asile</w:t>
      </w:r>
    </w:p>
    <w:p w14:paraId="58645507" w14:textId="77777777" w:rsidR="001E3E87" w:rsidRDefault="005258B2">
      <w:pPr>
        <w:spacing w:after="90" w:line="264" w:lineRule="auto"/>
        <w:jc w:val="both"/>
      </w:pPr>
      <w:r>
        <w:rPr>
          <w:rFonts w:ascii="Calibri" w:eastAsia="Calibri" w:hAnsi="Calibri" w:cs="Calibri"/>
          <w:color w:val="1A1A1A"/>
        </w:rPr>
        <w:t>Le Conseil d’État rappelle que les ressortissants étrangers ne peuvent pas invoquer, à la différence des nationaux, la liberté d’entrée sur le territoire. Cela ne signifie pas que le Conseil d’État refuse d’apprécier cette liberté dans le cadre d’un référé-liberté, mais précisément que la requérante ne peut pas s’en prévaloir (</w:t>
      </w:r>
      <w:r>
        <w:rPr>
          <w:rFonts w:ascii="Calibri" w:eastAsia="Calibri" w:hAnsi="Calibri" w:cs="Calibri"/>
          <w:color w:val="E91E63"/>
        </w:rPr>
        <w:t xml:space="preserve">CE, ord., 9 janvier 2001 </w:t>
      </w:r>
      <w:proofErr w:type="spellStart"/>
      <w:r>
        <w:rPr>
          <w:rFonts w:ascii="Calibri" w:eastAsia="Calibri" w:hAnsi="Calibri" w:cs="Calibri"/>
          <w:color w:val="E91E63"/>
        </w:rPr>
        <w:t>Desperthes</w:t>
      </w:r>
      <w:proofErr w:type="spellEnd"/>
      <w:r>
        <w:rPr>
          <w:rFonts w:ascii="Calibri" w:eastAsia="Calibri" w:hAnsi="Calibri" w:cs="Calibri"/>
          <w:color w:val="E91E63"/>
        </w:rPr>
        <w:t>, no 228928</w:t>
      </w:r>
      <w:r>
        <w:rPr>
          <w:rFonts w:ascii="Calibri" w:eastAsia="Calibri" w:hAnsi="Calibri" w:cs="Calibri"/>
          <w:color w:val="1A1A1A"/>
        </w:rPr>
        <w:t>).</w:t>
      </w:r>
    </w:p>
    <w:p w14:paraId="1C1EC0CA" w14:textId="77777777" w:rsidR="001E3E87" w:rsidRDefault="005258B2">
      <w:pPr>
        <w:pStyle w:val="Titre3"/>
        <w:spacing w:before="190" w:after="80"/>
      </w:pPr>
      <w:r>
        <w:rPr>
          <w:rFonts w:ascii="Calibri" w:eastAsia="Calibri" w:hAnsi="Calibri" w:cs="Calibri"/>
          <w:b/>
          <w:bCs/>
          <w:i/>
          <w:iCs/>
          <w:color w:val="1A1A1A"/>
          <w:sz w:val="21"/>
          <w:szCs w:val="21"/>
        </w:rPr>
        <w:t>B. Le droit constitutionnel d’asile invocable subsidiairement</w:t>
      </w:r>
    </w:p>
    <w:p w14:paraId="62D6D7A7" w14:textId="77777777" w:rsidR="001E3E87" w:rsidRDefault="005258B2">
      <w:pPr>
        <w:spacing w:after="90" w:line="264" w:lineRule="auto"/>
        <w:jc w:val="both"/>
      </w:pPr>
      <w:r>
        <w:rPr>
          <w:rFonts w:ascii="Calibri" w:eastAsia="Calibri" w:hAnsi="Calibri" w:cs="Calibri"/>
          <w:color w:val="1A1A1A"/>
        </w:rPr>
        <w:t>Le Conseil d’État commence par rappeler que, si les étrangers ne disposent pas d’un droit général d’accès au territoire français, ils peuvent toutefois revendiquer le droit d’asile. Ce droit est présenté comme fondamental, car il trouve son origine dans la Constitution française et constitue une condition pour l’exercice des autres libertés fondamentales. Le Conseil d’État se livre donc à une appréciation des libertés consacrées dans la Constitution pour opérer son contrôle. Il s’agit d’un droit subsidiaire Ainsi, même dans le cadre d’une régulation stricte des flux migratoires, le droit de solliciter l’asile bénéficie d’une protection renforcée, au même titre que d’autres libertés fondamentales telles que le droit à la vie ou à la sûreté. Cela avait déjà été le cas avec le droit de demeurer en France le temps de l’examen de la demande (</w:t>
      </w:r>
      <w:r>
        <w:rPr>
          <w:rFonts w:ascii="Calibri" w:eastAsia="Calibri" w:hAnsi="Calibri" w:cs="Calibri"/>
          <w:color w:val="E91E63"/>
        </w:rPr>
        <w:t>CE, ord., 2 mai 2001, Dziri, no 232997</w:t>
      </w:r>
      <w:r>
        <w:rPr>
          <w:rFonts w:ascii="Calibri" w:eastAsia="Calibri" w:hAnsi="Calibri" w:cs="Calibri"/>
          <w:color w:val="1A1A1A"/>
        </w:rPr>
        <w:t>).</w:t>
      </w:r>
    </w:p>
    <w:p w14:paraId="671C0C70" w14:textId="77777777" w:rsidR="001E3E87" w:rsidRDefault="005258B2">
      <w:pPr>
        <w:pStyle w:val="Titre3"/>
        <w:spacing w:before="190" w:after="80"/>
      </w:pPr>
      <w:r>
        <w:rPr>
          <w:rFonts w:ascii="Calibri" w:eastAsia="Calibri" w:hAnsi="Calibri" w:cs="Calibri"/>
          <w:b/>
          <w:bCs/>
          <w:i/>
          <w:iCs/>
          <w:color w:val="1A1A1A"/>
          <w:sz w:val="21"/>
          <w:szCs w:val="21"/>
        </w:rPr>
        <w:t>II. La reconnaissance d’une illégalité manifeste</w:t>
      </w:r>
    </w:p>
    <w:p w14:paraId="3A161EAC" w14:textId="77777777" w:rsidR="001E3E87" w:rsidRDefault="005258B2">
      <w:pPr>
        <w:pStyle w:val="Titre3"/>
        <w:spacing w:before="190" w:after="80"/>
      </w:pPr>
      <w:r>
        <w:rPr>
          <w:rFonts w:ascii="Calibri" w:eastAsia="Calibri" w:hAnsi="Calibri" w:cs="Calibri"/>
          <w:b/>
          <w:bCs/>
          <w:i/>
          <w:iCs/>
          <w:color w:val="1A1A1A"/>
          <w:sz w:val="21"/>
          <w:szCs w:val="21"/>
        </w:rPr>
        <w:t>A. L’examen de conditions cumulatives</w:t>
      </w:r>
    </w:p>
    <w:p w14:paraId="7DA37B3B" w14:textId="77777777" w:rsidR="001E3E87" w:rsidRDefault="005258B2">
      <w:pPr>
        <w:spacing w:after="90" w:line="264" w:lineRule="auto"/>
        <w:jc w:val="both"/>
      </w:pPr>
      <w:r>
        <w:rPr>
          <w:rFonts w:ascii="Calibri" w:eastAsia="Calibri" w:hAnsi="Calibri" w:cs="Calibri"/>
          <w:color w:val="1A1A1A"/>
        </w:rPr>
        <w:t>Le Conseil d’État rappelle ici que la condition de l’illégalité manifeste prévue à l’</w:t>
      </w:r>
      <w:r>
        <w:rPr>
          <w:rFonts w:ascii="Calibri" w:eastAsia="Calibri" w:hAnsi="Calibri" w:cs="Calibri"/>
          <w:color w:val="1E88E5"/>
        </w:rPr>
        <w:t>article L. 521-2</w:t>
      </w:r>
      <w:r>
        <w:rPr>
          <w:rFonts w:ascii="Calibri" w:eastAsia="Calibri" w:hAnsi="Calibri" w:cs="Calibri"/>
          <w:color w:val="1A1A1A"/>
        </w:rPr>
        <w:t xml:space="preserve"> du CJA est cumulative avec l’atteinte à une liberté fondamentale. Il faut que la seconde découle de la première. À ce propos, le Conseil d’État avait rappelé que « le caractère manifestement illégal de l’atteinte à la liberté fondamentale en cause doit s’apprécier en tenant compte des moyens dont dispose l’autorité administrative compétente », (</w:t>
      </w:r>
      <w:r>
        <w:rPr>
          <w:rFonts w:ascii="Calibri" w:eastAsia="Calibri" w:hAnsi="Calibri" w:cs="Calibri"/>
          <w:color w:val="E91E63"/>
        </w:rPr>
        <w:t>CE, ord., 30 juillet 2015, Section française de l’OIP, no 392043</w:t>
      </w:r>
      <w:r>
        <w:rPr>
          <w:rFonts w:ascii="Calibri" w:eastAsia="Calibri" w:hAnsi="Calibri" w:cs="Calibri"/>
          <w:color w:val="1A1A1A"/>
        </w:rPr>
        <w:t>). En l’espèce, sans se limiter à la constatation de la violation d’une liberté, le Conseil d’État retient également une illégalité manifeste de la décision prise.</w:t>
      </w:r>
    </w:p>
    <w:p w14:paraId="03BB82F8" w14:textId="77777777" w:rsidR="001E3E87" w:rsidRDefault="005258B2">
      <w:pPr>
        <w:pStyle w:val="Titre3"/>
        <w:spacing w:before="190" w:after="80"/>
      </w:pPr>
      <w:r>
        <w:rPr>
          <w:rFonts w:ascii="Calibri" w:eastAsia="Calibri" w:hAnsi="Calibri" w:cs="Calibri"/>
          <w:b/>
          <w:bCs/>
          <w:i/>
          <w:iCs/>
          <w:color w:val="1A1A1A"/>
          <w:sz w:val="21"/>
          <w:szCs w:val="21"/>
        </w:rPr>
        <w:t>B. L’examen concret de la situation du requérant</w:t>
      </w:r>
    </w:p>
    <w:p w14:paraId="4B9C1339" w14:textId="77777777" w:rsidR="001E3E87" w:rsidRDefault="005258B2">
      <w:pPr>
        <w:spacing w:after="90" w:line="264" w:lineRule="auto"/>
        <w:jc w:val="both"/>
      </w:pPr>
      <w:r>
        <w:rPr>
          <w:rFonts w:ascii="Calibri" w:eastAsia="Calibri" w:hAnsi="Calibri" w:cs="Calibri"/>
          <w:color w:val="1A1A1A"/>
        </w:rPr>
        <w:t xml:space="preserve">Le Conseil d’État va procéder à un contrôle in concreto de la situation du requérant pour apprécier l’illégalité manifeste. Sans préjuger du fond de la légalité, il va se reposer sur un faisceau d’indice pour tenter de rechercher si la décision paraît illégale. En l’espèce, il retient que l’antériorité de la demande de statut de réfugié du compagnon de l’intéressé ne saurait constituer une volonté de faire échec à une mesure d’éloignement. Enfin, le contrôle est concret en ce que le juge va se placer à la date du jugement pour vérifier s’il y a eu des changements de circonstance justifiant d’enjoindre ou non à </w:t>
      </w:r>
      <w:r>
        <w:rPr>
          <w:rFonts w:ascii="Calibri" w:eastAsia="Calibri" w:hAnsi="Calibri" w:cs="Calibri"/>
          <w:color w:val="1A1A1A"/>
        </w:rPr>
        <w:lastRenderedPageBreak/>
        <w:t>l’administration de s’exécuter. En conclusion, le Conseil d’État va développer son office en matière de référé en adoptant une position de plus en plus protectrice des individus et de leurs droits. Le référé est devenu une voie de droit offerte au plus grand nombre afin de rétablir des situations potentiellement illégales.</w:t>
      </w:r>
    </w:p>
    <w:p w14:paraId="3D9A5536" w14:textId="77777777" w:rsidR="001E3E87" w:rsidRDefault="005258B2">
      <w:r>
        <w:br w:type="page"/>
      </w:r>
    </w:p>
    <w:p w14:paraId="64C3DAD9"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19 — DISSERTATION</w:t>
      </w:r>
    </w:p>
    <w:p w14:paraId="48AF95B1" w14:textId="77777777" w:rsidR="001E3E87" w:rsidRDefault="005258B2">
      <w:pPr>
        <w:spacing w:after="160"/>
      </w:pPr>
      <w:r>
        <w:rPr>
          <w:rFonts w:ascii="Calibri" w:eastAsia="Calibri" w:hAnsi="Calibri" w:cs="Calibri"/>
          <w:i/>
          <w:iCs/>
          <w:color w:val="5A5A5A"/>
          <w:sz w:val="18"/>
          <w:szCs w:val="18"/>
        </w:rPr>
        <w:t>Fiche n° 19 — Les dérogations au principe de séparation des autorités  |  PARTIE IV. LES MÉCANISMES INTERNES DE PROTECTION  |  Fascicule p. 195</w:t>
      </w:r>
    </w:p>
    <w:p w14:paraId="130E7F7F"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2E3DD699"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L’autorité judiciaire est-elle la gardienne de la propriété privée immobilière ?</w:t>
      </w:r>
    </w:p>
    <w:p w14:paraId="155E6C8C"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6276FCD7" w14:textId="77777777" w:rsidR="001E3E87" w:rsidRDefault="005258B2">
      <w:pPr>
        <w:spacing w:after="90" w:line="264" w:lineRule="auto"/>
        <w:jc w:val="both"/>
      </w:pPr>
      <w:r>
        <w:rPr>
          <w:rFonts w:ascii="Calibri" w:eastAsia="Calibri" w:hAnsi="Calibri" w:cs="Calibri"/>
          <w:color w:val="1A1A1A"/>
        </w:rPr>
        <w:t xml:space="preserve">Lors de la Révolution française, le droit de propriété apparaît en rupture avec le système féodal de l’Ancien Régime, dans la perspective d’éviter les expropriations arbitraires. Il est reconnu par plusieurs socles textuels : </w:t>
      </w:r>
      <w:r>
        <w:rPr>
          <w:rFonts w:ascii="Calibri" w:eastAsia="Calibri" w:hAnsi="Calibri" w:cs="Calibri"/>
          <w:color w:val="1E88E5"/>
        </w:rPr>
        <w:t>art. 2 et 17</w:t>
      </w:r>
      <w:r>
        <w:rPr>
          <w:rFonts w:ascii="Calibri" w:eastAsia="Calibri" w:hAnsi="Calibri" w:cs="Calibri"/>
          <w:color w:val="1A1A1A"/>
        </w:rPr>
        <w:t xml:space="preserve"> de la Déclaration de 1789 ; </w:t>
      </w:r>
      <w:r>
        <w:rPr>
          <w:rFonts w:ascii="Calibri" w:eastAsia="Calibri" w:hAnsi="Calibri" w:cs="Calibri"/>
          <w:color w:val="1E88E5"/>
        </w:rPr>
        <w:t>art. 1er</w:t>
      </w:r>
      <w:r>
        <w:rPr>
          <w:rFonts w:ascii="Calibri" w:eastAsia="Calibri" w:hAnsi="Calibri" w:cs="Calibri"/>
          <w:color w:val="1A1A1A"/>
        </w:rPr>
        <w:t xml:space="preserve"> du protocole no 1 additionnel à la Convention européenne ; </w:t>
      </w:r>
      <w:r>
        <w:rPr>
          <w:rFonts w:ascii="Calibri" w:eastAsia="Calibri" w:hAnsi="Calibri" w:cs="Calibri"/>
          <w:color w:val="1E88E5"/>
        </w:rPr>
        <w:t>art. 17</w:t>
      </w:r>
      <w:r>
        <w:rPr>
          <w:rFonts w:ascii="Calibri" w:eastAsia="Calibri" w:hAnsi="Calibri" w:cs="Calibri"/>
          <w:color w:val="1A1A1A"/>
        </w:rPr>
        <w:t xml:space="preserve"> de la </w:t>
      </w:r>
      <w:r>
        <w:rPr>
          <w:rFonts w:ascii="Calibri" w:eastAsia="Calibri" w:hAnsi="Calibri" w:cs="Calibri"/>
          <w:color w:val="1E88E5"/>
        </w:rPr>
        <w:t>Charte des droits fondamentaux de l’Union européenne</w:t>
      </w:r>
      <w:r>
        <w:rPr>
          <w:rFonts w:ascii="Calibri" w:eastAsia="Calibri" w:hAnsi="Calibri" w:cs="Calibri"/>
          <w:color w:val="1A1A1A"/>
        </w:rPr>
        <w:t xml:space="preserve"> ; </w:t>
      </w:r>
      <w:r>
        <w:rPr>
          <w:rFonts w:ascii="Calibri" w:eastAsia="Calibri" w:hAnsi="Calibri" w:cs="Calibri"/>
          <w:color w:val="1E88E5"/>
        </w:rPr>
        <w:t>art. 544</w:t>
      </w:r>
      <w:r>
        <w:rPr>
          <w:rFonts w:ascii="Calibri" w:eastAsia="Calibri" w:hAnsi="Calibri" w:cs="Calibri"/>
          <w:color w:val="1A1A1A"/>
        </w:rPr>
        <w:t xml:space="preserve"> du </w:t>
      </w:r>
      <w:r>
        <w:rPr>
          <w:rFonts w:ascii="Calibri" w:eastAsia="Calibri" w:hAnsi="Calibri" w:cs="Calibri"/>
          <w:color w:val="1E88E5"/>
        </w:rPr>
        <w:t>Code civil</w:t>
      </w:r>
      <w:r>
        <w:rPr>
          <w:rFonts w:ascii="Calibri" w:eastAsia="Calibri" w:hAnsi="Calibri" w:cs="Calibri"/>
          <w:color w:val="1A1A1A"/>
        </w:rPr>
        <w:t>. Il n’apparaît pas dans les pactes de 1966. Pour des raisons d’intérêt général, l’autorité administrative peut légalement porter atteinte au droit de propriété immobilière (expropriation d’utilité publique). Il arrive que l’autorité administrative y porte illégalement atteinte (voie de fait, emprise irrégulière). Le Titre VIII de la Constitution est consacré à l’autorité judiciaire (</w:t>
      </w:r>
      <w:r>
        <w:rPr>
          <w:rFonts w:ascii="Calibri" w:eastAsia="Calibri" w:hAnsi="Calibri" w:cs="Calibri"/>
          <w:color w:val="1E88E5"/>
        </w:rPr>
        <w:t>art. 64 à 66-1</w:t>
      </w:r>
      <w:r>
        <w:rPr>
          <w:rFonts w:ascii="Calibri" w:eastAsia="Calibri" w:hAnsi="Calibri" w:cs="Calibri"/>
          <w:color w:val="1A1A1A"/>
        </w:rPr>
        <w:t xml:space="preserve">). L’arrêt Blanco rendu par le Tribunal des conflits en 1873 semblait apporté une solution claire : en cas de dommage causé dans le cadre du fonctionnement du service public, les règles applicables sont dérogatoires de celles inscrites dans le </w:t>
      </w:r>
      <w:r>
        <w:rPr>
          <w:rFonts w:ascii="Calibri" w:eastAsia="Calibri" w:hAnsi="Calibri" w:cs="Calibri"/>
          <w:color w:val="1E88E5"/>
        </w:rPr>
        <w:t>Code civil</w:t>
      </w:r>
      <w:r>
        <w:rPr>
          <w:rFonts w:ascii="Calibri" w:eastAsia="Calibri" w:hAnsi="Calibri" w:cs="Calibri"/>
          <w:color w:val="1A1A1A"/>
        </w:rPr>
        <w:t>, des règles exorbitantes du droit commun. La répartition des compétences entre l’autorité judiciaire et l’autorité administrative n’est pas si limpide, il existe des dérogations.</w:t>
      </w:r>
    </w:p>
    <w:p w14:paraId="09CEB6F9"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L’autorité judiciaire assure en principe la protection de la propriété immobilière (I), l’évolution de la répartition des compétences juridictionnelles en la matière tend à atténuer ce principe (II).</w:t>
      </w:r>
    </w:p>
    <w:p w14:paraId="5A4E3364" w14:textId="77777777" w:rsidR="001E3E87" w:rsidRDefault="005258B2">
      <w:pPr>
        <w:pStyle w:val="Titre3"/>
        <w:spacing w:before="190" w:after="80"/>
      </w:pPr>
      <w:r>
        <w:rPr>
          <w:rFonts w:ascii="Calibri" w:eastAsia="Calibri" w:hAnsi="Calibri" w:cs="Calibri"/>
          <w:b/>
          <w:bCs/>
          <w:i/>
          <w:iCs/>
          <w:color w:val="1A1A1A"/>
          <w:sz w:val="21"/>
          <w:szCs w:val="21"/>
        </w:rPr>
        <w:t>I. L’affirmation du principe de la protection de la propriété immobilière par l’autorité judiciaire</w:t>
      </w:r>
    </w:p>
    <w:p w14:paraId="0516615E" w14:textId="77777777" w:rsidR="001E3E87" w:rsidRDefault="005258B2">
      <w:pPr>
        <w:pStyle w:val="Titre3"/>
        <w:spacing w:before="190" w:after="80"/>
      </w:pPr>
      <w:r>
        <w:rPr>
          <w:rFonts w:ascii="Calibri" w:eastAsia="Calibri" w:hAnsi="Calibri" w:cs="Calibri"/>
          <w:b/>
          <w:bCs/>
          <w:i/>
          <w:iCs/>
          <w:color w:val="1A1A1A"/>
          <w:sz w:val="21"/>
          <w:szCs w:val="21"/>
        </w:rPr>
        <w:t>A. La protection de la propriété immobilière par le juge judiciaire</w:t>
      </w:r>
    </w:p>
    <w:p w14:paraId="46A2050D" w14:textId="77777777" w:rsidR="001E3E87" w:rsidRDefault="005258B2">
      <w:pPr>
        <w:spacing w:after="90" w:line="264" w:lineRule="auto"/>
        <w:jc w:val="both"/>
      </w:pPr>
      <w:r>
        <w:rPr>
          <w:rFonts w:ascii="Calibri" w:eastAsia="Calibri" w:hAnsi="Calibri" w:cs="Calibri"/>
          <w:color w:val="1A1A1A"/>
        </w:rPr>
        <w:t xml:space="preserve">T. confl., 18 décembre 1947, Hilaire : « La sauvegarde de la liberté individuelle et la protection de la propriété privée rentrent essentiellement dans les attributions de l’autorité judiciaire. » </w:t>
      </w:r>
      <w:r>
        <w:rPr>
          <w:rFonts w:ascii="Calibri" w:eastAsia="Calibri" w:hAnsi="Calibri" w:cs="Calibri"/>
          <w:color w:val="E91E63"/>
        </w:rPr>
        <w:t xml:space="preserve">Cons. const., no 89-256 </w:t>
      </w:r>
      <w:r>
        <w:rPr>
          <w:rFonts w:ascii="Calibri" w:eastAsia="Calibri" w:hAnsi="Calibri" w:cs="Calibri"/>
          <w:color w:val="1A1A1A"/>
        </w:rPr>
        <w:t>DC, 25 juillet 1989 : « En tout état de cause, n’est pas méconnue l’importance des attributions conférées à l’autorité judiciaire en matière de protection de la propriété immobilière par les principes fondamentaux reconnus par les lois de la République. »</w:t>
      </w:r>
    </w:p>
    <w:p w14:paraId="50A89C83" w14:textId="77777777" w:rsidR="001E3E87" w:rsidRDefault="005258B2">
      <w:pPr>
        <w:pStyle w:val="Titre3"/>
        <w:spacing w:before="190" w:after="80"/>
      </w:pPr>
      <w:r>
        <w:rPr>
          <w:rFonts w:ascii="Calibri" w:eastAsia="Calibri" w:hAnsi="Calibri" w:cs="Calibri"/>
          <w:b/>
          <w:bCs/>
          <w:i/>
          <w:iCs/>
          <w:color w:val="1A1A1A"/>
          <w:sz w:val="21"/>
          <w:szCs w:val="21"/>
        </w:rPr>
        <w:t>B. Une dérogation au principe de séparation des autorités</w:t>
      </w:r>
    </w:p>
    <w:p w14:paraId="6F8930CB" w14:textId="77777777" w:rsidR="001E3E87" w:rsidRDefault="005258B2">
      <w:pPr>
        <w:spacing w:after="90" w:line="264" w:lineRule="auto"/>
        <w:jc w:val="both"/>
      </w:pPr>
      <w:r>
        <w:rPr>
          <w:rFonts w:ascii="Calibri" w:eastAsia="Calibri" w:hAnsi="Calibri" w:cs="Calibri"/>
          <w:color w:val="1A1A1A"/>
        </w:rPr>
        <w:t>Séparation des autorités administratives et judiciaires : loi des 16 et 24 août 1790 et loi du 16 fructidor an III de 1795 → justification par la séparation des pouvoirs. Le juge judiciaire a longtemps été seul compétent pour connaître des voies de fait (dont le champ d’application était plus étendu avant 2013), ce qui constitue une dérogation au principe de séparation des autorités.</w:t>
      </w:r>
    </w:p>
    <w:p w14:paraId="7D21C877" w14:textId="77777777" w:rsidR="001E3E87" w:rsidRDefault="005258B2">
      <w:pPr>
        <w:pStyle w:val="Titre3"/>
        <w:spacing w:before="190" w:after="80"/>
      </w:pPr>
      <w:r>
        <w:rPr>
          <w:rFonts w:ascii="Calibri" w:eastAsia="Calibri" w:hAnsi="Calibri" w:cs="Calibri"/>
          <w:b/>
          <w:bCs/>
          <w:i/>
          <w:iCs/>
          <w:color w:val="1A1A1A"/>
          <w:sz w:val="21"/>
          <w:szCs w:val="21"/>
        </w:rPr>
        <w:t>II. Les atténuations du principe de la protection de la propriété immobilière par l’autorité judiciaire</w:t>
      </w:r>
    </w:p>
    <w:p w14:paraId="14146CA7" w14:textId="77777777" w:rsidR="001E3E87" w:rsidRDefault="005258B2">
      <w:pPr>
        <w:pStyle w:val="Titre3"/>
        <w:spacing w:before="190" w:after="80"/>
      </w:pPr>
      <w:r>
        <w:rPr>
          <w:rFonts w:ascii="Calibri" w:eastAsia="Calibri" w:hAnsi="Calibri" w:cs="Calibri"/>
          <w:b/>
          <w:bCs/>
          <w:i/>
          <w:iCs/>
          <w:color w:val="1A1A1A"/>
          <w:sz w:val="21"/>
          <w:szCs w:val="21"/>
        </w:rPr>
        <w:t>A. Les mutations jurisprudentielles de cette protection juridictionnelle</w:t>
      </w:r>
    </w:p>
    <w:p w14:paraId="6E98FA0A" w14:textId="77777777" w:rsidR="001E3E87" w:rsidRDefault="005258B2">
      <w:pPr>
        <w:spacing w:after="90" w:line="264" w:lineRule="auto"/>
        <w:jc w:val="both"/>
      </w:pPr>
      <w:r>
        <w:rPr>
          <w:rFonts w:ascii="Calibri" w:eastAsia="Calibri" w:hAnsi="Calibri" w:cs="Calibri"/>
          <w:color w:val="1A1A1A"/>
        </w:rPr>
        <w:t xml:space="preserve">Deux décisions du Tribunal des conflits rendues la même année ont atténué le principe : La décision Bergoend c. Société ERDF Annecy Léman, du 17 juin 2013 : relative à une redéfinition plus enserrée de la voie de fait. (Le domaine d’application de la voie de fait a diminué depuis ce rétrécissement.) La décision </w:t>
      </w:r>
      <w:proofErr w:type="spellStart"/>
      <w:r>
        <w:rPr>
          <w:rFonts w:ascii="Calibri" w:eastAsia="Calibri" w:hAnsi="Calibri" w:cs="Calibri"/>
          <w:color w:val="1A1A1A"/>
        </w:rPr>
        <w:t>Pannizon</w:t>
      </w:r>
      <w:proofErr w:type="spellEnd"/>
      <w:r>
        <w:rPr>
          <w:rFonts w:ascii="Calibri" w:eastAsia="Calibri" w:hAnsi="Calibri" w:cs="Calibri"/>
          <w:color w:val="1A1A1A"/>
        </w:rPr>
        <w:t xml:space="preserve"> c. commune de Saint-Palais-sur-Mer, du 9 décembre 2013 : relative à l’emprise irrégulière. (Le juge judiciaire ne dispose d’une compétence résiduelle qu’en cas d’extinction d’un droit de propriété.)</w:t>
      </w:r>
    </w:p>
    <w:p w14:paraId="7DBD3463" w14:textId="77777777" w:rsidR="001E3E87" w:rsidRDefault="005258B2">
      <w:pPr>
        <w:pStyle w:val="Titre3"/>
        <w:spacing w:before="190" w:after="80"/>
      </w:pPr>
      <w:r>
        <w:rPr>
          <w:rFonts w:ascii="Calibri" w:eastAsia="Calibri" w:hAnsi="Calibri" w:cs="Calibri"/>
          <w:b/>
          <w:bCs/>
          <w:i/>
          <w:iCs/>
          <w:color w:val="1A1A1A"/>
          <w:sz w:val="21"/>
          <w:szCs w:val="21"/>
        </w:rPr>
        <w:t>B. Le droit de propriété dans le prétoire du juge administratif</w:t>
      </w:r>
    </w:p>
    <w:p w14:paraId="5E8FA33D" w14:textId="77777777" w:rsidR="001E3E87" w:rsidRDefault="005258B2">
      <w:pPr>
        <w:spacing w:after="90" w:line="264" w:lineRule="auto"/>
        <w:jc w:val="both"/>
      </w:pPr>
      <w:r>
        <w:rPr>
          <w:rFonts w:ascii="Calibri" w:eastAsia="Calibri" w:hAnsi="Calibri" w:cs="Calibri"/>
          <w:color w:val="1A1A1A"/>
        </w:rPr>
        <w:t>Depuis la loi du 30 juin 2000, des procédures de référé existent devant le juge administratif. Par une ordonnance du 31 mai 2001, Commune d’Hyères-les-Palmiers, le Conseil d’État a affirmé que le droit de propriété « a le caractère d’une liberté fondamentale au sens de l’</w:t>
      </w:r>
      <w:r>
        <w:rPr>
          <w:rFonts w:ascii="Calibri" w:eastAsia="Calibri" w:hAnsi="Calibri" w:cs="Calibri"/>
          <w:color w:val="1E88E5"/>
        </w:rPr>
        <w:t>article L. 521-2</w:t>
      </w:r>
      <w:r>
        <w:rPr>
          <w:rFonts w:ascii="Calibri" w:eastAsia="Calibri" w:hAnsi="Calibri" w:cs="Calibri"/>
          <w:color w:val="1A1A1A"/>
        </w:rPr>
        <w:t xml:space="preserve"> précité du </w:t>
      </w:r>
      <w:r>
        <w:rPr>
          <w:rFonts w:ascii="Calibri" w:eastAsia="Calibri" w:hAnsi="Calibri" w:cs="Calibri"/>
          <w:color w:val="1E88E5"/>
        </w:rPr>
        <w:t>Code de justice administrative</w:t>
      </w:r>
      <w:r>
        <w:rPr>
          <w:rFonts w:ascii="Calibri" w:eastAsia="Calibri" w:hAnsi="Calibri" w:cs="Calibri"/>
          <w:color w:val="1A1A1A"/>
        </w:rPr>
        <w:t xml:space="preserve"> ». Par un arrêt du 2 février 2004, Abdallah, le Conseil d’État a reconnu l’atteinte au droit de propriété du fait de la reprise d’un terrain cédé à un particulier fondée sur un texte abrogé « la collectivité départementale de Mayotte doit être regardée comme ayant porté au droit de propriété de M. et Mme X une atteinte grave et manifestement illégale ». En 2013, le Conseil d’État a affirmé dans une ordonnance qu’il appartient au juge administratif des référés « d’enjoindre à l’administration de faire cesser </w:t>
      </w:r>
      <w:r>
        <w:rPr>
          <w:rFonts w:ascii="Calibri" w:eastAsia="Calibri" w:hAnsi="Calibri" w:cs="Calibri"/>
          <w:color w:val="1A1A1A"/>
        </w:rPr>
        <w:lastRenderedPageBreak/>
        <w:t>une atteinte grave et manifestement illégale au droit de propriété, lequel a le caractère d’une liberté fondamentale, quand bien même cette atteinte aurait le caractère d’une voie de fait ».</w:t>
      </w:r>
    </w:p>
    <w:p w14:paraId="47763CF1" w14:textId="77777777" w:rsidR="001E3E87" w:rsidRDefault="005258B2">
      <w:pPr>
        <w:spacing w:after="90" w:line="264" w:lineRule="auto"/>
        <w:jc w:val="both"/>
      </w:pPr>
      <w:r>
        <w:rPr>
          <w:rFonts w:ascii="Calibri" w:eastAsia="Calibri" w:hAnsi="Calibri" w:cs="Calibri"/>
          <w:color w:val="1A1A1A"/>
        </w:rPr>
        <w:t>En conclusion, si l’autorité judiciaire était auparavant la gardienne de la propriété privée immobilière, des évolutions législatives et jurisprudentielles ont atténué cette compétence, laissant au juge administratif une place dans la protection de ce droit.</w:t>
      </w:r>
    </w:p>
    <w:p w14:paraId="1E0CC4F7" w14:textId="77777777" w:rsidR="001E3E87" w:rsidRDefault="005258B2">
      <w:r>
        <w:br w:type="page"/>
      </w:r>
    </w:p>
    <w:p w14:paraId="6AED0248"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20 — DISSERTATION</w:t>
      </w:r>
    </w:p>
    <w:p w14:paraId="217D7A18" w14:textId="77777777" w:rsidR="001E3E87" w:rsidRDefault="005258B2">
      <w:pPr>
        <w:spacing w:after="160"/>
      </w:pPr>
      <w:r>
        <w:rPr>
          <w:rFonts w:ascii="Calibri" w:eastAsia="Calibri" w:hAnsi="Calibri" w:cs="Calibri"/>
          <w:i/>
          <w:iCs/>
          <w:color w:val="5A5A5A"/>
          <w:sz w:val="18"/>
          <w:szCs w:val="18"/>
        </w:rPr>
        <w:t>Fiche n° 20 — La protection administrative  |  PARTIE IV. LES MÉCANISMES INTERNES DE PROTECTION  |  Fascicule p. 205</w:t>
      </w:r>
    </w:p>
    <w:p w14:paraId="65C1C0CF"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550EBA16"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La protection des libertés par les autorités administratives indépendantes</w:t>
      </w:r>
    </w:p>
    <w:p w14:paraId="3105C59F"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457B2041" w14:textId="77777777" w:rsidR="001E3E87" w:rsidRDefault="005258B2">
      <w:pPr>
        <w:spacing w:after="90" w:line="264" w:lineRule="auto"/>
        <w:jc w:val="both"/>
      </w:pPr>
      <w:r>
        <w:rPr>
          <w:rFonts w:ascii="Calibri" w:eastAsia="Calibri" w:hAnsi="Calibri" w:cs="Calibri"/>
          <w:color w:val="1A1A1A"/>
        </w:rPr>
        <w:t>L’État de droit repose sur un équilibre subtil entre l’efficacité de l’action publique et la garantie des droits fondamentaux. Traditionnellement, cet équilibre repose sur la séparation des pouvoirs prévue à l’</w:t>
      </w:r>
      <w:r>
        <w:rPr>
          <w:rFonts w:ascii="Calibri" w:eastAsia="Calibri" w:hAnsi="Calibri" w:cs="Calibri"/>
          <w:color w:val="1E88E5"/>
        </w:rPr>
        <w:t>article 16</w:t>
      </w:r>
      <w:r>
        <w:rPr>
          <w:rFonts w:ascii="Calibri" w:eastAsia="Calibri" w:hAnsi="Calibri" w:cs="Calibri"/>
          <w:color w:val="1A1A1A"/>
        </w:rPr>
        <w:t xml:space="preserve"> de la </w:t>
      </w:r>
      <w:r>
        <w:rPr>
          <w:rFonts w:ascii="Calibri" w:eastAsia="Calibri" w:hAnsi="Calibri" w:cs="Calibri"/>
          <w:color w:val="1E88E5"/>
        </w:rPr>
        <w:t>Déclaration des droits de l’homme et du citoyen</w:t>
      </w:r>
      <w:r>
        <w:rPr>
          <w:rFonts w:ascii="Calibri" w:eastAsia="Calibri" w:hAnsi="Calibri" w:cs="Calibri"/>
          <w:color w:val="1A1A1A"/>
        </w:rPr>
        <w:t xml:space="preserve"> et sur la soumission de l’administration au contrôle du juge en vertu de la hiérarchie des normes. Cependant, progressivement, des moyens non juridictionnels de règlement des litiges et de protection des libertés se sont mis en place au sein de l’appareil étatique. Dans ce contexte, les autorités administratives indépendantes constituent une catégorie originale d’institutions administratives : ni gouvernementales ni juridictionnelles, elles incarnent un modèle de régulation autonome, souvent à la frontière du pouvoir exécutif et des exigences d’impartialité. En effet, nombre d’entre elles œuvrent à la protection des droits du citoyen. D’ailleurs, il revient au législateur, selon l’</w:t>
      </w:r>
      <w:r>
        <w:rPr>
          <w:rFonts w:ascii="Calibri" w:eastAsia="Calibri" w:hAnsi="Calibri" w:cs="Calibri"/>
          <w:color w:val="1E88E5"/>
        </w:rPr>
        <w:t>article 34</w:t>
      </w:r>
      <w:r>
        <w:rPr>
          <w:rFonts w:ascii="Calibri" w:eastAsia="Calibri" w:hAnsi="Calibri" w:cs="Calibri"/>
          <w:color w:val="1A1A1A"/>
        </w:rPr>
        <w:t xml:space="preserve"> de la Constitution, de créer des autorités voire d’en modifier le régime et le statut. Leur développement s’est accéléré depuis les années 1980, sous l’effet de la montée des exigences démocratiques, de la complexité croissante des régulations sectorielles (communications, finances, concurrence…), et d’une défiance relative à l’égard des pouvoirs traditionnels. Les libertés publiques – liberté d’expression, de communication, de concurrence, droit à la vie privée… – se trouvent au cœur de leur champ d’action. Toutes les autorités administratives indépendantes n’œuvrent pas à la protection des libertés et certaines sont uniquement des organes de régulation économique ou administrative. Il convient de les écarter de l’étude. D’autres autorités connaissant des libertés sont plus sectorielles, mais leur apport n’en est pas moins fondamental.</w:t>
      </w:r>
    </w:p>
    <w:p w14:paraId="1F913FFF" w14:textId="77777777" w:rsidR="001E3E87" w:rsidRDefault="005258B2">
      <w:pPr>
        <w:spacing w:after="90" w:line="264" w:lineRule="auto"/>
        <w:jc w:val="both"/>
      </w:pPr>
      <w:r>
        <w:rPr>
          <w:rFonts w:ascii="Calibri" w:eastAsia="Calibri" w:hAnsi="Calibri" w:cs="Calibri"/>
          <w:color w:val="1A1A1A"/>
        </w:rPr>
        <w:t>Problématique / fil directeur : Dès lors, dans quelle mesure les autorités administratives indépendantes contribuent-elles à la garantie des libertés fondamentales, sans elles-mêmes constituer une menace pour ces libertés du fait de leur statut original et de leurs pouvoirs parfois considérables ?</w:t>
      </w:r>
    </w:p>
    <w:p w14:paraId="2250E012" w14:textId="77777777" w:rsidR="001E3E87" w:rsidRDefault="005258B2">
      <w:pPr>
        <w:spacing w:after="90" w:line="264" w:lineRule="auto"/>
        <w:jc w:val="both"/>
      </w:pPr>
      <w:r>
        <w:rPr>
          <w:rFonts w:ascii="Calibri" w:eastAsia="Calibri" w:hAnsi="Calibri" w:cs="Calibri"/>
          <w:b/>
          <w:bCs/>
          <w:color w:val="1A1A1A"/>
        </w:rPr>
        <w:t>Annonce du plan:</w:t>
      </w:r>
      <w:r>
        <w:rPr>
          <w:rFonts w:ascii="Calibri" w:eastAsia="Calibri" w:hAnsi="Calibri" w:cs="Calibri"/>
          <w:color w:val="1A1A1A"/>
        </w:rPr>
        <w:t xml:space="preserve"> Si les autorités administratives indépendantes ont été conçues comme des instruments garantissant les libertés, leur intervention soulève néanmoins des questions de légitimité démocratique et de respect des principes de l’État de droit.</w:t>
      </w:r>
    </w:p>
    <w:p w14:paraId="13B0E27E" w14:textId="77777777" w:rsidR="001E3E87" w:rsidRDefault="005258B2">
      <w:pPr>
        <w:pStyle w:val="Titre3"/>
        <w:spacing w:before="190" w:after="80"/>
      </w:pPr>
      <w:r>
        <w:rPr>
          <w:rFonts w:ascii="Calibri" w:eastAsia="Calibri" w:hAnsi="Calibri" w:cs="Calibri"/>
          <w:b/>
          <w:bCs/>
          <w:i/>
          <w:iCs/>
          <w:color w:val="1A1A1A"/>
          <w:sz w:val="21"/>
          <w:szCs w:val="21"/>
        </w:rPr>
        <w:t>I. Les autorités administratives indépendantes comme instruments de protection et de promotion des</w:t>
      </w:r>
    </w:p>
    <w:p w14:paraId="03EDA7FC" w14:textId="77777777" w:rsidR="001E3E87" w:rsidRDefault="005258B2">
      <w:pPr>
        <w:spacing w:after="90" w:line="264" w:lineRule="auto"/>
        <w:jc w:val="both"/>
      </w:pPr>
      <w:r>
        <w:rPr>
          <w:rFonts w:ascii="Calibri" w:eastAsia="Calibri" w:hAnsi="Calibri" w:cs="Calibri"/>
          <w:color w:val="1A1A1A"/>
        </w:rPr>
        <w:t>libertés</w:t>
      </w:r>
    </w:p>
    <w:p w14:paraId="4F522877" w14:textId="77777777" w:rsidR="001E3E87" w:rsidRDefault="005258B2">
      <w:pPr>
        <w:pStyle w:val="Titre3"/>
        <w:spacing w:before="190" w:after="80"/>
      </w:pPr>
      <w:r>
        <w:rPr>
          <w:rFonts w:ascii="Calibri" w:eastAsia="Calibri" w:hAnsi="Calibri" w:cs="Calibri"/>
          <w:b/>
          <w:bCs/>
          <w:i/>
          <w:iCs/>
          <w:color w:val="1A1A1A"/>
          <w:sz w:val="21"/>
          <w:szCs w:val="21"/>
        </w:rPr>
        <w:t>A. Une mission de régulation protectrice des droits malgré une hétérogénéité</w:t>
      </w:r>
    </w:p>
    <w:p w14:paraId="1DE746BB" w14:textId="77777777" w:rsidR="001E3E87" w:rsidRDefault="005258B2">
      <w:pPr>
        <w:spacing w:after="90" w:line="264" w:lineRule="auto"/>
        <w:jc w:val="both"/>
      </w:pPr>
      <w:r>
        <w:rPr>
          <w:rFonts w:ascii="Calibri" w:eastAsia="Calibri" w:hAnsi="Calibri" w:cs="Calibri"/>
          <w:color w:val="1A1A1A"/>
        </w:rPr>
        <w:t>Les autorités administratives indépendantes ont souvent pour une mission plus ou moins explicite de protection des libertés fondamentales malgré le fait qu’elles soient hétérogènes. D’ailleurs, il est prévu qu’il revienne à la loi, en vertu de l’</w:t>
      </w:r>
      <w:r>
        <w:rPr>
          <w:rFonts w:ascii="Calibri" w:eastAsia="Calibri" w:hAnsi="Calibri" w:cs="Calibri"/>
          <w:color w:val="1E88E5"/>
        </w:rPr>
        <w:t>article 34</w:t>
      </w:r>
      <w:r>
        <w:rPr>
          <w:rFonts w:ascii="Calibri" w:eastAsia="Calibri" w:hAnsi="Calibri" w:cs="Calibri"/>
          <w:color w:val="1A1A1A"/>
        </w:rPr>
        <w:t xml:space="preserve"> de la Constitution, le soin d’en déterminer le régime lorsqu’elles garantissent les libertés (</w:t>
      </w:r>
      <w:r>
        <w:rPr>
          <w:rFonts w:ascii="Calibri" w:eastAsia="Calibri" w:hAnsi="Calibri" w:cs="Calibri"/>
          <w:color w:val="E91E63"/>
        </w:rPr>
        <w:t xml:space="preserve">Cons. const., décision no 84-173 </w:t>
      </w:r>
      <w:r>
        <w:rPr>
          <w:rFonts w:ascii="Calibri" w:eastAsia="Calibri" w:hAnsi="Calibri" w:cs="Calibri"/>
          <w:color w:val="1A1A1A"/>
        </w:rPr>
        <w:t>DC, 26 juillet 1984, Loi relative à l’exploitation des services de radio-télévision mis à la disposition du public sur un réseau câblé). On pense alors à :</w:t>
      </w:r>
    </w:p>
    <w:p w14:paraId="4C91442E"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 xml:space="preserve">La Commission nationale de l’informatique et des libertés (CNIL), chargée depuis 1978 de protéger la vie privée face aux traitements automatisés de données à caractère personnel. Elle veille aujourd’hui à l’application du </w:t>
      </w:r>
      <w:r>
        <w:rPr>
          <w:rFonts w:ascii="Calibri" w:eastAsia="Calibri" w:hAnsi="Calibri" w:cs="Calibri"/>
          <w:color w:val="1E88E5"/>
        </w:rPr>
        <w:t>RGPD</w:t>
      </w:r>
      <w:r>
        <w:rPr>
          <w:rFonts w:ascii="Calibri" w:eastAsia="Calibri" w:hAnsi="Calibri" w:cs="Calibri"/>
          <w:color w:val="1A1A1A"/>
        </w:rPr>
        <w:t>.</w:t>
      </w:r>
    </w:p>
    <w:p w14:paraId="7BF18727"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 Défenseur des droits, né de la révision constitutionnelle de 2008 et institué par la loi organique de 2011, qui veille au respect des droits des administrés, y compris dans des domaines sensibles comme la déontologie de la sécurité ou de lutte contre les discriminations.</w:t>
      </w:r>
    </w:p>
    <w:p w14:paraId="7BDAD954"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 Conseil supérieur de l’audiovisuel (CSA) devenu ARCOM (Autorité de régulation de la communication audiovisuelle et numérique), garantissant la liberté de communication audiovisuelle et la pluralité des opinions. Ces autorités s’inscrivent dans une logique de contre-pouvoir administratif, au service des libertés individuelles et collectives.</w:t>
      </w:r>
    </w:p>
    <w:p w14:paraId="15D05697" w14:textId="77777777" w:rsidR="001E3E87" w:rsidRDefault="005258B2">
      <w:pPr>
        <w:pStyle w:val="Titre3"/>
        <w:spacing w:before="190" w:after="80"/>
      </w:pPr>
      <w:r>
        <w:rPr>
          <w:rFonts w:ascii="Calibri" w:eastAsia="Calibri" w:hAnsi="Calibri" w:cs="Calibri"/>
          <w:b/>
          <w:bCs/>
          <w:i/>
          <w:iCs/>
          <w:color w:val="1A1A1A"/>
          <w:sz w:val="21"/>
          <w:szCs w:val="21"/>
        </w:rPr>
        <w:t>B. Une indépendance au service de l’impartialité et de la neutralité</w:t>
      </w:r>
    </w:p>
    <w:p w14:paraId="7496A80F" w14:textId="77777777" w:rsidR="001E3E87" w:rsidRDefault="005258B2">
      <w:pPr>
        <w:spacing w:after="90" w:line="264" w:lineRule="auto"/>
        <w:jc w:val="both"/>
      </w:pPr>
      <w:r>
        <w:rPr>
          <w:rFonts w:ascii="Calibri" w:eastAsia="Calibri" w:hAnsi="Calibri" w:cs="Calibri"/>
          <w:color w:val="1A1A1A"/>
        </w:rPr>
        <w:t xml:space="preserve">L’indépendance organique des AAI par rapport au pouvoir exécutif – garantie par des règles de nomination spécifiques et des conditions de révocation strictes – vise à renforcer leur crédibilité dans la protection des libertés. Leur indépendance permet une distance critique vis-à-vis des intérêts politiques ou économiques. Cela renforce la confiance </w:t>
      </w:r>
      <w:r>
        <w:rPr>
          <w:rFonts w:ascii="Calibri" w:eastAsia="Calibri" w:hAnsi="Calibri" w:cs="Calibri"/>
          <w:color w:val="1A1A1A"/>
        </w:rPr>
        <w:lastRenderedPageBreak/>
        <w:t>des citoyens dans les mécanismes de régulation et de protection de leurs droits. Par exemple, les décisions de la CNIL, même si elles ne sont pas juridictionnelles, peuvent avoir des effets comparables à ceux d’une sanction judiciaire. Par exemple, le mandat du Défenseur des droits est irrévocable, non renouvelable et long (6 ans) afin de lui garantir la plus grande indépendance. Il est soumis aux règles de non-cumul des fonctions et à ce titre, il ne saurait être membre du Gouvernement ou parlementaire.</w:t>
      </w:r>
    </w:p>
    <w:p w14:paraId="52BA330C" w14:textId="77777777" w:rsidR="001E3E87" w:rsidRDefault="005258B2">
      <w:pPr>
        <w:pStyle w:val="Titre3"/>
        <w:spacing w:before="190" w:after="80"/>
      </w:pPr>
      <w:r>
        <w:rPr>
          <w:rFonts w:ascii="Calibri" w:eastAsia="Calibri" w:hAnsi="Calibri" w:cs="Calibri"/>
          <w:b/>
          <w:bCs/>
          <w:i/>
          <w:iCs/>
          <w:color w:val="1A1A1A"/>
          <w:sz w:val="21"/>
          <w:szCs w:val="21"/>
        </w:rPr>
        <w:t>II. Une protection des libertés parfois ambiguë</w:t>
      </w:r>
    </w:p>
    <w:p w14:paraId="4C4526E7" w14:textId="77777777" w:rsidR="001E3E87" w:rsidRDefault="005258B2">
      <w:pPr>
        <w:pStyle w:val="Titre3"/>
        <w:spacing w:before="190" w:after="80"/>
      </w:pPr>
      <w:r>
        <w:rPr>
          <w:rFonts w:ascii="Calibri" w:eastAsia="Calibri" w:hAnsi="Calibri" w:cs="Calibri"/>
          <w:b/>
          <w:bCs/>
          <w:i/>
          <w:iCs/>
          <w:color w:val="1A1A1A"/>
          <w:sz w:val="21"/>
          <w:szCs w:val="21"/>
        </w:rPr>
        <w:t>A. Des pouvoirs croissants pouvant restreindre les libertés</w:t>
      </w:r>
    </w:p>
    <w:p w14:paraId="13F25A11" w14:textId="77777777" w:rsidR="001E3E87" w:rsidRDefault="005258B2">
      <w:pPr>
        <w:spacing w:after="90" w:line="264" w:lineRule="auto"/>
        <w:jc w:val="both"/>
      </w:pPr>
      <w:r>
        <w:rPr>
          <w:rFonts w:ascii="Calibri" w:eastAsia="Calibri" w:hAnsi="Calibri" w:cs="Calibri"/>
          <w:color w:val="1A1A1A"/>
        </w:rPr>
        <w:t xml:space="preserve">Les autorités administratives indépendantes disposent souvent de pouvoirs normatifs, de contrôle, et de sanction significative, ce qui peut conduire à des atteintes aux libertés fondamentales si ces pouvoirs ne sont pas encadrés. C’est notamment pour cela que le Conseil d’État a accepté de contrôler les actes de droit souple de ces autorités (CE, 2016, Fairvesta et </w:t>
      </w:r>
      <w:proofErr w:type="spellStart"/>
      <w:r>
        <w:rPr>
          <w:rFonts w:ascii="Calibri" w:eastAsia="Calibri" w:hAnsi="Calibri" w:cs="Calibri"/>
          <w:color w:val="1A1A1A"/>
        </w:rPr>
        <w:t>Numéricable</w:t>
      </w:r>
      <w:proofErr w:type="spellEnd"/>
      <w:r>
        <w:rPr>
          <w:rFonts w:ascii="Calibri" w:eastAsia="Calibri" w:hAnsi="Calibri" w:cs="Calibri"/>
          <w:color w:val="1A1A1A"/>
        </w:rPr>
        <w:t>) :</w:t>
      </w:r>
    </w:p>
    <w:p w14:paraId="5375F21A"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L’ARCOM peut, par exemple, ordonner le blocage de sites internet, avec des conséquences importantes sur la liberté d’expression. Cela a notamment été l’objet de débat lors de la fermeture de la chaîne de télévision C8 (</w:t>
      </w:r>
      <w:r>
        <w:rPr>
          <w:rFonts w:ascii="Calibri" w:eastAsia="Calibri" w:hAnsi="Calibri" w:cs="Calibri"/>
          <w:color w:val="E91E63"/>
        </w:rPr>
        <w:t>CE, 19 février 2025, NRJ12 et C8, no 499823</w:t>
      </w:r>
      <w:r>
        <w:rPr>
          <w:rFonts w:ascii="Calibri" w:eastAsia="Calibri" w:hAnsi="Calibri" w:cs="Calibri"/>
          <w:color w:val="1A1A1A"/>
        </w:rPr>
        <w:t>).</w:t>
      </w:r>
    </w:p>
    <w:p w14:paraId="6ED5A490"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L’Autorité de la concurrence peut infliger des amendes très lourdes à des entreprises, ce qui interroge la régularité de ces sanctions au regard du respect des droits de la défense. Ainsi, bien qu’indépendantes, les autorités exercent parfois des prérogatives de puissance publique, y compris en matière répressive, sans disposer de toutes les garanties associées à une juridiction (principe du contradictoire, impartialité…).</w:t>
      </w:r>
    </w:p>
    <w:p w14:paraId="15170F58" w14:textId="77777777" w:rsidR="001E3E87" w:rsidRDefault="005258B2">
      <w:pPr>
        <w:pStyle w:val="Titre3"/>
        <w:spacing w:before="190" w:after="80"/>
      </w:pPr>
      <w:r>
        <w:rPr>
          <w:rFonts w:ascii="Calibri" w:eastAsia="Calibri" w:hAnsi="Calibri" w:cs="Calibri"/>
          <w:b/>
          <w:bCs/>
          <w:i/>
          <w:iCs/>
          <w:color w:val="1A1A1A"/>
          <w:sz w:val="21"/>
          <w:szCs w:val="21"/>
        </w:rPr>
        <w:t>B. Une légitimité démocratique et un contrôle juridictionnel parfois insuffisants</w:t>
      </w:r>
    </w:p>
    <w:p w14:paraId="30B44D28" w14:textId="77777777" w:rsidR="001E3E87" w:rsidRDefault="005258B2">
      <w:pPr>
        <w:spacing w:after="90" w:line="264" w:lineRule="auto"/>
        <w:jc w:val="both"/>
      </w:pPr>
      <w:r>
        <w:rPr>
          <w:rFonts w:ascii="Calibri" w:eastAsia="Calibri" w:hAnsi="Calibri" w:cs="Calibri"/>
          <w:color w:val="1A1A1A"/>
        </w:rPr>
        <w:t>Le déficit démocratique des autorités administratives indépendantes est souvent critiqué : leurs membres ne sont pas élus, et leur légitimité repose principalement sur leur expertise. Cette situation peut susciter des tensions dans un régime fondé sur la souveraineté populaire. Le Conseil constitutionnel a encadré à plusieurs reprises les pouvoirs des AAI, notamment dans la décision no 89-260 DC du 28 juillet 1989, posant des exigences sur la séparation des fonctions et le respect des principes constitutionnels (droit à un recours juridictionnel effectif, droits de la défense…). Il a jugé que l’exercice du pouvoir de sanction doit être encadré et qu’il revient à la loi d’en déterminer les modalités. Le contrôle juridictionnel exercé par les juges est essentiel, mais parfois complexe, car les autorités administratives indépendantes échappent à la classification traditionnelle des autorités publiques. Le Conseil d’État a dû adapter sa jurisprudence à cette forme particulière d’administration. En conclusion, les AAI se sont affirmées comme des institutions fondamentales de la protection des droits en raison du développement de leurs missions. Cependant, des clarifications sur leur rôle vis-à-vis du pouvoir exécutif et du juge méritent d’être réalisées.</w:t>
      </w:r>
    </w:p>
    <w:p w14:paraId="1000B520" w14:textId="77777777" w:rsidR="001E3E87" w:rsidRDefault="005258B2">
      <w:r>
        <w:br w:type="page"/>
      </w:r>
    </w:p>
    <w:p w14:paraId="06314BF1" w14:textId="77777777" w:rsidR="001E3E87" w:rsidRDefault="005258B2">
      <w:pPr>
        <w:shd w:val="clear" w:color="auto" w:fill="F2E9EA"/>
        <w:spacing w:before="200" w:after="200"/>
        <w:jc w:val="center"/>
      </w:pPr>
      <w:r>
        <w:rPr>
          <w:rFonts w:ascii="Calibri" w:eastAsia="Calibri" w:hAnsi="Calibri" w:cs="Calibri"/>
          <w:b/>
          <w:bCs/>
          <w:color w:val="8C1C2B"/>
          <w:spacing w:val="30"/>
          <w:sz w:val="26"/>
          <w:szCs w:val="26"/>
        </w:rPr>
        <w:lastRenderedPageBreak/>
        <w:t>PARTIE V. LES MÉCANISMES INTERNATIONAUX ET EUROPÉENS DE PROTECTION</w:t>
      </w:r>
    </w:p>
    <w:p w14:paraId="2C3B22AF"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t>ENTRAÎNEMENT N° 21 — DISSERTATION</w:t>
      </w:r>
    </w:p>
    <w:p w14:paraId="73AE6E03" w14:textId="77777777" w:rsidR="001E3E87" w:rsidRDefault="005258B2">
      <w:pPr>
        <w:spacing w:after="160"/>
      </w:pPr>
      <w:r>
        <w:rPr>
          <w:rFonts w:ascii="Calibri" w:eastAsia="Calibri" w:hAnsi="Calibri" w:cs="Calibri"/>
          <w:i/>
          <w:iCs/>
          <w:color w:val="5A5A5A"/>
          <w:sz w:val="18"/>
          <w:szCs w:val="18"/>
        </w:rPr>
        <w:t>Fiche n° 21 — Les comités onusiens  |  PARTIE V. LES MÉCANISMES INTERNATIONAUX ET EUROPÉENS DE PROTECTION  |  Fascicule p. 215</w:t>
      </w:r>
    </w:p>
    <w:p w14:paraId="05BF4C26"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16D9063B"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Les comités onusiens de protection des droits humains : garants d’une justice universelle ou simples organes consultatifs ?</w:t>
      </w:r>
    </w:p>
    <w:p w14:paraId="1ED0B04C"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47080330" w14:textId="77777777" w:rsidR="001E3E87" w:rsidRDefault="005258B2">
      <w:pPr>
        <w:spacing w:after="90" w:line="264" w:lineRule="auto"/>
        <w:jc w:val="both"/>
      </w:pPr>
      <w:r>
        <w:rPr>
          <w:rFonts w:ascii="Calibri" w:eastAsia="Calibri" w:hAnsi="Calibri" w:cs="Calibri"/>
          <w:color w:val="1A1A1A"/>
        </w:rPr>
        <w:t>La structure onusienne joue un rôle central dans la protection des droits humains dès la sortie de la Seconde Guerre mondiale et par la suite avec une forte activité normative dans ce domaine par la création de nombreuses conventions internationales. Neuf de ces conventions principales mettent en place des comités surveillant la bonne mise en œuvre de ces conventions. Cependant, si ces comités sont les seuls organes ayant une prétention universaliste dans la protection des droits humains (en ce qu’il n’existe que des juridictions régionales de protection des droits humains et pas de cour mondiale), ces mécanismes de contrôle ont une portée limitée, bien que réelle.</w:t>
      </w:r>
    </w:p>
    <w:p w14:paraId="196F2F64"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Si leur nature quasi-juridictionnelle créé une ébauche de justice universelle (I), leur manque de pouvoir coercitif et leur dépendance aux coopérations étatiques soulèvent des interrogations sur leur efficacité réelle (II).</w:t>
      </w:r>
    </w:p>
    <w:p w14:paraId="5979D8D5" w14:textId="77777777" w:rsidR="001E3E87" w:rsidRDefault="005258B2">
      <w:pPr>
        <w:pStyle w:val="Titre3"/>
        <w:spacing w:before="190" w:after="80"/>
      </w:pPr>
      <w:r>
        <w:rPr>
          <w:rFonts w:ascii="Calibri" w:eastAsia="Calibri" w:hAnsi="Calibri" w:cs="Calibri"/>
          <w:b/>
          <w:bCs/>
          <w:i/>
          <w:iCs/>
          <w:color w:val="1A1A1A"/>
          <w:sz w:val="21"/>
          <w:szCs w:val="21"/>
        </w:rPr>
        <w:t>I. Une architecture juridique au service d’une justice universelle</w:t>
      </w:r>
    </w:p>
    <w:p w14:paraId="3280447D" w14:textId="77777777" w:rsidR="001E3E87" w:rsidRDefault="005258B2">
      <w:pPr>
        <w:pStyle w:val="Titre3"/>
        <w:spacing w:before="190" w:after="80"/>
      </w:pPr>
      <w:r>
        <w:rPr>
          <w:rFonts w:ascii="Calibri" w:eastAsia="Calibri" w:hAnsi="Calibri" w:cs="Calibri"/>
          <w:b/>
          <w:bCs/>
          <w:i/>
          <w:iCs/>
          <w:color w:val="1A1A1A"/>
          <w:sz w:val="21"/>
          <w:szCs w:val="21"/>
        </w:rPr>
        <w:t>A. Une compétence normative et interprétative importante</w:t>
      </w:r>
    </w:p>
    <w:p w14:paraId="7DD03278" w14:textId="77777777" w:rsidR="001E3E87" w:rsidRDefault="005258B2">
      <w:pPr>
        <w:spacing w:after="90" w:line="264" w:lineRule="auto"/>
        <w:jc w:val="both"/>
      </w:pPr>
      <w:r>
        <w:rPr>
          <w:rFonts w:ascii="Calibri" w:eastAsia="Calibri" w:hAnsi="Calibri" w:cs="Calibri"/>
          <w:color w:val="1A1A1A"/>
        </w:rPr>
        <w:t>Les comités ont diverses fonctions qui en font des mécanismes de développement incontournable du droit international des droits humains, notamment par l’adoption d’observations générales interprétant les textes conventionnels qui constituent une part importante du développement d’une vision universelle des droits humains. À titre d’exemple, voir l’Observation générale no 34 du Comité des droits de l’homme qui donne des indications claires pour la protection des différentes formes d’expression par les États (</w:t>
      </w:r>
      <w:r>
        <w:rPr>
          <w:rFonts w:ascii="Calibri" w:eastAsia="Calibri" w:hAnsi="Calibri" w:cs="Calibri"/>
          <w:color w:val="E91E63"/>
        </w:rPr>
        <w:t xml:space="preserve">CDH, 29 juillet 2011, Observation générale no 34 </w:t>
      </w:r>
      <w:r>
        <w:rPr>
          <w:rFonts w:ascii="Calibri" w:eastAsia="Calibri" w:hAnsi="Calibri" w:cs="Calibri"/>
          <w:color w:val="1A1A1A"/>
        </w:rPr>
        <w:t>sur l’</w:t>
      </w:r>
      <w:r>
        <w:rPr>
          <w:rFonts w:ascii="Calibri" w:eastAsia="Calibri" w:hAnsi="Calibri" w:cs="Calibri"/>
          <w:color w:val="1E88E5"/>
        </w:rPr>
        <w:t>article 19</w:t>
      </w:r>
      <w:r>
        <w:rPr>
          <w:rFonts w:ascii="Calibri" w:eastAsia="Calibri" w:hAnsi="Calibri" w:cs="Calibri"/>
          <w:color w:val="1A1A1A"/>
        </w:rPr>
        <w:t xml:space="preserve"> : Liberté d’opinion et liberté d’expression, CCPR/C.GC.34). Les observations finales sur les rapports périodiques jouent aussi un rôle important ainsi que par certains pouvoirs comme les enquêtes qui permettent de renforcer la protection des droits humains au niveau universel et structurel dans chaque État (sans pour autant parler de « justice » à proprement parler).</w:t>
      </w:r>
    </w:p>
    <w:p w14:paraId="372D153D" w14:textId="77777777" w:rsidR="001E3E87" w:rsidRDefault="005258B2">
      <w:pPr>
        <w:pStyle w:val="Titre3"/>
        <w:spacing w:before="190" w:after="80"/>
      </w:pPr>
      <w:r>
        <w:rPr>
          <w:rFonts w:ascii="Calibri" w:eastAsia="Calibri" w:hAnsi="Calibri" w:cs="Calibri"/>
          <w:b/>
          <w:bCs/>
          <w:i/>
          <w:iCs/>
          <w:color w:val="1A1A1A"/>
          <w:sz w:val="21"/>
          <w:szCs w:val="21"/>
        </w:rPr>
        <w:t>B. Des mécanismes quasi-juridictionnels universels</w:t>
      </w:r>
    </w:p>
    <w:p w14:paraId="5794915C" w14:textId="77777777" w:rsidR="001E3E87" w:rsidRDefault="005258B2">
      <w:pPr>
        <w:spacing w:after="90" w:line="264" w:lineRule="auto"/>
        <w:jc w:val="both"/>
      </w:pPr>
      <w:r>
        <w:rPr>
          <w:rFonts w:ascii="Calibri" w:eastAsia="Calibri" w:hAnsi="Calibri" w:cs="Calibri"/>
          <w:color w:val="1A1A1A"/>
        </w:rPr>
        <w:t>L’examen des communications individuelles (si l’État reconnaît cette compétence) se rapproche d’une fonction juridictionnelle :</w:t>
      </w:r>
    </w:p>
    <w:p w14:paraId="79996C35"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Par un système de plaintes individuelles avec des critères de recevabilité.</w:t>
      </w:r>
    </w:p>
    <w:p w14:paraId="0DD91BC7"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 xml:space="preserve">Par l’intervention des Comités en cas d’échec du règlement amiable, qui tranche l’existence d’une violation des dispositions de la convention, à titre d’exemple voir : </w:t>
      </w:r>
      <w:r>
        <w:rPr>
          <w:rFonts w:ascii="Calibri" w:eastAsia="Calibri" w:hAnsi="Calibri" w:cs="Calibri"/>
          <w:color w:val="E91E63"/>
        </w:rPr>
        <w:t xml:space="preserve">CDH, 23 novembre 2005, Faure c. Australie, no 1036/2001. </w:t>
      </w:r>
      <w:r>
        <w:rPr>
          <w:rFonts w:ascii="Calibri" w:eastAsia="Calibri" w:hAnsi="Calibri" w:cs="Calibri"/>
          <w:color w:val="1A1A1A"/>
        </w:rPr>
        <w:t>Les requêtes sont traitées selon le principe d’universalité des droits humains et de manière égalitaire entre les différents États. Le caractère spécialisé des comités peut leur permettre de connaître de certaines affaires échappant aux juridictions régionales. Enfin, l’existence de mécanisme de suivi se rapproche à bien des égards des mécanismes juridictionnels internationaux.</w:t>
      </w:r>
    </w:p>
    <w:p w14:paraId="5D0B51C5" w14:textId="77777777" w:rsidR="001E3E87" w:rsidRDefault="005258B2">
      <w:pPr>
        <w:pStyle w:val="Titre3"/>
        <w:spacing w:before="190" w:after="80"/>
      </w:pPr>
      <w:r>
        <w:rPr>
          <w:rFonts w:ascii="Calibri" w:eastAsia="Calibri" w:hAnsi="Calibri" w:cs="Calibri"/>
          <w:b/>
          <w:bCs/>
          <w:i/>
          <w:iCs/>
          <w:color w:val="1A1A1A"/>
          <w:sz w:val="21"/>
          <w:szCs w:val="21"/>
        </w:rPr>
        <w:t>II. Les limites structurelles au pouvoir des comités</w:t>
      </w:r>
    </w:p>
    <w:p w14:paraId="164CE06A" w14:textId="77777777" w:rsidR="001E3E87" w:rsidRDefault="005258B2">
      <w:pPr>
        <w:pStyle w:val="Titre3"/>
        <w:spacing w:before="190" w:after="80"/>
      </w:pPr>
      <w:r>
        <w:rPr>
          <w:rFonts w:ascii="Calibri" w:eastAsia="Calibri" w:hAnsi="Calibri" w:cs="Calibri"/>
          <w:b/>
          <w:bCs/>
          <w:i/>
          <w:iCs/>
          <w:color w:val="1A1A1A"/>
          <w:sz w:val="21"/>
          <w:szCs w:val="21"/>
        </w:rPr>
        <w:t>A. Une fonction judiciaire entravée</w:t>
      </w:r>
    </w:p>
    <w:p w14:paraId="1E4A00ED" w14:textId="77777777" w:rsidR="001E3E87" w:rsidRDefault="005258B2">
      <w:pPr>
        <w:spacing w:after="90" w:line="264" w:lineRule="auto"/>
        <w:jc w:val="both"/>
      </w:pPr>
      <w:r>
        <w:rPr>
          <w:rFonts w:ascii="Calibri" w:eastAsia="Calibri" w:hAnsi="Calibri" w:cs="Calibri"/>
          <w:color w:val="1A1A1A"/>
        </w:rPr>
        <w:t>L’élément principal empêchant de considérer les comités comme garants d’une « justice » universelle est leur absence de caractère juridictionnel :</w:t>
      </w:r>
    </w:p>
    <w:p w14:paraId="18124357"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Par la nature non contraignante des constatations et recommandations.</w:t>
      </w:r>
    </w:p>
    <w:p w14:paraId="0FAE1FC6"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lastRenderedPageBreak/>
        <w:t>Par leur composition (des experts et non des juges, bien que la compétence juridique soit un des critères pour le choix des membres du comité). Cela implique de privilégier d’autres sources en cas de conflit (</w:t>
      </w:r>
      <w:r>
        <w:rPr>
          <w:rFonts w:ascii="Calibri" w:eastAsia="Calibri" w:hAnsi="Calibri" w:cs="Calibri"/>
          <w:color w:val="E91E63"/>
        </w:rPr>
        <w:t>Cass. rév., 10 décembre 2015, no 14</w:t>
      </w:r>
      <w:r>
        <w:rPr>
          <w:rFonts w:ascii="Calibri" w:eastAsia="Calibri" w:hAnsi="Calibri" w:cs="Calibri"/>
          <w:color w:val="1A1A1A"/>
        </w:rPr>
        <w:t>REV017). La mise en œuvre des constatations et des observations dépend uniquement de la volonté et de la coopération des États parties (sans sanction en cas d’irrespect). Dans ce cadre, le dialogue est privilégié à la procédure contentieuse.</w:t>
      </w:r>
    </w:p>
    <w:p w14:paraId="2605A721" w14:textId="77777777" w:rsidR="001E3E87" w:rsidRDefault="005258B2">
      <w:pPr>
        <w:pStyle w:val="Titre3"/>
        <w:spacing w:before="190" w:after="80"/>
      </w:pPr>
      <w:r>
        <w:rPr>
          <w:rFonts w:ascii="Calibri" w:eastAsia="Calibri" w:hAnsi="Calibri" w:cs="Calibri"/>
          <w:b/>
          <w:bCs/>
          <w:i/>
          <w:iCs/>
          <w:color w:val="1A1A1A"/>
          <w:sz w:val="21"/>
          <w:szCs w:val="21"/>
        </w:rPr>
        <w:t>B. L’influence croissante des comités</w:t>
      </w:r>
    </w:p>
    <w:p w14:paraId="41E9594E" w14:textId="77777777" w:rsidR="001E3E87" w:rsidRDefault="005258B2">
      <w:pPr>
        <w:spacing w:after="90" w:line="264" w:lineRule="auto"/>
        <w:jc w:val="both"/>
      </w:pPr>
      <w:r>
        <w:rPr>
          <w:rFonts w:ascii="Calibri" w:eastAsia="Calibri" w:hAnsi="Calibri" w:cs="Calibri"/>
          <w:color w:val="1A1A1A"/>
        </w:rPr>
        <w:t>Il faut reconnaître une complémentarité avec d’autres mécanismes internationaux ou régionaux. Il existe une référence croissante du travail des comités par les juges régionaux et donc une certaine influence des raisonnements des comités pour les juridictions internationales (</w:t>
      </w:r>
      <w:r>
        <w:rPr>
          <w:rFonts w:ascii="Calibri" w:eastAsia="Calibri" w:hAnsi="Calibri" w:cs="Calibri"/>
          <w:color w:val="E91E63"/>
        </w:rPr>
        <w:t xml:space="preserve">CEDH, 7 juillet 2011, </w:t>
      </w:r>
      <w:proofErr w:type="spellStart"/>
      <w:r>
        <w:rPr>
          <w:rFonts w:ascii="Calibri" w:eastAsia="Calibri" w:hAnsi="Calibri" w:cs="Calibri"/>
          <w:color w:val="E91E63"/>
        </w:rPr>
        <w:t>Bayatyan</w:t>
      </w:r>
      <w:proofErr w:type="spellEnd"/>
      <w:r>
        <w:rPr>
          <w:rFonts w:ascii="Calibri" w:eastAsia="Calibri" w:hAnsi="Calibri" w:cs="Calibri"/>
          <w:color w:val="E91E63"/>
        </w:rPr>
        <w:t xml:space="preserve"> c. Arménie, no 23459/03</w:t>
      </w:r>
      <w:r>
        <w:rPr>
          <w:rFonts w:ascii="Calibri" w:eastAsia="Calibri" w:hAnsi="Calibri" w:cs="Calibri"/>
          <w:color w:val="1A1A1A"/>
        </w:rPr>
        <w:t>) ainsi que pour les juges nationaux (Cass. crim., 5 octobre 2021, 21-81.062). Certains auteurs ont par ailleurs fait un parallèle entre les comités et l’existence d’une Cour mondiale, considérant que ces comités pourraient évoluer dans cette direction ou pourraient travailler en collaboration avec une cour mondiale pour rendre plus efficients les droits humains protégés (Olivier de Frouville, « Pourquoi nous avons besoin d’une Cour des droits de l’Homme des Nations unies ? », in Les droits humains comparés, à la recherche de l’universalité des droits humains (</w:t>
      </w:r>
      <w:proofErr w:type="spellStart"/>
      <w:r>
        <w:rPr>
          <w:rFonts w:ascii="Calibri" w:eastAsia="Calibri" w:hAnsi="Calibri" w:cs="Calibri"/>
          <w:color w:val="1A1A1A"/>
        </w:rPr>
        <w:t>dir</w:t>
      </w:r>
      <w:proofErr w:type="spellEnd"/>
      <w:r>
        <w:rPr>
          <w:rFonts w:ascii="Calibri" w:eastAsia="Calibri" w:hAnsi="Calibri" w:cs="Calibri"/>
          <w:color w:val="1A1A1A"/>
        </w:rPr>
        <w:t xml:space="preserve">. N. </w:t>
      </w:r>
      <w:proofErr w:type="spellStart"/>
      <w:r>
        <w:rPr>
          <w:rFonts w:ascii="Calibri" w:eastAsia="Calibri" w:hAnsi="Calibri" w:cs="Calibri"/>
          <w:color w:val="1A1A1A"/>
        </w:rPr>
        <w:t>Aloupi</w:t>
      </w:r>
      <w:proofErr w:type="spellEnd"/>
      <w:r>
        <w:rPr>
          <w:rFonts w:ascii="Calibri" w:eastAsia="Calibri" w:hAnsi="Calibri" w:cs="Calibri"/>
          <w:color w:val="1A1A1A"/>
        </w:rPr>
        <w:t xml:space="preserve">, D.P. Fernández Arroyo, C. Kleiner, L.-A. </w:t>
      </w:r>
      <w:proofErr w:type="spellStart"/>
      <w:r>
        <w:rPr>
          <w:rFonts w:ascii="Calibri" w:eastAsia="Calibri" w:hAnsi="Calibri" w:cs="Calibri"/>
          <w:color w:val="1A1A1A"/>
        </w:rPr>
        <w:t>Sicilianos</w:t>
      </w:r>
      <w:proofErr w:type="spellEnd"/>
      <w:r>
        <w:rPr>
          <w:rFonts w:ascii="Calibri" w:eastAsia="Calibri" w:hAnsi="Calibri" w:cs="Calibri"/>
          <w:color w:val="1A1A1A"/>
        </w:rPr>
        <w:t xml:space="preserve"> et S. </w:t>
      </w:r>
      <w:proofErr w:type="spellStart"/>
      <w:r>
        <w:rPr>
          <w:rFonts w:ascii="Calibri" w:eastAsia="Calibri" w:hAnsi="Calibri" w:cs="Calibri"/>
          <w:color w:val="1A1A1A"/>
        </w:rPr>
        <w:t>Touzé</w:t>
      </w:r>
      <w:proofErr w:type="spellEnd"/>
      <w:r>
        <w:rPr>
          <w:rFonts w:ascii="Calibri" w:eastAsia="Calibri" w:hAnsi="Calibri" w:cs="Calibri"/>
          <w:color w:val="1A1A1A"/>
        </w:rPr>
        <w:t>), Paris, Pedone, 2019, pp. 129-161.)</w:t>
      </w:r>
    </w:p>
    <w:p w14:paraId="3013E7A5" w14:textId="77777777" w:rsidR="001E3E87" w:rsidRDefault="005258B2">
      <w:pPr>
        <w:spacing w:after="90" w:line="264" w:lineRule="auto"/>
        <w:jc w:val="both"/>
      </w:pPr>
      <w:r>
        <w:rPr>
          <w:rFonts w:ascii="Calibri" w:eastAsia="Calibri" w:hAnsi="Calibri" w:cs="Calibri"/>
          <w:color w:val="1A1A1A"/>
        </w:rPr>
        <w:t>En conclusion, les comités contribuent d’une manière certes souple, mais significative au développement du droit international des droits humains et leur fonction se rapproche de celle d’une juridiction internationale, mais en manque les attributs essentiels ce qui limite leurs effets.</w:t>
      </w:r>
    </w:p>
    <w:p w14:paraId="06AA6469" w14:textId="77777777" w:rsidR="001E3E87" w:rsidRDefault="005258B2">
      <w:r>
        <w:br w:type="page"/>
      </w:r>
    </w:p>
    <w:p w14:paraId="51DABDDA"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22 — DISSERTATION</w:t>
      </w:r>
    </w:p>
    <w:p w14:paraId="4FB22664" w14:textId="77777777" w:rsidR="001E3E87" w:rsidRDefault="005258B2">
      <w:pPr>
        <w:spacing w:after="160"/>
      </w:pPr>
      <w:r>
        <w:rPr>
          <w:rFonts w:ascii="Calibri" w:eastAsia="Calibri" w:hAnsi="Calibri" w:cs="Calibri"/>
          <w:i/>
          <w:iCs/>
          <w:color w:val="5A5A5A"/>
          <w:sz w:val="18"/>
          <w:szCs w:val="18"/>
        </w:rPr>
        <w:t xml:space="preserve">Fiche n° 22 — La cour </w:t>
      </w:r>
      <w:proofErr w:type="spellStart"/>
      <w:r>
        <w:rPr>
          <w:rFonts w:ascii="Calibri" w:eastAsia="Calibri" w:hAnsi="Calibri" w:cs="Calibri"/>
          <w:i/>
          <w:iCs/>
          <w:color w:val="5A5A5A"/>
          <w:sz w:val="18"/>
          <w:szCs w:val="18"/>
        </w:rPr>
        <w:t>europénne</w:t>
      </w:r>
      <w:proofErr w:type="spellEnd"/>
      <w:r>
        <w:rPr>
          <w:rFonts w:ascii="Calibri" w:eastAsia="Calibri" w:hAnsi="Calibri" w:cs="Calibri"/>
          <w:i/>
          <w:iCs/>
          <w:color w:val="5A5A5A"/>
          <w:sz w:val="18"/>
          <w:szCs w:val="18"/>
        </w:rPr>
        <w:t xml:space="preserve"> des droits de l’homme  |  PARTIE V. LES MÉCANISMES INTERNATIONAUX ET EUROPÉENS DE PROTECTION  |  Fascicule p. 225</w:t>
      </w:r>
    </w:p>
    <w:p w14:paraId="0077AE23"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0A602619"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L’exécution des arrêts de la Cour européenne des droits de l’homme</w:t>
      </w:r>
    </w:p>
    <w:p w14:paraId="25A23519"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5ADBBEE8" w14:textId="77777777" w:rsidR="001E3E87" w:rsidRDefault="005258B2">
      <w:pPr>
        <w:spacing w:after="90" w:line="264" w:lineRule="auto"/>
        <w:jc w:val="both"/>
      </w:pPr>
      <w:r>
        <w:rPr>
          <w:rFonts w:ascii="Calibri" w:eastAsia="Calibri" w:hAnsi="Calibri" w:cs="Calibri"/>
          <w:color w:val="1A1A1A"/>
        </w:rPr>
        <w:t>En tant qu’organe juridictionnel international chargé d’interpréter la Convention (</w:t>
      </w:r>
      <w:r>
        <w:rPr>
          <w:rFonts w:ascii="Calibri" w:eastAsia="Calibri" w:hAnsi="Calibri" w:cs="Calibri"/>
          <w:color w:val="1E88E5"/>
        </w:rPr>
        <w:t>art. 32</w:t>
      </w:r>
      <w:r>
        <w:rPr>
          <w:rFonts w:ascii="Calibri" w:eastAsia="Calibri" w:hAnsi="Calibri" w:cs="Calibri"/>
          <w:color w:val="1A1A1A"/>
        </w:rPr>
        <w:t xml:space="preserve"> de la Convention), la Cour peut rendre des arrêts. Ces derniers n’ont pas pour objet de condamner des particuliers, mais bien les États parties à la Convention pour une ou plusieurs violations des droits qu’elle garantit. L’arrêt devient définitif à l’expiration d’un délai de 3 mois suivant sa publication, ou en cas d’arrêt de la Grande chambre, dès sa publication. Ce mécanisme de protection des droits humains repose sur le principe de subsidiarité. Consacré depuis le 1er août 2021 au sein du préambule de la Convention, il s’applique également à la phase d’exécution des arrêts. Selon ce principe, il revient donc en premier lieu aux États de garantir l’effectivité des droits issus de ce texte en prenant des mesures de nature à supprimer la violation.</w:t>
      </w:r>
    </w:p>
    <w:p w14:paraId="3B37C307"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Si les arrêts de la Cour sont en principe dotés d’une force normative à l’égard des États (I), leur effectivité </w:t>
      </w:r>
      <w:proofErr w:type="gramStart"/>
      <w:r>
        <w:rPr>
          <w:rFonts w:ascii="Calibri" w:eastAsia="Calibri" w:hAnsi="Calibri" w:cs="Calibri"/>
          <w:color w:val="1A1A1A"/>
        </w:rPr>
        <w:t>au</w:t>
      </w:r>
      <w:proofErr w:type="gramEnd"/>
      <w:r>
        <w:rPr>
          <w:rFonts w:ascii="Calibri" w:eastAsia="Calibri" w:hAnsi="Calibri" w:cs="Calibri"/>
          <w:color w:val="1A1A1A"/>
        </w:rPr>
        <w:t xml:space="preserve"> plan national demeure toutefois largement dépendante du bon vouloir de ces derniers (II).</w:t>
      </w:r>
    </w:p>
    <w:p w14:paraId="6541C59F" w14:textId="77777777" w:rsidR="001E3E87" w:rsidRDefault="005258B2">
      <w:pPr>
        <w:pStyle w:val="Titre3"/>
        <w:spacing w:before="190" w:after="80"/>
      </w:pPr>
      <w:r>
        <w:rPr>
          <w:rFonts w:ascii="Calibri" w:eastAsia="Calibri" w:hAnsi="Calibri" w:cs="Calibri"/>
          <w:b/>
          <w:bCs/>
          <w:i/>
          <w:iCs/>
          <w:color w:val="1A1A1A"/>
          <w:sz w:val="21"/>
          <w:szCs w:val="21"/>
        </w:rPr>
        <w:t>I. Une force normative conséquente des arrêts à l’égard des États parties</w:t>
      </w:r>
    </w:p>
    <w:p w14:paraId="27475C0D" w14:textId="77777777" w:rsidR="001E3E87" w:rsidRDefault="005258B2">
      <w:pPr>
        <w:pStyle w:val="Titre3"/>
        <w:spacing w:before="190" w:after="80"/>
      </w:pPr>
      <w:r>
        <w:rPr>
          <w:rFonts w:ascii="Calibri" w:eastAsia="Calibri" w:hAnsi="Calibri" w:cs="Calibri"/>
          <w:b/>
          <w:bCs/>
          <w:i/>
          <w:iCs/>
          <w:color w:val="1A1A1A"/>
          <w:sz w:val="21"/>
          <w:szCs w:val="21"/>
        </w:rPr>
        <w:t>A. La force obligatoire des arrêts à l’encontre de l’État défendeur à l’instance</w:t>
      </w:r>
    </w:p>
    <w:p w14:paraId="77A318CA" w14:textId="77777777" w:rsidR="001E3E87" w:rsidRDefault="005258B2">
      <w:pPr>
        <w:spacing w:after="90" w:line="264" w:lineRule="auto"/>
        <w:jc w:val="both"/>
      </w:pPr>
      <w:r>
        <w:rPr>
          <w:rFonts w:ascii="Calibri" w:eastAsia="Calibri" w:hAnsi="Calibri" w:cs="Calibri"/>
          <w:color w:val="1A1A1A"/>
        </w:rPr>
        <w:t>Une fois l’arrêt devenu définitif (3 mois après sa publication), l’État condamné doit exécuter l’arrêt. S’ouvre alors un processus de surveillance sous le contrôle du Comité des ministres. Les arrêts de la Cour disposent d’une force obligatoire à l’égard des États défendeurs (</w:t>
      </w:r>
      <w:r>
        <w:rPr>
          <w:rFonts w:ascii="Calibri" w:eastAsia="Calibri" w:hAnsi="Calibri" w:cs="Calibri"/>
          <w:color w:val="1E88E5"/>
        </w:rPr>
        <w:t>art. 46</w:t>
      </w:r>
      <w:r>
        <w:rPr>
          <w:rFonts w:ascii="Calibri" w:eastAsia="Calibri" w:hAnsi="Calibri" w:cs="Calibri"/>
          <w:color w:val="1A1A1A"/>
        </w:rPr>
        <w:t>). Les États condamnés sont donc tenus de se conformer à l’arrêt de condamnation (</w:t>
      </w:r>
      <w:r>
        <w:rPr>
          <w:rFonts w:ascii="Calibri" w:eastAsia="Calibri" w:hAnsi="Calibri" w:cs="Calibri"/>
          <w:color w:val="E91E63"/>
        </w:rPr>
        <w:t xml:space="preserve">CEDH, GC., 30 juin 2009, </w:t>
      </w:r>
      <w:proofErr w:type="spellStart"/>
      <w:r>
        <w:rPr>
          <w:rFonts w:ascii="Calibri" w:eastAsia="Calibri" w:hAnsi="Calibri" w:cs="Calibri"/>
          <w:color w:val="E91E63"/>
        </w:rPr>
        <w:t>Verein</w:t>
      </w:r>
      <w:proofErr w:type="spellEnd"/>
      <w:r>
        <w:rPr>
          <w:rFonts w:ascii="Calibri" w:eastAsia="Calibri" w:hAnsi="Calibri" w:cs="Calibri"/>
          <w:color w:val="E91E63"/>
        </w:rPr>
        <w:t xml:space="preserve"> Gegen Tierfabriken Schweiz (</w:t>
      </w:r>
      <w:proofErr w:type="spellStart"/>
      <w:r>
        <w:rPr>
          <w:rFonts w:ascii="Calibri" w:eastAsia="Calibri" w:hAnsi="Calibri" w:cs="Calibri"/>
          <w:color w:val="E91E63"/>
        </w:rPr>
        <w:t>vgt</w:t>
      </w:r>
      <w:proofErr w:type="spellEnd"/>
      <w:r>
        <w:rPr>
          <w:rFonts w:ascii="Calibri" w:eastAsia="Calibri" w:hAnsi="Calibri" w:cs="Calibri"/>
          <w:color w:val="E91E63"/>
        </w:rPr>
        <w:t>) c. Suisse (no 2), no 32772</w:t>
      </w:r>
      <w:r>
        <w:rPr>
          <w:rFonts w:ascii="Calibri" w:eastAsia="Calibri" w:hAnsi="Calibri" w:cs="Calibri"/>
          <w:color w:val="1A1A1A"/>
        </w:rPr>
        <w:t>). Pour ce faire, la Cour liste parfois des mesures individuelles ou générales permettant de supprimer la violation. Toutefois, les États en vertu du principe de subsidiarité demeurent libres d’adopter des mesures adéquates différentes (</w:t>
      </w:r>
      <w:r>
        <w:rPr>
          <w:rFonts w:ascii="Calibri" w:eastAsia="Calibri" w:hAnsi="Calibri" w:cs="Calibri"/>
          <w:color w:val="E91E63"/>
        </w:rPr>
        <w:t>CEDH, AP., 29 avril 1988, Belilos c. Suisse, no 10328/83</w:t>
      </w:r>
      <w:r>
        <w:rPr>
          <w:rFonts w:ascii="Calibri" w:eastAsia="Calibri" w:hAnsi="Calibri" w:cs="Calibri"/>
          <w:color w:val="1A1A1A"/>
        </w:rPr>
        <w:t>). L’État dispose de trois mois pour s’acquitter de la satisfaction équitable et de 6 mois pour préparer et soumettre des plans d’actions comprenant les mesures envisagées ou adoptées pour se conformer à l’arrêt. Il doit ensuite communiquer au Comité des ministres un bilan des actions menées qui sera analysé. Si les mesures sont satisfaisantes, ce dernier adoptera alors une résolution finale clôturant ce processus.</w:t>
      </w:r>
    </w:p>
    <w:p w14:paraId="46FAF4D2" w14:textId="77777777" w:rsidR="001E3E87" w:rsidRDefault="005258B2">
      <w:pPr>
        <w:pStyle w:val="Titre3"/>
        <w:spacing w:before="190" w:after="80"/>
      </w:pPr>
      <w:r>
        <w:rPr>
          <w:rFonts w:ascii="Calibri" w:eastAsia="Calibri" w:hAnsi="Calibri" w:cs="Calibri"/>
          <w:b/>
          <w:bCs/>
          <w:i/>
          <w:iCs/>
          <w:color w:val="1A1A1A"/>
          <w:sz w:val="21"/>
          <w:szCs w:val="21"/>
        </w:rPr>
        <w:t>B. L’autorité interprétative des arrêts à l’encontre des États non-défendeurs</w:t>
      </w:r>
    </w:p>
    <w:p w14:paraId="248EE44C" w14:textId="77777777" w:rsidR="001E3E87" w:rsidRDefault="005258B2">
      <w:pPr>
        <w:spacing w:after="90" w:line="264" w:lineRule="auto"/>
        <w:jc w:val="both"/>
      </w:pPr>
      <w:r>
        <w:rPr>
          <w:rFonts w:ascii="Calibri" w:eastAsia="Calibri" w:hAnsi="Calibri" w:cs="Calibri"/>
          <w:color w:val="1A1A1A"/>
        </w:rPr>
        <w:t>Les arrêts de la Cour ne disposent pas par principe d’effet erga omnes. Ils ne disposent ainsi que d’une portée individuelle limitée aux seules parties à l’affaire. Cependant, la Cour a déjà eu l’occasion d’affirmer que l’État ne devait pas attendre d’être condamné pour modifier son droit interne (</w:t>
      </w:r>
      <w:r>
        <w:rPr>
          <w:rFonts w:ascii="Calibri" w:eastAsia="Calibri" w:hAnsi="Calibri" w:cs="Calibri"/>
          <w:color w:val="E91E63"/>
        </w:rPr>
        <w:t>CEDH, 6 mars 2007, Scordino c. Italie (no 3), no 43662/98</w:t>
      </w:r>
      <w:r>
        <w:rPr>
          <w:rFonts w:ascii="Calibri" w:eastAsia="Calibri" w:hAnsi="Calibri" w:cs="Calibri"/>
          <w:color w:val="1A1A1A"/>
        </w:rPr>
        <w:t>). La Convention est un élément constitutif de l’ordre public européen. Dès lors, les arrêts de la Cour qui font partie intégrante de ce texte obligent en théorie les autres États parties.</w:t>
      </w:r>
    </w:p>
    <w:p w14:paraId="18D90071" w14:textId="77777777" w:rsidR="001E3E87" w:rsidRDefault="005258B2">
      <w:pPr>
        <w:pStyle w:val="Titre3"/>
        <w:spacing w:before="190" w:after="80"/>
      </w:pPr>
      <w:r>
        <w:rPr>
          <w:rFonts w:ascii="Calibri" w:eastAsia="Calibri" w:hAnsi="Calibri" w:cs="Calibri"/>
          <w:b/>
          <w:bCs/>
          <w:i/>
          <w:iCs/>
          <w:color w:val="1A1A1A"/>
          <w:sz w:val="21"/>
          <w:szCs w:val="21"/>
        </w:rPr>
        <w:t>II. Une effectivité dépendante du bon vouloir des Hautes Parties contractantes</w:t>
      </w:r>
    </w:p>
    <w:p w14:paraId="57F2B7CE" w14:textId="77777777" w:rsidR="001E3E87" w:rsidRDefault="005258B2">
      <w:pPr>
        <w:pStyle w:val="Titre3"/>
        <w:spacing w:before="190" w:after="80"/>
      </w:pPr>
      <w:r>
        <w:rPr>
          <w:rFonts w:ascii="Calibri" w:eastAsia="Calibri" w:hAnsi="Calibri" w:cs="Calibri"/>
          <w:b/>
          <w:bCs/>
          <w:i/>
          <w:iCs/>
          <w:color w:val="1A1A1A"/>
          <w:sz w:val="21"/>
          <w:szCs w:val="21"/>
        </w:rPr>
        <w:t>A. L’absence de force exécutoire des arrêts en droit interne</w:t>
      </w:r>
    </w:p>
    <w:p w14:paraId="158241FD" w14:textId="77777777" w:rsidR="001E3E87" w:rsidRDefault="005258B2">
      <w:pPr>
        <w:spacing w:after="90" w:line="264" w:lineRule="auto"/>
        <w:jc w:val="both"/>
      </w:pPr>
      <w:r>
        <w:rPr>
          <w:rFonts w:ascii="Calibri" w:eastAsia="Calibri" w:hAnsi="Calibri" w:cs="Calibri"/>
          <w:color w:val="1A1A1A"/>
        </w:rPr>
        <w:t>Une fois devenu définitif, l’arrêt ne produira aucun effet en droit interne automatiquement. L’État doit donc se faire le relais de la Cour et adopter des mesures permettant d’exécuter l’arrêt. Cette absence de force exécutoire peut être de nature à enrayer la protection effective des droits de la Convention puisque l’État peut rencontrer des difficultés dans l’exécution de cette décision. Plus insidieusement, l’État pourra volontairement retarder l’exécution de l’arrêt pendant des mois ou années. Or, certains arrêts requièrent une exécution rapide afin d’effacer la violation constatée. Les mécanismes institutionnels permettant de contrôler l’exécution des arrêts présentent donc des limites. La création du recours en manquement (</w:t>
      </w:r>
      <w:r>
        <w:rPr>
          <w:rFonts w:ascii="Calibri" w:eastAsia="Calibri" w:hAnsi="Calibri" w:cs="Calibri"/>
          <w:color w:val="1E88E5"/>
        </w:rPr>
        <w:t>art. 46 § 4</w:t>
      </w:r>
      <w:r>
        <w:rPr>
          <w:rFonts w:ascii="Calibri" w:eastAsia="Calibri" w:hAnsi="Calibri" w:cs="Calibri"/>
          <w:color w:val="1A1A1A"/>
        </w:rPr>
        <w:t>) permet de manière exceptionnelle au Comité des ministres de saisir la Cour en cas de manquement grave de l’État dans l’exécution de l’arrêt. Ce recours sera toutefois confronté aux mêmes obstacles que ceux rencontrés par le premier arrêt. Il prévoit en effet la possibilité pour la Cour de se saisir en cas d’inexécution afin de rendre un arrêt en manquement qui devra lui aussi être exécuté par l’État.</w:t>
      </w:r>
    </w:p>
    <w:p w14:paraId="412A4CD2" w14:textId="77777777" w:rsidR="001E3E87" w:rsidRDefault="005258B2">
      <w:pPr>
        <w:pStyle w:val="Titre3"/>
        <w:spacing w:before="190" w:after="80"/>
      </w:pPr>
      <w:r>
        <w:rPr>
          <w:rFonts w:ascii="Calibri" w:eastAsia="Calibri" w:hAnsi="Calibri" w:cs="Calibri"/>
          <w:b/>
          <w:bCs/>
          <w:i/>
          <w:iCs/>
          <w:color w:val="1A1A1A"/>
          <w:sz w:val="21"/>
          <w:szCs w:val="21"/>
        </w:rPr>
        <w:t>B. Le risque de défiance des États à l’égard de la jurisprudence de la Cour</w:t>
      </w:r>
    </w:p>
    <w:p w14:paraId="0ED1D9D3" w14:textId="77777777" w:rsidR="001E3E87" w:rsidRDefault="005258B2">
      <w:pPr>
        <w:spacing w:after="90" w:line="264" w:lineRule="auto"/>
        <w:jc w:val="both"/>
      </w:pPr>
      <w:r>
        <w:rPr>
          <w:rFonts w:ascii="Calibri" w:eastAsia="Calibri" w:hAnsi="Calibri" w:cs="Calibri"/>
          <w:color w:val="1A1A1A"/>
        </w:rPr>
        <w:lastRenderedPageBreak/>
        <w:t>Le mécanisme institutionnel révèle enfin ses limites lorsqu’il doit faire face à des États refusant d’exécuter les arrêts de la Cour. Certains États ont ainsi temporairement pu faire preuve de défiance à l’égard de la Cour en refusant de se conformer à ses arrêts. Le Royaume-Uni a ainsi longtemps refusé d’exécuter les arrêts condamnant son interdiction du droit de vote des détenus (</w:t>
      </w:r>
      <w:r>
        <w:rPr>
          <w:rFonts w:ascii="Calibri" w:eastAsia="Calibri" w:hAnsi="Calibri" w:cs="Calibri"/>
          <w:color w:val="E91E63"/>
        </w:rPr>
        <w:t>CEDH, 6 octobre 2005, Hirst c. Royaume-Uni (no 2), no 74025/01</w:t>
      </w:r>
      <w:r>
        <w:rPr>
          <w:rFonts w:ascii="Calibri" w:eastAsia="Calibri" w:hAnsi="Calibri" w:cs="Calibri"/>
          <w:color w:val="1A1A1A"/>
        </w:rPr>
        <w:t>). Cette inexécution a ultérieurement fait l’objet d’un arrêt pilote constatant une violation de la Convention en raison de l’inexécution de l’arrêt Hirst (</w:t>
      </w:r>
      <w:r>
        <w:rPr>
          <w:rFonts w:ascii="Calibri" w:eastAsia="Calibri" w:hAnsi="Calibri" w:cs="Calibri"/>
          <w:color w:val="E91E63"/>
        </w:rPr>
        <w:t xml:space="preserve">CEDH, Greens et M.T. c. Royaume-Uni, 23 novembre 2010, nos 60041/08 </w:t>
      </w:r>
      <w:r>
        <w:rPr>
          <w:rFonts w:ascii="Calibri" w:eastAsia="Calibri" w:hAnsi="Calibri" w:cs="Calibri"/>
          <w:color w:val="1A1A1A"/>
        </w:rPr>
        <w:t xml:space="preserve">et 60054/08). D’autres arrêts ont par la suite constaté des violations en raison de cette inexécution (par exemple : </w:t>
      </w:r>
      <w:r>
        <w:rPr>
          <w:rFonts w:ascii="Calibri" w:eastAsia="Calibri" w:hAnsi="Calibri" w:cs="Calibri"/>
          <w:color w:val="E91E63"/>
        </w:rPr>
        <w:t xml:space="preserve">CEDH, 11 avril 2019, Miller et a. c. Royaume-Uni, nos 70571/14 </w:t>
      </w:r>
      <w:r>
        <w:rPr>
          <w:rFonts w:ascii="Calibri" w:eastAsia="Calibri" w:hAnsi="Calibri" w:cs="Calibri"/>
          <w:color w:val="1A1A1A"/>
        </w:rPr>
        <w:t>et a.). L’absence d’exécution n’est pas sans risques pour le système conventionnel. Outre le fait que la légitimité de la Cour s’en trouve atteinte, cette défiance risque in fine de se répercuter sur la Cour en faisant peser sur elle un afflux massif de requêtes répétitives (</w:t>
      </w:r>
      <w:r>
        <w:rPr>
          <w:rFonts w:ascii="Calibri" w:eastAsia="Calibri" w:hAnsi="Calibri" w:cs="Calibri"/>
          <w:color w:val="E91E63"/>
        </w:rPr>
        <w:t xml:space="preserve">CEDH, GC., </w:t>
      </w:r>
      <w:proofErr w:type="spellStart"/>
      <w:r>
        <w:rPr>
          <w:rFonts w:ascii="Calibri" w:eastAsia="Calibri" w:hAnsi="Calibri" w:cs="Calibri"/>
          <w:color w:val="E91E63"/>
        </w:rPr>
        <w:t>Burmych</w:t>
      </w:r>
      <w:proofErr w:type="spellEnd"/>
      <w:r>
        <w:rPr>
          <w:rFonts w:ascii="Calibri" w:eastAsia="Calibri" w:hAnsi="Calibri" w:cs="Calibri"/>
          <w:color w:val="E91E63"/>
        </w:rPr>
        <w:t xml:space="preserve"> et a. c. Ukraine, no 46852/13 </w:t>
      </w:r>
      <w:r>
        <w:rPr>
          <w:rFonts w:ascii="Calibri" w:eastAsia="Calibri" w:hAnsi="Calibri" w:cs="Calibri"/>
          <w:color w:val="1A1A1A"/>
        </w:rPr>
        <w:t>et a.). La Russie a, quant à elle, cessé d’échanger avec le Comité des ministres alors même qu’elle reste tenue d’exécuter les arrêts rendus à son encontre. Cette dernière a adopté de plus des dispositions législatives permettant d’entraver l’exécution des arrêts de la Cour. L’absence de pouvoir d’astreinte, contrairement à la Cour de justice de l’Union européenne en cas de procédures en manquement lorsqu’une institution de l’Union est en défense, contribue à l’essor de ces problématiques d’exécution des arrêts (sur la confirmation de l’astreinte prononcée à l’encontre de la Pologne : Trib. UE, 5 février 2025, aff. T-830/22 et T-156/23, Pologne c. Commission et aff. T-1033/23, Pologne c. Commission).</w:t>
      </w:r>
    </w:p>
    <w:p w14:paraId="239E3CB6" w14:textId="77777777" w:rsidR="001E3E87" w:rsidRDefault="005258B2">
      <w:pPr>
        <w:spacing w:after="90" w:line="264" w:lineRule="auto"/>
        <w:jc w:val="both"/>
      </w:pPr>
      <w:r>
        <w:rPr>
          <w:rFonts w:ascii="Calibri" w:eastAsia="Calibri" w:hAnsi="Calibri" w:cs="Calibri"/>
          <w:color w:val="1A1A1A"/>
        </w:rPr>
        <w:t>En conclusion, l’exécution des arrêts demeure ainsi tributaire des pressions politiques et diplomatiques résultant de la condamnation de l’État.</w:t>
      </w:r>
    </w:p>
    <w:p w14:paraId="088BC96B" w14:textId="77777777" w:rsidR="001E3E87" w:rsidRDefault="005258B2">
      <w:r>
        <w:br w:type="page"/>
      </w:r>
    </w:p>
    <w:p w14:paraId="75BAC34B"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23 — COMMENTAIRE DE TEXTE</w:t>
      </w:r>
    </w:p>
    <w:p w14:paraId="18E301A5" w14:textId="77777777" w:rsidR="001E3E87" w:rsidRDefault="005258B2">
      <w:pPr>
        <w:spacing w:after="160"/>
      </w:pPr>
      <w:r>
        <w:rPr>
          <w:rFonts w:ascii="Calibri" w:eastAsia="Calibri" w:hAnsi="Calibri" w:cs="Calibri"/>
          <w:i/>
          <w:iCs/>
          <w:color w:val="5A5A5A"/>
          <w:sz w:val="18"/>
          <w:szCs w:val="18"/>
        </w:rPr>
        <w:t>Fiche n° 23 — La cour de justice de l’union européenne  |  PARTIE V. LES MÉCANISMES INTERNATIONAUX ET EUROPÉENS DE PROTECTION  |  Fascicule p. 235</w:t>
      </w:r>
    </w:p>
    <w:p w14:paraId="57C2D1E9"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67FBAF9C"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 xml:space="preserve">« </w:t>
      </w:r>
      <w:r>
        <w:rPr>
          <w:rFonts w:ascii="Calibri" w:eastAsia="Calibri" w:hAnsi="Calibri" w:cs="Calibri"/>
          <w:color w:val="1E88E5"/>
        </w:rPr>
        <w:t>Article 19.1</w:t>
      </w:r>
      <w:r>
        <w:rPr>
          <w:rFonts w:ascii="Calibri" w:eastAsia="Calibri" w:hAnsi="Calibri" w:cs="Calibri"/>
          <w:color w:val="1A1A1A"/>
        </w:rPr>
        <w:t xml:space="preserve"> du </w:t>
      </w:r>
      <w:r>
        <w:rPr>
          <w:rFonts w:ascii="Calibri" w:eastAsia="Calibri" w:hAnsi="Calibri" w:cs="Calibri"/>
          <w:color w:val="1E88E5"/>
        </w:rPr>
        <w:t>Traité sur le fonctionnement de l’Union européenne</w:t>
      </w:r>
      <w:r>
        <w:rPr>
          <w:rFonts w:ascii="Calibri" w:eastAsia="Calibri" w:hAnsi="Calibri" w:cs="Calibri"/>
          <w:color w:val="1A1A1A"/>
        </w:rPr>
        <w:t xml:space="preserve"> : La Cour de justice de l’Union européenne comprend la Cour de justice, le Tribunal et des tribunaux spécialisés. Elle assure le respect du droit dans l’interprétation et l’application des traités. Les États membres établissent les voies de recours nécessaires pour assurer une protection juridictionnelle effective dans les domaines couverts par le droit de l’Union […]. » « </w:t>
      </w:r>
      <w:r>
        <w:rPr>
          <w:rFonts w:ascii="Calibri" w:eastAsia="Calibri" w:hAnsi="Calibri" w:cs="Calibri"/>
          <w:color w:val="1E88E5"/>
        </w:rPr>
        <w:t>Article 47</w:t>
      </w:r>
      <w:r>
        <w:rPr>
          <w:rFonts w:ascii="Calibri" w:eastAsia="Calibri" w:hAnsi="Calibri" w:cs="Calibri"/>
          <w:color w:val="1A1A1A"/>
        </w:rPr>
        <w:t xml:space="preserve"> de la </w:t>
      </w:r>
      <w:r>
        <w:rPr>
          <w:rFonts w:ascii="Calibri" w:eastAsia="Calibri" w:hAnsi="Calibri" w:cs="Calibri"/>
          <w:color w:val="1E88E5"/>
        </w:rPr>
        <w:t>Charte des droits fondamentaux de l’Union européenne</w:t>
      </w:r>
      <w:r>
        <w:rPr>
          <w:rFonts w:ascii="Calibri" w:eastAsia="Calibri" w:hAnsi="Calibri" w:cs="Calibri"/>
          <w:color w:val="1A1A1A"/>
        </w:rPr>
        <w:t xml:space="preserve"> - Droit à un recours effectif et à accéder à un tribunal impartial : Toute personne dont les droits et libertés garantis par le droit de l’Union ont été violés a droit à un recours effectif devant un tribunal dans le respect des conditions prévues au présent article. Toute personne a droit à ce que sa cause soit entendue équitablement, publiquement et dans un délai raisonnable par un tribunal indépendant et impartial, établi préalablement par la loi. Toute personne a la possibilité de se faire conseiller, défendre et représenter […]. »</w:t>
      </w:r>
    </w:p>
    <w:p w14:paraId="3D8CD6F4"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5F1F1BF7" w14:textId="77777777" w:rsidR="001E3E87" w:rsidRDefault="005258B2">
      <w:pPr>
        <w:spacing w:after="90" w:line="264" w:lineRule="auto"/>
        <w:jc w:val="both"/>
      </w:pPr>
      <w:r>
        <w:rPr>
          <w:rFonts w:ascii="Calibri" w:eastAsia="Calibri" w:hAnsi="Calibri" w:cs="Calibri"/>
          <w:color w:val="1A1A1A"/>
        </w:rPr>
        <w:t>Les extraits issus de l’</w:t>
      </w:r>
      <w:r>
        <w:rPr>
          <w:rFonts w:ascii="Calibri" w:eastAsia="Calibri" w:hAnsi="Calibri" w:cs="Calibri"/>
          <w:color w:val="1E88E5"/>
        </w:rPr>
        <w:t>article 19 § 1</w:t>
      </w:r>
      <w:r>
        <w:rPr>
          <w:rFonts w:ascii="Calibri" w:eastAsia="Calibri" w:hAnsi="Calibri" w:cs="Calibri"/>
          <w:color w:val="1A1A1A"/>
        </w:rPr>
        <w:t xml:space="preserve"> du </w:t>
      </w:r>
      <w:r>
        <w:rPr>
          <w:rFonts w:ascii="Calibri" w:eastAsia="Calibri" w:hAnsi="Calibri" w:cs="Calibri"/>
          <w:color w:val="1E88E5"/>
        </w:rPr>
        <w:t>Traité sur le fonctionnement de l’Union européenne</w:t>
      </w:r>
      <w:r>
        <w:rPr>
          <w:rFonts w:ascii="Calibri" w:eastAsia="Calibri" w:hAnsi="Calibri" w:cs="Calibri"/>
          <w:color w:val="1A1A1A"/>
        </w:rPr>
        <w:t xml:space="preserve"> et de l’</w:t>
      </w:r>
      <w:r>
        <w:rPr>
          <w:rFonts w:ascii="Calibri" w:eastAsia="Calibri" w:hAnsi="Calibri" w:cs="Calibri"/>
          <w:color w:val="1E88E5"/>
        </w:rPr>
        <w:t>article 47</w:t>
      </w:r>
      <w:r>
        <w:rPr>
          <w:rFonts w:ascii="Calibri" w:eastAsia="Calibri" w:hAnsi="Calibri" w:cs="Calibri"/>
          <w:color w:val="1A1A1A"/>
        </w:rPr>
        <w:t xml:space="preserve"> de la </w:t>
      </w:r>
      <w:r>
        <w:rPr>
          <w:rFonts w:ascii="Calibri" w:eastAsia="Calibri" w:hAnsi="Calibri" w:cs="Calibri"/>
          <w:color w:val="1E88E5"/>
        </w:rPr>
        <w:t>Charte des droits fondamentaux</w:t>
      </w:r>
      <w:r>
        <w:rPr>
          <w:rFonts w:ascii="Calibri" w:eastAsia="Calibri" w:hAnsi="Calibri" w:cs="Calibri"/>
          <w:color w:val="1A1A1A"/>
        </w:rPr>
        <w:t xml:space="preserve"> définissent les garanties juridictionnelles dans l’ordre juridique de l’Union. Le premier établit le rôle central de la Cour de justice dans l’interprétation et l’application du droit de l’Union et impose aux États membres d’assurer une protection juridictionnelle effective. Le second consacre, comme droit fondamental, l’accès à un tribunal impartial et à un recours effectif. Cette protection repose cependant sur un équilibre complexe entre l’exigence d’unité dans l’application et l’interprétation du droit de l’Union, d’une part, et l’autonomie procédurale des États membres, d’autre part.</w:t>
      </w:r>
    </w:p>
    <w:p w14:paraId="4780BDF4" w14:textId="77777777" w:rsidR="001E3E87" w:rsidRDefault="005258B2">
      <w:pPr>
        <w:spacing w:after="90" w:line="264" w:lineRule="auto"/>
        <w:jc w:val="both"/>
      </w:pPr>
      <w:r>
        <w:rPr>
          <w:rFonts w:ascii="Calibri" w:eastAsia="Calibri" w:hAnsi="Calibri" w:cs="Calibri"/>
          <w:b/>
          <w:bCs/>
          <w:color w:val="1A1A1A"/>
        </w:rPr>
        <w:t>Problématique.</w:t>
      </w:r>
      <w:r>
        <w:rPr>
          <w:rFonts w:ascii="Calibri" w:eastAsia="Calibri" w:hAnsi="Calibri" w:cs="Calibri"/>
          <w:color w:val="1A1A1A"/>
        </w:rPr>
        <w:t xml:space="preserve"> La subsidiarité juridictionnelle contribue-t-elle à renforcer la protection juridictionnelle des justiciables, ou ne sert-elle qu’à dissimuler les lacunes du système juridictionnel de l’Union européenne ?</w:t>
      </w:r>
    </w:p>
    <w:p w14:paraId="310410B5" w14:textId="77777777" w:rsidR="001E3E87" w:rsidRDefault="005258B2">
      <w:pPr>
        <w:spacing w:after="90" w:line="264" w:lineRule="auto"/>
        <w:jc w:val="both"/>
      </w:pPr>
      <w:r>
        <w:rPr>
          <w:rFonts w:ascii="Calibri" w:eastAsia="Calibri" w:hAnsi="Calibri" w:cs="Calibri"/>
          <w:color w:val="1A1A1A"/>
        </w:rPr>
        <w:t>Bien que la consécration implicite de la subsidiarité juridictionnelle à travers l’</w:t>
      </w:r>
      <w:r>
        <w:rPr>
          <w:rFonts w:ascii="Calibri" w:eastAsia="Calibri" w:hAnsi="Calibri" w:cs="Calibri"/>
          <w:color w:val="1E88E5"/>
        </w:rPr>
        <w:t>article 19</w:t>
      </w:r>
      <w:r>
        <w:rPr>
          <w:rFonts w:ascii="Calibri" w:eastAsia="Calibri" w:hAnsi="Calibri" w:cs="Calibri"/>
          <w:color w:val="1A1A1A"/>
        </w:rPr>
        <w:t xml:space="preserve"> du Traité sur le fonctionnement de l’Union entretienne des rapports ambigus avec l’effectivité du droit au recours garanti par l’</w:t>
      </w:r>
      <w:r>
        <w:rPr>
          <w:rFonts w:ascii="Calibri" w:eastAsia="Calibri" w:hAnsi="Calibri" w:cs="Calibri"/>
          <w:color w:val="1E88E5"/>
        </w:rPr>
        <w:t>article 47</w:t>
      </w:r>
      <w:r>
        <w:rPr>
          <w:rFonts w:ascii="Calibri" w:eastAsia="Calibri" w:hAnsi="Calibri" w:cs="Calibri"/>
          <w:color w:val="1A1A1A"/>
        </w:rPr>
        <w:t xml:space="preserve"> de la </w:t>
      </w:r>
      <w:r>
        <w:rPr>
          <w:rFonts w:ascii="Calibri" w:eastAsia="Calibri" w:hAnsi="Calibri" w:cs="Calibri"/>
          <w:color w:val="1E88E5"/>
        </w:rPr>
        <w:t>Charte des droits fondamentaux</w:t>
      </w:r>
      <w:r>
        <w:rPr>
          <w:rFonts w:ascii="Calibri" w:eastAsia="Calibri" w:hAnsi="Calibri" w:cs="Calibri"/>
          <w:color w:val="1A1A1A"/>
        </w:rPr>
        <w:t xml:space="preserve"> (I), la Cour n’hésite pas à s’adosser à ces textes afin d’imposer aux États l’obligation de garantir, dans leur ordre juridique interne, l’accès à un tribunal indépendant et impartial (II).</w:t>
      </w:r>
    </w:p>
    <w:p w14:paraId="0401CC25" w14:textId="77777777" w:rsidR="001E3E87" w:rsidRDefault="005258B2">
      <w:pPr>
        <w:pStyle w:val="Titre3"/>
        <w:spacing w:before="190" w:after="80"/>
      </w:pPr>
      <w:r>
        <w:rPr>
          <w:rFonts w:ascii="Calibri" w:eastAsia="Calibri" w:hAnsi="Calibri" w:cs="Calibri"/>
          <w:b/>
          <w:bCs/>
          <w:i/>
          <w:iCs/>
          <w:color w:val="1A1A1A"/>
          <w:sz w:val="21"/>
          <w:szCs w:val="21"/>
        </w:rPr>
        <w:t>I. La subsidiarité juridictionnelle : entre consécration implicite et mise en œuvre ambiguë</w:t>
      </w:r>
    </w:p>
    <w:p w14:paraId="5401597E" w14:textId="77777777" w:rsidR="001E3E87" w:rsidRDefault="005258B2">
      <w:pPr>
        <w:pStyle w:val="Titre3"/>
        <w:spacing w:before="190" w:after="80"/>
      </w:pPr>
      <w:r>
        <w:rPr>
          <w:rFonts w:ascii="Calibri" w:eastAsia="Calibri" w:hAnsi="Calibri" w:cs="Calibri"/>
          <w:b/>
          <w:bCs/>
          <w:i/>
          <w:iCs/>
          <w:color w:val="1A1A1A"/>
          <w:sz w:val="21"/>
          <w:szCs w:val="21"/>
        </w:rPr>
        <w:t>A. L’</w:t>
      </w:r>
      <w:r>
        <w:rPr>
          <w:rFonts w:ascii="Calibri" w:eastAsia="Calibri" w:hAnsi="Calibri" w:cs="Calibri"/>
          <w:b/>
          <w:bCs/>
          <w:i/>
          <w:iCs/>
          <w:color w:val="1E88E5"/>
          <w:sz w:val="21"/>
          <w:szCs w:val="21"/>
        </w:rPr>
        <w:t>article 19</w:t>
      </w:r>
      <w:r>
        <w:rPr>
          <w:rFonts w:ascii="Calibri" w:eastAsia="Calibri" w:hAnsi="Calibri" w:cs="Calibri"/>
          <w:b/>
          <w:bCs/>
          <w:i/>
          <w:iCs/>
          <w:color w:val="1A1A1A"/>
          <w:sz w:val="21"/>
          <w:szCs w:val="21"/>
        </w:rPr>
        <w:t xml:space="preserve"> du </w:t>
      </w:r>
      <w:r>
        <w:rPr>
          <w:rFonts w:ascii="Calibri" w:eastAsia="Calibri" w:hAnsi="Calibri" w:cs="Calibri"/>
          <w:b/>
          <w:bCs/>
          <w:i/>
          <w:iCs/>
          <w:color w:val="1E88E5"/>
          <w:sz w:val="21"/>
          <w:szCs w:val="21"/>
        </w:rPr>
        <w:t>Traité sur le fonctionnement de l’Union européenne</w:t>
      </w:r>
      <w:r>
        <w:rPr>
          <w:rFonts w:ascii="Calibri" w:eastAsia="Calibri" w:hAnsi="Calibri" w:cs="Calibri"/>
          <w:b/>
          <w:bCs/>
          <w:i/>
          <w:iCs/>
          <w:color w:val="1A1A1A"/>
          <w:sz w:val="21"/>
          <w:szCs w:val="21"/>
        </w:rPr>
        <w:t>, garant de l’autonomie procédurale</w:t>
      </w:r>
    </w:p>
    <w:p w14:paraId="52D31D80" w14:textId="77777777" w:rsidR="001E3E87" w:rsidRDefault="005258B2">
      <w:pPr>
        <w:spacing w:after="90" w:line="264" w:lineRule="auto"/>
        <w:jc w:val="both"/>
      </w:pPr>
      <w:r>
        <w:rPr>
          <w:rFonts w:ascii="Calibri" w:eastAsia="Calibri" w:hAnsi="Calibri" w:cs="Calibri"/>
          <w:color w:val="1A1A1A"/>
        </w:rPr>
        <w:t>des États membres</w:t>
      </w:r>
    </w:p>
    <w:p w14:paraId="081F9277" w14:textId="77777777" w:rsidR="001E3E87" w:rsidRDefault="005258B2">
      <w:pPr>
        <w:spacing w:after="90" w:line="264" w:lineRule="auto"/>
        <w:jc w:val="both"/>
      </w:pPr>
      <w:r>
        <w:rPr>
          <w:rFonts w:ascii="Calibri" w:eastAsia="Calibri" w:hAnsi="Calibri" w:cs="Calibri"/>
          <w:color w:val="1A1A1A"/>
        </w:rPr>
        <w:t>Si le principe de subsidiarité juridictionnelle n’a jamais été formellement consacré dans les traités, il semble néanmoins trouver une reconnaissance implicite à travers l’</w:t>
      </w:r>
      <w:r>
        <w:rPr>
          <w:rFonts w:ascii="Calibri" w:eastAsia="Calibri" w:hAnsi="Calibri" w:cs="Calibri"/>
          <w:color w:val="1E88E5"/>
        </w:rPr>
        <w:t>article 19</w:t>
      </w:r>
      <w:r>
        <w:rPr>
          <w:rFonts w:ascii="Calibri" w:eastAsia="Calibri" w:hAnsi="Calibri" w:cs="Calibri"/>
          <w:color w:val="1A1A1A"/>
        </w:rPr>
        <w:t xml:space="preserve"> </w:t>
      </w:r>
      <w:r>
        <w:rPr>
          <w:rFonts w:ascii="Calibri" w:eastAsia="Calibri" w:hAnsi="Calibri" w:cs="Calibri"/>
          <w:color w:val="1E88E5"/>
        </w:rPr>
        <w:t>TUE</w:t>
      </w:r>
      <w:r>
        <w:rPr>
          <w:rFonts w:ascii="Calibri" w:eastAsia="Calibri" w:hAnsi="Calibri" w:cs="Calibri"/>
          <w:color w:val="1A1A1A"/>
        </w:rPr>
        <w:t>, introduit par le traité de Lisbonne, qui impose aux États membres d’établir les voies de recours nécessaires pour assurer une protection juridictionnelle effective dans les domaines couverts par le droit de l’Union. Cela s’articule étroitement avec l’autonomie procédurale des États membres et le rôle central des juridictions nationales, placées en première ligne pour garantir l’effectivité du droit de l’Union. Mais cette logique de proximité, qui devrait renforcer la protection juridictionnelle des justiciables, apparaît ambivalente à la lumière de la jurisprudence de la Cour de justice.</w:t>
      </w:r>
    </w:p>
    <w:p w14:paraId="3E42A656" w14:textId="77777777" w:rsidR="001E3E87" w:rsidRDefault="005258B2">
      <w:pPr>
        <w:pStyle w:val="Titre3"/>
        <w:spacing w:before="190" w:after="80"/>
      </w:pPr>
      <w:r>
        <w:rPr>
          <w:rFonts w:ascii="Calibri" w:eastAsia="Calibri" w:hAnsi="Calibri" w:cs="Calibri"/>
          <w:b/>
          <w:bCs/>
          <w:i/>
          <w:iCs/>
          <w:color w:val="1A1A1A"/>
          <w:sz w:val="21"/>
          <w:szCs w:val="21"/>
        </w:rPr>
        <w:t>B. Une subsidiarité révélatrice des limites de l’accès direct au juge de l’Union</w:t>
      </w:r>
    </w:p>
    <w:p w14:paraId="1DF4198B" w14:textId="77777777" w:rsidR="001E3E87" w:rsidRDefault="005258B2">
      <w:pPr>
        <w:spacing w:after="90" w:line="264" w:lineRule="auto"/>
        <w:jc w:val="both"/>
      </w:pPr>
      <w:r>
        <w:rPr>
          <w:rFonts w:ascii="Calibri" w:eastAsia="Calibri" w:hAnsi="Calibri" w:cs="Calibri"/>
          <w:color w:val="1A1A1A"/>
        </w:rPr>
        <w:t xml:space="preserve">Dans l’arrêt Inuit, la Cour de justice rappelle que les États conservent la compétence pour organiser les recours internes, dans le respect des principes d’équivalence et d’effectivité (CJUE, 3 octobre 2013, Inuit </w:t>
      </w:r>
      <w:proofErr w:type="spellStart"/>
      <w:r>
        <w:rPr>
          <w:rFonts w:ascii="Calibri" w:eastAsia="Calibri" w:hAnsi="Calibri" w:cs="Calibri"/>
          <w:color w:val="1A1A1A"/>
        </w:rPr>
        <w:t>Tapiriit</w:t>
      </w:r>
      <w:proofErr w:type="spellEnd"/>
      <w:r>
        <w:rPr>
          <w:rFonts w:ascii="Calibri" w:eastAsia="Calibri" w:hAnsi="Calibri" w:cs="Calibri"/>
          <w:color w:val="1A1A1A"/>
        </w:rPr>
        <w:t xml:space="preserve"> </w:t>
      </w:r>
      <w:proofErr w:type="spellStart"/>
      <w:r>
        <w:rPr>
          <w:rFonts w:ascii="Calibri" w:eastAsia="Calibri" w:hAnsi="Calibri" w:cs="Calibri"/>
          <w:color w:val="1A1A1A"/>
        </w:rPr>
        <w:t>Kanatami</w:t>
      </w:r>
      <w:proofErr w:type="spellEnd"/>
      <w:r>
        <w:rPr>
          <w:rFonts w:ascii="Calibri" w:eastAsia="Calibri" w:hAnsi="Calibri" w:cs="Calibri"/>
          <w:color w:val="1A1A1A"/>
        </w:rPr>
        <w:t xml:space="preserve"> c. Parlement et Conseil). Ce raisonnement, consolidé par les références répétées à l’</w:t>
      </w:r>
      <w:r>
        <w:rPr>
          <w:rFonts w:ascii="Calibri" w:eastAsia="Calibri" w:hAnsi="Calibri" w:cs="Calibri"/>
          <w:color w:val="1E88E5"/>
        </w:rPr>
        <w:t>article 19</w:t>
      </w:r>
      <w:r>
        <w:rPr>
          <w:rFonts w:ascii="Calibri" w:eastAsia="Calibri" w:hAnsi="Calibri" w:cs="Calibri"/>
          <w:color w:val="1A1A1A"/>
        </w:rPr>
        <w:t xml:space="preserve"> </w:t>
      </w:r>
      <w:r>
        <w:rPr>
          <w:rFonts w:ascii="Calibri" w:eastAsia="Calibri" w:hAnsi="Calibri" w:cs="Calibri"/>
          <w:color w:val="1E88E5"/>
        </w:rPr>
        <w:t>TUE</w:t>
      </w:r>
      <w:r>
        <w:rPr>
          <w:rFonts w:ascii="Calibri" w:eastAsia="Calibri" w:hAnsi="Calibri" w:cs="Calibri"/>
          <w:color w:val="1A1A1A"/>
        </w:rPr>
        <w:t xml:space="preserve">, fait peser sur les juridictions nationales la responsabilité d’assurer une protection juridictionnelle effective, reléguant le juge de l’Union à un rôle subsidiaire. En refusant d’élargir l’accès direct des particuliers à ses prétoires, comme dans la jurisprudence </w:t>
      </w:r>
      <w:proofErr w:type="spellStart"/>
      <w:r>
        <w:rPr>
          <w:rFonts w:ascii="Calibri" w:eastAsia="Calibri" w:hAnsi="Calibri" w:cs="Calibri"/>
          <w:color w:val="1A1A1A"/>
        </w:rPr>
        <w:t>Plaumann</w:t>
      </w:r>
      <w:proofErr w:type="spellEnd"/>
      <w:r>
        <w:rPr>
          <w:rFonts w:ascii="Calibri" w:eastAsia="Calibri" w:hAnsi="Calibri" w:cs="Calibri"/>
          <w:color w:val="1A1A1A"/>
        </w:rPr>
        <w:t xml:space="preserve"> (CJCE, 15 juillet 1963, </w:t>
      </w:r>
      <w:proofErr w:type="spellStart"/>
      <w:r>
        <w:rPr>
          <w:rFonts w:ascii="Calibri" w:eastAsia="Calibri" w:hAnsi="Calibri" w:cs="Calibri"/>
          <w:color w:val="1A1A1A"/>
        </w:rPr>
        <w:t>Plaumann</w:t>
      </w:r>
      <w:proofErr w:type="spellEnd"/>
      <w:r>
        <w:rPr>
          <w:rFonts w:ascii="Calibri" w:eastAsia="Calibri" w:hAnsi="Calibri" w:cs="Calibri"/>
          <w:color w:val="1A1A1A"/>
        </w:rPr>
        <w:t>), la Cour se décharge de ses propres exigences découlant de l’</w:t>
      </w:r>
      <w:r>
        <w:rPr>
          <w:rFonts w:ascii="Calibri" w:eastAsia="Calibri" w:hAnsi="Calibri" w:cs="Calibri"/>
          <w:color w:val="1E88E5"/>
        </w:rPr>
        <w:t>article 47</w:t>
      </w:r>
      <w:r>
        <w:rPr>
          <w:rFonts w:ascii="Calibri" w:eastAsia="Calibri" w:hAnsi="Calibri" w:cs="Calibri"/>
          <w:color w:val="1A1A1A"/>
        </w:rPr>
        <w:t xml:space="preserve"> de la </w:t>
      </w:r>
      <w:r>
        <w:rPr>
          <w:rFonts w:ascii="Calibri" w:eastAsia="Calibri" w:hAnsi="Calibri" w:cs="Calibri"/>
          <w:color w:val="1E88E5"/>
        </w:rPr>
        <w:t>Charte des droits fondamentaux</w:t>
      </w:r>
      <w:r>
        <w:rPr>
          <w:rFonts w:ascii="Calibri" w:eastAsia="Calibri" w:hAnsi="Calibri" w:cs="Calibri"/>
          <w:color w:val="1A1A1A"/>
        </w:rPr>
        <w:t xml:space="preserve"> de l’Union. Cela reflète moins une volonté de proximité avec le justiciable qu’une stratégie de gestion des carences structurelles du système juridictionnel. Loin de garantir le droit au recours, la subsidiarité juridictionnelle masque un renoncement jurisprudentiel à assurer une protection juridictionnelle intégrale à l’échelle de l’Union.</w:t>
      </w:r>
    </w:p>
    <w:p w14:paraId="3884BD57" w14:textId="77777777" w:rsidR="001E3E87" w:rsidRDefault="005258B2">
      <w:pPr>
        <w:pStyle w:val="Titre3"/>
        <w:spacing w:before="190" w:after="80"/>
      </w:pPr>
      <w:r>
        <w:rPr>
          <w:rFonts w:ascii="Calibri" w:eastAsia="Calibri" w:hAnsi="Calibri" w:cs="Calibri"/>
          <w:b/>
          <w:bCs/>
          <w:i/>
          <w:iCs/>
          <w:color w:val="1A1A1A"/>
          <w:sz w:val="21"/>
          <w:szCs w:val="21"/>
        </w:rPr>
        <w:lastRenderedPageBreak/>
        <w:t>II. La combinaison de l’</w:t>
      </w:r>
      <w:r>
        <w:rPr>
          <w:rFonts w:ascii="Calibri" w:eastAsia="Calibri" w:hAnsi="Calibri" w:cs="Calibri"/>
          <w:b/>
          <w:bCs/>
          <w:i/>
          <w:iCs/>
          <w:color w:val="1E88E5"/>
          <w:sz w:val="21"/>
          <w:szCs w:val="21"/>
        </w:rPr>
        <w:t>article 47</w:t>
      </w:r>
      <w:r>
        <w:rPr>
          <w:rFonts w:ascii="Calibri" w:eastAsia="Calibri" w:hAnsi="Calibri" w:cs="Calibri"/>
          <w:b/>
          <w:bCs/>
          <w:i/>
          <w:iCs/>
          <w:color w:val="1A1A1A"/>
          <w:sz w:val="21"/>
          <w:szCs w:val="21"/>
        </w:rPr>
        <w:t xml:space="preserve"> de la Charte et de l’</w:t>
      </w:r>
      <w:r>
        <w:rPr>
          <w:rFonts w:ascii="Calibri" w:eastAsia="Calibri" w:hAnsi="Calibri" w:cs="Calibri"/>
          <w:b/>
          <w:bCs/>
          <w:i/>
          <w:iCs/>
          <w:color w:val="1E88E5"/>
          <w:sz w:val="21"/>
          <w:szCs w:val="21"/>
        </w:rPr>
        <w:t>article 19</w:t>
      </w:r>
      <w:r>
        <w:rPr>
          <w:rFonts w:ascii="Calibri" w:eastAsia="Calibri" w:hAnsi="Calibri" w:cs="Calibri"/>
          <w:b/>
          <w:bCs/>
          <w:i/>
          <w:iCs/>
          <w:color w:val="1A1A1A"/>
          <w:sz w:val="21"/>
          <w:szCs w:val="21"/>
        </w:rPr>
        <w:t xml:space="preserve"> du Traité afin d’approfondir les exigences</w:t>
      </w:r>
    </w:p>
    <w:p w14:paraId="57609642" w14:textId="77777777" w:rsidR="001E3E87" w:rsidRDefault="005258B2">
      <w:pPr>
        <w:spacing w:after="90" w:line="264" w:lineRule="auto"/>
        <w:jc w:val="both"/>
      </w:pPr>
      <w:r>
        <w:rPr>
          <w:rFonts w:ascii="Calibri" w:eastAsia="Calibri" w:hAnsi="Calibri" w:cs="Calibri"/>
          <w:color w:val="1A1A1A"/>
        </w:rPr>
        <w:t>envers les États membres</w:t>
      </w:r>
    </w:p>
    <w:p w14:paraId="2F715225" w14:textId="77777777" w:rsidR="001E3E87" w:rsidRDefault="005258B2">
      <w:pPr>
        <w:pStyle w:val="Titre3"/>
        <w:spacing w:before="190" w:after="80"/>
      </w:pPr>
      <w:r>
        <w:rPr>
          <w:rFonts w:ascii="Calibri" w:eastAsia="Calibri" w:hAnsi="Calibri" w:cs="Calibri"/>
          <w:b/>
          <w:bCs/>
          <w:i/>
          <w:iCs/>
          <w:color w:val="1A1A1A"/>
          <w:sz w:val="21"/>
          <w:szCs w:val="21"/>
        </w:rPr>
        <w:t>A. L’équivalence entre l’</w:t>
      </w:r>
      <w:r>
        <w:rPr>
          <w:rFonts w:ascii="Calibri" w:eastAsia="Calibri" w:hAnsi="Calibri" w:cs="Calibri"/>
          <w:b/>
          <w:bCs/>
          <w:i/>
          <w:iCs/>
          <w:color w:val="1E88E5"/>
          <w:sz w:val="21"/>
          <w:szCs w:val="21"/>
        </w:rPr>
        <w:t>article 47</w:t>
      </w:r>
      <w:r>
        <w:rPr>
          <w:rFonts w:ascii="Calibri" w:eastAsia="Calibri" w:hAnsi="Calibri" w:cs="Calibri"/>
          <w:b/>
          <w:bCs/>
          <w:i/>
          <w:iCs/>
          <w:color w:val="1A1A1A"/>
          <w:sz w:val="21"/>
          <w:szCs w:val="21"/>
        </w:rPr>
        <w:t xml:space="preserve"> de la Charte et l’</w:t>
      </w:r>
      <w:r>
        <w:rPr>
          <w:rFonts w:ascii="Calibri" w:eastAsia="Calibri" w:hAnsi="Calibri" w:cs="Calibri"/>
          <w:b/>
          <w:bCs/>
          <w:i/>
          <w:iCs/>
          <w:color w:val="1E88E5"/>
          <w:sz w:val="21"/>
          <w:szCs w:val="21"/>
        </w:rPr>
        <w:t>article 6</w:t>
      </w:r>
      <w:r>
        <w:rPr>
          <w:rFonts w:ascii="Calibri" w:eastAsia="Calibri" w:hAnsi="Calibri" w:cs="Calibri"/>
          <w:b/>
          <w:bCs/>
          <w:i/>
          <w:iCs/>
          <w:color w:val="1A1A1A"/>
          <w:sz w:val="21"/>
          <w:szCs w:val="21"/>
        </w:rPr>
        <w:t xml:space="preserve"> de la Convention européenne des droits de</w:t>
      </w:r>
    </w:p>
    <w:p w14:paraId="29692C0F" w14:textId="77777777" w:rsidR="001E3E87" w:rsidRDefault="005258B2">
      <w:pPr>
        <w:spacing w:after="90" w:line="264" w:lineRule="auto"/>
        <w:jc w:val="both"/>
      </w:pPr>
      <w:r>
        <w:rPr>
          <w:rFonts w:ascii="Calibri" w:eastAsia="Calibri" w:hAnsi="Calibri" w:cs="Calibri"/>
          <w:color w:val="1A1A1A"/>
        </w:rPr>
        <w:t>l’homme Le droit des personnes à voir leur cause entendue dans un délai raisonnable constitue un principe général du droit de l’Union qui a été consacré à l’</w:t>
      </w:r>
      <w:r>
        <w:rPr>
          <w:rFonts w:ascii="Calibri" w:eastAsia="Calibri" w:hAnsi="Calibri" w:cs="Calibri"/>
          <w:color w:val="1E88E5"/>
        </w:rPr>
        <w:t>article 6.1</w:t>
      </w:r>
      <w:r>
        <w:rPr>
          <w:rFonts w:ascii="Calibri" w:eastAsia="Calibri" w:hAnsi="Calibri" w:cs="Calibri"/>
          <w:color w:val="1A1A1A"/>
        </w:rPr>
        <w:t xml:space="preserve"> de la CEDH et à l’</w:t>
      </w:r>
      <w:r>
        <w:rPr>
          <w:rFonts w:ascii="Calibri" w:eastAsia="Calibri" w:hAnsi="Calibri" w:cs="Calibri"/>
          <w:color w:val="1E88E5"/>
        </w:rPr>
        <w:t>article 47</w:t>
      </w:r>
      <w:r>
        <w:rPr>
          <w:rFonts w:ascii="Calibri" w:eastAsia="Calibri" w:hAnsi="Calibri" w:cs="Calibri"/>
          <w:color w:val="1A1A1A"/>
        </w:rPr>
        <w:t xml:space="preserve"> CDF pour ce qui concerne la procédure juridictionnelle. L’</w:t>
      </w:r>
      <w:r>
        <w:rPr>
          <w:rFonts w:ascii="Calibri" w:eastAsia="Calibri" w:hAnsi="Calibri" w:cs="Calibri"/>
          <w:color w:val="1E88E5"/>
        </w:rPr>
        <w:t>article 47</w:t>
      </w:r>
      <w:r>
        <w:rPr>
          <w:rFonts w:ascii="Calibri" w:eastAsia="Calibri" w:hAnsi="Calibri" w:cs="Calibri"/>
          <w:color w:val="1A1A1A"/>
        </w:rPr>
        <w:t xml:space="preserve"> de la Charte consacrant le droit à un recours effectif et l’accès à un tribunal impartial prévoit que toute personne dont les droits et libertés garantis par le droit de l’Union ont été violés a droit à un recours effectif devant un tribunal. Aux termes de cette disposition, toute personne a droit à ce que sa cause soit entendue dans un délai raisonnable et doit avoir la possibilité de se faire conseiller, défendre et représenter. La Cour veille à ce que l’interprétation qu’elle effectue de l’</w:t>
      </w:r>
      <w:r>
        <w:rPr>
          <w:rFonts w:ascii="Calibri" w:eastAsia="Calibri" w:hAnsi="Calibri" w:cs="Calibri"/>
          <w:color w:val="1E88E5"/>
        </w:rPr>
        <w:t>article 47</w:t>
      </w:r>
      <w:r>
        <w:rPr>
          <w:rFonts w:ascii="Calibri" w:eastAsia="Calibri" w:hAnsi="Calibri" w:cs="Calibri"/>
          <w:color w:val="1A1A1A"/>
        </w:rPr>
        <w:t xml:space="preserve"> assure un niveau de protection qui ne méconnaît pas celui garanti à l’</w:t>
      </w:r>
      <w:r>
        <w:rPr>
          <w:rFonts w:ascii="Calibri" w:eastAsia="Calibri" w:hAnsi="Calibri" w:cs="Calibri"/>
          <w:color w:val="1E88E5"/>
        </w:rPr>
        <w:t>article 6</w:t>
      </w:r>
      <w:r>
        <w:rPr>
          <w:rFonts w:ascii="Calibri" w:eastAsia="Calibri" w:hAnsi="Calibri" w:cs="Calibri"/>
          <w:color w:val="1A1A1A"/>
        </w:rPr>
        <w:t xml:space="preserve"> de la </w:t>
      </w:r>
      <w:r>
        <w:rPr>
          <w:rFonts w:ascii="Calibri" w:eastAsia="Calibri" w:hAnsi="Calibri" w:cs="Calibri"/>
          <w:color w:val="E91E63"/>
        </w:rPr>
        <w:t xml:space="preserve">CEDH, tel </w:t>
      </w:r>
      <w:proofErr w:type="spellStart"/>
      <w:r>
        <w:rPr>
          <w:rFonts w:ascii="Calibri" w:eastAsia="Calibri" w:hAnsi="Calibri" w:cs="Calibri"/>
          <w:color w:val="E91E63"/>
        </w:rPr>
        <w:t>qu</w:t>
      </w:r>
      <w:proofErr w:type="spellEnd"/>
      <w:r>
        <w:rPr>
          <w:rFonts w:ascii="Calibri" w:eastAsia="Calibri" w:hAnsi="Calibri" w:cs="Calibri"/>
          <w:color w:val="E91E63"/>
        </w:rPr>
        <w:t xml:space="preserve"> ’interprété par la Cour européenne des droits de l’homme (CJUE, 29 juillet 2019, Gambino et Hyka, C‑38/18</w:t>
      </w:r>
      <w:r>
        <w:rPr>
          <w:rFonts w:ascii="Calibri" w:eastAsia="Calibri" w:hAnsi="Calibri" w:cs="Calibri"/>
          <w:color w:val="1A1A1A"/>
        </w:rPr>
        <w:t>).</w:t>
      </w:r>
    </w:p>
    <w:p w14:paraId="42CC1464" w14:textId="77777777" w:rsidR="001E3E87" w:rsidRDefault="005258B2">
      <w:pPr>
        <w:pStyle w:val="Titre3"/>
        <w:spacing w:before="190" w:after="80"/>
      </w:pPr>
      <w:r>
        <w:rPr>
          <w:rFonts w:ascii="Calibri" w:eastAsia="Calibri" w:hAnsi="Calibri" w:cs="Calibri"/>
          <w:b/>
          <w:bCs/>
          <w:i/>
          <w:iCs/>
          <w:color w:val="1A1A1A"/>
          <w:sz w:val="21"/>
          <w:szCs w:val="21"/>
        </w:rPr>
        <w:t>B. L’</w:t>
      </w:r>
      <w:r>
        <w:rPr>
          <w:rFonts w:ascii="Calibri" w:eastAsia="Calibri" w:hAnsi="Calibri" w:cs="Calibri"/>
          <w:b/>
          <w:bCs/>
          <w:i/>
          <w:iCs/>
          <w:color w:val="1E88E5"/>
          <w:sz w:val="21"/>
          <w:szCs w:val="21"/>
        </w:rPr>
        <w:t>article 19</w:t>
      </w:r>
      <w:r>
        <w:rPr>
          <w:rFonts w:ascii="Calibri" w:eastAsia="Calibri" w:hAnsi="Calibri" w:cs="Calibri"/>
          <w:b/>
          <w:bCs/>
          <w:i/>
          <w:iCs/>
          <w:color w:val="1A1A1A"/>
          <w:sz w:val="21"/>
          <w:szCs w:val="21"/>
        </w:rPr>
        <w:t xml:space="preserve"> du Traité, fondement d’un contrôle de la Cour de justice des réformes juridictionnelles</w:t>
      </w:r>
    </w:p>
    <w:p w14:paraId="2A370B1C" w14:textId="77777777" w:rsidR="001E3E87" w:rsidRDefault="005258B2">
      <w:pPr>
        <w:spacing w:after="90" w:line="264" w:lineRule="auto"/>
        <w:jc w:val="both"/>
      </w:pPr>
      <w:r>
        <w:rPr>
          <w:rFonts w:ascii="Calibri" w:eastAsia="Calibri" w:hAnsi="Calibri" w:cs="Calibri"/>
          <w:color w:val="1A1A1A"/>
        </w:rPr>
        <w:t>nationales L’exigence d’indépendance découlant de l’</w:t>
      </w:r>
      <w:r>
        <w:rPr>
          <w:rFonts w:ascii="Calibri" w:eastAsia="Calibri" w:hAnsi="Calibri" w:cs="Calibri"/>
          <w:color w:val="1E88E5"/>
        </w:rPr>
        <w:t>article 19.1</w:t>
      </w:r>
      <w:r>
        <w:rPr>
          <w:rFonts w:ascii="Calibri" w:eastAsia="Calibri" w:hAnsi="Calibri" w:cs="Calibri"/>
          <w:color w:val="1A1A1A"/>
        </w:rPr>
        <w:t xml:space="preserve"> du </w:t>
      </w:r>
      <w:r>
        <w:rPr>
          <w:rFonts w:ascii="Calibri" w:eastAsia="Calibri" w:hAnsi="Calibri" w:cs="Calibri"/>
          <w:color w:val="1E88E5"/>
        </w:rPr>
        <w:t>Traité sur le fonctionnement de l’Union européenne</w:t>
      </w:r>
      <w:r>
        <w:rPr>
          <w:rFonts w:ascii="Calibri" w:eastAsia="Calibri" w:hAnsi="Calibri" w:cs="Calibri"/>
          <w:color w:val="1A1A1A"/>
        </w:rPr>
        <w:t xml:space="preserve"> à laquelle doivent satisfaire les juridictions nationales susceptibles d’interpréter et appliquer le droit de l’Union, impose que les règles gouvernant le régime disciplinaire prévoient l’intervention d’instances satisfaisant elles-mêmes aux garanties inhérentes à une protection juridictionnelle effective conformément à une procédure conforme à l’</w:t>
      </w:r>
      <w:r>
        <w:rPr>
          <w:rFonts w:ascii="Calibri" w:eastAsia="Calibri" w:hAnsi="Calibri" w:cs="Calibri"/>
          <w:color w:val="1E88E5"/>
        </w:rPr>
        <w:t>article 47</w:t>
      </w:r>
      <w:r>
        <w:rPr>
          <w:rFonts w:ascii="Calibri" w:eastAsia="Calibri" w:hAnsi="Calibri" w:cs="Calibri"/>
          <w:color w:val="1A1A1A"/>
        </w:rPr>
        <w:t xml:space="preserve"> de la Charte (</w:t>
      </w:r>
      <w:r>
        <w:rPr>
          <w:rFonts w:ascii="Calibri" w:eastAsia="Calibri" w:hAnsi="Calibri" w:cs="Calibri"/>
          <w:color w:val="E91E63"/>
        </w:rPr>
        <w:t>CJUE, Commission c Pologne, affaire C‑791/19</w:t>
      </w:r>
      <w:r>
        <w:rPr>
          <w:rFonts w:ascii="Calibri" w:eastAsia="Calibri" w:hAnsi="Calibri" w:cs="Calibri"/>
          <w:color w:val="1A1A1A"/>
        </w:rPr>
        <w:t>).</w:t>
      </w:r>
    </w:p>
    <w:p w14:paraId="1CB1EF4A" w14:textId="77777777" w:rsidR="001E3E87" w:rsidRDefault="005258B2">
      <w:r>
        <w:br w:type="page"/>
      </w:r>
    </w:p>
    <w:p w14:paraId="7135B39C"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24 — DISSERTATION</w:t>
      </w:r>
    </w:p>
    <w:p w14:paraId="34385DAF" w14:textId="77777777" w:rsidR="001E3E87" w:rsidRDefault="005258B2">
      <w:pPr>
        <w:spacing w:after="160"/>
      </w:pPr>
      <w:r>
        <w:rPr>
          <w:rFonts w:ascii="Calibri" w:eastAsia="Calibri" w:hAnsi="Calibri" w:cs="Calibri"/>
          <w:i/>
          <w:iCs/>
          <w:color w:val="5A5A5A"/>
          <w:sz w:val="18"/>
          <w:szCs w:val="18"/>
        </w:rPr>
        <w:t>Fiche n° 24 — Les autres juridictions régionales  |  PARTIE V. LES MÉCANISMES INTERNATIONAUX ET EUROPÉENS DE PROTECTION  |  Fascicule p. 243</w:t>
      </w:r>
    </w:p>
    <w:p w14:paraId="716EDFB5"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45891A7D"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Les juridictions régionales et l’universalisation des droits humains</w:t>
      </w:r>
    </w:p>
    <w:p w14:paraId="37CA114A"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5E062297" w14:textId="77777777" w:rsidR="001E3E87" w:rsidRDefault="005258B2">
      <w:pPr>
        <w:spacing w:after="90" w:line="264" w:lineRule="auto"/>
        <w:jc w:val="both"/>
      </w:pPr>
      <w:r>
        <w:rPr>
          <w:rFonts w:ascii="Calibri" w:eastAsia="Calibri" w:hAnsi="Calibri" w:cs="Calibri"/>
          <w:color w:val="1A1A1A"/>
        </w:rPr>
        <w:t xml:space="preserve">Le terme « universel » renvoie à ce qui est commun à tous les êtres humains, qui s’étend à l’échelle mondiale. La </w:t>
      </w:r>
      <w:r>
        <w:rPr>
          <w:rFonts w:ascii="Calibri" w:eastAsia="Calibri" w:hAnsi="Calibri" w:cs="Calibri"/>
          <w:color w:val="1E88E5"/>
        </w:rPr>
        <w:t>Déclaration universelle des droits de l’homme</w:t>
      </w:r>
      <w:r>
        <w:rPr>
          <w:rFonts w:ascii="Calibri" w:eastAsia="Calibri" w:hAnsi="Calibri" w:cs="Calibri"/>
          <w:color w:val="1A1A1A"/>
        </w:rPr>
        <w:t xml:space="preserve"> a été votée par cinquante pays en 1948 ; certains ne l’ont pas votée, comme l’Afrique du Sud (en raison de l’Apartheid) et l’Arabie saoudite (à cause du rejet de l’égalité entre les hommes et les femmes). La Déclaration évoque deux aspects de l’universalisme des droits humains :</w:t>
      </w:r>
    </w:p>
    <w:p w14:paraId="2C69EB79"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Les droits humains sont universels, car chaque être humain en est bénéficiaire au nom de sa dignité.</w:t>
      </w:r>
    </w:p>
    <w:p w14:paraId="767B5B05"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Les droits humains sont universels, car ils doivent être respectés par l’ensemble de la société internationale. La conférence de Vienne sur les droits de l’homme de 1993 a été l’occasion de réaffirmer cet universalisme qui apparaît comme un principe directeur des droits humains au même titre que l’interdépendance, l’indivisibilité et l’inaliénabilité de ces droits. En dépit de cette réaffirmation, une fragmentation régionale de la protection des droits humains peut être observée. Lors de cette conférence, il a également été dit : « S’il convient de ne pas perdre de vue l’importance des particularismes nationaux et régionaux et la diversité historique, culturelle et religieuse, il est du devoir des États, quel qu’en soit le système politique, économique et culturel, de promouvoir et de protéger tous les droits de l’homme et toutes les libertés fondamentales. »</w:t>
      </w:r>
    </w:p>
    <w:p w14:paraId="755FB564"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L’universalité des droits humains a pu être concrétisée au moyen de mécanismes de protection régionaux des droits humains (I). Cette concrétisation de l’universalité des droits humains demeure toutefois confrontée à des difficultés structurelles (II).</w:t>
      </w:r>
    </w:p>
    <w:p w14:paraId="73BEB0CA" w14:textId="77777777" w:rsidR="001E3E87" w:rsidRDefault="005258B2">
      <w:pPr>
        <w:pStyle w:val="Titre3"/>
        <w:spacing w:before="190" w:after="80"/>
      </w:pPr>
      <w:r>
        <w:rPr>
          <w:rFonts w:ascii="Calibri" w:eastAsia="Calibri" w:hAnsi="Calibri" w:cs="Calibri"/>
          <w:b/>
          <w:bCs/>
          <w:i/>
          <w:iCs/>
          <w:color w:val="1A1A1A"/>
          <w:sz w:val="21"/>
          <w:szCs w:val="21"/>
        </w:rPr>
        <w:t>I. Une universalisation concrétisée par des instruments et mécanismes régionaux</w:t>
      </w:r>
    </w:p>
    <w:p w14:paraId="75913223" w14:textId="77777777" w:rsidR="001E3E87" w:rsidRDefault="005258B2">
      <w:pPr>
        <w:pStyle w:val="Titre3"/>
        <w:spacing w:before="190" w:after="80"/>
      </w:pPr>
      <w:r>
        <w:rPr>
          <w:rFonts w:ascii="Calibri" w:eastAsia="Calibri" w:hAnsi="Calibri" w:cs="Calibri"/>
          <w:b/>
          <w:bCs/>
          <w:i/>
          <w:iCs/>
          <w:color w:val="1A1A1A"/>
          <w:sz w:val="21"/>
          <w:szCs w:val="21"/>
        </w:rPr>
        <w:t>A. L’absence de juridiction internationale de protection des droits humains</w:t>
      </w:r>
    </w:p>
    <w:p w14:paraId="5E3D5330" w14:textId="77777777" w:rsidR="001E3E87" w:rsidRDefault="005258B2">
      <w:pPr>
        <w:spacing w:after="90" w:line="264" w:lineRule="auto"/>
        <w:jc w:val="both"/>
      </w:pPr>
      <w:r>
        <w:rPr>
          <w:rFonts w:ascii="Calibri" w:eastAsia="Calibri" w:hAnsi="Calibri" w:cs="Calibri"/>
          <w:color w:val="1A1A1A"/>
        </w:rPr>
        <w:t xml:space="preserve">La </w:t>
      </w:r>
      <w:r>
        <w:rPr>
          <w:rFonts w:ascii="Calibri" w:eastAsia="Calibri" w:hAnsi="Calibri" w:cs="Calibri"/>
          <w:color w:val="1E88E5"/>
        </w:rPr>
        <w:t>Déclaration universelle des droits de l’homme</w:t>
      </w:r>
      <w:r>
        <w:rPr>
          <w:rFonts w:ascii="Calibri" w:eastAsia="Calibri" w:hAnsi="Calibri" w:cs="Calibri"/>
          <w:color w:val="1A1A1A"/>
        </w:rPr>
        <w:t xml:space="preserve"> est une résolution sans force contraignante (même si certains États lui ont reconnu une portée normative) ; le </w:t>
      </w:r>
      <w:r>
        <w:rPr>
          <w:rFonts w:ascii="Calibri" w:eastAsia="Calibri" w:hAnsi="Calibri" w:cs="Calibri"/>
          <w:color w:val="1E88E5"/>
        </w:rPr>
        <w:t>Pacte international relatif aux droits civils et politiques</w:t>
      </w:r>
      <w:r>
        <w:rPr>
          <w:rFonts w:ascii="Calibri" w:eastAsia="Calibri" w:hAnsi="Calibri" w:cs="Calibri"/>
          <w:color w:val="1A1A1A"/>
        </w:rPr>
        <w:t xml:space="preserve"> de 1966 et le </w:t>
      </w:r>
      <w:r>
        <w:rPr>
          <w:rFonts w:ascii="Calibri" w:eastAsia="Calibri" w:hAnsi="Calibri" w:cs="Calibri"/>
          <w:color w:val="1E88E5"/>
        </w:rPr>
        <w:t>Pacte international relatif aux droits économiques, sociaux et culturels</w:t>
      </w:r>
      <w:r>
        <w:rPr>
          <w:rFonts w:ascii="Calibri" w:eastAsia="Calibri" w:hAnsi="Calibri" w:cs="Calibri"/>
          <w:color w:val="1A1A1A"/>
        </w:rPr>
        <w:t xml:space="preserve"> de 1966 l’ont concrétisée. Plusieurs conventions onusiennes portent sur des thèmes spécifiques (Exemples : Convention sur l’élimination de toutes formes de discrimination à l’égard des femmes, Convention contre la torture et autres peines ou traitements cruels, inhumains ou dégradants, Convention relative aux droits de l’enfant, Convention relative aux droits des personnes handicapées…). L’ensemble de ces textes n’a pas donné lieu à une juridiction internationale de protection des droits humains, seulement à la création de comités onusiens dont les décisions n’ont pas de valeur contraignante (Exemples : Comité des droits de l’homme, Comité pour l’élimination de la discrimination à l’égard des femmes, Comité contre la torture, Comité des droits de l’enfant, Comité des travailleurs migrants, Comité des droits des personnes handicapées…). La Cour internationale de justice, organe judiciaire principal des Nations unies, n’a pas vocation à régler des litiges relatifs aux violations des droits humains : saisine que par des États dans le cadre de sa compétence contentieuse ; dans le cadre de sa compétence consultative, elle peut être saisie par des organes ou institutions onusiens.</w:t>
      </w:r>
    </w:p>
    <w:p w14:paraId="71AD369F" w14:textId="77777777" w:rsidR="001E3E87" w:rsidRDefault="005258B2">
      <w:pPr>
        <w:pStyle w:val="Titre3"/>
        <w:spacing w:before="190" w:after="80"/>
      </w:pPr>
      <w:r>
        <w:rPr>
          <w:rFonts w:ascii="Calibri" w:eastAsia="Calibri" w:hAnsi="Calibri" w:cs="Calibri"/>
          <w:b/>
          <w:bCs/>
          <w:i/>
          <w:iCs/>
          <w:color w:val="1A1A1A"/>
          <w:sz w:val="21"/>
          <w:szCs w:val="21"/>
        </w:rPr>
        <w:t>B. Une concrétisation réalisée à l’échelle régionale</w:t>
      </w:r>
    </w:p>
    <w:p w14:paraId="1D1557F7" w14:textId="77777777" w:rsidR="001E3E87" w:rsidRDefault="005258B2">
      <w:pPr>
        <w:spacing w:after="90" w:line="264" w:lineRule="auto"/>
        <w:jc w:val="both"/>
      </w:pPr>
      <w:r>
        <w:rPr>
          <w:rFonts w:ascii="Calibri" w:eastAsia="Calibri" w:hAnsi="Calibri" w:cs="Calibri"/>
          <w:color w:val="1A1A1A"/>
        </w:rPr>
        <w:t>Plusieurs textes adoptés à des échelles régionales prévoient des juridictions compétentes à une échelle déterminée pour connaître des violations des droits humains et libertés fondamentales (Cour européenne des droits de l’homme, Cour interaméricaine des droits de l’homme, Cour africaine des droits de l’homme et des peuples, Cour arabe des droits de l’homme).</w:t>
      </w:r>
    </w:p>
    <w:p w14:paraId="56DC6F47" w14:textId="77777777" w:rsidR="001E3E87" w:rsidRDefault="005258B2">
      <w:pPr>
        <w:pStyle w:val="Titre3"/>
        <w:spacing w:before="190" w:after="80"/>
      </w:pPr>
      <w:r>
        <w:rPr>
          <w:rFonts w:ascii="Calibri" w:eastAsia="Calibri" w:hAnsi="Calibri" w:cs="Calibri"/>
          <w:b/>
          <w:bCs/>
          <w:i/>
          <w:iCs/>
          <w:color w:val="1A1A1A"/>
          <w:sz w:val="21"/>
          <w:szCs w:val="21"/>
        </w:rPr>
        <w:t>II. Une universalisation confrontée à des obstacles structurels</w:t>
      </w:r>
    </w:p>
    <w:p w14:paraId="61A5DABF" w14:textId="77777777" w:rsidR="001E3E87" w:rsidRDefault="005258B2">
      <w:pPr>
        <w:pStyle w:val="Titre3"/>
        <w:spacing w:before="190" w:after="80"/>
      </w:pPr>
      <w:r>
        <w:rPr>
          <w:rFonts w:ascii="Calibri" w:eastAsia="Calibri" w:hAnsi="Calibri" w:cs="Calibri"/>
          <w:b/>
          <w:bCs/>
          <w:i/>
          <w:iCs/>
          <w:color w:val="1A1A1A"/>
          <w:sz w:val="21"/>
          <w:szCs w:val="21"/>
        </w:rPr>
        <w:t>A. Une universalisation confrontée à l’efficacité variable des cours régionales</w:t>
      </w:r>
    </w:p>
    <w:p w14:paraId="32C5B711" w14:textId="77777777" w:rsidR="001E3E87" w:rsidRDefault="005258B2">
      <w:pPr>
        <w:spacing w:after="90" w:line="264" w:lineRule="auto"/>
        <w:jc w:val="both"/>
      </w:pPr>
      <w:r>
        <w:rPr>
          <w:rFonts w:ascii="Calibri" w:eastAsia="Calibri" w:hAnsi="Calibri" w:cs="Calibri"/>
          <w:color w:val="1A1A1A"/>
        </w:rPr>
        <w:t>Dans un communiqué de l’Union africaine relatif à la « Conférence sur la mise en œuvre et l’impact des décisions de la Cour africaine des droits de l’homme et des peuples » du 3 novembre 2021, il est relevé pour l’année 2020 :</w:t>
      </w:r>
    </w:p>
    <w:p w14:paraId="660CCD4F"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lastRenderedPageBreak/>
        <w:t>Exécution intégrale à 7 % ;</w:t>
      </w:r>
    </w:p>
    <w:p w14:paraId="142D2A24"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Exécution partielle à 18 % ;</w:t>
      </w:r>
    </w:p>
    <w:p w14:paraId="23B663C6"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Non-exécution totale 75 % ; exécution des mesures provisoires de 10%. Dans ce même document, il est indiqué parmi les défis « la difficulté pour les systèmes nationaux de cerner les décisions de la Cour africaine qui ne tiennent pas compte de principes tels que la subsidiarité, la contextualisation des valeurs universelles ». Il est difficile d’évoquer l’exécution de la mise en œuvre des décisions de la Cour arabe des droits de l’homme dans la mesure où celle-ci n’est pas en vigueur. Par ailleurs, il n’existe pas de juridiction régionale de protection des droits humains en Asie.</w:t>
      </w:r>
    </w:p>
    <w:p w14:paraId="271E5B5A" w14:textId="77777777" w:rsidR="001E3E87" w:rsidRDefault="005258B2">
      <w:pPr>
        <w:pStyle w:val="Titre3"/>
        <w:spacing w:before="190" w:after="80"/>
      </w:pPr>
      <w:r>
        <w:rPr>
          <w:rFonts w:ascii="Calibri" w:eastAsia="Calibri" w:hAnsi="Calibri" w:cs="Calibri"/>
          <w:b/>
          <w:bCs/>
          <w:i/>
          <w:iCs/>
          <w:color w:val="1A1A1A"/>
          <w:sz w:val="21"/>
          <w:szCs w:val="21"/>
        </w:rPr>
        <w:t>B. Une universalisation limitée par le relativisme culturel</w:t>
      </w:r>
    </w:p>
    <w:p w14:paraId="52A35CEB" w14:textId="77777777" w:rsidR="001E3E87" w:rsidRDefault="005258B2">
      <w:pPr>
        <w:spacing w:after="90" w:line="264" w:lineRule="auto"/>
        <w:jc w:val="both"/>
      </w:pPr>
      <w:r>
        <w:rPr>
          <w:rFonts w:ascii="Calibri" w:eastAsia="Calibri" w:hAnsi="Calibri" w:cs="Calibri"/>
          <w:color w:val="1A1A1A"/>
        </w:rPr>
        <w:t>La Cour européenne des droits de l’homme, soucieuse de l’universalisme des droits humains, laisse toutefois une large marge d’appréciation aux États parties à la Convention européenne sur des questions pour des raisons culturelles, notamment religieuses (interruption volontaire de grossesse, légalisation du mariage entre personnes de même sexe, fin de vie). La Charte arabe des droits de l’homme fait, dès son préambule plusieurs références à la religion ; l’</w:t>
      </w:r>
      <w:r>
        <w:rPr>
          <w:rFonts w:ascii="Calibri" w:eastAsia="Calibri" w:hAnsi="Calibri" w:cs="Calibri"/>
          <w:color w:val="1E88E5"/>
        </w:rPr>
        <w:t>article 3</w:t>
      </w:r>
      <w:r>
        <w:rPr>
          <w:rFonts w:ascii="Calibri" w:eastAsia="Calibri" w:hAnsi="Calibri" w:cs="Calibri"/>
          <w:color w:val="1A1A1A"/>
        </w:rPr>
        <w:t xml:space="preserve"> prévoit « la discrimination positive instituée au profit de la femme par la charia islamique et les autres lois divines et par les législations et les instruments internationaux ». L’</w:t>
      </w:r>
      <w:r>
        <w:rPr>
          <w:rFonts w:ascii="Calibri" w:eastAsia="Calibri" w:hAnsi="Calibri" w:cs="Calibri"/>
          <w:color w:val="1E88E5"/>
        </w:rPr>
        <w:t>article 6</w:t>
      </w:r>
      <w:r>
        <w:rPr>
          <w:rFonts w:ascii="Calibri" w:eastAsia="Calibri" w:hAnsi="Calibri" w:cs="Calibri"/>
          <w:color w:val="1A1A1A"/>
        </w:rPr>
        <w:t xml:space="preserve"> de la Charte prévoit la possibilité de prononcer la peine de mort dans certains cas, l’</w:t>
      </w:r>
      <w:r>
        <w:rPr>
          <w:rFonts w:ascii="Calibri" w:eastAsia="Calibri" w:hAnsi="Calibri" w:cs="Calibri"/>
          <w:color w:val="1E88E5"/>
        </w:rPr>
        <w:t>article 7</w:t>
      </w:r>
      <w:r>
        <w:rPr>
          <w:rFonts w:ascii="Calibri" w:eastAsia="Calibri" w:hAnsi="Calibri" w:cs="Calibri"/>
          <w:color w:val="1A1A1A"/>
        </w:rPr>
        <w:t xml:space="preserve"> prévoit qu’elle peut être prononcée à l’encontre de personnes de moins de dix-huit ans dans certains cas ; l’</w:t>
      </w:r>
      <w:r>
        <w:rPr>
          <w:rFonts w:ascii="Calibri" w:eastAsia="Calibri" w:hAnsi="Calibri" w:cs="Calibri"/>
          <w:color w:val="1E88E5"/>
        </w:rPr>
        <w:t>article 33</w:t>
      </w:r>
      <w:r>
        <w:rPr>
          <w:rFonts w:ascii="Calibri" w:eastAsia="Calibri" w:hAnsi="Calibri" w:cs="Calibri"/>
          <w:color w:val="1A1A1A"/>
        </w:rPr>
        <w:t xml:space="preserve"> prévoit que la famille est « fondée sur le mariage entre l’homme et la femme ». Le préambule du Statut de la Cour arabe des droits de l’homme fait également référence à Dieu. Enfin, la Charte africaine des droits de l’homme et des peuples prévoit des devoirs de l’être humain envers sa communauté (</w:t>
      </w:r>
      <w:r>
        <w:rPr>
          <w:rFonts w:ascii="Calibri" w:eastAsia="Calibri" w:hAnsi="Calibri" w:cs="Calibri"/>
          <w:color w:val="1E88E5"/>
        </w:rPr>
        <w:t>art. 27, 28, 29</w:t>
      </w:r>
      <w:r>
        <w:rPr>
          <w:rFonts w:ascii="Calibri" w:eastAsia="Calibri" w:hAnsi="Calibri" w:cs="Calibri"/>
          <w:color w:val="1A1A1A"/>
        </w:rPr>
        <w:t>) et fait référence à des traditions.</w:t>
      </w:r>
    </w:p>
    <w:p w14:paraId="60307950" w14:textId="77777777" w:rsidR="001E3E87" w:rsidRDefault="005258B2">
      <w:pPr>
        <w:spacing w:after="90" w:line="264" w:lineRule="auto"/>
        <w:jc w:val="both"/>
      </w:pPr>
      <w:r>
        <w:rPr>
          <w:rFonts w:ascii="Calibri" w:eastAsia="Calibri" w:hAnsi="Calibri" w:cs="Calibri"/>
          <w:color w:val="1A1A1A"/>
        </w:rPr>
        <w:t>En conclusion, malgré les efforts déployés, l’universalisation demeure fragmentée et confrontée à des obstacles structurels d’ordre institutionnel, culturel ou politique. Il persiste une tension entre l’unité des principes universels et la diversité des contextes régionaux.</w:t>
      </w:r>
    </w:p>
    <w:p w14:paraId="3EAAD904" w14:textId="77777777" w:rsidR="001E3E87" w:rsidRDefault="005258B2">
      <w:r>
        <w:br w:type="page"/>
      </w:r>
    </w:p>
    <w:p w14:paraId="3B5437F5"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25 — ARGUMENTATION JURIDIQUE</w:t>
      </w:r>
    </w:p>
    <w:p w14:paraId="28F3931D" w14:textId="77777777" w:rsidR="001E3E87" w:rsidRDefault="005258B2">
      <w:pPr>
        <w:spacing w:after="160"/>
      </w:pPr>
      <w:r>
        <w:rPr>
          <w:rFonts w:ascii="Calibri" w:eastAsia="Calibri" w:hAnsi="Calibri" w:cs="Calibri"/>
          <w:i/>
          <w:iCs/>
          <w:color w:val="5A5A5A"/>
          <w:sz w:val="18"/>
          <w:szCs w:val="18"/>
        </w:rPr>
        <w:t>Fiche n° 25 — La protection politique et administrative internationale  |  PARTIE V. LES MÉCANISMES INTERNATIONAUX ET EUROPÉENS DE PROTECTION  |  Fascicule p. 252</w:t>
      </w:r>
    </w:p>
    <w:p w14:paraId="235F8299"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2221F0DD"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Soutenez que la protection politique et administrative internationale contribue à la protection des droits humains.</w:t>
      </w:r>
    </w:p>
    <w:p w14:paraId="0B221A7E"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365EFCD6" w14:textId="77777777" w:rsidR="001E3E87" w:rsidRDefault="005258B2">
      <w:pPr>
        <w:spacing w:after="90" w:line="264" w:lineRule="auto"/>
        <w:jc w:val="both"/>
      </w:pPr>
      <w:r>
        <w:rPr>
          <w:rFonts w:ascii="Calibri" w:eastAsia="Calibri" w:hAnsi="Calibri" w:cs="Calibri"/>
          <w:color w:val="1A1A1A"/>
        </w:rPr>
        <w:t>La protection politique et administrative internationale se caractérise par l’existence de plusieurs organes, notamment à l’échelle des Nations unies, du Conseil de l’Europe et de l’Union européenne. Le XXIe siècle est marqué par la multiplication de ces derniers, dont la plupart sont plutôt méconnus. La variabilité de l’étendue de leur compétence et de leur activité interroge leur capacité à concourir à la protection des droits humains de manière effective. Dans le contexte international, y compris européen, de remise en cause des droits humains, l’intérêt d’une telle analyse de l’apport de ces organes à la garantie des droits humains est particulièrement éclairant.</w:t>
      </w:r>
    </w:p>
    <w:p w14:paraId="751665E5"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Il s’agira de soutenir que la contribution des organes de protection politique et administrative internationale à la protection des droits humains est tangible (I), même si cette contribution demeure confrontée à des obstacles (II).</w:t>
      </w:r>
    </w:p>
    <w:p w14:paraId="774FFF52" w14:textId="77777777" w:rsidR="001E3E87" w:rsidRDefault="005258B2">
      <w:pPr>
        <w:pStyle w:val="Titre3"/>
        <w:spacing w:before="190" w:after="80"/>
      </w:pPr>
      <w:r>
        <w:rPr>
          <w:rFonts w:ascii="Calibri" w:eastAsia="Calibri" w:hAnsi="Calibri" w:cs="Calibri"/>
          <w:b/>
          <w:bCs/>
          <w:i/>
          <w:iCs/>
          <w:color w:val="1A1A1A"/>
          <w:sz w:val="21"/>
          <w:szCs w:val="21"/>
        </w:rPr>
        <w:t>I. Une contribution à la protection des droits humains tangible</w:t>
      </w:r>
    </w:p>
    <w:p w14:paraId="5302D3AA" w14:textId="77777777" w:rsidR="001E3E87" w:rsidRDefault="005258B2">
      <w:pPr>
        <w:pStyle w:val="Titre3"/>
        <w:spacing w:before="190" w:after="80"/>
      </w:pPr>
      <w:r>
        <w:rPr>
          <w:rFonts w:ascii="Calibri" w:eastAsia="Calibri" w:hAnsi="Calibri" w:cs="Calibri"/>
          <w:b/>
          <w:bCs/>
          <w:i/>
          <w:iCs/>
          <w:color w:val="1A1A1A"/>
          <w:sz w:val="21"/>
          <w:szCs w:val="21"/>
        </w:rPr>
        <w:t>A. La volonté de renforcer la protection des droits humains en dehors des prétoires</w:t>
      </w:r>
    </w:p>
    <w:p w14:paraId="2E7F09BC" w14:textId="77777777" w:rsidR="001E3E87" w:rsidRDefault="005258B2">
      <w:pPr>
        <w:spacing w:after="90" w:line="264" w:lineRule="auto"/>
        <w:jc w:val="both"/>
      </w:pPr>
      <w:r>
        <w:rPr>
          <w:rFonts w:ascii="Calibri" w:eastAsia="Calibri" w:hAnsi="Calibri" w:cs="Calibri"/>
          <w:color w:val="1A1A1A"/>
        </w:rPr>
        <w:t>Il existe une diversité d’organes internationaux et européens non juridictionnels dont le but est la protection des droits humains à travers le monde selon des modes d’action variés. L’indépendance de ces organes au sein d’organisations internationales constitue un élément important pour l’impartialité de leur action et des documents publiés. Ils permettent de contribuer à la diffusion d’une culture des droits humains (bien que celle-ci fasse régulièrement l’objet de critiques et remises en cause) et permettent de diffuser publiquement des violations de ces droits. La publication de ces informations est importante pour les citoyens, avocats, organisations non gouvernementales, universitaires, juridictions, gouvernements et contribuent à des évolutions du respect des droits humains</w:t>
      </w:r>
    </w:p>
    <w:p w14:paraId="5AA53721" w14:textId="77777777" w:rsidR="001E3E87" w:rsidRDefault="005258B2">
      <w:pPr>
        <w:pStyle w:val="Titre3"/>
        <w:spacing w:before="190" w:after="80"/>
      </w:pPr>
      <w:r>
        <w:rPr>
          <w:rFonts w:ascii="Calibri" w:eastAsia="Calibri" w:hAnsi="Calibri" w:cs="Calibri"/>
          <w:b/>
          <w:bCs/>
          <w:i/>
          <w:iCs/>
          <w:color w:val="1A1A1A"/>
          <w:sz w:val="21"/>
          <w:szCs w:val="21"/>
        </w:rPr>
        <w:t>B. Les modalités efficaces de soutien des droits humains</w:t>
      </w:r>
    </w:p>
    <w:p w14:paraId="0F40D1EC" w14:textId="77777777" w:rsidR="001E3E87" w:rsidRDefault="005258B2">
      <w:pPr>
        <w:spacing w:after="90" w:line="264" w:lineRule="auto"/>
        <w:jc w:val="both"/>
      </w:pPr>
      <w:r>
        <w:rPr>
          <w:rFonts w:ascii="Calibri" w:eastAsia="Calibri" w:hAnsi="Calibri" w:cs="Calibri"/>
          <w:color w:val="1A1A1A"/>
        </w:rPr>
        <w:t>L’efficacité de cette contribution est variable d’un organe à un autre. Certaines modalités d’action concourent largement à la protection des droits humains : Les suggestions du médiateur européen sont généralement suivies.</w:t>
      </w:r>
    </w:p>
    <w:p w14:paraId="44C1F18C"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 Commissaire au droit de l’homme du Conseil de l’Europe peut, sur le fondement de l’</w:t>
      </w:r>
      <w:r>
        <w:rPr>
          <w:rFonts w:ascii="Calibri" w:eastAsia="Calibri" w:hAnsi="Calibri" w:cs="Calibri"/>
          <w:color w:val="1E88E5"/>
        </w:rPr>
        <w:t>article 36</w:t>
      </w:r>
      <w:r>
        <w:rPr>
          <w:rFonts w:ascii="Calibri" w:eastAsia="Calibri" w:hAnsi="Calibri" w:cs="Calibri"/>
          <w:color w:val="1A1A1A"/>
        </w:rPr>
        <w:t xml:space="preserve"> de la Convention européenne présenter des observations écrites et prendre part à l’audience devant la Cour européenne.</w:t>
      </w:r>
    </w:p>
    <w:p w14:paraId="5F5C6525"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 xml:space="preserve">La Commission de Venise peut déposer des mémoires </w:t>
      </w:r>
      <w:proofErr w:type="spellStart"/>
      <w:r>
        <w:rPr>
          <w:rFonts w:ascii="Calibri" w:eastAsia="Calibri" w:hAnsi="Calibri" w:cs="Calibri"/>
          <w:color w:val="1A1A1A"/>
        </w:rPr>
        <w:t>amicus</w:t>
      </w:r>
      <w:proofErr w:type="spellEnd"/>
      <w:r>
        <w:rPr>
          <w:rFonts w:ascii="Calibri" w:eastAsia="Calibri" w:hAnsi="Calibri" w:cs="Calibri"/>
          <w:color w:val="1A1A1A"/>
        </w:rPr>
        <w:t xml:space="preserve"> </w:t>
      </w:r>
      <w:proofErr w:type="spellStart"/>
      <w:r>
        <w:rPr>
          <w:rFonts w:ascii="Calibri" w:eastAsia="Calibri" w:hAnsi="Calibri" w:cs="Calibri"/>
          <w:color w:val="1A1A1A"/>
        </w:rPr>
        <w:t>curiae</w:t>
      </w:r>
      <w:proofErr w:type="spellEnd"/>
      <w:r>
        <w:rPr>
          <w:rFonts w:ascii="Calibri" w:eastAsia="Calibri" w:hAnsi="Calibri" w:cs="Calibri"/>
          <w:color w:val="1A1A1A"/>
        </w:rPr>
        <w:t>.</w:t>
      </w:r>
    </w:p>
    <w:p w14:paraId="76A11BBF"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 Contrôleur européen de la protection des données dispose de pouvoirs étendus.</w:t>
      </w:r>
    </w:p>
    <w:p w14:paraId="1DB27064" w14:textId="77777777" w:rsidR="001E3E87" w:rsidRDefault="005258B2">
      <w:pPr>
        <w:pStyle w:val="Titre3"/>
        <w:spacing w:before="190" w:after="80"/>
      </w:pPr>
      <w:r>
        <w:rPr>
          <w:rFonts w:ascii="Calibri" w:eastAsia="Calibri" w:hAnsi="Calibri" w:cs="Calibri"/>
          <w:b/>
          <w:bCs/>
          <w:i/>
          <w:iCs/>
          <w:color w:val="1A1A1A"/>
          <w:sz w:val="21"/>
          <w:szCs w:val="21"/>
        </w:rPr>
        <w:t>II. Une contribution à la protection des droits humains existante mais affaiblie</w:t>
      </w:r>
    </w:p>
    <w:p w14:paraId="618E657F" w14:textId="77777777" w:rsidR="001E3E87" w:rsidRDefault="005258B2">
      <w:pPr>
        <w:pStyle w:val="Titre3"/>
        <w:spacing w:before="190" w:after="80"/>
      </w:pPr>
      <w:r>
        <w:rPr>
          <w:rFonts w:ascii="Calibri" w:eastAsia="Calibri" w:hAnsi="Calibri" w:cs="Calibri"/>
          <w:b/>
          <w:bCs/>
          <w:i/>
          <w:iCs/>
          <w:color w:val="1A1A1A"/>
          <w:sz w:val="21"/>
          <w:szCs w:val="21"/>
        </w:rPr>
        <w:t>A. Une contribution affaiblie par la valeur juridique variable des actes émanant de ces institutions</w:t>
      </w:r>
    </w:p>
    <w:p w14:paraId="2ED8A9AE" w14:textId="77777777" w:rsidR="001E3E87" w:rsidRDefault="005258B2">
      <w:pPr>
        <w:spacing w:after="90" w:line="264" w:lineRule="auto"/>
        <w:jc w:val="both"/>
      </w:pPr>
      <w:r>
        <w:rPr>
          <w:rFonts w:ascii="Calibri" w:eastAsia="Calibri" w:hAnsi="Calibri" w:cs="Calibri"/>
          <w:color w:val="1A1A1A"/>
        </w:rPr>
        <w:t>Des actes émanant de ces organes ne disposent pas de pouvoirs contraignants à l’égard des États (exemples : actes du Conseil des droits de l’homme des Nations unies, actes du Haut-Commissariat aux droits de l’homme des Nations unies). Cette absence de pouvoir contraignant implique une absence de sanction. De plus, il convient de souligner que l’ensemble de ces organes demeure assez peu connu des citoyens qui amoindrit nécessairement la portée de leur action en matière de protection des droits humains.</w:t>
      </w:r>
    </w:p>
    <w:p w14:paraId="48F24B4E" w14:textId="77777777" w:rsidR="001E3E87" w:rsidRDefault="005258B2">
      <w:pPr>
        <w:pStyle w:val="Titre3"/>
        <w:spacing w:before="190" w:after="80"/>
      </w:pPr>
      <w:r>
        <w:rPr>
          <w:rFonts w:ascii="Calibri" w:eastAsia="Calibri" w:hAnsi="Calibri" w:cs="Calibri"/>
          <w:b/>
          <w:bCs/>
          <w:i/>
          <w:iCs/>
          <w:color w:val="1A1A1A"/>
          <w:sz w:val="21"/>
          <w:szCs w:val="21"/>
        </w:rPr>
        <w:t>B. L’affaiblissement consécutif aux critiques du droit international et européen des droits humains</w:t>
      </w:r>
    </w:p>
    <w:p w14:paraId="123FDA09" w14:textId="77777777" w:rsidR="001E3E87" w:rsidRDefault="005258B2">
      <w:pPr>
        <w:spacing w:after="90" w:line="264" w:lineRule="auto"/>
        <w:jc w:val="both"/>
      </w:pPr>
      <w:r>
        <w:rPr>
          <w:rFonts w:ascii="Calibri" w:eastAsia="Calibri" w:hAnsi="Calibri" w:cs="Calibri"/>
          <w:color w:val="1A1A1A"/>
        </w:rPr>
        <w:t xml:space="preserve">Le droit international et européen des droits de l’homme fait face à un foisonnement de critiques ataviques quant aux ingérences alléguées dans la souveraineté des États, même lorsqu’il s’agit d’avis/déclarations/rapports qui n’ont pas de valeur contraignante. Ces critiques tiennent également à une perception des droits humains qui seraient une idéologie occidentale et coloniale. Il arrive souvent que des États manifestent des réactions hostiles en cas de rapports/avis/déclaration de ces organes lorsqu’ils mettent en lumière des violations des droits de l’homme, ce qui implique qu’ils ne soient pas suivis d’effets. Trois États se sont retirés du Conseil des droits de l’homme des Nations unies </w:t>
      </w:r>
      <w:r>
        <w:rPr>
          <w:rFonts w:ascii="Calibri" w:eastAsia="Calibri" w:hAnsi="Calibri" w:cs="Calibri"/>
          <w:color w:val="1A1A1A"/>
        </w:rPr>
        <w:lastRenderedPageBreak/>
        <w:t>en 2025 (États-Unis, Israël, Nicaragua). La volonté politique des États est un facteur important dans la place de la garantie des droits humains de ces organes.</w:t>
      </w:r>
    </w:p>
    <w:p w14:paraId="369C57EC" w14:textId="77777777" w:rsidR="001E3E87" w:rsidRDefault="005258B2">
      <w:pPr>
        <w:spacing w:after="90" w:line="264" w:lineRule="auto"/>
        <w:jc w:val="both"/>
      </w:pPr>
      <w:r>
        <w:rPr>
          <w:rFonts w:ascii="Calibri" w:eastAsia="Calibri" w:hAnsi="Calibri" w:cs="Calibri"/>
          <w:color w:val="1A1A1A"/>
        </w:rPr>
        <w:t>En conclusion, si les organes de protection politique et administrative à l’échelle européenne et internationale ne concourent pas toujours à une garantie contraignante des droits humains, leur existence contribue tout de même à la protection des droits humains.</w:t>
      </w:r>
    </w:p>
    <w:p w14:paraId="26E5CB9B" w14:textId="77777777" w:rsidR="001E3E87" w:rsidRDefault="005258B2">
      <w:r>
        <w:br w:type="page"/>
      </w:r>
    </w:p>
    <w:p w14:paraId="58C0CF1A" w14:textId="77777777" w:rsidR="001E3E87" w:rsidRDefault="005258B2">
      <w:pPr>
        <w:shd w:val="clear" w:color="auto" w:fill="F2E9EA"/>
        <w:spacing w:before="200" w:after="200"/>
        <w:jc w:val="center"/>
      </w:pPr>
      <w:r>
        <w:rPr>
          <w:rFonts w:ascii="Calibri" w:eastAsia="Calibri" w:hAnsi="Calibri" w:cs="Calibri"/>
          <w:b/>
          <w:bCs/>
          <w:color w:val="8C1C2B"/>
          <w:spacing w:val="30"/>
          <w:sz w:val="26"/>
          <w:szCs w:val="26"/>
        </w:rPr>
        <w:lastRenderedPageBreak/>
        <w:t>PARTIE VI. LES DROITS CIVILS ET POLITIQUES</w:t>
      </w:r>
    </w:p>
    <w:p w14:paraId="77D5F175"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t>ENTRAÎNEMENT N° 26 — DISSERTATION</w:t>
      </w:r>
    </w:p>
    <w:p w14:paraId="659D0D9D" w14:textId="77777777" w:rsidR="001E3E87" w:rsidRDefault="005258B2">
      <w:pPr>
        <w:spacing w:after="160"/>
      </w:pPr>
      <w:r>
        <w:rPr>
          <w:rFonts w:ascii="Calibri" w:eastAsia="Calibri" w:hAnsi="Calibri" w:cs="Calibri"/>
          <w:i/>
          <w:iCs/>
          <w:color w:val="5A5A5A"/>
          <w:sz w:val="18"/>
          <w:szCs w:val="18"/>
        </w:rPr>
        <w:t>Fiche n° 26 — Le droit à la vie  |  PARTIE VI. LES DROITS CIVILS ET POLITIQUES  |  Fascicule p. 265</w:t>
      </w:r>
    </w:p>
    <w:p w14:paraId="55202078"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4C8A6CAA"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La fin de vie</w:t>
      </w:r>
    </w:p>
    <w:p w14:paraId="7577A420"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09E04ED2" w14:textId="77777777" w:rsidR="001E3E87" w:rsidRDefault="005258B2">
      <w:pPr>
        <w:spacing w:after="90" w:line="264" w:lineRule="auto"/>
        <w:jc w:val="both"/>
      </w:pPr>
      <w:r>
        <w:rPr>
          <w:rFonts w:ascii="Calibri" w:eastAsia="Calibri" w:hAnsi="Calibri" w:cs="Calibri"/>
          <w:color w:val="1A1A1A"/>
        </w:rPr>
        <w:t>Si des questions naissent concernant le point de départ de la protection du droit à la vie (</w:t>
      </w:r>
      <w:r>
        <w:rPr>
          <w:rFonts w:ascii="Calibri" w:eastAsia="Calibri" w:hAnsi="Calibri" w:cs="Calibri"/>
          <w:color w:val="E91E63"/>
        </w:rPr>
        <w:t>CEDH, 8 juillet 2004, Vo c. France [GC], no 53924/00</w:t>
      </w:r>
      <w:r>
        <w:rPr>
          <w:rFonts w:ascii="Calibri" w:eastAsia="Calibri" w:hAnsi="Calibri" w:cs="Calibri"/>
          <w:color w:val="1A1A1A"/>
        </w:rPr>
        <w:t>), les règles relatives à l’interdiction d’atteinte à la vie semblent à première vue poser moins de difficulté. Cependant, le régime de la fin de vie révèle des difficultés concernant le respect de ce droit, bénéficiant pourtant d’une large protection au niveau national et supranational. De manière générale, la fin de vie fait référence aux situations dans lesquelles une personne se trouve proche du décès, ainsi qu’à tous les mécanismes médicaux et d’accompagnement que cette situation implique. Si le droit à la vie constitue l’une des pierres angulaires des droits fondamentaux, la fin de vie, en ce qu’elle touche à des situations de dépendance aux soins, met en jeu des difficultés d’articulation entre respect strict des droits humains et éthique. En effet, les questions relatives à la fin de vie mettent en perspective l’ambivalence du droit à la vie entre droit fondamental conditionnant l’exercice de tous les autres, et respect du principe de dignité, valeur matricielle des droits humains. La fin de vie met donc en tensions de nombreux éléments de la protection de l’individu. Cette question, particulièrement d’actualité, questionne à la fois l’autonomie personnelle concernant les traitements prolongeant sa vie, les limites du droit à la vie et le pouvoir des tiers. Problématique et annonce du plan : Bien que le droit à la vie soit une valeur suprême des droits fondamentaux dont toute atteinte nécessite un encadrement strict (I), les dispositions relatives à la fin de vie permettent de ménager un équilibre délicat pour le respect de la dignité humaine (II).</w:t>
      </w:r>
    </w:p>
    <w:p w14:paraId="7D3C970B" w14:textId="77777777" w:rsidR="001E3E87" w:rsidRDefault="005258B2">
      <w:pPr>
        <w:pStyle w:val="Titre3"/>
        <w:spacing w:before="190" w:after="80"/>
      </w:pPr>
      <w:r>
        <w:rPr>
          <w:rFonts w:ascii="Calibri" w:eastAsia="Calibri" w:hAnsi="Calibri" w:cs="Calibri"/>
          <w:b/>
          <w:bCs/>
          <w:i/>
          <w:iCs/>
          <w:color w:val="1A1A1A"/>
          <w:sz w:val="21"/>
          <w:szCs w:val="21"/>
        </w:rPr>
        <w:t>I. Un encadrement strict pour la protection de la vie en toutes circonstances</w:t>
      </w:r>
    </w:p>
    <w:p w14:paraId="187B6926" w14:textId="77777777" w:rsidR="001E3E87" w:rsidRDefault="005258B2">
      <w:pPr>
        <w:pStyle w:val="Titre3"/>
        <w:spacing w:before="190" w:after="80"/>
      </w:pPr>
      <w:r>
        <w:rPr>
          <w:rFonts w:ascii="Calibri" w:eastAsia="Calibri" w:hAnsi="Calibri" w:cs="Calibri"/>
          <w:b/>
          <w:bCs/>
          <w:i/>
          <w:iCs/>
          <w:color w:val="1A1A1A"/>
          <w:sz w:val="21"/>
          <w:szCs w:val="21"/>
        </w:rPr>
        <w:t>A. La protection de la vie comme valeur essentielle</w:t>
      </w:r>
    </w:p>
    <w:p w14:paraId="517D9CB6" w14:textId="035E1810" w:rsidR="001E3E87" w:rsidRDefault="005258B2">
      <w:pPr>
        <w:spacing w:after="90" w:line="264" w:lineRule="auto"/>
        <w:jc w:val="both"/>
      </w:pPr>
      <w:r>
        <w:rPr>
          <w:rFonts w:ascii="Calibri" w:eastAsia="Calibri" w:hAnsi="Calibri" w:cs="Calibri"/>
          <w:color w:val="1A1A1A"/>
        </w:rPr>
        <w:t>De nombreux instruments qualifient la protection de la vie comme une valeur ou un droit suprême (</w:t>
      </w:r>
      <w:r>
        <w:rPr>
          <w:rFonts w:ascii="Calibri" w:eastAsia="Calibri" w:hAnsi="Calibri" w:cs="Calibri"/>
          <w:color w:val="E91E63"/>
        </w:rPr>
        <w:t xml:space="preserve">CEDH, 22 mars 2001, Streletz, Kessler et Krenz c. Allemagne, no 34044/96 </w:t>
      </w:r>
      <w:r>
        <w:rPr>
          <w:rFonts w:ascii="Calibri" w:eastAsia="Calibri" w:hAnsi="Calibri" w:cs="Calibri"/>
          <w:color w:val="1A1A1A"/>
        </w:rPr>
        <w:t xml:space="preserve">: le droit à la vie est une valeur suprême ; </w:t>
      </w:r>
      <w:r>
        <w:rPr>
          <w:rFonts w:ascii="Calibri" w:eastAsia="Calibri" w:hAnsi="Calibri" w:cs="Calibri"/>
          <w:color w:val="E91E63"/>
        </w:rPr>
        <w:t>CDH, 4 avril 1985, Baboeram c. Suriname, no 146/</w:t>
      </w:r>
      <w:r w:rsidRPr="001C798B">
        <w:rPr>
          <w:rFonts w:ascii="Calibri" w:eastAsia="Calibri" w:hAnsi="Calibri" w:cs="Calibri"/>
          <w:color w:val="FF1393"/>
        </w:rPr>
        <w:t>1983, A/40/40</w:t>
      </w:r>
      <w:r>
        <w:rPr>
          <w:rFonts w:ascii="Calibri" w:eastAsia="Calibri" w:hAnsi="Calibri" w:cs="Calibri"/>
          <w:color w:val="1A1A1A"/>
        </w:rPr>
        <w:t xml:space="preserve"> : le droit à la vie est un droit suprême</w:t>
      </w:r>
      <w:r w:rsidR="00400959">
        <w:rPr>
          <w:rFonts w:ascii="Calibri" w:eastAsia="Calibri" w:hAnsi="Calibri" w:cs="Calibri"/>
          <w:color w:val="1A1A1A"/>
        </w:rPr>
        <w:t xml:space="preserve"> ; </w:t>
      </w:r>
      <w:r>
        <w:rPr>
          <w:rFonts w:ascii="Calibri" w:eastAsia="Calibri" w:hAnsi="Calibri" w:cs="Calibri"/>
          <w:color w:val="E91E63"/>
        </w:rPr>
        <w:t xml:space="preserve">CE, ord.,13 août 2013, Commune de St Leu, no 370902 </w:t>
      </w:r>
      <w:r>
        <w:rPr>
          <w:rFonts w:ascii="Calibri" w:eastAsia="Calibri" w:hAnsi="Calibri" w:cs="Calibri"/>
          <w:color w:val="1A1A1A"/>
        </w:rPr>
        <w:t xml:space="preserve">: reconnaît le droit à la vie comme un droit fondamental). Cette reconnaissance unanime du caractère fondamental du droit à la vie implique la mise en place d’un cadre législatif protecteur. Cependant, ce droit n’implique pas de double négatif qui permettrait la reconnaissance d’un « droit à mourir », bien que la protection de la vie ne soit pas absolue : </w:t>
      </w:r>
      <w:r>
        <w:rPr>
          <w:rFonts w:ascii="Calibri" w:eastAsia="Calibri" w:hAnsi="Calibri" w:cs="Calibri"/>
          <w:color w:val="E91E63"/>
        </w:rPr>
        <w:t xml:space="preserve">CEDH, 29 avril 2002, Pretty c. Royaume-Uni, no 2346/02 </w:t>
      </w:r>
      <w:r>
        <w:rPr>
          <w:rFonts w:ascii="Calibri" w:eastAsia="Calibri" w:hAnsi="Calibri" w:cs="Calibri"/>
          <w:color w:val="1A1A1A"/>
        </w:rPr>
        <w:t xml:space="preserve">: à l’inverse, la Cour insiste sur l’importance de protéger la vie dans la mesure du possible. L’Observation générale no 36 du Comité des droits de l’homme mentionne la nécessité de protéger contre les pressions et abus qui pourraient être exercés sur les patients. Ni la Constitution française ni le Conseil constitutionnel n’ont reconnu de valeur suprême au droit à la vie, consacrant à la place la dignité humaine, relativisant son caractère suprême : </w:t>
      </w:r>
      <w:r>
        <w:rPr>
          <w:rFonts w:ascii="Calibri" w:eastAsia="Calibri" w:hAnsi="Calibri" w:cs="Calibri"/>
          <w:color w:val="E91E63"/>
        </w:rPr>
        <w:t>Cons. const., déc. no 94-343/344</w:t>
      </w:r>
      <w:r w:rsidRPr="00127A99">
        <w:rPr>
          <w:rFonts w:ascii="Calibri" w:eastAsia="Calibri" w:hAnsi="Calibri" w:cs="Calibri"/>
          <w:color w:val="E91D62"/>
        </w:rPr>
        <w:t xml:space="preserve"> DC, 27 juillet 1994, Loi relative au respect du corps humain et loi relative au don et à l’utilisation des éléments et produits du corps humain, à l’assistance médicale à la procréation et au diagnostic prénatal. </w:t>
      </w:r>
      <w:r>
        <w:rPr>
          <w:rFonts w:ascii="Calibri" w:eastAsia="Calibri" w:hAnsi="Calibri" w:cs="Calibri"/>
          <w:color w:val="1A1A1A"/>
        </w:rPr>
        <w:t>C’est au législateur qu’il revient de réaliser un équilibre délicat entre droit à la vie, à la dignité et protection de l’individu contre les souffrances.</w:t>
      </w:r>
    </w:p>
    <w:p w14:paraId="5AF1DE03" w14:textId="77777777" w:rsidR="001E3E87" w:rsidRDefault="005258B2">
      <w:pPr>
        <w:pStyle w:val="Titre3"/>
        <w:spacing w:before="190" w:after="80"/>
      </w:pPr>
      <w:r>
        <w:rPr>
          <w:rFonts w:ascii="Calibri" w:eastAsia="Calibri" w:hAnsi="Calibri" w:cs="Calibri"/>
          <w:b/>
          <w:bCs/>
          <w:i/>
          <w:iCs/>
          <w:color w:val="1A1A1A"/>
          <w:sz w:val="21"/>
          <w:szCs w:val="21"/>
        </w:rPr>
        <w:t>B. La nécessité d’un encadrement strict de la fin de vie</w:t>
      </w:r>
    </w:p>
    <w:p w14:paraId="0BDF0883" w14:textId="7F071EB1" w:rsidR="001E3E87" w:rsidRDefault="005258B2">
      <w:pPr>
        <w:spacing w:after="90" w:line="264" w:lineRule="auto"/>
        <w:jc w:val="both"/>
      </w:pPr>
      <w:r>
        <w:rPr>
          <w:rFonts w:ascii="Calibri" w:eastAsia="Calibri" w:hAnsi="Calibri" w:cs="Calibri"/>
          <w:color w:val="1A1A1A"/>
        </w:rPr>
        <w:t>Une des obligations positives découlant de l’</w:t>
      </w:r>
      <w:r>
        <w:rPr>
          <w:rFonts w:ascii="Calibri" w:eastAsia="Calibri" w:hAnsi="Calibri" w:cs="Calibri"/>
          <w:color w:val="1E88E5"/>
        </w:rPr>
        <w:t>article 2</w:t>
      </w:r>
      <w:r>
        <w:rPr>
          <w:rFonts w:ascii="Calibri" w:eastAsia="Calibri" w:hAnsi="Calibri" w:cs="Calibri"/>
          <w:color w:val="1A1A1A"/>
        </w:rPr>
        <w:t xml:space="preserve"> de la Convention européenne est l’établissement d’un cadre législatif adéquat. Il existe des dispositions spéciales interdisant pour le médecin de porter atteinte volontairement à la vie d’un patient : (</w:t>
      </w:r>
      <w:r>
        <w:rPr>
          <w:rFonts w:ascii="Calibri" w:eastAsia="Calibri" w:hAnsi="Calibri" w:cs="Calibri"/>
          <w:color w:val="1E88E5"/>
        </w:rPr>
        <w:t>art. R. 4127-38</w:t>
      </w:r>
      <w:r>
        <w:rPr>
          <w:rFonts w:ascii="Calibri" w:eastAsia="Calibri" w:hAnsi="Calibri" w:cs="Calibri"/>
          <w:color w:val="1A1A1A"/>
        </w:rPr>
        <w:t xml:space="preserve"> du </w:t>
      </w:r>
      <w:r>
        <w:rPr>
          <w:rFonts w:ascii="Calibri" w:eastAsia="Calibri" w:hAnsi="Calibri" w:cs="Calibri"/>
          <w:color w:val="1E88E5"/>
        </w:rPr>
        <w:t>Code de la santé publique</w:t>
      </w:r>
      <w:r>
        <w:rPr>
          <w:rFonts w:ascii="Calibri" w:eastAsia="Calibri" w:hAnsi="Calibri" w:cs="Calibri"/>
          <w:color w:val="1A1A1A"/>
        </w:rPr>
        <w:t>) et devant respecter la vie humaine et sa dignité (</w:t>
      </w:r>
      <w:r>
        <w:rPr>
          <w:rFonts w:ascii="Calibri" w:eastAsia="Calibri" w:hAnsi="Calibri" w:cs="Calibri"/>
          <w:color w:val="1E88E5"/>
        </w:rPr>
        <w:t>art. R. 4127-2</w:t>
      </w:r>
      <w:r>
        <w:rPr>
          <w:rFonts w:ascii="Calibri" w:eastAsia="Calibri" w:hAnsi="Calibri" w:cs="Calibri"/>
          <w:color w:val="1A1A1A"/>
        </w:rPr>
        <w:t xml:space="preserve">), ces deux éléments pouvant entrer en conflit. Plus précisément, plusieurs lois encadrent la fin de vie afin de ménager un équilibre entre ces différents éléments : La </w:t>
      </w:r>
      <w:r w:rsidRPr="00127A99">
        <w:rPr>
          <w:rFonts w:ascii="Calibri" w:eastAsia="Calibri" w:hAnsi="Calibri" w:cs="Calibri"/>
          <w:color w:val="1A1A1A"/>
          <w:highlight w:val="yellow"/>
        </w:rPr>
        <w:t>loi du 22 avril 2005, dite « Leonett</w:t>
      </w:r>
      <w:r w:rsidR="00127A99" w:rsidRPr="00127A99">
        <w:rPr>
          <w:rFonts w:ascii="Calibri" w:eastAsia="Calibri" w:hAnsi="Calibri" w:cs="Calibri"/>
          <w:color w:val="1A1A1A"/>
          <w:highlight w:val="yellow"/>
        </w:rPr>
        <w:t xml:space="preserve">i </w:t>
      </w:r>
      <w:r w:rsidRPr="00127A99">
        <w:rPr>
          <w:rFonts w:ascii="Calibri" w:eastAsia="Calibri" w:hAnsi="Calibri" w:cs="Calibri"/>
          <w:color w:val="1A1A1A"/>
          <w:highlight w:val="yellow"/>
        </w:rPr>
        <w:t>»</w:t>
      </w:r>
      <w:r>
        <w:rPr>
          <w:rFonts w:ascii="Calibri" w:eastAsia="Calibri" w:hAnsi="Calibri" w:cs="Calibri"/>
          <w:color w:val="1A1A1A"/>
        </w:rPr>
        <w:t>, vient introduire pour la première fois des dispositions relatives aux droits des malades et à la fin de vie et consacre l’</w:t>
      </w:r>
      <w:r w:rsidRPr="00127A99">
        <w:rPr>
          <w:rFonts w:ascii="Calibri" w:eastAsia="Calibri" w:hAnsi="Calibri" w:cs="Calibri"/>
          <w:color w:val="1A1A1A"/>
          <w:highlight w:val="yellow"/>
        </w:rPr>
        <w:t>interdiction de l’obstination déraisonnable</w:t>
      </w:r>
      <w:r>
        <w:rPr>
          <w:rFonts w:ascii="Calibri" w:eastAsia="Calibri" w:hAnsi="Calibri" w:cs="Calibri"/>
          <w:color w:val="1A1A1A"/>
        </w:rPr>
        <w:t xml:space="preserve">. La </w:t>
      </w:r>
      <w:r w:rsidRPr="00127A99">
        <w:rPr>
          <w:rFonts w:ascii="Calibri" w:eastAsia="Calibri" w:hAnsi="Calibri" w:cs="Calibri"/>
          <w:color w:val="1A1A1A"/>
          <w:highlight w:val="yellow"/>
        </w:rPr>
        <w:t>loi du 2 février 2016, dite « Claeys-Leonett</w:t>
      </w:r>
      <w:r w:rsidR="00127A99">
        <w:rPr>
          <w:rFonts w:ascii="Calibri" w:eastAsia="Calibri" w:hAnsi="Calibri" w:cs="Calibri"/>
          <w:color w:val="1A1A1A"/>
          <w:highlight w:val="yellow"/>
        </w:rPr>
        <w:t>i</w:t>
      </w:r>
      <w:r w:rsidRPr="00127A99">
        <w:rPr>
          <w:rFonts w:ascii="Calibri" w:eastAsia="Calibri" w:hAnsi="Calibri" w:cs="Calibri"/>
          <w:color w:val="1A1A1A"/>
          <w:highlight w:val="yellow"/>
        </w:rPr>
        <w:t xml:space="preserve"> »</w:t>
      </w:r>
      <w:r>
        <w:rPr>
          <w:rFonts w:ascii="Calibri" w:eastAsia="Calibri" w:hAnsi="Calibri" w:cs="Calibri"/>
          <w:color w:val="1A1A1A"/>
        </w:rPr>
        <w:t xml:space="preserve"> considère que </w:t>
      </w:r>
      <w:r w:rsidRPr="00127A99">
        <w:rPr>
          <w:rFonts w:ascii="Calibri" w:eastAsia="Calibri" w:hAnsi="Calibri" w:cs="Calibri"/>
          <w:color w:val="1A1A1A"/>
          <w:highlight w:val="yellow"/>
        </w:rPr>
        <w:t>la nutrition et l’hydratation artificielles sont des traitements qui peuvent être arrêtés</w:t>
      </w:r>
      <w:r>
        <w:rPr>
          <w:rFonts w:ascii="Calibri" w:eastAsia="Calibri" w:hAnsi="Calibri" w:cs="Calibri"/>
          <w:color w:val="1A1A1A"/>
        </w:rPr>
        <w:t xml:space="preserve">, le patient peut établir des directives anticipées de manière libre et éclairée, ou, dans le cas où la personne serait « hors d’état d’exprimer sa volonté », une procédure collégiale permet de discuter </w:t>
      </w:r>
      <w:r>
        <w:rPr>
          <w:rFonts w:ascii="Calibri" w:eastAsia="Calibri" w:hAnsi="Calibri" w:cs="Calibri"/>
          <w:color w:val="1A1A1A"/>
        </w:rPr>
        <w:lastRenderedPageBreak/>
        <w:t>l’opportunité de l’arrêt des traitements (</w:t>
      </w:r>
      <w:r>
        <w:rPr>
          <w:rFonts w:ascii="Calibri" w:eastAsia="Calibri" w:hAnsi="Calibri" w:cs="Calibri"/>
          <w:color w:val="1E88E5"/>
        </w:rPr>
        <w:t>art. L. 1110-5-1</w:t>
      </w:r>
      <w:r>
        <w:rPr>
          <w:rFonts w:ascii="Calibri" w:eastAsia="Calibri" w:hAnsi="Calibri" w:cs="Calibri"/>
          <w:color w:val="1A1A1A"/>
        </w:rPr>
        <w:t xml:space="preserve"> du </w:t>
      </w:r>
      <w:r>
        <w:rPr>
          <w:rFonts w:ascii="Calibri" w:eastAsia="Calibri" w:hAnsi="Calibri" w:cs="Calibri"/>
          <w:color w:val="1E88E5"/>
        </w:rPr>
        <w:t>Code de la santé publique</w:t>
      </w:r>
      <w:r>
        <w:rPr>
          <w:rFonts w:ascii="Calibri" w:eastAsia="Calibri" w:hAnsi="Calibri" w:cs="Calibri"/>
          <w:color w:val="1A1A1A"/>
        </w:rPr>
        <w:t>). La possibilité de saisir le juge en référé est ouverte en cas de litige concernant l’avis du personnel médical et constitue une garantie fondamentale supplémentaire.</w:t>
      </w:r>
    </w:p>
    <w:p w14:paraId="065640E4" w14:textId="77777777" w:rsidR="001E3E87" w:rsidRDefault="005258B2">
      <w:pPr>
        <w:pStyle w:val="Titre3"/>
        <w:spacing w:before="190" w:after="80"/>
      </w:pPr>
      <w:r>
        <w:rPr>
          <w:rFonts w:ascii="Calibri" w:eastAsia="Calibri" w:hAnsi="Calibri" w:cs="Calibri"/>
          <w:b/>
          <w:bCs/>
          <w:i/>
          <w:iCs/>
          <w:color w:val="1A1A1A"/>
          <w:sz w:val="21"/>
          <w:szCs w:val="21"/>
        </w:rPr>
        <w:t>II. La protection de la dignité dans la fin de vie</w:t>
      </w:r>
    </w:p>
    <w:p w14:paraId="36042041" w14:textId="77777777" w:rsidR="001E3E87" w:rsidRDefault="005258B2">
      <w:pPr>
        <w:pStyle w:val="Titre3"/>
        <w:spacing w:before="190" w:after="80"/>
      </w:pPr>
      <w:r>
        <w:rPr>
          <w:rFonts w:ascii="Calibri" w:eastAsia="Calibri" w:hAnsi="Calibri" w:cs="Calibri"/>
          <w:b/>
          <w:bCs/>
          <w:i/>
          <w:iCs/>
          <w:color w:val="1A1A1A"/>
          <w:sz w:val="21"/>
          <w:szCs w:val="21"/>
        </w:rPr>
        <w:t>A. Une reconnaissance jurisprudentielle de la dignité dans la fin de vie</w:t>
      </w:r>
    </w:p>
    <w:p w14:paraId="575624A5" w14:textId="77777777" w:rsidR="001E3E87" w:rsidRDefault="005258B2">
      <w:pPr>
        <w:spacing w:after="90" w:line="264" w:lineRule="auto"/>
        <w:jc w:val="both"/>
      </w:pPr>
      <w:r>
        <w:rPr>
          <w:rFonts w:ascii="Calibri" w:eastAsia="Calibri" w:hAnsi="Calibri" w:cs="Calibri"/>
          <w:color w:val="1A1A1A"/>
        </w:rPr>
        <w:t>Malgré son insistance pour la protection de la vie, la Cour européenne n’interdit pas l’euthanasie face à une absence de consensus européen sur le sujet et laisse une large marge d’appréciation aux États membres (</w:t>
      </w:r>
      <w:r>
        <w:rPr>
          <w:rFonts w:ascii="Calibri" w:eastAsia="Calibri" w:hAnsi="Calibri" w:cs="Calibri"/>
          <w:color w:val="E91E63"/>
        </w:rPr>
        <w:t>CEDH, 4 octobre 2022, Mortier c. Belgique, no 78017/17</w:t>
      </w:r>
      <w:r>
        <w:rPr>
          <w:rFonts w:ascii="Calibri" w:eastAsia="Calibri" w:hAnsi="Calibri" w:cs="Calibri"/>
          <w:color w:val="1A1A1A"/>
        </w:rPr>
        <w:t>), tout en reconnaissant l’autodétermination personnelle (</w:t>
      </w:r>
      <w:r>
        <w:rPr>
          <w:rFonts w:ascii="Calibri" w:eastAsia="Calibri" w:hAnsi="Calibri" w:cs="Calibri"/>
          <w:color w:val="E91E63"/>
        </w:rPr>
        <w:t>CEDH, 29 avril 2002, Pretty c. Royaume-Uni, no 2346/02</w:t>
      </w:r>
      <w:r>
        <w:rPr>
          <w:rFonts w:ascii="Calibri" w:eastAsia="Calibri" w:hAnsi="Calibri" w:cs="Calibri"/>
          <w:color w:val="1A1A1A"/>
        </w:rPr>
        <w:t xml:space="preserve">). Cette autonomie personnelle ne peut cependant pas faire l’objet d’une présomption de volonté d’arrêt des traitements : </w:t>
      </w:r>
      <w:r>
        <w:rPr>
          <w:rFonts w:ascii="Calibri" w:eastAsia="Calibri" w:hAnsi="Calibri" w:cs="Calibri"/>
          <w:color w:val="E91E63"/>
        </w:rPr>
        <w:t xml:space="preserve">Cons. const., déc. no 2017- </w:t>
      </w:r>
      <w:r w:rsidRPr="00D80622">
        <w:rPr>
          <w:rFonts w:ascii="Calibri" w:eastAsia="Calibri" w:hAnsi="Calibri" w:cs="Calibri"/>
          <w:color w:val="E91D62"/>
        </w:rPr>
        <w:t>632 QPC, 2 juin 2017, Union nationale des associations de familles de traumatisés crâniens et de cérébro-lésés</w:t>
      </w:r>
      <w:r>
        <w:rPr>
          <w:rFonts w:ascii="Calibri" w:eastAsia="Calibri" w:hAnsi="Calibri" w:cs="Calibri"/>
          <w:color w:val="1A1A1A"/>
        </w:rPr>
        <w:t xml:space="preserve">. Le cadre législatif français concernant l’arrêt de l’hydratation et de la nutrition comme traitements maintenant artificiellement en vie un patient dépendant est réputé ne pas violer le droit à la vie : </w:t>
      </w:r>
      <w:r>
        <w:rPr>
          <w:rFonts w:ascii="Calibri" w:eastAsia="Calibri" w:hAnsi="Calibri" w:cs="Calibri"/>
          <w:color w:val="E91E63"/>
        </w:rPr>
        <w:t xml:space="preserve">CEDH [GC], 5 juin 2015, Lambert et a. c. France, no 46043/14. </w:t>
      </w:r>
      <w:r>
        <w:rPr>
          <w:rFonts w:ascii="Calibri" w:eastAsia="Calibri" w:hAnsi="Calibri" w:cs="Calibri"/>
          <w:color w:val="1A1A1A"/>
        </w:rPr>
        <w:t xml:space="preserve">De même, le </w:t>
      </w:r>
      <w:r>
        <w:rPr>
          <w:rFonts w:ascii="Calibri" w:eastAsia="Calibri" w:hAnsi="Calibri" w:cs="Calibri"/>
          <w:color w:val="E91E63"/>
        </w:rPr>
        <w:t xml:space="preserve">Comité des droits de l’homme dans son Observation générale no 36 </w:t>
      </w:r>
      <w:r>
        <w:rPr>
          <w:rFonts w:ascii="Calibri" w:eastAsia="Calibri" w:hAnsi="Calibri" w:cs="Calibri"/>
          <w:color w:val="1A1A1A"/>
        </w:rPr>
        <w:t>aux points 9 et 10 abonde dans le sens de la Cour européenne, mais limite son interprétation aux patients adultes, la législation française sur la fin de vie s’appliquant cependant également aux enfants (</w:t>
      </w:r>
      <w:r>
        <w:rPr>
          <w:rFonts w:ascii="Calibri" w:eastAsia="Calibri" w:hAnsi="Calibri" w:cs="Calibri"/>
          <w:color w:val="E91E63"/>
        </w:rPr>
        <w:t>CE, ord., 24 avril 2023, no 469669</w:t>
      </w:r>
      <w:r>
        <w:rPr>
          <w:rFonts w:ascii="Calibri" w:eastAsia="Calibri" w:hAnsi="Calibri" w:cs="Calibri"/>
          <w:color w:val="1A1A1A"/>
        </w:rPr>
        <w:t>).</w:t>
      </w:r>
    </w:p>
    <w:p w14:paraId="1EC8AF47" w14:textId="77777777" w:rsidR="001E3E87" w:rsidRDefault="005258B2">
      <w:pPr>
        <w:pStyle w:val="Titre3"/>
        <w:spacing w:before="190" w:after="80"/>
      </w:pPr>
      <w:r>
        <w:rPr>
          <w:rFonts w:ascii="Calibri" w:eastAsia="Calibri" w:hAnsi="Calibri" w:cs="Calibri"/>
          <w:b/>
          <w:bCs/>
          <w:i/>
          <w:iCs/>
          <w:color w:val="1A1A1A"/>
          <w:sz w:val="21"/>
          <w:szCs w:val="21"/>
        </w:rPr>
        <w:t>B. Un droit à une fin de vie digne ?</w:t>
      </w:r>
    </w:p>
    <w:p w14:paraId="341D4AD7" w14:textId="77777777" w:rsidR="00D80622" w:rsidRDefault="005258B2">
      <w:pPr>
        <w:spacing w:after="90" w:line="264" w:lineRule="auto"/>
        <w:jc w:val="both"/>
        <w:rPr>
          <w:rFonts w:ascii="Calibri" w:eastAsia="Calibri" w:hAnsi="Calibri" w:cs="Calibri"/>
          <w:color w:val="1A1A1A"/>
        </w:rPr>
      </w:pPr>
      <w:r>
        <w:rPr>
          <w:rFonts w:ascii="Calibri" w:eastAsia="Calibri" w:hAnsi="Calibri" w:cs="Calibri"/>
          <w:color w:val="1A1A1A"/>
        </w:rPr>
        <w:t xml:space="preserve">Le questionnement de l’étendue des droits des personnes en fin de vie a été relancé par plusieurs éléments. Une Convention citoyenne sur la fin de vie organisée par le Conseil économique, social et environnemental réunissant 184 citoyennes et citoyens a ainsi été organisée et a rendu son rapport en avril 2023. La Convention constate alors l’insuffisance du cadre législatif actuel et préconise une ouverture de l’aide active à mourir selon des critères médicaux, de discernement et d’âge, illustrant une réelle évolution des mentalités sur le sujet d’une fin de vie digne. Dans le cadre de cette réflexion, un rapport d’information diligenté par la Commission des affaires sociales du Parlement du 29 mars 2023 réévalue également l’impact de la loi du 2 février 2016 (dite « </w:t>
      </w:r>
      <w:r w:rsidR="00D80622">
        <w:rPr>
          <w:rFonts w:ascii="Calibri" w:eastAsia="Calibri" w:hAnsi="Calibri" w:cs="Calibri"/>
          <w:color w:val="1A1A1A"/>
        </w:rPr>
        <w:t>Claeys-Leonetti</w:t>
      </w:r>
      <w:r>
        <w:rPr>
          <w:rFonts w:ascii="Calibri" w:eastAsia="Calibri" w:hAnsi="Calibri" w:cs="Calibri"/>
          <w:color w:val="1A1A1A"/>
        </w:rPr>
        <w:t xml:space="preserve"> »). </w:t>
      </w:r>
    </w:p>
    <w:p w14:paraId="13F8E866" w14:textId="486A6123" w:rsidR="001E3E87" w:rsidRDefault="005258B2">
      <w:pPr>
        <w:spacing w:after="90" w:line="264" w:lineRule="auto"/>
        <w:jc w:val="both"/>
      </w:pPr>
      <w:r>
        <w:rPr>
          <w:rFonts w:ascii="Calibri" w:eastAsia="Calibri" w:hAnsi="Calibri" w:cs="Calibri"/>
          <w:color w:val="1A1A1A"/>
        </w:rPr>
        <w:t xml:space="preserve">Cependant, l’Ordre national des médecins, dans un rapport du 1er avril 2023, marque l’avis défavorable des médecins à l’égard de la possibilité d’une euthanasie ou d’une aide active à mourir, montrant ainsi une dichotomie entre l’avis des experts et l’opinion majoritaire dans la société civile. La loi du 27 mai 2025 créé un droit à l’aide à mourir qui permet d’accompagner le patient pour l’aider à recourir à un produit létal par lui-même ou par le biais d’un professionnel de santé. Cette révolution dans le parcours des soins palliatifs est cependant encadrée par 5 conditions (être français, majeur, atteint d’une affection grave ou incurable qui engage le pronostic vital et en phase terminale ou avancée, présenter une souffrance physique ou psychologique constante réfractaire aux traitements ou insupportable, et être capable de manifester sa volonté de manière libre et éclairée). </w:t>
      </w:r>
      <w:r w:rsidRPr="00885125">
        <w:rPr>
          <w:rFonts w:ascii="Calibri" w:eastAsia="Calibri" w:hAnsi="Calibri" w:cs="Calibri"/>
          <w:color w:val="1A1A1A"/>
          <w:highlight w:val="yellow"/>
        </w:rPr>
        <w:t>Un juste équilibre est atteint en tenant compte du rapport de l’ordre des médecins grâce à une clause de conscience</w:t>
      </w:r>
      <w:r>
        <w:rPr>
          <w:rFonts w:ascii="Calibri" w:eastAsia="Calibri" w:hAnsi="Calibri" w:cs="Calibri"/>
          <w:color w:val="1A1A1A"/>
        </w:rPr>
        <w:t>. Un délit d’entrave à l’aide à mourir est également créé.</w:t>
      </w:r>
    </w:p>
    <w:p w14:paraId="4EF84DF9" w14:textId="77777777" w:rsidR="001E3E87" w:rsidRDefault="005258B2">
      <w:pPr>
        <w:spacing w:after="90" w:line="264" w:lineRule="auto"/>
        <w:jc w:val="both"/>
      </w:pPr>
      <w:r>
        <w:rPr>
          <w:rFonts w:ascii="Calibri" w:eastAsia="Calibri" w:hAnsi="Calibri" w:cs="Calibri"/>
          <w:color w:val="1A1A1A"/>
        </w:rPr>
        <w:t>En conclusion, la question de la fin de vie implique de réaliser un délicat équilibre entre préservation de la vie et dignité humaine et les développements juridiques récents montrent qu’un tel équilibre peut impliquer une aide active à mourir.</w:t>
      </w:r>
    </w:p>
    <w:p w14:paraId="26D416C9" w14:textId="77777777" w:rsidR="001E3E87" w:rsidRDefault="005258B2">
      <w:r>
        <w:br w:type="page"/>
      </w:r>
    </w:p>
    <w:p w14:paraId="317AE1E1"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27 — ARGUMENTATION JURIDIQUE</w:t>
      </w:r>
    </w:p>
    <w:p w14:paraId="52384BCE" w14:textId="77777777" w:rsidR="001E3E87" w:rsidRDefault="005258B2">
      <w:pPr>
        <w:spacing w:after="160"/>
      </w:pPr>
      <w:r>
        <w:rPr>
          <w:rFonts w:ascii="Calibri" w:eastAsia="Calibri" w:hAnsi="Calibri" w:cs="Calibri"/>
          <w:i/>
          <w:iCs/>
          <w:color w:val="5A5A5A"/>
          <w:sz w:val="18"/>
          <w:szCs w:val="18"/>
        </w:rPr>
        <w:t>Fiche n° 27 — Le droit à l’intégrité de la personne  |  PARTIE VI. LES DROITS CIVILS ET POLITIQUES  |  Fascicule p. 277</w:t>
      </w:r>
    </w:p>
    <w:p w14:paraId="54C0FA39"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0A4C3520"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Soutenez que le devoir conjugal constitue une atteinte grave à l’intégrité des personnes.</w:t>
      </w:r>
    </w:p>
    <w:p w14:paraId="289ECCFD"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6F2AE0DF" w14:textId="77777777" w:rsidR="001E3E87" w:rsidRDefault="005258B2">
      <w:pPr>
        <w:spacing w:after="90" w:line="264" w:lineRule="auto"/>
        <w:jc w:val="both"/>
      </w:pPr>
      <w:r>
        <w:rPr>
          <w:rFonts w:ascii="Calibri" w:eastAsia="Calibri" w:hAnsi="Calibri" w:cs="Calibri"/>
          <w:color w:val="1A1A1A"/>
        </w:rPr>
        <w:t>Le crime de viol est au centre de vifs débats et questionnements notamment quant à sa définition et à l’opportunité d’intégrer au texte d’incrimination une définition incluant explicitement la délicate notion de consentement. Les relations sexuelles requièrent l’expression d’un consentement libre, éclairé, non équivoque et rétractable à tout moment et ce indépendamment de la nature de la relation entre les partenaires. Pour autant, l’</w:t>
      </w:r>
      <w:r>
        <w:rPr>
          <w:rFonts w:ascii="Calibri" w:eastAsia="Calibri" w:hAnsi="Calibri" w:cs="Calibri"/>
          <w:color w:val="1E88E5"/>
        </w:rPr>
        <w:t>article 215</w:t>
      </w:r>
      <w:r>
        <w:rPr>
          <w:rFonts w:ascii="Calibri" w:eastAsia="Calibri" w:hAnsi="Calibri" w:cs="Calibri"/>
          <w:color w:val="1A1A1A"/>
        </w:rPr>
        <w:t xml:space="preserve"> du </w:t>
      </w:r>
      <w:r>
        <w:rPr>
          <w:rFonts w:ascii="Calibri" w:eastAsia="Calibri" w:hAnsi="Calibri" w:cs="Calibri"/>
          <w:color w:val="1E88E5"/>
        </w:rPr>
        <w:t>Code civil</w:t>
      </w:r>
      <w:r>
        <w:rPr>
          <w:rFonts w:ascii="Calibri" w:eastAsia="Calibri" w:hAnsi="Calibri" w:cs="Calibri"/>
          <w:color w:val="1A1A1A"/>
        </w:rPr>
        <w:t xml:space="preserve"> prévoit une obligation de communauté de vie pour les couples mariés. La jurisprudence a fait découler de ce texte un devoir conjugal bien qu’il n’en prévoit pas explicitement. Le refus pour un époux de se conformer à cette obligation a pu justifier par le passé des constats de fautes civiles ayant pu non seulement mener à leur responsabilité civile, mais également au prononcé d’un divorce pour faute. La prise en compte du consentement des actes sexuels dans le cadre des relations de couples est relativement récente. Elle a été en effet initiée par la jurisprudence en 1984 (</w:t>
      </w:r>
      <w:r>
        <w:rPr>
          <w:rFonts w:ascii="Calibri" w:eastAsia="Calibri" w:hAnsi="Calibri" w:cs="Calibri"/>
          <w:color w:val="E91E63"/>
        </w:rPr>
        <w:t>Cass., crim., 17 juillet 1984, no 84-91.288</w:t>
      </w:r>
      <w:r>
        <w:rPr>
          <w:rFonts w:ascii="Calibri" w:eastAsia="Calibri" w:hAnsi="Calibri" w:cs="Calibri"/>
          <w:color w:val="1A1A1A"/>
        </w:rPr>
        <w:t>).</w:t>
      </w:r>
    </w:p>
    <w:p w14:paraId="5B01B87B"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Dès lors, le devoir conjugal apparaît comme étant une atteinte grave au droit à l’intégrité des personnes, car il en découle une obligation civile à consentir à des actes sexuels (I), opérant de fait une présomption de consentement des actes sexuels entre époux (II).</w:t>
      </w:r>
    </w:p>
    <w:p w14:paraId="6C0F2F0E" w14:textId="77777777" w:rsidR="001E3E87" w:rsidRDefault="005258B2">
      <w:pPr>
        <w:pStyle w:val="Titre3"/>
        <w:spacing w:before="190" w:after="80"/>
      </w:pPr>
      <w:r>
        <w:rPr>
          <w:rFonts w:ascii="Calibri" w:eastAsia="Calibri" w:hAnsi="Calibri" w:cs="Calibri"/>
          <w:b/>
          <w:bCs/>
          <w:i/>
          <w:iCs/>
          <w:color w:val="1A1A1A"/>
          <w:sz w:val="21"/>
          <w:szCs w:val="21"/>
        </w:rPr>
        <w:t>I. Le maintien critiquable d’une obligation civile à consentir à des actes sexuels</w:t>
      </w:r>
    </w:p>
    <w:p w14:paraId="1D8D2D44" w14:textId="77777777" w:rsidR="001E3E87" w:rsidRDefault="005258B2">
      <w:pPr>
        <w:pStyle w:val="Titre3"/>
        <w:spacing w:before="190" w:after="80"/>
      </w:pPr>
      <w:r>
        <w:rPr>
          <w:rFonts w:ascii="Calibri" w:eastAsia="Calibri" w:hAnsi="Calibri" w:cs="Calibri"/>
          <w:b/>
          <w:bCs/>
          <w:i/>
          <w:iCs/>
          <w:color w:val="1A1A1A"/>
          <w:sz w:val="21"/>
          <w:szCs w:val="21"/>
        </w:rPr>
        <w:t>A. Une atteinte à l’autonomie personnelle</w:t>
      </w:r>
    </w:p>
    <w:p w14:paraId="4C0E42DF" w14:textId="77777777" w:rsidR="001E3E87" w:rsidRDefault="005258B2">
      <w:pPr>
        <w:spacing w:after="90" w:line="264" w:lineRule="auto"/>
        <w:jc w:val="both"/>
      </w:pPr>
      <w:r>
        <w:rPr>
          <w:rFonts w:ascii="Calibri" w:eastAsia="Calibri" w:hAnsi="Calibri" w:cs="Calibri"/>
          <w:color w:val="1A1A1A"/>
        </w:rPr>
        <w:t xml:space="preserve">Si le </w:t>
      </w:r>
      <w:r>
        <w:rPr>
          <w:rFonts w:ascii="Calibri" w:eastAsia="Calibri" w:hAnsi="Calibri" w:cs="Calibri"/>
          <w:color w:val="1E88E5"/>
        </w:rPr>
        <w:t>Code civil</w:t>
      </w:r>
      <w:r>
        <w:rPr>
          <w:rFonts w:ascii="Calibri" w:eastAsia="Calibri" w:hAnsi="Calibri" w:cs="Calibri"/>
          <w:color w:val="1A1A1A"/>
        </w:rPr>
        <w:t xml:space="preserve"> n’évoque pas explicitement ce droit, à la différence du droit canonique qui faisait d’une telle obligation de lit des époux une condition de validité. Les principes contemporains d’autonomie personnelle et de dignité humaine rendent archaïque une telle exigence au sein des couples. Le droit à l’autonomie personnelle permet à l’individu, sur le fondement du droit au respect de la vie privée, de faire des choix le concernant (</w:t>
      </w:r>
      <w:r>
        <w:rPr>
          <w:rFonts w:ascii="Calibri" w:eastAsia="Calibri" w:hAnsi="Calibri" w:cs="Calibri"/>
          <w:color w:val="E91E63"/>
        </w:rPr>
        <w:t xml:space="preserve">CEDH, 17 février 2005, K.A. et A.D. c. Belgique, nos42758/98 </w:t>
      </w:r>
      <w:r w:rsidRPr="0005033C">
        <w:rPr>
          <w:rFonts w:ascii="Calibri" w:eastAsia="Calibri" w:hAnsi="Calibri" w:cs="Calibri"/>
          <w:color w:val="E91D62"/>
        </w:rPr>
        <w:t>et 45558/99</w:t>
      </w:r>
      <w:r>
        <w:rPr>
          <w:rFonts w:ascii="Calibri" w:eastAsia="Calibri" w:hAnsi="Calibri" w:cs="Calibri"/>
          <w:color w:val="1A1A1A"/>
        </w:rPr>
        <w:t>). En imposant une telle communauté de lit, la jurisprudence porte donc atteinte à ce droit puisqu’en matière de choix aussi intimes que ceux relevant de la sphère des relations charnelles, l’individu ne saurait être contraint de consentir.</w:t>
      </w:r>
    </w:p>
    <w:p w14:paraId="5A28558E" w14:textId="77777777" w:rsidR="001E3E87" w:rsidRDefault="005258B2">
      <w:pPr>
        <w:pStyle w:val="Titre3"/>
        <w:spacing w:before="190" w:after="80"/>
      </w:pPr>
      <w:r>
        <w:rPr>
          <w:rFonts w:ascii="Calibri" w:eastAsia="Calibri" w:hAnsi="Calibri" w:cs="Calibri"/>
          <w:b/>
          <w:bCs/>
          <w:i/>
          <w:iCs/>
          <w:color w:val="1A1A1A"/>
          <w:sz w:val="21"/>
          <w:szCs w:val="21"/>
        </w:rPr>
        <w:t>B. Le risque d’affaiblissement du consentement</w:t>
      </w:r>
    </w:p>
    <w:p w14:paraId="5866FBAE" w14:textId="77777777" w:rsidR="001E3E87" w:rsidRDefault="005258B2">
      <w:pPr>
        <w:spacing w:after="90" w:line="264" w:lineRule="auto"/>
        <w:jc w:val="both"/>
      </w:pPr>
      <w:r>
        <w:rPr>
          <w:rFonts w:ascii="Calibri" w:eastAsia="Calibri" w:hAnsi="Calibri" w:cs="Calibri"/>
          <w:color w:val="1A1A1A"/>
        </w:rPr>
        <w:t>La jurisprudence sur le fondement de l’</w:t>
      </w:r>
      <w:r>
        <w:rPr>
          <w:rFonts w:ascii="Calibri" w:eastAsia="Calibri" w:hAnsi="Calibri" w:cs="Calibri"/>
          <w:color w:val="1E88E5"/>
        </w:rPr>
        <w:t>article 215</w:t>
      </w:r>
      <w:r>
        <w:rPr>
          <w:rFonts w:ascii="Calibri" w:eastAsia="Calibri" w:hAnsi="Calibri" w:cs="Calibri"/>
          <w:color w:val="1A1A1A"/>
        </w:rPr>
        <w:t xml:space="preserve"> du </w:t>
      </w:r>
      <w:r>
        <w:rPr>
          <w:rFonts w:ascii="Calibri" w:eastAsia="Calibri" w:hAnsi="Calibri" w:cs="Calibri"/>
          <w:color w:val="1E88E5"/>
        </w:rPr>
        <w:t>Code civil</w:t>
      </w:r>
      <w:r>
        <w:rPr>
          <w:rFonts w:ascii="Calibri" w:eastAsia="Calibri" w:hAnsi="Calibri" w:cs="Calibri"/>
          <w:color w:val="1A1A1A"/>
        </w:rPr>
        <w:t xml:space="preserve"> crée une obligation à la charge des époux. Le fait de ne pas respecter cette dernière permet d’engager la responsabilité délictuelle de l’époux fautif sur le fondement de l’</w:t>
      </w:r>
      <w:r>
        <w:rPr>
          <w:rFonts w:ascii="Calibri" w:eastAsia="Calibri" w:hAnsi="Calibri" w:cs="Calibri"/>
          <w:color w:val="1E88E5"/>
        </w:rPr>
        <w:t>article 1240</w:t>
      </w:r>
      <w:r>
        <w:rPr>
          <w:rFonts w:ascii="Calibri" w:eastAsia="Calibri" w:hAnsi="Calibri" w:cs="Calibri"/>
          <w:color w:val="1A1A1A"/>
        </w:rPr>
        <w:t xml:space="preserve"> du </w:t>
      </w:r>
      <w:r>
        <w:rPr>
          <w:rFonts w:ascii="Calibri" w:eastAsia="Calibri" w:hAnsi="Calibri" w:cs="Calibri"/>
          <w:color w:val="1E88E5"/>
        </w:rPr>
        <w:t>Code civil</w:t>
      </w:r>
      <w:r>
        <w:rPr>
          <w:rFonts w:ascii="Calibri" w:eastAsia="Calibri" w:hAnsi="Calibri" w:cs="Calibri"/>
          <w:color w:val="1A1A1A"/>
        </w:rPr>
        <w:t xml:space="preserve"> (</w:t>
      </w:r>
      <w:r w:rsidRPr="0005033C">
        <w:rPr>
          <w:rFonts w:ascii="Calibri" w:eastAsia="Calibri" w:hAnsi="Calibri" w:cs="Calibri"/>
          <w:color w:val="E91D62"/>
        </w:rPr>
        <w:t>CA Aix-en-Provence, 3 mai 2011, no 09/05752</w:t>
      </w:r>
      <w:r>
        <w:rPr>
          <w:rFonts w:ascii="Calibri" w:eastAsia="Calibri" w:hAnsi="Calibri" w:cs="Calibri"/>
          <w:color w:val="1A1A1A"/>
        </w:rPr>
        <w:t>). Cette jurisprudence a également permis de constater la faute de l’un des époux afin de prononcer le divorce (</w:t>
      </w:r>
      <w:r>
        <w:rPr>
          <w:rFonts w:ascii="Calibri" w:eastAsia="Calibri" w:hAnsi="Calibri" w:cs="Calibri"/>
          <w:color w:val="E91E63"/>
        </w:rPr>
        <w:t>Cass. Civ. 2e, 17 décembre 1997, no 96-15.704</w:t>
      </w:r>
      <w:r>
        <w:rPr>
          <w:rFonts w:ascii="Calibri" w:eastAsia="Calibri" w:hAnsi="Calibri" w:cs="Calibri"/>
          <w:color w:val="1A1A1A"/>
        </w:rPr>
        <w:t>). Cette obligation a pour effet de créer un faux dilemme dont chacune des issues aboutit à une violation de la Convention. Se plier à cette obligation et aller à l’encontre du droit à l’autonomie personnelle, ou ne pas le faire et être potentiellement confronté à une sanction pour l’avoir exercé. Cette situation est d’autant plus préoccupante qu’elle concerne un des domaines les plus intimes de la personne humaine. La Cour européenne des droits de l’homme a ainsi estimé que le prononcé d’un divorce aux torts de l’époux n’ayant pas respecté le devoir conjugal constitue une ingérence injustifiée au droit au respect de la vie privée (</w:t>
      </w:r>
      <w:r>
        <w:rPr>
          <w:rFonts w:ascii="Calibri" w:eastAsia="Calibri" w:hAnsi="Calibri" w:cs="Calibri"/>
          <w:color w:val="E91E63"/>
        </w:rPr>
        <w:t>CEDH, 23 janvier 2025, H.W. c. France, no 13805/21</w:t>
      </w:r>
      <w:r>
        <w:rPr>
          <w:rFonts w:ascii="Calibri" w:eastAsia="Calibri" w:hAnsi="Calibri" w:cs="Calibri"/>
          <w:color w:val="1A1A1A"/>
        </w:rPr>
        <w:t>).</w:t>
      </w:r>
    </w:p>
    <w:p w14:paraId="01D22CEA" w14:textId="77777777" w:rsidR="001E3E87" w:rsidRDefault="005258B2">
      <w:pPr>
        <w:pStyle w:val="Titre3"/>
        <w:spacing w:before="190" w:after="80"/>
      </w:pPr>
      <w:r>
        <w:rPr>
          <w:rFonts w:ascii="Calibri" w:eastAsia="Calibri" w:hAnsi="Calibri" w:cs="Calibri"/>
          <w:b/>
          <w:bCs/>
          <w:i/>
          <w:iCs/>
          <w:color w:val="1A1A1A"/>
          <w:sz w:val="21"/>
          <w:szCs w:val="21"/>
        </w:rPr>
        <w:t>II. L’inacceptabilité de la présomption du consentement des époux à des actes sexuels</w:t>
      </w:r>
    </w:p>
    <w:p w14:paraId="7711B34B" w14:textId="77777777" w:rsidR="001E3E87" w:rsidRDefault="005258B2">
      <w:pPr>
        <w:pStyle w:val="Titre3"/>
        <w:spacing w:before="190" w:after="80"/>
      </w:pPr>
      <w:r>
        <w:rPr>
          <w:rFonts w:ascii="Calibri" w:eastAsia="Calibri" w:hAnsi="Calibri" w:cs="Calibri"/>
          <w:b/>
          <w:bCs/>
          <w:i/>
          <w:iCs/>
          <w:color w:val="1A1A1A"/>
          <w:sz w:val="21"/>
          <w:szCs w:val="21"/>
        </w:rPr>
        <w:t>A. Un devoir conjugal contradictoire avec la pénalisation du viol entre époux</w:t>
      </w:r>
    </w:p>
    <w:p w14:paraId="7D183D7B" w14:textId="77777777" w:rsidR="001E3E87" w:rsidRDefault="005258B2">
      <w:pPr>
        <w:spacing w:after="90" w:line="264" w:lineRule="auto"/>
        <w:jc w:val="both"/>
      </w:pPr>
      <w:r>
        <w:rPr>
          <w:rFonts w:ascii="Calibri" w:eastAsia="Calibri" w:hAnsi="Calibri" w:cs="Calibri"/>
          <w:color w:val="1A1A1A"/>
        </w:rPr>
        <w:t>Le devoir conjugal peut donc aboutir pour l’un des époux à accepter sous la pression, faisant dès lors obstacle à son consentement (caractère libre, éclairé et non équivoque). Cette conception du devoir conjugal consacre implicitement une présomption de consentement du seul fait du mariage. Ce faisant, cette obligation pourrait avoir pour effet de banaliser le viol entre époux et d’aller à l’encontre du caractère librement révocable du consentement. Ceci est d’ailleurs totalement à contrecourant de la pénalisation de viols entre époux depuis 1984 (</w:t>
      </w:r>
      <w:r>
        <w:rPr>
          <w:rFonts w:ascii="Calibri" w:eastAsia="Calibri" w:hAnsi="Calibri" w:cs="Calibri"/>
          <w:color w:val="E91E63"/>
        </w:rPr>
        <w:t>Cass., crim., 17 juillet 1984, no 84-91.288</w:t>
      </w:r>
      <w:r>
        <w:rPr>
          <w:rFonts w:ascii="Calibri" w:eastAsia="Calibri" w:hAnsi="Calibri" w:cs="Calibri"/>
          <w:color w:val="1A1A1A"/>
        </w:rPr>
        <w:t>). Depuis 2010 le législateur a en effet ôté de l’</w:t>
      </w:r>
      <w:r>
        <w:rPr>
          <w:rFonts w:ascii="Calibri" w:eastAsia="Calibri" w:hAnsi="Calibri" w:cs="Calibri"/>
          <w:color w:val="1E88E5"/>
        </w:rPr>
        <w:t>article 222-22</w:t>
      </w:r>
      <w:r>
        <w:rPr>
          <w:rFonts w:ascii="Calibri" w:eastAsia="Calibri" w:hAnsi="Calibri" w:cs="Calibri"/>
          <w:color w:val="1A1A1A"/>
        </w:rPr>
        <w:t xml:space="preserve"> du </w:t>
      </w:r>
      <w:r>
        <w:rPr>
          <w:rFonts w:ascii="Calibri" w:eastAsia="Calibri" w:hAnsi="Calibri" w:cs="Calibri"/>
          <w:color w:val="1E88E5"/>
        </w:rPr>
        <w:t>Code pénal</w:t>
      </w:r>
      <w:r>
        <w:rPr>
          <w:rFonts w:ascii="Calibri" w:eastAsia="Calibri" w:hAnsi="Calibri" w:cs="Calibri"/>
          <w:color w:val="1A1A1A"/>
        </w:rPr>
        <w:t xml:space="preserve"> la référence à la présomption de consentement qui existait jusqu’alors.</w:t>
      </w:r>
    </w:p>
    <w:p w14:paraId="663FB2A5" w14:textId="2B63EE7D" w:rsidR="00A86E46" w:rsidRPr="00A86E46" w:rsidRDefault="005258B2" w:rsidP="00A86E46">
      <w:pPr>
        <w:pStyle w:val="Titre3"/>
        <w:spacing w:before="190" w:after="80"/>
      </w:pPr>
      <w:r>
        <w:rPr>
          <w:rFonts w:ascii="Calibri" w:eastAsia="Calibri" w:hAnsi="Calibri" w:cs="Calibri"/>
          <w:b/>
          <w:bCs/>
          <w:i/>
          <w:iCs/>
          <w:color w:val="1A1A1A"/>
          <w:sz w:val="21"/>
          <w:szCs w:val="21"/>
        </w:rPr>
        <w:lastRenderedPageBreak/>
        <w:t>B. Un devoir conjugal incohérent face à l’obligation de protection contre les atteintes graves à l’intégrité</w:t>
      </w:r>
      <w:r w:rsidR="00A86E46">
        <w:rPr>
          <w:rFonts w:ascii="Calibri" w:eastAsia="Calibri" w:hAnsi="Calibri" w:cs="Calibri"/>
          <w:b/>
          <w:bCs/>
          <w:i/>
          <w:iCs/>
          <w:color w:val="1A1A1A"/>
          <w:sz w:val="21"/>
          <w:szCs w:val="21"/>
        </w:rPr>
        <w:t xml:space="preserve"> </w:t>
      </w:r>
      <w:r w:rsidRPr="00A86E46">
        <w:rPr>
          <w:rFonts w:ascii="Calibri" w:eastAsia="Calibri" w:hAnsi="Calibri" w:cs="Calibri"/>
          <w:b/>
          <w:bCs/>
          <w:i/>
          <w:iCs/>
          <w:color w:val="1A1A1A"/>
          <w:sz w:val="21"/>
          <w:szCs w:val="21"/>
        </w:rPr>
        <w:t>physique</w:t>
      </w:r>
      <w:r w:rsidRPr="00A86E46">
        <w:rPr>
          <w:rFonts w:ascii="Calibri" w:eastAsia="Calibri" w:hAnsi="Calibri" w:cs="Calibri"/>
          <w:color w:val="1A1A1A"/>
          <w:sz w:val="21"/>
          <w:szCs w:val="21"/>
        </w:rPr>
        <w:t xml:space="preserve"> </w:t>
      </w:r>
    </w:p>
    <w:p w14:paraId="3D1352D6" w14:textId="5F5BF7D6" w:rsidR="001E3E87" w:rsidRDefault="005258B2">
      <w:pPr>
        <w:spacing w:after="90" w:line="264" w:lineRule="auto"/>
        <w:jc w:val="both"/>
      </w:pPr>
      <w:r>
        <w:rPr>
          <w:rFonts w:ascii="Calibri" w:eastAsia="Calibri" w:hAnsi="Calibri" w:cs="Calibri"/>
          <w:color w:val="1A1A1A"/>
        </w:rPr>
        <w:t xml:space="preserve">Les États disposent selon la Cour européenne des droits de l’homme d’une obligation d’incrimination pénale du viol en ce que de tels actes portent une atteinte particulièrement grave au droit à l’intégrité des personnes (Voir notamment : </w:t>
      </w:r>
      <w:r>
        <w:rPr>
          <w:rFonts w:ascii="Calibri" w:eastAsia="Calibri" w:hAnsi="Calibri" w:cs="Calibri"/>
          <w:color w:val="E91E63"/>
        </w:rPr>
        <w:t>CEDH, 24 avril 2025, L. et a. c. France, nos 46949/</w:t>
      </w:r>
      <w:r w:rsidRPr="00A86E46">
        <w:rPr>
          <w:rFonts w:ascii="Calibri" w:eastAsia="Calibri" w:hAnsi="Calibri" w:cs="Calibri"/>
          <w:color w:val="E91D62"/>
        </w:rPr>
        <w:t>21 et 2 a.</w:t>
      </w:r>
      <w:r>
        <w:rPr>
          <w:rFonts w:ascii="Calibri" w:eastAsia="Calibri" w:hAnsi="Calibri" w:cs="Calibri"/>
          <w:color w:val="1A1A1A"/>
        </w:rPr>
        <w:t>). La Cour européenne des droits de l’homme juge en outre que le viol entre époux doit être puni pénalement (</w:t>
      </w:r>
      <w:r>
        <w:rPr>
          <w:rFonts w:ascii="Calibri" w:eastAsia="Calibri" w:hAnsi="Calibri" w:cs="Calibri"/>
          <w:color w:val="E91E63"/>
        </w:rPr>
        <w:t>CEDH, 22 novembre 1995, S.W. c. Royaume-Uni, no 20166/92</w:t>
      </w:r>
      <w:r>
        <w:rPr>
          <w:rFonts w:ascii="Calibri" w:eastAsia="Calibri" w:hAnsi="Calibri" w:cs="Calibri"/>
          <w:color w:val="1A1A1A"/>
        </w:rPr>
        <w:t>). Or, le devoir conjugal brouille la cohérence de l’ordre juridique dans la réponse apportée à la lutte contre de telles infractions.</w:t>
      </w:r>
    </w:p>
    <w:p w14:paraId="295DB967" w14:textId="77777777" w:rsidR="001E3E87" w:rsidRDefault="005258B2">
      <w:pPr>
        <w:spacing w:after="90" w:line="264" w:lineRule="auto"/>
        <w:jc w:val="both"/>
      </w:pPr>
      <w:r>
        <w:rPr>
          <w:rFonts w:ascii="Calibri" w:eastAsia="Calibri" w:hAnsi="Calibri" w:cs="Calibri"/>
          <w:color w:val="1A1A1A"/>
        </w:rPr>
        <w:t>En conclusion, le devoir conjugal constitue non-seulement une atteinte directe et grave au principe d’autonomie personnelle, puisqu’il touche à un domaine relevant de la sphère intime des individus, mais il a également pour effet, et ce de manière insidieuse, de brouiller la lutte contre le viol entre époux en qualifiant de fautif au sens civil du terme l’expression continuelle du refus d’entretenir des relations intimes avec son conjoint.</w:t>
      </w:r>
    </w:p>
    <w:p w14:paraId="0B9E8035" w14:textId="77777777" w:rsidR="001E3E87" w:rsidRDefault="005258B2">
      <w:r>
        <w:br w:type="page"/>
      </w:r>
    </w:p>
    <w:p w14:paraId="5AA93849"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28 — COMMENTAIRE D’ARRÊT</w:t>
      </w:r>
    </w:p>
    <w:p w14:paraId="28E129DA" w14:textId="77777777" w:rsidR="001E3E87" w:rsidRDefault="005258B2">
      <w:pPr>
        <w:spacing w:after="160"/>
      </w:pPr>
      <w:r>
        <w:rPr>
          <w:rFonts w:ascii="Calibri" w:eastAsia="Calibri" w:hAnsi="Calibri" w:cs="Calibri"/>
          <w:i/>
          <w:iCs/>
          <w:color w:val="5A5A5A"/>
          <w:sz w:val="18"/>
          <w:szCs w:val="18"/>
        </w:rPr>
        <w:t>Fiche n° 28 — L’interdiction de la torture et des peines ou traitements inhumains ou dégradants  |  PARTIE VI. LES DROITS CIVILS ET POLITIQUES  |  Fascicule p. 285</w:t>
      </w:r>
    </w:p>
    <w:p w14:paraId="610F6829"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271BD02D" w14:textId="77777777" w:rsidR="001E3E87" w:rsidRDefault="005258B2">
      <w:pPr>
        <w:pBdr>
          <w:left w:val="single" w:sz="12" w:space="10" w:color="8C1C2B"/>
        </w:pBdr>
        <w:spacing w:after="90" w:line="264" w:lineRule="auto"/>
        <w:ind w:left="260"/>
        <w:jc w:val="both"/>
      </w:pPr>
      <w:r>
        <w:rPr>
          <w:rFonts w:ascii="Calibri" w:eastAsia="Calibri" w:hAnsi="Calibri" w:cs="Calibri"/>
          <w:color w:val="E91E63"/>
        </w:rPr>
        <w:t xml:space="preserve">CEDH, 30 janvier 2020, J.M.B. et a. c. France, no 9671/15 </w:t>
      </w:r>
      <w:r>
        <w:rPr>
          <w:rFonts w:ascii="Calibri" w:eastAsia="Calibri" w:hAnsi="Calibri" w:cs="Calibri"/>
          <w:color w:val="1A1A1A"/>
        </w:rPr>
        <w:t>[Extrait]</w:t>
      </w:r>
    </w:p>
    <w:p w14:paraId="710E1BAC"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 220. En définitive, la Cour retient de ce qui précède que les injonctions prononcées par le juge du référé- liberté, dans la mesure où elles concernent des établissements pénitentiaires surpeuplés, ce qui n’est pas contesté par le Gouvernement, s’avèrent en pratique difficiles à mettre en œuvre. La surpopulation des prisons et leur vétusté, a fortiori sur des territoires où n’existent que peu de prisons et où les transferts s’avèrent illusoires, font obstacle à ce que l’utilisation du référé-liberté offre aux personnes détenues la possibilité en pratique de faire cesser pleinement et immédiatement les atteintes graves portées à l’</w:t>
      </w:r>
      <w:r>
        <w:rPr>
          <w:rFonts w:ascii="Calibri" w:eastAsia="Calibri" w:hAnsi="Calibri" w:cs="Calibri"/>
          <w:color w:val="1E88E5"/>
        </w:rPr>
        <w:t>article 3</w:t>
      </w:r>
      <w:r>
        <w:rPr>
          <w:rFonts w:ascii="Calibri" w:eastAsia="Calibri" w:hAnsi="Calibri" w:cs="Calibri"/>
          <w:color w:val="1A1A1A"/>
        </w:rPr>
        <w:t xml:space="preserve"> de la Convention ou d’y apporter une amélioration substantielle. Dans ces conditions, il est aisé pour la Cour de concevoir que les autorités pénitentiaires françaises ne sont pas en mesure d’exécuter de manière satisfaisante les mesures prescrites par le juge de l’urgence et en conséquence de garantir aux personnes détenues des conditions de détention conformes à sa jurisprudence. Si le référé- liberté semble offrir un cadre juridique théorique solide pour juger d’atteintes graves aux droits des détenus, il ne peut être considéré comme le recours préventif qu’exige la Cour, pour les raisons qui viennent d’être exposées. La Cour ne voit pas de raison de statuer différemment s’agissant du référé mesures-utiles ; outre son caractère subsidiaire par rapport au référé-liberté et le caractère limité du pouvoir du juge (paragraphes 142 et 144 ci-dessus), il se heurte aux mêmes obstacles pratiques que ce dernier. 221. Eu égard à ce qui précède, la Cour considère qu’il n’a pas été démontré que les voies de recours préventives indiquées par le Gouvernement sont effectives en pratique, c’est-à-dire susceptibles d’empêcher la continuation de la violation alléguée et d’assurer aux requérants une amélioration de leurs conditions matérielles de détention. Dès lors, la Cour considère qu’il y a lieu de rejeter l’exception de non-épuisement soulevée par le Gouvernement et conclut que les requérants, à l’exception de M. </w:t>
      </w:r>
      <w:proofErr w:type="spellStart"/>
      <w:r>
        <w:rPr>
          <w:rFonts w:ascii="Calibri" w:eastAsia="Calibri" w:hAnsi="Calibri" w:cs="Calibri"/>
          <w:color w:val="1A1A1A"/>
        </w:rPr>
        <w:t>Mixtur</w:t>
      </w:r>
      <w:proofErr w:type="spellEnd"/>
      <w:r>
        <w:rPr>
          <w:rFonts w:ascii="Calibri" w:eastAsia="Calibri" w:hAnsi="Calibri" w:cs="Calibri"/>
          <w:color w:val="1A1A1A"/>
        </w:rPr>
        <w:t xml:space="preserve"> qui ne s’est pas plaint de la violation de l’</w:t>
      </w:r>
      <w:r>
        <w:rPr>
          <w:rFonts w:ascii="Calibri" w:eastAsia="Calibri" w:hAnsi="Calibri" w:cs="Calibri"/>
          <w:color w:val="1E88E5"/>
        </w:rPr>
        <w:t>article 13</w:t>
      </w:r>
      <w:r>
        <w:rPr>
          <w:rFonts w:ascii="Calibri" w:eastAsia="Calibri" w:hAnsi="Calibri" w:cs="Calibri"/>
          <w:color w:val="1A1A1A"/>
        </w:rPr>
        <w:t xml:space="preserve"> de la Convention, n’ont pas disposé d’un recours effectif en violation de l’</w:t>
      </w:r>
      <w:r>
        <w:rPr>
          <w:rFonts w:ascii="Calibri" w:eastAsia="Calibri" w:hAnsi="Calibri" w:cs="Calibri"/>
          <w:color w:val="1E88E5"/>
        </w:rPr>
        <w:t>article 13</w:t>
      </w:r>
      <w:r>
        <w:rPr>
          <w:rFonts w:ascii="Calibri" w:eastAsia="Calibri" w:hAnsi="Calibri" w:cs="Calibri"/>
          <w:color w:val="1A1A1A"/>
        </w:rPr>
        <w:t xml:space="preserve"> de la Convention. […] 316. Dans ce contexte, la Cour recommande à l’État défendeur d’envisager l’adoption de mesures générales. D’une part, de telles mesures devraient être prises afin de garantir aux détenus des conditions de détention conformes à l’</w:t>
      </w:r>
      <w:r>
        <w:rPr>
          <w:rFonts w:ascii="Calibri" w:eastAsia="Calibri" w:hAnsi="Calibri" w:cs="Calibri"/>
          <w:color w:val="1E88E5"/>
        </w:rPr>
        <w:t>article 3</w:t>
      </w:r>
      <w:r>
        <w:rPr>
          <w:rFonts w:ascii="Calibri" w:eastAsia="Calibri" w:hAnsi="Calibri" w:cs="Calibri"/>
          <w:color w:val="1A1A1A"/>
        </w:rPr>
        <w:t xml:space="preserve"> de la Convention. Cette mise en conformité devrait comporter la résorption définitive de la surpopulation carcérale. Ces mesures pourraient concerner la refonte du mode de calcul de la capacité des établissements pénitentiaires (paragraphes 124 à 126 et 205 ci-dessus) et l’amélioration du respect de cette capacité d’accueil. La Cour note également que la loi de programmation 2018-2022 comporte des dispositions de politique pénale et pénitentiaire qui pourraient avoir un impact positif sur la réduction du nombre de personnes incarcérées. Par ailleurs, devrait être établi un recours préventif permettant aux détenus, de manière effective, en combinaison avec le recours indemnitaire (paragraphe 167 ci-dessus), de redresser la situation dont ils sont victimes et d’empêcher la continuation d’une violation alléguée. […] PAR CES MOTIFS, LA COUR, À L’UNANIMITÉ, […] Dit qu’il y a eu violation de l’</w:t>
      </w:r>
      <w:r>
        <w:rPr>
          <w:rFonts w:ascii="Calibri" w:eastAsia="Calibri" w:hAnsi="Calibri" w:cs="Calibri"/>
          <w:color w:val="1E88E5"/>
        </w:rPr>
        <w:t>article 13</w:t>
      </w:r>
      <w:r>
        <w:rPr>
          <w:rFonts w:ascii="Calibri" w:eastAsia="Calibri" w:hAnsi="Calibri" w:cs="Calibri"/>
          <w:color w:val="1A1A1A"/>
        </w:rPr>
        <w:t xml:space="preserve"> de la Convention (recours préventif) et rejette l’objection du Gouvernement de non-épuisement des voies de recours internes ; Dit qu’il y a eu violation de l’</w:t>
      </w:r>
      <w:r>
        <w:rPr>
          <w:rFonts w:ascii="Calibri" w:eastAsia="Calibri" w:hAnsi="Calibri" w:cs="Calibri"/>
          <w:color w:val="1E88E5"/>
        </w:rPr>
        <w:t>article 3</w:t>
      </w:r>
      <w:r>
        <w:rPr>
          <w:rFonts w:ascii="Calibri" w:eastAsia="Calibri" w:hAnsi="Calibri" w:cs="Calibri"/>
          <w:color w:val="1A1A1A"/>
        </w:rPr>
        <w:t xml:space="preserve"> de la Convention du fait des conditions de détention des requérants et des requérantes et rejette l’objection du Gouvernement de non-épuisement des voies de recours internes ; […] »</w:t>
      </w:r>
    </w:p>
    <w:p w14:paraId="454880B5"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097E76E6" w14:textId="77777777" w:rsidR="001E3E87" w:rsidRDefault="005258B2">
      <w:pPr>
        <w:spacing w:after="90" w:line="264" w:lineRule="auto"/>
        <w:jc w:val="both"/>
      </w:pPr>
      <w:r>
        <w:rPr>
          <w:rFonts w:ascii="Calibri" w:eastAsia="Calibri" w:hAnsi="Calibri" w:cs="Calibri"/>
          <w:color w:val="1A1A1A"/>
        </w:rPr>
        <w:t xml:space="preserve">Dans une </w:t>
      </w:r>
      <w:r w:rsidRPr="0099587D">
        <w:rPr>
          <w:rFonts w:ascii="Calibri" w:eastAsia="Calibri" w:hAnsi="Calibri" w:cs="Calibri"/>
          <w:color w:val="E91D62"/>
        </w:rPr>
        <w:t>décision du 19 novembre 2009, dite Loi pénitentiaire</w:t>
      </w:r>
      <w:r>
        <w:rPr>
          <w:rFonts w:ascii="Calibri" w:eastAsia="Calibri" w:hAnsi="Calibri" w:cs="Calibri"/>
          <w:color w:val="1A1A1A"/>
        </w:rPr>
        <w:t xml:space="preserve">, le Conseil constitutionnel a affirmé, en mentionnant le </w:t>
      </w:r>
      <w:r>
        <w:rPr>
          <w:rFonts w:ascii="Calibri" w:eastAsia="Calibri" w:hAnsi="Calibri" w:cs="Calibri"/>
          <w:color w:val="1E88E5"/>
        </w:rPr>
        <w:t>Préambule de la Constitution de 1946</w:t>
      </w:r>
      <w:r>
        <w:rPr>
          <w:rFonts w:ascii="Calibri" w:eastAsia="Calibri" w:hAnsi="Calibri" w:cs="Calibri"/>
          <w:color w:val="1A1A1A"/>
        </w:rPr>
        <w:t>, que « la sauvegarde de la dignité de la personne contre toute forme d’asservissement et de dégradation est au nombre de ces droits et constitue un principe à valeur constitutionnelle ». Qu’ainsi, en vertu de l’</w:t>
      </w:r>
      <w:r>
        <w:rPr>
          <w:rFonts w:ascii="Calibri" w:eastAsia="Calibri" w:hAnsi="Calibri" w:cs="Calibri"/>
          <w:color w:val="1E88E5"/>
        </w:rPr>
        <w:t>article 34</w:t>
      </w:r>
      <w:r>
        <w:rPr>
          <w:rFonts w:ascii="Calibri" w:eastAsia="Calibri" w:hAnsi="Calibri" w:cs="Calibri"/>
          <w:color w:val="1A1A1A"/>
        </w:rPr>
        <w:t xml:space="preserve"> de la Constitution, le législateur doit notamment déterminer « les conditions et les modalités d’exécution des peines privatives de liberté dans le respect de la dignité de la personne ». Dans une </w:t>
      </w:r>
      <w:r w:rsidRPr="0099587D">
        <w:rPr>
          <w:rFonts w:ascii="Calibri" w:eastAsia="Calibri" w:hAnsi="Calibri" w:cs="Calibri"/>
          <w:color w:val="E91D62"/>
        </w:rPr>
        <w:t>décision QPC du 6 octobre 2023, Association des avocats pénalistes</w:t>
      </w:r>
      <w:r>
        <w:rPr>
          <w:rFonts w:ascii="Calibri" w:eastAsia="Calibri" w:hAnsi="Calibri" w:cs="Calibri"/>
          <w:color w:val="1A1A1A"/>
        </w:rPr>
        <w:t xml:space="preserve">, le Conseil constitutionnel a réaffirmé que </w:t>
      </w:r>
      <w:r w:rsidRPr="0099587D">
        <w:rPr>
          <w:rFonts w:ascii="Calibri" w:eastAsia="Calibri" w:hAnsi="Calibri" w:cs="Calibri"/>
          <w:i/>
          <w:iCs/>
          <w:color w:val="1A1A1A"/>
        </w:rPr>
        <w:t>« toute mesure privative de liberté doit être mise en œuvre dans le respect de la dignité humaine »</w:t>
      </w:r>
      <w:r>
        <w:rPr>
          <w:rFonts w:ascii="Calibri" w:eastAsia="Calibri" w:hAnsi="Calibri" w:cs="Calibri"/>
          <w:color w:val="1A1A1A"/>
        </w:rPr>
        <w:t xml:space="preserve">. Des personnes incarcérées dans plusieurs établissements pénitentiaires français ont saisi la Cour européenne pour violation des </w:t>
      </w:r>
      <w:r>
        <w:rPr>
          <w:rFonts w:ascii="Calibri" w:eastAsia="Calibri" w:hAnsi="Calibri" w:cs="Calibri"/>
          <w:color w:val="1E88E5"/>
        </w:rPr>
        <w:t>article 3 et 13</w:t>
      </w:r>
      <w:r>
        <w:rPr>
          <w:rFonts w:ascii="Calibri" w:eastAsia="Calibri" w:hAnsi="Calibri" w:cs="Calibri"/>
          <w:color w:val="1A1A1A"/>
        </w:rPr>
        <w:t xml:space="preserve"> de la Convention (moins de 3 m2 d’espace personnel, WC partiellement cloisonnés, intimité insuffisante, insuffisance d’activités, mauvaises conditions sanitaires et hygiénique… + limites des décisions rendues par le juge des référés pour faire cesser les conditions indignes de détention). Solution de la Cour : le recours préventif est inefficace pour la cessation des conditions indignes de détention à cause de la surpopulation carcérale (violation des </w:t>
      </w:r>
      <w:r>
        <w:rPr>
          <w:rFonts w:ascii="Calibri" w:eastAsia="Calibri" w:hAnsi="Calibri" w:cs="Calibri"/>
          <w:color w:val="1E88E5"/>
        </w:rPr>
        <w:t>articles 3 et 13</w:t>
      </w:r>
      <w:r>
        <w:rPr>
          <w:rFonts w:ascii="Calibri" w:eastAsia="Calibri" w:hAnsi="Calibri" w:cs="Calibri"/>
          <w:color w:val="1A1A1A"/>
        </w:rPr>
        <w:t>).</w:t>
      </w:r>
    </w:p>
    <w:p w14:paraId="53A4128C" w14:textId="77777777" w:rsidR="001E3E87" w:rsidRDefault="005258B2">
      <w:pPr>
        <w:spacing w:after="90" w:line="264" w:lineRule="auto"/>
        <w:jc w:val="both"/>
      </w:pPr>
      <w:r>
        <w:rPr>
          <w:rFonts w:ascii="Calibri" w:eastAsia="Calibri" w:hAnsi="Calibri" w:cs="Calibri"/>
          <w:b/>
          <w:bCs/>
          <w:color w:val="1A1A1A"/>
        </w:rPr>
        <w:lastRenderedPageBreak/>
        <w:t>Problématique et annonce du plan:</w:t>
      </w:r>
      <w:r>
        <w:rPr>
          <w:rFonts w:ascii="Calibri" w:eastAsia="Calibri" w:hAnsi="Calibri" w:cs="Calibri"/>
          <w:color w:val="1A1A1A"/>
        </w:rPr>
        <w:t xml:space="preserve"> À la suite de la condamnation de la France du 30 janvier 2020, une nouvelle voie de recours en cas de conditions indignes de détention a été adoptée (I), l’effectivité de cette voie de recours demeure toutefois contestée (II).</w:t>
      </w:r>
    </w:p>
    <w:p w14:paraId="58685927" w14:textId="77777777" w:rsidR="001E3E87" w:rsidRDefault="005258B2">
      <w:pPr>
        <w:pStyle w:val="Titre3"/>
        <w:spacing w:before="190" w:after="80"/>
      </w:pPr>
      <w:r>
        <w:rPr>
          <w:rFonts w:ascii="Calibri" w:eastAsia="Calibri" w:hAnsi="Calibri" w:cs="Calibri"/>
          <w:b/>
          <w:bCs/>
          <w:i/>
          <w:iCs/>
          <w:color w:val="1A1A1A"/>
          <w:sz w:val="21"/>
          <w:szCs w:val="21"/>
        </w:rPr>
        <w:t>I. La création d’une nouvelle voie de droit à la suite de l’arrêt J.M.B et a. contre France</w:t>
      </w:r>
    </w:p>
    <w:p w14:paraId="34F1CAC7" w14:textId="75CEA66A" w:rsidR="0099587D" w:rsidRPr="0099587D" w:rsidRDefault="005258B2" w:rsidP="0099587D">
      <w:pPr>
        <w:pStyle w:val="Titre3"/>
        <w:spacing w:before="190" w:after="80"/>
        <w:rPr>
          <w:b/>
          <w:bCs/>
          <w:i/>
          <w:iCs/>
          <w:sz w:val="21"/>
          <w:szCs w:val="21"/>
        </w:rPr>
      </w:pPr>
      <w:r>
        <w:rPr>
          <w:rFonts w:ascii="Calibri" w:eastAsia="Calibri" w:hAnsi="Calibri" w:cs="Calibri"/>
          <w:b/>
          <w:bCs/>
          <w:i/>
          <w:iCs/>
          <w:color w:val="1A1A1A"/>
          <w:sz w:val="21"/>
          <w:szCs w:val="21"/>
        </w:rPr>
        <w:t>A. La condamnation de la France pour violation de l’</w:t>
      </w:r>
      <w:r>
        <w:rPr>
          <w:rFonts w:ascii="Calibri" w:eastAsia="Calibri" w:hAnsi="Calibri" w:cs="Calibri"/>
          <w:b/>
          <w:bCs/>
          <w:i/>
          <w:iCs/>
          <w:color w:val="1E88E5"/>
          <w:sz w:val="21"/>
          <w:szCs w:val="21"/>
        </w:rPr>
        <w:t>article 3 et 13</w:t>
      </w:r>
      <w:r>
        <w:rPr>
          <w:rFonts w:ascii="Calibri" w:eastAsia="Calibri" w:hAnsi="Calibri" w:cs="Calibri"/>
          <w:b/>
          <w:bCs/>
          <w:i/>
          <w:iCs/>
          <w:color w:val="1A1A1A"/>
          <w:sz w:val="21"/>
          <w:szCs w:val="21"/>
        </w:rPr>
        <w:t xml:space="preserve"> de la Convention européenne des </w:t>
      </w:r>
      <w:r w:rsidRPr="0099587D">
        <w:rPr>
          <w:rFonts w:ascii="Calibri" w:eastAsia="Calibri" w:hAnsi="Calibri" w:cs="Calibri"/>
          <w:b/>
          <w:bCs/>
          <w:i/>
          <w:iCs/>
          <w:color w:val="1A1A1A"/>
          <w:sz w:val="21"/>
          <w:szCs w:val="21"/>
        </w:rPr>
        <w:t>droits</w:t>
      </w:r>
      <w:r w:rsidR="0099587D" w:rsidRPr="0099587D">
        <w:rPr>
          <w:rFonts w:ascii="Calibri" w:eastAsia="Calibri" w:hAnsi="Calibri" w:cs="Calibri"/>
          <w:b/>
          <w:bCs/>
          <w:i/>
          <w:iCs/>
          <w:color w:val="1A1A1A"/>
          <w:sz w:val="21"/>
          <w:szCs w:val="21"/>
        </w:rPr>
        <w:t xml:space="preserve"> </w:t>
      </w:r>
      <w:r w:rsidRPr="0099587D">
        <w:rPr>
          <w:rFonts w:ascii="Calibri" w:eastAsia="Calibri" w:hAnsi="Calibri" w:cs="Calibri"/>
          <w:b/>
          <w:bCs/>
          <w:i/>
          <w:iCs/>
          <w:color w:val="1A1A1A"/>
          <w:sz w:val="21"/>
          <w:szCs w:val="21"/>
        </w:rPr>
        <w:t xml:space="preserve">de l’homme </w:t>
      </w:r>
    </w:p>
    <w:p w14:paraId="13E37283" w14:textId="5D3AD45D" w:rsidR="001E3E87" w:rsidRDefault="005258B2">
      <w:pPr>
        <w:spacing w:after="90" w:line="264" w:lineRule="auto"/>
        <w:jc w:val="both"/>
      </w:pPr>
      <w:r>
        <w:rPr>
          <w:rFonts w:ascii="Calibri" w:eastAsia="Calibri" w:hAnsi="Calibri" w:cs="Calibri"/>
          <w:color w:val="1A1A1A"/>
        </w:rPr>
        <w:t>Selon la Cour, le référé-liberté, au regard de l’office limité du juge des référés, ne suffit pas à la personne incarcérée requérante pour que les conditions indignes de détention cessent. Dans la lignée de cet arrêt, en 2020, la Cour européenne des droits de l’homme a rendu l’</w:t>
      </w:r>
      <w:r w:rsidRPr="0099587D">
        <w:rPr>
          <w:rFonts w:ascii="Calibri" w:eastAsia="Calibri" w:hAnsi="Calibri" w:cs="Calibri"/>
          <w:color w:val="E91D62"/>
        </w:rPr>
        <w:t>arrêt Barbotin contre France</w:t>
      </w:r>
      <w:r>
        <w:rPr>
          <w:rFonts w:ascii="Calibri" w:eastAsia="Calibri" w:hAnsi="Calibri" w:cs="Calibri"/>
          <w:color w:val="1A1A1A"/>
        </w:rPr>
        <w:t xml:space="preserve"> par lequel elle condamne la France du fait de l’insuffisance du recours compensatoire en cas de conditions indignes de détention (violation de l’</w:t>
      </w:r>
      <w:r>
        <w:rPr>
          <w:rFonts w:ascii="Calibri" w:eastAsia="Calibri" w:hAnsi="Calibri" w:cs="Calibri"/>
          <w:color w:val="1E88E5"/>
        </w:rPr>
        <w:t>article 3 et 13</w:t>
      </w:r>
      <w:r>
        <w:rPr>
          <w:rFonts w:ascii="Calibri" w:eastAsia="Calibri" w:hAnsi="Calibri" w:cs="Calibri"/>
          <w:color w:val="1A1A1A"/>
        </w:rPr>
        <w:t xml:space="preserve"> également).</w:t>
      </w:r>
    </w:p>
    <w:p w14:paraId="17ACBE18" w14:textId="77777777" w:rsidR="001E3E87" w:rsidRDefault="005258B2">
      <w:pPr>
        <w:pStyle w:val="Titre3"/>
        <w:spacing w:before="190" w:after="80"/>
      </w:pPr>
      <w:r>
        <w:rPr>
          <w:rFonts w:ascii="Calibri" w:eastAsia="Calibri" w:hAnsi="Calibri" w:cs="Calibri"/>
          <w:b/>
          <w:bCs/>
          <w:i/>
          <w:iCs/>
          <w:color w:val="1A1A1A"/>
          <w:sz w:val="21"/>
          <w:szCs w:val="21"/>
        </w:rPr>
        <w:t>B. Une évolution du droit positif à l’issue de l’arrêt J.M.B. et a. contre France</w:t>
      </w:r>
    </w:p>
    <w:p w14:paraId="0C38CADA" w14:textId="77777777" w:rsidR="0099587D" w:rsidRDefault="005258B2">
      <w:pPr>
        <w:spacing w:after="90" w:line="264" w:lineRule="auto"/>
        <w:jc w:val="both"/>
        <w:rPr>
          <w:rFonts w:ascii="Calibri" w:eastAsia="Calibri" w:hAnsi="Calibri" w:cs="Calibri"/>
          <w:color w:val="1A1A1A"/>
        </w:rPr>
      </w:pPr>
      <w:r>
        <w:rPr>
          <w:rFonts w:ascii="Calibri" w:eastAsia="Calibri" w:hAnsi="Calibri" w:cs="Calibri"/>
          <w:color w:val="1A1A1A"/>
        </w:rPr>
        <w:t xml:space="preserve">Par cet arrêt, la Cour européenne a recommandé à la France de créer une nouvelle voie de recours préventive. La </w:t>
      </w:r>
      <w:r w:rsidRPr="0099587D">
        <w:rPr>
          <w:rFonts w:ascii="Calibri" w:eastAsia="Calibri" w:hAnsi="Calibri" w:cs="Calibri"/>
          <w:color w:val="E91D62"/>
        </w:rPr>
        <w:t>chambre criminelle de Cour de cassation, le 8 juillet 2020</w:t>
      </w:r>
      <w:r>
        <w:rPr>
          <w:rFonts w:ascii="Calibri" w:eastAsia="Calibri" w:hAnsi="Calibri" w:cs="Calibri"/>
          <w:color w:val="1A1A1A"/>
        </w:rPr>
        <w:t xml:space="preserve">, a pris acte de cet arrêt en affirmant qu’il </w:t>
      </w:r>
      <w:r w:rsidRPr="0099587D">
        <w:rPr>
          <w:rFonts w:ascii="Calibri" w:eastAsia="Calibri" w:hAnsi="Calibri" w:cs="Calibri"/>
          <w:i/>
          <w:iCs/>
          <w:color w:val="1A1A1A"/>
        </w:rPr>
        <w:t xml:space="preserve">« appartient au juge national, chargé d’appliquer la Convention, de tenir compte de ladite décision sans attendre une éventuelle modification des textes législatifs ou réglementaires » </w:t>
      </w:r>
      <w:r>
        <w:rPr>
          <w:rFonts w:ascii="Calibri" w:eastAsia="Calibri" w:hAnsi="Calibri" w:cs="Calibri"/>
          <w:color w:val="1A1A1A"/>
        </w:rPr>
        <w:t xml:space="preserve">; </w:t>
      </w:r>
      <w:r w:rsidR="0099587D">
        <w:rPr>
          <w:rFonts w:ascii="Calibri" w:eastAsia="Calibri" w:hAnsi="Calibri" w:cs="Calibri"/>
          <w:color w:val="1A1A1A"/>
        </w:rPr>
        <w:t xml:space="preserve">Elle </w:t>
      </w:r>
      <w:r>
        <w:rPr>
          <w:rFonts w:ascii="Calibri" w:eastAsia="Calibri" w:hAnsi="Calibri" w:cs="Calibri"/>
          <w:color w:val="1A1A1A"/>
        </w:rPr>
        <w:t xml:space="preserve">affirme que le juge judiciaire doit veiller à ce que la détention provisoire soit « exempte de tout traitement inhumain et dégradant ». Par </w:t>
      </w:r>
      <w:r w:rsidRPr="0099587D">
        <w:rPr>
          <w:rFonts w:ascii="Calibri" w:eastAsia="Calibri" w:hAnsi="Calibri" w:cs="Calibri"/>
          <w:color w:val="E91D62"/>
        </w:rPr>
        <w:t>deux décisions QPC du 2 octobre 2020 et du 16 avril 2021</w:t>
      </w:r>
      <w:r>
        <w:rPr>
          <w:rFonts w:ascii="Calibri" w:eastAsia="Calibri" w:hAnsi="Calibri" w:cs="Calibri"/>
          <w:color w:val="1A1A1A"/>
        </w:rPr>
        <w:t xml:space="preserve">, le Conseil constitutionnel censure des dispositions du </w:t>
      </w:r>
      <w:r>
        <w:rPr>
          <w:rFonts w:ascii="Calibri" w:eastAsia="Calibri" w:hAnsi="Calibri" w:cs="Calibri"/>
          <w:color w:val="1E88E5"/>
        </w:rPr>
        <w:t>Code de procédure pénale</w:t>
      </w:r>
      <w:r>
        <w:rPr>
          <w:rFonts w:ascii="Calibri" w:eastAsia="Calibri" w:hAnsi="Calibri" w:cs="Calibri"/>
          <w:color w:val="1A1A1A"/>
        </w:rPr>
        <w:t>, car elles ne permettent pas aux personnes incarcérées (prévenues et condamnées) de contester effectivement (</w:t>
      </w:r>
      <w:r>
        <w:rPr>
          <w:rFonts w:ascii="Calibri" w:eastAsia="Calibri" w:hAnsi="Calibri" w:cs="Calibri"/>
          <w:color w:val="1E88E5"/>
        </w:rPr>
        <w:t>art. 16</w:t>
      </w:r>
      <w:r>
        <w:rPr>
          <w:rFonts w:ascii="Calibri" w:eastAsia="Calibri" w:hAnsi="Calibri" w:cs="Calibri"/>
          <w:color w:val="1A1A1A"/>
        </w:rPr>
        <w:t xml:space="preserve"> </w:t>
      </w:r>
      <w:r w:rsidRPr="0099587D">
        <w:rPr>
          <w:rFonts w:ascii="Calibri" w:eastAsia="Calibri" w:hAnsi="Calibri" w:cs="Calibri"/>
          <w:color w:val="0070C0"/>
        </w:rPr>
        <w:t>de la Déclaration de 1789</w:t>
      </w:r>
      <w:r>
        <w:rPr>
          <w:rFonts w:ascii="Calibri" w:eastAsia="Calibri" w:hAnsi="Calibri" w:cs="Calibri"/>
          <w:color w:val="1A1A1A"/>
        </w:rPr>
        <w:t xml:space="preserve">) les conditions indignes de détention, et dit qu’il incombe au législateur de garantir aux personnes incarcérées de saisir le juge pour que soit mis fin aux conditions indignes. </w:t>
      </w:r>
    </w:p>
    <w:p w14:paraId="59056287" w14:textId="2D3EF937" w:rsidR="001E3E87" w:rsidRDefault="005258B2">
      <w:pPr>
        <w:spacing w:after="90" w:line="264" w:lineRule="auto"/>
        <w:jc w:val="both"/>
      </w:pPr>
      <w:r>
        <w:rPr>
          <w:rFonts w:ascii="Calibri" w:eastAsia="Calibri" w:hAnsi="Calibri" w:cs="Calibri"/>
          <w:color w:val="1A1A1A"/>
        </w:rPr>
        <w:t>La loi du 8 avril 2021 tendant à garantir le droit au respect de la dignité humaine en détention a introduit l’</w:t>
      </w:r>
      <w:r>
        <w:rPr>
          <w:rFonts w:ascii="Calibri" w:eastAsia="Calibri" w:hAnsi="Calibri" w:cs="Calibri"/>
          <w:color w:val="1E88E5"/>
        </w:rPr>
        <w:t>article 803-8</w:t>
      </w:r>
      <w:r>
        <w:rPr>
          <w:rFonts w:ascii="Calibri" w:eastAsia="Calibri" w:hAnsi="Calibri" w:cs="Calibri"/>
          <w:color w:val="1A1A1A"/>
        </w:rPr>
        <w:t xml:space="preserve"> dans le </w:t>
      </w:r>
      <w:r>
        <w:rPr>
          <w:rFonts w:ascii="Calibri" w:eastAsia="Calibri" w:hAnsi="Calibri" w:cs="Calibri"/>
          <w:color w:val="1E88E5"/>
        </w:rPr>
        <w:t>Code de procédure pénale</w:t>
      </w:r>
      <w:r w:rsidR="0099587D">
        <w:rPr>
          <w:rFonts w:ascii="Calibri" w:eastAsia="Calibri" w:hAnsi="Calibri" w:cs="Calibri"/>
          <w:color w:val="1E88E5"/>
        </w:rPr>
        <w:t>,</w:t>
      </w:r>
      <w:r>
        <w:rPr>
          <w:rFonts w:ascii="Calibri" w:eastAsia="Calibri" w:hAnsi="Calibri" w:cs="Calibri"/>
          <w:color w:val="1A1A1A"/>
        </w:rPr>
        <w:t xml:space="preserve"> une nouvelle voie de recours permettant à une personne incarcérée de saisir le juge judiciaire pour faire constater des conditions de détention indignes : détention provisoire </w:t>
      </w:r>
      <w:r w:rsidR="0099587D">
        <w:rPr>
          <w:rFonts w:ascii="Calibri" w:eastAsia="Calibri" w:hAnsi="Calibri" w:cs="Calibri"/>
          <w:color w:val="1A1A1A"/>
        </w:rPr>
        <w:t>=</w:t>
      </w:r>
      <w:r>
        <w:rPr>
          <w:rFonts w:ascii="Calibri" w:eastAsia="Calibri" w:hAnsi="Calibri" w:cs="Calibri"/>
          <w:color w:val="1A1A1A"/>
        </w:rPr>
        <w:t xml:space="preserve"> saisine du juge des libertés et de la détention / condamnation </w:t>
      </w:r>
      <w:r w:rsidR="0099587D">
        <w:rPr>
          <w:rFonts w:ascii="Calibri" w:eastAsia="Calibri" w:hAnsi="Calibri" w:cs="Calibri"/>
          <w:color w:val="1A1A1A"/>
        </w:rPr>
        <w:t>=</w:t>
      </w:r>
      <w:r>
        <w:rPr>
          <w:rFonts w:ascii="Calibri" w:eastAsia="Calibri" w:hAnsi="Calibri" w:cs="Calibri"/>
          <w:color w:val="1A1A1A"/>
        </w:rPr>
        <w:t xml:space="preserve"> saisine du juge d’application des peines.</w:t>
      </w:r>
    </w:p>
    <w:p w14:paraId="3EA1BDA5" w14:textId="77777777" w:rsidR="001E3E87" w:rsidRDefault="005258B2">
      <w:pPr>
        <w:pStyle w:val="Titre3"/>
        <w:spacing w:before="190" w:after="80"/>
      </w:pPr>
      <w:r>
        <w:rPr>
          <w:rFonts w:ascii="Calibri" w:eastAsia="Calibri" w:hAnsi="Calibri" w:cs="Calibri"/>
          <w:b/>
          <w:bCs/>
          <w:i/>
          <w:iCs/>
          <w:color w:val="1A1A1A"/>
          <w:sz w:val="21"/>
          <w:szCs w:val="21"/>
        </w:rPr>
        <w:t>II. La mise en œuvre hésitante de la condamnation de la France du 30 janvier 2020</w:t>
      </w:r>
    </w:p>
    <w:p w14:paraId="5DF52C4B" w14:textId="77777777" w:rsidR="001E3E87" w:rsidRDefault="005258B2">
      <w:pPr>
        <w:pStyle w:val="Titre3"/>
        <w:spacing w:before="190" w:after="80"/>
      </w:pPr>
      <w:r>
        <w:rPr>
          <w:rFonts w:ascii="Calibri" w:eastAsia="Calibri" w:hAnsi="Calibri" w:cs="Calibri"/>
          <w:b/>
          <w:bCs/>
          <w:i/>
          <w:iCs/>
          <w:color w:val="1A1A1A"/>
          <w:sz w:val="21"/>
          <w:szCs w:val="21"/>
        </w:rPr>
        <w:t>A. Une effectivité limitée à la nouvelle voie de recours</w:t>
      </w:r>
    </w:p>
    <w:p w14:paraId="21B132C8" w14:textId="6E42E16C" w:rsidR="001E3E87" w:rsidRDefault="005258B2">
      <w:pPr>
        <w:spacing w:after="90" w:line="264" w:lineRule="auto"/>
        <w:jc w:val="both"/>
      </w:pPr>
      <w:r>
        <w:rPr>
          <w:rFonts w:ascii="Calibri" w:eastAsia="Calibri" w:hAnsi="Calibri" w:cs="Calibri"/>
          <w:color w:val="1A1A1A"/>
        </w:rPr>
        <w:t xml:space="preserve">Dans sa </w:t>
      </w:r>
      <w:r w:rsidRPr="0099587D">
        <w:rPr>
          <w:rFonts w:ascii="Calibri" w:eastAsia="Calibri" w:hAnsi="Calibri" w:cs="Calibri"/>
          <w:color w:val="3A7C22" w:themeColor="accent6" w:themeShade="BF"/>
        </w:rPr>
        <w:t xml:space="preserve">« Déclaration relative à la proposition de loi </w:t>
      </w:r>
      <w:r w:rsidR="0099587D">
        <w:rPr>
          <w:rFonts w:ascii="Calibri" w:eastAsia="Calibri" w:hAnsi="Calibri" w:cs="Calibri"/>
          <w:color w:val="3A7C22" w:themeColor="accent6" w:themeShade="BF"/>
        </w:rPr>
        <w:t>t</w:t>
      </w:r>
      <w:r w:rsidRPr="0099587D">
        <w:rPr>
          <w:rFonts w:ascii="Calibri" w:eastAsia="Calibri" w:hAnsi="Calibri" w:cs="Calibri"/>
          <w:color w:val="3A7C22" w:themeColor="accent6" w:themeShade="BF"/>
        </w:rPr>
        <w:t>endant à garantir le droit au respect de la di</w:t>
      </w:r>
      <w:r w:rsidR="0099587D">
        <w:rPr>
          <w:rFonts w:ascii="Calibri" w:eastAsia="Calibri" w:hAnsi="Calibri" w:cs="Calibri"/>
          <w:color w:val="3A7C22" w:themeColor="accent6" w:themeShade="BF"/>
        </w:rPr>
        <w:t>g</w:t>
      </w:r>
      <w:r w:rsidRPr="0099587D">
        <w:rPr>
          <w:rFonts w:ascii="Calibri" w:eastAsia="Calibri" w:hAnsi="Calibri" w:cs="Calibri"/>
          <w:color w:val="3A7C22" w:themeColor="accent6" w:themeShade="BF"/>
        </w:rPr>
        <w:t>nité en détention »</w:t>
      </w:r>
      <w:r>
        <w:rPr>
          <w:rFonts w:ascii="Calibri" w:eastAsia="Calibri" w:hAnsi="Calibri" w:cs="Calibri"/>
          <w:color w:val="1A1A1A"/>
        </w:rPr>
        <w:t xml:space="preserve">, la </w:t>
      </w:r>
      <w:r w:rsidRPr="0099587D">
        <w:rPr>
          <w:rFonts w:ascii="Calibri" w:eastAsia="Calibri" w:hAnsi="Calibri" w:cs="Calibri"/>
          <w:color w:val="3A7C22" w:themeColor="accent6" w:themeShade="BF"/>
        </w:rPr>
        <w:t>Commission nationale consultative des droits de l’homme</w:t>
      </w:r>
      <w:r>
        <w:rPr>
          <w:rFonts w:ascii="Calibri" w:eastAsia="Calibri" w:hAnsi="Calibri" w:cs="Calibri"/>
          <w:color w:val="1A1A1A"/>
        </w:rPr>
        <w:t xml:space="preserve"> considère que le nouveau recours n’est pas compatible avec les exigences de la Cour européenne. Elle souligne que le transfèrement d’une personne incarcérée, afin qu’il soit mis fin à ses conditions de détention indignes, est incompatible avec le droit au respect de la vie privée et familiale des personnes concernées ; ainsi, cela pourrait dissuader des personnes d’exercer un recours contre leur conditions indignes de détention puisque cela pourrait mener à être loin de leur famille et donc complexifier les visites. Dans cette même déclaration, la Commission relève que le délai entre le dépôt de la requête et la décision juridictionnelle est contraire à la dignité humaine puisqu’il est question de conditions indignes de détention. Enfin, la Commission critique le transfèrement, car il pourrait porter atteinte à un parcours de soin ou encore à un projet d’aménagement de peine.</w:t>
      </w:r>
    </w:p>
    <w:p w14:paraId="25F5EDF6" w14:textId="77777777" w:rsidR="001E3E87" w:rsidRDefault="005258B2">
      <w:pPr>
        <w:pStyle w:val="Titre3"/>
        <w:spacing w:before="190" w:after="80"/>
      </w:pPr>
      <w:r>
        <w:rPr>
          <w:rFonts w:ascii="Calibri" w:eastAsia="Calibri" w:hAnsi="Calibri" w:cs="Calibri"/>
          <w:b/>
          <w:bCs/>
          <w:i/>
          <w:iCs/>
          <w:color w:val="1A1A1A"/>
          <w:sz w:val="21"/>
          <w:szCs w:val="21"/>
        </w:rPr>
        <w:t>B. Une effectivité timorée liée à la persistance de la surpopulation carcérale</w:t>
      </w:r>
    </w:p>
    <w:p w14:paraId="66B6BEE5" w14:textId="77777777" w:rsidR="001E3E87" w:rsidRDefault="005258B2">
      <w:pPr>
        <w:spacing w:after="90" w:line="264" w:lineRule="auto"/>
        <w:jc w:val="both"/>
      </w:pPr>
      <w:r>
        <w:rPr>
          <w:rFonts w:ascii="Calibri" w:eastAsia="Calibri" w:hAnsi="Calibri" w:cs="Calibri"/>
          <w:color w:val="1A1A1A"/>
        </w:rPr>
        <w:t>Dans l’</w:t>
      </w:r>
      <w:r w:rsidRPr="0099587D">
        <w:rPr>
          <w:rFonts w:ascii="Calibri" w:eastAsia="Calibri" w:hAnsi="Calibri" w:cs="Calibri"/>
          <w:color w:val="E91D62"/>
        </w:rPr>
        <w:t>arrêt J.M.B. et a. contre France</w:t>
      </w:r>
      <w:r>
        <w:rPr>
          <w:rFonts w:ascii="Calibri" w:eastAsia="Calibri" w:hAnsi="Calibri" w:cs="Calibri"/>
          <w:color w:val="1A1A1A"/>
        </w:rPr>
        <w:t>, la Cour européenne recommande à la France, pour assurer des conditions de détention compatibles avec l’</w:t>
      </w:r>
      <w:r>
        <w:rPr>
          <w:rFonts w:ascii="Calibri" w:eastAsia="Calibri" w:hAnsi="Calibri" w:cs="Calibri"/>
          <w:color w:val="1E88E5"/>
        </w:rPr>
        <w:t>article 3</w:t>
      </w:r>
      <w:r>
        <w:rPr>
          <w:rFonts w:ascii="Calibri" w:eastAsia="Calibri" w:hAnsi="Calibri" w:cs="Calibri"/>
          <w:color w:val="1A1A1A"/>
        </w:rPr>
        <w:t>, de diminuer sa population carcérale. L’effectivité de cette condamnation se heurte à la surpopulation carcérale. Le 14 mars 2024, le Comité des ministres du Conseil de l’Europe a exprimé une « profonde préoccupation » à l’aune de l’aggravation de la surpopulation carcérale française. Au 1er juin 2025 la surpopulation carcérale est à son apogée, le nombre de places en prison est d’environ 62 000 places opérationnelles pour plus de 84 000 personnes incarcérées.</w:t>
      </w:r>
    </w:p>
    <w:p w14:paraId="0BC650CE" w14:textId="77777777" w:rsidR="001E3E87" w:rsidRDefault="005258B2">
      <w:pPr>
        <w:spacing w:after="90" w:line="264" w:lineRule="auto"/>
        <w:jc w:val="both"/>
      </w:pPr>
      <w:r>
        <w:rPr>
          <w:rFonts w:ascii="Calibri" w:eastAsia="Calibri" w:hAnsi="Calibri" w:cs="Calibri"/>
          <w:color w:val="1A1A1A"/>
        </w:rPr>
        <w:t>Malgré sa condamnation par la Cour européenne le 30 janvier 2020, la France a fait l’objet de nouvelles condamnations sur le fondement de l’</w:t>
      </w:r>
      <w:r>
        <w:rPr>
          <w:rFonts w:ascii="Calibri" w:eastAsia="Calibri" w:hAnsi="Calibri" w:cs="Calibri"/>
          <w:color w:val="1E88E5"/>
        </w:rPr>
        <w:t>article 3</w:t>
      </w:r>
      <w:r>
        <w:rPr>
          <w:rFonts w:ascii="Calibri" w:eastAsia="Calibri" w:hAnsi="Calibri" w:cs="Calibri"/>
          <w:color w:val="1A1A1A"/>
        </w:rPr>
        <w:t xml:space="preserve"> de la Convention en matière pénitentiaire, dont le 6 juillet 2023 par l’</w:t>
      </w:r>
      <w:r w:rsidRPr="0099587D">
        <w:rPr>
          <w:rFonts w:ascii="Calibri" w:eastAsia="Calibri" w:hAnsi="Calibri" w:cs="Calibri"/>
          <w:color w:val="E91D62"/>
        </w:rPr>
        <w:t xml:space="preserve">arrêt B.M. et a. contre France </w:t>
      </w:r>
      <w:r>
        <w:rPr>
          <w:rFonts w:ascii="Calibri" w:eastAsia="Calibri" w:hAnsi="Calibri" w:cs="Calibri"/>
          <w:color w:val="1A1A1A"/>
        </w:rPr>
        <w:t>pour mauvaises conditions de détention, et le 18 avril 2024 par l’</w:t>
      </w:r>
      <w:r w:rsidRPr="0099587D">
        <w:rPr>
          <w:rFonts w:ascii="Calibri" w:eastAsia="Calibri" w:hAnsi="Calibri" w:cs="Calibri"/>
          <w:color w:val="E91D62"/>
        </w:rPr>
        <w:t>arrêt Leroy contre France</w:t>
      </w:r>
      <w:r>
        <w:rPr>
          <w:rFonts w:ascii="Calibri" w:eastAsia="Calibri" w:hAnsi="Calibri" w:cs="Calibri"/>
          <w:color w:val="1A1A1A"/>
        </w:rPr>
        <w:t xml:space="preserve"> en raison de conditions indignes consécutives à un mouvement social.</w:t>
      </w:r>
    </w:p>
    <w:p w14:paraId="52169ABE" w14:textId="77777777" w:rsidR="001E3E87" w:rsidRDefault="005258B2">
      <w:r>
        <w:br w:type="page"/>
      </w:r>
    </w:p>
    <w:p w14:paraId="483B55CC"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29 — COMMENTAIRE D’ARRÊT</w:t>
      </w:r>
    </w:p>
    <w:p w14:paraId="275746BB" w14:textId="77777777" w:rsidR="001E3E87" w:rsidRDefault="005258B2">
      <w:pPr>
        <w:spacing w:after="160"/>
      </w:pPr>
      <w:r>
        <w:rPr>
          <w:rFonts w:ascii="Calibri" w:eastAsia="Calibri" w:hAnsi="Calibri" w:cs="Calibri"/>
          <w:i/>
          <w:iCs/>
          <w:color w:val="5A5A5A"/>
          <w:sz w:val="18"/>
          <w:szCs w:val="18"/>
        </w:rPr>
        <w:t>Fiche n° 29 — L’interdiction de l’esclavage, de la traite, de la servitude et du travail forcé  |  PARTIE VI. LES DROITS CIVILS ET POLITIQUES  |  Fascicule p. 294</w:t>
      </w:r>
    </w:p>
    <w:p w14:paraId="5A4142AF"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14A809BF"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CEDH, V.C.L. et A.N. c. Royaume-Uni, 2021, [extraits] :</w:t>
      </w:r>
    </w:p>
    <w:p w14:paraId="0D8A9385"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 xml:space="preserve">« […] 175. La police a découvert le […] requérant le 21 avril 2009 à proximité d’une fabrique de cannabis […]. L’intéressé ayant initialement indiqué qu’il était né en 1972, ce qui lui aurait donné trente-sept ans, il a été traité comme un adulte […]. Eu égard au fait qu’il avait en réalité dix-sept ans, il est difficile de dire dans quelle mesure il était réellement crédible qu’il eût trente-sept ans, mais en toute hypothèse, à supposer que la police n’eût aucune raison de douter qu’il fût un adulte, le récit qu’il a livré lorsqu’elle l’a interrogé pour la première fois aurait dû éveiller des soupçons. En particulier, il a déclaré que la porte était verrouillée de l’extérieur et qu’il pensait que la fabrique était gardée, qu’il n’était pas payé pour son travail, et qu’il risquait d’être tué s’il arrêtait de travailler […]. Pourtant, il n’a pas été fait de signalement à une Autorité compétente [concernant la traite des êtres humains]. Au contraire, le jeune homme a été accusé de participation à la production d’une substance contrôlée de classe B […]. 176. Le 30 avril 2009, lors d’une audience tenue devant la Magistrates’ Court, le […] requérant a déclaré être né en 1992. À partir de ce moment, il a été admis qu’il avait dix-sept ans […]. Eu égard à ce que l’on savait de la situation des jeunes vietnamiens travaillant comme jardiniers dans des fabriques de cannabis […], la Cour considère qu’à cette date au plus tard, le CPS [Crown </w:t>
      </w:r>
      <w:proofErr w:type="spellStart"/>
      <w:r>
        <w:rPr>
          <w:rFonts w:ascii="Calibri" w:eastAsia="Calibri" w:hAnsi="Calibri" w:cs="Calibri"/>
          <w:color w:val="1A1A1A"/>
        </w:rPr>
        <w:t>Prosecution</w:t>
      </w:r>
      <w:proofErr w:type="spellEnd"/>
      <w:r>
        <w:rPr>
          <w:rFonts w:ascii="Calibri" w:eastAsia="Calibri" w:hAnsi="Calibri" w:cs="Calibri"/>
          <w:color w:val="1A1A1A"/>
        </w:rPr>
        <w:t xml:space="preserve"> Service] aurait dû prendre conscience de l’existence de circonstances donnant raisonnablement à penser que le deuxième requérant avait fait l’objet de traite […]. Or, alors que le CPS a réexaminé le dossier le 1er juin 2009, et conclu que l’intéressé était entré au Royaume-Uni dans le cadre d’un trafic illicite […]. 177. Entre-temps, le […] requérant avait plaidé coupable de l’infraction dont il était accusé […]. Bien qu’il eût aussi informé son avocat qu’il avait été enfermé dans la fabrique et menacé d’être tué s’il en partait, l’avocat avait estimé que la défense de contrainte n’était pas susceptible d’être retenue, car l’intéressé avait eu l’occasion de s’enfuir et ne l’avait pas saisie – l’Autorité compétente a par la suite considéré que cela pouvait s’expliquer par le fait que le jeune homme se trouvait dans une situation de dépendance et de vulnérabilité. […]. 179. Lorsqu’elle a rejeté l’appel du […] requérant, la Cour d’appel a dit que les critiques formulées à l’égard de la procédure qui avait abouti à la condamnation de l’intéressé ne tenaient pas compte du fait que les récits qu’il avait lui-même faits donnaient à penser qu’il avait été introduit au Royaume-Uni dans le cadre d’un trafic illicite. Elle a conclu en conséquence que ni la Crown Court, ni le CPS, ni la défense ne disposaient d’éléments permettant de soupçonner qu’il eût été amené au Royaume-Uni dans le cadre de la traite […]. 180. Avec tout le respect qu’elle doit à la Cour d’appel, la Cour juge cette conclusion difficilement conciliable avec les directives publiées par le CPS lui-même en février 2009, où il était indiqué que les enfants soumis à la traite pouvaient être réticents à révéler les circonstances dans lesquelles ils avaient été exploités et qu’en conséquence les procureurs devaient être eux-mêmes attentifs à cette possibilité […]. La Cour d’appel elle- même a formulé des directives semblables dans l’arrêt qu’elle a rendu dans l’affaire R v. O, où elle a dit clairement que les procureurs devaient connaître les protocoles et que les avocats de la défense devaient mener des investigations lorsqu’il existait des éléments crédibles montrant que leur client avait peut-être été victime de traite […]. La conclusion de la Cour d’appel est difficilement conciliable également avec les constats de la NSPCC NCTAIL et de l’Autorité compétente, qui ont conclu l’une et l’autre que le deuxième requérant avait bien été amené au Royaume-Uni dans le cadre de la traite […]. 181. À cet égard, la Cour a déjà dit que, dès le moment où l’on avait découvert le […] requérant, certains aspects du récit de l’intéressé auraient dû faire soupçonner qu’il s’agissait peut-être d’une victime de traite […]. Ces soupçons n’auraient dû que se faire plus présents lorsqu’il est apparu qu’il était mineur […]. À partir de ce moment, l’État avait l’obligation positive de prendre des mesures opérationnelles pour le protéger. Au lieu de cela, la procédure pénale a pu suivre son cours, et le deuxième requérant a plaidé coupable sur les conseils de son représentant. Alors que la NSPCC NCTAIL et l’Autorité compétente lui avaient par la suite toutes deux reconnu la qualité de victime de la traite, le CPS a rejeté cette appréciation sans justifier clairement sa décision, qui touchait au cœur des éléments nécessaires pour établir l’existence de la « traite », et la Cour d’appel, s’appuyant sur les mêmes motifs, a conclu que la décision de poursuivre ne constituait pas un abus de procédure. 182. À la lumière de ce qui précède, la Cour considère que l’on ne peut pas dire que l’État se soit acquitté de l’obligation qui lui incombait au titre de l’</w:t>
      </w:r>
      <w:r>
        <w:rPr>
          <w:rFonts w:ascii="Calibri" w:eastAsia="Calibri" w:hAnsi="Calibri" w:cs="Calibri"/>
          <w:color w:val="1E88E5"/>
        </w:rPr>
        <w:t>article 4</w:t>
      </w:r>
      <w:r>
        <w:rPr>
          <w:rFonts w:ascii="Calibri" w:eastAsia="Calibri" w:hAnsi="Calibri" w:cs="Calibri"/>
          <w:color w:val="1A1A1A"/>
        </w:rPr>
        <w:t xml:space="preserve"> de la Convention de prendre des mesures opérationnelles pour protéger le […] requérant, que ce soit au début, lorsqu’il devait être considéré comme une victime de traite potentielle, ou par la suite, après que l’Autorité compétente eut reconnu qu’il était effectivement une victime de traite. 183. Partant, elle conclut qu’il y a eu violation de l’</w:t>
      </w:r>
      <w:r>
        <w:rPr>
          <w:rFonts w:ascii="Calibri" w:eastAsia="Calibri" w:hAnsi="Calibri" w:cs="Calibri"/>
          <w:color w:val="1E88E5"/>
        </w:rPr>
        <w:t>article 4</w:t>
      </w:r>
      <w:r>
        <w:rPr>
          <w:rFonts w:ascii="Calibri" w:eastAsia="Calibri" w:hAnsi="Calibri" w:cs="Calibri"/>
          <w:color w:val="1A1A1A"/>
        </w:rPr>
        <w:t xml:space="preserve"> de la Convention à l’égard du […] requérant […]. »</w:t>
      </w:r>
    </w:p>
    <w:p w14:paraId="184A1276" w14:textId="77777777" w:rsidR="001E3E87" w:rsidRDefault="005258B2">
      <w:pPr>
        <w:pStyle w:val="Titre2"/>
        <w:spacing w:before="240" w:after="110"/>
      </w:pPr>
      <w:r>
        <w:rPr>
          <w:rFonts w:ascii="Calibri" w:eastAsia="Calibri" w:hAnsi="Calibri" w:cs="Calibri"/>
          <w:b/>
          <w:bCs/>
          <w:color w:val="1A1A1A"/>
          <w:spacing w:val="20"/>
          <w:sz w:val="23"/>
          <w:szCs w:val="23"/>
        </w:rPr>
        <w:lastRenderedPageBreak/>
        <w:t>CORRIGÉ</w:t>
      </w:r>
    </w:p>
    <w:p w14:paraId="6CB2F4BC" w14:textId="77777777" w:rsidR="001E3E87" w:rsidRDefault="005258B2">
      <w:pPr>
        <w:spacing w:after="90" w:line="264" w:lineRule="auto"/>
        <w:jc w:val="both"/>
      </w:pPr>
      <w:r>
        <w:rPr>
          <w:rFonts w:ascii="Calibri" w:eastAsia="Calibri" w:hAnsi="Calibri" w:cs="Calibri"/>
          <w:color w:val="1A1A1A"/>
        </w:rPr>
        <w:t>Le requérant mineur étranger a été arrêté le 21 avril 2009 à proximité d’une exploitation de cannabis au Royaume-Uni, après avoir été introduit sur le territoire depuis le Vietnam. Il a été accusé de production d’une substance illicite malgré le fait qu’il ait été reconnu comme une victime de traite des êtres humains. La possibilité que le requérant ait été une victime de traite des êtres humains a été portée à la connaissance des services de l’État pendant la procédure préliminaire. Malgré cela, le requérant a été condamné en première instance et ses appels rejetés sur le fondement qu’il avait participé à des activités illégales. Les demandes d’autorisation de saisie de la Cour suprême ont été rejetées. Le requérant a saisi la Cour européenne des droits de l’homme qui a rendu son arrêt le 10 janvier 2021. Le requérant indique ne pas avoir été correctement identifié comme victime de traite et de ne pas avoir été protégé en conséquence par l’État défendeur, ayant ainsi failli au respect de ses obligations positives émanant de l’</w:t>
      </w:r>
      <w:r>
        <w:rPr>
          <w:rFonts w:ascii="Calibri" w:eastAsia="Calibri" w:hAnsi="Calibri" w:cs="Calibri"/>
          <w:color w:val="1E88E5"/>
        </w:rPr>
        <w:t>article 4</w:t>
      </w:r>
      <w:r>
        <w:rPr>
          <w:rFonts w:ascii="Calibri" w:eastAsia="Calibri" w:hAnsi="Calibri" w:cs="Calibri"/>
          <w:color w:val="1A1A1A"/>
        </w:rPr>
        <w:t xml:space="preserve"> de la Convention européenne. La Cour condamne l’État défendeur pour manquement aux obligations émanant de l’</w:t>
      </w:r>
      <w:r>
        <w:rPr>
          <w:rFonts w:ascii="Calibri" w:eastAsia="Calibri" w:hAnsi="Calibri" w:cs="Calibri"/>
          <w:color w:val="1E88E5"/>
        </w:rPr>
        <w:t>article 4</w:t>
      </w:r>
      <w:r>
        <w:rPr>
          <w:rFonts w:ascii="Calibri" w:eastAsia="Calibri" w:hAnsi="Calibri" w:cs="Calibri"/>
          <w:color w:val="1A1A1A"/>
        </w:rPr>
        <w:t xml:space="preserve"> de la </w:t>
      </w:r>
      <w:r>
        <w:rPr>
          <w:rFonts w:ascii="Calibri" w:eastAsia="Calibri" w:hAnsi="Calibri" w:cs="Calibri"/>
          <w:color w:val="1E88E5"/>
        </w:rPr>
        <w:t>Convention européenne des droits de l’homme</w:t>
      </w:r>
      <w:r>
        <w:rPr>
          <w:rFonts w:ascii="Calibri" w:eastAsia="Calibri" w:hAnsi="Calibri" w:cs="Calibri"/>
          <w:color w:val="1A1A1A"/>
        </w:rPr>
        <w:t>.</w:t>
      </w:r>
    </w:p>
    <w:p w14:paraId="2863AF28" w14:textId="185E1A76"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La Cour européenne des droits de l’homme se penche sur le manquement de l’État concernant les obligations positives de protection de l’individu</w:t>
      </w:r>
      <w:r w:rsidR="00C32459">
        <w:rPr>
          <w:rFonts w:ascii="Calibri" w:eastAsia="Calibri" w:hAnsi="Calibri" w:cs="Calibri"/>
          <w:color w:val="1A1A1A"/>
        </w:rPr>
        <w:t> ;</w:t>
      </w:r>
      <w:r>
        <w:rPr>
          <w:rFonts w:ascii="Calibri" w:eastAsia="Calibri" w:hAnsi="Calibri" w:cs="Calibri"/>
          <w:color w:val="1A1A1A"/>
        </w:rPr>
        <w:t xml:space="preserve"> se faisant, elle réaffirme les principes de protection classique dans le cadre de la traite (I)</w:t>
      </w:r>
      <w:r w:rsidR="00C32459">
        <w:rPr>
          <w:rFonts w:ascii="Calibri" w:eastAsia="Calibri" w:hAnsi="Calibri" w:cs="Calibri"/>
          <w:color w:val="1A1A1A"/>
        </w:rPr>
        <w:t>,</w:t>
      </w:r>
      <w:r>
        <w:rPr>
          <w:rFonts w:ascii="Calibri" w:eastAsia="Calibri" w:hAnsi="Calibri" w:cs="Calibri"/>
          <w:color w:val="1A1A1A"/>
        </w:rPr>
        <w:t xml:space="preserve"> tout en limitant la marge de manœuvre de l’État pour la protection de cette liberté fondamentale (II).</w:t>
      </w:r>
    </w:p>
    <w:p w14:paraId="134369BA" w14:textId="77777777" w:rsidR="001E3E87" w:rsidRDefault="005258B2">
      <w:pPr>
        <w:pStyle w:val="Titre3"/>
        <w:spacing w:before="190" w:after="80"/>
      </w:pPr>
      <w:r>
        <w:rPr>
          <w:rFonts w:ascii="Calibri" w:eastAsia="Calibri" w:hAnsi="Calibri" w:cs="Calibri"/>
          <w:b/>
          <w:bCs/>
          <w:i/>
          <w:iCs/>
          <w:color w:val="1A1A1A"/>
          <w:sz w:val="21"/>
          <w:szCs w:val="21"/>
        </w:rPr>
        <w:t>I. La réaffirmation du cadre protecteur relatif à la traite</w:t>
      </w:r>
    </w:p>
    <w:p w14:paraId="1C3BB008" w14:textId="77777777" w:rsidR="001E3E87" w:rsidRDefault="005258B2">
      <w:pPr>
        <w:pStyle w:val="Titre3"/>
        <w:spacing w:before="190" w:after="80"/>
      </w:pPr>
      <w:r>
        <w:rPr>
          <w:rFonts w:ascii="Calibri" w:eastAsia="Calibri" w:hAnsi="Calibri" w:cs="Calibri"/>
          <w:b/>
          <w:bCs/>
          <w:i/>
          <w:iCs/>
          <w:color w:val="1A1A1A"/>
          <w:sz w:val="21"/>
          <w:szCs w:val="21"/>
        </w:rPr>
        <w:t>A. Un cadre protecteur étendue</w:t>
      </w:r>
    </w:p>
    <w:p w14:paraId="38DCE3DF" w14:textId="1F97814C" w:rsidR="001E3E87" w:rsidRDefault="005258B2">
      <w:pPr>
        <w:spacing w:after="90" w:line="264" w:lineRule="auto"/>
        <w:jc w:val="both"/>
      </w:pPr>
      <w:r>
        <w:rPr>
          <w:rFonts w:ascii="Calibri" w:eastAsia="Calibri" w:hAnsi="Calibri" w:cs="Calibri"/>
          <w:color w:val="1A1A1A"/>
        </w:rPr>
        <w:t>La Cour européenne analyse les faits sous l’angle de l’</w:t>
      </w:r>
      <w:r>
        <w:rPr>
          <w:rFonts w:ascii="Calibri" w:eastAsia="Calibri" w:hAnsi="Calibri" w:cs="Calibri"/>
          <w:color w:val="1E88E5"/>
        </w:rPr>
        <w:t>article 4</w:t>
      </w:r>
      <w:r>
        <w:rPr>
          <w:rFonts w:ascii="Calibri" w:eastAsia="Calibri" w:hAnsi="Calibri" w:cs="Calibri"/>
          <w:color w:val="1A1A1A"/>
        </w:rPr>
        <w:t xml:space="preserve"> de la Convention</w:t>
      </w:r>
      <w:r w:rsidR="00EB607B">
        <w:rPr>
          <w:rFonts w:ascii="Calibri" w:eastAsia="Calibri" w:hAnsi="Calibri" w:cs="Calibri"/>
          <w:color w:val="1A1A1A"/>
        </w:rPr>
        <w:t>.</w:t>
      </w:r>
      <w:r>
        <w:rPr>
          <w:rFonts w:ascii="Calibri" w:eastAsia="Calibri" w:hAnsi="Calibri" w:cs="Calibri"/>
          <w:color w:val="1A1A1A"/>
        </w:rPr>
        <w:t xml:space="preserve"> L’</w:t>
      </w:r>
      <w:r>
        <w:rPr>
          <w:rFonts w:ascii="Calibri" w:eastAsia="Calibri" w:hAnsi="Calibri" w:cs="Calibri"/>
          <w:color w:val="1E88E5"/>
        </w:rPr>
        <w:t>article 4</w:t>
      </w:r>
      <w:r>
        <w:rPr>
          <w:rFonts w:ascii="Calibri" w:eastAsia="Calibri" w:hAnsi="Calibri" w:cs="Calibri"/>
          <w:color w:val="1A1A1A"/>
        </w:rPr>
        <w:t xml:space="preserve"> possède une structure qui ne mentionne pas la protection contre la traite des êtres humains :</w:t>
      </w:r>
    </w:p>
    <w:p w14:paraId="0D1EA800"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Cela résulte d’une interprétation à l’aune du but et de l’objet de l’</w:t>
      </w:r>
      <w:r>
        <w:rPr>
          <w:rFonts w:ascii="Calibri" w:eastAsia="Calibri" w:hAnsi="Calibri" w:cs="Calibri"/>
          <w:color w:val="1E88E5"/>
        </w:rPr>
        <w:t>article 4</w:t>
      </w:r>
      <w:r>
        <w:rPr>
          <w:rFonts w:ascii="Calibri" w:eastAsia="Calibri" w:hAnsi="Calibri" w:cs="Calibri"/>
          <w:color w:val="1A1A1A"/>
        </w:rPr>
        <w:t xml:space="preserve"> : protection contre l’exploitation, protection de la dignité inhérente à l’être humain (</w:t>
      </w:r>
      <w:r>
        <w:rPr>
          <w:rFonts w:ascii="Calibri" w:eastAsia="Calibri" w:hAnsi="Calibri" w:cs="Calibri"/>
          <w:color w:val="E91E63"/>
        </w:rPr>
        <w:t>CEDH [GC], 25 juin 2020, S.M. c. Croatie, no 60561/14</w:t>
      </w:r>
      <w:r>
        <w:rPr>
          <w:rFonts w:ascii="Calibri" w:eastAsia="Calibri" w:hAnsi="Calibri" w:cs="Calibri"/>
          <w:color w:val="1A1A1A"/>
        </w:rPr>
        <w:t>)</w:t>
      </w:r>
    </w:p>
    <w:p w14:paraId="06362474" w14:textId="77777777" w:rsidR="00EB607B" w:rsidRPr="00EB607B" w:rsidRDefault="005258B2">
      <w:pPr>
        <w:pStyle w:val="Paragraphedeliste"/>
        <w:numPr>
          <w:ilvl w:val="0"/>
          <w:numId w:val="2"/>
        </w:numPr>
        <w:spacing w:after="70" w:line="264" w:lineRule="auto"/>
        <w:jc w:val="both"/>
      </w:pPr>
      <w:r>
        <w:rPr>
          <w:rFonts w:ascii="Calibri" w:eastAsia="Calibri" w:hAnsi="Calibri" w:cs="Calibri"/>
          <w:color w:val="1A1A1A"/>
        </w:rPr>
        <w:t>Il faut par ailleurs noter une incompétence Ratione Materiae de la Cour pour juger les violations des autres convention</w:t>
      </w:r>
      <w:r w:rsidR="00EB607B">
        <w:rPr>
          <w:rFonts w:ascii="Calibri" w:eastAsia="Calibri" w:hAnsi="Calibri" w:cs="Calibri"/>
          <w:color w:val="1A1A1A"/>
        </w:rPr>
        <w:t xml:space="preserve">s. </w:t>
      </w:r>
      <w:r>
        <w:rPr>
          <w:rFonts w:ascii="Calibri" w:eastAsia="Calibri" w:hAnsi="Calibri" w:cs="Calibri"/>
          <w:color w:val="1A1A1A"/>
        </w:rPr>
        <w:t xml:space="preserve"> </w:t>
      </w:r>
    </w:p>
    <w:p w14:paraId="6C1FAE23" w14:textId="45CA8AA8" w:rsidR="001E3E87" w:rsidRDefault="005258B2" w:rsidP="00EB607B">
      <w:pPr>
        <w:spacing w:after="70" w:line="264" w:lineRule="auto"/>
        <w:jc w:val="both"/>
      </w:pPr>
      <w:r w:rsidRPr="00EB607B">
        <w:rPr>
          <w:rFonts w:ascii="Calibri" w:eastAsia="Calibri" w:hAnsi="Calibri" w:cs="Calibri"/>
          <w:color w:val="1A1A1A"/>
        </w:rPr>
        <w:t>L’utilisation des critères de qualification de la traite fait cependant écho à :</w:t>
      </w:r>
    </w:p>
    <w:p w14:paraId="16686004"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 xml:space="preserve">La convention anti-traite du Conseil de l’Europe en son </w:t>
      </w:r>
      <w:r>
        <w:rPr>
          <w:rFonts w:ascii="Calibri" w:eastAsia="Calibri" w:hAnsi="Calibri" w:cs="Calibri"/>
          <w:color w:val="1E88E5"/>
        </w:rPr>
        <w:t>article 4</w:t>
      </w:r>
      <w:r>
        <w:rPr>
          <w:rFonts w:ascii="Calibri" w:eastAsia="Calibri" w:hAnsi="Calibri" w:cs="Calibri"/>
          <w:color w:val="1A1A1A"/>
        </w:rPr>
        <w:t xml:space="preserve"> : la traite est caractérisée par un acte, un moyen, un but, ici le transport sur le territoire britannique, dans un but d’exploitation.</w:t>
      </w:r>
    </w:p>
    <w:p w14:paraId="3D383120"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 xml:space="preserve">Le cas des enfants : la Convention anti-traite du Conseil de l’Europe, </w:t>
      </w:r>
      <w:r>
        <w:rPr>
          <w:rFonts w:ascii="Calibri" w:eastAsia="Calibri" w:hAnsi="Calibri" w:cs="Calibri"/>
          <w:color w:val="1E88E5"/>
        </w:rPr>
        <w:t>Article 4</w:t>
      </w:r>
      <w:r>
        <w:rPr>
          <w:rFonts w:ascii="Calibri" w:eastAsia="Calibri" w:hAnsi="Calibri" w:cs="Calibri"/>
          <w:color w:val="1A1A1A"/>
        </w:rPr>
        <w:t>, c) et le Protocole de Palerme ne considèrent pas le critère du « moyen » pertinent dans le cas de l’enfant. Il est remplacé par la « situation de dépendance et de vulnérabilité » inhérente du mineur. La Cour fait donc une analyse extensive de la notion d’exploitation, et en harmonie avec le droit international.</w:t>
      </w:r>
    </w:p>
    <w:p w14:paraId="2FC170E4" w14:textId="77777777" w:rsidR="001E3E87" w:rsidRDefault="005258B2">
      <w:pPr>
        <w:pStyle w:val="Titre3"/>
        <w:spacing w:before="190" w:after="80"/>
      </w:pPr>
      <w:r>
        <w:rPr>
          <w:rFonts w:ascii="Calibri" w:eastAsia="Calibri" w:hAnsi="Calibri" w:cs="Calibri"/>
          <w:b/>
          <w:bCs/>
          <w:i/>
          <w:iCs/>
          <w:color w:val="1A1A1A"/>
          <w:sz w:val="21"/>
          <w:szCs w:val="21"/>
        </w:rPr>
        <w:t>B. L’existence d’obligations de protection de la victime</w:t>
      </w:r>
    </w:p>
    <w:p w14:paraId="2B14B39F" w14:textId="77777777" w:rsidR="001E3E87" w:rsidRDefault="005258B2">
      <w:pPr>
        <w:spacing w:after="90" w:line="264" w:lineRule="auto"/>
        <w:jc w:val="both"/>
      </w:pPr>
      <w:r>
        <w:rPr>
          <w:rFonts w:ascii="Calibri" w:eastAsia="Calibri" w:hAnsi="Calibri" w:cs="Calibri"/>
          <w:color w:val="1A1A1A"/>
        </w:rPr>
        <w:t xml:space="preserve">Les éléments à la disposition des autorités étaient suffisamment crédibles pour s’engager dans le processus de protection des potentielles victimes de traite. Les obligations positives émanant de la </w:t>
      </w:r>
      <w:r>
        <w:rPr>
          <w:rFonts w:ascii="Calibri" w:eastAsia="Calibri" w:hAnsi="Calibri" w:cs="Calibri"/>
          <w:color w:val="1E88E5"/>
        </w:rPr>
        <w:t>Convention européenne des droits de l’homme</w:t>
      </w:r>
      <w:r>
        <w:rPr>
          <w:rFonts w:ascii="Calibri" w:eastAsia="Calibri" w:hAnsi="Calibri" w:cs="Calibri"/>
          <w:color w:val="1A1A1A"/>
        </w:rPr>
        <w:t xml:space="preserve"> imposent l’obligation de prendre des « mesures opérationnelles » (</w:t>
      </w:r>
      <w:r>
        <w:rPr>
          <w:rFonts w:ascii="Calibri" w:eastAsia="Calibri" w:hAnsi="Calibri" w:cs="Calibri"/>
          <w:color w:val="E91E63"/>
        </w:rPr>
        <w:t>CEDH, 7 janvier 2010, Rantsev c. Chypre et Russie, no 25965/04</w:t>
      </w:r>
      <w:r>
        <w:rPr>
          <w:rFonts w:ascii="Calibri" w:eastAsia="Calibri" w:hAnsi="Calibri" w:cs="Calibri"/>
          <w:color w:val="1A1A1A"/>
        </w:rPr>
        <w:t>) :</w:t>
      </w:r>
    </w:p>
    <w:p w14:paraId="543B979A"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Il y avait des motifs raisonnables de croire que le requérant était une victime avérée ou potentielle de traite (</w:t>
      </w:r>
      <w:r>
        <w:rPr>
          <w:rFonts w:ascii="Calibri" w:eastAsia="Calibri" w:hAnsi="Calibri" w:cs="Calibri"/>
          <w:color w:val="E91E63"/>
        </w:rPr>
        <w:t>CEDH, 13 novembre 2012, C.N. c. Royaume-Uni, no 4239/08</w:t>
      </w:r>
      <w:r>
        <w:rPr>
          <w:rFonts w:ascii="Calibri" w:eastAsia="Calibri" w:hAnsi="Calibri" w:cs="Calibri"/>
          <w:color w:val="1A1A1A"/>
        </w:rPr>
        <w:t>).</w:t>
      </w:r>
    </w:p>
    <w:p w14:paraId="0D33DBAB"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Les faits sont venus à la connaissance des autorités (</w:t>
      </w:r>
      <w:r>
        <w:rPr>
          <w:rFonts w:ascii="Calibri" w:eastAsia="Calibri" w:hAnsi="Calibri" w:cs="Calibri"/>
          <w:color w:val="E91E63"/>
        </w:rPr>
        <w:t>CEDH, 29 novembre 2011, V.F. c. France (déc.), no 7196/10</w:t>
      </w:r>
      <w:r>
        <w:rPr>
          <w:rFonts w:ascii="Calibri" w:eastAsia="Calibri" w:hAnsi="Calibri" w:cs="Calibri"/>
          <w:color w:val="1A1A1A"/>
        </w:rPr>
        <w:t>).</w:t>
      </w:r>
    </w:p>
    <w:p w14:paraId="197EF81B"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 minorité est un élément nécessitant l’adaptation des mesures particulières (</w:t>
      </w:r>
      <w:r>
        <w:rPr>
          <w:rFonts w:ascii="Calibri" w:eastAsia="Calibri" w:hAnsi="Calibri" w:cs="Calibri"/>
          <w:color w:val="E91E63"/>
        </w:rPr>
        <w:t xml:space="preserve">CEDH, 1er avril 2021, A.I. c. Italie, no 70896/17 </w:t>
      </w:r>
      <w:r>
        <w:rPr>
          <w:rFonts w:ascii="Calibri" w:eastAsia="Calibri" w:hAnsi="Calibri" w:cs="Calibri"/>
          <w:color w:val="1A1A1A"/>
        </w:rPr>
        <w:t>sur l’adaptation des mesures à prendre en fonction des situations). Le consentement de la victime à l’exploitation n’est pas considéré comme pertinent, en particulier pour les mineurs (</w:t>
      </w:r>
      <w:r>
        <w:rPr>
          <w:rFonts w:ascii="Calibri" w:eastAsia="Calibri" w:hAnsi="Calibri" w:cs="Calibri"/>
          <w:color w:val="E91E63"/>
        </w:rPr>
        <w:t>CEDH, 20 mars 2017, Chowdury et a. c. Grèce, no 21884/15</w:t>
      </w:r>
      <w:r>
        <w:rPr>
          <w:rFonts w:ascii="Calibri" w:eastAsia="Calibri" w:hAnsi="Calibri" w:cs="Calibri"/>
          <w:color w:val="1A1A1A"/>
        </w:rPr>
        <w:t>).</w:t>
      </w:r>
    </w:p>
    <w:p w14:paraId="3700D423" w14:textId="77777777" w:rsidR="001E3E87" w:rsidRDefault="005258B2">
      <w:pPr>
        <w:pStyle w:val="Titre3"/>
        <w:spacing w:before="190" w:after="80"/>
      </w:pPr>
      <w:r>
        <w:rPr>
          <w:rFonts w:ascii="Calibri" w:eastAsia="Calibri" w:hAnsi="Calibri" w:cs="Calibri"/>
          <w:b/>
          <w:bCs/>
          <w:i/>
          <w:iCs/>
          <w:color w:val="1A1A1A"/>
          <w:sz w:val="21"/>
          <w:szCs w:val="21"/>
        </w:rPr>
        <w:t>II. La recherche d’un équilibre entre l’action de l’État et la protection de l’individu</w:t>
      </w:r>
    </w:p>
    <w:p w14:paraId="35D722A0" w14:textId="77777777" w:rsidR="001E3E87" w:rsidRDefault="005258B2">
      <w:pPr>
        <w:pStyle w:val="Titre3"/>
        <w:spacing w:before="190" w:after="80"/>
      </w:pPr>
      <w:r>
        <w:rPr>
          <w:rFonts w:ascii="Calibri" w:eastAsia="Calibri" w:hAnsi="Calibri" w:cs="Calibri"/>
          <w:b/>
          <w:bCs/>
          <w:i/>
          <w:iCs/>
          <w:color w:val="1A1A1A"/>
          <w:sz w:val="21"/>
          <w:szCs w:val="21"/>
        </w:rPr>
        <w:t>A. La criminalisation de la victime de traite</w:t>
      </w:r>
    </w:p>
    <w:p w14:paraId="19581AC9" w14:textId="77777777" w:rsidR="001E3E87" w:rsidRDefault="005258B2">
      <w:pPr>
        <w:spacing w:after="90" w:line="264" w:lineRule="auto"/>
        <w:jc w:val="both"/>
      </w:pPr>
      <w:r>
        <w:rPr>
          <w:rFonts w:ascii="Calibri" w:eastAsia="Calibri" w:hAnsi="Calibri" w:cs="Calibri"/>
          <w:color w:val="1A1A1A"/>
        </w:rPr>
        <w:t>La Cour ne condamne pas l’État sur la base de la criminalisation des victimes de traite, mais sur le non-respect du devoir d’assistance aux victimes :</w:t>
      </w:r>
    </w:p>
    <w:p w14:paraId="64084F82"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lastRenderedPageBreak/>
        <w:t xml:space="preserve">L’obligation d’assistance aux victimes possède différentes sources : </w:t>
      </w:r>
      <w:r>
        <w:rPr>
          <w:rFonts w:ascii="Calibri" w:eastAsia="Calibri" w:hAnsi="Calibri" w:cs="Calibri"/>
          <w:color w:val="E91E63"/>
        </w:rPr>
        <w:t xml:space="preserve">CEDH,7 janvier 2010, Rantsev c. Chypre et Russie, no 25965/04 </w:t>
      </w:r>
      <w:r>
        <w:rPr>
          <w:rFonts w:ascii="Calibri" w:eastAsia="Calibri" w:hAnsi="Calibri" w:cs="Calibri"/>
          <w:color w:val="1A1A1A"/>
        </w:rPr>
        <w:t xml:space="preserve">; </w:t>
      </w:r>
      <w:r>
        <w:rPr>
          <w:rFonts w:ascii="Calibri" w:eastAsia="Calibri" w:hAnsi="Calibri" w:cs="Calibri"/>
          <w:color w:val="1E88E5"/>
        </w:rPr>
        <w:t>article 12</w:t>
      </w:r>
      <w:r>
        <w:rPr>
          <w:rFonts w:ascii="Calibri" w:eastAsia="Calibri" w:hAnsi="Calibri" w:cs="Calibri"/>
          <w:color w:val="1A1A1A"/>
        </w:rPr>
        <w:t xml:space="preserve"> de la Convention anti-traite du Conseil de l’Europe.</w:t>
      </w:r>
    </w:p>
    <w:p w14:paraId="2DDF1ACD"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Cependant, il existe dans cet arrêt une confrontation entre le respect du devoir d’assistance et la possibilité pour l’État de criminaliser certains comportements. La marge d’appréciation étatique est réduite considérablement, favorisant un standard de protection élevé pour les mineurs victimes de traite. Cet arrêt va également dans le sens d’un consensus européen :</w:t>
      </w:r>
    </w:p>
    <w:p w14:paraId="6313E584" w14:textId="77777777" w:rsidR="001E3E87" w:rsidRPr="005B6D57" w:rsidRDefault="005258B2">
      <w:pPr>
        <w:pStyle w:val="Paragraphedeliste"/>
        <w:numPr>
          <w:ilvl w:val="0"/>
          <w:numId w:val="2"/>
        </w:numPr>
        <w:spacing w:after="70" w:line="264" w:lineRule="auto"/>
        <w:jc w:val="both"/>
        <w:rPr>
          <w:i/>
          <w:iCs/>
        </w:rPr>
      </w:pPr>
      <w:r>
        <w:rPr>
          <w:rFonts w:ascii="Calibri" w:eastAsia="Calibri" w:hAnsi="Calibri" w:cs="Calibri"/>
          <w:color w:val="1A1A1A"/>
        </w:rPr>
        <w:t xml:space="preserve">Pour les États membres de l’Union européenne, de la </w:t>
      </w:r>
      <w:r>
        <w:rPr>
          <w:rFonts w:ascii="Calibri" w:eastAsia="Calibri" w:hAnsi="Calibri" w:cs="Calibri"/>
          <w:color w:val="1E88E5"/>
        </w:rPr>
        <w:t>directive 2011/</w:t>
      </w:r>
      <w:r w:rsidRPr="005B6D57">
        <w:rPr>
          <w:rFonts w:ascii="Calibri" w:eastAsia="Calibri" w:hAnsi="Calibri" w:cs="Calibri"/>
          <w:color w:val="0070C0"/>
        </w:rPr>
        <w:t xml:space="preserve">36/EU </w:t>
      </w:r>
      <w:r>
        <w:rPr>
          <w:rFonts w:ascii="Calibri" w:eastAsia="Calibri" w:hAnsi="Calibri" w:cs="Calibri"/>
          <w:color w:val="1A1A1A"/>
        </w:rPr>
        <w:t xml:space="preserve">du Parlement européen et du Conseil du 5 avril 2011, réaffirmée par la </w:t>
      </w:r>
      <w:r>
        <w:rPr>
          <w:rFonts w:ascii="Calibri" w:eastAsia="Calibri" w:hAnsi="Calibri" w:cs="Calibri"/>
          <w:color w:val="1E88E5"/>
        </w:rPr>
        <w:t>directive 2024/1712</w:t>
      </w:r>
      <w:r>
        <w:rPr>
          <w:rFonts w:ascii="Calibri" w:eastAsia="Calibri" w:hAnsi="Calibri" w:cs="Calibri"/>
          <w:color w:val="1A1A1A"/>
        </w:rPr>
        <w:t xml:space="preserve">, qui indique dans son </w:t>
      </w:r>
      <w:r>
        <w:rPr>
          <w:rFonts w:ascii="Calibri" w:eastAsia="Calibri" w:hAnsi="Calibri" w:cs="Calibri"/>
          <w:color w:val="1E88E5"/>
        </w:rPr>
        <w:t>article 8</w:t>
      </w:r>
      <w:r>
        <w:rPr>
          <w:rFonts w:ascii="Calibri" w:eastAsia="Calibri" w:hAnsi="Calibri" w:cs="Calibri"/>
          <w:color w:val="1A1A1A"/>
        </w:rPr>
        <w:t xml:space="preserve"> : </w:t>
      </w:r>
      <w:r w:rsidRPr="005B6D57">
        <w:rPr>
          <w:rFonts w:ascii="Calibri" w:eastAsia="Calibri" w:hAnsi="Calibri" w:cs="Calibri"/>
          <w:i/>
          <w:iCs/>
          <w:color w:val="1A1A1A"/>
        </w:rPr>
        <w:t>« Les États membres prennent, dans le respect des principes fondamentaux de leur système juridique, les mesures nécessaires pour veiller à ce que les autorités nationales compétentes aient le pouvoir de ne pas poursuivre les victimes de la traite des êtres humains et de ne pas leur infliger de sanctions pour avoir pris part à des activités criminelles ou à d’autres activités illicites auxquelles elles ont été contraintes en conséquence directe du fait d’avoir fait l’objet de l’un des actes visés à l’</w:t>
      </w:r>
      <w:r w:rsidRPr="005B6D57">
        <w:rPr>
          <w:rFonts w:ascii="Calibri" w:eastAsia="Calibri" w:hAnsi="Calibri" w:cs="Calibri"/>
          <w:i/>
          <w:iCs/>
          <w:color w:val="1E88E5"/>
        </w:rPr>
        <w:t>article 2</w:t>
      </w:r>
      <w:r w:rsidRPr="005B6D57">
        <w:rPr>
          <w:rFonts w:ascii="Calibri" w:eastAsia="Calibri" w:hAnsi="Calibri" w:cs="Calibri"/>
          <w:i/>
          <w:iCs/>
          <w:color w:val="1A1A1A"/>
        </w:rPr>
        <w:t>. »</w:t>
      </w:r>
    </w:p>
    <w:p w14:paraId="0D58D7E4"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En droit international, l’</w:t>
      </w:r>
      <w:r>
        <w:rPr>
          <w:rFonts w:ascii="Calibri" w:eastAsia="Calibri" w:hAnsi="Calibri" w:cs="Calibri"/>
          <w:color w:val="1E88E5"/>
        </w:rPr>
        <w:t>article 26</w:t>
      </w:r>
      <w:r>
        <w:rPr>
          <w:rFonts w:ascii="Calibri" w:eastAsia="Calibri" w:hAnsi="Calibri" w:cs="Calibri"/>
          <w:color w:val="1A1A1A"/>
        </w:rPr>
        <w:t xml:space="preserve"> de la Convention anti-traite du Conseil de l’Europe rejoint cette idée.</w:t>
      </w:r>
    </w:p>
    <w:p w14:paraId="245EFEA0" w14:textId="77777777" w:rsidR="001E3E87" w:rsidRDefault="005258B2">
      <w:pPr>
        <w:pStyle w:val="Titre3"/>
        <w:spacing w:before="190" w:after="80"/>
      </w:pPr>
      <w:r>
        <w:rPr>
          <w:rFonts w:ascii="Calibri" w:eastAsia="Calibri" w:hAnsi="Calibri" w:cs="Calibri"/>
          <w:b/>
          <w:bCs/>
          <w:i/>
          <w:iCs/>
          <w:color w:val="1A1A1A"/>
          <w:sz w:val="21"/>
          <w:szCs w:val="21"/>
        </w:rPr>
        <w:t>B. La critique du refus de coopération entre les organes compétents</w:t>
      </w:r>
    </w:p>
    <w:p w14:paraId="6B5B0DD3" w14:textId="77777777" w:rsidR="001E3E87" w:rsidRDefault="005258B2">
      <w:pPr>
        <w:spacing w:after="90" w:line="264" w:lineRule="auto"/>
        <w:jc w:val="both"/>
      </w:pPr>
      <w:r>
        <w:rPr>
          <w:rFonts w:ascii="Calibri" w:eastAsia="Calibri" w:hAnsi="Calibri" w:cs="Calibri"/>
          <w:color w:val="1A1A1A"/>
        </w:rPr>
        <w:t>La Cour européenne condamne le défaut de coopération des organes internes pour la prise en compte et le traitement des victimes de traite. Les obligations d’enquête sont remplies, mais c’est la cohérence interne des éléments qui est remise en cause par la juridiction :</w:t>
      </w:r>
    </w:p>
    <w:p w14:paraId="1F2E3F5B"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 xml:space="preserve">Toutes les circonstances pertinentes n’ont pas été prises en compte : cette obligation peut être tirée du raisonnement de l’arrêt </w:t>
      </w:r>
      <w:r>
        <w:rPr>
          <w:rFonts w:ascii="Calibri" w:eastAsia="Calibri" w:hAnsi="Calibri" w:cs="Calibri"/>
          <w:color w:val="E91E63"/>
        </w:rPr>
        <w:t xml:space="preserve">CEDH, Siliadin c. France, 26 octobre, no 73316/01. </w:t>
      </w:r>
      <w:r>
        <w:rPr>
          <w:rFonts w:ascii="Calibri" w:eastAsia="Calibri" w:hAnsi="Calibri" w:cs="Calibri"/>
          <w:color w:val="1A1A1A"/>
        </w:rPr>
        <w:t>Ici, il ne s’agissait aucunement d’imposer « un fardeau disproportionné » aux autorités (</w:t>
      </w:r>
      <w:r>
        <w:rPr>
          <w:rFonts w:ascii="Calibri" w:eastAsia="Calibri" w:hAnsi="Calibri" w:cs="Calibri"/>
          <w:color w:val="E91E63"/>
        </w:rPr>
        <w:t>CEDH, 23 novembre 2011, G.S. c. Royaume-Uni, no 7604/19</w:t>
      </w:r>
      <w:r>
        <w:rPr>
          <w:rFonts w:ascii="Calibri" w:eastAsia="Calibri" w:hAnsi="Calibri" w:cs="Calibri"/>
          <w:color w:val="1A1A1A"/>
        </w:rPr>
        <w:t>), mais simplement de prendre en compte les analyses des organes spécialisés, ou de motiver le refus.</w:t>
      </w:r>
    </w:p>
    <w:p w14:paraId="4C414885" w14:textId="3F77F205" w:rsidR="001E3E87" w:rsidRDefault="005258B2">
      <w:pPr>
        <w:pStyle w:val="Paragraphedeliste"/>
        <w:numPr>
          <w:ilvl w:val="0"/>
          <w:numId w:val="2"/>
        </w:numPr>
        <w:spacing w:after="70" w:line="264" w:lineRule="auto"/>
        <w:jc w:val="both"/>
      </w:pPr>
      <w:r>
        <w:rPr>
          <w:rFonts w:ascii="Calibri" w:eastAsia="Calibri" w:hAnsi="Calibri" w:cs="Calibri"/>
          <w:color w:val="1A1A1A"/>
        </w:rPr>
        <w:t xml:space="preserve">Les obligations d’enquête impliquent une coopération des organisations au niveau national, qui trouve son origine dans l’arrêt </w:t>
      </w:r>
      <w:r>
        <w:rPr>
          <w:rFonts w:ascii="Calibri" w:eastAsia="Calibri" w:hAnsi="Calibri" w:cs="Calibri"/>
          <w:color w:val="E91E63"/>
        </w:rPr>
        <w:t>CEDH, 20 mars 2017, Chowdury et a. c. Grèce, no 21884/15</w:t>
      </w:r>
      <w:r>
        <w:rPr>
          <w:rFonts w:ascii="Calibri" w:eastAsia="Calibri" w:hAnsi="Calibri" w:cs="Calibri"/>
          <w:color w:val="1A1A1A"/>
        </w:rPr>
        <w:t>, mais aussi dans la Convention anti-traite : l’</w:t>
      </w:r>
      <w:r>
        <w:rPr>
          <w:rFonts w:ascii="Calibri" w:eastAsia="Calibri" w:hAnsi="Calibri" w:cs="Calibri"/>
          <w:color w:val="1E88E5"/>
        </w:rPr>
        <w:t>article 10</w:t>
      </w:r>
      <w:r>
        <w:rPr>
          <w:rFonts w:ascii="Calibri" w:eastAsia="Calibri" w:hAnsi="Calibri" w:cs="Calibri"/>
          <w:color w:val="1A1A1A"/>
        </w:rPr>
        <w:t xml:space="preserve"> impose une obligation de formation de corps spécialisés dans la reconnaissance des victimes de traite</w:t>
      </w:r>
      <w:r w:rsidR="005B6D57">
        <w:rPr>
          <w:rFonts w:ascii="Calibri" w:eastAsia="Calibri" w:hAnsi="Calibri" w:cs="Calibri"/>
          <w:color w:val="1A1A1A"/>
        </w:rPr>
        <w:t xml:space="preserve"> ; </w:t>
      </w:r>
      <w:r>
        <w:rPr>
          <w:rFonts w:ascii="Calibri" w:eastAsia="Calibri" w:hAnsi="Calibri" w:cs="Calibri"/>
          <w:color w:val="1A1A1A"/>
        </w:rPr>
        <w:t>cette coopération des instances nationales, en plus de protéger la victime, doit avoir comme but de dissuader la violation des droits de l’individu. La Convention de Lanzarote implique une obligation similaire à l’</w:t>
      </w:r>
      <w:r>
        <w:rPr>
          <w:rFonts w:ascii="Calibri" w:eastAsia="Calibri" w:hAnsi="Calibri" w:cs="Calibri"/>
          <w:color w:val="1E88E5"/>
        </w:rPr>
        <w:t>article 10</w:t>
      </w:r>
      <w:r>
        <w:rPr>
          <w:rFonts w:ascii="Calibri" w:eastAsia="Calibri" w:hAnsi="Calibri" w:cs="Calibri"/>
          <w:color w:val="1A1A1A"/>
        </w:rPr>
        <w:t>.</w:t>
      </w:r>
    </w:p>
    <w:p w14:paraId="7F87F493"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C’est une obligation qui est également mise en avant par le GRETA.</w:t>
      </w:r>
    </w:p>
    <w:p w14:paraId="1DBE9893"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 recherche de l’effectivité de la protection (</w:t>
      </w:r>
      <w:r>
        <w:rPr>
          <w:rFonts w:ascii="Calibri" w:eastAsia="Calibri" w:hAnsi="Calibri" w:cs="Calibri"/>
          <w:color w:val="E91E63"/>
        </w:rPr>
        <w:t>CEDH, Siliadin c. France, 26 octobre, no 73316/01</w:t>
      </w:r>
      <w:r>
        <w:rPr>
          <w:rFonts w:ascii="Calibri" w:eastAsia="Calibri" w:hAnsi="Calibri" w:cs="Calibri"/>
          <w:color w:val="1A1A1A"/>
        </w:rPr>
        <w:t>) est un but qui est toujours mis en avant par la CEDH, mais qui, ici, se retrouve de manière plus implicite dans le raisonnement. La condamnation dans cet arrêt est donc avant tout dirigée vers une défaillance du système judiciaire.</w:t>
      </w:r>
    </w:p>
    <w:p w14:paraId="33F00BE8" w14:textId="778C83CD" w:rsidR="001E3E87" w:rsidRDefault="005258B2">
      <w:pPr>
        <w:spacing w:after="90" w:line="264" w:lineRule="auto"/>
        <w:jc w:val="both"/>
      </w:pPr>
      <w:r>
        <w:rPr>
          <w:rFonts w:ascii="Calibri" w:eastAsia="Calibri" w:hAnsi="Calibri" w:cs="Calibri"/>
          <w:color w:val="1A1A1A"/>
        </w:rPr>
        <w:t>En conclusion, cet arrêt illustre les efforts d’harmonisation des obligations internationales et européennes de protection des mineurs contre la traite.</w:t>
      </w:r>
    </w:p>
    <w:p w14:paraId="1B058838" w14:textId="77777777" w:rsidR="001E3E87" w:rsidRDefault="005258B2">
      <w:r>
        <w:br w:type="page"/>
      </w:r>
    </w:p>
    <w:p w14:paraId="3E478404"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30 — ARGUMENTATION JURIDIQUE</w:t>
      </w:r>
    </w:p>
    <w:p w14:paraId="58A065B8" w14:textId="77777777" w:rsidR="001E3E87" w:rsidRDefault="005258B2">
      <w:pPr>
        <w:spacing w:after="160"/>
      </w:pPr>
      <w:r>
        <w:rPr>
          <w:rFonts w:ascii="Calibri" w:eastAsia="Calibri" w:hAnsi="Calibri" w:cs="Calibri"/>
          <w:i/>
          <w:iCs/>
          <w:color w:val="5A5A5A"/>
          <w:sz w:val="18"/>
          <w:szCs w:val="18"/>
        </w:rPr>
        <w:t>Fiche n° 30 — Le droit à la liberté et à la sûreté  |  PARTIE VI. LES DROITS CIVILS ET POLITIQUES  |  Fascicule p. 306</w:t>
      </w:r>
    </w:p>
    <w:p w14:paraId="1C6B1CA3"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5436560E"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Soutenez que l’enfermement des mineurs est contraire aux droits humains.</w:t>
      </w:r>
    </w:p>
    <w:p w14:paraId="439043CF"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1086252F" w14:textId="3FB456B1" w:rsidR="001E3E87" w:rsidRDefault="005258B2">
      <w:pPr>
        <w:spacing w:after="90" w:line="264" w:lineRule="auto"/>
        <w:jc w:val="both"/>
      </w:pPr>
      <w:r>
        <w:rPr>
          <w:rFonts w:ascii="Calibri" w:eastAsia="Calibri" w:hAnsi="Calibri" w:cs="Calibri"/>
          <w:color w:val="1A1A1A"/>
        </w:rPr>
        <w:t xml:space="preserve">Dans le discours politique contemporain, le souhait de renforcer la justice pénale des mineurs dans le sens d’un durcissement est récurrent. La récente </w:t>
      </w:r>
      <w:r w:rsidRPr="00F52034">
        <w:rPr>
          <w:rFonts w:ascii="Calibri" w:eastAsia="Calibri" w:hAnsi="Calibri" w:cs="Calibri"/>
          <w:color w:val="0070C0"/>
        </w:rPr>
        <w:t xml:space="preserve">loi Attal </w:t>
      </w:r>
      <w:r>
        <w:rPr>
          <w:rFonts w:ascii="Calibri" w:eastAsia="Calibri" w:hAnsi="Calibri" w:cs="Calibri"/>
          <w:color w:val="1A1A1A"/>
        </w:rPr>
        <w:t xml:space="preserve">visant à renforcer l’autorité de la justice à l’égard des mineurs délinquants et de leurs parents (dont le Conseil constitutionnel a prononcé une non-conformité partielle par une </w:t>
      </w:r>
      <w:r w:rsidRPr="00F52034">
        <w:rPr>
          <w:rFonts w:ascii="Calibri" w:eastAsia="Calibri" w:hAnsi="Calibri" w:cs="Calibri"/>
          <w:color w:val="E91D62"/>
        </w:rPr>
        <w:t>décision du 19 juin 2025</w:t>
      </w:r>
      <w:r>
        <w:rPr>
          <w:rFonts w:ascii="Calibri" w:eastAsia="Calibri" w:hAnsi="Calibri" w:cs="Calibri"/>
          <w:color w:val="1A1A1A"/>
        </w:rPr>
        <w:t>) en est une manifestation, dans un contexte où, au-delà de l’incarcération, les lieux de privations de liberté où se trouvent des mineurs sont concernés par des violations des droits humains. La Convention internationale des droits de l’enfant définit un enfant au regard de son âge (</w:t>
      </w:r>
      <w:r>
        <w:rPr>
          <w:rFonts w:ascii="Calibri" w:eastAsia="Calibri" w:hAnsi="Calibri" w:cs="Calibri"/>
          <w:color w:val="1E88E5"/>
        </w:rPr>
        <w:t>art. 1er</w:t>
      </w:r>
      <w:r>
        <w:rPr>
          <w:rFonts w:ascii="Calibri" w:eastAsia="Calibri" w:hAnsi="Calibri" w:cs="Calibri"/>
          <w:color w:val="1A1A1A"/>
        </w:rPr>
        <w:t>). L’</w:t>
      </w:r>
      <w:r>
        <w:rPr>
          <w:rFonts w:ascii="Calibri" w:eastAsia="Calibri" w:hAnsi="Calibri" w:cs="Calibri"/>
          <w:color w:val="1E88E5"/>
        </w:rPr>
        <w:t>article 37</w:t>
      </w:r>
      <w:r>
        <w:rPr>
          <w:rFonts w:ascii="Calibri" w:eastAsia="Calibri" w:hAnsi="Calibri" w:cs="Calibri"/>
          <w:color w:val="1A1A1A"/>
        </w:rPr>
        <w:t xml:space="preserve"> prévoit que les enfants privés de libertés doivent l’être en vertu de la loi et doi</w:t>
      </w:r>
      <w:r w:rsidR="00F52034">
        <w:rPr>
          <w:rFonts w:ascii="Calibri" w:eastAsia="Calibri" w:hAnsi="Calibri" w:cs="Calibri"/>
          <w:color w:val="1A1A1A"/>
        </w:rPr>
        <w:t>ven</w:t>
      </w:r>
      <w:r>
        <w:rPr>
          <w:rFonts w:ascii="Calibri" w:eastAsia="Calibri" w:hAnsi="Calibri" w:cs="Calibri"/>
          <w:color w:val="1A1A1A"/>
        </w:rPr>
        <w:t>t être traité</w:t>
      </w:r>
      <w:r w:rsidR="00F52034">
        <w:rPr>
          <w:rFonts w:ascii="Calibri" w:eastAsia="Calibri" w:hAnsi="Calibri" w:cs="Calibri"/>
          <w:color w:val="1A1A1A"/>
        </w:rPr>
        <w:t xml:space="preserve">s </w:t>
      </w:r>
      <w:r>
        <w:rPr>
          <w:rFonts w:ascii="Calibri" w:eastAsia="Calibri" w:hAnsi="Calibri" w:cs="Calibri"/>
          <w:color w:val="1A1A1A"/>
        </w:rPr>
        <w:t>: « Avec humanité et avec le respect dû à la dignité de la personne humaine, et d’une manière tenant compte des besoins des personnes de son âge. » L’enfermement des mineurs répond à des règles dérogatoires à celle de l’enfermement des adultes. Les lieux de privation de liberté sont des lieux confrontés à des violences multiples, ce qui rend les mineurs particulièrement vulnérables en ces lieux, leurs droits doivent faire l’objet d’une protection accrue.</w:t>
      </w:r>
    </w:p>
    <w:p w14:paraId="054D2C68"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Malgré un droit international et européen protecteur des droits des enfants privés de liberté (I), le respect des droits humains des mineurs enfermés est souvent lacunaire en France, ce qui rend cet enfermement contraire aux droits humains (II).</w:t>
      </w:r>
    </w:p>
    <w:p w14:paraId="7CAD4B53" w14:textId="77777777" w:rsidR="001E3E87" w:rsidRDefault="005258B2">
      <w:pPr>
        <w:pStyle w:val="Titre3"/>
        <w:spacing w:before="190" w:after="80"/>
      </w:pPr>
      <w:r>
        <w:rPr>
          <w:rFonts w:ascii="Calibri" w:eastAsia="Calibri" w:hAnsi="Calibri" w:cs="Calibri"/>
          <w:b/>
          <w:bCs/>
          <w:i/>
          <w:iCs/>
          <w:color w:val="1A1A1A"/>
          <w:sz w:val="21"/>
          <w:szCs w:val="21"/>
        </w:rPr>
        <w:t>I. Le droit international et européen des droits humains protecteur des droits des mineurs enfermés</w:t>
      </w:r>
    </w:p>
    <w:p w14:paraId="1F2F9C2D" w14:textId="77777777" w:rsidR="001E3E87" w:rsidRDefault="005258B2">
      <w:pPr>
        <w:pStyle w:val="Titre3"/>
        <w:spacing w:before="190" w:after="80"/>
      </w:pPr>
      <w:r>
        <w:rPr>
          <w:rFonts w:ascii="Calibri" w:eastAsia="Calibri" w:hAnsi="Calibri" w:cs="Calibri"/>
          <w:b/>
          <w:bCs/>
          <w:i/>
          <w:iCs/>
          <w:color w:val="1A1A1A"/>
          <w:sz w:val="21"/>
          <w:szCs w:val="21"/>
        </w:rPr>
        <w:t>A. La reconnaissance de l’intérêt supérieur de l’enfant</w:t>
      </w:r>
    </w:p>
    <w:p w14:paraId="008728EB" w14:textId="77777777" w:rsidR="001E3E87" w:rsidRDefault="005258B2">
      <w:pPr>
        <w:spacing w:after="90" w:line="264" w:lineRule="auto"/>
        <w:jc w:val="both"/>
      </w:pPr>
      <w:r w:rsidRPr="00F52034">
        <w:rPr>
          <w:rFonts w:ascii="Calibri" w:eastAsia="Calibri" w:hAnsi="Calibri" w:cs="Calibri"/>
          <w:color w:val="0070C0"/>
        </w:rPr>
        <w:t>Art. 3 de la Convention relative aux droits de l’enfant de 1989</w:t>
      </w:r>
      <w:r>
        <w:rPr>
          <w:rFonts w:ascii="Calibri" w:eastAsia="Calibri" w:hAnsi="Calibri" w:cs="Calibri"/>
          <w:color w:val="1A1A1A"/>
        </w:rPr>
        <w:t xml:space="preserve"> : les autorités publiques doivent considérer l’intérêt supérieur de l’enfant, « une considération primordiale » + les institutions et services en charge de l’enfant doivent assurer sa protection (Convention signée et ratifiée par la France en 1990</w:t>
      </w:r>
      <w:r w:rsidRPr="00F52034">
        <w:rPr>
          <w:rFonts w:ascii="Calibri" w:eastAsia="Calibri" w:hAnsi="Calibri" w:cs="Calibri"/>
          <w:color w:val="000000" w:themeColor="text1"/>
        </w:rPr>
        <w:t>).</w:t>
      </w:r>
      <w:r w:rsidRPr="00F52034">
        <w:rPr>
          <w:rFonts w:ascii="Calibri" w:eastAsia="Calibri" w:hAnsi="Calibri" w:cs="Calibri"/>
          <w:color w:val="0070C0"/>
        </w:rPr>
        <w:t xml:space="preserve"> Art. 1er de la Convention européenne sur l’exercice des droits des enfants de 1996</w:t>
      </w:r>
      <w:r>
        <w:rPr>
          <w:rFonts w:ascii="Calibri" w:eastAsia="Calibri" w:hAnsi="Calibri" w:cs="Calibri"/>
          <w:color w:val="1A1A1A"/>
        </w:rPr>
        <w:t xml:space="preserve"> : expose que l’objet de la Convention vise à promouvoir des droits aux enfants dans l’intérêt supérieur des enfants (Convention signée par la France en 1996 et ratifiée en 2007). L’intérêt de l’enfant peut justifier le recours à son enfermement (exemple : hospitalisation en psychiatrie pour sa protection, ou parfois l’intérêt de la société : incarcération en cas de commission d’infraction d’une particulière gravité).</w:t>
      </w:r>
    </w:p>
    <w:p w14:paraId="5C39662F" w14:textId="77777777" w:rsidR="001E3E87" w:rsidRDefault="005258B2">
      <w:pPr>
        <w:pStyle w:val="Titre3"/>
        <w:spacing w:before="190" w:after="80"/>
      </w:pPr>
      <w:r>
        <w:rPr>
          <w:rFonts w:ascii="Calibri" w:eastAsia="Calibri" w:hAnsi="Calibri" w:cs="Calibri"/>
          <w:b/>
          <w:bCs/>
          <w:i/>
          <w:iCs/>
          <w:color w:val="1A1A1A"/>
          <w:sz w:val="21"/>
          <w:szCs w:val="21"/>
        </w:rPr>
        <w:t>B. La protection normative contre les mauvais traitements</w:t>
      </w:r>
    </w:p>
    <w:p w14:paraId="2111F65D" w14:textId="77777777" w:rsidR="001E3E87" w:rsidRDefault="005258B2">
      <w:pPr>
        <w:spacing w:after="90" w:line="264" w:lineRule="auto"/>
        <w:jc w:val="both"/>
      </w:pPr>
      <w:r>
        <w:rPr>
          <w:rFonts w:ascii="Calibri" w:eastAsia="Calibri" w:hAnsi="Calibri" w:cs="Calibri"/>
          <w:color w:val="1A1A1A"/>
        </w:rPr>
        <w:t>Selon l’</w:t>
      </w:r>
      <w:r>
        <w:rPr>
          <w:rFonts w:ascii="Calibri" w:eastAsia="Calibri" w:hAnsi="Calibri" w:cs="Calibri"/>
          <w:color w:val="1E88E5"/>
        </w:rPr>
        <w:t>article 37</w:t>
      </w:r>
      <w:r>
        <w:rPr>
          <w:rFonts w:ascii="Calibri" w:eastAsia="Calibri" w:hAnsi="Calibri" w:cs="Calibri"/>
          <w:color w:val="1A1A1A"/>
        </w:rPr>
        <w:t xml:space="preserve"> de la </w:t>
      </w:r>
      <w:r w:rsidRPr="00F52034">
        <w:rPr>
          <w:rFonts w:ascii="Calibri" w:eastAsia="Calibri" w:hAnsi="Calibri" w:cs="Calibri"/>
          <w:color w:val="0070C0"/>
        </w:rPr>
        <w:t>Convention relative aux droits de l’enfant</w:t>
      </w:r>
      <w:r>
        <w:rPr>
          <w:rFonts w:ascii="Calibri" w:eastAsia="Calibri" w:hAnsi="Calibri" w:cs="Calibri"/>
          <w:color w:val="1A1A1A"/>
        </w:rPr>
        <w:t xml:space="preserve">, les États parties doivent veiller à ce que « nul enfant ne soit soumis à la torture ni à des peines ou traitements cruels, inhumains ou dégradants ». Par un </w:t>
      </w:r>
      <w:r w:rsidRPr="00F52034">
        <w:rPr>
          <w:rFonts w:ascii="Calibri" w:eastAsia="Calibri" w:hAnsi="Calibri" w:cs="Calibri"/>
          <w:color w:val="E91D62"/>
        </w:rPr>
        <w:t>arrêt du 26 mars 2024 V.I. contre République de Moldova</w:t>
      </w:r>
      <w:r>
        <w:rPr>
          <w:rFonts w:ascii="Calibri" w:eastAsia="Calibri" w:hAnsi="Calibri" w:cs="Calibri"/>
          <w:color w:val="1A1A1A"/>
        </w:rPr>
        <w:t>, la Cour a condamné la Moldavie notamment pour violation de l’</w:t>
      </w:r>
      <w:r>
        <w:rPr>
          <w:rFonts w:ascii="Calibri" w:eastAsia="Calibri" w:hAnsi="Calibri" w:cs="Calibri"/>
          <w:color w:val="1E88E5"/>
        </w:rPr>
        <w:t>article 3</w:t>
      </w:r>
      <w:r>
        <w:rPr>
          <w:rFonts w:ascii="Calibri" w:eastAsia="Calibri" w:hAnsi="Calibri" w:cs="Calibri"/>
          <w:color w:val="1A1A1A"/>
        </w:rPr>
        <w:t xml:space="preserve"> de la Convention (interdiction de la torture et des peines ou traitements inhumains ou dégradants) à l’occasion de l’internement en psychiatrie d’un orphelin ayant fait l’objet de traitements inhumains ou dégradants.</w:t>
      </w:r>
    </w:p>
    <w:p w14:paraId="49251232" w14:textId="77777777" w:rsidR="001E3E87" w:rsidRDefault="005258B2">
      <w:pPr>
        <w:pStyle w:val="Titre3"/>
        <w:spacing w:before="190" w:after="80"/>
      </w:pPr>
      <w:r>
        <w:rPr>
          <w:rFonts w:ascii="Calibri" w:eastAsia="Calibri" w:hAnsi="Calibri" w:cs="Calibri"/>
          <w:b/>
          <w:bCs/>
          <w:i/>
          <w:iCs/>
          <w:color w:val="1A1A1A"/>
          <w:sz w:val="21"/>
          <w:szCs w:val="21"/>
        </w:rPr>
        <w:t>II. Les difficultés du respect des droits humains des mineurs enfermés en France</w:t>
      </w:r>
    </w:p>
    <w:p w14:paraId="2E37DBC9" w14:textId="77777777" w:rsidR="001E3E87" w:rsidRDefault="005258B2">
      <w:pPr>
        <w:pStyle w:val="Titre3"/>
        <w:spacing w:before="190" w:after="80"/>
      </w:pPr>
      <w:r>
        <w:rPr>
          <w:rFonts w:ascii="Calibri" w:eastAsia="Calibri" w:hAnsi="Calibri" w:cs="Calibri"/>
          <w:b/>
          <w:bCs/>
          <w:i/>
          <w:iCs/>
          <w:color w:val="1A1A1A"/>
          <w:sz w:val="21"/>
          <w:szCs w:val="21"/>
        </w:rPr>
        <w:t>A. Des difficultés récurrentes en centre de rétention administrative</w:t>
      </w:r>
    </w:p>
    <w:p w14:paraId="2FF77CC5" w14:textId="55F4E6F9" w:rsidR="001E3E87" w:rsidRDefault="005258B2">
      <w:pPr>
        <w:spacing w:after="90" w:line="264" w:lineRule="auto"/>
        <w:jc w:val="both"/>
      </w:pPr>
      <w:r>
        <w:rPr>
          <w:rFonts w:ascii="Calibri" w:eastAsia="Calibri" w:hAnsi="Calibri" w:cs="Calibri"/>
          <w:color w:val="1A1A1A"/>
        </w:rPr>
        <w:t>La France a été condamnée à de nombreuses reprises par la Cour européenne des droits de l’homme pour les conditions matérielles des mineurs en rétention administrative et/ou pour violation de</w:t>
      </w:r>
      <w:r w:rsidR="00F52034">
        <w:rPr>
          <w:rFonts w:ascii="Calibri" w:eastAsia="Calibri" w:hAnsi="Calibri" w:cs="Calibri"/>
          <w:color w:val="1A1A1A"/>
        </w:rPr>
        <w:t xml:space="preserve">s </w:t>
      </w:r>
      <w:r>
        <w:rPr>
          <w:rFonts w:ascii="Calibri" w:eastAsia="Calibri" w:hAnsi="Calibri" w:cs="Calibri"/>
          <w:color w:val="1A1A1A"/>
        </w:rPr>
        <w:t>droit</w:t>
      </w:r>
      <w:r w:rsidR="00F52034">
        <w:rPr>
          <w:rFonts w:ascii="Calibri" w:eastAsia="Calibri" w:hAnsi="Calibri" w:cs="Calibri"/>
          <w:color w:val="1A1A1A"/>
        </w:rPr>
        <w:t>s</w:t>
      </w:r>
      <w:r>
        <w:rPr>
          <w:rFonts w:ascii="Calibri" w:eastAsia="Calibri" w:hAnsi="Calibri" w:cs="Calibri"/>
          <w:color w:val="1A1A1A"/>
        </w:rPr>
        <w:t xml:space="preserve"> procéduraux et/ou d’autres droits substantiels (</w:t>
      </w:r>
      <w:r w:rsidRPr="00F52034">
        <w:rPr>
          <w:rFonts w:ascii="Calibri" w:eastAsia="Calibri" w:hAnsi="Calibri" w:cs="Calibri"/>
          <w:color w:val="E91D62"/>
        </w:rPr>
        <w:t>CEDH, 19 janvier 2012, Popov contre France ; CEDH, 12 juillet 2016, R.K. et a. contre France ; CEDH, 22 juillet 2021, M.D. et A.D. contre France ; CEDH, 31 mars 2022, N.B. et a. contre France ; CEDH, 4 mai 2023, A.M. et a. contre France</w:t>
      </w:r>
      <w:r>
        <w:rPr>
          <w:rFonts w:ascii="Calibri" w:eastAsia="Calibri" w:hAnsi="Calibri" w:cs="Calibri"/>
          <w:color w:val="1A1A1A"/>
        </w:rPr>
        <w:t>) Dans un communiqué de presse de 2023, le Fonds des Nations unies pour l’enfance (UNICEF) et des associations appelaient le Gouvernement français à cesser l’enfermement administratif des mineurs.</w:t>
      </w:r>
    </w:p>
    <w:p w14:paraId="447A67BC" w14:textId="77777777" w:rsidR="001E3E87" w:rsidRDefault="005258B2">
      <w:pPr>
        <w:pStyle w:val="Titre3"/>
        <w:spacing w:before="190" w:after="80"/>
      </w:pPr>
      <w:r>
        <w:rPr>
          <w:rFonts w:ascii="Calibri" w:eastAsia="Calibri" w:hAnsi="Calibri" w:cs="Calibri"/>
          <w:b/>
          <w:bCs/>
          <w:i/>
          <w:iCs/>
          <w:color w:val="1A1A1A"/>
          <w:sz w:val="21"/>
          <w:szCs w:val="21"/>
        </w:rPr>
        <w:t>B. Des difficultés récurrentes en détention</w:t>
      </w:r>
    </w:p>
    <w:p w14:paraId="26EA6CCB" w14:textId="77777777" w:rsidR="001E3E87" w:rsidRDefault="005258B2">
      <w:pPr>
        <w:spacing w:after="90" w:line="264" w:lineRule="auto"/>
        <w:jc w:val="both"/>
      </w:pPr>
      <w:r>
        <w:rPr>
          <w:rFonts w:ascii="Calibri" w:eastAsia="Calibri" w:hAnsi="Calibri" w:cs="Calibri"/>
          <w:color w:val="1A1A1A"/>
        </w:rPr>
        <w:t>En 2002, le Conseil constitutionnel a reconnu le principe fondamental reconnu par les lois de la République de la spécificité de la justice pénale des mineurs. L’</w:t>
      </w:r>
      <w:r>
        <w:rPr>
          <w:rFonts w:ascii="Calibri" w:eastAsia="Calibri" w:hAnsi="Calibri" w:cs="Calibri"/>
          <w:color w:val="1E88E5"/>
        </w:rPr>
        <w:t>article 40</w:t>
      </w:r>
      <w:r>
        <w:rPr>
          <w:rFonts w:ascii="Calibri" w:eastAsia="Calibri" w:hAnsi="Calibri" w:cs="Calibri"/>
          <w:color w:val="1A1A1A"/>
        </w:rPr>
        <w:t xml:space="preserve"> de la </w:t>
      </w:r>
      <w:r w:rsidRPr="00F52034">
        <w:rPr>
          <w:rFonts w:ascii="Calibri" w:eastAsia="Calibri" w:hAnsi="Calibri" w:cs="Calibri"/>
          <w:color w:val="0070C0"/>
        </w:rPr>
        <w:t xml:space="preserve">Convention relative aux droits de l’enfant </w:t>
      </w:r>
      <w:r>
        <w:rPr>
          <w:rFonts w:ascii="Calibri" w:eastAsia="Calibri" w:hAnsi="Calibri" w:cs="Calibri"/>
          <w:color w:val="1A1A1A"/>
        </w:rPr>
        <w:t xml:space="preserve">prévoit que : « Les États parties reconnaissent à tout enfant suspecté, accusé ou convaincu d’infraction à la loi pénale le droit à un traitement </w:t>
      </w:r>
      <w:r>
        <w:rPr>
          <w:rFonts w:ascii="Calibri" w:eastAsia="Calibri" w:hAnsi="Calibri" w:cs="Calibri"/>
          <w:color w:val="1A1A1A"/>
        </w:rPr>
        <w:lastRenderedPageBreak/>
        <w:t xml:space="preserve">qui soit de nature à favoriser son sens de la dignité et de la valeur personnelle, qui renforce son respect pour les droits de l’homme et les libertés fondamentales d’autrui, et qui tienne compte de son âge ainsi que de la nécessité de faciliter sa réintégration dans la société et de lui faire assumer un rôle constructif au sein de celle-ci. » Dans un </w:t>
      </w:r>
      <w:r w:rsidRPr="00F52034">
        <w:rPr>
          <w:rFonts w:ascii="Calibri" w:eastAsia="Calibri" w:hAnsi="Calibri" w:cs="Calibri"/>
          <w:color w:val="3A7C22" w:themeColor="accent6" w:themeShade="BF"/>
        </w:rPr>
        <w:t>rapport de 2021 : « Les droits fondamentaux des mineurs enfermés »</w:t>
      </w:r>
      <w:r>
        <w:rPr>
          <w:rFonts w:ascii="Calibri" w:eastAsia="Calibri" w:hAnsi="Calibri" w:cs="Calibri"/>
          <w:color w:val="1A1A1A"/>
        </w:rPr>
        <w:t xml:space="preserve">, le </w:t>
      </w:r>
      <w:r w:rsidRPr="00F52034">
        <w:rPr>
          <w:rFonts w:ascii="Calibri" w:eastAsia="Calibri" w:hAnsi="Calibri" w:cs="Calibri"/>
          <w:color w:val="3A7C22" w:themeColor="accent6" w:themeShade="BF"/>
        </w:rPr>
        <w:t xml:space="preserve">Contrôleur général des lieux de privation de liberté </w:t>
      </w:r>
      <w:r>
        <w:rPr>
          <w:rFonts w:ascii="Calibri" w:eastAsia="Calibri" w:hAnsi="Calibri" w:cs="Calibri"/>
          <w:color w:val="1A1A1A"/>
        </w:rPr>
        <w:t>relève que les structures de privation de liberté ne sont pas assez préparées à l’accueil des mineurs + protection inégale des enfants + droit à l’éducation négligé + insuffisance des liens avec la famille.</w:t>
      </w:r>
    </w:p>
    <w:p w14:paraId="0A5C64E4" w14:textId="77777777" w:rsidR="001E3E87" w:rsidRDefault="005258B2">
      <w:pPr>
        <w:spacing w:after="90" w:line="264" w:lineRule="auto"/>
        <w:jc w:val="both"/>
      </w:pPr>
      <w:r>
        <w:rPr>
          <w:rFonts w:ascii="Calibri" w:eastAsia="Calibri" w:hAnsi="Calibri" w:cs="Calibri"/>
          <w:color w:val="1A1A1A"/>
        </w:rPr>
        <w:t>En conclusion, s’il apparaît parfois nécessaire qu’une personne mineure se voie privée de liberté, l’enfermement des personnes mineurs doit être une mesure exceptionnelle. L’exécution des divers types d’enfermement entre souvent en contradiction avec les droits humains. Ainsi, dans un grand nombre de situations, l’enfermement des mineurs est contraire aux droits humains.</w:t>
      </w:r>
    </w:p>
    <w:p w14:paraId="15973AB3" w14:textId="77777777" w:rsidR="001E3E87" w:rsidRDefault="005258B2">
      <w:r>
        <w:br w:type="page"/>
      </w:r>
    </w:p>
    <w:p w14:paraId="65B39D85"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31 — DISSERTATION</w:t>
      </w:r>
    </w:p>
    <w:p w14:paraId="36AEF5DF" w14:textId="77777777" w:rsidR="001E3E87" w:rsidRDefault="005258B2">
      <w:pPr>
        <w:spacing w:after="160"/>
      </w:pPr>
      <w:r>
        <w:rPr>
          <w:rFonts w:ascii="Calibri" w:eastAsia="Calibri" w:hAnsi="Calibri" w:cs="Calibri"/>
          <w:i/>
          <w:iCs/>
          <w:color w:val="5A5A5A"/>
          <w:sz w:val="18"/>
          <w:szCs w:val="18"/>
        </w:rPr>
        <w:t>Fiche n° 31 — Le droit à un procès équitable et le droit à un recours effectif  |  PARTIE VI. LES DROITS CIVILS ET POLITIQUES  |  Fascicule p. 319</w:t>
      </w:r>
    </w:p>
    <w:p w14:paraId="711B3DD5"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3D1FFBB5"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Le droit à un procès équitable et à un recours effectif : quelle articulation ?</w:t>
      </w:r>
    </w:p>
    <w:p w14:paraId="0F0814D1"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44134308" w14:textId="77777777" w:rsidR="001E3E87" w:rsidRDefault="005258B2">
      <w:pPr>
        <w:spacing w:after="90" w:line="264" w:lineRule="auto"/>
        <w:jc w:val="both"/>
      </w:pPr>
      <w:r>
        <w:rPr>
          <w:rFonts w:ascii="Calibri" w:eastAsia="Calibri" w:hAnsi="Calibri" w:cs="Calibri"/>
          <w:color w:val="1A1A1A"/>
        </w:rPr>
        <w:t>Les droits procéduraux sont le pilier de l’État de droit et de la justice en ce qu’ils sont l’émanation de la séparation des pouvoirs et de la protection individuelle en permettant à l’individu un accès au tribunal pour faire valoir sa cause. Le droit à un procès équitable et le droit à un recours effectif sont ainsi essentiels pour appréhender la violation des autres droits humains, leurs acceptions peuvent a priori sembler proches :</w:t>
      </w:r>
    </w:p>
    <w:p w14:paraId="31FF7115"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 droit au recours effectif recouvre le droit d’accès à une voie de droit.</w:t>
      </w:r>
    </w:p>
    <w:p w14:paraId="2FA2110A"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 droit à un procès équitable correspond aux garanties procédurales tenant à l’équité globale du procès (impartialité, délai raisonnable, publicité, contradictoire…). Ces droits, bien que distincts, bénéficient d’une protection renforcée à différents niveaux. Cette protection accrue a permis d’en développer et préciser les contours et de favoriser l’émergence de régimes procéduraux plus effectifs et des recours plus impartiaux (</w:t>
      </w:r>
      <w:r>
        <w:rPr>
          <w:rFonts w:ascii="Calibri" w:eastAsia="Calibri" w:hAnsi="Calibri" w:cs="Calibri"/>
          <w:color w:val="E91E63"/>
        </w:rPr>
        <w:t>CEDH [GC], 7 juin 2001, Kress c. France, no 39594/98</w:t>
      </w:r>
      <w:r>
        <w:rPr>
          <w:rFonts w:ascii="Calibri" w:eastAsia="Calibri" w:hAnsi="Calibri" w:cs="Calibri"/>
          <w:color w:val="1A1A1A"/>
        </w:rPr>
        <w:t>), grâce également à une réelle prise de conscience que la transparence de la justice et l’apparence d’indépendance et d’impartialité concourent à la confiance du public dans celle-ci. Problématique et annonce du plan : Le droit à un recours effectif et le droit à un procès équitable sont consubstantiels dans leur finalité (A) bien qu’ils se subdivisent néanmoins en des exigences distinctes (B).</w:t>
      </w:r>
    </w:p>
    <w:p w14:paraId="77748160" w14:textId="77777777" w:rsidR="001E3E87" w:rsidRDefault="005258B2">
      <w:pPr>
        <w:pStyle w:val="Titre3"/>
        <w:spacing w:before="190" w:after="80"/>
      </w:pPr>
      <w:r>
        <w:rPr>
          <w:rFonts w:ascii="Calibri" w:eastAsia="Calibri" w:hAnsi="Calibri" w:cs="Calibri"/>
          <w:b/>
          <w:bCs/>
          <w:i/>
          <w:iCs/>
          <w:color w:val="1A1A1A"/>
          <w:sz w:val="21"/>
          <w:szCs w:val="21"/>
        </w:rPr>
        <w:t>I. Deux droits procéduraux consubstantiels</w:t>
      </w:r>
    </w:p>
    <w:p w14:paraId="4B942A6C" w14:textId="77777777" w:rsidR="001E3E87" w:rsidRDefault="005258B2">
      <w:pPr>
        <w:pStyle w:val="Titre3"/>
        <w:spacing w:before="190" w:after="80"/>
      </w:pPr>
      <w:r>
        <w:rPr>
          <w:rFonts w:ascii="Calibri" w:eastAsia="Calibri" w:hAnsi="Calibri" w:cs="Calibri"/>
          <w:b/>
          <w:bCs/>
          <w:i/>
          <w:iCs/>
          <w:color w:val="1A1A1A"/>
          <w:sz w:val="21"/>
          <w:szCs w:val="21"/>
        </w:rPr>
        <w:t>A. Des objectifs communs</w:t>
      </w:r>
    </w:p>
    <w:p w14:paraId="0E2C5651" w14:textId="77777777" w:rsidR="001E3E87" w:rsidRDefault="005258B2">
      <w:pPr>
        <w:spacing w:after="90" w:line="264" w:lineRule="auto"/>
        <w:jc w:val="both"/>
      </w:pPr>
      <w:r>
        <w:rPr>
          <w:rFonts w:ascii="Calibri" w:eastAsia="Calibri" w:hAnsi="Calibri" w:cs="Calibri"/>
          <w:color w:val="1A1A1A"/>
        </w:rPr>
        <w:t xml:space="preserve">Ces deux droits permettent de lutter contre l’arbitraire, de préserver l’équité et d’accéder à une « bonne justice ». Leur base juridique est souvent commune. Cela témoigne de leur proximité : </w:t>
      </w:r>
      <w:r>
        <w:rPr>
          <w:rFonts w:ascii="Calibri" w:eastAsia="Calibri" w:hAnsi="Calibri" w:cs="Calibri"/>
          <w:color w:val="1E88E5"/>
        </w:rPr>
        <w:t>article 16</w:t>
      </w:r>
      <w:r>
        <w:rPr>
          <w:rFonts w:ascii="Calibri" w:eastAsia="Calibri" w:hAnsi="Calibri" w:cs="Calibri"/>
          <w:color w:val="1A1A1A"/>
        </w:rPr>
        <w:t xml:space="preserve"> de la </w:t>
      </w:r>
      <w:r>
        <w:rPr>
          <w:rFonts w:ascii="Calibri" w:eastAsia="Calibri" w:hAnsi="Calibri" w:cs="Calibri"/>
          <w:color w:val="1E88E5"/>
        </w:rPr>
        <w:t>Déclaration des droits de l’homme et du citoyen</w:t>
      </w:r>
      <w:r>
        <w:rPr>
          <w:rFonts w:ascii="Calibri" w:eastAsia="Calibri" w:hAnsi="Calibri" w:cs="Calibri"/>
          <w:color w:val="1A1A1A"/>
        </w:rPr>
        <w:t xml:space="preserve">, </w:t>
      </w:r>
      <w:r>
        <w:rPr>
          <w:rFonts w:ascii="Calibri" w:eastAsia="Calibri" w:hAnsi="Calibri" w:cs="Calibri"/>
          <w:color w:val="1E88E5"/>
        </w:rPr>
        <w:t>article 47</w:t>
      </w:r>
      <w:r>
        <w:rPr>
          <w:rFonts w:ascii="Calibri" w:eastAsia="Calibri" w:hAnsi="Calibri" w:cs="Calibri"/>
          <w:color w:val="1A1A1A"/>
        </w:rPr>
        <w:t xml:space="preserve"> de la </w:t>
      </w:r>
      <w:r>
        <w:rPr>
          <w:rFonts w:ascii="Calibri" w:eastAsia="Calibri" w:hAnsi="Calibri" w:cs="Calibri"/>
          <w:color w:val="1E88E5"/>
        </w:rPr>
        <w:t>Charte des droits fondamentaux de l’Union européenne</w:t>
      </w:r>
      <w:r>
        <w:rPr>
          <w:rFonts w:ascii="Calibri" w:eastAsia="Calibri" w:hAnsi="Calibri" w:cs="Calibri"/>
          <w:color w:val="1A1A1A"/>
        </w:rPr>
        <w:t xml:space="preserve">, </w:t>
      </w:r>
      <w:r>
        <w:rPr>
          <w:rFonts w:ascii="Calibri" w:eastAsia="Calibri" w:hAnsi="Calibri" w:cs="Calibri"/>
          <w:color w:val="1E88E5"/>
        </w:rPr>
        <w:t>article 14</w:t>
      </w:r>
      <w:r>
        <w:rPr>
          <w:rFonts w:ascii="Calibri" w:eastAsia="Calibri" w:hAnsi="Calibri" w:cs="Calibri"/>
          <w:color w:val="1A1A1A"/>
        </w:rPr>
        <w:t xml:space="preserve"> du </w:t>
      </w:r>
      <w:r>
        <w:rPr>
          <w:rFonts w:ascii="Calibri" w:eastAsia="Calibri" w:hAnsi="Calibri" w:cs="Calibri"/>
          <w:color w:val="1E88E5"/>
        </w:rPr>
        <w:t>Pacte international relatif aux droits civils et politiques</w:t>
      </w:r>
      <w:r>
        <w:rPr>
          <w:rFonts w:ascii="Calibri" w:eastAsia="Calibri" w:hAnsi="Calibri" w:cs="Calibri"/>
          <w:color w:val="1A1A1A"/>
        </w:rPr>
        <w:t xml:space="preserve">. Le principe d’une « protection juridictionnelle effective » est considéré comme étant issu des « traditions constitutionnelles communes des États membres » selon la Cour de justice de l’Union européenne, se référant alors à la fois aux </w:t>
      </w:r>
      <w:r>
        <w:rPr>
          <w:rFonts w:ascii="Calibri" w:eastAsia="Calibri" w:hAnsi="Calibri" w:cs="Calibri"/>
          <w:color w:val="1E88E5"/>
        </w:rPr>
        <w:t>articles 6 et 13</w:t>
      </w:r>
      <w:r>
        <w:rPr>
          <w:rFonts w:ascii="Calibri" w:eastAsia="Calibri" w:hAnsi="Calibri" w:cs="Calibri"/>
          <w:color w:val="1A1A1A"/>
        </w:rPr>
        <w:t xml:space="preserve"> de la </w:t>
      </w:r>
      <w:r>
        <w:rPr>
          <w:rFonts w:ascii="Calibri" w:eastAsia="Calibri" w:hAnsi="Calibri" w:cs="Calibri"/>
          <w:color w:val="1E88E5"/>
        </w:rPr>
        <w:t>Convention européenne des droits de l’homme</w:t>
      </w:r>
      <w:r>
        <w:rPr>
          <w:rFonts w:ascii="Calibri" w:eastAsia="Calibri" w:hAnsi="Calibri" w:cs="Calibri"/>
          <w:color w:val="1A1A1A"/>
        </w:rPr>
        <w:t xml:space="preserve"> : </w:t>
      </w:r>
      <w:r>
        <w:rPr>
          <w:rFonts w:ascii="Calibri" w:eastAsia="Calibri" w:hAnsi="Calibri" w:cs="Calibri"/>
          <w:color w:val="E91E63"/>
        </w:rPr>
        <w:t>CJCE, 13 mars 2007, Unibet, C-432/05</w:t>
      </w:r>
      <w:r>
        <w:rPr>
          <w:rFonts w:ascii="Calibri" w:eastAsia="Calibri" w:hAnsi="Calibri" w:cs="Calibri"/>
          <w:color w:val="1A1A1A"/>
        </w:rPr>
        <w:t>. En droit interne, le juge constitutionnel fait une interprétation très large de l’</w:t>
      </w:r>
      <w:r>
        <w:rPr>
          <w:rFonts w:ascii="Calibri" w:eastAsia="Calibri" w:hAnsi="Calibri" w:cs="Calibri"/>
          <w:color w:val="1E88E5"/>
        </w:rPr>
        <w:t>article 16</w:t>
      </w:r>
      <w:r>
        <w:rPr>
          <w:rFonts w:ascii="Calibri" w:eastAsia="Calibri" w:hAnsi="Calibri" w:cs="Calibri"/>
          <w:color w:val="1A1A1A"/>
        </w:rPr>
        <w:t xml:space="preserve"> de la Déclaration qui dépasse largement ce qui est textuellement affirmé, mais qui permet d’y trouver un même esprit de protection contre les abus : </w:t>
      </w:r>
      <w:r>
        <w:rPr>
          <w:rFonts w:ascii="Calibri" w:eastAsia="Calibri" w:hAnsi="Calibri" w:cs="Calibri"/>
          <w:color w:val="E91E63"/>
        </w:rPr>
        <w:t>Cons. const., déc. no 2006-</w:t>
      </w:r>
      <w:r w:rsidRPr="00C54DE1">
        <w:rPr>
          <w:rFonts w:ascii="Calibri" w:eastAsia="Calibri" w:hAnsi="Calibri" w:cs="Calibri"/>
          <w:color w:val="E91D62"/>
        </w:rPr>
        <w:t>540 DC, 27 juillet 2006, Loi relative au droit d’auteur et aux droits voisins dans la société de l’information</w:t>
      </w:r>
      <w:r>
        <w:rPr>
          <w:rFonts w:ascii="Calibri" w:eastAsia="Calibri" w:hAnsi="Calibri" w:cs="Calibri"/>
          <w:color w:val="1A1A1A"/>
        </w:rPr>
        <w:t xml:space="preserve">. L’un suppose donc l’autre dans une relation de consubstantialité, qui est affirmée par les juridictions interne qui citent d’ailleurs régulièrement les deux droits ensemble (à l’instar de </w:t>
      </w:r>
      <w:r>
        <w:rPr>
          <w:rFonts w:ascii="Calibri" w:eastAsia="Calibri" w:hAnsi="Calibri" w:cs="Calibri"/>
          <w:color w:val="E91E63"/>
        </w:rPr>
        <w:t>CE, SSR., 26 mai 2010, M. Marc- Antoine et autres, no 309503</w:t>
      </w:r>
      <w:r>
        <w:rPr>
          <w:rFonts w:ascii="Calibri" w:eastAsia="Calibri" w:hAnsi="Calibri" w:cs="Calibri"/>
          <w:color w:val="1A1A1A"/>
        </w:rPr>
        <w:t>).</w:t>
      </w:r>
    </w:p>
    <w:p w14:paraId="55F8162D" w14:textId="77777777" w:rsidR="001E3E87" w:rsidRDefault="005258B2">
      <w:pPr>
        <w:pStyle w:val="Titre3"/>
        <w:spacing w:before="190" w:after="80"/>
      </w:pPr>
      <w:r>
        <w:rPr>
          <w:rFonts w:ascii="Calibri" w:eastAsia="Calibri" w:hAnsi="Calibri" w:cs="Calibri"/>
          <w:b/>
          <w:bCs/>
          <w:i/>
          <w:iCs/>
          <w:color w:val="1A1A1A"/>
          <w:sz w:val="21"/>
          <w:szCs w:val="21"/>
        </w:rPr>
        <w:t>B. Entre spécialité et généralité</w:t>
      </w:r>
    </w:p>
    <w:p w14:paraId="1C82F5B9" w14:textId="77777777" w:rsidR="00C54DE1" w:rsidRDefault="005258B2">
      <w:pPr>
        <w:spacing w:after="90" w:line="264" w:lineRule="auto"/>
        <w:jc w:val="both"/>
        <w:rPr>
          <w:rFonts w:ascii="Calibri" w:eastAsia="Calibri" w:hAnsi="Calibri" w:cs="Calibri"/>
          <w:color w:val="1A1A1A"/>
        </w:rPr>
      </w:pPr>
      <w:r>
        <w:rPr>
          <w:rFonts w:ascii="Calibri" w:eastAsia="Calibri" w:hAnsi="Calibri" w:cs="Calibri"/>
          <w:color w:val="1A1A1A"/>
        </w:rPr>
        <w:t>L’</w:t>
      </w:r>
      <w:r>
        <w:rPr>
          <w:rFonts w:ascii="Calibri" w:eastAsia="Calibri" w:hAnsi="Calibri" w:cs="Calibri"/>
          <w:color w:val="1E88E5"/>
        </w:rPr>
        <w:t>article 6</w:t>
      </w:r>
      <w:r>
        <w:rPr>
          <w:rFonts w:ascii="Calibri" w:eastAsia="Calibri" w:hAnsi="Calibri" w:cs="Calibri"/>
          <w:color w:val="1A1A1A"/>
        </w:rPr>
        <w:t xml:space="preserve"> de la </w:t>
      </w:r>
      <w:r>
        <w:rPr>
          <w:rFonts w:ascii="Calibri" w:eastAsia="Calibri" w:hAnsi="Calibri" w:cs="Calibri"/>
          <w:color w:val="1E88E5"/>
        </w:rPr>
        <w:t>Convention européenne des droits de l’homme</w:t>
      </w:r>
      <w:r>
        <w:rPr>
          <w:rFonts w:ascii="Calibri" w:eastAsia="Calibri" w:hAnsi="Calibri" w:cs="Calibri"/>
          <w:color w:val="1A1A1A"/>
        </w:rPr>
        <w:t xml:space="preserve"> est considéré par la Cour européenne comme une lex specialis du droit au recours effectif, particulièrement quand il s’agit d’analyser en substance l’équité globale du procès. Les exigences de l’</w:t>
      </w:r>
      <w:r>
        <w:rPr>
          <w:rFonts w:ascii="Calibri" w:eastAsia="Calibri" w:hAnsi="Calibri" w:cs="Calibri"/>
          <w:color w:val="1E88E5"/>
        </w:rPr>
        <w:t>article 6</w:t>
      </w:r>
      <w:r>
        <w:rPr>
          <w:rFonts w:ascii="Calibri" w:eastAsia="Calibri" w:hAnsi="Calibri" w:cs="Calibri"/>
          <w:color w:val="1A1A1A"/>
        </w:rPr>
        <w:t xml:space="preserve"> étant considérées comme plus strictes, elles absorbent la plupart des questions relatives à l’</w:t>
      </w:r>
      <w:r>
        <w:rPr>
          <w:rFonts w:ascii="Calibri" w:eastAsia="Calibri" w:hAnsi="Calibri" w:cs="Calibri"/>
          <w:color w:val="1E88E5"/>
        </w:rPr>
        <w:t>article 13</w:t>
      </w:r>
      <w:r>
        <w:rPr>
          <w:rFonts w:ascii="Calibri" w:eastAsia="Calibri" w:hAnsi="Calibri" w:cs="Calibri"/>
          <w:color w:val="1A1A1A"/>
        </w:rPr>
        <w:t xml:space="preserve"> lorsque les conditions d’applicabilité de l’</w:t>
      </w:r>
      <w:r>
        <w:rPr>
          <w:rFonts w:ascii="Calibri" w:eastAsia="Calibri" w:hAnsi="Calibri" w:cs="Calibri"/>
          <w:color w:val="1E88E5"/>
        </w:rPr>
        <w:t>article 6</w:t>
      </w:r>
      <w:r>
        <w:rPr>
          <w:rFonts w:ascii="Calibri" w:eastAsia="Calibri" w:hAnsi="Calibri" w:cs="Calibri"/>
          <w:color w:val="1A1A1A"/>
        </w:rPr>
        <w:t xml:space="preserve"> sont remplies : </w:t>
      </w:r>
      <w:r>
        <w:rPr>
          <w:rFonts w:ascii="Calibri" w:eastAsia="Calibri" w:hAnsi="Calibri" w:cs="Calibri"/>
          <w:color w:val="E91E63"/>
        </w:rPr>
        <w:t xml:space="preserve">CEDH, 25 mars 1983, Silver et a. c. Royaume-Uni, no 5947/72 </w:t>
      </w:r>
      <w:r>
        <w:rPr>
          <w:rFonts w:ascii="Calibri" w:eastAsia="Calibri" w:hAnsi="Calibri" w:cs="Calibri"/>
          <w:color w:val="1A1A1A"/>
        </w:rPr>
        <w:t>et autres. À l’exception des questions regardant le délai raisonnable pour lesquelles il n’y a pas d’absorption (</w:t>
      </w:r>
      <w:r>
        <w:rPr>
          <w:rFonts w:ascii="Calibri" w:eastAsia="Calibri" w:hAnsi="Calibri" w:cs="Calibri"/>
          <w:color w:val="E91E63"/>
        </w:rPr>
        <w:t>CEDH [GC], 26 octobre 2000, Kudla c. Pologne, no 30210/96</w:t>
      </w:r>
      <w:r>
        <w:rPr>
          <w:rFonts w:ascii="Calibri" w:eastAsia="Calibri" w:hAnsi="Calibri" w:cs="Calibri"/>
          <w:color w:val="1A1A1A"/>
        </w:rPr>
        <w:t xml:space="preserve">). </w:t>
      </w:r>
    </w:p>
    <w:p w14:paraId="29779165" w14:textId="4476CC28" w:rsidR="001E3E87" w:rsidRDefault="005258B2">
      <w:pPr>
        <w:spacing w:after="90" w:line="264" w:lineRule="auto"/>
        <w:jc w:val="both"/>
        <w:rPr>
          <w:rFonts w:ascii="Calibri" w:eastAsia="Calibri" w:hAnsi="Calibri" w:cs="Calibri"/>
          <w:color w:val="1A1A1A"/>
        </w:rPr>
      </w:pPr>
      <w:r>
        <w:rPr>
          <w:rFonts w:ascii="Calibri" w:eastAsia="Calibri" w:hAnsi="Calibri" w:cs="Calibri"/>
          <w:color w:val="1A1A1A"/>
        </w:rPr>
        <w:t>Malgré sa généralité, l’</w:t>
      </w:r>
      <w:r>
        <w:rPr>
          <w:rFonts w:ascii="Calibri" w:eastAsia="Calibri" w:hAnsi="Calibri" w:cs="Calibri"/>
          <w:color w:val="1E88E5"/>
        </w:rPr>
        <w:t>article 13</w:t>
      </w:r>
      <w:r>
        <w:rPr>
          <w:rFonts w:ascii="Calibri" w:eastAsia="Calibri" w:hAnsi="Calibri" w:cs="Calibri"/>
          <w:color w:val="1A1A1A"/>
        </w:rPr>
        <w:t xml:space="preserve"> n’a néanmoins pas d’existence indépendante : il nécessite d’être utilisé en combinaison avec un droit protégé existant, ce qui souligne le caractère essentiel de ce droit procédural pour la protection des autres violations alléguées des droits humains. L’</w:t>
      </w:r>
      <w:r>
        <w:rPr>
          <w:rFonts w:ascii="Calibri" w:eastAsia="Calibri" w:hAnsi="Calibri" w:cs="Calibri"/>
          <w:color w:val="1E88E5"/>
        </w:rPr>
        <w:t>article 13</w:t>
      </w:r>
      <w:r>
        <w:rPr>
          <w:rFonts w:ascii="Calibri" w:eastAsia="Calibri" w:hAnsi="Calibri" w:cs="Calibri"/>
          <w:color w:val="1A1A1A"/>
        </w:rPr>
        <w:t xml:space="preserve"> n’est pas considéré comme applicable dans le cas où la violation alléguée de la </w:t>
      </w:r>
      <w:r>
        <w:rPr>
          <w:rFonts w:ascii="Calibri" w:eastAsia="Calibri" w:hAnsi="Calibri" w:cs="Calibri"/>
          <w:color w:val="1E88E5"/>
        </w:rPr>
        <w:t>Convention européenne des droits de l’homme</w:t>
      </w:r>
      <w:r>
        <w:rPr>
          <w:rFonts w:ascii="Calibri" w:eastAsia="Calibri" w:hAnsi="Calibri" w:cs="Calibri"/>
          <w:color w:val="1A1A1A"/>
        </w:rPr>
        <w:t xml:space="preserve"> s’est produite au cours d’une procédure judiciaire (relevant de l’</w:t>
      </w:r>
      <w:r>
        <w:rPr>
          <w:rFonts w:ascii="Calibri" w:eastAsia="Calibri" w:hAnsi="Calibri" w:cs="Calibri"/>
          <w:color w:val="1E88E5"/>
        </w:rPr>
        <w:t>article 6</w:t>
      </w:r>
      <w:r>
        <w:rPr>
          <w:rFonts w:ascii="Calibri" w:eastAsia="Calibri" w:hAnsi="Calibri" w:cs="Calibri"/>
          <w:color w:val="1A1A1A"/>
        </w:rPr>
        <w:t>). La Cour les utilise donc généralement de manière alternative, mais elle a pu les analyser ensemble assez exceptionnellement dans certaines affaires (</w:t>
      </w:r>
      <w:r>
        <w:rPr>
          <w:rFonts w:ascii="Calibri" w:eastAsia="Calibri" w:hAnsi="Calibri" w:cs="Calibri"/>
          <w:color w:val="E91E63"/>
        </w:rPr>
        <w:t>CEDH [GC], 19 avril 2007, Vilho Eskelinen et a. c. Finlande, no 63235/00</w:t>
      </w:r>
      <w:r>
        <w:rPr>
          <w:rFonts w:ascii="Calibri" w:eastAsia="Calibri" w:hAnsi="Calibri" w:cs="Calibri"/>
          <w:color w:val="1A1A1A"/>
        </w:rPr>
        <w:t>).</w:t>
      </w:r>
    </w:p>
    <w:p w14:paraId="55E5007F" w14:textId="77777777" w:rsidR="00C54DE1" w:rsidRDefault="00C54DE1">
      <w:pPr>
        <w:spacing w:after="90" w:line="264" w:lineRule="auto"/>
        <w:jc w:val="both"/>
      </w:pPr>
    </w:p>
    <w:p w14:paraId="6B118962" w14:textId="77777777" w:rsidR="001E3E87" w:rsidRDefault="005258B2">
      <w:pPr>
        <w:pStyle w:val="Titre3"/>
        <w:spacing w:before="190" w:after="80"/>
      </w:pPr>
      <w:r>
        <w:rPr>
          <w:rFonts w:ascii="Calibri" w:eastAsia="Calibri" w:hAnsi="Calibri" w:cs="Calibri"/>
          <w:b/>
          <w:bCs/>
          <w:i/>
          <w:iCs/>
          <w:color w:val="1A1A1A"/>
          <w:sz w:val="21"/>
          <w:szCs w:val="21"/>
        </w:rPr>
        <w:lastRenderedPageBreak/>
        <w:t>II. Des droits aux exigences distinctes</w:t>
      </w:r>
    </w:p>
    <w:p w14:paraId="1AD06F90" w14:textId="77777777" w:rsidR="001E3E87" w:rsidRDefault="005258B2">
      <w:pPr>
        <w:pStyle w:val="Titre3"/>
        <w:spacing w:before="190" w:after="80"/>
      </w:pPr>
      <w:r>
        <w:rPr>
          <w:rFonts w:ascii="Calibri" w:eastAsia="Calibri" w:hAnsi="Calibri" w:cs="Calibri"/>
          <w:b/>
          <w:bCs/>
          <w:i/>
          <w:iCs/>
          <w:color w:val="1A1A1A"/>
          <w:sz w:val="21"/>
          <w:szCs w:val="21"/>
        </w:rPr>
        <w:t>A. Des exigences formelles différentes</w:t>
      </w:r>
    </w:p>
    <w:p w14:paraId="49549DA3" w14:textId="77777777" w:rsidR="001E3E87" w:rsidRDefault="005258B2">
      <w:pPr>
        <w:spacing w:after="90" w:line="264" w:lineRule="auto"/>
        <w:jc w:val="both"/>
      </w:pPr>
      <w:r>
        <w:rPr>
          <w:rFonts w:ascii="Calibri" w:eastAsia="Calibri" w:hAnsi="Calibri" w:cs="Calibri"/>
          <w:color w:val="1A1A1A"/>
        </w:rPr>
        <w:t>Le droit au recours effectif permet de donner accès à une voie de droit effective. Le droit à un procès équitable donne, lui, des garanties procédurales et institutionnelles permettant d’avoir accès au juge et de protéger l’équité du procès. Il existe donc des exigences institutionnelles concernant l’</w:t>
      </w:r>
      <w:r>
        <w:rPr>
          <w:rFonts w:ascii="Calibri" w:eastAsia="Calibri" w:hAnsi="Calibri" w:cs="Calibri"/>
          <w:color w:val="1E88E5"/>
        </w:rPr>
        <w:t>article 6</w:t>
      </w:r>
      <w:r>
        <w:rPr>
          <w:rFonts w:ascii="Calibri" w:eastAsia="Calibri" w:hAnsi="Calibri" w:cs="Calibri"/>
          <w:color w:val="1A1A1A"/>
        </w:rPr>
        <w:t xml:space="preserve"> relatives à l’indépendance et l’impartialité et des exigences relatives aux procédures (délais, respect des droits de la défense) ainsi qu’aux jugements (à l’instar de la publicité). L’</w:t>
      </w:r>
      <w:r>
        <w:rPr>
          <w:rFonts w:ascii="Calibri" w:eastAsia="Calibri" w:hAnsi="Calibri" w:cs="Calibri"/>
          <w:color w:val="1E88E5"/>
        </w:rPr>
        <w:t>article 13</w:t>
      </w:r>
      <w:r>
        <w:rPr>
          <w:rFonts w:ascii="Calibri" w:eastAsia="Calibri" w:hAnsi="Calibri" w:cs="Calibri"/>
          <w:color w:val="1A1A1A"/>
        </w:rPr>
        <w:t xml:space="preserve"> nécessite l’existence de voies de recours accessibles en cas de grief défendable. Le maintien de la différence entre ces deux droits est donc essentiel : le recours peut être effectif sans que le procès soit équitable, et inversement. Ces deux droits permettent de couvrir une très grande majorité des manquements procéduraux. Leur champ d’action est différent, bien que complémentaire.</w:t>
      </w:r>
    </w:p>
    <w:p w14:paraId="4E304424" w14:textId="77777777" w:rsidR="001E3E87" w:rsidRDefault="005258B2">
      <w:pPr>
        <w:pStyle w:val="Titre3"/>
        <w:spacing w:before="190" w:after="80"/>
      </w:pPr>
      <w:r>
        <w:rPr>
          <w:rFonts w:ascii="Calibri" w:eastAsia="Calibri" w:hAnsi="Calibri" w:cs="Calibri"/>
          <w:b/>
          <w:bCs/>
          <w:i/>
          <w:iCs/>
          <w:color w:val="1A1A1A"/>
          <w:sz w:val="21"/>
          <w:szCs w:val="21"/>
        </w:rPr>
        <w:t>B. Des droits fondamentaux dans une société démocratique</w:t>
      </w:r>
    </w:p>
    <w:p w14:paraId="2CB2EF52" w14:textId="0D64C9F0" w:rsidR="001E3E87" w:rsidRDefault="005258B2">
      <w:pPr>
        <w:spacing w:after="90" w:line="264" w:lineRule="auto"/>
        <w:jc w:val="both"/>
      </w:pPr>
      <w:r>
        <w:rPr>
          <w:rFonts w:ascii="Calibri" w:eastAsia="Calibri" w:hAnsi="Calibri" w:cs="Calibri"/>
          <w:color w:val="1A1A1A"/>
        </w:rPr>
        <w:t xml:space="preserve">Ces deux droits distincts ont permis d’accentuer les garanties procédurales grâce à la précision des interprétations offertes par les organes internationaux, rationalisant ces principes généraux du droit par l’édiction de critères et de conditions précises. Cela a permis au Conseil constitutionnel, depuis 2010 et l’émergence du contrôle a posteriori, de répondre aux critiques structurelles dont il fait l’objet, par une juridictionnalisation de sa fonction grâce au respect de certains droits procéduraux essentiels : </w:t>
      </w:r>
      <w:r>
        <w:rPr>
          <w:rFonts w:ascii="Calibri" w:eastAsia="Calibri" w:hAnsi="Calibri" w:cs="Calibri"/>
          <w:color w:val="E91E63"/>
        </w:rPr>
        <w:t>Cons. const., déc. no 2009-</w:t>
      </w:r>
      <w:r w:rsidRPr="00C54DE1">
        <w:rPr>
          <w:rFonts w:ascii="Calibri" w:eastAsia="Calibri" w:hAnsi="Calibri" w:cs="Calibri"/>
          <w:color w:val="E91D62"/>
        </w:rPr>
        <w:t xml:space="preserve">595 DC, 3 décembre 2009, Loi organique </w:t>
      </w:r>
      <w:r>
        <w:rPr>
          <w:rFonts w:ascii="Calibri" w:eastAsia="Calibri" w:hAnsi="Calibri" w:cs="Calibri"/>
          <w:color w:val="1A1A1A"/>
        </w:rPr>
        <w:t>relative à l’application de l’</w:t>
      </w:r>
      <w:r>
        <w:rPr>
          <w:rFonts w:ascii="Calibri" w:eastAsia="Calibri" w:hAnsi="Calibri" w:cs="Calibri"/>
          <w:color w:val="1E88E5"/>
        </w:rPr>
        <w:t>article 61-1</w:t>
      </w:r>
      <w:r>
        <w:rPr>
          <w:rFonts w:ascii="Calibri" w:eastAsia="Calibri" w:hAnsi="Calibri" w:cs="Calibri"/>
          <w:color w:val="1A1A1A"/>
        </w:rPr>
        <w:t xml:space="preserve"> de la Constitution. Ces droits démontrent ainsi un rôle croissant des juges européens dans la transformation du droit et dans la mise en place d’un standard procédural commun. Dans certains États européens, la montée </w:t>
      </w:r>
      <w:r w:rsidR="00C54DE1">
        <w:rPr>
          <w:rFonts w:ascii="Calibri" w:eastAsia="Calibri" w:hAnsi="Calibri" w:cs="Calibri"/>
          <w:color w:val="1A1A1A"/>
        </w:rPr>
        <w:t>du</w:t>
      </w:r>
      <w:r>
        <w:rPr>
          <w:rFonts w:ascii="Calibri" w:eastAsia="Calibri" w:hAnsi="Calibri" w:cs="Calibri"/>
          <w:color w:val="1A1A1A"/>
        </w:rPr>
        <w:t xml:space="preserve"> populisme </w:t>
      </w:r>
      <w:r w:rsidR="00C54DE1">
        <w:rPr>
          <w:rFonts w:ascii="Calibri" w:eastAsia="Calibri" w:hAnsi="Calibri" w:cs="Calibri"/>
          <w:color w:val="1A1A1A"/>
        </w:rPr>
        <w:t>pose</w:t>
      </w:r>
      <w:r>
        <w:rPr>
          <w:rFonts w:ascii="Calibri" w:eastAsia="Calibri" w:hAnsi="Calibri" w:cs="Calibri"/>
          <w:color w:val="1A1A1A"/>
        </w:rPr>
        <w:t xml:space="preserve"> des questions primordiales sur le respect de ces droits procéduraux essentiels (</w:t>
      </w:r>
      <w:r>
        <w:rPr>
          <w:rFonts w:ascii="Calibri" w:eastAsia="Calibri" w:hAnsi="Calibri" w:cs="Calibri"/>
          <w:color w:val="E91E63"/>
        </w:rPr>
        <w:t>CEDH [GC], 15 mars 2022, Grzęda c. Pologne, no 43572/18</w:t>
      </w:r>
      <w:r>
        <w:rPr>
          <w:rFonts w:ascii="Calibri" w:eastAsia="Calibri" w:hAnsi="Calibri" w:cs="Calibri"/>
          <w:color w:val="1A1A1A"/>
        </w:rPr>
        <w:t>) et d’une manière plus générale sur le respect de l’État de droit par ces États, en faisant de ces droits des garde-fous essentiels. Cependant, ces règles procédurales peinent à résoudre certains enjeux contemporains à savoir :</w:t>
      </w:r>
    </w:p>
    <w:p w14:paraId="6793F940"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Les risques liés à un formalisme excessif (recevabilité, irrecevabilité, délais…).</w:t>
      </w:r>
    </w:p>
    <w:p w14:paraId="32CDEBA3"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Les problèmes d’accès au juge pour les personnes vulnérables (étrangers, justiciables non représentés…).</w:t>
      </w:r>
    </w:p>
    <w:p w14:paraId="20D58876" w14:textId="77777777" w:rsidR="001E3E87" w:rsidRDefault="005258B2">
      <w:pPr>
        <w:spacing w:after="90" w:line="264" w:lineRule="auto"/>
        <w:jc w:val="both"/>
      </w:pPr>
      <w:r>
        <w:rPr>
          <w:rFonts w:ascii="Calibri" w:eastAsia="Calibri" w:hAnsi="Calibri" w:cs="Calibri"/>
          <w:color w:val="1A1A1A"/>
        </w:rPr>
        <w:t>En conclusion, ces deux droits forment un socle essentiel de protection des droits procéduraux des individus, renforcé par leur consubstantialité.</w:t>
      </w:r>
    </w:p>
    <w:p w14:paraId="3AE0CBD8" w14:textId="77777777" w:rsidR="001E3E87" w:rsidRDefault="005258B2">
      <w:r>
        <w:br w:type="page"/>
      </w:r>
    </w:p>
    <w:p w14:paraId="5CF8E10D"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32 — ARGUMENTATION JURIDIQUE</w:t>
      </w:r>
    </w:p>
    <w:p w14:paraId="52DEA9C8" w14:textId="77777777" w:rsidR="001E3E87" w:rsidRDefault="005258B2">
      <w:pPr>
        <w:spacing w:after="160"/>
      </w:pPr>
      <w:r>
        <w:rPr>
          <w:rFonts w:ascii="Calibri" w:eastAsia="Calibri" w:hAnsi="Calibri" w:cs="Calibri"/>
          <w:i/>
          <w:iCs/>
          <w:color w:val="5A5A5A"/>
          <w:sz w:val="18"/>
          <w:szCs w:val="18"/>
        </w:rPr>
        <w:t>Fiche n° 32 — Les garanties fondamentales en droit pénal  |  PARTIE VI. LES DROITS CIVILS ET POLITIQUES  |  Fascicule p. 329</w:t>
      </w:r>
    </w:p>
    <w:p w14:paraId="43243360"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5ED3BBEC"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Soutenez que la médiatisation des affaires judiciaires porte atteinte aux garanties fondamentales en matière pénale.</w:t>
      </w:r>
    </w:p>
    <w:p w14:paraId="7BDD2299"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6D854DED" w14:textId="77777777" w:rsidR="001E3E87" w:rsidRDefault="005258B2">
      <w:pPr>
        <w:spacing w:after="90" w:line="264" w:lineRule="auto"/>
        <w:jc w:val="both"/>
      </w:pPr>
      <w:r>
        <w:rPr>
          <w:rFonts w:ascii="Calibri" w:eastAsia="Calibri" w:hAnsi="Calibri" w:cs="Calibri"/>
          <w:color w:val="1A1A1A"/>
        </w:rPr>
        <w:t xml:space="preserve">Le système judiciaire inique de l’Ancien régime était vivement critiqué par les Lumières, dont </w:t>
      </w:r>
      <w:r w:rsidRPr="0081769B">
        <w:rPr>
          <w:rFonts w:ascii="Calibri" w:eastAsia="Calibri" w:hAnsi="Calibri" w:cs="Calibri"/>
          <w:color w:val="3A7C22" w:themeColor="accent6" w:themeShade="BF"/>
        </w:rPr>
        <w:t xml:space="preserve">Beccaria </w:t>
      </w:r>
      <w:r>
        <w:rPr>
          <w:rFonts w:ascii="Calibri" w:eastAsia="Calibri" w:hAnsi="Calibri" w:cs="Calibri"/>
          <w:color w:val="1A1A1A"/>
        </w:rPr>
        <w:t xml:space="preserve">représente une figure incontournable. La Révolution française marque un tournant important pour la reconnaissance des garanties fondamentales en matière pénale. Plusieurs garanties fondamentales en matière pénale ont été inscrites dans la </w:t>
      </w:r>
      <w:r>
        <w:rPr>
          <w:rFonts w:ascii="Calibri" w:eastAsia="Calibri" w:hAnsi="Calibri" w:cs="Calibri"/>
          <w:color w:val="1E88E5"/>
        </w:rPr>
        <w:t>Déclaration des droits de l’homme et du citoyen</w:t>
      </w:r>
      <w:r>
        <w:rPr>
          <w:rFonts w:ascii="Calibri" w:eastAsia="Calibri" w:hAnsi="Calibri" w:cs="Calibri"/>
          <w:color w:val="1A1A1A"/>
        </w:rPr>
        <w:t xml:space="preserve"> </w:t>
      </w:r>
      <w:r w:rsidRPr="0081769B">
        <w:rPr>
          <w:rFonts w:ascii="Calibri" w:eastAsia="Calibri" w:hAnsi="Calibri" w:cs="Calibri"/>
          <w:color w:val="1E88C7"/>
        </w:rPr>
        <w:t>de 1789</w:t>
      </w:r>
      <w:r>
        <w:rPr>
          <w:rFonts w:ascii="Calibri" w:eastAsia="Calibri" w:hAnsi="Calibri" w:cs="Calibri"/>
          <w:color w:val="1A1A1A"/>
        </w:rPr>
        <w:t xml:space="preserve"> ; il faudra cependant attendre avant que ces principes soient effectifs en droit positif. Actuellement, le droit international et européen des droits humains, à travers un éventail de conventions, porte une considération particulière pour le respect des garanties fondamentales en droit pénal. Le XXIe siècle est marqué par une accélération croissante de l’information au moyen de supports numériques supplantant les sources d’informations traditionnelles, les chaînes d’informations en continu et les réseaux sociaux ont fait évoluer la diffusion de l’information, dont celle des affaires judiciaires. La médiatisation des affaires judiciaires et son encadrement juridique s’inscrivent en démocratie libérale dans un sensible équilibre entre le respect de la liberté d’expression et le respect des droits de la défense. Cette médiatisation inclut un enjeu crucial qui réside dans la libération de la parole des victimes, notamment dans des matières dont le traitement judiciaire est souvent insuffisant, tels que pour le traitement judiciaire des violences faites aux mineurs et des violences faites aux femmes (des traitements lacunaires récemment reconnus par plusieurs arrêts de la Cour européenne des droits de l’homme).</w:t>
      </w:r>
    </w:p>
    <w:p w14:paraId="2E0B712A" w14:textId="77777777" w:rsidR="001E3E87" w:rsidRDefault="005258B2">
      <w:pPr>
        <w:spacing w:after="90" w:line="264" w:lineRule="auto"/>
        <w:jc w:val="both"/>
      </w:pPr>
      <w:r>
        <w:rPr>
          <w:rFonts w:ascii="Calibri" w:eastAsia="Calibri" w:hAnsi="Calibri" w:cs="Calibri"/>
          <w:color w:val="1A1A1A"/>
        </w:rPr>
        <w:t>Problématique et annonce de plan : La médiatisation des affaires judiciaires est juridiquement justifiée sous plusieurs aspects (I), mais il est indispensable qu’elle préserve les garanties fondamentales en matière pénale, un bouclier de l’État de droit (II).</w:t>
      </w:r>
    </w:p>
    <w:p w14:paraId="080119AD" w14:textId="77777777" w:rsidR="001E3E87" w:rsidRDefault="005258B2">
      <w:pPr>
        <w:pStyle w:val="Titre3"/>
        <w:spacing w:before="190" w:after="80"/>
      </w:pPr>
      <w:r>
        <w:rPr>
          <w:rFonts w:ascii="Calibri" w:eastAsia="Calibri" w:hAnsi="Calibri" w:cs="Calibri"/>
          <w:b/>
          <w:bCs/>
          <w:i/>
          <w:iCs/>
          <w:color w:val="1A1A1A"/>
          <w:sz w:val="21"/>
          <w:szCs w:val="21"/>
        </w:rPr>
        <w:t>I. Une médiatisation indispensable à une société démocratique</w:t>
      </w:r>
    </w:p>
    <w:p w14:paraId="2D42A4EA" w14:textId="77777777" w:rsidR="001E3E87" w:rsidRDefault="005258B2">
      <w:pPr>
        <w:pStyle w:val="Titre3"/>
        <w:spacing w:before="190" w:after="80"/>
      </w:pPr>
      <w:r>
        <w:rPr>
          <w:rFonts w:ascii="Calibri" w:eastAsia="Calibri" w:hAnsi="Calibri" w:cs="Calibri"/>
          <w:b/>
          <w:bCs/>
          <w:i/>
          <w:iCs/>
          <w:color w:val="1A1A1A"/>
          <w:sz w:val="21"/>
          <w:szCs w:val="21"/>
        </w:rPr>
        <w:t>A. La liberté d’expression au fondement de la démocratie libérale</w:t>
      </w:r>
    </w:p>
    <w:p w14:paraId="70BD7F25" w14:textId="77777777" w:rsidR="001E3E87" w:rsidRDefault="005258B2">
      <w:pPr>
        <w:spacing w:after="90" w:line="264" w:lineRule="auto"/>
        <w:jc w:val="both"/>
      </w:pPr>
      <w:r>
        <w:rPr>
          <w:rFonts w:ascii="Calibri" w:eastAsia="Calibri" w:hAnsi="Calibri" w:cs="Calibri"/>
          <w:color w:val="1A1A1A"/>
        </w:rPr>
        <w:t>La liberté d’expression est consacrée dans plusieurs grands textes (</w:t>
      </w:r>
      <w:r>
        <w:rPr>
          <w:rFonts w:ascii="Calibri" w:eastAsia="Calibri" w:hAnsi="Calibri" w:cs="Calibri"/>
          <w:color w:val="1E88E5"/>
        </w:rPr>
        <w:t>article 11</w:t>
      </w:r>
      <w:r>
        <w:rPr>
          <w:rFonts w:ascii="Calibri" w:eastAsia="Calibri" w:hAnsi="Calibri" w:cs="Calibri"/>
          <w:color w:val="1A1A1A"/>
        </w:rPr>
        <w:t xml:space="preserve"> de la </w:t>
      </w:r>
      <w:r>
        <w:rPr>
          <w:rFonts w:ascii="Calibri" w:eastAsia="Calibri" w:hAnsi="Calibri" w:cs="Calibri"/>
          <w:color w:val="1E88E5"/>
        </w:rPr>
        <w:t>Déclaration des droits de l’homme et du citoyen</w:t>
      </w:r>
      <w:r>
        <w:rPr>
          <w:rFonts w:ascii="Calibri" w:eastAsia="Calibri" w:hAnsi="Calibri" w:cs="Calibri"/>
          <w:color w:val="1A1A1A"/>
        </w:rPr>
        <w:t xml:space="preserve">, </w:t>
      </w:r>
      <w:r>
        <w:rPr>
          <w:rFonts w:ascii="Calibri" w:eastAsia="Calibri" w:hAnsi="Calibri" w:cs="Calibri"/>
          <w:color w:val="1E88E5"/>
        </w:rPr>
        <w:t>article 10</w:t>
      </w:r>
      <w:r>
        <w:rPr>
          <w:rFonts w:ascii="Calibri" w:eastAsia="Calibri" w:hAnsi="Calibri" w:cs="Calibri"/>
          <w:color w:val="1A1A1A"/>
        </w:rPr>
        <w:t xml:space="preserve"> de la Convention européenne, </w:t>
      </w:r>
      <w:r>
        <w:rPr>
          <w:rFonts w:ascii="Calibri" w:eastAsia="Calibri" w:hAnsi="Calibri" w:cs="Calibri"/>
          <w:color w:val="1E88E5"/>
        </w:rPr>
        <w:t>article 19</w:t>
      </w:r>
      <w:r>
        <w:rPr>
          <w:rFonts w:ascii="Calibri" w:eastAsia="Calibri" w:hAnsi="Calibri" w:cs="Calibri"/>
          <w:color w:val="1A1A1A"/>
        </w:rPr>
        <w:t xml:space="preserve"> du </w:t>
      </w:r>
      <w:r>
        <w:rPr>
          <w:rFonts w:ascii="Calibri" w:eastAsia="Calibri" w:hAnsi="Calibri" w:cs="Calibri"/>
          <w:color w:val="1E88E5"/>
        </w:rPr>
        <w:t>Pacte international relatif aux droits civils et politiques</w:t>
      </w:r>
      <w:r>
        <w:rPr>
          <w:rFonts w:ascii="Calibri" w:eastAsia="Calibri" w:hAnsi="Calibri" w:cs="Calibri"/>
          <w:color w:val="1A1A1A"/>
        </w:rPr>
        <w:t>). La médiatisation des affaires judiciaires contribue à la transparence de la justice, l’opacité totale des affaires judiciaires étant l’apanage des régimes illibéraux.</w:t>
      </w:r>
    </w:p>
    <w:p w14:paraId="30C39BFD" w14:textId="77777777" w:rsidR="001E3E87" w:rsidRDefault="005258B2">
      <w:pPr>
        <w:pStyle w:val="Titre3"/>
        <w:spacing w:before="190" w:after="80"/>
      </w:pPr>
      <w:r>
        <w:rPr>
          <w:rFonts w:ascii="Calibri" w:eastAsia="Calibri" w:hAnsi="Calibri" w:cs="Calibri"/>
          <w:b/>
          <w:bCs/>
          <w:i/>
          <w:iCs/>
          <w:color w:val="1A1A1A"/>
          <w:sz w:val="21"/>
          <w:szCs w:val="21"/>
        </w:rPr>
        <w:t>B. La liberté d’expression dans le cadre d’un débat d’intérêt général</w:t>
      </w:r>
    </w:p>
    <w:p w14:paraId="5B4401D0" w14:textId="77777777" w:rsidR="001E3E87" w:rsidRDefault="005258B2">
      <w:pPr>
        <w:spacing w:after="90" w:line="264" w:lineRule="auto"/>
        <w:jc w:val="both"/>
      </w:pPr>
      <w:r>
        <w:rPr>
          <w:rFonts w:ascii="Calibri" w:eastAsia="Calibri" w:hAnsi="Calibri" w:cs="Calibri"/>
          <w:color w:val="1A1A1A"/>
        </w:rPr>
        <w:t>Exemple de mise en balance de la présomption d’innocence avec une telle médiatisation : à propos de la diffusion du film « Grâce à dieu » qui traite d’accusations de violences sexuelles commises par un prêtre mis en examen : le 6 janvier 2021, la Cour de cassation opère un contrôle de proportionnalité en prenant en compte divers éléments (reprenant la méthode de la Cour européenne dans l’</w:t>
      </w:r>
      <w:r w:rsidRPr="00F26070">
        <w:rPr>
          <w:rFonts w:ascii="Calibri" w:eastAsia="Calibri" w:hAnsi="Calibri" w:cs="Calibri"/>
          <w:color w:val="E91D62"/>
        </w:rPr>
        <w:t>affaire Bédat contre Suisse rendu en 2016</w:t>
      </w:r>
      <w:r>
        <w:rPr>
          <w:rFonts w:ascii="Calibri" w:eastAsia="Calibri" w:hAnsi="Calibri" w:cs="Calibri"/>
          <w:color w:val="1A1A1A"/>
        </w:rPr>
        <w:t>) et dit que la suspension du film avant jugement n’était pas nécessaire. La médiatisation d’affaires judiciaires permet de contribuer à des débats juridiques sur le traitement pénal de certaines infractions (Exemple de l’affaire des viols de Mazan qui a eu un retentissement mondial, mettant en lumière l’ampleur des violences faites aux femmes).</w:t>
      </w:r>
    </w:p>
    <w:p w14:paraId="5B067EA6" w14:textId="77777777" w:rsidR="001E3E87" w:rsidRDefault="005258B2">
      <w:pPr>
        <w:pStyle w:val="Titre3"/>
        <w:spacing w:before="190" w:after="80"/>
      </w:pPr>
      <w:r>
        <w:rPr>
          <w:rFonts w:ascii="Calibri" w:eastAsia="Calibri" w:hAnsi="Calibri" w:cs="Calibri"/>
          <w:b/>
          <w:bCs/>
          <w:i/>
          <w:iCs/>
          <w:color w:val="1A1A1A"/>
          <w:sz w:val="21"/>
          <w:szCs w:val="21"/>
        </w:rPr>
        <w:t>II. Une médiatisation parfois délétère pour les droits de la défense</w:t>
      </w:r>
    </w:p>
    <w:p w14:paraId="23358A56" w14:textId="77777777" w:rsidR="001E3E87" w:rsidRDefault="005258B2">
      <w:pPr>
        <w:pStyle w:val="Titre3"/>
        <w:spacing w:before="190" w:after="80"/>
      </w:pPr>
      <w:r>
        <w:rPr>
          <w:rFonts w:ascii="Calibri" w:eastAsia="Calibri" w:hAnsi="Calibri" w:cs="Calibri"/>
          <w:b/>
          <w:bCs/>
          <w:i/>
          <w:iCs/>
          <w:color w:val="1A1A1A"/>
          <w:sz w:val="21"/>
          <w:szCs w:val="21"/>
        </w:rPr>
        <w:t>A. Une médiatisation source de remise en cause des garanties procédurales</w:t>
      </w:r>
    </w:p>
    <w:p w14:paraId="5808CB86" w14:textId="77777777" w:rsidR="001E3E87" w:rsidRDefault="005258B2">
      <w:pPr>
        <w:spacing w:after="90" w:line="264" w:lineRule="auto"/>
        <w:jc w:val="both"/>
      </w:pPr>
      <w:r>
        <w:rPr>
          <w:rFonts w:ascii="Calibri" w:eastAsia="Calibri" w:hAnsi="Calibri" w:cs="Calibri"/>
          <w:color w:val="1A1A1A"/>
        </w:rPr>
        <w:t>La forte exposition médiatique d’affaires judiciaires mène souvent à des entorses au principe de la présomption d’innocence (</w:t>
      </w:r>
      <w:r>
        <w:rPr>
          <w:rFonts w:ascii="Calibri" w:eastAsia="Calibri" w:hAnsi="Calibri" w:cs="Calibri"/>
          <w:color w:val="1E88E5"/>
        </w:rPr>
        <w:t>art. 9</w:t>
      </w:r>
      <w:r>
        <w:rPr>
          <w:rFonts w:ascii="Calibri" w:eastAsia="Calibri" w:hAnsi="Calibri" w:cs="Calibri"/>
          <w:color w:val="1A1A1A"/>
        </w:rPr>
        <w:t xml:space="preserve"> </w:t>
      </w:r>
      <w:r w:rsidRPr="00F26070">
        <w:rPr>
          <w:rFonts w:ascii="Calibri" w:eastAsia="Calibri" w:hAnsi="Calibri" w:cs="Calibri"/>
          <w:color w:val="1E88C7"/>
        </w:rPr>
        <w:t>Déclaration de 1789</w:t>
      </w:r>
      <w:r>
        <w:rPr>
          <w:rFonts w:ascii="Calibri" w:eastAsia="Calibri" w:hAnsi="Calibri" w:cs="Calibri"/>
          <w:color w:val="1A1A1A"/>
        </w:rPr>
        <w:t xml:space="preserve">), qui perd de plus en plus de sa substance. Dans sa liste des critères de l’État de droit, la </w:t>
      </w:r>
      <w:r w:rsidRPr="00F26070">
        <w:rPr>
          <w:rFonts w:ascii="Calibri" w:eastAsia="Calibri" w:hAnsi="Calibri" w:cs="Calibri"/>
          <w:color w:val="3A7C22" w:themeColor="accent6" w:themeShade="BF"/>
        </w:rPr>
        <w:t xml:space="preserve">Commission de Venise </w:t>
      </w:r>
      <w:r>
        <w:rPr>
          <w:rFonts w:ascii="Calibri" w:eastAsia="Calibri" w:hAnsi="Calibri" w:cs="Calibri"/>
          <w:color w:val="1A1A1A"/>
        </w:rPr>
        <w:t xml:space="preserve">inclut la présomption d’innocence comme </w:t>
      </w:r>
      <w:r w:rsidRPr="00F26070">
        <w:rPr>
          <w:rFonts w:ascii="Calibri" w:eastAsia="Calibri" w:hAnsi="Calibri" w:cs="Calibri"/>
          <w:color w:val="3A7C22" w:themeColor="accent6" w:themeShade="BF"/>
        </w:rPr>
        <w:t>« élément essentiel du droit à un procès équitable »</w:t>
      </w:r>
      <w:r>
        <w:rPr>
          <w:rFonts w:ascii="Calibri" w:eastAsia="Calibri" w:hAnsi="Calibri" w:cs="Calibri"/>
          <w:color w:val="1A1A1A"/>
        </w:rPr>
        <w:t xml:space="preserve"> et mentionne </w:t>
      </w:r>
      <w:r w:rsidRPr="00F26070">
        <w:rPr>
          <w:rFonts w:ascii="Calibri" w:eastAsia="Calibri" w:hAnsi="Calibri" w:cs="Calibri"/>
          <w:color w:val="3A7C22" w:themeColor="accent6" w:themeShade="BF"/>
        </w:rPr>
        <w:t xml:space="preserve">« certains faiseurs d’opinions, comme les médias ». </w:t>
      </w:r>
      <w:r>
        <w:rPr>
          <w:rFonts w:ascii="Calibri" w:eastAsia="Calibri" w:hAnsi="Calibri" w:cs="Calibri"/>
          <w:color w:val="1A1A1A"/>
        </w:rPr>
        <w:t>Certains juristes dénoncent l’existence d’un « tribunal médiatique » en dehors des prétoires. L’</w:t>
      </w:r>
      <w:r>
        <w:rPr>
          <w:rFonts w:ascii="Calibri" w:eastAsia="Calibri" w:hAnsi="Calibri" w:cs="Calibri"/>
          <w:color w:val="1E88E5"/>
        </w:rPr>
        <w:t>article 35 ter</w:t>
      </w:r>
      <w:r>
        <w:rPr>
          <w:rFonts w:ascii="Calibri" w:eastAsia="Calibri" w:hAnsi="Calibri" w:cs="Calibri"/>
          <w:color w:val="1A1A1A"/>
        </w:rPr>
        <w:t xml:space="preserve"> de la </w:t>
      </w:r>
      <w:r w:rsidRPr="00F26070">
        <w:rPr>
          <w:rFonts w:ascii="Calibri" w:eastAsia="Calibri" w:hAnsi="Calibri" w:cs="Calibri"/>
          <w:color w:val="00B0F0"/>
        </w:rPr>
        <w:t xml:space="preserve">loi de 1881 relative à la liberté d’expression </w:t>
      </w:r>
      <w:r>
        <w:rPr>
          <w:rFonts w:ascii="Calibri" w:eastAsia="Calibri" w:hAnsi="Calibri" w:cs="Calibri"/>
          <w:color w:val="1A1A1A"/>
        </w:rPr>
        <w:t xml:space="preserve">prévoit qu’il est puni de « soit de réaliser, de publier ou de commenter un sondage d’opinion, ou toute autre consultation, portant sur la culpabilité d’une personne mise en cause à l’occasion d’une procédure pénale ou sur la peine susceptible d’être prononcée à son encontre » (rattacher avec la pratique du « live-tweet »). Le même article punit la diffusion d’images d’une personne identifiée ou identifiable portant des menottes ou de sa détention provisoire sans son accord </w:t>
      </w:r>
      <w:r>
        <w:rPr>
          <w:rFonts w:ascii="Calibri" w:eastAsia="Calibri" w:hAnsi="Calibri" w:cs="Calibri"/>
          <w:color w:val="1A1A1A"/>
        </w:rPr>
        <w:lastRenderedPageBreak/>
        <w:t xml:space="preserve">(dispositions insérées par la </w:t>
      </w:r>
      <w:r w:rsidRPr="00F26070">
        <w:rPr>
          <w:rFonts w:ascii="Calibri" w:eastAsia="Calibri" w:hAnsi="Calibri" w:cs="Calibri"/>
          <w:color w:val="0070C0"/>
        </w:rPr>
        <w:t>loi du 15 juin 2000</w:t>
      </w:r>
      <w:r>
        <w:rPr>
          <w:rFonts w:ascii="Calibri" w:eastAsia="Calibri" w:hAnsi="Calibri" w:cs="Calibri"/>
          <w:color w:val="1A1A1A"/>
        </w:rPr>
        <w:t xml:space="preserve">). Dans un </w:t>
      </w:r>
      <w:r w:rsidRPr="00F26070">
        <w:rPr>
          <w:rFonts w:ascii="Calibri" w:eastAsia="Calibri" w:hAnsi="Calibri" w:cs="Calibri"/>
          <w:color w:val="E91D62"/>
        </w:rPr>
        <w:t>arrêt du 20 février 2007</w:t>
      </w:r>
      <w:r>
        <w:rPr>
          <w:rFonts w:ascii="Calibri" w:eastAsia="Calibri" w:hAnsi="Calibri" w:cs="Calibri"/>
          <w:color w:val="1A1A1A"/>
        </w:rPr>
        <w:t>, la chambre criminelle de la Cour de cassation affirme que la liberté d’expression peut être restreinte pour faire respecter le principe de la présomption d’innocence. Les émotions que suscite la forte exposition médiatique d’affaires en matière pénale mène régulièrement à une remise en cause du rôle des avocats de la défense dans le débat public, compromettant ainsi un principe fondamental des droits de la défense. Plusieurs affaires qui ont été surexposées médiatiquement ont mené à des catastrophes judiciaires (exemple de l’affaire d’Outreau ; une Commission d’enquête parlementaire a rendu un rapport en 2006 qui évoque la pression médiatique excessive à propos de cette affaire).</w:t>
      </w:r>
    </w:p>
    <w:p w14:paraId="6474BC0E" w14:textId="77777777" w:rsidR="001E3E87" w:rsidRDefault="005258B2">
      <w:pPr>
        <w:pStyle w:val="Titre3"/>
        <w:spacing w:before="190" w:after="80"/>
      </w:pPr>
      <w:r>
        <w:rPr>
          <w:rFonts w:ascii="Calibri" w:eastAsia="Calibri" w:hAnsi="Calibri" w:cs="Calibri"/>
          <w:b/>
          <w:bCs/>
          <w:i/>
          <w:iCs/>
          <w:color w:val="1A1A1A"/>
          <w:sz w:val="21"/>
          <w:szCs w:val="21"/>
        </w:rPr>
        <w:t>B. Une médiatisation source de remise en cause des garanties entourant la peine</w:t>
      </w:r>
    </w:p>
    <w:p w14:paraId="6D5F3FE6" w14:textId="62C24CC0" w:rsidR="001E3E87" w:rsidRDefault="005258B2">
      <w:pPr>
        <w:spacing w:after="90" w:line="264" w:lineRule="auto"/>
        <w:jc w:val="both"/>
      </w:pPr>
      <w:r>
        <w:rPr>
          <w:rFonts w:ascii="Calibri" w:eastAsia="Calibri" w:hAnsi="Calibri" w:cs="Calibri"/>
          <w:color w:val="1A1A1A"/>
        </w:rPr>
        <w:t>La forte exposition médiatique de certaines affaires mène également à une remise en cause du principe de l’irresponsabilité pénale (exemple de l’affaire de Sarah Halimi et de la modification de l’</w:t>
      </w:r>
      <w:r>
        <w:rPr>
          <w:rFonts w:ascii="Calibri" w:eastAsia="Calibri" w:hAnsi="Calibri" w:cs="Calibri"/>
          <w:color w:val="1E88E5"/>
        </w:rPr>
        <w:t>article 122-1-1</w:t>
      </w:r>
      <w:r w:rsidR="00F26070">
        <w:rPr>
          <w:rFonts w:ascii="Calibri" w:eastAsia="Calibri" w:hAnsi="Calibri" w:cs="Calibri"/>
          <w:color w:val="1E88E5"/>
        </w:rPr>
        <w:t xml:space="preserve"> </w:t>
      </w:r>
      <w:r>
        <w:rPr>
          <w:rFonts w:ascii="Calibri" w:eastAsia="Calibri" w:hAnsi="Calibri" w:cs="Calibri"/>
          <w:color w:val="1A1A1A"/>
        </w:rPr>
        <w:t xml:space="preserve">du </w:t>
      </w:r>
      <w:r>
        <w:rPr>
          <w:rFonts w:ascii="Calibri" w:eastAsia="Calibri" w:hAnsi="Calibri" w:cs="Calibri"/>
          <w:color w:val="1E88E5"/>
        </w:rPr>
        <w:t>Code pénal</w:t>
      </w:r>
      <w:r>
        <w:rPr>
          <w:rFonts w:ascii="Calibri" w:eastAsia="Calibri" w:hAnsi="Calibri" w:cs="Calibri"/>
          <w:color w:val="1A1A1A"/>
        </w:rPr>
        <w:t xml:space="preserve"> en 2022). La médiatisation des affaires judiciaires donne souvent lieu à des discours visant à vouloir instaurer des peines automatiques, au détriment du principe d’individualisation des peines. Enfin, la liberté d’expression justifie la médiatisation d’affaires judiciaires. Cependant, les carences de l’encadrement de cette médiatisation mènent à des remises en cause des garanties fondamentales en matière pénale et donne lieu à un « populisme pénal », peut perturber le travail des acteurs de la justice et donne lieu à beaucoup de désinformations des règles juridiques en matière pénale.</w:t>
      </w:r>
    </w:p>
    <w:p w14:paraId="7A233A16" w14:textId="77777777" w:rsidR="001E3E87" w:rsidRDefault="005258B2">
      <w:r>
        <w:br w:type="page"/>
      </w:r>
    </w:p>
    <w:p w14:paraId="34784E9C"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33 — COMMENTAIRE DE TEXTE</w:t>
      </w:r>
    </w:p>
    <w:p w14:paraId="066C90D0" w14:textId="77777777" w:rsidR="001E3E87" w:rsidRDefault="005258B2">
      <w:pPr>
        <w:spacing w:after="160"/>
      </w:pPr>
      <w:r>
        <w:rPr>
          <w:rFonts w:ascii="Calibri" w:eastAsia="Calibri" w:hAnsi="Calibri" w:cs="Calibri"/>
          <w:i/>
          <w:iCs/>
          <w:color w:val="5A5A5A"/>
          <w:sz w:val="18"/>
          <w:szCs w:val="18"/>
        </w:rPr>
        <w:t>Fiche n° 33 — Le droit à la vie privée  |  PARTIE VI. LES DROITS CIVILS ET POLITIQUES  |  Fascicule p. 341</w:t>
      </w:r>
    </w:p>
    <w:p w14:paraId="0DFC42BF"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2199624B"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 xml:space="preserve">Communiqué </w:t>
      </w:r>
      <w:r>
        <w:rPr>
          <w:rFonts w:ascii="Calibri" w:eastAsia="Calibri" w:hAnsi="Calibri" w:cs="Calibri"/>
          <w:color w:val="E91E63"/>
        </w:rPr>
        <w:t>CEDH, 4 septembre 2014, Dzemyuk c. Ukraine, no 42488/02</w:t>
      </w:r>
    </w:p>
    <w:p w14:paraId="145CA6F9"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 xml:space="preserve">« En fait – Le requérant vivait dans un village sans distribution centralisée d’eau et utilisait l’eau de puit alimenté par la nappe phréatique. En 2000, l’autorité locale décida de construire un cimetière sur un terrain voisin de la maison du requérant, à une quarantaine de mètres de celle-ci. Le requérant engagea alors une procédure en vue de l’annulation de cette décision et de la fermeture du cimetière. Finalement, en 2003, le tribunal saisi de l’affaire fit droit à la demande du requérant après avoir constaté que le cimetière avait été construit trop près d’une zone résidentielle et d’une source d’eau, en violation des règlements nationaux relatifs à la sécurité et à la santé environnementales. Il ordonna la fermeture du cimetière, mais sa décision ne fut pas exécutée. Dans l’intervalle, une analyse bactériologique de l’eau du puit du requérant effectuée en 2008 avait indiqué que le taux des bactéries Escherichia Coli était fortement supérieur au taux autorisé par la loi. En droit – </w:t>
      </w:r>
      <w:r>
        <w:rPr>
          <w:rFonts w:ascii="Calibri" w:eastAsia="Calibri" w:hAnsi="Calibri" w:cs="Calibri"/>
          <w:color w:val="1E88E5"/>
        </w:rPr>
        <w:t>Article 8</w:t>
      </w:r>
      <w:r>
        <w:rPr>
          <w:rFonts w:ascii="Calibri" w:eastAsia="Calibri" w:hAnsi="Calibri" w:cs="Calibri"/>
          <w:color w:val="1A1A1A"/>
        </w:rPr>
        <w:t xml:space="preserve"> a) Applicabilité – La Cour rappelle que, pour soulever une question sous l’angle de l’</w:t>
      </w:r>
      <w:r>
        <w:rPr>
          <w:rFonts w:ascii="Calibri" w:eastAsia="Calibri" w:hAnsi="Calibri" w:cs="Calibri"/>
          <w:color w:val="1E88E5"/>
        </w:rPr>
        <w:t>article 8</w:t>
      </w:r>
      <w:r>
        <w:rPr>
          <w:rFonts w:ascii="Calibri" w:eastAsia="Calibri" w:hAnsi="Calibri" w:cs="Calibri"/>
          <w:color w:val="1A1A1A"/>
        </w:rPr>
        <w:t>, l’atteinte alléguée doit avoir des répercussions directes sur le droit au respect du domicile et de la vie privée et familiale du requérant et atteindre un niveau minimum de gravité. Le taux élevé de bactéries relevé dans l’eau du puit du requérant, associé à la violation flagrante des règlements nationaux relatifs à la sécurité et à la santé environnementales confirme l’existence de risques environnementaux, notamment une grave pollution de l’eau, qui ont des répercussions sur la « qualité de vie » du requérant et atteignent un degré suffisant de gravité pour mettre en jeu l’application de l’</w:t>
      </w:r>
      <w:r>
        <w:rPr>
          <w:rFonts w:ascii="Calibri" w:eastAsia="Calibri" w:hAnsi="Calibri" w:cs="Calibri"/>
          <w:color w:val="1E88E5"/>
        </w:rPr>
        <w:t>article 8</w:t>
      </w:r>
      <w:r>
        <w:rPr>
          <w:rFonts w:ascii="Calibri" w:eastAsia="Calibri" w:hAnsi="Calibri" w:cs="Calibri"/>
          <w:color w:val="1A1A1A"/>
        </w:rPr>
        <w:t>. b) Observation – L’illégalité de l’emplacement du cimetière a été signalée à plusieurs reprises par les autorités environnementales et reconnue par des décisions des juridictions internes. De plus, les autorités locales ne se sont pas conformées à une décision judiciaire définitive ordonnant la fermeture du cimetière. L’ingérence dans l’exercice par le requérant de son droit au respect de son domicile et de sa vie privée et familiale n’était pas prévue par la loi. »</w:t>
      </w:r>
    </w:p>
    <w:p w14:paraId="417E5C20"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27A0FDE9" w14:textId="77777777" w:rsidR="001E3E87" w:rsidRDefault="005258B2">
      <w:pPr>
        <w:spacing w:after="90" w:line="264" w:lineRule="auto"/>
        <w:jc w:val="both"/>
      </w:pPr>
      <w:r>
        <w:rPr>
          <w:rFonts w:ascii="Calibri" w:eastAsia="Calibri" w:hAnsi="Calibri" w:cs="Calibri"/>
          <w:color w:val="1A1A1A"/>
        </w:rPr>
        <w:t>Introduction (faits et procédure). Le requérant conteste en justice la construction en 2000 d’un cimetière à 40 mètres de son domicile, invoquant un risque de pollution. En 2003, les tribunaux ordonnent sa fermeture pour non-respect des normes sanitaires, mais la décision n’est pas exécutée. En 2008, une analyse révèle une contamination de l’eau. Le requérant saisit alors la CEDH pour violation de l’</w:t>
      </w:r>
      <w:r>
        <w:rPr>
          <w:rFonts w:ascii="Calibri" w:eastAsia="Calibri" w:hAnsi="Calibri" w:cs="Calibri"/>
          <w:color w:val="1E88E5"/>
        </w:rPr>
        <w:t>article 8</w:t>
      </w:r>
      <w:r>
        <w:rPr>
          <w:rFonts w:ascii="Calibri" w:eastAsia="Calibri" w:hAnsi="Calibri" w:cs="Calibri"/>
          <w:color w:val="1A1A1A"/>
        </w:rPr>
        <w:t>.</w:t>
      </w:r>
    </w:p>
    <w:p w14:paraId="663995A8"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Dans quelle mesure l’inaction d’un État face à une atteinte environnementale illégale, ayant des effets sur le cadre de vie d’un individu, peut-elle constituer une violation du droit au respect de la vie privée et du domicile ? La Cour s’est saisie de cette affaire pour réaffirmer son approche indirecte, mais rigoureuse des atteintes à l ’environnement (I), et pointer le manquement grave des autorités nationales (II).</w:t>
      </w:r>
    </w:p>
    <w:p w14:paraId="0E3EC601" w14:textId="1581C5D6" w:rsidR="001E3E87" w:rsidRPr="000B4AFD" w:rsidRDefault="005258B2" w:rsidP="000B4AFD">
      <w:pPr>
        <w:pStyle w:val="Titre3"/>
        <w:spacing w:before="190" w:after="80"/>
        <w:rPr>
          <w:b/>
          <w:bCs/>
          <w:i/>
          <w:iCs/>
          <w:sz w:val="21"/>
          <w:szCs w:val="21"/>
        </w:rPr>
      </w:pPr>
      <w:r>
        <w:rPr>
          <w:rFonts w:ascii="Calibri" w:eastAsia="Calibri" w:hAnsi="Calibri" w:cs="Calibri"/>
          <w:b/>
          <w:bCs/>
          <w:i/>
          <w:iCs/>
          <w:color w:val="1A1A1A"/>
          <w:sz w:val="21"/>
          <w:szCs w:val="21"/>
        </w:rPr>
        <w:t xml:space="preserve">I. Une protection indirecte, mais effective d’un droit à l’environnement par la Cour européenne des </w:t>
      </w:r>
      <w:r w:rsidRPr="000B4AFD">
        <w:rPr>
          <w:rFonts w:ascii="Calibri" w:eastAsia="Calibri" w:hAnsi="Calibri" w:cs="Calibri"/>
          <w:b/>
          <w:bCs/>
          <w:i/>
          <w:iCs/>
          <w:color w:val="1A1A1A"/>
          <w:sz w:val="21"/>
          <w:szCs w:val="21"/>
        </w:rPr>
        <w:t>droits</w:t>
      </w:r>
      <w:r w:rsidR="000B4AFD" w:rsidRPr="000B4AFD">
        <w:rPr>
          <w:rFonts w:ascii="Calibri" w:eastAsia="Calibri" w:hAnsi="Calibri" w:cs="Calibri"/>
          <w:b/>
          <w:bCs/>
          <w:i/>
          <w:iCs/>
          <w:color w:val="1A1A1A"/>
          <w:sz w:val="21"/>
          <w:szCs w:val="21"/>
        </w:rPr>
        <w:t xml:space="preserve"> </w:t>
      </w:r>
      <w:r w:rsidRPr="000B4AFD">
        <w:rPr>
          <w:rFonts w:ascii="Calibri" w:eastAsia="Calibri" w:hAnsi="Calibri" w:cs="Calibri"/>
          <w:b/>
          <w:bCs/>
          <w:i/>
          <w:iCs/>
          <w:color w:val="1A1A1A"/>
          <w:sz w:val="21"/>
          <w:szCs w:val="21"/>
        </w:rPr>
        <w:t>de l’homme</w:t>
      </w:r>
    </w:p>
    <w:p w14:paraId="193EDE8C" w14:textId="77777777" w:rsidR="001E3E87" w:rsidRDefault="005258B2">
      <w:pPr>
        <w:pStyle w:val="Titre3"/>
        <w:spacing w:before="190" w:after="80"/>
      </w:pPr>
      <w:r>
        <w:rPr>
          <w:rFonts w:ascii="Calibri" w:eastAsia="Calibri" w:hAnsi="Calibri" w:cs="Calibri"/>
          <w:b/>
          <w:bCs/>
          <w:i/>
          <w:iCs/>
          <w:color w:val="1A1A1A"/>
          <w:sz w:val="21"/>
          <w:szCs w:val="21"/>
        </w:rPr>
        <w:t>A. Une jurisprudence attentive aux préoccupations environnementales et sanitaires</w:t>
      </w:r>
    </w:p>
    <w:p w14:paraId="1BEC4D98" w14:textId="77777777" w:rsidR="001E3E87" w:rsidRDefault="005258B2">
      <w:pPr>
        <w:spacing w:after="90" w:line="264" w:lineRule="auto"/>
        <w:jc w:val="both"/>
      </w:pPr>
      <w:r>
        <w:rPr>
          <w:rFonts w:ascii="Calibri" w:eastAsia="Calibri" w:hAnsi="Calibri" w:cs="Calibri"/>
          <w:color w:val="1A1A1A"/>
        </w:rPr>
        <w:t xml:space="preserve">Selon une jurisprudence constante, la Cour rappelle que même en l’absence d’une consécration d’un droit à l’environnement dans la </w:t>
      </w:r>
      <w:r>
        <w:rPr>
          <w:rFonts w:ascii="Calibri" w:eastAsia="Calibri" w:hAnsi="Calibri" w:cs="Calibri"/>
          <w:color w:val="1E88E5"/>
        </w:rPr>
        <w:t>Convention européenne des droits de l’homme</w:t>
      </w:r>
      <w:r>
        <w:rPr>
          <w:rFonts w:ascii="Calibri" w:eastAsia="Calibri" w:hAnsi="Calibri" w:cs="Calibri"/>
          <w:color w:val="1A1A1A"/>
        </w:rPr>
        <w:t>, elle peut protéger les individus contre les atteintes graves à leur cadre de vie (</w:t>
      </w:r>
      <w:r w:rsidRPr="000B4AFD">
        <w:rPr>
          <w:rFonts w:ascii="Calibri" w:eastAsia="Calibri" w:hAnsi="Calibri" w:cs="Calibri"/>
          <w:color w:val="E91D62"/>
        </w:rPr>
        <w:t>CEDH, 22 mai 2003, Kyrtatos c. Grèce</w:t>
      </w:r>
      <w:r>
        <w:rPr>
          <w:rFonts w:ascii="Calibri" w:eastAsia="Calibri" w:hAnsi="Calibri" w:cs="Calibri"/>
          <w:color w:val="1A1A1A"/>
        </w:rPr>
        <w:t>). Ici, la pollution bactériologique avérée affecte directement la qualité de vie du requérant et justifie l’applicabilité de l’</w:t>
      </w:r>
      <w:r>
        <w:rPr>
          <w:rFonts w:ascii="Calibri" w:eastAsia="Calibri" w:hAnsi="Calibri" w:cs="Calibri"/>
          <w:color w:val="1E88E5"/>
        </w:rPr>
        <w:t>article 8</w:t>
      </w:r>
      <w:r>
        <w:rPr>
          <w:rFonts w:ascii="Calibri" w:eastAsia="Calibri" w:hAnsi="Calibri" w:cs="Calibri"/>
          <w:color w:val="1A1A1A"/>
        </w:rPr>
        <w:t>.</w:t>
      </w:r>
    </w:p>
    <w:p w14:paraId="5369848D" w14:textId="77777777" w:rsidR="001E3E87" w:rsidRDefault="005258B2">
      <w:pPr>
        <w:pStyle w:val="Titre3"/>
        <w:spacing w:before="190" w:after="80"/>
      </w:pPr>
      <w:r>
        <w:rPr>
          <w:rFonts w:ascii="Calibri" w:eastAsia="Calibri" w:hAnsi="Calibri" w:cs="Calibri"/>
          <w:b/>
          <w:bCs/>
          <w:i/>
          <w:iCs/>
          <w:color w:val="1A1A1A"/>
          <w:sz w:val="21"/>
          <w:szCs w:val="21"/>
        </w:rPr>
        <w:t>B. L’</w:t>
      </w:r>
      <w:r>
        <w:rPr>
          <w:rFonts w:ascii="Calibri" w:eastAsia="Calibri" w:hAnsi="Calibri" w:cs="Calibri"/>
          <w:b/>
          <w:bCs/>
          <w:i/>
          <w:iCs/>
          <w:color w:val="1E88E5"/>
          <w:sz w:val="21"/>
          <w:szCs w:val="21"/>
        </w:rPr>
        <w:t>article 8</w:t>
      </w:r>
      <w:r>
        <w:rPr>
          <w:rFonts w:ascii="Calibri" w:eastAsia="Calibri" w:hAnsi="Calibri" w:cs="Calibri"/>
          <w:b/>
          <w:bCs/>
          <w:i/>
          <w:iCs/>
          <w:color w:val="1A1A1A"/>
          <w:sz w:val="21"/>
          <w:szCs w:val="21"/>
        </w:rPr>
        <w:t xml:space="preserve"> de la convention, vecteur principal de la protection en l’absence de consécration textuelle</w:t>
      </w:r>
    </w:p>
    <w:p w14:paraId="120F083E" w14:textId="2D89CA5D" w:rsidR="001E3E87" w:rsidRDefault="005258B2">
      <w:pPr>
        <w:spacing w:after="90" w:line="264" w:lineRule="auto"/>
        <w:jc w:val="both"/>
        <w:rPr>
          <w:rFonts w:ascii="Calibri" w:eastAsia="Calibri" w:hAnsi="Calibri" w:cs="Calibri"/>
          <w:color w:val="1A1A1A"/>
        </w:rPr>
      </w:pPr>
      <w:r>
        <w:rPr>
          <w:rFonts w:ascii="Calibri" w:eastAsia="Calibri" w:hAnsi="Calibri" w:cs="Calibri"/>
          <w:color w:val="1A1A1A"/>
        </w:rPr>
        <w:t>L’</w:t>
      </w:r>
      <w:r>
        <w:rPr>
          <w:rFonts w:ascii="Calibri" w:eastAsia="Calibri" w:hAnsi="Calibri" w:cs="Calibri"/>
          <w:color w:val="1E88E5"/>
        </w:rPr>
        <w:t>article 8</w:t>
      </w:r>
      <w:r>
        <w:rPr>
          <w:rFonts w:ascii="Calibri" w:eastAsia="Calibri" w:hAnsi="Calibri" w:cs="Calibri"/>
          <w:color w:val="1A1A1A"/>
        </w:rPr>
        <w:t xml:space="preserve"> sert de fondement pour sanctionner les atteintes environnementales ayant des effets concrets sur la vie privée ou le domicile. La Cour considère que la proximité du cimetière, son caractère illégal, et les risques sanitaires suffisent à caractériser une atteinte d’une gravité suffisante. La Cour avait déjà souligné, à l’occasion de l’</w:t>
      </w:r>
      <w:r w:rsidRPr="000B4AFD">
        <w:rPr>
          <w:rFonts w:ascii="Calibri" w:eastAsia="Calibri" w:hAnsi="Calibri" w:cs="Calibri"/>
          <w:color w:val="E91D62"/>
        </w:rPr>
        <w:t xml:space="preserve">affaire </w:t>
      </w:r>
      <w:proofErr w:type="spellStart"/>
      <w:r w:rsidRPr="000B4AFD">
        <w:rPr>
          <w:rFonts w:ascii="Calibri" w:eastAsia="Calibri" w:hAnsi="Calibri" w:cs="Calibri"/>
          <w:color w:val="E91D62"/>
        </w:rPr>
        <w:t>Dubetska</w:t>
      </w:r>
      <w:proofErr w:type="spellEnd"/>
      <w:r w:rsidRPr="000B4AFD">
        <w:rPr>
          <w:rFonts w:ascii="Calibri" w:eastAsia="Calibri" w:hAnsi="Calibri" w:cs="Calibri"/>
          <w:color w:val="E91D62"/>
        </w:rPr>
        <w:t xml:space="preserve"> c. Ukraine (CEDH, 10 février 2011)</w:t>
      </w:r>
      <w:r>
        <w:rPr>
          <w:rFonts w:ascii="Calibri" w:eastAsia="Calibri" w:hAnsi="Calibri" w:cs="Calibri"/>
          <w:color w:val="1A1A1A"/>
        </w:rPr>
        <w:t>, que des nuisances sonores ou environnementales graves et directes subies par une personne peuvent relever du champ d’application de l’</w:t>
      </w:r>
      <w:r>
        <w:rPr>
          <w:rFonts w:ascii="Calibri" w:eastAsia="Calibri" w:hAnsi="Calibri" w:cs="Calibri"/>
          <w:color w:val="1E88E5"/>
        </w:rPr>
        <w:t>article 8</w:t>
      </w:r>
      <w:r>
        <w:rPr>
          <w:rFonts w:ascii="Calibri" w:eastAsia="Calibri" w:hAnsi="Calibri" w:cs="Calibri"/>
          <w:color w:val="1A1A1A"/>
        </w:rPr>
        <w:t xml:space="preserve"> de la Convention</w:t>
      </w:r>
      <w:r w:rsidR="000B4AFD">
        <w:rPr>
          <w:rFonts w:ascii="Calibri" w:eastAsia="Calibri" w:hAnsi="Calibri" w:cs="Calibri"/>
          <w:color w:val="1A1A1A"/>
        </w:rPr>
        <w:t xml:space="preserve">. </w:t>
      </w:r>
    </w:p>
    <w:p w14:paraId="1E6F11A7" w14:textId="77777777" w:rsidR="000B4AFD" w:rsidRDefault="000B4AFD">
      <w:pPr>
        <w:spacing w:after="90" w:line="264" w:lineRule="auto"/>
        <w:jc w:val="both"/>
        <w:rPr>
          <w:rFonts w:ascii="Calibri" w:eastAsia="Calibri" w:hAnsi="Calibri" w:cs="Calibri"/>
          <w:color w:val="1A1A1A"/>
        </w:rPr>
      </w:pPr>
    </w:p>
    <w:p w14:paraId="290F7AFB" w14:textId="77777777" w:rsidR="000B4AFD" w:rsidRDefault="000B4AFD">
      <w:pPr>
        <w:spacing w:after="90" w:line="264" w:lineRule="auto"/>
        <w:jc w:val="both"/>
      </w:pPr>
    </w:p>
    <w:p w14:paraId="65BBDF07" w14:textId="77777777" w:rsidR="001E3E87" w:rsidRDefault="005258B2">
      <w:pPr>
        <w:pStyle w:val="Titre3"/>
        <w:spacing w:before="190" w:after="80"/>
      </w:pPr>
      <w:r>
        <w:rPr>
          <w:rFonts w:ascii="Calibri" w:eastAsia="Calibri" w:hAnsi="Calibri" w:cs="Calibri"/>
          <w:b/>
          <w:bCs/>
          <w:i/>
          <w:iCs/>
          <w:color w:val="1A1A1A"/>
          <w:sz w:val="21"/>
          <w:szCs w:val="21"/>
        </w:rPr>
        <w:lastRenderedPageBreak/>
        <w:t>II. Une situation factuelle révélatrice d’un manquement étatique aggravé</w:t>
      </w:r>
    </w:p>
    <w:p w14:paraId="73680BB2" w14:textId="77777777" w:rsidR="001E3E87" w:rsidRDefault="005258B2">
      <w:pPr>
        <w:pStyle w:val="Titre3"/>
        <w:spacing w:before="190" w:after="80"/>
      </w:pPr>
      <w:r>
        <w:rPr>
          <w:rFonts w:ascii="Calibri" w:eastAsia="Calibri" w:hAnsi="Calibri" w:cs="Calibri"/>
          <w:b/>
          <w:bCs/>
          <w:i/>
          <w:iCs/>
          <w:color w:val="1A1A1A"/>
          <w:sz w:val="21"/>
          <w:szCs w:val="21"/>
        </w:rPr>
        <w:t>A. Une ingérence non prévue par la loi au sens de l’</w:t>
      </w:r>
      <w:r>
        <w:rPr>
          <w:rFonts w:ascii="Calibri" w:eastAsia="Calibri" w:hAnsi="Calibri" w:cs="Calibri"/>
          <w:b/>
          <w:bCs/>
          <w:i/>
          <w:iCs/>
          <w:color w:val="1E88E5"/>
          <w:sz w:val="21"/>
          <w:szCs w:val="21"/>
        </w:rPr>
        <w:t>article 8 § 2</w:t>
      </w:r>
      <w:r>
        <w:rPr>
          <w:rFonts w:ascii="Calibri" w:eastAsia="Calibri" w:hAnsi="Calibri" w:cs="Calibri"/>
          <w:b/>
          <w:bCs/>
          <w:i/>
          <w:iCs/>
          <w:color w:val="1A1A1A"/>
          <w:sz w:val="21"/>
          <w:szCs w:val="21"/>
        </w:rPr>
        <w:t xml:space="preserve"> de la Convention européenne</w:t>
      </w:r>
    </w:p>
    <w:p w14:paraId="7995AB0A" w14:textId="77777777" w:rsidR="001E3E87" w:rsidRDefault="005258B2">
      <w:pPr>
        <w:spacing w:after="90" w:line="264" w:lineRule="auto"/>
        <w:jc w:val="both"/>
      </w:pPr>
      <w:r>
        <w:rPr>
          <w:rFonts w:ascii="Calibri" w:eastAsia="Calibri" w:hAnsi="Calibri" w:cs="Calibri"/>
          <w:color w:val="1A1A1A"/>
        </w:rPr>
        <w:t>L’ingérence dans les droits du requérant résulte d’une construction reconnue illégale par les tribunaux internes. L’État ne pouvait donc justifier cette atteinte, celle-ci étant dépourvue de base légale, condition essentielle à toute restriction au sens de l’</w:t>
      </w:r>
      <w:r>
        <w:rPr>
          <w:rFonts w:ascii="Calibri" w:eastAsia="Calibri" w:hAnsi="Calibri" w:cs="Calibri"/>
          <w:color w:val="1E88E5"/>
        </w:rPr>
        <w:t>article 8 § 2</w:t>
      </w:r>
      <w:r>
        <w:rPr>
          <w:rFonts w:ascii="Calibri" w:eastAsia="Calibri" w:hAnsi="Calibri" w:cs="Calibri"/>
          <w:color w:val="1A1A1A"/>
        </w:rPr>
        <w:t>.</w:t>
      </w:r>
    </w:p>
    <w:p w14:paraId="7DCF96BD" w14:textId="77777777" w:rsidR="001E3E87" w:rsidRDefault="005258B2">
      <w:pPr>
        <w:pStyle w:val="Titre3"/>
        <w:spacing w:before="190" w:after="80"/>
      </w:pPr>
      <w:r>
        <w:rPr>
          <w:rFonts w:ascii="Calibri" w:eastAsia="Calibri" w:hAnsi="Calibri" w:cs="Calibri"/>
          <w:b/>
          <w:bCs/>
          <w:i/>
          <w:iCs/>
          <w:color w:val="1A1A1A"/>
          <w:sz w:val="21"/>
          <w:szCs w:val="21"/>
        </w:rPr>
        <w:t>B. Une inaction prolongée malgré les alertes sanitaires et les décisions de justice</w:t>
      </w:r>
    </w:p>
    <w:p w14:paraId="1FD6D775" w14:textId="77777777" w:rsidR="001E3E87" w:rsidRDefault="005258B2">
      <w:pPr>
        <w:spacing w:after="90" w:line="264" w:lineRule="auto"/>
        <w:jc w:val="both"/>
      </w:pPr>
      <w:r>
        <w:rPr>
          <w:rFonts w:ascii="Calibri" w:eastAsia="Calibri" w:hAnsi="Calibri" w:cs="Calibri"/>
          <w:color w:val="1A1A1A"/>
        </w:rPr>
        <w:t>Malgré des rapports alarmants des autorités nationales et une décision judiciaire définitive, l’État n’a pris aucune mesure concrète pour remédier à la situation du requérant. L’inexécution persistante du jugement renforce la violation de l’</w:t>
      </w:r>
      <w:r>
        <w:rPr>
          <w:rFonts w:ascii="Calibri" w:eastAsia="Calibri" w:hAnsi="Calibri" w:cs="Calibri"/>
          <w:color w:val="1E88E5"/>
        </w:rPr>
        <w:t>article 8</w:t>
      </w:r>
      <w:r>
        <w:rPr>
          <w:rFonts w:ascii="Calibri" w:eastAsia="Calibri" w:hAnsi="Calibri" w:cs="Calibri"/>
          <w:color w:val="1A1A1A"/>
        </w:rPr>
        <w:t>, l’État n’ayant pas assumé ses obligations positives.</w:t>
      </w:r>
    </w:p>
    <w:p w14:paraId="101474A8" w14:textId="77777777" w:rsidR="001E3E87" w:rsidRDefault="005258B2">
      <w:r>
        <w:br w:type="page"/>
      </w:r>
    </w:p>
    <w:p w14:paraId="7BCBF9A4"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34 — DISSERTATION</w:t>
      </w:r>
    </w:p>
    <w:p w14:paraId="5B34F3A6" w14:textId="77777777" w:rsidR="001E3E87" w:rsidRDefault="005258B2">
      <w:pPr>
        <w:spacing w:after="160"/>
      </w:pPr>
      <w:r>
        <w:rPr>
          <w:rFonts w:ascii="Calibri" w:eastAsia="Calibri" w:hAnsi="Calibri" w:cs="Calibri"/>
          <w:i/>
          <w:iCs/>
          <w:color w:val="5A5A5A"/>
          <w:sz w:val="18"/>
          <w:szCs w:val="18"/>
        </w:rPr>
        <w:t>Fiche n° 34 — Le droit à la vie familiale  |  PARTIE VI. LES DROITS CIVILS ET POLITIQUES  |  Fascicule p. 353</w:t>
      </w:r>
    </w:p>
    <w:p w14:paraId="197416E0"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159E549D"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Existe-t-il un droit à la parenté ?</w:t>
      </w:r>
    </w:p>
    <w:p w14:paraId="7620B837"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60480420" w14:textId="77777777" w:rsidR="001E3E87" w:rsidRDefault="005258B2">
      <w:pPr>
        <w:spacing w:after="90" w:line="264" w:lineRule="auto"/>
        <w:jc w:val="both"/>
      </w:pPr>
      <w:r>
        <w:rPr>
          <w:rFonts w:ascii="Calibri" w:eastAsia="Calibri" w:hAnsi="Calibri" w:cs="Calibri"/>
          <w:color w:val="1A1A1A"/>
        </w:rPr>
        <w:t>L’accès à la parenté était historiquement intimement lié à la conception biologique dans le cadre de couples hétérosexuels. La parenté peut toutefois se concrétiser de plusieurs manières, reflétant ou non la réalité biologique. La multiplication des schémas familiaux a parfois rendu difficile l’accès à la parenté pour certaines familles ne pouvant ni procréer naturellement, ni établir de lien de filiation avec un enfant notamment par le biais de l’adoption. Les progrès médicaux avec le développement de l’aide médicale à la procréation (don de gamètes, fécondation in vitro, conservation des gamètes) ont néanmoins permis à certaines de ces familles de caresser l’espoir d’un projet parental. Le législateur est cependant intervenu à plusieurs reprises afin d’encadrer ces hypothèses d’accès à la parenté et de les concilier avec des principes d’ordre éthique et sociétaux. Ce dernier a donc dû repenser les règles relatives à la concrétisation des projets parentaux afin de s’adapter aux évolutions sociétales au sein de plusieurs lois bioéthiques (en 1994, 2004, 2011 et 2021).</w:t>
      </w:r>
    </w:p>
    <w:p w14:paraId="45D319EA"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S’il n’existe pas de consécration explicite d’un droit à l’enfant (I), la France et la Cour européenne des droits de l’homme semblent toutefois de plus en plus faciliter l’accès à la parenté (II) au point qu’il est aujourd’hui permis de se demander s’il n’a pas été implicitement consacré un droit à devenir parent.</w:t>
      </w:r>
    </w:p>
    <w:p w14:paraId="4E95FB20" w14:textId="77777777" w:rsidR="001E3E87" w:rsidRDefault="005258B2">
      <w:pPr>
        <w:pStyle w:val="Titre3"/>
        <w:spacing w:before="190" w:after="80"/>
      </w:pPr>
      <w:r>
        <w:rPr>
          <w:rFonts w:ascii="Calibri" w:eastAsia="Calibri" w:hAnsi="Calibri" w:cs="Calibri"/>
          <w:b/>
          <w:bCs/>
          <w:i/>
          <w:iCs/>
          <w:color w:val="1A1A1A"/>
          <w:sz w:val="21"/>
          <w:szCs w:val="21"/>
        </w:rPr>
        <w:t>I. L’inexistence d’un droit à l’enfant</w:t>
      </w:r>
    </w:p>
    <w:p w14:paraId="6ACFE1A6" w14:textId="77777777" w:rsidR="001E3E87" w:rsidRDefault="005258B2">
      <w:pPr>
        <w:pStyle w:val="Titre3"/>
        <w:spacing w:before="190" w:after="80"/>
      </w:pPr>
      <w:r>
        <w:rPr>
          <w:rFonts w:ascii="Calibri" w:eastAsia="Calibri" w:hAnsi="Calibri" w:cs="Calibri"/>
          <w:b/>
          <w:bCs/>
          <w:i/>
          <w:iCs/>
          <w:color w:val="1A1A1A"/>
          <w:sz w:val="21"/>
          <w:szCs w:val="21"/>
        </w:rPr>
        <w:t>A. L’absence de consécration d’un droit à la parenté biologique</w:t>
      </w:r>
    </w:p>
    <w:p w14:paraId="44109424" w14:textId="77777777" w:rsidR="001E3E87" w:rsidRDefault="005258B2">
      <w:pPr>
        <w:spacing w:after="90" w:line="264" w:lineRule="auto"/>
        <w:jc w:val="both"/>
      </w:pPr>
      <w:r>
        <w:rPr>
          <w:rFonts w:ascii="Calibri" w:eastAsia="Calibri" w:hAnsi="Calibri" w:cs="Calibri"/>
          <w:color w:val="1A1A1A"/>
        </w:rPr>
        <w:t xml:space="preserve">La Cour ne protège la vie familiale </w:t>
      </w:r>
      <w:r w:rsidRPr="00C66B4C">
        <w:rPr>
          <w:rFonts w:ascii="Calibri" w:eastAsia="Calibri" w:hAnsi="Calibri" w:cs="Calibri"/>
          <w:color w:val="1A1A1A"/>
          <w:highlight w:val="yellow"/>
        </w:rPr>
        <w:t>que lorsqu’elle est existante</w:t>
      </w:r>
      <w:r>
        <w:rPr>
          <w:rFonts w:ascii="Calibri" w:eastAsia="Calibri" w:hAnsi="Calibri" w:cs="Calibri"/>
          <w:color w:val="1A1A1A"/>
        </w:rPr>
        <w:t>. Elle ne garantit effectivement pas le droit de fonder une famille (</w:t>
      </w:r>
      <w:r>
        <w:rPr>
          <w:rFonts w:ascii="Calibri" w:eastAsia="Calibri" w:hAnsi="Calibri" w:cs="Calibri"/>
          <w:color w:val="E91E63"/>
        </w:rPr>
        <w:t>CEDH, GC., 22 janvier 2008, E.B. c. France, no 43546/02</w:t>
      </w:r>
      <w:r>
        <w:rPr>
          <w:rFonts w:ascii="Calibri" w:eastAsia="Calibri" w:hAnsi="Calibri" w:cs="Calibri"/>
          <w:color w:val="1A1A1A"/>
        </w:rPr>
        <w:t>). Si la volonté d’être parent génétique peut relever de la vie familiale au sens de l’</w:t>
      </w:r>
      <w:r>
        <w:rPr>
          <w:rFonts w:ascii="Calibri" w:eastAsia="Calibri" w:hAnsi="Calibri" w:cs="Calibri"/>
          <w:color w:val="1E88E5"/>
        </w:rPr>
        <w:t>article 8</w:t>
      </w:r>
      <w:r>
        <w:rPr>
          <w:rFonts w:ascii="Calibri" w:eastAsia="Calibri" w:hAnsi="Calibri" w:cs="Calibri"/>
          <w:color w:val="1A1A1A"/>
        </w:rPr>
        <w:t xml:space="preserve"> de la Convention (</w:t>
      </w:r>
      <w:r>
        <w:rPr>
          <w:rFonts w:ascii="Calibri" w:eastAsia="Calibri" w:hAnsi="Calibri" w:cs="Calibri"/>
          <w:color w:val="E91E63"/>
        </w:rPr>
        <w:t>CEDH, GC., 3 novembre 2011, SH c. Autriche, no 57813/00</w:t>
      </w:r>
      <w:r>
        <w:rPr>
          <w:rFonts w:ascii="Calibri" w:eastAsia="Calibri" w:hAnsi="Calibri" w:cs="Calibri"/>
          <w:color w:val="1A1A1A"/>
        </w:rPr>
        <w:t>), l’État peut toutefois limiter, voire refuser, le recours à la procréation médicalement assistée puisqu’il dispose d’une large marge d’appréciation. Jusqu’en 2021, la procréation médicalement assistée n’était ainsi ouverte qu’aux couples hétérosexuels et sous condition d’infertilité ou afin d’éviter la transmission de maladies graves. La France interdit encore à ce jour la réception d’ovocytes de la partenaire ou « maternité partagée » pour les couples de femmes (</w:t>
      </w:r>
      <w:r>
        <w:rPr>
          <w:rFonts w:ascii="Calibri" w:eastAsia="Calibri" w:hAnsi="Calibri" w:cs="Calibri"/>
          <w:color w:val="E91E63"/>
        </w:rPr>
        <w:t>CE, 19 juin 2024, no 472649</w:t>
      </w:r>
      <w:r>
        <w:rPr>
          <w:rFonts w:ascii="Calibri" w:eastAsia="Calibri" w:hAnsi="Calibri" w:cs="Calibri"/>
          <w:color w:val="1A1A1A"/>
        </w:rPr>
        <w:t>). Le Conseil d’État a également validé l’interdiction des dons de gamètes post-mortem (</w:t>
      </w:r>
      <w:r>
        <w:rPr>
          <w:rFonts w:ascii="Calibri" w:eastAsia="Calibri" w:hAnsi="Calibri" w:cs="Calibri"/>
          <w:color w:val="E91E63"/>
        </w:rPr>
        <w:t>CE, 28 novembre 2024, no 497323</w:t>
      </w:r>
      <w:r>
        <w:rPr>
          <w:rFonts w:ascii="Calibri" w:eastAsia="Calibri" w:hAnsi="Calibri" w:cs="Calibri"/>
          <w:color w:val="1A1A1A"/>
        </w:rPr>
        <w:t>). Le recours à l’aide médicale à la procréation est donc conditionné par une reconnaissance de ce droit par l’État et peut tout à fait être soumis à des conditions.</w:t>
      </w:r>
    </w:p>
    <w:p w14:paraId="4B100610" w14:textId="77777777" w:rsidR="001E3E87" w:rsidRDefault="005258B2">
      <w:pPr>
        <w:pStyle w:val="Titre3"/>
        <w:spacing w:before="190" w:after="80"/>
      </w:pPr>
      <w:r>
        <w:rPr>
          <w:rFonts w:ascii="Calibri" w:eastAsia="Calibri" w:hAnsi="Calibri" w:cs="Calibri"/>
          <w:b/>
          <w:bCs/>
          <w:i/>
          <w:iCs/>
          <w:color w:val="1A1A1A"/>
          <w:sz w:val="21"/>
          <w:szCs w:val="21"/>
        </w:rPr>
        <w:t>B. L’interdiction du recours à la gestation pour autrui</w:t>
      </w:r>
    </w:p>
    <w:p w14:paraId="40C57D9D" w14:textId="77777777" w:rsidR="001E3E87" w:rsidRDefault="005258B2">
      <w:pPr>
        <w:spacing w:after="90" w:line="264" w:lineRule="auto"/>
        <w:jc w:val="both"/>
      </w:pPr>
      <w:r>
        <w:rPr>
          <w:rFonts w:ascii="Calibri" w:eastAsia="Calibri" w:hAnsi="Calibri" w:cs="Calibri"/>
          <w:color w:val="1A1A1A"/>
        </w:rPr>
        <w:t>La France a consacré au sein de l’</w:t>
      </w:r>
      <w:r>
        <w:rPr>
          <w:rFonts w:ascii="Calibri" w:eastAsia="Calibri" w:hAnsi="Calibri" w:cs="Calibri"/>
          <w:color w:val="1E88E5"/>
        </w:rPr>
        <w:t>article 16-7</w:t>
      </w:r>
      <w:r>
        <w:rPr>
          <w:rFonts w:ascii="Calibri" w:eastAsia="Calibri" w:hAnsi="Calibri" w:cs="Calibri"/>
          <w:color w:val="1A1A1A"/>
        </w:rPr>
        <w:t xml:space="preserve"> du </w:t>
      </w:r>
      <w:r>
        <w:rPr>
          <w:rFonts w:ascii="Calibri" w:eastAsia="Calibri" w:hAnsi="Calibri" w:cs="Calibri"/>
          <w:color w:val="1E88E5"/>
        </w:rPr>
        <w:t>Code civil</w:t>
      </w:r>
      <w:r>
        <w:rPr>
          <w:rFonts w:ascii="Calibri" w:eastAsia="Calibri" w:hAnsi="Calibri" w:cs="Calibri"/>
          <w:color w:val="1A1A1A"/>
        </w:rPr>
        <w:t xml:space="preserve"> l’interdiction de la GPA. La Cour de cassation a ainsi pendant longtemps refusé de retranscrire l’acte de naissance étranger d’un enfant né d’une gestation pour autrui à l’étranger (</w:t>
      </w:r>
      <w:r>
        <w:rPr>
          <w:rFonts w:ascii="Calibri" w:eastAsia="Calibri" w:hAnsi="Calibri" w:cs="Calibri"/>
          <w:color w:val="E91E63"/>
        </w:rPr>
        <w:t>Cass. civ. 1re, 6 avril 2011, no 10-19.053</w:t>
      </w:r>
      <w:r>
        <w:rPr>
          <w:rFonts w:ascii="Calibri" w:eastAsia="Calibri" w:hAnsi="Calibri" w:cs="Calibri"/>
          <w:color w:val="1A1A1A"/>
        </w:rPr>
        <w:t xml:space="preserve">) avant de modifier sa position à la suite d’une condamnation de la CEDH. La </w:t>
      </w:r>
      <w:r>
        <w:rPr>
          <w:rFonts w:ascii="Calibri" w:eastAsia="Calibri" w:hAnsi="Calibri" w:cs="Calibri"/>
          <w:color w:val="1E88E5"/>
        </w:rPr>
        <w:t>Convention européenne des droits de l’homme</w:t>
      </w:r>
      <w:r>
        <w:rPr>
          <w:rFonts w:ascii="Calibri" w:eastAsia="Calibri" w:hAnsi="Calibri" w:cs="Calibri"/>
          <w:color w:val="1A1A1A"/>
        </w:rPr>
        <w:t xml:space="preserve"> ne consacre pas non plus de droit à la GPA. La Cour européenne des droits de l’homme a toutefois estimé </w:t>
      </w:r>
      <w:r w:rsidRPr="00C66B4C">
        <w:rPr>
          <w:rFonts w:ascii="Calibri" w:eastAsia="Calibri" w:hAnsi="Calibri" w:cs="Calibri"/>
          <w:color w:val="1A1A1A"/>
          <w:highlight w:val="yellow"/>
        </w:rPr>
        <w:t>contraire à la Conv. EDH le fait de refuser la transcription du lien de filiation avec le parent biologique de l’enfant né d’une GPA</w:t>
      </w:r>
      <w:r>
        <w:rPr>
          <w:rFonts w:ascii="Calibri" w:eastAsia="Calibri" w:hAnsi="Calibri" w:cs="Calibri"/>
          <w:color w:val="1A1A1A"/>
        </w:rPr>
        <w:t xml:space="preserve">. La Cour a par la suite souligné que </w:t>
      </w:r>
      <w:r w:rsidRPr="00C66B4C">
        <w:rPr>
          <w:rFonts w:ascii="Calibri" w:eastAsia="Calibri" w:hAnsi="Calibri" w:cs="Calibri"/>
          <w:color w:val="1A1A1A"/>
          <w:highlight w:val="yellow"/>
        </w:rPr>
        <w:t>la reconnaissance d’un lien de filiation devait également être possible avec le parent d’intention</w:t>
      </w:r>
      <w:r>
        <w:rPr>
          <w:rFonts w:ascii="Calibri" w:eastAsia="Calibri" w:hAnsi="Calibri" w:cs="Calibri"/>
          <w:color w:val="1A1A1A"/>
        </w:rPr>
        <w:t xml:space="preserve"> (</w:t>
      </w:r>
      <w:r w:rsidRPr="00C66B4C">
        <w:rPr>
          <w:rFonts w:ascii="Calibri" w:eastAsia="Calibri" w:hAnsi="Calibri" w:cs="Calibri"/>
          <w:color w:val="E91D62"/>
        </w:rPr>
        <w:t>CEDH, GC., 10 avril 2019, Avis consultatif relatif à la reconnaissance en droit interne d’un lien de filiation entre un enfant né d’une gestation pour autrui pratiquée à l’étranger et la mère d’intention</w:t>
      </w:r>
      <w:r>
        <w:rPr>
          <w:rFonts w:ascii="Calibri" w:eastAsia="Calibri" w:hAnsi="Calibri" w:cs="Calibri"/>
          <w:color w:val="1A1A1A"/>
        </w:rPr>
        <w:t>).</w:t>
      </w:r>
    </w:p>
    <w:p w14:paraId="7370B5CA" w14:textId="77777777" w:rsidR="001E3E87" w:rsidRDefault="005258B2">
      <w:pPr>
        <w:pStyle w:val="Titre3"/>
        <w:spacing w:before="190" w:after="80"/>
      </w:pPr>
      <w:r>
        <w:rPr>
          <w:rFonts w:ascii="Calibri" w:eastAsia="Calibri" w:hAnsi="Calibri" w:cs="Calibri"/>
          <w:b/>
          <w:bCs/>
          <w:i/>
          <w:iCs/>
          <w:color w:val="1A1A1A"/>
          <w:sz w:val="21"/>
          <w:szCs w:val="21"/>
        </w:rPr>
        <w:t>II. La facilitation progressive de l’accès à la parenté</w:t>
      </w:r>
    </w:p>
    <w:p w14:paraId="45FB0AB5" w14:textId="77777777" w:rsidR="001E3E87" w:rsidRDefault="005258B2">
      <w:pPr>
        <w:pStyle w:val="Titre3"/>
        <w:spacing w:before="190" w:after="80"/>
      </w:pPr>
      <w:r>
        <w:rPr>
          <w:rFonts w:ascii="Calibri" w:eastAsia="Calibri" w:hAnsi="Calibri" w:cs="Calibri"/>
          <w:b/>
          <w:bCs/>
          <w:i/>
          <w:iCs/>
          <w:color w:val="1A1A1A"/>
          <w:sz w:val="21"/>
          <w:szCs w:val="21"/>
        </w:rPr>
        <w:t>A. La facilitation des procédures de filiation</w:t>
      </w:r>
    </w:p>
    <w:p w14:paraId="4AD6930D" w14:textId="2C3932EE" w:rsidR="001E3E87" w:rsidRDefault="005258B2">
      <w:pPr>
        <w:spacing w:after="90" w:line="264" w:lineRule="auto"/>
        <w:jc w:val="both"/>
      </w:pPr>
      <w:r>
        <w:rPr>
          <w:rFonts w:ascii="Calibri" w:eastAsia="Calibri" w:hAnsi="Calibri" w:cs="Calibri"/>
          <w:color w:val="1A1A1A"/>
        </w:rPr>
        <w:t xml:space="preserve">L’adoption s’est progressivement ouverte aux différents schémas familiaux. La </w:t>
      </w:r>
      <w:r w:rsidRPr="00C66B4C">
        <w:rPr>
          <w:rFonts w:ascii="Calibri" w:eastAsia="Calibri" w:hAnsi="Calibri" w:cs="Calibri"/>
          <w:color w:val="0070C0"/>
        </w:rPr>
        <w:t xml:space="preserve">loi du 17 mai 2013 dit loi Taubira </w:t>
      </w:r>
      <w:r>
        <w:rPr>
          <w:rFonts w:ascii="Calibri" w:eastAsia="Calibri" w:hAnsi="Calibri" w:cs="Calibri"/>
          <w:color w:val="1A1A1A"/>
        </w:rPr>
        <w:t>a tout d’abord ouvert l’adoption aux couples de même sexe (</w:t>
      </w:r>
      <w:r>
        <w:rPr>
          <w:rFonts w:ascii="Calibri" w:eastAsia="Calibri" w:hAnsi="Calibri" w:cs="Calibri"/>
          <w:color w:val="1E88E5"/>
        </w:rPr>
        <w:t>article 6-1</w:t>
      </w:r>
      <w:r>
        <w:rPr>
          <w:rFonts w:ascii="Calibri" w:eastAsia="Calibri" w:hAnsi="Calibri" w:cs="Calibri"/>
          <w:color w:val="1A1A1A"/>
        </w:rPr>
        <w:t xml:space="preserve"> et </w:t>
      </w:r>
      <w:r>
        <w:rPr>
          <w:rFonts w:ascii="Calibri" w:eastAsia="Calibri" w:hAnsi="Calibri" w:cs="Calibri"/>
          <w:color w:val="1E88E5"/>
        </w:rPr>
        <w:t>article 343</w:t>
      </w:r>
      <w:r>
        <w:rPr>
          <w:rFonts w:ascii="Calibri" w:eastAsia="Calibri" w:hAnsi="Calibri" w:cs="Calibri"/>
          <w:color w:val="1A1A1A"/>
        </w:rPr>
        <w:t xml:space="preserve"> du </w:t>
      </w:r>
      <w:r>
        <w:rPr>
          <w:rFonts w:ascii="Calibri" w:eastAsia="Calibri" w:hAnsi="Calibri" w:cs="Calibri"/>
          <w:color w:val="1E88E5"/>
        </w:rPr>
        <w:t>Code civil</w:t>
      </w:r>
      <w:r>
        <w:rPr>
          <w:rFonts w:ascii="Calibri" w:eastAsia="Calibri" w:hAnsi="Calibri" w:cs="Calibri"/>
          <w:color w:val="1A1A1A"/>
        </w:rPr>
        <w:t xml:space="preserve">). La </w:t>
      </w:r>
      <w:r w:rsidRPr="00C66B4C">
        <w:rPr>
          <w:rFonts w:ascii="Calibri" w:eastAsia="Calibri" w:hAnsi="Calibri" w:cs="Calibri"/>
          <w:color w:val="0070C0"/>
        </w:rPr>
        <w:t xml:space="preserve">loi du 21 février 2022 </w:t>
      </w:r>
      <w:r>
        <w:rPr>
          <w:rFonts w:ascii="Calibri" w:eastAsia="Calibri" w:hAnsi="Calibri" w:cs="Calibri"/>
          <w:color w:val="1A1A1A"/>
        </w:rPr>
        <w:t xml:space="preserve">a ouvert les procédures d’adoption aux couples pacsés ou concubins et a abaissé l’âge minimum à 26 ans. Des limites subsistent toutefois encore à l’accès à la parentalité. L’application du principe « mater certa semper est » n’est, selon la Cour européenne des droits de l’homme, pas contraire à la Convention lorsqu’il empêche l’établissement de la filiation à </w:t>
      </w:r>
      <w:r>
        <w:rPr>
          <w:rFonts w:ascii="Calibri" w:eastAsia="Calibri" w:hAnsi="Calibri" w:cs="Calibri"/>
          <w:color w:val="1A1A1A"/>
        </w:rPr>
        <w:lastRenderedPageBreak/>
        <w:t>l’égard de la mère d’intention à la suite d’une réception des ovocytes de la partenaire (</w:t>
      </w:r>
      <w:r>
        <w:rPr>
          <w:rFonts w:ascii="Calibri" w:eastAsia="Calibri" w:hAnsi="Calibri" w:cs="Calibri"/>
          <w:color w:val="E91E63"/>
        </w:rPr>
        <w:t>CEDH 12 novembre 2024, R.F. et a. c. Allemagne, no 46808/16</w:t>
      </w:r>
      <w:r>
        <w:rPr>
          <w:rFonts w:ascii="Calibri" w:eastAsia="Calibri" w:hAnsi="Calibri" w:cs="Calibri"/>
          <w:color w:val="1A1A1A"/>
        </w:rPr>
        <w:t xml:space="preserve">). La mesure de placement d’un enfant né d’une gestation pour autrui ne porte pas atteinte au droit à la vie familiale puisqu’aucun lien familial n’existait avec le couple ayant eu recours à la technique reproductive. </w:t>
      </w:r>
      <w:r w:rsidRPr="009D0B28">
        <w:rPr>
          <w:rFonts w:ascii="Calibri" w:eastAsia="Calibri" w:hAnsi="Calibri" w:cs="Calibri"/>
          <w:color w:val="1A1A1A"/>
          <w:highlight w:val="yellow"/>
        </w:rPr>
        <w:t>La Cour affirm</w:t>
      </w:r>
      <w:r w:rsidR="009D0B28">
        <w:rPr>
          <w:rFonts w:ascii="Calibri" w:eastAsia="Calibri" w:hAnsi="Calibri" w:cs="Calibri"/>
          <w:color w:val="1A1A1A"/>
          <w:highlight w:val="yellow"/>
        </w:rPr>
        <w:t>e</w:t>
      </w:r>
      <w:r w:rsidRPr="009D0B28">
        <w:rPr>
          <w:rFonts w:ascii="Calibri" w:eastAsia="Calibri" w:hAnsi="Calibri" w:cs="Calibri"/>
          <w:color w:val="1A1A1A"/>
          <w:highlight w:val="yellow"/>
        </w:rPr>
        <w:t xml:space="preserve"> par ailleurs qu’il n’existe aucun droit à adopter</w:t>
      </w:r>
      <w:r>
        <w:rPr>
          <w:rFonts w:ascii="Calibri" w:eastAsia="Calibri" w:hAnsi="Calibri" w:cs="Calibri"/>
          <w:color w:val="1A1A1A"/>
        </w:rPr>
        <w:t xml:space="preserve"> (</w:t>
      </w:r>
      <w:r>
        <w:rPr>
          <w:rFonts w:ascii="Calibri" w:eastAsia="Calibri" w:hAnsi="Calibri" w:cs="Calibri"/>
          <w:color w:val="E91E63"/>
        </w:rPr>
        <w:t>CEDH, GC., 24 janvier 2017, Paradiso et Campanelli c. Italie, no 25358/12</w:t>
      </w:r>
      <w:r>
        <w:rPr>
          <w:rFonts w:ascii="Calibri" w:eastAsia="Calibri" w:hAnsi="Calibri" w:cs="Calibri"/>
          <w:color w:val="1A1A1A"/>
        </w:rPr>
        <w:t>).</w:t>
      </w:r>
    </w:p>
    <w:p w14:paraId="24D436A3" w14:textId="77777777" w:rsidR="001E3E87" w:rsidRDefault="005258B2">
      <w:pPr>
        <w:pStyle w:val="Titre3"/>
        <w:spacing w:before="190" w:after="80"/>
      </w:pPr>
      <w:r>
        <w:rPr>
          <w:rFonts w:ascii="Calibri" w:eastAsia="Calibri" w:hAnsi="Calibri" w:cs="Calibri"/>
          <w:b/>
          <w:bCs/>
          <w:i/>
          <w:iCs/>
          <w:color w:val="1A1A1A"/>
          <w:sz w:val="21"/>
          <w:szCs w:val="21"/>
        </w:rPr>
        <w:t>B. L’ouverture progressive de la procréation médicalement assistée</w:t>
      </w:r>
    </w:p>
    <w:p w14:paraId="7092AC99" w14:textId="77777777" w:rsidR="009D0B28" w:rsidRDefault="005258B2">
      <w:pPr>
        <w:spacing w:after="90" w:line="264" w:lineRule="auto"/>
        <w:jc w:val="both"/>
        <w:rPr>
          <w:rFonts w:ascii="Calibri" w:eastAsia="Calibri" w:hAnsi="Calibri" w:cs="Calibri"/>
          <w:color w:val="1A1A1A"/>
        </w:rPr>
      </w:pPr>
      <w:r>
        <w:rPr>
          <w:rFonts w:ascii="Calibri" w:eastAsia="Calibri" w:hAnsi="Calibri" w:cs="Calibri"/>
          <w:color w:val="1A1A1A"/>
        </w:rPr>
        <w:t xml:space="preserve">Depuis la </w:t>
      </w:r>
      <w:r w:rsidRPr="009D0B28">
        <w:rPr>
          <w:rFonts w:ascii="Calibri" w:eastAsia="Calibri" w:hAnsi="Calibri" w:cs="Calibri"/>
          <w:color w:val="0070C0"/>
        </w:rPr>
        <w:t>loi 2 août 2021</w:t>
      </w:r>
      <w:r>
        <w:rPr>
          <w:rFonts w:ascii="Calibri" w:eastAsia="Calibri" w:hAnsi="Calibri" w:cs="Calibri"/>
          <w:color w:val="1A1A1A"/>
        </w:rPr>
        <w:t>, la procréation médicalement assistée est ouverte aux couples hétérosexuels, aux couples de femmes, mais également aux femmes seules. Cette loi a également supprimé les conditions relatives à l’infertilité et à la transmission de maladies graves (</w:t>
      </w:r>
      <w:r>
        <w:rPr>
          <w:rFonts w:ascii="Calibri" w:eastAsia="Calibri" w:hAnsi="Calibri" w:cs="Calibri"/>
          <w:color w:val="1E88E5"/>
        </w:rPr>
        <w:t>art. L. 2141-2</w:t>
      </w:r>
      <w:r>
        <w:rPr>
          <w:rFonts w:ascii="Calibri" w:eastAsia="Calibri" w:hAnsi="Calibri" w:cs="Calibri"/>
          <w:color w:val="1A1A1A"/>
        </w:rPr>
        <w:t xml:space="preserve"> du </w:t>
      </w:r>
      <w:r>
        <w:rPr>
          <w:rFonts w:ascii="Calibri" w:eastAsia="Calibri" w:hAnsi="Calibri" w:cs="Calibri"/>
          <w:color w:val="1E88E5"/>
        </w:rPr>
        <w:t>Code de la santé publique</w:t>
      </w:r>
      <w:r>
        <w:rPr>
          <w:rFonts w:ascii="Calibri" w:eastAsia="Calibri" w:hAnsi="Calibri" w:cs="Calibri"/>
          <w:color w:val="1A1A1A"/>
        </w:rPr>
        <w:t>). La loi ne permet cependant pas aux personnes transsexuelles nées homme, mais ayant réalisé un changement de sexe à l’état civil d’avoir recours à la procréation médicalement assistée, car cela impliquerait d’avoir recours à une convention de mère porteuse contraire à l’</w:t>
      </w:r>
      <w:r>
        <w:rPr>
          <w:rFonts w:ascii="Calibri" w:eastAsia="Calibri" w:hAnsi="Calibri" w:cs="Calibri"/>
          <w:color w:val="1E88E5"/>
        </w:rPr>
        <w:t>article 16-7</w:t>
      </w:r>
      <w:r>
        <w:rPr>
          <w:rFonts w:ascii="Calibri" w:eastAsia="Calibri" w:hAnsi="Calibri" w:cs="Calibri"/>
          <w:color w:val="1A1A1A"/>
        </w:rPr>
        <w:t xml:space="preserve"> du </w:t>
      </w:r>
      <w:r>
        <w:rPr>
          <w:rFonts w:ascii="Calibri" w:eastAsia="Calibri" w:hAnsi="Calibri" w:cs="Calibri"/>
          <w:color w:val="1E88E5"/>
        </w:rPr>
        <w:t>Code civil</w:t>
      </w:r>
      <w:r>
        <w:rPr>
          <w:rFonts w:ascii="Calibri" w:eastAsia="Calibri" w:hAnsi="Calibri" w:cs="Calibri"/>
          <w:color w:val="1A1A1A"/>
        </w:rPr>
        <w:t>. De même, l’aide à la procréation médicale est toujours encadrée : elle est ainsi soumise à des rendez-vous préparatoires ainsi qu’à des conditions d’âge (</w:t>
      </w:r>
      <w:r>
        <w:rPr>
          <w:rFonts w:ascii="Calibri" w:eastAsia="Calibri" w:hAnsi="Calibri" w:cs="Calibri"/>
          <w:color w:val="E91E63"/>
        </w:rPr>
        <w:t>CE, 15 juillet 2024, no 493840</w:t>
      </w:r>
      <w:r>
        <w:rPr>
          <w:rFonts w:ascii="Calibri" w:eastAsia="Calibri" w:hAnsi="Calibri" w:cs="Calibri"/>
          <w:color w:val="1A1A1A"/>
        </w:rPr>
        <w:t xml:space="preserve">). </w:t>
      </w:r>
    </w:p>
    <w:p w14:paraId="7C40C7AE" w14:textId="2963B139" w:rsidR="001E3E87" w:rsidRDefault="005258B2">
      <w:pPr>
        <w:spacing w:after="90" w:line="264" w:lineRule="auto"/>
        <w:jc w:val="both"/>
      </w:pPr>
      <w:r>
        <w:rPr>
          <w:rFonts w:ascii="Calibri" w:eastAsia="Calibri" w:hAnsi="Calibri" w:cs="Calibri"/>
          <w:color w:val="1A1A1A"/>
        </w:rPr>
        <w:t>En conclusion, s’il n’existe toujours pas formellement de droit à la parenté en droit français, l’ouverture progressive des modalités d’établissement des liens de filiation tend néanmoins à favoriser l’émergence d’un tel droit.</w:t>
      </w:r>
    </w:p>
    <w:p w14:paraId="5C394E74" w14:textId="77777777" w:rsidR="001E3E87" w:rsidRDefault="005258B2">
      <w:r>
        <w:br w:type="page"/>
      </w:r>
    </w:p>
    <w:p w14:paraId="1D8395BA"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35 — DISSERTATION</w:t>
      </w:r>
    </w:p>
    <w:p w14:paraId="5C13D563" w14:textId="77777777" w:rsidR="001E3E87" w:rsidRDefault="005258B2">
      <w:pPr>
        <w:spacing w:after="160"/>
      </w:pPr>
      <w:r>
        <w:rPr>
          <w:rFonts w:ascii="Calibri" w:eastAsia="Calibri" w:hAnsi="Calibri" w:cs="Calibri"/>
          <w:i/>
          <w:iCs/>
          <w:color w:val="5A5A5A"/>
          <w:sz w:val="18"/>
          <w:szCs w:val="18"/>
        </w:rPr>
        <w:t>Fiche n° 35 — Le droit à la protection des données à caractère personnel  |  PARTIE VI. LES DROITS CIVILS ET POLITIQUES  |  Fascicule p. 366</w:t>
      </w:r>
    </w:p>
    <w:p w14:paraId="7FEE287A"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6E93D7A3"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Systèmes biométriques et protection des droits humains</w:t>
      </w:r>
    </w:p>
    <w:p w14:paraId="38C48A11"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66F17FC5" w14:textId="77777777" w:rsidR="001E3E87" w:rsidRDefault="005258B2">
      <w:pPr>
        <w:spacing w:after="90" w:line="264" w:lineRule="auto"/>
        <w:jc w:val="both"/>
      </w:pPr>
      <w:r>
        <w:rPr>
          <w:rFonts w:ascii="Calibri" w:eastAsia="Calibri" w:hAnsi="Calibri" w:cs="Calibri"/>
          <w:color w:val="1A1A1A"/>
        </w:rPr>
        <w:t>Les technologies biométriques utilisent des caractéristiques physiques uniques afin d’identifier des individus, selon des procédures standardisées pour créer des signatures numériques. Depuis leur apparition au début du XXe siècle, avec la collecte des empreintes digitales, elles se sont diversifiées grâce aux progrès des algorithmes et de l’intelligence artificielle (IA), permettant des applications telles que la reconnaissance faciale ou l’évaluation des émotions. On distingue trois types de systèmes biométriques :</w:t>
      </w:r>
    </w:p>
    <w:p w14:paraId="59BFA159"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L’authentification.</w:t>
      </w:r>
    </w:p>
    <w:p w14:paraId="279DCC0B"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L’identification.</w:t>
      </w:r>
    </w:p>
    <w:p w14:paraId="4F78F318" w14:textId="77777777" w:rsidR="007529D1" w:rsidRPr="007529D1" w:rsidRDefault="005258B2">
      <w:pPr>
        <w:pStyle w:val="Paragraphedeliste"/>
        <w:numPr>
          <w:ilvl w:val="0"/>
          <w:numId w:val="2"/>
        </w:numPr>
        <w:spacing w:after="70" w:line="264" w:lineRule="auto"/>
        <w:jc w:val="both"/>
      </w:pPr>
      <w:r>
        <w:rPr>
          <w:rFonts w:ascii="Calibri" w:eastAsia="Calibri" w:hAnsi="Calibri" w:cs="Calibri"/>
          <w:color w:val="1A1A1A"/>
        </w:rPr>
        <w:t xml:space="preserve">L’évaluation. </w:t>
      </w:r>
    </w:p>
    <w:p w14:paraId="6BA98D5F" w14:textId="3163747F" w:rsidR="001E3E87" w:rsidRDefault="005258B2" w:rsidP="007529D1">
      <w:pPr>
        <w:spacing w:after="70" w:line="264" w:lineRule="auto"/>
        <w:jc w:val="both"/>
      </w:pPr>
      <w:r w:rsidRPr="007529D1">
        <w:rPr>
          <w:rFonts w:ascii="Calibri" w:eastAsia="Calibri" w:hAnsi="Calibri" w:cs="Calibri"/>
          <w:color w:val="1A1A1A"/>
        </w:rPr>
        <w:t xml:space="preserve">Les systèmes biométriques présentent un risque d’atteinte aux droits fondamentaux, tout particulièrement au respect de la vie privée et à la protection des données personnelles consacrés par la </w:t>
      </w:r>
      <w:r w:rsidRPr="007529D1">
        <w:rPr>
          <w:rFonts w:ascii="Calibri" w:eastAsia="Calibri" w:hAnsi="Calibri" w:cs="Calibri"/>
          <w:color w:val="1E88E5"/>
        </w:rPr>
        <w:t>Convention européenne des droits de l’homme</w:t>
      </w:r>
      <w:r w:rsidRPr="007529D1">
        <w:rPr>
          <w:rFonts w:ascii="Calibri" w:eastAsia="Calibri" w:hAnsi="Calibri" w:cs="Calibri"/>
          <w:color w:val="1A1A1A"/>
        </w:rPr>
        <w:t xml:space="preserve"> et la </w:t>
      </w:r>
      <w:r w:rsidRPr="007529D1">
        <w:rPr>
          <w:rFonts w:ascii="Calibri" w:eastAsia="Calibri" w:hAnsi="Calibri" w:cs="Calibri"/>
          <w:color w:val="1E88E5"/>
        </w:rPr>
        <w:t>Charte des droits fondamentaux</w:t>
      </w:r>
      <w:r w:rsidRPr="007529D1">
        <w:rPr>
          <w:rFonts w:ascii="Calibri" w:eastAsia="Calibri" w:hAnsi="Calibri" w:cs="Calibri"/>
          <w:color w:val="1A1A1A"/>
        </w:rPr>
        <w:t>. En effet, l’utilisation de ces technologies implique la collecte et l’enregistrement de données dites sensibles dans un système informatique. Elles constituent dès lors une ingérence dans l’exercice de ces droits qui peut être considéré comme une intrusion injustifiée dans la sphère privée des individus (</w:t>
      </w:r>
      <w:r w:rsidRPr="007529D1">
        <w:rPr>
          <w:rFonts w:ascii="Calibri" w:eastAsia="Calibri" w:hAnsi="Calibri" w:cs="Calibri"/>
          <w:color w:val="3A7C22" w:themeColor="accent6" w:themeShade="BF"/>
        </w:rPr>
        <w:t>rapport du Défenseur des droits, Technologies biométriques : l’impératif respect des droits fondamentaux, 2021</w:t>
      </w:r>
      <w:r w:rsidRPr="007529D1">
        <w:rPr>
          <w:rFonts w:ascii="Calibri" w:eastAsia="Calibri" w:hAnsi="Calibri" w:cs="Calibri"/>
          <w:color w:val="1A1A1A"/>
        </w:rPr>
        <w:t>).</w:t>
      </w:r>
    </w:p>
    <w:p w14:paraId="62A16B5F"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Dans un contexte où les technologies biométriques se généralisent, permettant une identification rapide et précise des individus, comment concilier le recours croissant à ces systèmes avec la protection des droits fondamentaux ? Pour éviter que les systèmes biométriques ne compromettent les droits humains, à l’ère de l’intelligence artificielle, l’Europe a décidé d’en réglementer strictement l’utilisation. Il n’en reste pas moins que, malgré une volonté d’encadrement affirmée par l’Union européenne (I), il est à craindre que les garanties juridiques soient insuffisantes face à la montée des techniques de surveillance (II).</w:t>
      </w:r>
    </w:p>
    <w:p w14:paraId="65A11112" w14:textId="77777777" w:rsidR="001E3E87" w:rsidRDefault="005258B2">
      <w:pPr>
        <w:pStyle w:val="Titre3"/>
        <w:spacing w:before="190" w:after="80"/>
      </w:pPr>
      <w:r>
        <w:rPr>
          <w:rFonts w:ascii="Calibri" w:eastAsia="Calibri" w:hAnsi="Calibri" w:cs="Calibri"/>
          <w:b/>
          <w:bCs/>
          <w:i/>
          <w:iCs/>
          <w:color w:val="1A1A1A"/>
          <w:sz w:val="21"/>
          <w:szCs w:val="21"/>
        </w:rPr>
        <w:t>I. Une volonté d’encadrement juridique forte en Europe</w:t>
      </w:r>
    </w:p>
    <w:p w14:paraId="6F18DF84" w14:textId="77777777" w:rsidR="001E3E87" w:rsidRDefault="005258B2">
      <w:pPr>
        <w:pStyle w:val="Titre3"/>
        <w:spacing w:before="190" w:after="80"/>
      </w:pPr>
      <w:r>
        <w:rPr>
          <w:rFonts w:ascii="Calibri" w:eastAsia="Calibri" w:hAnsi="Calibri" w:cs="Calibri"/>
          <w:b/>
          <w:bCs/>
          <w:i/>
          <w:iCs/>
          <w:color w:val="1A1A1A"/>
          <w:sz w:val="21"/>
          <w:szCs w:val="21"/>
        </w:rPr>
        <w:t>A. La reconnaissance du caractère particulièrement sensible des données biométriques</w:t>
      </w:r>
    </w:p>
    <w:p w14:paraId="2843AE16" w14:textId="68C6ECED" w:rsidR="001E3E87" w:rsidRDefault="005258B2">
      <w:pPr>
        <w:spacing w:after="90" w:line="264" w:lineRule="auto"/>
        <w:jc w:val="both"/>
      </w:pPr>
      <w:r>
        <w:rPr>
          <w:rFonts w:ascii="Calibri" w:eastAsia="Calibri" w:hAnsi="Calibri" w:cs="Calibri"/>
          <w:color w:val="1A1A1A"/>
        </w:rPr>
        <w:t xml:space="preserve">Les données biométriques utilisées pour identifier une personne physique sont considérées comme des données personnelles « sensibles » au regard du </w:t>
      </w:r>
      <w:r>
        <w:rPr>
          <w:rFonts w:ascii="Calibri" w:eastAsia="Calibri" w:hAnsi="Calibri" w:cs="Calibri"/>
          <w:color w:val="1E88E5"/>
        </w:rPr>
        <w:t>RGPD</w:t>
      </w:r>
      <w:r>
        <w:rPr>
          <w:rFonts w:ascii="Calibri" w:eastAsia="Calibri" w:hAnsi="Calibri" w:cs="Calibri"/>
          <w:color w:val="1A1A1A"/>
        </w:rPr>
        <w:t xml:space="preserve">, de la </w:t>
      </w:r>
      <w:r w:rsidRPr="00A30890">
        <w:rPr>
          <w:rFonts w:ascii="Calibri" w:eastAsia="Calibri" w:hAnsi="Calibri" w:cs="Calibri"/>
          <w:color w:val="0070C0"/>
        </w:rPr>
        <w:t xml:space="preserve">directive Police-Justice </w:t>
      </w:r>
      <w:r>
        <w:rPr>
          <w:rFonts w:ascii="Calibri" w:eastAsia="Calibri" w:hAnsi="Calibri" w:cs="Calibri"/>
          <w:color w:val="1A1A1A"/>
        </w:rPr>
        <w:t xml:space="preserve">et du </w:t>
      </w:r>
      <w:r w:rsidRPr="00A30890">
        <w:rPr>
          <w:rFonts w:ascii="Calibri" w:eastAsia="Calibri" w:hAnsi="Calibri" w:cs="Calibri"/>
          <w:color w:val="0070C0"/>
        </w:rPr>
        <w:t>nouveau règlement sur l’intelligence artificielle</w:t>
      </w:r>
      <w:r w:rsidR="00A30890" w:rsidRPr="00A30890">
        <w:rPr>
          <w:rFonts w:ascii="Calibri" w:eastAsia="Calibri" w:hAnsi="Calibri" w:cs="Calibri"/>
          <w:color w:val="0070C0"/>
        </w:rPr>
        <w:t xml:space="preserve"> (2024)</w:t>
      </w:r>
      <w:r w:rsidRPr="00A30890">
        <w:rPr>
          <w:rFonts w:ascii="Calibri" w:eastAsia="Calibri" w:hAnsi="Calibri" w:cs="Calibri"/>
          <w:color w:val="0070C0"/>
        </w:rPr>
        <w:t xml:space="preserve">. </w:t>
      </w:r>
      <w:r>
        <w:rPr>
          <w:rFonts w:ascii="Calibri" w:eastAsia="Calibri" w:hAnsi="Calibri" w:cs="Calibri"/>
          <w:color w:val="1A1A1A"/>
        </w:rPr>
        <w:t xml:space="preserve">Cette qualification est également consacrée en droit français par la </w:t>
      </w:r>
      <w:r w:rsidRPr="00A30890">
        <w:rPr>
          <w:rFonts w:ascii="Calibri" w:eastAsia="Calibri" w:hAnsi="Calibri" w:cs="Calibri"/>
          <w:color w:val="0070C0"/>
        </w:rPr>
        <w:t xml:space="preserve">loi du 6 janvier 1978 </w:t>
      </w:r>
      <w:r>
        <w:rPr>
          <w:rFonts w:ascii="Calibri" w:eastAsia="Calibri" w:hAnsi="Calibri" w:cs="Calibri"/>
          <w:color w:val="1A1A1A"/>
        </w:rPr>
        <w:t>en raison de la capacité des données biométriques à identifier un individu à partir de caractéristiques biologiques permanentes et inaltérables. Les données biométriques sont issues de traitements techniques portant sur des caractéristiques physiques, physiologiques ou comportementales permettant d’identifier une personne de manière unique, mais peuvent aussi servir à l’authentification, la catégorisation et la reconnaissance des émotions. L’identification biométrique, automatisée et à distance, compare les données d’une personne à celles d’une base de référence, avec ou sans son consentement, tandis que la catégorisation permet de classer les individus selon des critères tels que le sexe, la langue ou l’orientation.</w:t>
      </w:r>
    </w:p>
    <w:p w14:paraId="477A4175" w14:textId="77777777" w:rsidR="001E3E87" w:rsidRDefault="005258B2">
      <w:pPr>
        <w:pStyle w:val="Titre3"/>
        <w:spacing w:before="190" w:after="80"/>
      </w:pPr>
      <w:r>
        <w:rPr>
          <w:rFonts w:ascii="Calibri" w:eastAsia="Calibri" w:hAnsi="Calibri" w:cs="Calibri"/>
          <w:b/>
          <w:bCs/>
          <w:i/>
          <w:iCs/>
          <w:color w:val="1A1A1A"/>
          <w:sz w:val="21"/>
          <w:szCs w:val="21"/>
        </w:rPr>
        <w:t>B. Un régime d’interdiction assorti de certaines dérogations</w:t>
      </w:r>
    </w:p>
    <w:p w14:paraId="5FB689F1" w14:textId="77777777" w:rsidR="00A30890" w:rsidRDefault="005258B2">
      <w:pPr>
        <w:spacing w:after="90" w:line="264" w:lineRule="auto"/>
        <w:jc w:val="both"/>
        <w:rPr>
          <w:rFonts w:ascii="Calibri" w:eastAsia="Calibri" w:hAnsi="Calibri" w:cs="Calibri"/>
          <w:color w:val="1A1A1A"/>
        </w:rPr>
      </w:pPr>
      <w:r>
        <w:rPr>
          <w:rFonts w:ascii="Calibri" w:eastAsia="Calibri" w:hAnsi="Calibri" w:cs="Calibri"/>
          <w:color w:val="1A1A1A"/>
        </w:rPr>
        <w:t>Interdiction de la collecte non ciblée de données biométriques (</w:t>
      </w:r>
      <w:r>
        <w:rPr>
          <w:rFonts w:ascii="Calibri" w:eastAsia="Calibri" w:hAnsi="Calibri" w:cs="Calibri"/>
          <w:color w:val="1E88E5"/>
        </w:rPr>
        <w:t>art. 5.1</w:t>
      </w:r>
      <w:r>
        <w:rPr>
          <w:rFonts w:ascii="Calibri" w:eastAsia="Calibri" w:hAnsi="Calibri" w:cs="Calibri"/>
          <w:color w:val="1A1A1A"/>
        </w:rPr>
        <w:t>, point e du règlement sur l’IA) : interdiction du scraping ou de la collecte massive de données biométriques (visages, empreintes…) à partir de sources accessibles au public (réseaux sociaux, caméras…). Interdiction de la reconnaissance des émotions dans le travail et l’éducation (</w:t>
      </w:r>
      <w:r>
        <w:rPr>
          <w:rFonts w:ascii="Calibri" w:eastAsia="Calibri" w:hAnsi="Calibri" w:cs="Calibri"/>
          <w:color w:val="1E88E5"/>
        </w:rPr>
        <w:t>art. 5.1</w:t>
      </w:r>
      <w:r>
        <w:rPr>
          <w:rFonts w:ascii="Calibri" w:eastAsia="Calibri" w:hAnsi="Calibri" w:cs="Calibri"/>
          <w:color w:val="1A1A1A"/>
        </w:rPr>
        <w:t xml:space="preserve">, point f du règlement sur l’IA). </w:t>
      </w:r>
    </w:p>
    <w:p w14:paraId="382DF993" w14:textId="327C257A" w:rsidR="001E3E87" w:rsidRDefault="005258B2">
      <w:pPr>
        <w:spacing w:after="90" w:line="264" w:lineRule="auto"/>
        <w:jc w:val="both"/>
      </w:pPr>
      <w:r>
        <w:rPr>
          <w:rFonts w:ascii="Calibri" w:eastAsia="Calibri" w:hAnsi="Calibri" w:cs="Calibri"/>
          <w:color w:val="1A1A1A"/>
        </w:rPr>
        <w:t>Exceptions : applications médicales, aide au diagnostic. Mesures de sécurité spécifiques : infrastructures critiques, aviation… Interdiction de la catégorisation biométrique à partir de caractéristiques sensibles portant notamment sur l’origine ethnique, la religion, l’orientation sexuelle, les opinions politiques (</w:t>
      </w:r>
      <w:r>
        <w:rPr>
          <w:rFonts w:ascii="Calibri" w:eastAsia="Calibri" w:hAnsi="Calibri" w:cs="Calibri"/>
          <w:color w:val="1E88E5"/>
        </w:rPr>
        <w:t>art. 5.1</w:t>
      </w:r>
      <w:r>
        <w:rPr>
          <w:rFonts w:ascii="Calibri" w:eastAsia="Calibri" w:hAnsi="Calibri" w:cs="Calibri"/>
          <w:color w:val="1A1A1A"/>
        </w:rPr>
        <w:t>, point g du règlement sur l’IA). Interdiction de l’identification biométrique à distance en temps réel dans les lieux publics, sauf dans des cas exceptionnels, comme les enquêtes pour des infractions graves (</w:t>
      </w:r>
      <w:r>
        <w:rPr>
          <w:rFonts w:ascii="Calibri" w:eastAsia="Calibri" w:hAnsi="Calibri" w:cs="Calibri"/>
          <w:color w:val="1E88E5"/>
        </w:rPr>
        <w:t>art. 5.1</w:t>
      </w:r>
      <w:r>
        <w:rPr>
          <w:rFonts w:ascii="Calibri" w:eastAsia="Calibri" w:hAnsi="Calibri" w:cs="Calibri"/>
          <w:color w:val="1A1A1A"/>
        </w:rPr>
        <w:t>, point h du règlement sur l’IA).</w:t>
      </w:r>
    </w:p>
    <w:p w14:paraId="56CC4E99" w14:textId="77777777" w:rsidR="001E3E87" w:rsidRDefault="005258B2">
      <w:pPr>
        <w:pStyle w:val="Titre3"/>
        <w:spacing w:before="190" w:after="80"/>
      </w:pPr>
      <w:r>
        <w:rPr>
          <w:rFonts w:ascii="Calibri" w:eastAsia="Calibri" w:hAnsi="Calibri" w:cs="Calibri"/>
          <w:b/>
          <w:bCs/>
          <w:i/>
          <w:iCs/>
          <w:color w:val="1A1A1A"/>
          <w:sz w:val="21"/>
          <w:szCs w:val="21"/>
        </w:rPr>
        <w:lastRenderedPageBreak/>
        <w:t>II. La persistance d’un danger systémique pour les libertés individuelles et collectives</w:t>
      </w:r>
    </w:p>
    <w:p w14:paraId="76F02762" w14:textId="77777777" w:rsidR="001E3E87" w:rsidRDefault="005258B2">
      <w:pPr>
        <w:pStyle w:val="Titre3"/>
        <w:spacing w:before="190" w:after="80"/>
      </w:pPr>
      <w:r>
        <w:rPr>
          <w:rFonts w:ascii="Calibri" w:eastAsia="Calibri" w:hAnsi="Calibri" w:cs="Calibri"/>
          <w:b/>
          <w:bCs/>
          <w:i/>
          <w:iCs/>
          <w:color w:val="1A1A1A"/>
          <w:sz w:val="21"/>
          <w:szCs w:val="21"/>
        </w:rPr>
        <w:t>A. Une réglementation trop strictement focalisée sur les données personnelles</w:t>
      </w:r>
    </w:p>
    <w:p w14:paraId="41CEAE33" w14:textId="77777777" w:rsidR="00342E5E" w:rsidRDefault="005258B2">
      <w:pPr>
        <w:spacing w:after="90" w:line="264" w:lineRule="auto"/>
        <w:jc w:val="both"/>
        <w:rPr>
          <w:rFonts w:ascii="Calibri" w:eastAsia="Calibri" w:hAnsi="Calibri" w:cs="Calibri"/>
          <w:color w:val="1A1A1A"/>
        </w:rPr>
      </w:pPr>
      <w:r>
        <w:rPr>
          <w:rFonts w:ascii="Calibri" w:eastAsia="Calibri" w:hAnsi="Calibri" w:cs="Calibri"/>
          <w:color w:val="1A1A1A"/>
        </w:rPr>
        <w:t xml:space="preserve">La réglementation concernant la reconnaissance faciale se concentre principalement sur la protection des données personnelles. Ces traitements ne peuvent être réalisés que dans des cas exceptionnels, tels que le consentement explicite des individus, la protection de leurs intérêts vitaux, ou un intérêt public majeur. Selon la </w:t>
      </w:r>
      <w:r w:rsidRPr="00342E5E">
        <w:rPr>
          <w:rFonts w:ascii="Calibri" w:eastAsia="Calibri" w:hAnsi="Calibri" w:cs="Calibri"/>
          <w:color w:val="0070C0"/>
        </w:rPr>
        <w:t>directive « Police-Justice »</w:t>
      </w:r>
      <w:r>
        <w:rPr>
          <w:rFonts w:ascii="Calibri" w:eastAsia="Calibri" w:hAnsi="Calibri" w:cs="Calibri"/>
          <w:color w:val="1A1A1A"/>
        </w:rPr>
        <w:t xml:space="preserve">, le traitement de ces données n’est autorisé que lorsqu’il est absolument nécessaire, sous réserve de garanties pour les droits et libertés des personnes concernées. </w:t>
      </w:r>
    </w:p>
    <w:p w14:paraId="7623D8B4" w14:textId="1B485AC3" w:rsidR="001E3E87" w:rsidRDefault="005258B2">
      <w:pPr>
        <w:spacing w:after="90" w:line="264" w:lineRule="auto"/>
        <w:jc w:val="both"/>
      </w:pPr>
      <w:r>
        <w:rPr>
          <w:rFonts w:ascii="Calibri" w:eastAsia="Calibri" w:hAnsi="Calibri" w:cs="Calibri"/>
          <w:color w:val="1A1A1A"/>
        </w:rPr>
        <w:t>En droit interne, le régime d’autorisation préalable des données sensibles a été remplacé par un système de responsabilisation des acteurs, qui doivent réaliser une analyse d’impact en cas de risques élevés pour les droits et libertés des individus. En raison de la sensibilité des données biométriques, toute utilisation de ces données par l’État, dans le cadre de ses prérogatives de puissance publique, doit être soumise à des formalités préalables. Ces traitements doivent être autorisés par décret en Conseil d’État, après avis de la CNIL, et l’analyse d’impact doit systématiquement être soumise à cette autorité. Il reste que la réglementation se focalise plus sur la donnée que sur la personne, sans s’appesantir sur les usages et les impacts sociaux. À certains égards, le droit reste trop accommodant. Les évolutions du cadre juridique ne prennent pas assez la mesure du changement de paradigme induit par les systèmes biométriques, c’est-à-dire une surveillance invisible, permanente et automatisée, largement incompatible avec les garanties classiques des libertés publiques.</w:t>
      </w:r>
    </w:p>
    <w:p w14:paraId="583D6634" w14:textId="77777777" w:rsidR="001E3E87" w:rsidRDefault="005258B2">
      <w:pPr>
        <w:pStyle w:val="Titre3"/>
        <w:spacing w:before="190" w:after="80"/>
      </w:pPr>
      <w:r>
        <w:rPr>
          <w:rFonts w:ascii="Calibri" w:eastAsia="Calibri" w:hAnsi="Calibri" w:cs="Calibri"/>
          <w:b/>
          <w:bCs/>
          <w:i/>
          <w:iCs/>
          <w:color w:val="1A1A1A"/>
          <w:sz w:val="21"/>
          <w:szCs w:val="21"/>
        </w:rPr>
        <w:t>B. Le risque latent d’une société de surveillance algorithmique généralisée</w:t>
      </w:r>
    </w:p>
    <w:p w14:paraId="4686B99F" w14:textId="77777777" w:rsidR="001E3E87" w:rsidRDefault="005258B2">
      <w:pPr>
        <w:spacing w:after="90" w:line="264" w:lineRule="auto"/>
        <w:jc w:val="both"/>
      </w:pPr>
      <w:r>
        <w:rPr>
          <w:rFonts w:ascii="Calibri" w:eastAsia="Calibri" w:hAnsi="Calibri" w:cs="Calibri"/>
          <w:color w:val="1A1A1A"/>
        </w:rPr>
        <w:t>Si l’identification biométrique à distance en temps réel dans les lieux publics à des fins répressives est interdite par le règlement sur l’IA, il existe des exceptions :</w:t>
      </w:r>
    </w:p>
    <w:p w14:paraId="398BF5B5"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Retrouver des victimes (enlèvement, traite, exploitation sexuelle, disparus).</w:t>
      </w:r>
    </w:p>
    <w:p w14:paraId="495DFEA4"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Prévenir une menace imminente à la vie ou sécurité physique.</w:t>
      </w:r>
    </w:p>
    <w:p w14:paraId="11AF584C" w14:textId="77777777" w:rsidR="00342E5E" w:rsidRPr="00342E5E" w:rsidRDefault="005258B2">
      <w:pPr>
        <w:pStyle w:val="Paragraphedeliste"/>
        <w:numPr>
          <w:ilvl w:val="0"/>
          <w:numId w:val="2"/>
        </w:numPr>
        <w:spacing w:after="70" w:line="264" w:lineRule="auto"/>
        <w:jc w:val="both"/>
      </w:pPr>
      <w:r>
        <w:rPr>
          <w:rFonts w:ascii="Calibri" w:eastAsia="Calibri" w:hAnsi="Calibri" w:cs="Calibri"/>
          <w:color w:val="1A1A1A"/>
        </w:rPr>
        <w:t xml:space="preserve">Localiser un suspect d’infraction grave. </w:t>
      </w:r>
    </w:p>
    <w:p w14:paraId="35FEA3E8" w14:textId="7C461729" w:rsidR="001E3E87" w:rsidRDefault="005258B2" w:rsidP="00342E5E">
      <w:pPr>
        <w:spacing w:after="70" w:line="264" w:lineRule="auto"/>
        <w:jc w:val="both"/>
      </w:pPr>
      <w:r w:rsidRPr="00342E5E">
        <w:rPr>
          <w:rFonts w:ascii="Calibri" w:eastAsia="Calibri" w:hAnsi="Calibri" w:cs="Calibri"/>
          <w:color w:val="1A1A1A"/>
        </w:rPr>
        <w:t>Bien que l’Union européenne encadre rigoureusement l’usage de la reconnaissance faciale par les forces de l’ordre, cette technologie ouvre la voie à une surveillance de masse aux implications préoccupantes pour la vie privée des citoyens. La tentation d’y recourir, souvent justifiée par des impératifs sécuritaires tels que la lutte contre le terrorisme, demeure forte. Les débats autour de l’usage de ces dispositifs lors des Jeux Olympiques de 2024 en France en ont témoigné : si le Conseil constitutionnel en a validé l’utilisation, une partie de la classe politique y a vu une dérive sécuritaire, susceptible de porter atteinte aux libertés fondamentales, notamment en permettant le traitement de données biométriques sans garanties suffisantes quant à l’encadrement des algorithmes. Pour éviter les dérives, il est impératif que l’identification biométrique à distance en temps réel soit strictement encadrée par des autorités de contrôle indépendantes, soumise à une évaluation rigoureuse et continue, et limitée à des cas exceptionnels dûment justifiés (Conseil Constitutionnel, Décision du 17 mai 2023).</w:t>
      </w:r>
    </w:p>
    <w:p w14:paraId="04E2DC51" w14:textId="77777777" w:rsidR="001E3E87" w:rsidRDefault="005258B2">
      <w:r>
        <w:br w:type="page"/>
      </w:r>
    </w:p>
    <w:p w14:paraId="0E2ACB86"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36 — COMMENTAIRE D’ARRÊT</w:t>
      </w:r>
    </w:p>
    <w:p w14:paraId="1ACE7AB8" w14:textId="77777777" w:rsidR="001E3E87" w:rsidRDefault="005258B2">
      <w:pPr>
        <w:spacing w:after="160"/>
      </w:pPr>
      <w:r>
        <w:rPr>
          <w:rFonts w:ascii="Calibri" w:eastAsia="Calibri" w:hAnsi="Calibri" w:cs="Calibri"/>
          <w:i/>
          <w:iCs/>
          <w:color w:val="5A5A5A"/>
          <w:sz w:val="18"/>
          <w:szCs w:val="18"/>
        </w:rPr>
        <w:t>Fiche n° 36 — La liberté de penser, de conscience et de religion  |  PARTIE VI. LES DROITS CIVILS ET POLITIQUES  |  Fascicule p. 378</w:t>
      </w:r>
    </w:p>
    <w:p w14:paraId="7E46B0AB"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78F4896D" w14:textId="77777777" w:rsidR="001E3E87" w:rsidRDefault="005258B2">
      <w:pPr>
        <w:pBdr>
          <w:left w:val="single" w:sz="12" w:space="10" w:color="8C1C2B"/>
        </w:pBdr>
        <w:spacing w:after="90" w:line="264" w:lineRule="auto"/>
        <w:ind w:left="260"/>
        <w:jc w:val="both"/>
      </w:pPr>
      <w:r>
        <w:rPr>
          <w:rFonts w:ascii="Calibri" w:eastAsia="Calibri" w:hAnsi="Calibri" w:cs="Calibri"/>
          <w:color w:val="E91E63"/>
        </w:rPr>
        <w:t>CE, 8e et 3e chambres réunies, 18 mars 2024, no 471061.</w:t>
      </w:r>
    </w:p>
    <w:p w14:paraId="58491DCC"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0808F70D" w14:textId="77777777" w:rsidR="001E3E87" w:rsidRDefault="005258B2">
      <w:pPr>
        <w:spacing w:after="90" w:line="264" w:lineRule="auto"/>
        <w:jc w:val="both"/>
      </w:pPr>
      <w:r>
        <w:rPr>
          <w:rFonts w:ascii="Calibri" w:eastAsia="Calibri" w:hAnsi="Calibri" w:cs="Calibri"/>
          <w:color w:val="1A1A1A"/>
        </w:rPr>
        <w:t>Selon le rapport de la commission de réflexion sur l’application du principe de laïcité paru en 2003, la laïcité est « la pierre angulaire du pacte républicain ». La loi du 9 décembre 1905 concernant la séparation des Églises et de l’État est venue ancrer cette notion de laïcité en France. Avant de recevoir une traduction juridique au sein des constitutions de 1946 et de 1958 « La France est une République indivisible, laïque, démocratique et sociale », le principe de laïcité a fait l’objet de débats politiques et philosophiques mouvementés. Ces débats sont toujours d’actualité comme en témoigne l’arrêt à commenter en l’espèce. Cet arrêt trouve sa source dans l’occupation à titre gratuit d’un théâtre municipal à une association de culte pour la célébration de l’Aïd. Dans son arrêté du 13 juin 2018, le maire de Nice autorise l’association « Union des Musulmans des Alpes- Maritimes » à occuper à titre gratuit le théâtre municipal Lino Ventura le vendredi 15 juin 2018 de 7 heures à 11 heures. Le 3 septembre 2018, le tribunal administratif rejette la demande de M.B.A et de l’Association niçoise pour la défense de la laïcité qui souhaitait faire annuler l’arrêté municipal. La Cour administrative d’appel de Marseille dans son arrêt du 7 janvier 2019 annule l’ordonnance du tribunal administratif et renvoie l’affaire devant le tribunal administratif de Nice. Dans son jugement du 16 février 2021, le tribunal administratif de Nice rejette la demande de l’association pour la défense de la laïcité. La Cour administrative d’appel de Marseille, dans son arrêt du 19 décembre 2022, annule le jugement du 16 février 2021 ainsi que l’arrêté municipal du maire de Nice. La commune de Nice se pourvoit en cassation devant le Conseil d’État. Le Conseil d’État devait donc statuer sur la légalité de cet arrêté municipal et de sa conformité au principe de laïcité.</w:t>
      </w:r>
    </w:p>
    <w:p w14:paraId="5AFA5C54"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Pédagogue, le Conseil d’État rappellera dans un premier temps les fondements du principe de laïcité (I), tout en contrôlant et validant les possibles exceptions à ce principe (II).</w:t>
      </w:r>
    </w:p>
    <w:p w14:paraId="51B4DB9B" w14:textId="77777777" w:rsidR="001E3E87" w:rsidRDefault="005258B2">
      <w:pPr>
        <w:pStyle w:val="Titre3"/>
        <w:spacing w:before="190" w:after="80"/>
      </w:pPr>
      <w:r>
        <w:rPr>
          <w:rFonts w:ascii="Calibri" w:eastAsia="Calibri" w:hAnsi="Calibri" w:cs="Calibri"/>
          <w:b/>
          <w:bCs/>
          <w:i/>
          <w:iCs/>
          <w:color w:val="1A1A1A"/>
          <w:sz w:val="21"/>
          <w:szCs w:val="21"/>
        </w:rPr>
        <w:t>I. Le rappel du principe de laïcité</w:t>
      </w:r>
    </w:p>
    <w:p w14:paraId="2259A207" w14:textId="77777777" w:rsidR="001E3E87" w:rsidRDefault="005258B2">
      <w:pPr>
        <w:pStyle w:val="Titre3"/>
        <w:spacing w:before="190" w:after="80"/>
      </w:pPr>
      <w:r>
        <w:rPr>
          <w:rFonts w:ascii="Calibri" w:eastAsia="Calibri" w:hAnsi="Calibri" w:cs="Calibri"/>
          <w:b/>
          <w:bCs/>
          <w:i/>
          <w:iCs/>
          <w:color w:val="1A1A1A"/>
          <w:sz w:val="21"/>
          <w:szCs w:val="21"/>
        </w:rPr>
        <w:t>A. La laïcité fondée sur la neutralité et l’égalité</w:t>
      </w:r>
    </w:p>
    <w:p w14:paraId="63A99C6A" w14:textId="77777777" w:rsidR="001E3E87" w:rsidRDefault="005258B2">
      <w:pPr>
        <w:spacing w:after="90" w:line="264" w:lineRule="auto"/>
        <w:jc w:val="both"/>
      </w:pPr>
      <w:r>
        <w:rPr>
          <w:rFonts w:ascii="Calibri" w:eastAsia="Calibri" w:hAnsi="Calibri" w:cs="Calibri"/>
          <w:color w:val="1A1A1A"/>
        </w:rPr>
        <w:t>Le Conseil d’État rappelle tout d’abord dans son considérant 2 les fondements de la laïcité en France et les termes de la loi du 9 décembre 1905 concernant la séparation des Églises et de l’État. « La République assure la liberté de conscience. Elle garantit le libre exercice des cultes » ; « La République ne reconnaît, ne salarie ni ne subventionne aucun culte » ainsi les associations formées pour subvenir aux frais et à l’entretien et à l’exercice des cultes « ne pourront, sous quelque forme que ce soit, recevoir des subventions… ». C’est cette question de subvention « déguisée » qui est au cœur de cet arrêt du fait de la gratuité accordée qui contreviendrait aux principes de neutralité de l’État envers les cultes et au principe d’égalité requis dans l’établissement du montant de la contribution pour l’occupation d’un local communal par une association cultuelle.</w:t>
      </w:r>
    </w:p>
    <w:p w14:paraId="7CE27F59" w14:textId="77777777" w:rsidR="001E3E87" w:rsidRDefault="005258B2">
      <w:pPr>
        <w:pStyle w:val="Titre3"/>
        <w:spacing w:before="190" w:after="80"/>
      </w:pPr>
      <w:r>
        <w:rPr>
          <w:rFonts w:ascii="Calibri" w:eastAsia="Calibri" w:hAnsi="Calibri" w:cs="Calibri"/>
          <w:b/>
          <w:bCs/>
          <w:i/>
          <w:iCs/>
          <w:color w:val="1A1A1A"/>
          <w:sz w:val="21"/>
          <w:szCs w:val="21"/>
        </w:rPr>
        <w:t>B. La protection des associations cultuelles contre les discriminations</w:t>
      </w:r>
    </w:p>
    <w:p w14:paraId="183C684E" w14:textId="77777777" w:rsidR="001E3E87" w:rsidRDefault="005258B2">
      <w:pPr>
        <w:spacing w:after="90" w:line="264" w:lineRule="auto"/>
        <w:jc w:val="both"/>
      </w:pPr>
      <w:r>
        <w:rPr>
          <w:rFonts w:ascii="Calibri" w:eastAsia="Calibri" w:hAnsi="Calibri" w:cs="Calibri"/>
          <w:color w:val="1A1A1A"/>
        </w:rPr>
        <w:t>Dans son considérant 5, le Conseil d’État rappelle qu’une « commune ne peut rejeter une demande d’utilisation d’un tel local au seul motif que cette demande lui est adressée par une association dans le but d’exercer un culte ». On retrouve ici un rappel classique de l’interdiction des discriminations fondées notamment sur la religion. Clauses contre la discrimination prévues à l’</w:t>
      </w:r>
      <w:r>
        <w:rPr>
          <w:rFonts w:ascii="Calibri" w:eastAsia="Calibri" w:hAnsi="Calibri" w:cs="Calibri"/>
          <w:color w:val="1E88E5"/>
        </w:rPr>
        <w:t>article 1er</w:t>
      </w:r>
      <w:r>
        <w:rPr>
          <w:rFonts w:ascii="Calibri" w:eastAsia="Calibri" w:hAnsi="Calibri" w:cs="Calibri"/>
          <w:color w:val="1A1A1A"/>
        </w:rPr>
        <w:t xml:space="preserve"> de la Constitution du 4 octobre 1958, préambule du 27 octobre 1946 et des textes internationaux (</w:t>
      </w:r>
      <w:r>
        <w:rPr>
          <w:rFonts w:ascii="Calibri" w:eastAsia="Calibri" w:hAnsi="Calibri" w:cs="Calibri"/>
          <w:color w:val="1E88E5"/>
        </w:rPr>
        <w:t>article 14</w:t>
      </w:r>
      <w:r>
        <w:rPr>
          <w:rFonts w:ascii="Calibri" w:eastAsia="Calibri" w:hAnsi="Calibri" w:cs="Calibri"/>
          <w:color w:val="1A1A1A"/>
        </w:rPr>
        <w:t xml:space="preserve"> de la </w:t>
      </w:r>
      <w:r>
        <w:rPr>
          <w:rFonts w:ascii="Calibri" w:eastAsia="Calibri" w:hAnsi="Calibri" w:cs="Calibri"/>
          <w:color w:val="1E88E5"/>
        </w:rPr>
        <w:t>Convention européenne des droits de l’homme</w:t>
      </w:r>
      <w:r>
        <w:rPr>
          <w:rFonts w:ascii="Calibri" w:eastAsia="Calibri" w:hAnsi="Calibri" w:cs="Calibri"/>
          <w:color w:val="1A1A1A"/>
        </w:rPr>
        <w:t xml:space="preserve">, </w:t>
      </w:r>
      <w:r>
        <w:rPr>
          <w:rFonts w:ascii="Calibri" w:eastAsia="Calibri" w:hAnsi="Calibri" w:cs="Calibri"/>
          <w:color w:val="1E88E5"/>
        </w:rPr>
        <w:t>article 26</w:t>
      </w:r>
      <w:r>
        <w:rPr>
          <w:rFonts w:ascii="Calibri" w:eastAsia="Calibri" w:hAnsi="Calibri" w:cs="Calibri"/>
          <w:color w:val="1A1A1A"/>
        </w:rPr>
        <w:t xml:space="preserve"> du </w:t>
      </w:r>
      <w:r>
        <w:rPr>
          <w:rFonts w:ascii="Calibri" w:eastAsia="Calibri" w:hAnsi="Calibri" w:cs="Calibri"/>
          <w:color w:val="1E88E5"/>
        </w:rPr>
        <w:t>Pacte international relatif aux droits civils et politiques</w:t>
      </w:r>
      <w:r>
        <w:rPr>
          <w:rFonts w:ascii="Calibri" w:eastAsia="Calibri" w:hAnsi="Calibri" w:cs="Calibri"/>
          <w:color w:val="1A1A1A"/>
        </w:rPr>
        <w:t>…)</w:t>
      </w:r>
    </w:p>
    <w:p w14:paraId="607A2C42" w14:textId="77777777" w:rsidR="001E3E87" w:rsidRDefault="005258B2">
      <w:pPr>
        <w:pStyle w:val="Titre3"/>
        <w:spacing w:before="190" w:after="80"/>
      </w:pPr>
      <w:r>
        <w:rPr>
          <w:rFonts w:ascii="Calibri" w:eastAsia="Calibri" w:hAnsi="Calibri" w:cs="Calibri"/>
          <w:b/>
          <w:bCs/>
          <w:i/>
          <w:iCs/>
          <w:color w:val="1A1A1A"/>
          <w:sz w:val="21"/>
          <w:szCs w:val="21"/>
        </w:rPr>
        <w:t>II. L’encadrement des exceptions au principe de laïcité</w:t>
      </w:r>
    </w:p>
    <w:p w14:paraId="4A00DB75" w14:textId="77777777" w:rsidR="001E3E87" w:rsidRDefault="005258B2">
      <w:pPr>
        <w:pStyle w:val="Titre3"/>
        <w:spacing w:before="190" w:after="80"/>
      </w:pPr>
      <w:r>
        <w:rPr>
          <w:rFonts w:ascii="Calibri" w:eastAsia="Calibri" w:hAnsi="Calibri" w:cs="Calibri"/>
          <w:b/>
          <w:bCs/>
          <w:i/>
          <w:iCs/>
          <w:color w:val="1A1A1A"/>
          <w:sz w:val="21"/>
          <w:szCs w:val="21"/>
        </w:rPr>
        <w:t>A. L’autorisation d’un usage ponctuel des locaux communaux</w:t>
      </w:r>
    </w:p>
    <w:p w14:paraId="1DEFFE88" w14:textId="77777777" w:rsidR="001E3E87" w:rsidRDefault="005258B2">
      <w:pPr>
        <w:spacing w:after="90" w:line="264" w:lineRule="auto"/>
        <w:jc w:val="both"/>
      </w:pPr>
      <w:r>
        <w:rPr>
          <w:rFonts w:ascii="Calibri" w:eastAsia="Calibri" w:hAnsi="Calibri" w:cs="Calibri"/>
          <w:color w:val="1A1A1A"/>
        </w:rPr>
        <w:t>Dans les considérants 4 et 5, le Conseil d’État reprend des conditions qu’il avait déjà énumérées dans des précédents arrêts (</w:t>
      </w:r>
      <w:r>
        <w:rPr>
          <w:rFonts w:ascii="Calibri" w:eastAsia="Calibri" w:hAnsi="Calibri" w:cs="Calibri"/>
          <w:color w:val="E91E63"/>
        </w:rPr>
        <w:t>CE, ass, 19 juillet 2011, no 313518</w:t>
      </w:r>
      <w:r>
        <w:rPr>
          <w:rFonts w:ascii="Calibri" w:eastAsia="Calibri" w:hAnsi="Calibri" w:cs="Calibri"/>
          <w:color w:val="1A1A1A"/>
        </w:rPr>
        <w:t xml:space="preserve">, Commune de Montpellier et </w:t>
      </w:r>
      <w:r>
        <w:rPr>
          <w:rFonts w:ascii="Calibri" w:eastAsia="Calibri" w:hAnsi="Calibri" w:cs="Calibri"/>
          <w:color w:val="E91E63"/>
        </w:rPr>
        <w:t>CE, 8e et 3e chambres réunies, 7 mars 2019, no 417629</w:t>
      </w:r>
      <w:r>
        <w:rPr>
          <w:rFonts w:ascii="Calibri" w:eastAsia="Calibri" w:hAnsi="Calibri" w:cs="Calibri"/>
          <w:color w:val="1A1A1A"/>
        </w:rPr>
        <w:t>). Il est possible que soit ponctuellement exercé un culte par une association dans un local communal (au sens large, de l’</w:t>
      </w:r>
      <w:r>
        <w:rPr>
          <w:rFonts w:ascii="Calibri" w:eastAsia="Calibri" w:hAnsi="Calibri" w:cs="Calibri"/>
          <w:color w:val="1E88E5"/>
        </w:rPr>
        <w:t>article L. 2144-3</w:t>
      </w:r>
      <w:r>
        <w:rPr>
          <w:rFonts w:ascii="Calibri" w:eastAsia="Calibri" w:hAnsi="Calibri" w:cs="Calibri"/>
          <w:color w:val="1A1A1A"/>
        </w:rPr>
        <w:t xml:space="preserve"> du CGCT) à la quadruple condition :</w:t>
      </w:r>
    </w:p>
    <w:p w14:paraId="1B0477E2"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lastRenderedPageBreak/>
        <w:t>L’occupation ne doit être ni exclusive ni pérenne.</w:t>
      </w:r>
    </w:p>
    <w:p w14:paraId="1577CFBA"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 principe d’égalité de traitement doit être respecté.</w:t>
      </w:r>
    </w:p>
    <w:p w14:paraId="3068D602"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Prise en compte « des nécessités de l’administration des propriétés communales, du fonctionnement des services et du maintien de l’ordre public ».</w:t>
      </w:r>
    </w:p>
    <w:p w14:paraId="40E6D07C"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Absence d’une quelconque aide financière ou libéralité.</w:t>
      </w:r>
    </w:p>
    <w:p w14:paraId="71D90301" w14:textId="77777777" w:rsidR="001E3E87" w:rsidRDefault="005258B2">
      <w:pPr>
        <w:pStyle w:val="Titre3"/>
        <w:spacing w:before="190" w:after="80"/>
      </w:pPr>
      <w:r>
        <w:rPr>
          <w:rFonts w:ascii="Calibri" w:eastAsia="Calibri" w:hAnsi="Calibri" w:cs="Calibri"/>
          <w:b/>
          <w:bCs/>
          <w:i/>
          <w:iCs/>
          <w:color w:val="1A1A1A"/>
          <w:sz w:val="21"/>
          <w:szCs w:val="21"/>
        </w:rPr>
        <w:t>B. L’ajout d’une gratuité envisageable</w:t>
      </w:r>
    </w:p>
    <w:p w14:paraId="2D553506" w14:textId="77777777" w:rsidR="001E3E87" w:rsidRDefault="005258B2">
      <w:pPr>
        <w:spacing w:after="90" w:line="264" w:lineRule="auto"/>
        <w:jc w:val="both"/>
      </w:pPr>
      <w:r>
        <w:rPr>
          <w:rFonts w:ascii="Calibri" w:eastAsia="Calibri" w:hAnsi="Calibri" w:cs="Calibri"/>
          <w:color w:val="1A1A1A"/>
        </w:rPr>
        <w:t>Le Conseil d’État vient préciser qu’il appartient au conseil municipal de déterminer la contribution due par l’association en raison de l’utilisation du local communal en vertu des dispositions de l’</w:t>
      </w:r>
      <w:r>
        <w:rPr>
          <w:rFonts w:ascii="Calibri" w:eastAsia="Calibri" w:hAnsi="Calibri" w:cs="Calibri"/>
          <w:color w:val="1E88E5"/>
        </w:rPr>
        <w:t>article L. 2144-3</w:t>
      </w:r>
      <w:r>
        <w:rPr>
          <w:rFonts w:ascii="Calibri" w:eastAsia="Calibri" w:hAnsi="Calibri" w:cs="Calibri"/>
          <w:color w:val="1A1A1A"/>
        </w:rPr>
        <w:t xml:space="preserve"> du Code général des collectivités territoriales, qui dérogent à celles, générales, de l’</w:t>
      </w:r>
      <w:r>
        <w:rPr>
          <w:rFonts w:ascii="Calibri" w:eastAsia="Calibri" w:hAnsi="Calibri" w:cs="Calibri"/>
          <w:color w:val="1E88E5"/>
        </w:rPr>
        <w:t>article L. 2125-1</w:t>
      </w:r>
      <w:r>
        <w:rPr>
          <w:rFonts w:ascii="Calibri" w:eastAsia="Calibri" w:hAnsi="Calibri" w:cs="Calibri"/>
          <w:color w:val="1A1A1A"/>
        </w:rPr>
        <w:t xml:space="preserve"> du Code général de la propriété des personnes publiques. « Il lui appartient d’arrêter le montant de cette contribution, dans le respect du principe d’égalité, de telle façon qu’il ne soit pas constitutif d’une libéralité. » De plus, cette libéralité ne saurait résulter du simple fait que le local est mis à disposition gratuitement. Elle est appréciée compte tenu de la durée et des conditions d’utilisation du local communal, de l’ampleur de l’avantage éventuellement consenti et, le cas échéant, des motifs d’intérêt général justifiant la décision de la commune.</w:t>
      </w:r>
    </w:p>
    <w:p w14:paraId="38E0042B" w14:textId="77777777" w:rsidR="001E3E87" w:rsidRDefault="005258B2">
      <w:pPr>
        <w:spacing w:after="90" w:line="264" w:lineRule="auto"/>
        <w:jc w:val="both"/>
      </w:pPr>
      <w:r>
        <w:rPr>
          <w:rFonts w:ascii="Calibri" w:eastAsia="Calibri" w:hAnsi="Calibri" w:cs="Calibri"/>
          <w:color w:val="1A1A1A"/>
        </w:rPr>
        <w:t>En conclusion, le Conseil d’État justifie ainsi la gratuité en fonction du contexte et de la durée en question de la mise à disposition du local communal et casse l’arrêt du 19 décembre 2022 pour erreur de droit (considérant 7).</w:t>
      </w:r>
    </w:p>
    <w:p w14:paraId="050CA90F" w14:textId="77777777" w:rsidR="001E3E87" w:rsidRDefault="005258B2">
      <w:r>
        <w:br w:type="page"/>
      </w:r>
    </w:p>
    <w:p w14:paraId="51BE6A35"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37 — COMMENTAIRE D’ARRÊT</w:t>
      </w:r>
    </w:p>
    <w:p w14:paraId="10FD5138" w14:textId="77777777" w:rsidR="001E3E87" w:rsidRDefault="005258B2">
      <w:pPr>
        <w:spacing w:after="160"/>
      </w:pPr>
      <w:r>
        <w:rPr>
          <w:rFonts w:ascii="Calibri" w:eastAsia="Calibri" w:hAnsi="Calibri" w:cs="Calibri"/>
          <w:i/>
          <w:iCs/>
          <w:color w:val="5A5A5A"/>
          <w:sz w:val="18"/>
          <w:szCs w:val="18"/>
        </w:rPr>
        <w:t>Fiche n° 37 — La liberté d’expression  |  PARTIE VI. LES DROITS CIVILS ET POLITIQUES  |  Fascicule p. 391</w:t>
      </w:r>
    </w:p>
    <w:p w14:paraId="61217C47"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5CA98CB4" w14:textId="77777777" w:rsidR="001E3E87" w:rsidRDefault="005258B2">
      <w:pPr>
        <w:pBdr>
          <w:left w:val="single" w:sz="12" w:space="10" w:color="8C1C2B"/>
        </w:pBdr>
        <w:spacing w:after="90" w:line="264" w:lineRule="auto"/>
        <w:ind w:left="260"/>
        <w:jc w:val="both"/>
      </w:pPr>
      <w:r>
        <w:rPr>
          <w:rFonts w:ascii="Calibri" w:eastAsia="Calibri" w:hAnsi="Calibri" w:cs="Calibri"/>
          <w:color w:val="E91E63"/>
        </w:rPr>
        <w:t>Cass, ass. plén., 25 octobre 2019, no 17-86.605.</w:t>
      </w:r>
    </w:p>
    <w:p w14:paraId="6F87B838"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 […] Faits et procédure Selon l’arrêt attaqué (Paris, 20 septembre 2017), la chaîne de télévision France 2 a diffusé, le 7 janvier 2012, dans l’émission « On n’est pas couché », une séquence au cours de laquelle, à l’issue de l’interview de l’un des candidats à l’élection présidentielle, ont été montrées des affiches, publiées trois jours auparavant par le journal “Charlie Hebdo”, concernant ces candidats.</w:t>
      </w:r>
    </w:p>
    <w:p w14:paraId="44B32C96"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2. L’une de ces affiches représentait un excrément fumant surmonté de la mention “C…, la candidate qui vous</w:t>
      </w:r>
    </w:p>
    <w:p w14:paraId="28C25414"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ressemble”. 3. Mme C… a déposé plainte avec constitution de partie civile en soutenant que cette comparaison constituait, à son égard, l’infraction d’injure publique envers un particulier.</w:t>
      </w:r>
    </w:p>
    <w:p w14:paraId="42205816"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4. Renvoyé devant le tribunal correctionnel du chef de complicité de cette infraction, M. I…, animateur de</w:t>
      </w:r>
    </w:p>
    <w:p w14:paraId="6DE00F25"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l’émission, a été relaxé. Seule la partie civile a interjeté appel. Énoncé du moyen</w:t>
      </w:r>
    </w:p>
    <w:p w14:paraId="47B1DF66"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5. Mme C… fait grief à l’arrêt de confirmer le jugement ayant rejeté ses demandes, alors que :</w:t>
      </w:r>
    </w:p>
    <w:p w14:paraId="0DD4278C"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“1°/ toute injure au sens de l’</w:t>
      </w:r>
      <w:r>
        <w:rPr>
          <w:rFonts w:ascii="Calibri" w:eastAsia="Calibri" w:hAnsi="Calibri" w:cs="Calibri"/>
          <w:color w:val="1E88E5"/>
        </w:rPr>
        <w:t>article 29</w:t>
      </w:r>
      <w:r>
        <w:rPr>
          <w:rFonts w:ascii="Calibri" w:eastAsia="Calibri" w:hAnsi="Calibri" w:cs="Calibri"/>
          <w:color w:val="1A1A1A"/>
        </w:rPr>
        <w:t>, alinéa 2, de la loi du 29 juillet 1881 sur la liberté de la presse constitue une atteinte à la dignité de la personne visée et qu’en l’espèce, la cour d’appel n’avait pas à rechercher si, au- delà du caractère injurieux de l’affiche incriminée qu’elle admettait comme établi, était également caractérisée une atteinte à la dignité de la partie civile, 2°/ en toute hypothèse, l’affiche incriminée porte atteinte à la dignité de la partie civile en l’associant à un excrément, même si cette affiche s’inscrit dans une forme d’humour satirique volontiers scatologique, n’utilise pas l’image de la partie civile et renvoie tant à celle-ci qu’à son électorat, et dépasse donc les limites admissibles de la liberté d’expression, 3°/ l’injure est présumée faite avec une intention coupable et que si cette présomption peut céder devant la preuve contraire, celle-ci ne saurait résulter en l’espèce de ce que M… I… s’est contenté d’exhiber, dans le cadre de la séquence d’une émission polémique, l’affiche litigieuse en précisant son origine et en donnant un avertissement sur son caractère satirique, ces éléments n’étant nullement de nature à démontrer qu’il n’avait pas conscience que cette affiche était injurieuse à l’égard de A… C…” Réponse de la Cour</w:t>
      </w:r>
    </w:p>
    <w:p w14:paraId="1EFDD105"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6. La liberté d’expression constitue l’un des fondements essentiels d’une société démocratique.</w:t>
      </w:r>
    </w:p>
    <w:p w14:paraId="0A487846"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7. Elle ne peut être soumise à des ingérences que dans les cas où celles-ci constituent des mesures nécessaires</w:t>
      </w:r>
    </w:p>
    <w:p w14:paraId="193AC589"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au regard de l’</w:t>
      </w:r>
      <w:r>
        <w:rPr>
          <w:rFonts w:ascii="Calibri" w:eastAsia="Calibri" w:hAnsi="Calibri" w:cs="Calibri"/>
          <w:color w:val="1E88E5"/>
        </w:rPr>
        <w:t>article 10</w:t>
      </w:r>
      <w:r>
        <w:rPr>
          <w:rFonts w:ascii="Calibri" w:eastAsia="Calibri" w:hAnsi="Calibri" w:cs="Calibri"/>
          <w:color w:val="1A1A1A"/>
        </w:rPr>
        <w:t xml:space="preserve">, § 2, de la </w:t>
      </w:r>
      <w:r>
        <w:rPr>
          <w:rFonts w:ascii="Calibri" w:eastAsia="Calibri" w:hAnsi="Calibri" w:cs="Calibri"/>
          <w:color w:val="1E88E5"/>
        </w:rPr>
        <w:t>Convention de sauvegarde des droits de l’homme et des libertés fondamentales</w:t>
      </w:r>
      <w:r>
        <w:rPr>
          <w:rFonts w:ascii="Calibri" w:eastAsia="Calibri" w:hAnsi="Calibri" w:cs="Calibri"/>
          <w:color w:val="1A1A1A"/>
        </w:rPr>
        <w:t xml:space="preserve">. 8. La restriction qu’apportent à la liberté d’expression les </w:t>
      </w:r>
      <w:r>
        <w:rPr>
          <w:rFonts w:ascii="Calibri" w:eastAsia="Calibri" w:hAnsi="Calibri" w:cs="Calibri"/>
          <w:color w:val="1E88E5"/>
        </w:rPr>
        <w:t>articles 29</w:t>
      </w:r>
      <w:r>
        <w:rPr>
          <w:rFonts w:ascii="Calibri" w:eastAsia="Calibri" w:hAnsi="Calibri" w:cs="Calibri"/>
          <w:color w:val="1A1A1A"/>
        </w:rPr>
        <w:t>, alinéa 2, et 33 de la loi du 29 juillet 1881, qui prévoient et répriment l’injure, peut donc être justifiée si elle poursuit l’un des buts énumérés à l’</w:t>
      </w:r>
      <w:r>
        <w:rPr>
          <w:rFonts w:ascii="Calibri" w:eastAsia="Calibri" w:hAnsi="Calibri" w:cs="Calibri"/>
          <w:color w:val="1E88E5"/>
        </w:rPr>
        <w:t>article 10</w:t>
      </w:r>
      <w:r>
        <w:rPr>
          <w:rFonts w:ascii="Calibri" w:eastAsia="Calibri" w:hAnsi="Calibri" w:cs="Calibri"/>
          <w:color w:val="1A1A1A"/>
        </w:rPr>
        <w:t>, § 2, de cette Convention.</w:t>
      </w:r>
    </w:p>
    <w:p w14:paraId="7EB8E3C5"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9. Parmi ces buts, figure la protection de la réputation ou des droits d’autrui.</w:t>
      </w:r>
    </w:p>
    <w:p w14:paraId="1606F5F4"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10. Il résulte de la jurisprudence de la Cour européenne des droits de l’homme que la réputation d’une</w:t>
      </w:r>
    </w:p>
    <w:p w14:paraId="24164F02"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personne, même lorsque celle-ci est critiquée au cours d’un débat public, fait partie de son identité personnelle et de son intégrité morale et, dès lors, relève de sa vie privée au sens de l’</w:t>
      </w:r>
      <w:r>
        <w:rPr>
          <w:rFonts w:ascii="Calibri" w:eastAsia="Calibri" w:hAnsi="Calibri" w:cs="Calibri"/>
          <w:color w:val="1E88E5"/>
        </w:rPr>
        <w:t>article 8</w:t>
      </w:r>
      <w:r>
        <w:rPr>
          <w:rFonts w:ascii="Calibri" w:eastAsia="Calibri" w:hAnsi="Calibri" w:cs="Calibri"/>
          <w:color w:val="1A1A1A"/>
        </w:rPr>
        <w:t xml:space="preserve"> de la </w:t>
      </w:r>
      <w:r>
        <w:rPr>
          <w:rFonts w:ascii="Calibri" w:eastAsia="Calibri" w:hAnsi="Calibri" w:cs="Calibri"/>
          <w:color w:val="1E88E5"/>
        </w:rPr>
        <w:t>Convention de sauvegarde des droits de l’homme et des libertés fondamentales</w:t>
      </w:r>
      <w:r>
        <w:rPr>
          <w:rFonts w:ascii="Calibri" w:eastAsia="Calibri" w:hAnsi="Calibri" w:cs="Calibri"/>
          <w:color w:val="1A1A1A"/>
        </w:rPr>
        <w:t xml:space="preserve"> (</w:t>
      </w:r>
      <w:r>
        <w:rPr>
          <w:rFonts w:ascii="Calibri" w:eastAsia="Calibri" w:hAnsi="Calibri" w:cs="Calibri"/>
          <w:color w:val="E91E63"/>
        </w:rPr>
        <w:t>CEDH, arrêt du 15 novembre 2007, Pfeifer c. Autriche, no 12556/03</w:t>
      </w:r>
      <w:r>
        <w:rPr>
          <w:rFonts w:ascii="Calibri" w:eastAsia="Calibri" w:hAnsi="Calibri" w:cs="Calibri"/>
          <w:color w:val="1A1A1A"/>
        </w:rPr>
        <w:t>). 11. Le droit au respect de la vie privée et le droit à la liberté d’expression ayant la même valeur normative, il appartient au juge saisi de rechercher, en cas de conflit, un juste équilibre entre ces deux droits.</w:t>
      </w:r>
    </w:p>
    <w:p w14:paraId="06E1D081"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12. La dignité de la personne humaine ne figure pas, en tant que telle, au nombre des buts légitimes énumérés</w:t>
      </w:r>
    </w:p>
    <w:p w14:paraId="20089100"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à l’</w:t>
      </w:r>
      <w:r>
        <w:rPr>
          <w:rFonts w:ascii="Calibri" w:eastAsia="Calibri" w:hAnsi="Calibri" w:cs="Calibri"/>
          <w:color w:val="1E88E5"/>
        </w:rPr>
        <w:t>article 10</w:t>
      </w:r>
      <w:r>
        <w:rPr>
          <w:rFonts w:ascii="Calibri" w:eastAsia="Calibri" w:hAnsi="Calibri" w:cs="Calibri"/>
          <w:color w:val="1A1A1A"/>
        </w:rPr>
        <w:t xml:space="preserve">, § 2, de la </w:t>
      </w:r>
      <w:r>
        <w:rPr>
          <w:rFonts w:ascii="Calibri" w:eastAsia="Calibri" w:hAnsi="Calibri" w:cs="Calibri"/>
          <w:color w:val="1E88E5"/>
        </w:rPr>
        <w:t>Convention de sauvegarde des droits de l’homme et des libertés fondamentales</w:t>
      </w:r>
      <w:r>
        <w:rPr>
          <w:rFonts w:ascii="Calibri" w:eastAsia="Calibri" w:hAnsi="Calibri" w:cs="Calibri"/>
          <w:color w:val="1A1A1A"/>
        </w:rPr>
        <w:t>.</w:t>
      </w:r>
    </w:p>
    <w:p w14:paraId="03AF5FF5"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13. Si elle est de l’essence de la Convention (</w:t>
      </w:r>
      <w:r>
        <w:rPr>
          <w:rFonts w:ascii="Calibri" w:eastAsia="Calibri" w:hAnsi="Calibri" w:cs="Calibri"/>
          <w:color w:val="E91E63"/>
        </w:rPr>
        <w:t>CEDH, 22 novembre 1995, S.W. c. Royaume-Uni, no 20166/92</w:t>
      </w:r>
      <w:r>
        <w:rPr>
          <w:rFonts w:ascii="Calibri" w:eastAsia="Calibri" w:hAnsi="Calibri" w:cs="Calibri"/>
          <w:color w:val="1A1A1A"/>
        </w:rPr>
        <w:t>), elle</w:t>
      </w:r>
    </w:p>
    <w:p w14:paraId="7A00DAE5"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ne saurait être érigée en fondement autonome des restrictions à la liberté d’expression. 14. Dès lors, pour déterminer si la publication litigieuse peut être incriminée, il suffit de rechercher si elle est constitutive d’un abus dans l’exercice du droit à la liberté d’expression.</w:t>
      </w:r>
    </w:p>
    <w:p w14:paraId="0DDA796E"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15. La première branche du moyen est donc inopérante.</w:t>
      </w:r>
    </w:p>
    <w:p w14:paraId="11713C91"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16. L’exigence de proportionnalité implique de rechercher si, au regard des circonstances particulières de</w:t>
      </w:r>
    </w:p>
    <w:p w14:paraId="402D44B7"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lastRenderedPageBreak/>
        <w:t>l’affaire, la publication litigieuse dépasse les limites admissibles de la liberté d’expression. 17. En l’absence de dépassement de ces limites, et alors même que l’injure est caractérisée en tous ses éléments constitutifs, les faits objet de la poursuite ne peuvent donner lieu à des réparations civiles. 18. En l’espèce, l’arrêt retient que l’affiche, qui a été publiée dans un journal revendiquant le droit à l’humour et à la satire, comporte une appréciation du positionnement politique de Mme C… à l’occasion de l’élection présidentielle et a été montrée par M. I… avec d’autres affiches parodiant chacun des candidats à l’élection présidentielle, dans la séquence d’une émission polémique s’apparentant à une revue de presse, mention étant expressément faite que ces affiches émanent d’un journal satirique et présentent elles-mêmes un caractère polémique.</w:t>
      </w:r>
    </w:p>
    <w:p w14:paraId="23B2099B"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19. La cour d’appel, qui a exactement apprécié le sens et la portée de cette affiche à la lumière des éléments</w:t>
      </w:r>
    </w:p>
    <w:p w14:paraId="00275315"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extrinsèques qu’elle a souverainement analysés, en a déduit, à bon droit, que la publication litigieuse ne dépassait pas les limites admissibles de la liberté d’expression.</w:t>
      </w:r>
    </w:p>
    <w:p w14:paraId="7FAB02F3"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20. La deuxième branche du moyen n’est donc pas fondée.</w:t>
      </w:r>
    </w:p>
    <w:p w14:paraId="5E9D1891"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21. L’arrêt étant légalement justifié par la seule constatation de l’absence de dépassement des limites</w:t>
      </w:r>
    </w:p>
    <w:p w14:paraId="4BC4574E"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admissibles de la liberté d’expression, la troisième branche, qui critique des motifs surabondants, relatifs au renversement de la présomption d’intention coupable, est inopérante. PAR CES MOTIFS, la Cour : REJETTE le pourvoi ; DIT n’y avoir lieu à application de l’</w:t>
      </w:r>
      <w:r>
        <w:rPr>
          <w:rFonts w:ascii="Calibri" w:eastAsia="Calibri" w:hAnsi="Calibri" w:cs="Calibri"/>
          <w:color w:val="1E88E5"/>
        </w:rPr>
        <w:t>article 618-1</w:t>
      </w:r>
      <w:r>
        <w:rPr>
          <w:rFonts w:ascii="Calibri" w:eastAsia="Calibri" w:hAnsi="Calibri" w:cs="Calibri"/>
          <w:color w:val="1A1A1A"/>
        </w:rPr>
        <w:t xml:space="preserve"> du </w:t>
      </w:r>
      <w:r>
        <w:rPr>
          <w:rFonts w:ascii="Calibri" w:eastAsia="Calibri" w:hAnsi="Calibri" w:cs="Calibri"/>
          <w:color w:val="1E88E5"/>
        </w:rPr>
        <w:t>Code de procédure pénale</w:t>
      </w:r>
      <w:r>
        <w:rPr>
          <w:rFonts w:ascii="Calibri" w:eastAsia="Calibri" w:hAnsi="Calibri" w:cs="Calibri"/>
          <w:color w:val="1A1A1A"/>
        </w:rPr>
        <w:t xml:space="preserve"> ; Ainsi fait et jugé par la Cour de cassation, siégeant en assemblée plénière, et prononcé le vingt-cinq octobre deux mille dix-neuf. »</w:t>
      </w:r>
    </w:p>
    <w:p w14:paraId="46562301"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7189A4C4" w14:textId="77777777" w:rsidR="001E3E87" w:rsidRDefault="005258B2">
      <w:pPr>
        <w:spacing w:after="90" w:line="264" w:lineRule="auto"/>
        <w:jc w:val="both"/>
      </w:pPr>
      <w:r>
        <w:rPr>
          <w:rFonts w:ascii="Calibri" w:eastAsia="Calibri" w:hAnsi="Calibri" w:cs="Calibri"/>
          <w:color w:val="1A1A1A"/>
        </w:rPr>
        <w:t>L’arrêt se penche sur les limites de la liberté d’expression dans le cadre de la caractérisation d’une injure publique d’une candidate à l’élection présidentielle. La requérante dénonce le caractère attentatoire à sa dignité humaine en ce que son nom est associé à un excrément dépassant selon elle les limites de la critique admissible, la cour d’appel ayant considéré de son côté que l’affiche ne constituait pas un abus de la liberté d’expression. La Cour de cassation confirme le raisonnement de la cour d’appel en considérant que bien que l’injure soit caractérisée, celle-ci ne dépasse pas les limites de la critique admissible. L’arrêt est notable en ce qu’il permet à la Cour d’appliquer les dispositions européennes tout en clarifiant le lien entre liberté d’expression et dignité humaine, toutes deux au cœur du développement des droits humains, dans un arrêt qui constitue un revirement de jurisprudence sur le sujet.</w:t>
      </w:r>
    </w:p>
    <w:p w14:paraId="4882F760"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La Cour de cassation affirme le caractère essentiel de la liberté d’expression par un contrôle classique de proportionnalité (I) tout en opérant un revirement sur les fondements des limitations à la liberté d’expression précédemment admis (II).</w:t>
      </w:r>
    </w:p>
    <w:p w14:paraId="63590799" w14:textId="77777777" w:rsidR="001E3E87" w:rsidRDefault="005258B2">
      <w:pPr>
        <w:pStyle w:val="Titre3"/>
        <w:spacing w:before="190" w:after="80"/>
      </w:pPr>
      <w:r>
        <w:rPr>
          <w:rFonts w:ascii="Calibri" w:eastAsia="Calibri" w:hAnsi="Calibri" w:cs="Calibri"/>
          <w:b/>
          <w:bCs/>
          <w:i/>
          <w:iCs/>
          <w:color w:val="1A1A1A"/>
          <w:sz w:val="21"/>
          <w:szCs w:val="21"/>
        </w:rPr>
        <w:t>I. L’appréciation classique de la portée de la liberté d’expression</w:t>
      </w:r>
    </w:p>
    <w:p w14:paraId="69855DBC" w14:textId="77777777" w:rsidR="001E3E87" w:rsidRDefault="005258B2">
      <w:pPr>
        <w:pStyle w:val="Titre3"/>
        <w:spacing w:before="190" w:after="80"/>
      </w:pPr>
      <w:r>
        <w:rPr>
          <w:rFonts w:ascii="Calibri" w:eastAsia="Calibri" w:hAnsi="Calibri" w:cs="Calibri"/>
          <w:b/>
          <w:bCs/>
          <w:i/>
          <w:iCs/>
          <w:color w:val="1A1A1A"/>
          <w:sz w:val="21"/>
          <w:szCs w:val="21"/>
        </w:rPr>
        <w:t>A. Le rappel de la liberté d’expression comme droit essentiel à la vie démocratique</w:t>
      </w:r>
    </w:p>
    <w:p w14:paraId="3C69D761" w14:textId="77777777" w:rsidR="001E3E87" w:rsidRDefault="005258B2">
      <w:pPr>
        <w:spacing w:after="90" w:line="264" w:lineRule="auto"/>
        <w:jc w:val="both"/>
      </w:pPr>
      <w:r>
        <w:rPr>
          <w:rFonts w:ascii="Calibri" w:eastAsia="Calibri" w:hAnsi="Calibri" w:cs="Calibri"/>
          <w:color w:val="1A1A1A"/>
        </w:rPr>
        <w:t>La Cour rappelle le fondement essentiel de la liberté d’expression pour la société démocratique du fait de sa contribution au pluralisme, à la circulation des idées et au débat public qui correspondent aux éléments essentiels d’une société démocratique (</w:t>
      </w:r>
      <w:r>
        <w:rPr>
          <w:rFonts w:ascii="Calibri" w:eastAsia="Calibri" w:hAnsi="Calibri" w:cs="Calibri"/>
          <w:color w:val="E91E63"/>
        </w:rPr>
        <w:t>CEDH, 7 décembre 1976, Handyside c. Royaume-Uni, no 5493/72</w:t>
      </w:r>
      <w:r>
        <w:rPr>
          <w:rFonts w:ascii="Calibri" w:eastAsia="Calibri" w:hAnsi="Calibri" w:cs="Calibri"/>
          <w:color w:val="1A1A1A"/>
        </w:rPr>
        <w:t>). Sa protection est au cœur des instruments supranationaux (</w:t>
      </w:r>
      <w:r>
        <w:rPr>
          <w:rFonts w:ascii="Calibri" w:eastAsia="Calibri" w:hAnsi="Calibri" w:cs="Calibri"/>
          <w:color w:val="1E88E5"/>
        </w:rPr>
        <w:t>art. 19</w:t>
      </w:r>
      <w:r>
        <w:rPr>
          <w:rFonts w:ascii="Calibri" w:eastAsia="Calibri" w:hAnsi="Calibri" w:cs="Calibri"/>
          <w:color w:val="1A1A1A"/>
        </w:rPr>
        <w:t xml:space="preserve"> </w:t>
      </w:r>
      <w:r>
        <w:rPr>
          <w:rFonts w:ascii="Calibri" w:eastAsia="Calibri" w:hAnsi="Calibri" w:cs="Calibri"/>
          <w:color w:val="1E88E5"/>
        </w:rPr>
        <w:t>DUDH</w:t>
      </w:r>
      <w:r>
        <w:rPr>
          <w:rFonts w:ascii="Calibri" w:eastAsia="Calibri" w:hAnsi="Calibri" w:cs="Calibri"/>
          <w:color w:val="1A1A1A"/>
        </w:rPr>
        <w:t xml:space="preserve"> et </w:t>
      </w:r>
      <w:r>
        <w:rPr>
          <w:rFonts w:ascii="Calibri" w:eastAsia="Calibri" w:hAnsi="Calibri" w:cs="Calibri"/>
          <w:color w:val="1E88E5"/>
        </w:rPr>
        <w:t>PIDCP</w:t>
      </w:r>
      <w:r>
        <w:rPr>
          <w:rFonts w:ascii="Calibri" w:eastAsia="Calibri" w:hAnsi="Calibri" w:cs="Calibri"/>
          <w:color w:val="1A1A1A"/>
        </w:rPr>
        <w:t xml:space="preserve">, </w:t>
      </w:r>
      <w:r>
        <w:rPr>
          <w:rFonts w:ascii="Calibri" w:eastAsia="Calibri" w:hAnsi="Calibri" w:cs="Calibri"/>
          <w:color w:val="1E88E5"/>
        </w:rPr>
        <w:t>art. 10</w:t>
      </w:r>
      <w:r>
        <w:rPr>
          <w:rFonts w:ascii="Calibri" w:eastAsia="Calibri" w:hAnsi="Calibri" w:cs="Calibri"/>
          <w:color w:val="1A1A1A"/>
        </w:rPr>
        <w:t xml:space="preserve"> </w:t>
      </w:r>
      <w:r>
        <w:rPr>
          <w:rFonts w:ascii="Calibri" w:eastAsia="Calibri" w:hAnsi="Calibri" w:cs="Calibri"/>
          <w:color w:val="1E88E5"/>
        </w:rPr>
        <w:t>CESDH</w:t>
      </w:r>
      <w:r>
        <w:rPr>
          <w:rFonts w:ascii="Calibri" w:eastAsia="Calibri" w:hAnsi="Calibri" w:cs="Calibri"/>
          <w:color w:val="1A1A1A"/>
        </w:rPr>
        <w:t>). Ce droit est par ailleurs consacré au plus haut niveau de l’ordre normatif interne (</w:t>
      </w:r>
      <w:r>
        <w:rPr>
          <w:rFonts w:ascii="Calibri" w:eastAsia="Calibri" w:hAnsi="Calibri" w:cs="Calibri"/>
          <w:color w:val="E91E63"/>
        </w:rPr>
        <w:t xml:space="preserve">Cons. const., déc. no 84-181 </w:t>
      </w:r>
      <w:r>
        <w:rPr>
          <w:rFonts w:ascii="Calibri" w:eastAsia="Calibri" w:hAnsi="Calibri" w:cs="Calibri"/>
          <w:color w:val="1A1A1A"/>
        </w:rPr>
        <w:t>DC, 11 octobre 1984, Loi visant à limiter la concentration et à assurer la transparence financière et le pluralisme des entreprises de presse). Le pluralisme favorisé par la liberté d’expression est lui-même considéré comme un objectif à valeur constitutionnelle (</w:t>
      </w:r>
      <w:r>
        <w:rPr>
          <w:rFonts w:ascii="Calibri" w:eastAsia="Calibri" w:hAnsi="Calibri" w:cs="Calibri"/>
          <w:color w:val="E91E63"/>
        </w:rPr>
        <w:t xml:space="preserve">Cons. const. déc. no 86-217 </w:t>
      </w:r>
      <w:r>
        <w:rPr>
          <w:rFonts w:ascii="Calibri" w:eastAsia="Calibri" w:hAnsi="Calibri" w:cs="Calibri"/>
          <w:color w:val="1A1A1A"/>
        </w:rPr>
        <w:t xml:space="preserve">DC, 18 décembre 1986, Loi relative à la liberté de communication). Le Comité des droits de l’homme mentionne également son caractère essentiel dans une démocratie comme « pierre angulaire » (déc. 12 juillet 1996, </w:t>
      </w:r>
      <w:proofErr w:type="spellStart"/>
      <w:r>
        <w:rPr>
          <w:rFonts w:ascii="Calibri" w:eastAsia="Calibri" w:hAnsi="Calibri" w:cs="Calibri"/>
          <w:color w:val="1A1A1A"/>
        </w:rPr>
        <w:t>Adimo</w:t>
      </w:r>
      <w:proofErr w:type="spellEnd"/>
      <w:r>
        <w:rPr>
          <w:rFonts w:ascii="Calibri" w:eastAsia="Calibri" w:hAnsi="Calibri" w:cs="Calibri"/>
          <w:color w:val="1A1A1A"/>
        </w:rPr>
        <w:t xml:space="preserve"> M. </w:t>
      </w:r>
      <w:proofErr w:type="spellStart"/>
      <w:r>
        <w:rPr>
          <w:rFonts w:ascii="Calibri" w:eastAsia="Calibri" w:hAnsi="Calibri" w:cs="Calibri"/>
          <w:color w:val="1A1A1A"/>
        </w:rPr>
        <w:t>Aduayom</w:t>
      </w:r>
      <w:proofErr w:type="spellEnd"/>
      <w:r>
        <w:rPr>
          <w:rFonts w:ascii="Calibri" w:eastAsia="Calibri" w:hAnsi="Calibri" w:cs="Calibri"/>
          <w:color w:val="1A1A1A"/>
        </w:rPr>
        <w:t xml:space="preserve"> et al. c. Togo, no 422 à 424/1990). La Cour de cassation rappelle ainsi tout d’abord cette place essentielle.</w:t>
      </w:r>
    </w:p>
    <w:p w14:paraId="43787529" w14:textId="77777777" w:rsidR="001E3E87" w:rsidRDefault="005258B2">
      <w:pPr>
        <w:pStyle w:val="Titre3"/>
        <w:spacing w:before="190" w:after="80"/>
      </w:pPr>
      <w:r>
        <w:rPr>
          <w:rFonts w:ascii="Calibri" w:eastAsia="Calibri" w:hAnsi="Calibri" w:cs="Calibri"/>
          <w:b/>
          <w:bCs/>
          <w:i/>
          <w:iCs/>
          <w:color w:val="1A1A1A"/>
          <w:sz w:val="21"/>
          <w:szCs w:val="21"/>
        </w:rPr>
        <w:t>B. Un contrôle de proportionnalité étendu</w:t>
      </w:r>
    </w:p>
    <w:p w14:paraId="7F338653" w14:textId="77777777" w:rsidR="001E3E87" w:rsidRDefault="005258B2">
      <w:pPr>
        <w:spacing w:after="90" w:line="264" w:lineRule="auto"/>
        <w:jc w:val="both"/>
      </w:pPr>
      <w:r>
        <w:rPr>
          <w:rFonts w:ascii="Calibri" w:eastAsia="Calibri" w:hAnsi="Calibri" w:cs="Calibri"/>
          <w:color w:val="1A1A1A"/>
        </w:rPr>
        <w:t>La Cour de cassation confirme son contrôle étendu concernant la liberté d’expression de la presse, montrant ainsi l’importance accordée à la protection de cette liberté, et selon une jurisprudence constante en en faisant un contrôle minutieux (Cass. civ. 11e, mars 2020, no B19-13.716). Elle réalise un contrôle de proportionnalité au sens de l’</w:t>
      </w:r>
      <w:r>
        <w:rPr>
          <w:rFonts w:ascii="Calibri" w:eastAsia="Calibri" w:hAnsi="Calibri" w:cs="Calibri"/>
          <w:color w:val="1E88E5"/>
        </w:rPr>
        <w:t>article 10 § 2</w:t>
      </w:r>
      <w:r>
        <w:rPr>
          <w:rFonts w:ascii="Calibri" w:eastAsia="Calibri" w:hAnsi="Calibri" w:cs="Calibri"/>
          <w:color w:val="1A1A1A"/>
        </w:rPr>
        <w:t xml:space="preserve"> de la Convention européenne et mentionné par le Conseil constitutionnel dans </w:t>
      </w:r>
      <w:r>
        <w:rPr>
          <w:rFonts w:ascii="Calibri" w:eastAsia="Calibri" w:hAnsi="Calibri" w:cs="Calibri"/>
          <w:color w:val="E91E63"/>
        </w:rPr>
        <w:t xml:space="preserve">Cons. const., déc. no 2012-647 </w:t>
      </w:r>
      <w:r>
        <w:rPr>
          <w:rFonts w:ascii="Calibri" w:eastAsia="Calibri" w:hAnsi="Calibri" w:cs="Calibri"/>
          <w:color w:val="1A1A1A"/>
        </w:rPr>
        <w:t xml:space="preserve">DC, 28 février 2012, Loi visant à réprimer la contestation de l’existence des génocides reconnus par la loi, indiquant également que les restrictions à la liberté d’expression doivent être nécessaires, adaptées et proportionnées à l’objectif poursuivi. Elle recherche donc les limites admissibles de la liberté d’expression face à la protection de la réputation et des droits </w:t>
      </w:r>
      <w:r>
        <w:rPr>
          <w:rFonts w:ascii="Calibri" w:eastAsia="Calibri" w:hAnsi="Calibri" w:cs="Calibri"/>
          <w:color w:val="1A1A1A"/>
        </w:rPr>
        <w:lastRenderedPageBreak/>
        <w:t>d’autrui par un contrôle de proportionnalité de ces deux droits de valeur égale. Dans ce cadre, des éléments traditionnels du contrôle sont mis en avant notamment le contexte « polémique » de l’émission et du journal, la référence au programme politique, le fait que les autres candidats à l’élection aient également fait l’objet de critiques du même ordre (</w:t>
      </w:r>
      <w:r>
        <w:rPr>
          <w:rFonts w:ascii="Calibri" w:eastAsia="Calibri" w:hAnsi="Calibri" w:cs="Calibri"/>
          <w:color w:val="E91E63"/>
        </w:rPr>
        <w:t xml:space="preserve">CEDH [GC], 7 février 2012, Von Hannover c. Allemagne (no 2), no 40660/08 </w:t>
      </w:r>
      <w:r>
        <w:rPr>
          <w:rFonts w:ascii="Calibri" w:eastAsia="Calibri" w:hAnsi="Calibri" w:cs="Calibri"/>
          <w:color w:val="1A1A1A"/>
        </w:rPr>
        <w:t xml:space="preserve">et 60641/08 et </w:t>
      </w:r>
      <w:r>
        <w:rPr>
          <w:rFonts w:ascii="Calibri" w:eastAsia="Calibri" w:hAnsi="Calibri" w:cs="Calibri"/>
          <w:color w:val="E91E63"/>
        </w:rPr>
        <w:t>CEDH [GC], 7 février 2012, Axel Springer AG c. Allemagne, no 39954/08</w:t>
      </w:r>
      <w:r>
        <w:rPr>
          <w:rFonts w:ascii="Calibri" w:eastAsia="Calibri" w:hAnsi="Calibri" w:cs="Calibri"/>
          <w:color w:val="1A1A1A"/>
        </w:rPr>
        <w:t>). Les exigences de la jurisprudence européenne sont conciliées avec la loi du 29 juillet 1881 : le contrôle de proportionnalité permet de justifier ou non l’ingérence et l’</w:t>
      </w:r>
      <w:r>
        <w:rPr>
          <w:rFonts w:ascii="Calibri" w:eastAsia="Calibri" w:hAnsi="Calibri" w:cs="Calibri"/>
          <w:color w:val="1E88E5"/>
        </w:rPr>
        <w:t>article 29</w:t>
      </w:r>
      <w:r>
        <w:rPr>
          <w:rFonts w:ascii="Calibri" w:eastAsia="Calibri" w:hAnsi="Calibri" w:cs="Calibri"/>
          <w:color w:val="1A1A1A"/>
        </w:rPr>
        <w:t xml:space="preserve"> de loi du 29 juillet 1881 et permet la réparation, mais cette réparation n’est plus une conséquence automatique de la caractérisation de l’injure, celle-ci devant outrepasser les limites de la critique admissible. Cela s’inscrit dans une série de modification ou réinterprétation de la loi du 29 juillet 1881.</w:t>
      </w:r>
    </w:p>
    <w:p w14:paraId="76B51596" w14:textId="77777777" w:rsidR="001E3E87" w:rsidRDefault="005258B2">
      <w:pPr>
        <w:pStyle w:val="Titre3"/>
        <w:spacing w:before="190" w:after="80"/>
      </w:pPr>
      <w:r>
        <w:rPr>
          <w:rFonts w:ascii="Calibri" w:eastAsia="Calibri" w:hAnsi="Calibri" w:cs="Calibri"/>
          <w:b/>
          <w:bCs/>
          <w:i/>
          <w:iCs/>
          <w:color w:val="1A1A1A"/>
          <w:sz w:val="21"/>
          <w:szCs w:val="21"/>
        </w:rPr>
        <w:t>II. Une protection paradoxale de la liberté d’expression</w:t>
      </w:r>
    </w:p>
    <w:p w14:paraId="1C0A09DD" w14:textId="77777777" w:rsidR="001E3E87" w:rsidRDefault="005258B2">
      <w:pPr>
        <w:pStyle w:val="Titre3"/>
        <w:spacing w:before="190" w:after="80"/>
      </w:pPr>
      <w:r>
        <w:rPr>
          <w:rFonts w:ascii="Calibri" w:eastAsia="Calibri" w:hAnsi="Calibri" w:cs="Calibri"/>
          <w:b/>
          <w:bCs/>
          <w:i/>
          <w:iCs/>
          <w:color w:val="1A1A1A"/>
          <w:sz w:val="21"/>
          <w:szCs w:val="21"/>
        </w:rPr>
        <w:t>A. La remise en question de la dignité comme fondement de la limitation de la liberté d’expression</w:t>
      </w:r>
    </w:p>
    <w:p w14:paraId="48292C31" w14:textId="77777777" w:rsidR="001E3E87" w:rsidRDefault="005258B2">
      <w:pPr>
        <w:spacing w:after="90" w:line="264" w:lineRule="auto"/>
        <w:jc w:val="both"/>
      </w:pPr>
      <w:r>
        <w:rPr>
          <w:rFonts w:ascii="Calibri" w:eastAsia="Calibri" w:hAnsi="Calibri" w:cs="Calibri"/>
          <w:color w:val="1A1A1A"/>
        </w:rPr>
        <w:t xml:space="preserve">La Cour fait une interprétation stricte des buts légitimes. Elle décline le moyen selon lequel la dignité humaine en ferait partie selon une interprétation stricte et formaliste des restrictions listées de manière exhaustive dans la </w:t>
      </w:r>
      <w:r>
        <w:rPr>
          <w:rFonts w:ascii="Calibri" w:eastAsia="Calibri" w:hAnsi="Calibri" w:cs="Calibri"/>
          <w:color w:val="1E88E5"/>
        </w:rPr>
        <w:t>Convention européenne des droits de l’homme</w:t>
      </w:r>
      <w:r>
        <w:rPr>
          <w:rFonts w:ascii="Calibri" w:eastAsia="Calibri" w:hAnsi="Calibri" w:cs="Calibri"/>
          <w:color w:val="1A1A1A"/>
        </w:rPr>
        <w:t xml:space="preserve">. Il s’agit ainsi d’un revirement de jurisprudence concernant l’utilisation de la dignité humaine (en l’espèce par l’injure) pour limiter la liberté d’expression. La dignité avait pu être utilisée auparavant comme fondement de la limitation de la liberté d’expression dans </w:t>
      </w:r>
      <w:r>
        <w:rPr>
          <w:rFonts w:ascii="Calibri" w:eastAsia="Calibri" w:hAnsi="Calibri" w:cs="Calibri"/>
          <w:color w:val="E91E63"/>
        </w:rPr>
        <w:t>Cass. civ., 20 décembre 2000, no 98-13.875</w:t>
      </w:r>
      <w:r>
        <w:rPr>
          <w:rFonts w:ascii="Calibri" w:eastAsia="Calibri" w:hAnsi="Calibri" w:cs="Calibri"/>
          <w:color w:val="1A1A1A"/>
        </w:rPr>
        <w:t xml:space="preserve">, mais également par le juge administratif dans </w:t>
      </w:r>
      <w:r>
        <w:rPr>
          <w:rFonts w:ascii="Calibri" w:eastAsia="Calibri" w:hAnsi="Calibri" w:cs="Calibri"/>
          <w:color w:val="E91E63"/>
        </w:rPr>
        <w:t xml:space="preserve">CE, réf. 9 janvier 2014, ministre de l’Intérieur c. Sté de Production La Plume, no 374508. </w:t>
      </w:r>
      <w:r>
        <w:rPr>
          <w:rFonts w:ascii="Calibri" w:eastAsia="Calibri" w:hAnsi="Calibri" w:cs="Calibri"/>
          <w:color w:val="1A1A1A"/>
        </w:rPr>
        <w:t xml:space="preserve">Le recours à la valeur de la dignité était cependant particulièrement malléable. Cet arrêt fait émerger un paradoxe selon lequel la dignité est au cœur des droits humains et en constitue un principe matriciel, mais l’atteinte à ce principe fondamental ne peut plus servir de fondement « autonome » pour la restriction de la liberté d’expression. Il s’agit ainsi d’une réaffirmation de l’importance de la liberté d’expression et de la jurisprudence </w:t>
      </w:r>
      <w:r>
        <w:rPr>
          <w:rFonts w:ascii="Calibri" w:eastAsia="Calibri" w:hAnsi="Calibri" w:cs="Calibri"/>
          <w:color w:val="E91E63"/>
        </w:rPr>
        <w:t>CEDH, 7 décembre 1976, Handyside c. Royaume-Uni, no 5493/72</w:t>
      </w:r>
      <w:r>
        <w:rPr>
          <w:rFonts w:ascii="Calibri" w:eastAsia="Calibri" w:hAnsi="Calibri" w:cs="Calibri"/>
          <w:color w:val="1A1A1A"/>
        </w:rPr>
        <w:t>, mais qui questionne sur le refus général de l’utilisation de la dignité comme but légitime de limitation.</w:t>
      </w:r>
    </w:p>
    <w:p w14:paraId="6E912386" w14:textId="77777777" w:rsidR="001E3E87" w:rsidRDefault="005258B2">
      <w:pPr>
        <w:pStyle w:val="Titre3"/>
        <w:spacing w:before="190" w:after="80"/>
      </w:pPr>
      <w:r>
        <w:rPr>
          <w:rFonts w:ascii="Calibri" w:eastAsia="Calibri" w:hAnsi="Calibri" w:cs="Calibri"/>
          <w:b/>
          <w:bCs/>
          <w:i/>
          <w:iCs/>
          <w:color w:val="1A1A1A"/>
          <w:sz w:val="21"/>
          <w:szCs w:val="21"/>
        </w:rPr>
        <w:t>B. Une liberté d’expression particulièrement protégée dans le cadre des élections nationales</w:t>
      </w:r>
    </w:p>
    <w:p w14:paraId="510CAFB5" w14:textId="77777777" w:rsidR="001E3E87" w:rsidRDefault="005258B2">
      <w:pPr>
        <w:spacing w:after="90" w:line="264" w:lineRule="auto"/>
        <w:jc w:val="both"/>
      </w:pPr>
      <w:r>
        <w:rPr>
          <w:rFonts w:ascii="Calibri" w:eastAsia="Calibri" w:hAnsi="Calibri" w:cs="Calibri"/>
          <w:color w:val="1A1A1A"/>
        </w:rPr>
        <w:t>L’analyse de la Cour s’insère dans un contexte très particulier correspondant aux élections présidentielles : L’arrêt fait le lien entre la liberté d’expression, le pluralisme et le droit à des élections libres, malgré le fait que la Cour de cassation ne mentionne pas l’intérêt public d’une telle expression, bien que cet élément soit déterminant pour le contrôle de proportionnalité. La Cour européenne des droits de l’homme reconnaît une large marge nationale d’appréciation dans le cadre des élections et du discours à visée politique, peu importe le support. L’art satyrique qui « vise naturellement à provoquer et à agiter » (</w:t>
      </w:r>
      <w:r>
        <w:rPr>
          <w:rFonts w:ascii="Calibri" w:eastAsia="Calibri" w:hAnsi="Calibri" w:cs="Calibri"/>
          <w:color w:val="E91E63"/>
        </w:rPr>
        <w:t>CEDH, 17 septembre 2013, Welsh et Silva Canha c. Portugal, no 16812/11</w:t>
      </w:r>
      <w:r>
        <w:rPr>
          <w:rFonts w:ascii="Calibri" w:eastAsia="Calibri" w:hAnsi="Calibri" w:cs="Calibri"/>
          <w:color w:val="1A1A1A"/>
        </w:rPr>
        <w:t>) et de manière générale, tout discours politique, particulièrement dans ces circonstances, sont alors particulièrement protégés (</w:t>
      </w:r>
      <w:r>
        <w:rPr>
          <w:rFonts w:ascii="Calibri" w:eastAsia="Calibri" w:hAnsi="Calibri" w:cs="Calibri"/>
          <w:color w:val="E91E63"/>
        </w:rPr>
        <w:t xml:space="preserve">CEDH, 24 mai 1988, Müller et a. c. Suisse, no 10737/84 </w:t>
      </w:r>
      <w:r>
        <w:rPr>
          <w:rFonts w:ascii="Calibri" w:eastAsia="Calibri" w:hAnsi="Calibri" w:cs="Calibri"/>
          <w:color w:val="1A1A1A"/>
        </w:rPr>
        <w:t xml:space="preserve">; </w:t>
      </w:r>
      <w:r>
        <w:rPr>
          <w:rFonts w:ascii="Calibri" w:eastAsia="Calibri" w:hAnsi="Calibri" w:cs="Calibri"/>
          <w:color w:val="E91E63"/>
        </w:rPr>
        <w:t>Cass. crim, 26 février 2020, no 19-81.827</w:t>
      </w:r>
      <w:r>
        <w:rPr>
          <w:rFonts w:ascii="Calibri" w:eastAsia="Calibri" w:hAnsi="Calibri" w:cs="Calibri"/>
          <w:color w:val="1A1A1A"/>
        </w:rPr>
        <w:t>), surtout dans le cadre particulièrement protecteur de la liberté de la presse (qu’elle soit sous forme de journal ou audiovisuelle).</w:t>
      </w:r>
    </w:p>
    <w:p w14:paraId="6EBD9F79" w14:textId="77777777" w:rsidR="001E3E87" w:rsidRDefault="005258B2">
      <w:pPr>
        <w:spacing w:after="90" w:line="264" w:lineRule="auto"/>
        <w:jc w:val="both"/>
      </w:pPr>
      <w:r>
        <w:rPr>
          <w:rFonts w:ascii="Calibri" w:eastAsia="Calibri" w:hAnsi="Calibri" w:cs="Calibri"/>
          <w:color w:val="1A1A1A"/>
        </w:rPr>
        <w:t>En conclusion, par cet arrêt, la Cour réaffirme le caractère fondamental de la liberté d’expression particulièrement lorsqu’elle contribue au débat d’idées, mais réalise à cette fin une interprétation paradoxale du lien entre cette liberté et la dignité humaine.</w:t>
      </w:r>
    </w:p>
    <w:p w14:paraId="7B9BD44C" w14:textId="77777777" w:rsidR="001E3E87" w:rsidRDefault="005258B2">
      <w:r>
        <w:br w:type="page"/>
      </w:r>
    </w:p>
    <w:p w14:paraId="242C64AB"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38 — COMMENTAIRE D’ARRÊT</w:t>
      </w:r>
    </w:p>
    <w:p w14:paraId="561EADBD" w14:textId="77777777" w:rsidR="001E3E87" w:rsidRDefault="005258B2">
      <w:pPr>
        <w:spacing w:after="160"/>
      </w:pPr>
      <w:r>
        <w:rPr>
          <w:rFonts w:ascii="Calibri" w:eastAsia="Calibri" w:hAnsi="Calibri" w:cs="Calibri"/>
          <w:i/>
          <w:iCs/>
          <w:color w:val="5A5A5A"/>
          <w:sz w:val="18"/>
          <w:szCs w:val="18"/>
        </w:rPr>
        <w:t>Fiche n° 38 — La liberté de réunion et de manifestation pacifique  |  PARTIE VI. LES DROITS CIVILS ET POLITIQUES  |  Fascicule p. 402</w:t>
      </w:r>
    </w:p>
    <w:p w14:paraId="71FC1FA5"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70570409" w14:textId="77777777" w:rsidR="001E3E87" w:rsidRDefault="005258B2">
      <w:pPr>
        <w:pBdr>
          <w:left w:val="single" w:sz="12" w:space="10" w:color="8C1C2B"/>
        </w:pBdr>
        <w:spacing w:after="90" w:line="264" w:lineRule="auto"/>
        <w:ind w:left="260"/>
        <w:jc w:val="both"/>
      </w:pPr>
      <w:r>
        <w:rPr>
          <w:rFonts w:ascii="Calibri" w:eastAsia="Calibri" w:hAnsi="Calibri" w:cs="Calibri"/>
          <w:color w:val="E91E63"/>
        </w:rPr>
        <w:t xml:space="preserve">CEDH, 16 janvier 2025, Bodson et a. c. Belgique, no 35834/22 </w:t>
      </w:r>
      <w:r>
        <w:rPr>
          <w:rFonts w:ascii="Calibri" w:eastAsia="Calibri" w:hAnsi="Calibri" w:cs="Calibri"/>
          <w:color w:val="1A1A1A"/>
        </w:rPr>
        <w:t>et a.</w:t>
      </w:r>
    </w:p>
    <w:p w14:paraId="5542BA4A"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7BF18DCF" w14:textId="77777777" w:rsidR="001E3E87" w:rsidRDefault="005258B2">
      <w:pPr>
        <w:spacing w:after="90" w:line="264" w:lineRule="auto"/>
        <w:jc w:val="both"/>
      </w:pPr>
      <w:r>
        <w:rPr>
          <w:rFonts w:ascii="Calibri" w:eastAsia="Calibri" w:hAnsi="Calibri" w:cs="Calibri"/>
          <w:color w:val="1A1A1A"/>
        </w:rPr>
        <w:t xml:space="preserve">La liberté de manifestation ne fait pas l’objet d’une consécration textuelle au sein de la Convention EDH. Ce texte protège toutefois cette liberté en son </w:t>
      </w:r>
      <w:r>
        <w:rPr>
          <w:rFonts w:ascii="Calibri" w:eastAsia="Calibri" w:hAnsi="Calibri" w:cs="Calibri"/>
          <w:color w:val="1E88E5"/>
        </w:rPr>
        <w:t>article 11</w:t>
      </w:r>
      <w:r>
        <w:rPr>
          <w:rFonts w:ascii="Calibri" w:eastAsia="Calibri" w:hAnsi="Calibri" w:cs="Calibri"/>
          <w:color w:val="1A1A1A"/>
        </w:rPr>
        <w:t xml:space="preserve"> sur le fondement de la liberté de réunion. Cette notion fait effectivement l’objet d’une définition autonome de la part de la Cour européenne des droits de l’homme. Elle protège ainsi les réunions publiques, mais également les manifestations dès lors qu’elles s’expriment pacifiquement. L’arrêt du 16 janvier 2025 porte en l’espèce sur la condamnation pénale de leaders syndicaux qui avaient participé à une manifestation au cours de laquelle un axe autoroutier avait été bloqué. Les juridictions belges avaient effectivement condamné les requérants pour entrave méchante à la circulation routière avec mise en danger de la vie d’autrui. Les requérants estiment avoir subi une atteinte injustifiée dans leur droit à la liberté de réunion garanti par l’</w:t>
      </w:r>
      <w:r>
        <w:rPr>
          <w:rFonts w:ascii="Calibri" w:eastAsia="Calibri" w:hAnsi="Calibri" w:cs="Calibri"/>
          <w:color w:val="1E88E5"/>
        </w:rPr>
        <w:t>article 11</w:t>
      </w:r>
      <w:r>
        <w:rPr>
          <w:rFonts w:ascii="Calibri" w:eastAsia="Calibri" w:hAnsi="Calibri" w:cs="Calibri"/>
          <w:color w:val="1A1A1A"/>
        </w:rPr>
        <w:t xml:space="preserve"> de la Convention. Un État commet-il une ingérence injustifiée lorsqu’il condamne pénalement des individus à une courte peine privative de liberté, car ces derniers avaient participé à une manifestation au cours de laquelle un blocage autoroutier avait été réalisé ? La Cour européenne des droits de l’homme a estimé que l’</w:t>
      </w:r>
      <w:r>
        <w:rPr>
          <w:rFonts w:ascii="Calibri" w:eastAsia="Calibri" w:hAnsi="Calibri" w:cs="Calibri"/>
          <w:color w:val="1E88E5"/>
        </w:rPr>
        <w:t>article 11</w:t>
      </w:r>
      <w:r>
        <w:rPr>
          <w:rFonts w:ascii="Calibri" w:eastAsia="Calibri" w:hAnsi="Calibri" w:cs="Calibri"/>
          <w:color w:val="1A1A1A"/>
        </w:rPr>
        <w:t xml:space="preserve"> était applicable en l’espèce, car la manifestation pouvait être qualifiée de pacifique en dépit des graves troubles à l’ordre public qu’elle avait engendré. Bien qu’étant une restriction à la liberté de réunion, la condamnation pénale prononcée à l’encontre des requérants ne constituait pas pour autant une ingérence injustifiée.</w:t>
      </w:r>
    </w:p>
    <w:p w14:paraId="7CDA31BC" w14:textId="77777777" w:rsidR="001E3E87" w:rsidRDefault="005258B2">
      <w:pPr>
        <w:spacing w:after="90" w:line="264" w:lineRule="auto"/>
        <w:jc w:val="both"/>
      </w:pPr>
      <w:r>
        <w:rPr>
          <w:rFonts w:ascii="Calibri" w:eastAsia="Calibri" w:hAnsi="Calibri" w:cs="Calibri"/>
          <w:b/>
          <w:bCs/>
          <w:color w:val="1A1A1A"/>
        </w:rPr>
        <w:t>Annonce du plan:</w:t>
      </w:r>
      <w:r>
        <w:rPr>
          <w:rFonts w:ascii="Calibri" w:eastAsia="Calibri" w:hAnsi="Calibri" w:cs="Calibri"/>
          <w:color w:val="1A1A1A"/>
        </w:rPr>
        <w:t xml:space="preserve"> La Cour européenne des droits de l’homme admet l’applicabilité de l’</w:t>
      </w:r>
      <w:r>
        <w:rPr>
          <w:rFonts w:ascii="Calibri" w:eastAsia="Calibri" w:hAnsi="Calibri" w:cs="Calibri"/>
          <w:color w:val="1E88E5"/>
        </w:rPr>
        <w:t>article 11</w:t>
      </w:r>
      <w:r>
        <w:rPr>
          <w:rFonts w:ascii="Calibri" w:eastAsia="Calibri" w:hAnsi="Calibri" w:cs="Calibri"/>
          <w:color w:val="1A1A1A"/>
        </w:rPr>
        <w:t xml:space="preserve"> de la Convention en constatant l’existence d’une réunion pacifique (I). Elle ne procède toutefois pas à un constat de violation. La Cour estime en effet que les sanctions prononcées à l’encontre des manifestants à l’issue de la manifestation ne constituaient pas une ingérence injustifiée (II).</w:t>
      </w:r>
    </w:p>
    <w:p w14:paraId="59B2FCF2" w14:textId="77777777" w:rsidR="001E3E87" w:rsidRDefault="005258B2">
      <w:pPr>
        <w:pStyle w:val="Titre3"/>
        <w:spacing w:before="190" w:after="80"/>
      </w:pPr>
      <w:r>
        <w:rPr>
          <w:rFonts w:ascii="Calibri" w:eastAsia="Calibri" w:hAnsi="Calibri" w:cs="Calibri"/>
          <w:b/>
          <w:bCs/>
          <w:i/>
          <w:iCs/>
          <w:color w:val="1A1A1A"/>
          <w:sz w:val="21"/>
          <w:szCs w:val="21"/>
        </w:rPr>
        <w:t>I. L’applicabilité de la liberté de réunion en cas de manifestations troublant l’ordre public</w:t>
      </w:r>
    </w:p>
    <w:p w14:paraId="429EAF4C" w14:textId="77777777" w:rsidR="001E3E87" w:rsidRDefault="005258B2">
      <w:pPr>
        <w:pStyle w:val="Titre3"/>
        <w:spacing w:before="190" w:after="80"/>
      </w:pPr>
      <w:r>
        <w:rPr>
          <w:rFonts w:ascii="Calibri" w:eastAsia="Calibri" w:hAnsi="Calibri" w:cs="Calibri"/>
          <w:b/>
          <w:bCs/>
          <w:i/>
          <w:iCs/>
          <w:color w:val="1A1A1A"/>
          <w:sz w:val="21"/>
          <w:szCs w:val="21"/>
        </w:rPr>
        <w:t>A. L’appréciation extensive de la notion de manifestation pacifique</w:t>
      </w:r>
    </w:p>
    <w:p w14:paraId="5CB7D937" w14:textId="77777777" w:rsidR="001E3E87" w:rsidRDefault="005258B2">
      <w:pPr>
        <w:spacing w:after="90" w:line="264" w:lineRule="auto"/>
        <w:jc w:val="both"/>
      </w:pPr>
      <w:r>
        <w:rPr>
          <w:rFonts w:ascii="Calibri" w:eastAsia="Calibri" w:hAnsi="Calibri" w:cs="Calibri"/>
          <w:color w:val="1A1A1A"/>
        </w:rPr>
        <w:t>La Cour ne protège classiquement les réunions que dans la mesure où elles sont pacifiques. Ce caractère revêt donc une importance cruciale pour les requérants, car il conditionne l’applicabilité du régime protecteur de l’</w:t>
      </w:r>
      <w:r>
        <w:rPr>
          <w:rFonts w:ascii="Calibri" w:eastAsia="Calibri" w:hAnsi="Calibri" w:cs="Calibri"/>
          <w:color w:val="1E88E5"/>
        </w:rPr>
        <w:t>article 11</w:t>
      </w:r>
      <w:r>
        <w:rPr>
          <w:rFonts w:ascii="Calibri" w:eastAsia="Calibri" w:hAnsi="Calibri" w:cs="Calibri"/>
          <w:color w:val="1A1A1A"/>
        </w:rPr>
        <w:t>. Cette notion est classiquement appréciée de manière large. La survenance de violences dans le cadre d’une manifestation n’a pas nécessairement pour effet d’ôter son caractère pacifique dès lors que le requérant n’a pas commis de violence (</w:t>
      </w:r>
      <w:r>
        <w:rPr>
          <w:rFonts w:ascii="Calibri" w:eastAsia="Calibri" w:hAnsi="Calibri" w:cs="Calibri"/>
          <w:color w:val="E91E63"/>
        </w:rPr>
        <w:t>CEDH, 26 avril 1991, Ezelin c. France, no 11800/85</w:t>
      </w:r>
      <w:r>
        <w:rPr>
          <w:rFonts w:ascii="Calibri" w:eastAsia="Calibri" w:hAnsi="Calibri" w:cs="Calibri"/>
          <w:color w:val="1A1A1A"/>
        </w:rPr>
        <w:t>). En l’espèce, aucune violence n’a véritablement été commise par les requérants et ce bien que leur comportement ait été susceptible de troubler gravement l’ordre public. La Cour a considéré en effet que l’</w:t>
      </w:r>
      <w:r>
        <w:rPr>
          <w:rFonts w:ascii="Calibri" w:eastAsia="Calibri" w:hAnsi="Calibri" w:cs="Calibri"/>
          <w:color w:val="1E88E5"/>
        </w:rPr>
        <w:t>article 11</w:t>
      </w:r>
      <w:r>
        <w:rPr>
          <w:rFonts w:ascii="Calibri" w:eastAsia="Calibri" w:hAnsi="Calibri" w:cs="Calibri"/>
          <w:color w:val="1A1A1A"/>
        </w:rPr>
        <w:t xml:space="preserve"> était applicable puisqu’ils n’avaient pas eu d’intention violente et qu’ils n’avaient pas non plus été condamnés pour violence par les juridictions internes. Cette conception du caractère pacifique s’inscrit ainsi dans la droite ligne de sa jurisprudence antérieure qui avait déjà pris en considération les motifs ayant justifié en droit interne la condamnation de requérants (</w:t>
      </w:r>
      <w:r>
        <w:rPr>
          <w:rFonts w:ascii="Calibri" w:eastAsia="Calibri" w:hAnsi="Calibri" w:cs="Calibri"/>
          <w:color w:val="E91E63"/>
        </w:rPr>
        <w:t>CEDH, GC., 15 octobre 2015, Kudrevičius et a. c. Lituanie, no 37553/05</w:t>
      </w:r>
      <w:r>
        <w:rPr>
          <w:rFonts w:ascii="Calibri" w:eastAsia="Calibri" w:hAnsi="Calibri" w:cs="Calibri"/>
          <w:color w:val="1A1A1A"/>
        </w:rPr>
        <w:t>).</w:t>
      </w:r>
    </w:p>
    <w:p w14:paraId="1414EE52" w14:textId="77777777" w:rsidR="001E3E87" w:rsidRDefault="005258B2">
      <w:pPr>
        <w:pStyle w:val="Titre3"/>
        <w:spacing w:before="190" w:after="80"/>
      </w:pPr>
      <w:r>
        <w:rPr>
          <w:rFonts w:ascii="Calibri" w:eastAsia="Calibri" w:hAnsi="Calibri" w:cs="Calibri"/>
          <w:b/>
          <w:bCs/>
          <w:i/>
          <w:iCs/>
          <w:color w:val="1A1A1A"/>
          <w:sz w:val="21"/>
          <w:szCs w:val="21"/>
        </w:rPr>
        <w:t>B. Le constat prévisible d’une atteinte à la liberté de réunion</w:t>
      </w:r>
    </w:p>
    <w:p w14:paraId="02078361" w14:textId="77777777" w:rsidR="001E3E87" w:rsidRDefault="005258B2">
      <w:pPr>
        <w:spacing w:after="90" w:line="264" w:lineRule="auto"/>
        <w:jc w:val="both"/>
      </w:pPr>
      <w:r>
        <w:rPr>
          <w:rFonts w:ascii="Calibri" w:eastAsia="Calibri" w:hAnsi="Calibri" w:cs="Calibri"/>
          <w:color w:val="1A1A1A"/>
        </w:rPr>
        <w:t>Selon la Cour, toute mesure de nature à restreindre la liberté de réunion peut s’analyser comme une ingérence. Il n’est pas nécessaire que la liberté de réunion soit totalement annihilée. Ainsi, des sanctions pénales visant les manifestants après le déroulement de la manifestation constituent une atteinte à la liberté de réunion (</w:t>
      </w:r>
      <w:r>
        <w:rPr>
          <w:rFonts w:ascii="Calibri" w:eastAsia="Calibri" w:hAnsi="Calibri" w:cs="Calibri"/>
          <w:color w:val="E91E63"/>
        </w:rPr>
        <w:t>CEDH, 24 octobre 2024, Eckert c. France, no 56270/21</w:t>
      </w:r>
      <w:r>
        <w:rPr>
          <w:rFonts w:ascii="Calibri" w:eastAsia="Calibri" w:hAnsi="Calibri" w:cs="Calibri"/>
          <w:color w:val="1A1A1A"/>
        </w:rPr>
        <w:t>). Le constat de l’existence d’une ingérence dans la liberté de réunion en l’espèce était donc prévisible puisque les sanctions pénales, y compris lorsqu’elles sont prononcées à l’issue d’une manifestation, peuvent avoir un effet dissuasif pour les manifestants.</w:t>
      </w:r>
    </w:p>
    <w:p w14:paraId="7547CD91" w14:textId="77777777" w:rsidR="001E3E87" w:rsidRDefault="005258B2">
      <w:pPr>
        <w:pStyle w:val="Titre3"/>
        <w:spacing w:before="190" w:after="80"/>
      </w:pPr>
      <w:r>
        <w:rPr>
          <w:rFonts w:ascii="Calibri" w:eastAsia="Calibri" w:hAnsi="Calibri" w:cs="Calibri"/>
          <w:b/>
          <w:bCs/>
          <w:i/>
          <w:iCs/>
          <w:color w:val="1A1A1A"/>
          <w:sz w:val="21"/>
          <w:szCs w:val="21"/>
        </w:rPr>
        <w:t>II. L’absence d’ingérence injustifiée dans la liberté de réunion</w:t>
      </w:r>
    </w:p>
    <w:p w14:paraId="5EA62FC2" w14:textId="77777777" w:rsidR="001E3E87" w:rsidRDefault="005258B2">
      <w:pPr>
        <w:pStyle w:val="Titre3"/>
        <w:spacing w:before="190" w:after="80"/>
      </w:pPr>
      <w:r>
        <w:rPr>
          <w:rFonts w:ascii="Calibri" w:eastAsia="Calibri" w:hAnsi="Calibri" w:cs="Calibri"/>
          <w:b/>
          <w:bCs/>
          <w:i/>
          <w:iCs/>
          <w:color w:val="1A1A1A"/>
          <w:sz w:val="21"/>
          <w:szCs w:val="21"/>
        </w:rPr>
        <w:t>A. L’abaissement du seuil de contrôle de la mesure pour des motifs tenant aux requérants</w:t>
      </w:r>
    </w:p>
    <w:p w14:paraId="28830E74" w14:textId="77777777" w:rsidR="001E3E87" w:rsidRDefault="005258B2">
      <w:pPr>
        <w:spacing w:after="90" w:line="264" w:lineRule="auto"/>
        <w:jc w:val="both"/>
      </w:pPr>
      <w:r>
        <w:rPr>
          <w:rFonts w:ascii="Calibri" w:eastAsia="Calibri" w:hAnsi="Calibri" w:cs="Calibri"/>
          <w:color w:val="1A1A1A"/>
        </w:rPr>
        <w:t xml:space="preserve">Si la Cour a considéré que la manifestation pouvait être qualifiée de pacifique, cela ne signifie toutefois pas que le comportement des requérants a été sans effets sur leur liberté de réunion. La Cour prend en effet en considération les potentiels troubles à l’ordre public causés par les manifestants, leur gravité ainsi que le lien entre celle-ci et leurs </w:t>
      </w:r>
      <w:r>
        <w:rPr>
          <w:rFonts w:ascii="Calibri" w:eastAsia="Calibri" w:hAnsi="Calibri" w:cs="Calibri"/>
          <w:color w:val="1A1A1A"/>
        </w:rPr>
        <w:lastRenderedPageBreak/>
        <w:t>contestations afin d’apprécier la proportionnalité de l’ingérence de l’État. La Cour avait en effet par le passé estimé que les perturbations intentionnelles causées par une manifestation pouvaient être répréhensibles et donc justifier des sanctions de la part de l’État dès lors qu’elles dépassaient un certain seuil (</w:t>
      </w:r>
      <w:r>
        <w:rPr>
          <w:rFonts w:ascii="Calibri" w:eastAsia="Calibri" w:hAnsi="Calibri" w:cs="Calibri"/>
          <w:color w:val="E91E63"/>
        </w:rPr>
        <w:t>CEDH, GC., 15 octobre 2015, Kudrevičius et a. c. Lituanie, no 37553/05</w:t>
      </w:r>
      <w:r>
        <w:rPr>
          <w:rFonts w:ascii="Calibri" w:eastAsia="Calibri" w:hAnsi="Calibri" w:cs="Calibri"/>
          <w:color w:val="1A1A1A"/>
        </w:rPr>
        <w:t>). En l’espèce, le blocage routier n’avait aucun lien avec leurs contestations qui pouvaient être exprimées autrement. En prenant en considération le comportement des auteurs, la Cour abaisse en l’espèce le seuil des exigences pesant sur l’État au titre de l’</w:t>
      </w:r>
      <w:r>
        <w:rPr>
          <w:rFonts w:ascii="Calibri" w:eastAsia="Calibri" w:hAnsi="Calibri" w:cs="Calibri"/>
          <w:color w:val="1E88E5"/>
        </w:rPr>
        <w:t>article 11</w:t>
      </w:r>
      <w:r>
        <w:rPr>
          <w:rFonts w:ascii="Calibri" w:eastAsia="Calibri" w:hAnsi="Calibri" w:cs="Calibri"/>
          <w:color w:val="1A1A1A"/>
        </w:rPr>
        <w:t xml:space="preserve"> de la Convention permettant de considérer que les mesures s’avéraient en l’espèce justifiées.</w:t>
      </w:r>
    </w:p>
    <w:p w14:paraId="46CE3DF9" w14:textId="77777777" w:rsidR="001E3E87" w:rsidRDefault="005258B2">
      <w:pPr>
        <w:pStyle w:val="Titre3"/>
        <w:spacing w:before="190" w:after="80"/>
      </w:pPr>
      <w:r>
        <w:rPr>
          <w:rFonts w:ascii="Calibri" w:eastAsia="Calibri" w:hAnsi="Calibri" w:cs="Calibri"/>
          <w:b/>
          <w:bCs/>
          <w:i/>
          <w:iCs/>
          <w:color w:val="1A1A1A"/>
          <w:sz w:val="21"/>
          <w:szCs w:val="21"/>
        </w:rPr>
        <w:t>B. Le constat d’une ingérence nécessaire au sein d’une société démocratique</w:t>
      </w:r>
    </w:p>
    <w:p w14:paraId="712C5E62" w14:textId="77777777" w:rsidR="001E3E87" w:rsidRDefault="005258B2">
      <w:pPr>
        <w:spacing w:after="90" w:line="264" w:lineRule="auto"/>
        <w:jc w:val="both"/>
      </w:pPr>
      <w:r>
        <w:rPr>
          <w:rFonts w:ascii="Calibri" w:eastAsia="Calibri" w:hAnsi="Calibri" w:cs="Calibri"/>
          <w:color w:val="1A1A1A"/>
        </w:rPr>
        <w:t>La Cour estime en l’espèce que l’ingérence commise par les autorités belges avait été nécessaire au sein d’une société démocratique. Par le passé, la Cour avait admis la conventionnalité d’amendes d’un faible montant infligées après la tenue d’une manifestation à des participants et ce, car cette dernière avait été interdite et avait fait naître des risques de troubles à l’ordre public (</w:t>
      </w:r>
      <w:r>
        <w:rPr>
          <w:rFonts w:ascii="Calibri" w:eastAsia="Calibri" w:hAnsi="Calibri" w:cs="Calibri"/>
          <w:color w:val="E91E63"/>
        </w:rPr>
        <w:t>CEDH, 24 octobre 2024, Eckert c. France, no 56270/21</w:t>
      </w:r>
      <w:r>
        <w:rPr>
          <w:rFonts w:ascii="Calibri" w:eastAsia="Calibri" w:hAnsi="Calibri" w:cs="Calibri"/>
          <w:color w:val="1A1A1A"/>
        </w:rPr>
        <w:t>). Les sanctions prononcées en l’espèce étaient toutefois d’une certaine importance puisqu’elles étaient constitutives de peines privatives de liberté. Les autorités semblent cependant avoir souhaité garantir l’exercice de la liberté de réunion des requérants malgré l’absence d’autorisation préalable de la manifestation et des graves troubles à l’ordre public causés. Les autorités belges ont ainsi privilégié les mesures les plus douces telles que la négociation et l’intervention en cas de heurts sans avoir recours à la force ou à la dispersion de la manifestation. Il n’en demeure pas moins que les peines de prison, même de courte durée, ont été prononcées à l’encontre des requérants alors qu’ils n’avaient pas commis de violences En conclusion, il persiste des incohérences. En effet, la réunion est considérée comme étant pacifique tout en estimant que le comportement des requérants qui portait gravement atteinte à l’ordre public pouvait justifier des peines privatives de liberté.</w:t>
      </w:r>
    </w:p>
    <w:p w14:paraId="4E2DC924" w14:textId="77777777" w:rsidR="001E3E87" w:rsidRDefault="005258B2">
      <w:r>
        <w:br w:type="page"/>
      </w:r>
    </w:p>
    <w:p w14:paraId="4D8A475D"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39 — ARGUMENTATION JURIDIQUE</w:t>
      </w:r>
    </w:p>
    <w:p w14:paraId="4CE09A18" w14:textId="77777777" w:rsidR="001E3E87" w:rsidRDefault="005258B2">
      <w:pPr>
        <w:spacing w:after="160"/>
      </w:pPr>
      <w:r>
        <w:rPr>
          <w:rFonts w:ascii="Calibri" w:eastAsia="Calibri" w:hAnsi="Calibri" w:cs="Calibri"/>
          <w:i/>
          <w:iCs/>
          <w:color w:val="5A5A5A"/>
          <w:sz w:val="18"/>
          <w:szCs w:val="18"/>
        </w:rPr>
        <w:t>Fiche n° 39 — La liberté d’association  |  PARTIE VI. LES DROITS CIVILS ET POLITIQUES  |  Fascicule p. 413</w:t>
      </w:r>
    </w:p>
    <w:p w14:paraId="5F84665B"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75579084"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Soutenez que la liberté d’association est un droit fondamental.</w:t>
      </w:r>
    </w:p>
    <w:p w14:paraId="3B500187"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07576F57" w14:textId="77777777" w:rsidR="001E3E87" w:rsidRDefault="005258B2">
      <w:pPr>
        <w:spacing w:after="90" w:line="264" w:lineRule="auto"/>
        <w:jc w:val="both"/>
      </w:pPr>
      <w:r>
        <w:rPr>
          <w:rFonts w:ascii="Calibri" w:eastAsia="Calibri" w:hAnsi="Calibri" w:cs="Calibri"/>
          <w:color w:val="1A1A1A"/>
        </w:rPr>
        <w:t>En France, il existe plus d’1,3 million d’associations. La plupart sont des associations déclarées et reconnues œuvrant dans des domaines très divers : culture, sport, éducation, social… La liberté d’association fait partie des droits fondamentaux piliers de nos démocraties modernes et ce droit est particulièrement scruté par la Cour européenne des droits de l’homme notamment pour le rôle primordial des partis politiques qui sont une forme d’association. La Cour européenne des droits de l’homme a ainsi confirmé à plusieurs reprises le rôle primordial que jouent les partis dans un régime démocratique bénéficiant de la liberté de réunion et d’association ainsi que de la liberté d’expression. Cette protection ne se limite pas aux partis politiques, mais à toutes les associations qui se répartissent en trois catégories :</w:t>
      </w:r>
    </w:p>
    <w:p w14:paraId="4057012C"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Les associations non déclarées : celles qui n’ont pas fait l’objet d’une déclaration auprès des services préfectoraux ; ce sont des associations qui n’ont pas de personnalité juridique.</w:t>
      </w:r>
    </w:p>
    <w:p w14:paraId="64D4C109"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Les associations déclarées : celles qui ont reçu un agrément préfectoral. Ce dernier est délivré par la Préfecture après envoi des statuts de l’association. L’existence de l’association est publique et elle dispose d’une personnalité juridique.</w:t>
      </w:r>
    </w:p>
    <w:p w14:paraId="50FE5E1F"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Les associations reconnues d’utilité publique : celles qui ont une pleine capacité juridique en contrepartie d’obligations envers les autorités publiques.</w:t>
      </w:r>
    </w:p>
    <w:p w14:paraId="496D9BA9"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Bien qu’absente dans le texte constitutionnel, la liberté d’association bénéficie d’une consécration jurisprudentielle (I), tout en étant encadrée législativement (II).</w:t>
      </w:r>
    </w:p>
    <w:p w14:paraId="0CF9786A" w14:textId="77777777" w:rsidR="001E3E87" w:rsidRDefault="005258B2">
      <w:pPr>
        <w:pStyle w:val="Titre3"/>
        <w:spacing w:before="190" w:after="80"/>
      </w:pPr>
      <w:r>
        <w:rPr>
          <w:rFonts w:ascii="Calibri" w:eastAsia="Calibri" w:hAnsi="Calibri" w:cs="Calibri"/>
          <w:b/>
          <w:bCs/>
          <w:i/>
          <w:iCs/>
          <w:color w:val="1A1A1A"/>
          <w:sz w:val="21"/>
          <w:szCs w:val="21"/>
        </w:rPr>
        <w:t>I. La consécration constitutionnelle de la liberté d’association</w:t>
      </w:r>
    </w:p>
    <w:p w14:paraId="598D4210" w14:textId="77777777" w:rsidR="001E3E87" w:rsidRDefault="005258B2">
      <w:pPr>
        <w:pStyle w:val="Titre3"/>
        <w:spacing w:before="190" w:after="80"/>
      </w:pPr>
      <w:r>
        <w:rPr>
          <w:rFonts w:ascii="Calibri" w:eastAsia="Calibri" w:hAnsi="Calibri" w:cs="Calibri"/>
          <w:b/>
          <w:bCs/>
          <w:i/>
          <w:iCs/>
          <w:color w:val="1A1A1A"/>
          <w:sz w:val="21"/>
          <w:szCs w:val="21"/>
        </w:rPr>
        <w:t>A. Le fruit d’une reconnaissance jurisprudentielle et conventionnelle.</w:t>
      </w:r>
    </w:p>
    <w:p w14:paraId="1B2C4B90" w14:textId="77777777" w:rsidR="001E3E87" w:rsidRDefault="005258B2">
      <w:pPr>
        <w:spacing w:after="90" w:line="264" w:lineRule="auto"/>
        <w:jc w:val="both"/>
      </w:pPr>
      <w:r>
        <w:rPr>
          <w:rFonts w:ascii="Calibri" w:eastAsia="Calibri" w:hAnsi="Calibri" w:cs="Calibri"/>
          <w:color w:val="1A1A1A"/>
        </w:rPr>
        <w:t xml:space="preserve">La liberté d’association n’est pas explicitement reconnue dans le texte de la </w:t>
      </w:r>
      <w:r>
        <w:rPr>
          <w:rFonts w:ascii="Calibri" w:eastAsia="Calibri" w:hAnsi="Calibri" w:cs="Calibri"/>
          <w:color w:val="1E88E5"/>
        </w:rPr>
        <w:t>Constitution de 1958</w:t>
      </w:r>
      <w:r>
        <w:rPr>
          <w:rFonts w:ascii="Calibri" w:eastAsia="Calibri" w:hAnsi="Calibri" w:cs="Calibri"/>
          <w:color w:val="1A1A1A"/>
        </w:rPr>
        <w:t>. Le Conseil d’État l’a érigé en principe fondamental reconnu par les lois de la République en 1956 (</w:t>
      </w:r>
      <w:r>
        <w:rPr>
          <w:rFonts w:ascii="Calibri" w:eastAsia="Calibri" w:hAnsi="Calibri" w:cs="Calibri"/>
          <w:color w:val="E91E63"/>
        </w:rPr>
        <w:t>CE, 11 juillet 1956, no 26638</w:t>
      </w:r>
      <w:r>
        <w:rPr>
          <w:rFonts w:ascii="Calibri" w:eastAsia="Calibri" w:hAnsi="Calibri" w:cs="Calibri"/>
          <w:color w:val="1A1A1A"/>
        </w:rPr>
        <w:t>, Amicale des Annamites de Paris). Puis en 1971, le Conseil constitutionnel consacre sa valeur constitutionnelle en tant que principe fondamental reconnu par les lois de la République (</w:t>
      </w:r>
      <w:r>
        <w:rPr>
          <w:rFonts w:ascii="Calibri" w:eastAsia="Calibri" w:hAnsi="Calibri" w:cs="Calibri"/>
          <w:color w:val="E91E63"/>
        </w:rPr>
        <w:t xml:space="preserve">Cons. const. déc. no 71-44 </w:t>
      </w:r>
      <w:r>
        <w:rPr>
          <w:rFonts w:ascii="Calibri" w:eastAsia="Calibri" w:hAnsi="Calibri" w:cs="Calibri"/>
          <w:color w:val="1A1A1A"/>
        </w:rPr>
        <w:t xml:space="preserve">DC, 16 juillet 1971, Loi complétant les dispositions des </w:t>
      </w:r>
      <w:r>
        <w:rPr>
          <w:rFonts w:ascii="Calibri" w:eastAsia="Calibri" w:hAnsi="Calibri" w:cs="Calibri"/>
          <w:color w:val="1E88E5"/>
        </w:rPr>
        <w:t>articles 5 et 7</w:t>
      </w:r>
      <w:r>
        <w:rPr>
          <w:rFonts w:ascii="Calibri" w:eastAsia="Calibri" w:hAnsi="Calibri" w:cs="Calibri"/>
          <w:color w:val="1A1A1A"/>
        </w:rPr>
        <w:t xml:space="preserve"> de la loi du 1er juillet 1901 relative au contrat d’association). La liberté d’association possède aussi une reconnaissance internationale et conventionnelle : </w:t>
      </w:r>
      <w:r>
        <w:rPr>
          <w:rFonts w:ascii="Calibri" w:eastAsia="Calibri" w:hAnsi="Calibri" w:cs="Calibri"/>
          <w:color w:val="1E88E5"/>
        </w:rPr>
        <w:t>article 20</w:t>
      </w:r>
      <w:r>
        <w:rPr>
          <w:rFonts w:ascii="Calibri" w:eastAsia="Calibri" w:hAnsi="Calibri" w:cs="Calibri"/>
          <w:color w:val="1A1A1A"/>
        </w:rPr>
        <w:t xml:space="preserve"> de la </w:t>
      </w:r>
      <w:r>
        <w:rPr>
          <w:rFonts w:ascii="Calibri" w:eastAsia="Calibri" w:hAnsi="Calibri" w:cs="Calibri"/>
          <w:color w:val="1E88E5"/>
        </w:rPr>
        <w:t>Déclaration Universelle des droits de l’homme</w:t>
      </w:r>
      <w:r>
        <w:rPr>
          <w:rFonts w:ascii="Calibri" w:eastAsia="Calibri" w:hAnsi="Calibri" w:cs="Calibri"/>
          <w:color w:val="1A1A1A"/>
        </w:rPr>
        <w:t xml:space="preserve">, </w:t>
      </w:r>
      <w:r>
        <w:rPr>
          <w:rFonts w:ascii="Calibri" w:eastAsia="Calibri" w:hAnsi="Calibri" w:cs="Calibri"/>
          <w:color w:val="1E88E5"/>
        </w:rPr>
        <w:t>article 22</w:t>
      </w:r>
      <w:r>
        <w:rPr>
          <w:rFonts w:ascii="Calibri" w:eastAsia="Calibri" w:hAnsi="Calibri" w:cs="Calibri"/>
          <w:color w:val="1A1A1A"/>
        </w:rPr>
        <w:t xml:space="preserve"> du </w:t>
      </w:r>
      <w:r>
        <w:rPr>
          <w:rFonts w:ascii="Calibri" w:eastAsia="Calibri" w:hAnsi="Calibri" w:cs="Calibri"/>
          <w:color w:val="1E88E5"/>
        </w:rPr>
        <w:t>Pacte international relatif aux droits civils et politiques</w:t>
      </w:r>
      <w:r>
        <w:rPr>
          <w:rFonts w:ascii="Calibri" w:eastAsia="Calibri" w:hAnsi="Calibri" w:cs="Calibri"/>
          <w:color w:val="1A1A1A"/>
        </w:rPr>
        <w:t xml:space="preserve">. Art. 11 </w:t>
      </w:r>
      <w:r>
        <w:rPr>
          <w:rFonts w:ascii="Calibri" w:eastAsia="Calibri" w:hAnsi="Calibri" w:cs="Calibri"/>
          <w:color w:val="1E88E5"/>
        </w:rPr>
        <w:t>CESDH</w:t>
      </w:r>
      <w:r>
        <w:rPr>
          <w:rFonts w:ascii="Calibri" w:eastAsia="Calibri" w:hAnsi="Calibri" w:cs="Calibri"/>
          <w:color w:val="1A1A1A"/>
        </w:rPr>
        <w:t xml:space="preserve"> / </w:t>
      </w:r>
      <w:r>
        <w:rPr>
          <w:rFonts w:ascii="Calibri" w:eastAsia="Calibri" w:hAnsi="Calibri" w:cs="Calibri"/>
          <w:color w:val="1E88E5"/>
        </w:rPr>
        <w:t>art. 12</w:t>
      </w:r>
      <w:r>
        <w:rPr>
          <w:rFonts w:ascii="Calibri" w:eastAsia="Calibri" w:hAnsi="Calibri" w:cs="Calibri"/>
          <w:color w:val="1A1A1A"/>
        </w:rPr>
        <w:t xml:space="preserve"> CDFUE. Cette reconnaissance conventionnelle entraîne donc un contentieux devant la Cour européenne des droits de l’homme qui veille au respect de la liberté d’association et notamment des partis politiques (</w:t>
      </w:r>
      <w:r>
        <w:rPr>
          <w:rFonts w:ascii="Calibri" w:eastAsia="Calibri" w:hAnsi="Calibri" w:cs="Calibri"/>
          <w:color w:val="E91E63"/>
        </w:rPr>
        <w:t xml:space="preserve">CEDH, 29 avril 1999, </w:t>
      </w:r>
      <w:proofErr w:type="spellStart"/>
      <w:r>
        <w:rPr>
          <w:rFonts w:ascii="Calibri" w:eastAsia="Calibri" w:hAnsi="Calibri" w:cs="Calibri"/>
          <w:color w:val="E91E63"/>
        </w:rPr>
        <w:t>Chassagnou</w:t>
      </w:r>
      <w:proofErr w:type="spellEnd"/>
      <w:r>
        <w:rPr>
          <w:rFonts w:ascii="Calibri" w:eastAsia="Calibri" w:hAnsi="Calibri" w:cs="Calibri"/>
          <w:color w:val="E91E63"/>
        </w:rPr>
        <w:t xml:space="preserve"> c. France, no 29515/95</w:t>
      </w:r>
      <w:r>
        <w:rPr>
          <w:rFonts w:ascii="Calibri" w:eastAsia="Calibri" w:hAnsi="Calibri" w:cs="Calibri"/>
          <w:color w:val="1A1A1A"/>
        </w:rPr>
        <w:t xml:space="preserve">, </w:t>
      </w:r>
      <w:r>
        <w:rPr>
          <w:rFonts w:ascii="Calibri" w:eastAsia="Calibri" w:hAnsi="Calibri" w:cs="Calibri"/>
          <w:color w:val="E91E63"/>
        </w:rPr>
        <w:t>CEDH 30 janvier 1998, PCU c. Turquie, no 19392/92</w:t>
      </w:r>
      <w:r>
        <w:rPr>
          <w:rFonts w:ascii="Calibri" w:eastAsia="Calibri" w:hAnsi="Calibri" w:cs="Calibri"/>
          <w:color w:val="1A1A1A"/>
        </w:rPr>
        <w:t>). Cette protection ne se limite pas aux partis politiques, elle concerne aussi toutes les associations (</w:t>
      </w:r>
      <w:r>
        <w:rPr>
          <w:rFonts w:ascii="Calibri" w:eastAsia="Calibri" w:hAnsi="Calibri" w:cs="Calibri"/>
          <w:color w:val="E91E63"/>
        </w:rPr>
        <w:t xml:space="preserve">CEDH, 17 février 2004, </w:t>
      </w:r>
      <w:proofErr w:type="spellStart"/>
      <w:r>
        <w:rPr>
          <w:rFonts w:ascii="Calibri" w:eastAsia="Calibri" w:hAnsi="Calibri" w:cs="Calibri"/>
          <w:color w:val="E91E63"/>
        </w:rPr>
        <w:t>Gorzelik</w:t>
      </w:r>
      <w:proofErr w:type="spellEnd"/>
      <w:r>
        <w:rPr>
          <w:rFonts w:ascii="Calibri" w:eastAsia="Calibri" w:hAnsi="Calibri" w:cs="Calibri"/>
          <w:color w:val="E91E63"/>
        </w:rPr>
        <w:t xml:space="preserve"> et a. c. Pologne, no 44158/98</w:t>
      </w:r>
      <w:r>
        <w:rPr>
          <w:rFonts w:ascii="Calibri" w:eastAsia="Calibri" w:hAnsi="Calibri" w:cs="Calibri"/>
          <w:color w:val="1A1A1A"/>
        </w:rPr>
        <w:t>).</w:t>
      </w:r>
    </w:p>
    <w:p w14:paraId="0D5B8E6F" w14:textId="77777777" w:rsidR="001E3E87" w:rsidRDefault="005258B2">
      <w:pPr>
        <w:pStyle w:val="Titre3"/>
        <w:spacing w:before="190" w:after="80"/>
      </w:pPr>
      <w:r>
        <w:rPr>
          <w:rFonts w:ascii="Calibri" w:eastAsia="Calibri" w:hAnsi="Calibri" w:cs="Calibri"/>
          <w:b/>
          <w:bCs/>
          <w:i/>
          <w:iCs/>
          <w:color w:val="1A1A1A"/>
          <w:sz w:val="21"/>
          <w:szCs w:val="21"/>
        </w:rPr>
        <w:t>B. Le régime juridique de la liberté d’association</w:t>
      </w:r>
    </w:p>
    <w:p w14:paraId="0C73F7DE" w14:textId="77777777" w:rsidR="001E3E87" w:rsidRDefault="005258B2">
      <w:pPr>
        <w:spacing w:after="90" w:line="264" w:lineRule="auto"/>
        <w:jc w:val="both"/>
      </w:pPr>
      <w:r>
        <w:rPr>
          <w:rFonts w:ascii="Calibri" w:eastAsia="Calibri" w:hAnsi="Calibri" w:cs="Calibri"/>
          <w:color w:val="1A1A1A"/>
        </w:rPr>
        <w:t>La liberté d’association repose sur un régime juridique très libre prévu par la loi. Cette liberté s’incarne dans la liberté individuelle d’adhérer ou de ne pas adhérer à une association et le droit de pouvoir en sortir (</w:t>
      </w:r>
      <w:r>
        <w:rPr>
          <w:rFonts w:ascii="Calibri" w:eastAsia="Calibri" w:hAnsi="Calibri" w:cs="Calibri"/>
          <w:color w:val="1E88E5"/>
        </w:rPr>
        <w:t>art. 11</w:t>
      </w:r>
      <w:r>
        <w:rPr>
          <w:rFonts w:ascii="Calibri" w:eastAsia="Calibri" w:hAnsi="Calibri" w:cs="Calibri"/>
          <w:color w:val="1A1A1A"/>
        </w:rPr>
        <w:t xml:space="preserve"> </w:t>
      </w:r>
      <w:r>
        <w:rPr>
          <w:rFonts w:ascii="Calibri" w:eastAsia="Calibri" w:hAnsi="Calibri" w:cs="Calibri"/>
          <w:color w:val="E91E63"/>
        </w:rPr>
        <w:t xml:space="preserve">CEDH, CEDH, 29 avril 1999 </w:t>
      </w:r>
      <w:proofErr w:type="spellStart"/>
      <w:r>
        <w:rPr>
          <w:rFonts w:ascii="Calibri" w:eastAsia="Calibri" w:hAnsi="Calibri" w:cs="Calibri"/>
          <w:color w:val="E91E63"/>
        </w:rPr>
        <w:t>Chassagnou</w:t>
      </w:r>
      <w:proofErr w:type="spellEnd"/>
      <w:r>
        <w:rPr>
          <w:rFonts w:ascii="Calibri" w:eastAsia="Calibri" w:hAnsi="Calibri" w:cs="Calibri"/>
          <w:color w:val="E91E63"/>
        </w:rPr>
        <w:t xml:space="preserve"> c. France, no 29515/95 </w:t>
      </w:r>
      <w:r>
        <w:rPr>
          <w:rFonts w:ascii="Calibri" w:eastAsia="Calibri" w:hAnsi="Calibri" w:cs="Calibri"/>
          <w:color w:val="1A1A1A"/>
        </w:rPr>
        <w:t xml:space="preserve">; </w:t>
      </w:r>
      <w:r>
        <w:rPr>
          <w:rFonts w:ascii="Calibri" w:eastAsia="Calibri" w:hAnsi="Calibri" w:cs="Calibri"/>
          <w:color w:val="E91E63"/>
        </w:rPr>
        <w:t>Cass. 9 février 2001, no 99-17.642</w:t>
      </w:r>
      <w:r>
        <w:rPr>
          <w:rFonts w:ascii="Calibri" w:eastAsia="Calibri" w:hAnsi="Calibri" w:cs="Calibri"/>
          <w:color w:val="1A1A1A"/>
        </w:rPr>
        <w:t>). Rares cas d’adhésion obligatoire à une association (assurances). On retrouve aussi le principe de libre constitution d’une association : simple déclaration en préfecture, censure de la loi prévoyant un contrôle administratif préalable (</w:t>
      </w:r>
      <w:r>
        <w:rPr>
          <w:rFonts w:ascii="Calibri" w:eastAsia="Calibri" w:hAnsi="Calibri" w:cs="Calibri"/>
          <w:color w:val="E91E63"/>
        </w:rPr>
        <w:t xml:space="preserve">Cons. const., déc. no 71-44 </w:t>
      </w:r>
      <w:r>
        <w:rPr>
          <w:rFonts w:ascii="Calibri" w:eastAsia="Calibri" w:hAnsi="Calibri" w:cs="Calibri"/>
          <w:color w:val="1A1A1A"/>
        </w:rPr>
        <w:t xml:space="preserve">DC, 16 juillet 1971, Loi complétant les dispositions des </w:t>
      </w:r>
      <w:r>
        <w:rPr>
          <w:rFonts w:ascii="Calibri" w:eastAsia="Calibri" w:hAnsi="Calibri" w:cs="Calibri"/>
          <w:color w:val="1E88E5"/>
        </w:rPr>
        <w:t>articles 5 et 7</w:t>
      </w:r>
      <w:r>
        <w:rPr>
          <w:rFonts w:ascii="Calibri" w:eastAsia="Calibri" w:hAnsi="Calibri" w:cs="Calibri"/>
          <w:color w:val="1A1A1A"/>
        </w:rPr>
        <w:t xml:space="preserve"> de la loi du 1er juillet 1901 relative au contrat d’association). Liberté contractuelle concernant l’objet de l’association et principe de libre fonctionnement de l’association. Chaque association peut avoir sa propre organisation et différents statuts. Enfin, toute association jouit du principe d’autonomie patrimoniale.</w:t>
      </w:r>
    </w:p>
    <w:p w14:paraId="57F8B452" w14:textId="77777777" w:rsidR="001E3E87" w:rsidRDefault="005258B2">
      <w:pPr>
        <w:pStyle w:val="Titre3"/>
        <w:spacing w:before="190" w:after="80"/>
      </w:pPr>
      <w:r>
        <w:rPr>
          <w:rFonts w:ascii="Calibri" w:eastAsia="Calibri" w:hAnsi="Calibri" w:cs="Calibri"/>
          <w:b/>
          <w:bCs/>
          <w:i/>
          <w:iCs/>
          <w:color w:val="1A1A1A"/>
          <w:sz w:val="21"/>
          <w:szCs w:val="21"/>
        </w:rPr>
        <w:t>II. L’encadrement de la liberté d’association</w:t>
      </w:r>
    </w:p>
    <w:p w14:paraId="7B2AA239" w14:textId="77777777" w:rsidR="001E3E87" w:rsidRDefault="005258B2">
      <w:pPr>
        <w:pStyle w:val="Titre3"/>
        <w:spacing w:before="190" w:after="80"/>
      </w:pPr>
      <w:r>
        <w:rPr>
          <w:rFonts w:ascii="Calibri" w:eastAsia="Calibri" w:hAnsi="Calibri" w:cs="Calibri"/>
          <w:b/>
          <w:bCs/>
          <w:i/>
          <w:iCs/>
          <w:color w:val="1A1A1A"/>
          <w:sz w:val="21"/>
          <w:szCs w:val="21"/>
        </w:rPr>
        <w:t>A. Les possibles restrictions à la liberté d’association</w:t>
      </w:r>
    </w:p>
    <w:p w14:paraId="2D9E6F40" w14:textId="77777777" w:rsidR="001E3E87" w:rsidRDefault="005258B2">
      <w:pPr>
        <w:spacing w:after="90" w:line="264" w:lineRule="auto"/>
        <w:jc w:val="both"/>
      </w:pPr>
      <w:r>
        <w:rPr>
          <w:rFonts w:ascii="Calibri" w:eastAsia="Calibri" w:hAnsi="Calibri" w:cs="Calibri"/>
          <w:color w:val="1A1A1A"/>
        </w:rPr>
        <w:lastRenderedPageBreak/>
        <w:t xml:space="preserve">Art. 3 de la loi de 1901 énonce les restrictions prévues de la liberté d’association : « Toute association fondée sur une cause ou en vue d’un objet illicite, contraire aux lois, aux bonnes mœurs, ou qui aurait pour but de porter atteinte à l’intégrité du territoire national et à la forme républicaine du gouvernement, est nulle et de nul effet. » Déclaration nulle et non avenue d’une association mettant en relation des personnes pour un accord de mère porteuse (Cass., civ., 13 décembre 1989, Association Alma Mater), ou encore une association ayant pour objet le rétablissement de la monarchie (CE, 4 avril 1936, Pujo, de Lassus et Réal Del </w:t>
      </w:r>
      <w:proofErr w:type="spellStart"/>
      <w:r>
        <w:rPr>
          <w:rFonts w:ascii="Calibri" w:eastAsia="Calibri" w:hAnsi="Calibri" w:cs="Calibri"/>
          <w:color w:val="1A1A1A"/>
        </w:rPr>
        <w:t>arte</w:t>
      </w:r>
      <w:proofErr w:type="spellEnd"/>
      <w:r>
        <w:rPr>
          <w:rFonts w:ascii="Calibri" w:eastAsia="Calibri" w:hAnsi="Calibri" w:cs="Calibri"/>
          <w:color w:val="1A1A1A"/>
        </w:rPr>
        <w:t>). Dissolution judiciaire : prononcée par la Cour de cassation à la demande du Procureur ou de toute personne intéressée quand l’association a été fondée sur une cause ou en vue d’un objet illicite. Dissolution administrative : prévue par la loi du 10 janvier 1936 permettant de mettre un terme aux activités de groupes de combat et de milices privées. Révision en 1972 pour pouvoir dissoudre les groupements incitant à la discrimination, à la haine ou à la violence, puis en 1986 pour les groupements à l’origine d’actes de terrorisme et en 2006 pour les associations et groupements à l’origine de violence aux abords des stades.</w:t>
      </w:r>
    </w:p>
    <w:p w14:paraId="321EBE8C" w14:textId="77777777" w:rsidR="001E3E87" w:rsidRDefault="005258B2">
      <w:pPr>
        <w:pStyle w:val="Titre3"/>
        <w:spacing w:before="190" w:after="80"/>
      </w:pPr>
      <w:r>
        <w:rPr>
          <w:rFonts w:ascii="Calibri" w:eastAsia="Calibri" w:hAnsi="Calibri" w:cs="Calibri"/>
          <w:b/>
          <w:bCs/>
          <w:i/>
          <w:iCs/>
          <w:color w:val="1A1A1A"/>
          <w:sz w:val="21"/>
          <w:szCs w:val="21"/>
        </w:rPr>
        <w:t>B. L’encadrement des restrictions par un contrôle du juge</w:t>
      </w:r>
    </w:p>
    <w:p w14:paraId="6080C199" w14:textId="77777777" w:rsidR="001E3E87" w:rsidRDefault="005258B2">
      <w:pPr>
        <w:spacing w:after="90" w:line="264" w:lineRule="auto"/>
        <w:jc w:val="both"/>
      </w:pPr>
      <w:r>
        <w:rPr>
          <w:rFonts w:ascii="Calibri" w:eastAsia="Calibri" w:hAnsi="Calibri" w:cs="Calibri"/>
          <w:color w:val="1A1A1A"/>
        </w:rPr>
        <w:t>La dissolution administrative est encadrée et contrôlée par le juge administratif afin d’éviter toute dissolution politique et d’assurer l’effectivité de cette liberté. La dissolution doit être justifiée par l’illicéité de l’objet associatif et la nécessité d’y mettre immédiatement un terme. Le Conseil d’État est compétent en premier ressort pour statuer sur les recours dirigés contre les décrets portant dissolution d’une association. Lorsque la dissolution ne présente pas un caractère adapté le Conseil d’État peut suspendre le décret portant dissolution du collectif (</w:t>
      </w:r>
      <w:r>
        <w:rPr>
          <w:rFonts w:ascii="Calibri" w:eastAsia="Calibri" w:hAnsi="Calibri" w:cs="Calibri"/>
          <w:color w:val="E91E63"/>
        </w:rPr>
        <w:t>CE, sect., 9 novembre 2023, no 436784</w:t>
      </w:r>
      <w:r>
        <w:rPr>
          <w:rFonts w:ascii="Calibri" w:eastAsia="Calibri" w:hAnsi="Calibri" w:cs="Calibri"/>
          <w:color w:val="1A1A1A"/>
        </w:rPr>
        <w:t>, « Les Soulèvements de la Terre). Quand le décret de dissolution est justifié, le Conseil d’État rejette les recours dirigés contre le décret de dissolution (</w:t>
      </w:r>
      <w:r>
        <w:rPr>
          <w:rFonts w:ascii="Calibri" w:eastAsia="Calibri" w:hAnsi="Calibri" w:cs="Calibri"/>
          <w:color w:val="E91E63"/>
        </w:rPr>
        <w:t>CE, sect., 9 novembre 2023, no 464412</w:t>
      </w:r>
      <w:r>
        <w:rPr>
          <w:rFonts w:ascii="Calibri" w:eastAsia="Calibri" w:hAnsi="Calibri" w:cs="Calibri"/>
          <w:color w:val="1A1A1A"/>
        </w:rPr>
        <w:t xml:space="preserve">, « Groupe Antifascistes Lyon et environ ; </w:t>
      </w:r>
      <w:r>
        <w:rPr>
          <w:rFonts w:ascii="Calibri" w:eastAsia="Calibri" w:hAnsi="Calibri" w:cs="Calibri"/>
          <w:color w:val="E91E63"/>
        </w:rPr>
        <w:t>CE, sect., 9 novembre 2023, no 459704</w:t>
      </w:r>
      <w:r>
        <w:rPr>
          <w:rFonts w:ascii="Calibri" w:eastAsia="Calibri" w:hAnsi="Calibri" w:cs="Calibri"/>
          <w:color w:val="1A1A1A"/>
        </w:rPr>
        <w:t xml:space="preserve">, « Coordination contre le racisme et l’islamophobie » ; </w:t>
      </w:r>
      <w:r>
        <w:rPr>
          <w:rFonts w:ascii="Calibri" w:eastAsia="Calibri" w:hAnsi="Calibri" w:cs="Calibri"/>
          <w:color w:val="E91E63"/>
        </w:rPr>
        <w:t xml:space="preserve">CE, sect., 9 novembre 2023, no 460457 </w:t>
      </w:r>
      <w:r>
        <w:rPr>
          <w:rFonts w:ascii="Calibri" w:eastAsia="Calibri" w:hAnsi="Calibri" w:cs="Calibri"/>
          <w:color w:val="1A1A1A"/>
        </w:rPr>
        <w:t>« L’Alvarium »).</w:t>
      </w:r>
    </w:p>
    <w:p w14:paraId="468FE206" w14:textId="77777777" w:rsidR="001E3E87" w:rsidRDefault="005258B2">
      <w:pPr>
        <w:spacing w:after="90" w:line="264" w:lineRule="auto"/>
        <w:jc w:val="both"/>
      </w:pPr>
      <w:r>
        <w:rPr>
          <w:rFonts w:ascii="Calibri" w:eastAsia="Calibri" w:hAnsi="Calibri" w:cs="Calibri"/>
          <w:color w:val="1A1A1A"/>
        </w:rPr>
        <w:t>En conclusion, la fondamentalité de la liberté d’association ne prête pas au doute. Forte de son assise conventionnelle, constitutionnelle et légale, elle permet aux personnes de se regrouper pour agir dans un but autre que celui de générer des bénéfices. Cette liberté vectrice de solidarité et de lien social dans certains domaines est donc protégée et encadrée pour assurer sa pleine effectivité.</w:t>
      </w:r>
    </w:p>
    <w:p w14:paraId="18DED90C" w14:textId="77777777" w:rsidR="001E3E87" w:rsidRDefault="005258B2">
      <w:r>
        <w:br w:type="page"/>
      </w:r>
    </w:p>
    <w:p w14:paraId="3839652C"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40 — COMMENTAIRE DE TEXTE</w:t>
      </w:r>
    </w:p>
    <w:p w14:paraId="0CEB0B39" w14:textId="77777777" w:rsidR="001E3E87" w:rsidRDefault="005258B2">
      <w:pPr>
        <w:spacing w:after="160"/>
      </w:pPr>
      <w:r>
        <w:rPr>
          <w:rFonts w:ascii="Calibri" w:eastAsia="Calibri" w:hAnsi="Calibri" w:cs="Calibri"/>
          <w:i/>
          <w:iCs/>
          <w:color w:val="5A5A5A"/>
          <w:sz w:val="18"/>
          <w:szCs w:val="18"/>
        </w:rPr>
        <w:t>Fiche n° 40 — La liberté d’aller et venir  |  PARTIE VI. LES DROITS CIVILS ET POLITIQUES  |  Fascicule p. 426</w:t>
      </w:r>
    </w:p>
    <w:p w14:paraId="301A5310"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7CF15FFB"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 xml:space="preserve">« Art. 2 du </w:t>
      </w:r>
      <w:r>
        <w:rPr>
          <w:rFonts w:ascii="Calibri" w:eastAsia="Calibri" w:hAnsi="Calibri" w:cs="Calibri"/>
          <w:color w:val="1E88E5"/>
        </w:rPr>
        <w:t>Protocole no 4</w:t>
      </w:r>
      <w:r>
        <w:rPr>
          <w:rFonts w:ascii="Calibri" w:eastAsia="Calibri" w:hAnsi="Calibri" w:cs="Calibri"/>
          <w:color w:val="1A1A1A"/>
        </w:rPr>
        <w:t xml:space="preserve"> </w:t>
      </w:r>
      <w:r>
        <w:rPr>
          <w:rFonts w:ascii="Calibri" w:eastAsia="Calibri" w:hAnsi="Calibri" w:cs="Calibri"/>
          <w:color w:val="1E88E5"/>
        </w:rPr>
        <w:t>CESDH</w:t>
      </w:r>
      <w:r>
        <w:rPr>
          <w:rFonts w:ascii="Calibri" w:eastAsia="Calibri" w:hAnsi="Calibri" w:cs="Calibri"/>
          <w:color w:val="1A1A1A"/>
        </w:rPr>
        <w:t xml:space="preserve"> – Liberté de circulation 1. Quiconque se trouve régulièrement sur le territoire d’un État a le droit d’y circuler librement et d’y choisir librement sa résidence.</w:t>
      </w:r>
    </w:p>
    <w:p w14:paraId="52FC11D9"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2. Toute personne est libre de quitter n’importe quel pays, y compris le sien.</w:t>
      </w:r>
    </w:p>
    <w:p w14:paraId="2B45A0CD"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3. L’exercice de ces droits ne peut faire l’objet d’autres restrictions que celles qui, prévues par la loi, constituent des mesures nécessaires, dans une société démocratique, à la sécurité nationale, à la sûreté publique, au maintien de l’ordre public, à la prévention des infractions pénales, à la protection de la santé ou de la morale, ou à la protection des droits et libertés d’autrui.</w:t>
      </w:r>
    </w:p>
    <w:p w14:paraId="2936B2B0"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4. Les droits reconnus au paragraphe 1 peuvent également, dans certaines zones déterminées, faire l’objet de</w:t>
      </w:r>
    </w:p>
    <w:p w14:paraId="3271D817"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restrictions qui, prévues par la loi, sont justifiées par l’intérêt public dans une société démocratique. »</w:t>
      </w:r>
    </w:p>
    <w:p w14:paraId="547BAF24"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27FAC82E" w14:textId="77777777" w:rsidR="001E3E87" w:rsidRDefault="005258B2">
      <w:pPr>
        <w:spacing w:after="90" w:line="264" w:lineRule="auto"/>
        <w:jc w:val="both"/>
      </w:pPr>
      <w:r>
        <w:rPr>
          <w:rFonts w:ascii="Calibri" w:eastAsia="Calibri" w:hAnsi="Calibri" w:cs="Calibri"/>
          <w:color w:val="1A1A1A"/>
        </w:rPr>
        <w:t>L’</w:t>
      </w:r>
      <w:r>
        <w:rPr>
          <w:rFonts w:ascii="Calibri" w:eastAsia="Calibri" w:hAnsi="Calibri" w:cs="Calibri"/>
          <w:color w:val="1E88E5"/>
        </w:rPr>
        <w:t>article 2</w:t>
      </w:r>
      <w:r>
        <w:rPr>
          <w:rFonts w:ascii="Calibri" w:eastAsia="Calibri" w:hAnsi="Calibri" w:cs="Calibri"/>
          <w:color w:val="1A1A1A"/>
        </w:rPr>
        <w:t xml:space="preserve"> du </w:t>
      </w:r>
      <w:r>
        <w:rPr>
          <w:rFonts w:ascii="Calibri" w:eastAsia="Calibri" w:hAnsi="Calibri" w:cs="Calibri"/>
          <w:color w:val="1E88E5"/>
        </w:rPr>
        <w:t>Protocole no 4</w:t>
      </w:r>
      <w:r>
        <w:rPr>
          <w:rFonts w:ascii="Calibri" w:eastAsia="Calibri" w:hAnsi="Calibri" w:cs="Calibri"/>
          <w:color w:val="1A1A1A"/>
        </w:rPr>
        <w:t xml:space="preserve"> à la </w:t>
      </w:r>
      <w:r>
        <w:rPr>
          <w:rFonts w:ascii="Calibri" w:eastAsia="Calibri" w:hAnsi="Calibri" w:cs="Calibri"/>
          <w:color w:val="1E88E5"/>
        </w:rPr>
        <w:t>Convention européenne des droits de l’homme</w:t>
      </w:r>
      <w:r>
        <w:rPr>
          <w:rFonts w:ascii="Calibri" w:eastAsia="Calibri" w:hAnsi="Calibri" w:cs="Calibri"/>
          <w:color w:val="1A1A1A"/>
        </w:rPr>
        <w:t xml:space="preserve"> consacre le droit fondamental de toute personne, se trouvant régulièrement sur le territoire d’un État, à circuler librement, à choisir librement sa résidence et à quitter tout pays, y compris le sien. Ce droit est cependant susceptible de limitations, à condition que celles-ci soient prévues par la loi, qu’elles répondent à des objectifs légitimes, et qu’elles soient nécessaires dans une société démocratique. L’</w:t>
      </w:r>
      <w:r>
        <w:rPr>
          <w:rFonts w:ascii="Calibri" w:eastAsia="Calibri" w:hAnsi="Calibri" w:cs="Calibri"/>
          <w:color w:val="1E88E5"/>
        </w:rPr>
        <w:t>article 2</w:t>
      </w:r>
      <w:r>
        <w:rPr>
          <w:rFonts w:ascii="Calibri" w:eastAsia="Calibri" w:hAnsi="Calibri" w:cs="Calibri"/>
          <w:color w:val="1A1A1A"/>
        </w:rPr>
        <w:t xml:space="preserve"> introduit un droit non prévu dans le texte originel. En effet, contrairement aux traités communautaires qui ont fait de la libre circulation un principe fondateur (notamment dans le cadre du marché commun), la Convention, centrée à l’époque sur les libertés civiles et politiques, était sur ce point jusqu’à l’adoption de ce protocole en 1963. Adopté dans le contexte de la guerre froide (1963) et destiné à garantir des libertés de déplacement parfois fortement limitées par les régimes autoritaires, cet article reste d’une grande actualité. Le contexte sécuritaire d’aujourd’hui marqué par la menace terroriste, les crises migratoires et les pandémies sanitaires (Covid-19), montre à quel point la liberté de circulation est susceptible d’être restreinte au nom d’intérêts collectifs, même dans les démocraties les plus avancées. La jurisprudence de la Cour européenne des droits de l’homme en a précisé la portée, en veillant à maintenir un équilibre entre les droits individuels et les impératifs d’intérêt général.</w:t>
      </w:r>
    </w:p>
    <w:p w14:paraId="5ADE46DB"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Comment l’</w:t>
      </w:r>
      <w:r>
        <w:rPr>
          <w:rFonts w:ascii="Calibri" w:eastAsia="Calibri" w:hAnsi="Calibri" w:cs="Calibri"/>
          <w:color w:val="1E88E5"/>
        </w:rPr>
        <w:t>article 2</w:t>
      </w:r>
      <w:r>
        <w:rPr>
          <w:rFonts w:ascii="Calibri" w:eastAsia="Calibri" w:hAnsi="Calibri" w:cs="Calibri"/>
          <w:color w:val="1A1A1A"/>
        </w:rPr>
        <w:t xml:space="preserve"> du </w:t>
      </w:r>
      <w:r>
        <w:rPr>
          <w:rFonts w:ascii="Calibri" w:eastAsia="Calibri" w:hAnsi="Calibri" w:cs="Calibri"/>
          <w:color w:val="1E88E5"/>
        </w:rPr>
        <w:t>Protocole no 4</w:t>
      </w:r>
      <w:r>
        <w:rPr>
          <w:rFonts w:ascii="Calibri" w:eastAsia="Calibri" w:hAnsi="Calibri" w:cs="Calibri"/>
          <w:color w:val="1A1A1A"/>
        </w:rPr>
        <w:t xml:space="preserve"> affirme-t-il la liberté de circulation tout en en encadrant strictement les limitations susceptibles d’y être apportées ? Le texte commenté consacre une liberté de circulation, et ses corollaires, aux personnes en séjour régulier (I), tout en l’assortissant de restrictions possibles, mais rigoureusement encadrées par des exigences légales et démocratiques (II).</w:t>
      </w:r>
    </w:p>
    <w:p w14:paraId="1C51179A" w14:textId="77777777" w:rsidR="001E3E87" w:rsidRDefault="005258B2">
      <w:pPr>
        <w:pStyle w:val="Titre3"/>
        <w:spacing w:before="190" w:after="80"/>
      </w:pPr>
      <w:r>
        <w:rPr>
          <w:rFonts w:ascii="Calibri" w:eastAsia="Calibri" w:hAnsi="Calibri" w:cs="Calibri"/>
          <w:b/>
          <w:bCs/>
          <w:i/>
          <w:iCs/>
          <w:color w:val="1A1A1A"/>
          <w:sz w:val="21"/>
          <w:szCs w:val="21"/>
        </w:rPr>
        <w:t>I. Une liberté de circulation affirmée mais conditionnée</w:t>
      </w:r>
    </w:p>
    <w:p w14:paraId="6E0332D4" w14:textId="77777777" w:rsidR="001E3E87" w:rsidRDefault="005258B2">
      <w:pPr>
        <w:spacing w:after="90" w:line="264" w:lineRule="auto"/>
        <w:jc w:val="both"/>
      </w:pPr>
      <w:r>
        <w:rPr>
          <w:rFonts w:ascii="Calibri" w:eastAsia="Calibri" w:hAnsi="Calibri" w:cs="Calibri"/>
          <w:color w:val="1A1A1A"/>
        </w:rPr>
        <w:t>L’</w:t>
      </w:r>
      <w:r>
        <w:rPr>
          <w:rFonts w:ascii="Calibri" w:eastAsia="Calibri" w:hAnsi="Calibri" w:cs="Calibri"/>
          <w:color w:val="1E88E5"/>
        </w:rPr>
        <w:t>article 2</w:t>
      </w:r>
      <w:r>
        <w:rPr>
          <w:rFonts w:ascii="Calibri" w:eastAsia="Calibri" w:hAnsi="Calibri" w:cs="Calibri"/>
          <w:color w:val="1A1A1A"/>
        </w:rPr>
        <w:t xml:space="preserve"> consacre la liberté de circulation, mais en limite le bénéfice aux personnes en séjour régulier, et garantit tant les déplacements internes que le droit de quitter le territoire.</w:t>
      </w:r>
    </w:p>
    <w:p w14:paraId="0BC1DE96" w14:textId="77777777" w:rsidR="001E3E87" w:rsidRDefault="005258B2">
      <w:pPr>
        <w:pStyle w:val="Titre3"/>
        <w:spacing w:before="190" w:after="80"/>
      </w:pPr>
      <w:r>
        <w:rPr>
          <w:rFonts w:ascii="Calibri" w:eastAsia="Calibri" w:hAnsi="Calibri" w:cs="Calibri"/>
          <w:b/>
          <w:bCs/>
          <w:i/>
          <w:iCs/>
          <w:color w:val="1A1A1A"/>
          <w:sz w:val="21"/>
          <w:szCs w:val="21"/>
        </w:rPr>
        <w:t>A. Condition préalable : la régularité du séjour</w:t>
      </w:r>
    </w:p>
    <w:p w14:paraId="2784E5CD" w14:textId="77777777" w:rsidR="001E3E87" w:rsidRDefault="005258B2">
      <w:pPr>
        <w:spacing w:after="90" w:line="264" w:lineRule="auto"/>
        <w:jc w:val="both"/>
      </w:pPr>
      <w:r>
        <w:rPr>
          <w:rFonts w:ascii="Calibri" w:eastAsia="Calibri" w:hAnsi="Calibri" w:cs="Calibri"/>
          <w:color w:val="1A1A1A"/>
        </w:rPr>
        <w:t>Le premier paragraphe de l’</w:t>
      </w:r>
      <w:r>
        <w:rPr>
          <w:rFonts w:ascii="Calibri" w:eastAsia="Calibri" w:hAnsi="Calibri" w:cs="Calibri"/>
          <w:color w:val="1E88E5"/>
        </w:rPr>
        <w:t>article 2</w:t>
      </w:r>
      <w:r>
        <w:rPr>
          <w:rFonts w:ascii="Calibri" w:eastAsia="Calibri" w:hAnsi="Calibri" w:cs="Calibri"/>
          <w:color w:val="1A1A1A"/>
        </w:rPr>
        <w:t xml:space="preserve"> précise que la liberté de circulation est garantie à toute personne se trouvant « régulièrement sur le territoire d’un État ». Cette condition est essentielle : la Cour européenne a rappelé qu’elle constitue une exigence préalable à l’application du droit à la libre circulation (CEDH, 8 février 2019, Balta c. France). Il convient de souligner que ce droit ne concerne pas uniquement les étrangers. Il bénéficie également aux ressortissants empêchés de circuler sur leur propre territoire (CEDH, 13 décembre 2005, Timishev c. Russie), ainsi qu’aux personnes ayant une double nationalité (CEDH, 23 mai 2006, Riener c. Bulgarie). Toutefois, la régularité du séjour est laissée à l’appréciation souveraine de l’État : il s’agit d’un domaine relevant de sa compétence exclusive, sur lequel le juge européen n’a pas vocation à interférer.</w:t>
      </w:r>
    </w:p>
    <w:p w14:paraId="3070C3FD" w14:textId="77777777" w:rsidR="001E3E87" w:rsidRDefault="005258B2">
      <w:pPr>
        <w:pStyle w:val="Titre3"/>
        <w:spacing w:before="190" w:after="80"/>
      </w:pPr>
      <w:r>
        <w:rPr>
          <w:rFonts w:ascii="Calibri" w:eastAsia="Calibri" w:hAnsi="Calibri" w:cs="Calibri"/>
          <w:b/>
          <w:bCs/>
          <w:i/>
          <w:iCs/>
          <w:color w:val="1A1A1A"/>
          <w:sz w:val="21"/>
          <w:szCs w:val="21"/>
        </w:rPr>
        <w:t>B. Des droits garantis à l’intérieur comme à l’extérieur des frontières</w:t>
      </w:r>
    </w:p>
    <w:p w14:paraId="711B8491" w14:textId="77777777" w:rsidR="001E3E87" w:rsidRDefault="005258B2">
      <w:pPr>
        <w:spacing w:after="90" w:line="264" w:lineRule="auto"/>
        <w:jc w:val="both"/>
      </w:pPr>
      <w:r>
        <w:rPr>
          <w:rFonts w:ascii="Calibri" w:eastAsia="Calibri" w:hAnsi="Calibri" w:cs="Calibri"/>
          <w:color w:val="1A1A1A"/>
        </w:rPr>
        <w:t>Le texte consacre une double liberté :</w:t>
      </w:r>
    </w:p>
    <w:p w14:paraId="47B9AFB4"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Liberté de circuler et de choisir sa résidence à l’intérieur du territoire (§ 1).</w:t>
      </w:r>
    </w:p>
    <w:p w14:paraId="39965DFD"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lastRenderedPageBreak/>
        <w:t>Liberté de quitter n’importe quel pays, y compris le sien (§ 2). La liberté de quitter le territoire implique nécessairement la faculté de se rendre dans un autre État, sous réserve d’en obtenir l’autorisation d’entrée (CEDH, 20 février 1995, Peltonen c. Finlande). Toute restriction imposée par l’État à l’une ou l’autre de ces libertés est soumise à un strict test de proportionnalité. Elle doit être nécessaire à la réalisation d’un objectif légitime dans une société démocratique (CEDH, 22 mai 2001, Baumann c. France). Ainsi, le retrait du passeport d’un individu pendant dix ans dans le cadre d’une procédure pénale a été jugé disproportionné (CEDH, 31 octobre 2006, Földes c. Hongrie).</w:t>
      </w:r>
    </w:p>
    <w:p w14:paraId="58A08555" w14:textId="77777777" w:rsidR="001E3E87" w:rsidRDefault="005258B2">
      <w:pPr>
        <w:pStyle w:val="Titre3"/>
        <w:spacing w:before="190" w:after="80"/>
      </w:pPr>
      <w:r>
        <w:rPr>
          <w:rFonts w:ascii="Calibri" w:eastAsia="Calibri" w:hAnsi="Calibri" w:cs="Calibri"/>
          <w:b/>
          <w:bCs/>
          <w:i/>
          <w:iCs/>
          <w:color w:val="1A1A1A"/>
          <w:sz w:val="21"/>
          <w:szCs w:val="21"/>
        </w:rPr>
        <w:t>II. Une liberté susceptible de restrictions justifiées</w:t>
      </w:r>
    </w:p>
    <w:p w14:paraId="2127E03A" w14:textId="77777777" w:rsidR="001E3E87" w:rsidRDefault="005258B2">
      <w:pPr>
        <w:spacing w:after="90" w:line="264" w:lineRule="auto"/>
        <w:jc w:val="both"/>
      </w:pPr>
      <w:r>
        <w:rPr>
          <w:rFonts w:ascii="Calibri" w:eastAsia="Calibri" w:hAnsi="Calibri" w:cs="Calibri"/>
          <w:color w:val="1A1A1A"/>
        </w:rPr>
        <w:t>Les paragraphes 3 et 4 prévoient une double limitation : si la première est habituelle (A), la seconde est plus singulière (B).</w:t>
      </w:r>
    </w:p>
    <w:p w14:paraId="11D1DC74" w14:textId="77777777" w:rsidR="001E3E87" w:rsidRDefault="005258B2">
      <w:pPr>
        <w:pStyle w:val="Titre3"/>
        <w:spacing w:before="190" w:after="80"/>
      </w:pPr>
      <w:r>
        <w:rPr>
          <w:rFonts w:ascii="Calibri" w:eastAsia="Calibri" w:hAnsi="Calibri" w:cs="Calibri"/>
          <w:b/>
          <w:bCs/>
          <w:i/>
          <w:iCs/>
          <w:color w:val="1A1A1A"/>
          <w:sz w:val="21"/>
          <w:szCs w:val="21"/>
        </w:rPr>
        <w:t>A. Des limitations classiques soumises à des exigences strictes</w:t>
      </w:r>
    </w:p>
    <w:p w14:paraId="3B02F747" w14:textId="77777777" w:rsidR="001E3E87" w:rsidRDefault="005258B2">
      <w:pPr>
        <w:spacing w:after="90" w:line="264" w:lineRule="auto"/>
        <w:jc w:val="both"/>
      </w:pPr>
      <w:r>
        <w:rPr>
          <w:rFonts w:ascii="Calibri" w:eastAsia="Calibri" w:hAnsi="Calibri" w:cs="Calibri"/>
          <w:color w:val="1A1A1A"/>
        </w:rPr>
        <w:t>Le paragraphe 3 énumère les motifs légitimes usuels : sécurité nationale, sûreté publique, maintien de l’ordre public, prévention des infractions pénales, protection de la santé ou de la morale, protection des droits et libertés d’autrui. Ces restrictions doivent être prévues par la loi, nécessaires et proportionnées. La Cour exerce à cet égard un contrôle exigeant, en particulier lorsque les limitations durent dans le temps ou qu’elles s’appliquent de manière automatique.</w:t>
      </w:r>
    </w:p>
    <w:p w14:paraId="7BD52DEA" w14:textId="77777777" w:rsidR="001E3E87" w:rsidRDefault="005258B2">
      <w:pPr>
        <w:pStyle w:val="Titre3"/>
        <w:spacing w:before="190" w:after="80"/>
      </w:pPr>
      <w:r>
        <w:rPr>
          <w:rFonts w:ascii="Calibri" w:eastAsia="Calibri" w:hAnsi="Calibri" w:cs="Calibri"/>
          <w:b/>
          <w:bCs/>
          <w:i/>
          <w:iCs/>
          <w:color w:val="1A1A1A"/>
          <w:sz w:val="21"/>
          <w:szCs w:val="21"/>
        </w:rPr>
        <w:t>B. Une restriction spécifique : les « zones déterminées »</w:t>
      </w:r>
    </w:p>
    <w:p w14:paraId="3C4F6304" w14:textId="77777777" w:rsidR="001E3E87" w:rsidRDefault="005258B2">
      <w:pPr>
        <w:spacing w:after="90" w:line="264" w:lineRule="auto"/>
        <w:jc w:val="both"/>
      </w:pPr>
      <w:r>
        <w:rPr>
          <w:rFonts w:ascii="Calibri" w:eastAsia="Calibri" w:hAnsi="Calibri" w:cs="Calibri"/>
          <w:color w:val="1A1A1A"/>
        </w:rPr>
        <w:t>Le paragraphe 4 introduit une restriction particulière : l’État peut restreindre la liberté de circulation dans certaines zones, si cette restriction est prévue par la loi et justifiée par l’intérêt public. Cette précision peut paraître redondante au regard du paragraphe précédent. En effet, les limitations énoncées au paragraphe précédent sont aussi subordonnées à une justification par l’intérêt général dans une société démocratique. On peut donc s’interroger sur la pertinence d’un ajout spécifique pour les zones géographiques déterminées : une mesure localisée peut parfaitement répondre à un intérêt général. Il n’en demeure pas moins que la Cour a reconnu la validité de telles mesures. Ainsi, elle a jugé que l’instauration d’un régime d’autorisation préalable pour s’installer dans un quartier défavorisé ne viole pas l’</w:t>
      </w:r>
      <w:r>
        <w:rPr>
          <w:rFonts w:ascii="Calibri" w:eastAsia="Calibri" w:hAnsi="Calibri" w:cs="Calibri"/>
          <w:color w:val="1E88E5"/>
        </w:rPr>
        <w:t>article 2</w:t>
      </w:r>
      <w:r>
        <w:rPr>
          <w:rFonts w:ascii="Calibri" w:eastAsia="Calibri" w:hAnsi="Calibri" w:cs="Calibri"/>
          <w:color w:val="1A1A1A"/>
        </w:rPr>
        <w:t xml:space="preserve"> du </w:t>
      </w:r>
      <w:r>
        <w:rPr>
          <w:rFonts w:ascii="Calibri" w:eastAsia="Calibri" w:hAnsi="Calibri" w:cs="Calibri"/>
          <w:color w:val="1E88E5"/>
        </w:rPr>
        <w:t>Protocole no 4</w:t>
      </w:r>
      <w:r>
        <w:rPr>
          <w:rFonts w:ascii="Calibri" w:eastAsia="Calibri" w:hAnsi="Calibri" w:cs="Calibri"/>
          <w:color w:val="1A1A1A"/>
        </w:rPr>
        <w:t xml:space="preserve"> (CEDH, 23 février 2016, Garib c. Pays-Bas). Cette décision illustre la marge d’appréciation laissée aux États dans la mise en œuvre de politiques sociales ou urbaines ciblées.</w:t>
      </w:r>
    </w:p>
    <w:p w14:paraId="4C9677C7" w14:textId="77777777" w:rsidR="001E3E87" w:rsidRDefault="005258B2">
      <w:pPr>
        <w:spacing w:after="90" w:line="264" w:lineRule="auto"/>
        <w:jc w:val="both"/>
      </w:pPr>
      <w:r>
        <w:rPr>
          <w:rFonts w:ascii="Calibri" w:eastAsia="Calibri" w:hAnsi="Calibri" w:cs="Calibri"/>
          <w:color w:val="1A1A1A"/>
        </w:rPr>
        <w:t>En conclusion, l’</w:t>
      </w:r>
      <w:r>
        <w:rPr>
          <w:rFonts w:ascii="Calibri" w:eastAsia="Calibri" w:hAnsi="Calibri" w:cs="Calibri"/>
          <w:color w:val="1E88E5"/>
        </w:rPr>
        <w:t>article 2</w:t>
      </w:r>
      <w:r>
        <w:rPr>
          <w:rFonts w:ascii="Calibri" w:eastAsia="Calibri" w:hAnsi="Calibri" w:cs="Calibri"/>
          <w:color w:val="1A1A1A"/>
        </w:rPr>
        <w:t xml:space="preserve"> du </w:t>
      </w:r>
      <w:r>
        <w:rPr>
          <w:rFonts w:ascii="Calibri" w:eastAsia="Calibri" w:hAnsi="Calibri" w:cs="Calibri"/>
          <w:color w:val="1E88E5"/>
        </w:rPr>
        <w:t>Protocole no 4</w:t>
      </w:r>
      <w:r>
        <w:rPr>
          <w:rFonts w:ascii="Calibri" w:eastAsia="Calibri" w:hAnsi="Calibri" w:cs="Calibri"/>
          <w:color w:val="1A1A1A"/>
        </w:rPr>
        <w:t xml:space="preserve"> à la </w:t>
      </w:r>
      <w:r>
        <w:rPr>
          <w:rFonts w:ascii="Calibri" w:eastAsia="Calibri" w:hAnsi="Calibri" w:cs="Calibri"/>
          <w:color w:val="1E88E5"/>
        </w:rPr>
        <w:t>Convention européenne des droits de l’homme</w:t>
      </w:r>
      <w:r>
        <w:rPr>
          <w:rFonts w:ascii="Calibri" w:eastAsia="Calibri" w:hAnsi="Calibri" w:cs="Calibri"/>
          <w:color w:val="1A1A1A"/>
        </w:rPr>
        <w:t xml:space="preserve"> consacre un droit fondamental à la liberté de circulation, tout en l’inscrivant dans un cadre juridique rigoureux, garant d’un équilibre entre protection des droits individuels et impératifs d’intérêt général dans une société démocratique.</w:t>
      </w:r>
    </w:p>
    <w:p w14:paraId="437DF9A4" w14:textId="77777777" w:rsidR="001E3E87" w:rsidRDefault="005258B2">
      <w:r>
        <w:br w:type="page"/>
      </w:r>
    </w:p>
    <w:p w14:paraId="52DED514"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41 — ARGUMENTATION JURIDIQUE</w:t>
      </w:r>
    </w:p>
    <w:p w14:paraId="49A14B90" w14:textId="77777777" w:rsidR="001E3E87" w:rsidRDefault="005258B2">
      <w:pPr>
        <w:spacing w:after="160"/>
      </w:pPr>
      <w:r>
        <w:rPr>
          <w:rFonts w:ascii="Calibri" w:eastAsia="Calibri" w:hAnsi="Calibri" w:cs="Calibri"/>
          <w:i/>
          <w:iCs/>
          <w:color w:val="5A5A5A"/>
          <w:sz w:val="18"/>
          <w:szCs w:val="18"/>
        </w:rPr>
        <w:t>Fiche n° 41 — La liberté d’enseignement  |  PARTIE VI. LES DROITS CIVILS ET POLITIQUES  |  Fascicule p. 434</w:t>
      </w:r>
    </w:p>
    <w:p w14:paraId="4BDCB159"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6C8C7B98"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Soutenez que la liberté d’enseignement est un droit fondamental.</w:t>
      </w:r>
    </w:p>
    <w:p w14:paraId="646E755F"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7C99A0CA" w14:textId="77777777" w:rsidR="001E3E87" w:rsidRDefault="005258B2">
      <w:pPr>
        <w:spacing w:after="90" w:line="264" w:lineRule="auto"/>
        <w:jc w:val="both"/>
      </w:pPr>
      <w:r>
        <w:rPr>
          <w:rFonts w:ascii="Calibri" w:eastAsia="Calibri" w:hAnsi="Calibri" w:cs="Calibri"/>
          <w:color w:val="1A1A1A"/>
        </w:rPr>
        <w:t>Il convient tout d’abord de distinguer la liberté d’enseignement du droit à l’enseignement du droit à l’instruction. Ce dernier concerne les élèves et les étudiants tandis que le premier s’adresse aux enseignants pour leur garantir une liberté pédagogique dans leur manière de transmettre le savoir. La liberté de l’enseignement recouvre aussi un autre droit qui est celui du libre choix pour les parents de recourir à tel ou tel mode de scolarisation pour leurs enfants, dans l’enseignement public ou privé sous contrat ou non avec l’État. Cette possibilité d’un enseignement privé, en partie financé par les collectivités et l’État a pu cristalliser de nombreux débats au regard du principe de laïcité.</w:t>
      </w:r>
    </w:p>
    <w:p w14:paraId="2CBA5913"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Cependant, la reconnaissance de la liberté d’enseignement en tant que droit fondamental (I) a permis d’encadrer ces différents types d’enseignements (II).</w:t>
      </w:r>
    </w:p>
    <w:p w14:paraId="03F7F2C4" w14:textId="77777777" w:rsidR="001E3E87" w:rsidRDefault="005258B2">
      <w:pPr>
        <w:pStyle w:val="Titre3"/>
        <w:spacing w:before="190" w:after="80"/>
      </w:pPr>
      <w:r>
        <w:rPr>
          <w:rFonts w:ascii="Calibri" w:eastAsia="Calibri" w:hAnsi="Calibri" w:cs="Calibri"/>
          <w:b/>
          <w:bCs/>
          <w:i/>
          <w:iCs/>
          <w:color w:val="1A1A1A"/>
          <w:sz w:val="21"/>
          <w:szCs w:val="21"/>
        </w:rPr>
        <w:t>I. La reconnaissance de la liberté d’enseignement</w:t>
      </w:r>
    </w:p>
    <w:p w14:paraId="5A28F9E8" w14:textId="77777777" w:rsidR="001E3E87" w:rsidRDefault="005258B2">
      <w:pPr>
        <w:pStyle w:val="Titre3"/>
        <w:spacing w:before="190" w:after="80"/>
      </w:pPr>
      <w:r>
        <w:rPr>
          <w:rFonts w:ascii="Calibri" w:eastAsia="Calibri" w:hAnsi="Calibri" w:cs="Calibri"/>
          <w:b/>
          <w:bCs/>
          <w:i/>
          <w:iCs/>
          <w:color w:val="1A1A1A"/>
          <w:sz w:val="21"/>
          <w:szCs w:val="21"/>
        </w:rPr>
        <w:t>A. Le fruit d’une reconnaissance textuelle et jurisprudentielle</w:t>
      </w:r>
    </w:p>
    <w:p w14:paraId="710815AA" w14:textId="77777777" w:rsidR="001E3E87" w:rsidRDefault="005258B2">
      <w:pPr>
        <w:spacing w:after="90" w:line="264" w:lineRule="auto"/>
        <w:jc w:val="both"/>
      </w:pPr>
      <w:r>
        <w:rPr>
          <w:rFonts w:ascii="Calibri" w:eastAsia="Calibri" w:hAnsi="Calibri" w:cs="Calibri"/>
          <w:color w:val="1A1A1A"/>
        </w:rPr>
        <w:t>La liberté de l’enseignement a tout d’abord été consacrée par différents textes législatifs ancrés dans la tradition républicaine (loi Guizot du 28 juin 1833 pour l’enseignement primaire, loi Falloux du 15 mars 1850 pour l’enseignement secondaire et loi Dupanloup du 12 juillet 1875 pour l’enseignement supérieur). Par la suite, le Conseil constitutionnel a érigé la liberté d’enseignement au rang de principe fondamental reconnu par les lois de la République en se fondant sur la liberté d’opinion de l’</w:t>
      </w:r>
      <w:r>
        <w:rPr>
          <w:rFonts w:ascii="Calibri" w:eastAsia="Calibri" w:hAnsi="Calibri" w:cs="Calibri"/>
          <w:color w:val="1E88E5"/>
        </w:rPr>
        <w:t>article 10</w:t>
      </w:r>
      <w:r>
        <w:rPr>
          <w:rFonts w:ascii="Calibri" w:eastAsia="Calibri" w:hAnsi="Calibri" w:cs="Calibri"/>
          <w:color w:val="1A1A1A"/>
        </w:rPr>
        <w:t xml:space="preserve"> de la Déclaration de 1789 et l’</w:t>
      </w:r>
      <w:r>
        <w:rPr>
          <w:rFonts w:ascii="Calibri" w:eastAsia="Calibri" w:hAnsi="Calibri" w:cs="Calibri"/>
          <w:color w:val="1E88E5"/>
        </w:rPr>
        <w:t>article 91</w:t>
      </w:r>
      <w:r>
        <w:rPr>
          <w:rFonts w:ascii="Calibri" w:eastAsia="Calibri" w:hAnsi="Calibri" w:cs="Calibri"/>
          <w:color w:val="1A1A1A"/>
        </w:rPr>
        <w:t xml:space="preserve"> de la loi de finances du 31 mars 1931 qui proclame : « La liberté d’enseignement, qui est un des principes fondamentaux de la République. » (</w:t>
      </w:r>
      <w:r>
        <w:rPr>
          <w:rFonts w:ascii="Calibri" w:eastAsia="Calibri" w:hAnsi="Calibri" w:cs="Calibri"/>
          <w:color w:val="E91E63"/>
        </w:rPr>
        <w:t xml:space="preserve">Cons. const., déc. no 77-87 </w:t>
      </w:r>
      <w:r>
        <w:rPr>
          <w:rFonts w:ascii="Calibri" w:eastAsia="Calibri" w:hAnsi="Calibri" w:cs="Calibri"/>
          <w:color w:val="1A1A1A"/>
        </w:rPr>
        <w:t xml:space="preserve">DC, 23 novembre 1977, Loi complémentaire à la </w:t>
      </w:r>
      <w:r>
        <w:rPr>
          <w:rFonts w:ascii="Calibri" w:eastAsia="Calibri" w:hAnsi="Calibri" w:cs="Calibri"/>
          <w:color w:val="1E88E5"/>
        </w:rPr>
        <w:t>loi no 59-1557</w:t>
      </w:r>
      <w:r>
        <w:rPr>
          <w:rFonts w:ascii="Calibri" w:eastAsia="Calibri" w:hAnsi="Calibri" w:cs="Calibri"/>
          <w:color w:val="1A1A1A"/>
        </w:rPr>
        <w:t xml:space="preserve"> du 31 décembre 1959 modifiée par la </w:t>
      </w:r>
      <w:r>
        <w:rPr>
          <w:rFonts w:ascii="Calibri" w:eastAsia="Calibri" w:hAnsi="Calibri" w:cs="Calibri"/>
          <w:color w:val="1E88E5"/>
        </w:rPr>
        <w:t>loi no 71-400</w:t>
      </w:r>
      <w:r>
        <w:rPr>
          <w:rFonts w:ascii="Calibri" w:eastAsia="Calibri" w:hAnsi="Calibri" w:cs="Calibri"/>
          <w:color w:val="1A1A1A"/>
        </w:rPr>
        <w:t xml:space="preserve"> du 1er juin 1971 et relative à la liberté de l’enseignement, </w:t>
      </w:r>
      <w:r>
        <w:rPr>
          <w:rFonts w:ascii="Calibri" w:eastAsia="Calibri" w:hAnsi="Calibri" w:cs="Calibri"/>
          <w:color w:val="E91E63"/>
        </w:rPr>
        <w:t xml:space="preserve">Cons. const., déc. no 84-184 </w:t>
      </w:r>
      <w:r>
        <w:rPr>
          <w:rFonts w:ascii="Calibri" w:eastAsia="Calibri" w:hAnsi="Calibri" w:cs="Calibri"/>
          <w:color w:val="1A1A1A"/>
        </w:rPr>
        <w:t>DC, 29 décembre 1984, Loi de finances pour 1985). Cette liberté de l’enseignement a aussi été reconnue au profit des établissements du supérieur (</w:t>
      </w:r>
      <w:r>
        <w:rPr>
          <w:rFonts w:ascii="Calibri" w:eastAsia="Calibri" w:hAnsi="Calibri" w:cs="Calibri"/>
          <w:color w:val="E91E63"/>
        </w:rPr>
        <w:t xml:space="preserve">Cons. const., déc. no 99-414 </w:t>
      </w:r>
      <w:r>
        <w:rPr>
          <w:rFonts w:ascii="Calibri" w:eastAsia="Calibri" w:hAnsi="Calibri" w:cs="Calibri"/>
          <w:color w:val="1A1A1A"/>
        </w:rPr>
        <w:t>DC, 8 juillet 1999, Loi d’orientation agricole).</w:t>
      </w:r>
    </w:p>
    <w:p w14:paraId="5E341989" w14:textId="77777777" w:rsidR="001E3E87" w:rsidRDefault="005258B2">
      <w:pPr>
        <w:pStyle w:val="Titre3"/>
        <w:spacing w:before="190" w:after="80"/>
      </w:pPr>
      <w:r>
        <w:rPr>
          <w:rFonts w:ascii="Calibri" w:eastAsia="Calibri" w:hAnsi="Calibri" w:cs="Calibri"/>
          <w:b/>
          <w:bCs/>
          <w:i/>
          <w:iCs/>
          <w:color w:val="1A1A1A"/>
          <w:sz w:val="21"/>
          <w:szCs w:val="21"/>
        </w:rPr>
        <w:t>B. La création et le financement d’établissements privés corollaires de la liberté d’enseignement</w:t>
      </w:r>
    </w:p>
    <w:p w14:paraId="0FC48380" w14:textId="77777777" w:rsidR="001E3E87" w:rsidRDefault="005258B2">
      <w:pPr>
        <w:spacing w:after="90" w:line="264" w:lineRule="auto"/>
        <w:jc w:val="both"/>
      </w:pPr>
      <w:r>
        <w:rPr>
          <w:rFonts w:ascii="Calibri" w:eastAsia="Calibri" w:hAnsi="Calibri" w:cs="Calibri"/>
          <w:color w:val="1A1A1A"/>
        </w:rPr>
        <w:t>La liberté d’enseignement implique la possibilité de créer des établissements privés. Le législateur peut prévoir les modalités de leur financement (</w:t>
      </w:r>
      <w:r>
        <w:rPr>
          <w:rFonts w:ascii="Calibri" w:eastAsia="Calibri" w:hAnsi="Calibri" w:cs="Calibri"/>
          <w:color w:val="1E88E5"/>
        </w:rPr>
        <w:t>Loi no 59-1557</w:t>
      </w:r>
      <w:r>
        <w:rPr>
          <w:rFonts w:ascii="Calibri" w:eastAsia="Calibri" w:hAnsi="Calibri" w:cs="Calibri"/>
          <w:color w:val="1A1A1A"/>
        </w:rPr>
        <w:t xml:space="preserve">, 31 décembre 1959, Debré, accepte le principe d’une subvention de l’école privée ; </w:t>
      </w:r>
      <w:r>
        <w:rPr>
          <w:rFonts w:ascii="Calibri" w:eastAsia="Calibri" w:hAnsi="Calibri" w:cs="Calibri"/>
          <w:color w:val="1E88E5"/>
        </w:rPr>
        <w:t>Loi no 77-1285</w:t>
      </w:r>
      <w:r>
        <w:rPr>
          <w:rFonts w:ascii="Calibri" w:eastAsia="Calibri" w:hAnsi="Calibri" w:cs="Calibri"/>
          <w:color w:val="1A1A1A"/>
        </w:rPr>
        <w:t>, 25 novembre 1977, renforce ce principe de subvention avec un contrôle strict de l’État). Ce financement n’est pas sans contrepartie, car les établissements privés sont soumis à un strict contrôle de l’État. Le financement public de l’enseignement privé a pu alimenter de nombreux débats et polémiques. Cependant la suppression de l’aide publique prévue par la loi conduirait à la disparition des établissements privés et porterait atteinte à la liberté de l’enseignement. Deux types de contrats permettent d’encadrer les relations entre l’État et les établissements privés : le contrat simple et le contrat d’association qui emportent différentes conséquences.</w:t>
      </w:r>
    </w:p>
    <w:p w14:paraId="00F57A1B" w14:textId="77777777" w:rsidR="001E3E87" w:rsidRDefault="005258B2">
      <w:pPr>
        <w:pStyle w:val="Titre3"/>
        <w:spacing w:before="190" w:after="80"/>
      </w:pPr>
      <w:r>
        <w:rPr>
          <w:rFonts w:ascii="Calibri" w:eastAsia="Calibri" w:hAnsi="Calibri" w:cs="Calibri"/>
          <w:b/>
          <w:bCs/>
          <w:i/>
          <w:iCs/>
          <w:color w:val="1A1A1A"/>
          <w:sz w:val="21"/>
          <w:szCs w:val="21"/>
        </w:rPr>
        <w:t>II. Les différents degrés de la liberté d’enseignement</w:t>
      </w:r>
    </w:p>
    <w:p w14:paraId="6459FE8D" w14:textId="77777777" w:rsidR="001E3E87" w:rsidRDefault="005258B2">
      <w:pPr>
        <w:pStyle w:val="Titre3"/>
        <w:spacing w:before="190" w:after="80"/>
      </w:pPr>
      <w:r>
        <w:rPr>
          <w:rFonts w:ascii="Calibri" w:eastAsia="Calibri" w:hAnsi="Calibri" w:cs="Calibri"/>
          <w:b/>
          <w:bCs/>
          <w:i/>
          <w:iCs/>
          <w:color w:val="1A1A1A"/>
          <w:sz w:val="21"/>
          <w:szCs w:val="21"/>
        </w:rPr>
        <w:t>A. L’encadrement et le contrôle des niveaux primaires et secondaires</w:t>
      </w:r>
    </w:p>
    <w:p w14:paraId="6B874F86" w14:textId="77777777" w:rsidR="001E3E87" w:rsidRDefault="005258B2">
      <w:pPr>
        <w:spacing w:after="90" w:line="264" w:lineRule="auto"/>
        <w:jc w:val="both"/>
      </w:pPr>
      <w:r>
        <w:rPr>
          <w:rFonts w:ascii="Calibri" w:eastAsia="Calibri" w:hAnsi="Calibri" w:cs="Calibri"/>
          <w:color w:val="1A1A1A"/>
        </w:rPr>
        <w:t>Que ce soit dans les établissements publics ou privés du primaire ou du secondaire, la règle est celle de la neutralité de l’enseignement. Les enseignants des établissements privés sous contrat d’association sont tenus de respecter le caractère propre de l’établissement. Tout comme les établissements publics, les enseignants des établissements privés doivent suivre les règle et programmes de l’enseignement public (</w:t>
      </w:r>
      <w:r>
        <w:rPr>
          <w:rFonts w:ascii="Calibri" w:eastAsia="Calibri" w:hAnsi="Calibri" w:cs="Calibri"/>
          <w:color w:val="1E88E5"/>
        </w:rPr>
        <w:t>art. L. 442-1</w:t>
      </w:r>
      <w:r>
        <w:rPr>
          <w:rFonts w:ascii="Calibri" w:eastAsia="Calibri" w:hAnsi="Calibri" w:cs="Calibri"/>
          <w:color w:val="1A1A1A"/>
        </w:rPr>
        <w:t xml:space="preserve"> du </w:t>
      </w:r>
      <w:r>
        <w:rPr>
          <w:rFonts w:ascii="Calibri" w:eastAsia="Calibri" w:hAnsi="Calibri" w:cs="Calibri"/>
          <w:color w:val="1E88E5"/>
        </w:rPr>
        <w:t>Code de l’éducation</w:t>
      </w:r>
      <w:r>
        <w:rPr>
          <w:rFonts w:ascii="Calibri" w:eastAsia="Calibri" w:hAnsi="Calibri" w:cs="Calibri"/>
          <w:color w:val="1A1A1A"/>
        </w:rPr>
        <w:t>). L’instruction religieuse peut être enseignée dans les établissements privés, mais elle a un caractère facultatif et elle doit être donnée en dehors des heures de cours. (</w:t>
      </w:r>
      <w:r>
        <w:rPr>
          <w:rFonts w:ascii="Calibri" w:eastAsia="Calibri" w:hAnsi="Calibri" w:cs="Calibri"/>
          <w:color w:val="1E88E5"/>
        </w:rPr>
        <w:t>art. L. 141-3 et R. 141-5</w:t>
      </w:r>
      <w:r>
        <w:rPr>
          <w:rFonts w:ascii="Calibri" w:eastAsia="Calibri" w:hAnsi="Calibri" w:cs="Calibri"/>
          <w:color w:val="1A1A1A"/>
        </w:rPr>
        <w:t xml:space="preserve"> du </w:t>
      </w:r>
      <w:r>
        <w:rPr>
          <w:rFonts w:ascii="Calibri" w:eastAsia="Calibri" w:hAnsi="Calibri" w:cs="Calibri"/>
          <w:color w:val="1E88E5"/>
        </w:rPr>
        <w:t>Code de l’éducation</w:t>
      </w:r>
      <w:r>
        <w:rPr>
          <w:rFonts w:ascii="Calibri" w:eastAsia="Calibri" w:hAnsi="Calibri" w:cs="Calibri"/>
          <w:color w:val="1A1A1A"/>
        </w:rPr>
        <w:t>). Au sein de l’école publique, la liberté de l’enseignement s’apparente à la liberté pédagogique, soit la manière dont l’enseignement est délivré. Cependant, cette liberté s’exerce dans le respect des programmes et instructions du ministère chargé de l’éducation nationale.</w:t>
      </w:r>
    </w:p>
    <w:p w14:paraId="4102A6FD" w14:textId="77777777" w:rsidR="001E3E87" w:rsidRDefault="005258B2">
      <w:pPr>
        <w:pStyle w:val="Titre3"/>
        <w:spacing w:before="190" w:after="80"/>
      </w:pPr>
      <w:r>
        <w:rPr>
          <w:rFonts w:ascii="Calibri" w:eastAsia="Calibri" w:hAnsi="Calibri" w:cs="Calibri"/>
          <w:b/>
          <w:bCs/>
          <w:i/>
          <w:iCs/>
          <w:color w:val="1A1A1A"/>
          <w:sz w:val="21"/>
          <w:szCs w:val="21"/>
        </w:rPr>
        <w:t>B. Une liberté d’enseignement universitaire totale</w:t>
      </w:r>
    </w:p>
    <w:p w14:paraId="1DCD138D" w14:textId="77777777" w:rsidR="001E3E87" w:rsidRDefault="005258B2">
      <w:pPr>
        <w:spacing w:after="90" w:line="264" w:lineRule="auto"/>
        <w:jc w:val="both"/>
      </w:pPr>
      <w:r>
        <w:rPr>
          <w:rFonts w:ascii="Calibri" w:eastAsia="Calibri" w:hAnsi="Calibri" w:cs="Calibri"/>
          <w:color w:val="1A1A1A"/>
        </w:rPr>
        <w:lastRenderedPageBreak/>
        <w:t>L’enseignement universitaire bénéficie d’une plus grande liberté par rapport au primaire et au secondaire. Les libertés académiques y sont plus vastes et composées de trois branches : liberté de recherche / liberté d’enseignement / liberté d’expression. De plus, les professeurs des universités bénéficient d’une indépendance reconnue comme principe à valeur constitutionnelle (</w:t>
      </w:r>
      <w:r>
        <w:rPr>
          <w:rFonts w:ascii="Calibri" w:eastAsia="Calibri" w:hAnsi="Calibri" w:cs="Calibri"/>
          <w:color w:val="E91E63"/>
        </w:rPr>
        <w:t xml:space="preserve">Cons. const., déc. no 83-165 </w:t>
      </w:r>
      <w:r>
        <w:rPr>
          <w:rFonts w:ascii="Calibri" w:eastAsia="Calibri" w:hAnsi="Calibri" w:cs="Calibri"/>
          <w:color w:val="1A1A1A"/>
        </w:rPr>
        <w:t xml:space="preserve">DC, 20 janvier 1984, Loi relative à l’enseignement supérieur, </w:t>
      </w:r>
      <w:r>
        <w:rPr>
          <w:rFonts w:ascii="Calibri" w:eastAsia="Calibri" w:hAnsi="Calibri" w:cs="Calibri"/>
          <w:color w:val="E91E63"/>
        </w:rPr>
        <w:t xml:space="preserve">Cons. const., déc. no 94-355 </w:t>
      </w:r>
      <w:r>
        <w:rPr>
          <w:rFonts w:ascii="Calibri" w:eastAsia="Calibri" w:hAnsi="Calibri" w:cs="Calibri"/>
          <w:color w:val="1A1A1A"/>
        </w:rPr>
        <w:t xml:space="preserve">DC, 10 janvier 1995). Cette indépendance des enseignants-chercheurs a été codifiée dans le </w:t>
      </w:r>
      <w:r>
        <w:rPr>
          <w:rFonts w:ascii="Calibri" w:eastAsia="Calibri" w:hAnsi="Calibri" w:cs="Calibri"/>
          <w:color w:val="1E88E5"/>
        </w:rPr>
        <w:t>Code de l’éducation</w:t>
      </w:r>
      <w:r>
        <w:rPr>
          <w:rFonts w:ascii="Calibri" w:eastAsia="Calibri" w:hAnsi="Calibri" w:cs="Calibri"/>
          <w:color w:val="1A1A1A"/>
        </w:rPr>
        <w:t xml:space="preserve"> (</w:t>
      </w:r>
      <w:r>
        <w:rPr>
          <w:rFonts w:ascii="Calibri" w:eastAsia="Calibri" w:hAnsi="Calibri" w:cs="Calibri"/>
          <w:color w:val="1E88E5"/>
        </w:rPr>
        <w:t>art. L. 123-9, L. 141-6 et L. 952-2</w:t>
      </w:r>
      <w:r>
        <w:rPr>
          <w:rFonts w:ascii="Calibri" w:eastAsia="Calibri" w:hAnsi="Calibri" w:cs="Calibri"/>
          <w:color w:val="1A1A1A"/>
        </w:rPr>
        <w:t>).</w:t>
      </w:r>
    </w:p>
    <w:p w14:paraId="5F73C151" w14:textId="77777777" w:rsidR="001E3E87" w:rsidRDefault="005258B2">
      <w:pPr>
        <w:spacing w:after="90" w:line="264" w:lineRule="auto"/>
        <w:jc w:val="both"/>
      </w:pPr>
      <w:r>
        <w:rPr>
          <w:rFonts w:ascii="Calibri" w:eastAsia="Calibri" w:hAnsi="Calibri" w:cs="Calibri"/>
          <w:color w:val="1A1A1A"/>
        </w:rPr>
        <w:t>En conclusion, la liberté de l’enseignement est bien un droit fondamental dont la primauté et le respect sont assurés par la possibilité de créer des établissement publics et privés. Selon le niveau d’enseignement, les enseignants comme les élèves ou les étudiants disposent d’une liberté croissante.</w:t>
      </w:r>
    </w:p>
    <w:p w14:paraId="76CC29FF" w14:textId="77777777" w:rsidR="001E3E87" w:rsidRDefault="005258B2">
      <w:r>
        <w:br w:type="page"/>
      </w:r>
    </w:p>
    <w:p w14:paraId="11741938"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42 — DISSERTATION</w:t>
      </w:r>
    </w:p>
    <w:p w14:paraId="2DF83D4E" w14:textId="77777777" w:rsidR="001E3E87" w:rsidRDefault="005258B2">
      <w:pPr>
        <w:spacing w:after="160"/>
      </w:pPr>
      <w:r>
        <w:rPr>
          <w:rFonts w:ascii="Calibri" w:eastAsia="Calibri" w:hAnsi="Calibri" w:cs="Calibri"/>
          <w:i/>
          <w:iCs/>
          <w:color w:val="5A5A5A"/>
          <w:sz w:val="18"/>
          <w:szCs w:val="18"/>
        </w:rPr>
        <w:t>Fiche n° 42 — Le droit à des élections libres  |  PARTIE VI. LES DROITS CIVILS ET POLITIQUES  |  Fascicule p. 443</w:t>
      </w:r>
    </w:p>
    <w:p w14:paraId="2754A983"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75F7C7B3"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Le droit à des élections libres</w:t>
      </w:r>
    </w:p>
    <w:p w14:paraId="3DB51850"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67727952" w14:textId="77777777" w:rsidR="001E3E87" w:rsidRDefault="005258B2">
      <w:pPr>
        <w:spacing w:after="90" w:line="264" w:lineRule="auto"/>
        <w:jc w:val="both"/>
      </w:pPr>
      <w:r>
        <w:rPr>
          <w:rFonts w:ascii="Calibri" w:eastAsia="Calibri" w:hAnsi="Calibri" w:cs="Calibri"/>
          <w:color w:val="1A1A1A"/>
        </w:rPr>
        <w:t>Le droit à des élections libre constitue le socle des démocraties contemporaines et assoit la légitimité démocratique de nos représentants. Les droits de participer à la vie démocratique de son pays sont à la fois des droits subjectifs et des principes objectifs essentiels à la démocratie. Ils sont la pierre angulaire de la relation entre gouvernants et gouvernés en démocratie. Le droit à des élections libres est proclamé par de nombreuses sources : la première mention de ce droit se trouve dans l’</w:t>
      </w:r>
      <w:r>
        <w:rPr>
          <w:rFonts w:ascii="Calibri" w:eastAsia="Calibri" w:hAnsi="Calibri" w:cs="Calibri"/>
          <w:color w:val="1E88E5"/>
        </w:rPr>
        <w:t>article 21</w:t>
      </w:r>
      <w:r>
        <w:rPr>
          <w:rFonts w:ascii="Calibri" w:eastAsia="Calibri" w:hAnsi="Calibri" w:cs="Calibri"/>
          <w:color w:val="1A1A1A"/>
        </w:rPr>
        <w:t xml:space="preserve"> de la </w:t>
      </w:r>
      <w:r>
        <w:rPr>
          <w:rFonts w:ascii="Calibri" w:eastAsia="Calibri" w:hAnsi="Calibri" w:cs="Calibri"/>
          <w:color w:val="1E88E5"/>
        </w:rPr>
        <w:t>Déclaration universelle des droits de l’homme</w:t>
      </w:r>
      <w:r>
        <w:rPr>
          <w:rFonts w:ascii="Calibri" w:eastAsia="Calibri" w:hAnsi="Calibri" w:cs="Calibri"/>
          <w:color w:val="1A1A1A"/>
        </w:rPr>
        <w:t xml:space="preserve"> qui a été repris dans l’</w:t>
      </w:r>
      <w:r>
        <w:rPr>
          <w:rFonts w:ascii="Calibri" w:eastAsia="Calibri" w:hAnsi="Calibri" w:cs="Calibri"/>
          <w:color w:val="1E88E5"/>
        </w:rPr>
        <w:t>article 25</w:t>
      </w:r>
      <w:r>
        <w:rPr>
          <w:rFonts w:ascii="Calibri" w:eastAsia="Calibri" w:hAnsi="Calibri" w:cs="Calibri"/>
          <w:color w:val="1A1A1A"/>
        </w:rPr>
        <w:t xml:space="preserve"> du </w:t>
      </w:r>
      <w:r>
        <w:rPr>
          <w:rFonts w:ascii="Calibri" w:eastAsia="Calibri" w:hAnsi="Calibri" w:cs="Calibri"/>
          <w:color w:val="1E88E5"/>
        </w:rPr>
        <w:t>Pacte international relatif aux droits civils et politiques</w:t>
      </w:r>
      <w:r>
        <w:rPr>
          <w:rFonts w:ascii="Calibri" w:eastAsia="Calibri" w:hAnsi="Calibri" w:cs="Calibri"/>
          <w:color w:val="1A1A1A"/>
        </w:rPr>
        <w:t xml:space="preserve">. Par la suite, le </w:t>
      </w:r>
      <w:r>
        <w:rPr>
          <w:rFonts w:ascii="Calibri" w:eastAsia="Calibri" w:hAnsi="Calibri" w:cs="Calibri"/>
          <w:color w:val="1E88E5"/>
        </w:rPr>
        <w:t>Protocole no 1</w:t>
      </w:r>
      <w:r>
        <w:rPr>
          <w:rFonts w:ascii="Calibri" w:eastAsia="Calibri" w:hAnsi="Calibri" w:cs="Calibri"/>
          <w:color w:val="1A1A1A"/>
        </w:rPr>
        <w:t xml:space="preserve"> à la </w:t>
      </w:r>
      <w:r>
        <w:rPr>
          <w:rFonts w:ascii="Calibri" w:eastAsia="Calibri" w:hAnsi="Calibri" w:cs="Calibri"/>
          <w:color w:val="1E88E5"/>
        </w:rPr>
        <w:t>Convention européenne des droits de l’homme</w:t>
      </w:r>
      <w:r>
        <w:rPr>
          <w:rFonts w:ascii="Calibri" w:eastAsia="Calibri" w:hAnsi="Calibri" w:cs="Calibri"/>
          <w:color w:val="1A1A1A"/>
        </w:rPr>
        <w:t xml:space="preserve"> consacre le droit à des élections régulières, libres et justes pour le corps législatif. Le caractère contraignant de la CEDH pour les États membres et l’effectivité de la protection de cette dernière </w:t>
      </w:r>
      <w:proofErr w:type="gramStart"/>
      <w:r>
        <w:rPr>
          <w:rFonts w:ascii="Calibri" w:eastAsia="Calibri" w:hAnsi="Calibri" w:cs="Calibri"/>
          <w:color w:val="1A1A1A"/>
        </w:rPr>
        <w:t>font</w:t>
      </w:r>
      <w:proofErr w:type="gramEnd"/>
      <w:r>
        <w:rPr>
          <w:rFonts w:ascii="Calibri" w:eastAsia="Calibri" w:hAnsi="Calibri" w:cs="Calibri"/>
          <w:color w:val="1A1A1A"/>
        </w:rPr>
        <w:t xml:space="preserve"> du droit à des élections libres un droit incontournable. La </w:t>
      </w:r>
      <w:r>
        <w:rPr>
          <w:rFonts w:ascii="Calibri" w:eastAsia="Calibri" w:hAnsi="Calibri" w:cs="Calibri"/>
          <w:color w:val="1E88E5"/>
        </w:rPr>
        <w:t>Constitution de 1958</w:t>
      </w:r>
      <w:r>
        <w:rPr>
          <w:rFonts w:ascii="Calibri" w:eastAsia="Calibri" w:hAnsi="Calibri" w:cs="Calibri"/>
          <w:color w:val="1A1A1A"/>
        </w:rPr>
        <w:t xml:space="preserve"> proclame aussi ce droit à l’</w:t>
      </w:r>
      <w:r>
        <w:rPr>
          <w:rFonts w:ascii="Calibri" w:eastAsia="Calibri" w:hAnsi="Calibri" w:cs="Calibri"/>
          <w:color w:val="1E88E5"/>
        </w:rPr>
        <w:t>article 2</w:t>
      </w:r>
      <w:r>
        <w:rPr>
          <w:rFonts w:ascii="Calibri" w:eastAsia="Calibri" w:hAnsi="Calibri" w:cs="Calibri"/>
          <w:color w:val="1A1A1A"/>
        </w:rPr>
        <w:t xml:space="preserve"> alinéa 5 et à l’</w:t>
      </w:r>
      <w:r>
        <w:rPr>
          <w:rFonts w:ascii="Calibri" w:eastAsia="Calibri" w:hAnsi="Calibri" w:cs="Calibri"/>
          <w:color w:val="1E88E5"/>
        </w:rPr>
        <w:t>article 3</w:t>
      </w:r>
      <w:r>
        <w:rPr>
          <w:rFonts w:ascii="Calibri" w:eastAsia="Calibri" w:hAnsi="Calibri" w:cs="Calibri"/>
          <w:color w:val="1A1A1A"/>
        </w:rPr>
        <w:t xml:space="preserve"> et renvoie au Code électoral qui encadre la tenue des différentes élections françaises, l’exercice du droit de vote, les caractères du suffrage ainsi que les conditions de jouissance et d’exercice du droit à des élections libres.</w:t>
      </w:r>
    </w:p>
    <w:p w14:paraId="2DA52AD6"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Afin que le droit à des élections libres soit effectif ce dernier est encadré pour assurer son effectivité. Ce droit peut être décomposé en deux volets complémentaires et interdépendants : le droit de vote et les caractères du suffrage (I) et le droit d’éligibilité (II).</w:t>
      </w:r>
    </w:p>
    <w:p w14:paraId="34692ABC" w14:textId="77777777" w:rsidR="001E3E87" w:rsidRDefault="005258B2">
      <w:pPr>
        <w:pStyle w:val="Titre3"/>
        <w:spacing w:before="190" w:after="80"/>
      </w:pPr>
      <w:r>
        <w:rPr>
          <w:rFonts w:ascii="Calibri" w:eastAsia="Calibri" w:hAnsi="Calibri" w:cs="Calibri"/>
          <w:b/>
          <w:bCs/>
          <w:i/>
          <w:iCs/>
          <w:color w:val="1A1A1A"/>
          <w:sz w:val="21"/>
          <w:szCs w:val="21"/>
        </w:rPr>
        <w:t>I. L’acquisition du droit de vote, pendant du droit à des élections libres</w:t>
      </w:r>
    </w:p>
    <w:p w14:paraId="419943B7" w14:textId="77777777" w:rsidR="001E3E87" w:rsidRDefault="005258B2">
      <w:pPr>
        <w:pStyle w:val="Titre3"/>
        <w:spacing w:before="190" w:after="80"/>
      </w:pPr>
      <w:r>
        <w:rPr>
          <w:rFonts w:ascii="Calibri" w:eastAsia="Calibri" w:hAnsi="Calibri" w:cs="Calibri"/>
          <w:b/>
          <w:bCs/>
          <w:i/>
          <w:iCs/>
          <w:color w:val="1A1A1A"/>
          <w:sz w:val="21"/>
          <w:szCs w:val="21"/>
        </w:rPr>
        <w:t>A. Le droit de vote assorti du suffrage universel</w:t>
      </w:r>
    </w:p>
    <w:p w14:paraId="2FC7A005" w14:textId="77777777" w:rsidR="001E3E87" w:rsidRDefault="005258B2">
      <w:pPr>
        <w:spacing w:after="90" w:line="264" w:lineRule="auto"/>
        <w:jc w:val="both"/>
      </w:pPr>
      <w:r>
        <w:rPr>
          <w:rFonts w:ascii="Calibri" w:eastAsia="Calibri" w:hAnsi="Calibri" w:cs="Calibri"/>
          <w:color w:val="1A1A1A"/>
        </w:rPr>
        <w:t>Le droit de vote est parfois qualifié de volet « passif » du droit à des élections libres. En France, le vote est un droit, il n’est pas obligatoire contrairement à d’autres pays européens : Belgique, Grèce, Italie, Luxembourg, Pays-Bas, Suisse. Le droit de vote joue un rôle essentiel dans une démocratie. Le droit de vote peut faire l’objet de restrictions (</w:t>
      </w:r>
      <w:r>
        <w:rPr>
          <w:rFonts w:ascii="Calibri" w:eastAsia="Calibri" w:hAnsi="Calibri" w:cs="Calibri"/>
          <w:color w:val="E91E63"/>
        </w:rPr>
        <w:t>CEDH, Gr. Ch., 18 janvier 2011, no 126/05</w:t>
      </w:r>
      <w:r>
        <w:rPr>
          <w:rFonts w:ascii="Calibri" w:eastAsia="Calibri" w:hAnsi="Calibri" w:cs="Calibri"/>
          <w:color w:val="1A1A1A"/>
        </w:rPr>
        <w:t>, Scoppola c. Italie [no 3]). Comme énoncé dans la Constitution, la fixation des règles concernant les droits civiques relève du domaine de la loi (</w:t>
      </w:r>
      <w:r>
        <w:rPr>
          <w:rFonts w:ascii="Calibri" w:eastAsia="Calibri" w:hAnsi="Calibri" w:cs="Calibri"/>
          <w:color w:val="1E88E5"/>
        </w:rPr>
        <w:t>art. 34</w:t>
      </w:r>
      <w:r>
        <w:rPr>
          <w:rFonts w:ascii="Calibri" w:eastAsia="Calibri" w:hAnsi="Calibri" w:cs="Calibri"/>
          <w:color w:val="1A1A1A"/>
        </w:rPr>
        <w:t xml:space="preserve"> de la Constitution). Le droit de vote permet aux citoyens d’exprimer leurs opinions au moment du scrutin pour élire des représentants ou répondre à un référendum. Suffrage universel masculin : 1848 (Décret du 5 mars 1848, réaffirmé par la loi électorale du 15 mars 1849). Ordonnance du 21 avril 1944 pour que les femmes puissent voter lors des élections de 1945. Les militaires obtiendront le droit de vote en 1945 et les Français d’Outre-mer en 1946.</w:t>
      </w:r>
    </w:p>
    <w:p w14:paraId="18529FCF" w14:textId="77777777" w:rsidR="001E3E87" w:rsidRDefault="005258B2">
      <w:pPr>
        <w:pStyle w:val="Titre3"/>
        <w:spacing w:before="190" w:after="80"/>
      </w:pPr>
      <w:r>
        <w:rPr>
          <w:rFonts w:ascii="Calibri" w:eastAsia="Calibri" w:hAnsi="Calibri" w:cs="Calibri"/>
          <w:b/>
          <w:bCs/>
          <w:i/>
          <w:iCs/>
          <w:color w:val="1A1A1A"/>
          <w:sz w:val="21"/>
          <w:szCs w:val="21"/>
        </w:rPr>
        <w:t>B. Les caractères du suffrage garantissant le droit à des élections libres</w:t>
      </w:r>
    </w:p>
    <w:p w14:paraId="34C98052" w14:textId="77777777" w:rsidR="001E3E87" w:rsidRDefault="005258B2">
      <w:pPr>
        <w:spacing w:after="90" w:line="264" w:lineRule="auto"/>
        <w:jc w:val="both"/>
      </w:pPr>
      <w:r>
        <w:rPr>
          <w:rFonts w:ascii="Calibri" w:eastAsia="Calibri" w:hAnsi="Calibri" w:cs="Calibri"/>
          <w:color w:val="1A1A1A"/>
        </w:rPr>
        <w:t>Le droit de vote rend possible la tenue d’élections qui doivent répondre à certaines exigences. L’égalité du suffrage : « one man, one vote, one value » qui implique un juste découpage des circonscriptions électorales, basé sur le nombre de citoyens inscrits sur les listes électorales. La liberté et le secret du suffrage (</w:t>
      </w:r>
      <w:r>
        <w:rPr>
          <w:rFonts w:ascii="Calibri" w:eastAsia="Calibri" w:hAnsi="Calibri" w:cs="Calibri"/>
          <w:color w:val="1E88E5"/>
        </w:rPr>
        <w:t>art. 3</w:t>
      </w:r>
      <w:r>
        <w:rPr>
          <w:rFonts w:ascii="Calibri" w:eastAsia="Calibri" w:hAnsi="Calibri" w:cs="Calibri"/>
          <w:color w:val="1A1A1A"/>
        </w:rPr>
        <w:t xml:space="preserve"> de la Constitution). Le passage à l’isoloir et les règles de vote permettent d’assurer cette liberté pour éviter toute pression extérieure lors du vote. Violation du secret sanctionnée / Honnêteté et sincérité du suffrage : prise en compte et respect du vote des électeurs. Le juge électoral reste très vigilant sur d’éventuelles fraudes électorales. La périodicité du suffrage : trouver un équilibre entre intervalle trop court entre les élections et mandats trop longs diminuant la légitimité démocratique. Référence au Code de bonne conduite en matière électorale de la Commission de Venise (5 ans pour les législatives et 7 ans pour les élections présidentielles).</w:t>
      </w:r>
    </w:p>
    <w:p w14:paraId="314CA581" w14:textId="77777777" w:rsidR="001E3E87" w:rsidRDefault="005258B2">
      <w:pPr>
        <w:pStyle w:val="Titre3"/>
        <w:spacing w:before="190" w:after="80"/>
      </w:pPr>
      <w:r>
        <w:rPr>
          <w:rFonts w:ascii="Calibri" w:eastAsia="Calibri" w:hAnsi="Calibri" w:cs="Calibri"/>
          <w:b/>
          <w:bCs/>
          <w:i/>
          <w:iCs/>
          <w:color w:val="1A1A1A"/>
          <w:sz w:val="21"/>
          <w:szCs w:val="21"/>
        </w:rPr>
        <w:t>II. Le droit d’éligibilité, versant actif du droit à des élections libres</w:t>
      </w:r>
    </w:p>
    <w:p w14:paraId="647605ED" w14:textId="77777777" w:rsidR="001E3E87" w:rsidRDefault="005258B2">
      <w:pPr>
        <w:pStyle w:val="Titre3"/>
        <w:spacing w:before="190" w:after="80"/>
      </w:pPr>
      <w:r>
        <w:rPr>
          <w:rFonts w:ascii="Calibri" w:eastAsia="Calibri" w:hAnsi="Calibri" w:cs="Calibri"/>
          <w:b/>
          <w:bCs/>
          <w:i/>
          <w:iCs/>
          <w:color w:val="1A1A1A"/>
          <w:sz w:val="21"/>
          <w:szCs w:val="21"/>
        </w:rPr>
        <w:t>A. Le droit d’éligibilité</w:t>
      </w:r>
    </w:p>
    <w:p w14:paraId="1ECE3A8E" w14:textId="77777777" w:rsidR="001E3E87" w:rsidRDefault="005258B2">
      <w:pPr>
        <w:spacing w:after="90" w:line="264" w:lineRule="auto"/>
        <w:jc w:val="both"/>
      </w:pPr>
      <w:r>
        <w:rPr>
          <w:rFonts w:ascii="Calibri" w:eastAsia="Calibri" w:hAnsi="Calibri" w:cs="Calibri"/>
          <w:color w:val="1A1A1A"/>
        </w:rPr>
        <w:t>Le droit à des élections libres garantit le droit de toute personne de pouvoir briguer un mandat électoral et la garantie de pouvoir exercer son mandat une fois élue. Il s’agit du « pouvoir souverain de l’électorat ». (</w:t>
      </w:r>
      <w:r>
        <w:rPr>
          <w:rFonts w:ascii="Calibri" w:eastAsia="Calibri" w:hAnsi="Calibri" w:cs="Calibri"/>
          <w:color w:val="E91E63"/>
        </w:rPr>
        <w:t>CEDH, 11 juin 2002, no 25144/94</w:t>
      </w:r>
      <w:r>
        <w:rPr>
          <w:rFonts w:ascii="Calibri" w:eastAsia="Calibri" w:hAnsi="Calibri" w:cs="Calibri"/>
          <w:color w:val="1A1A1A"/>
        </w:rPr>
        <w:t xml:space="preserve">, 26149/95 à 26154/95, 27100/95 et 27101/95, Selim Sadak c. Turquie). Possibilité pour une personne de briguer un mandat électoral et de pouvoir l’exercer une fois élu. La protection des mandats passe essentiellement par la mise en place d’immunités (irresponsabilité et inviolabilité parlementaire) et de privilèges juridictionnels (privilège de </w:t>
      </w:r>
      <w:r>
        <w:rPr>
          <w:rFonts w:ascii="Calibri" w:eastAsia="Calibri" w:hAnsi="Calibri" w:cs="Calibri"/>
          <w:color w:val="1A1A1A"/>
        </w:rPr>
        <w:lastRenderedPageBreak/>
        <w:t>juridiction pour le président de la République) L’éligibilité peut être restreinte pour des motifs légitimes et non discriminatoires. En France, les inéligibilités ne peuvent découler que des dispositions expresses d’une loi. L’article LO 133 du Code électoral liste 19 catégories de personne qui ne peuvent pas se présenter aux élections législatives pour éviter les conflits d’intérêt et la corruption (magistrats, recteurs, officiers des armées, inspecteurs d’académie…).</w:t>
      </w:r>
    </w:p>
    <w:p w14:paraId="68A90AD0" w14:textId="77777777" w:rsidR="001E3E87" w:rsidRDefault="005258B2">
      <w:pPr>
        <w:pStyle w:val="Titre3"/>
        <w:spacing w:before="190" w:after="80"/>
      </w:pPr>
      <w:r>
        <w:rPr>
          <w:rFonts w:ascii="Calibri" w:eastAsia="Calibri" w:hAnsi="Calibri" w:cs="Calibri"/>
          <w:b/>
          <w:bCs/>
          <w:i/>
          <w:iCs/>
          <w:color w:val="1A1A1A"/>
          <w:sz w:val="21"/>
          <w:szCs w:val="21"/>
        </w:rPr>
        <w:t>B. Être électeur et éligible : jouissance complète du droit à des élections libres</w:t>
      </w:r>
    </w:p>
    <w:p w14:paraId="3810B45D" w14:textId="77777777" w:rsidR="001E3E87" w:rsidRDefault="005258B2">
      <w:pPr>
        <w:spacing w:after="90" w:line="264" w:lineRule="auto"/>
        <w:jc w:val="both"/>
      </w:pPr>
      <w:r>
        <w:rPr>
          <w:rFonts w:ascii="Calibri" w:eastAsia="Calibri" w:hAnsi="Calibri" w:cs="Calibri"/>
          <w:color w:val="1A1A1A"/>
        </w:rPr>
        <w:t>Pour être électeur et éligible, il existe de nombreuses conditions : la condition de nationalité : le droit de vote est attaché à la qualité de français, les étrangers sont exclus du droit de vote sauf les citoyens européens pour les élections municipales depuis le traité de Maastricht. Condition de la majorité électorale : 18 ans pour pouvoir voter / condition de résidence : résidence effective depuis 6 mois / absence de déchéance des droits politiques : prononcée dans une décision de justice soit à titre principal ou à titre accessoire pour certains crimes et délits (extorsion, chantage, faux témoignage…) / nécessité d’être inscrit sur les listes électorales. Possibilité de conditions renforcées d’éligibilité pour certains mandats (résidence, âge, incompatibilités professionnelles ou statutaires).</w:t>
      </w:r>
    </w:p>
    <w:p w14:paraId="73E435B7" w14:textId="77777777" w:rsidR="001E3E87" w:rsidRDefault="005258B2">
      <w:pPr>
        <w:spacing w:after="90" w:line="264" w:lineRule="auto"/>
        <w:jc w:val="both"/>
      </w:pPr>
      <w:r>
        <w:rPr>
          <w:rFonts w:ascii="Calibri" w:eastAsia="Calibri" w:hAnsi="Calibri" w:cs="Calibri"/>
          <w:color w:val="1A1A1A"/>
        </w:rPr>
        <w:t>En conclusion, le droit à des élections libres fait partie des fondements essentiels de nos démocraties modernes et de la République française.</w:t>
      </w:r>
    </w:p>
    <w:p w14:paraId="14ED96D5" w14:textId="77777777" w:rsidR="001E3E87" w:rsidRDefault="005258B2">
      <w:r>
        <w:br w:type="page"/>
      </w:r>
    </w:p>
    <w:p w14:paraId="79C02BB0"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43 — COMMENTAIRE DE TEXTE</w:t>
      </w:r>
    </w:p>
    <w:p w14:paraId="5C58F59F" w14:textId="77777777" w:rsidR="001E3E87" w:rsidRDefault="005258B2">
      <w:pPr>
        <w:spacing w:after="160"/>
      </w:pPr>
      <w:r>
        <w:rPr>
          <w:rFonts w:ascii="Calibri" w:eastAsia="Calibri" w:hAnsi="Calibri" w:cs="Calibri"/>
          <w:i/>
          <w:iCs/>
          <w:color w:val="5A5A5A"/>
          <w:sz w:val="18"/>
          <w:szCs w:val="18"/>
        </w:rPr>
        <w:t>Fiche n° 43 — Les protections fondamentales en cas d’éloignement, d’expulsion et d’extradition  |  PARTIE VI. LES DROITS CIVILS ET POLITIQUES  |  Fascicule p. 454</w:t>
      </w:r>
    </w:p>
    <w:p w14:paraId="5BD3CA2C"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66FFEC06"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 xml:space="preserve">Proposition de </w:t>
      </w:r>
      <w:r>
        <w:rPr>
          <w:rFonts w:ascii="Calibri" w:eastAsia="Calibri" w:hAnsi="Calibri" w:cs="Calibri"/>
          <w:color w:val="1E88E5"/>
        </w:rPr>
        <w:t>loi no 977</w:t>
      </w:r>
      <w:r>
        <w:rPr>
          <w:rFonts w:ascii="Calibri" w:eastAsia="Calibri" w:hAnsi="Calibri" w:cs="Calibri"/>
          <w:color w:val="1A1A1A"/>
        </w:rPr>
        <w:t xml:space="preserve"> visant à ne pas autoriser le mariage d’un étrangers soumis à l’obligation de quitter le territoire français.</w:t>
      </w:r>
    </w:p>
    <w:p w14:paraId="030E8D8E"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 Article unique - L’</w:t>
      </w:r>
      <w:r>
        <w:rPr>
          <w:rFonts w:ascii="Calibri" w:eastAsia="Calibri" w:hAnsi="Calibri" w:cs="Calibri"/>
          <w:color w:val="1E88E5"/>
        </w:rPr>
        <w:t>article 144</w:t>
      </w:r>
      <w:r>
        <w:rPr>
          <w:rFonts w:ascii="Calibri" w:eastAsia="Calibri" w:hAnsi="Calibri" w:cs="Calibri"/>
          <w:color w:val="1A1A1A"/>
        </w:rPr>
        <w:t xml:space="preserve"> du </w:t>
      </w:r>
      <w:r>
        <w:rPr>
          <w:rFonts w:ascii="Calibri" w:eastAsia="Calibri" w:hAnsi="Calibri" w:cs="Calibri"/>
          <w:color w:val="1E88E5"/>
        </w:rPr>
        <w:t>Code civil</w:t>
      </w:r>
      <w:r>
        <w:rPr>
          <w:rFonts w:ascii="Calibri" w:eastAsia="Calibri" w:hAnsi="Calibri" w:cs="Calibri"/>
          <w:color w:val="1A1A1A"/>
        </w:rPr>
        <w:t xml:space="preserve"> est complété par un alinéa ainsi rédigé : “Le mariage ne peut être célébré si l’une des deux personnes est soumise à une obligation de quitter le territoire français.” »</w:t>
      </w:r>
    </w:p>
    <w:p w14:paraId="60593F39"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5ADB6837" w14:textId="77777777" w:rsidR="001E3E87" w:rsidRDefault="005258B2">
      <w:pPr>
        <w:spacing w:after="90" w:line="264" w:lineRule="auto"/>
        <w:jc w:val="both"/>
      </w:pPr>
      <w:r>
        <w:rPr>
          <w:rFonts w:ascii="Calibri" w:eastAsia="Calibri" w:hAnsi="Calibri" w:cs="Calibri"/>
          <w:color w:val="1A1A1A"/>
        </w:rPr>
        <w:t>Le droit au mariage est un droit fondamental consacré tant par le droit interne que par le droit international (</w:t>
      </w:r>
      <w:r>
        <w:rPr>
          <w:rFonts w:ascii="Calibri" w:eastAsia="Calibri" w:hAnsi="Calibri" w:cs="Calibri"/>
          <w:color w:val="E91E63"/>
        </w:rPr>
        <w:t xml:space="preserve">Cons. const., décision no 2003-484 </w:t>
      </w:r>
      <w:r>
        <w:rPr>
          <w:rFonts w:ascii="Calibri" w:eastAsia="Calibri" w:hAnsi="Calibri" w:cs="Calibri"/>
          <w:color w:val="1A1A1A"/>
        </w:rPr>
        <w:t xml:space="preserve">DC du 20 novembre 2003, Loi relative à la maîtrise de l’immigration, au séjour des étrangers en France et à la nationalité). En droit français, il est encadré par le </w:t>
      </w:r>
      <w:r>
        <w:rPr>
          <w:rFonts w:ascii="Calibri" w:eastAsia="Calibri" w:hAnsi="Calibri" w:cs="Calibri"/>
          <w:color w:val="1E88E5"/>
        </w:rPr>
        <w:t>Code civil</w:t>
      </w:r>
      <w:r>
        <w:rPr>
          <w:rFonts w:ascii="Calibri" w:eastAsia="Calibri" w:hAnsi="Calibri" w:cs="Calibri"/>
          <w:color w:val="1A1A1A"/>
        </w:rPr>
        <w:t xml:space="preserve">, notamment aux </w:t>
      </w:r>
      <w:r>
        <w:rPr>
          <w:rFonts w:ascii="Calibri" w:eastAsia="Calibri" w:hAnsi="Calibri" w:cs="Calibri"/>
          <w:color w:val="1E88E5"/>
        </w:rPr>
        <w:t>articles 143 à 164</w:t>
      </w:r>
      <w:r>
        <w:rPr>
          <w:rFonts w:ascii="Calibri" w:eastAsia="Calibri" w:hAnsi="Calibri" w:cs="Calibri"/>
          <w:color w:val="1A1A1A"/>
        </w:rPr>
        <w:t xml:space="preserve">, et son accès est reconnu à tous, y compris aux personnes étrangères. Toutefois, ce principe connaît certaines restrictions motivées par l’ordre public, comme la lutte contre les mariages de complaisance ou les fraudes au séjour, mais encadrées par des procédures visant à garantir les droits de la personne. La proposition de </w:t>
      </w:r>
      <w:r>
        <w:rPr>
          <w:rFonts w:ascii="Calibri" w:eastAsia="Calibri" w:hAnsi="Calibri" w:cs="Calibri"/>
          <w:color w:val="1E88E5"/>
        </w:rPr>
        <w:t>loi no 977</w:t>
      </w:r>
      <w:r>
        <w:rPr>
          <w:rFonts w:ascii="Calibri" w:eastAsia="Calibri" w:hAnsi="Calibri" w:cs="Calibri"/>
          <w:color w:val="1A1A1A"/>
        </w:rPr>
        <w:t>, déposée à l’Assemblée nationale, qui vise à compléter l’</w:t>
      </w:r>
      <w:r>
        <w:rPr>
          <w:rFonts w:ascii="Calibri" w:eastAsia="Calibri" w:hAnsi="Calibri" w:cs="Calibri"/>
          <w:color w:val="1E88E5"/>
        </w:rPr>
        <w:t>article 144</w:t>
      </w:r>
      <w:r>
        <w:rPr>
          <w:rFonts w:ascii="Calibri" w:eastAsia="Calibri" w:hAnsi="Calibri" w:cs="Calibri"/>
          <w:color w:val="1A1A1A"/>
        </w:rPr>
        <w:t xml:space="preserve"> du </w:t>
      </w:r>
      <w:r>
        <w:rPr>
          <w:rFonts w:ascii="Calibri" w:eastAsia="Calibri" w:hAnsi="Calibri" w:cs="Calibri"/>
          <w:color w:val="1E88E5"/>
        </w:rPr>
        <w:t>Code civil</w:t>
      </w:r>
      <w:r>
        <w:rPr>
          <w:rFonts w:ascii="Calibri" w:eastAsia="Calibri" w:hAnsi="Calibri" w:cs="Calibri"/>
          <w:color w:val="1A1A1A"/>
        </w:rPr>
        <w:t xml:space="preserve"> pour interdire la célébration d’un mariage si l’un des futurs époux est sous le coup d’une obligation de quitter le territoire français (OQTF), entend porter atteinte à ce droit au mariage puisque cette disposition vise à limiter les possibilités de régularisation du séjour par le biais du mariage. Surtout, cette proposition vient modifier les droits et garanties d’une personne visée par une obligation de quitter le territoire français (OQTF). Elle fait suite au refus par le maire de Béziers de marier une personne ayant une OQTF. Cette initiative législative soulève des enjeux sensibles, à la croisée des droits fondamentaux et de la politique migratoire. Elle conduit à s’interroger sur sa portée juridique, mais aussi sur sa conformité aux principes constitutionnels et conventionnels. Il conviendra d’analyser d’une part les objectifs poursuivis par la proposition de loi au regard de la mesure d’éloignement (I), puis d’autre part les risques d’inconstitutionnalité et de contrariété au droit européen qu’elle pourrait soulever (II).</w:t>
      </w:r>
    </w:p>
    <w:p w14:paraId="2E39F626" w14:textId="77777777" w:rsidR="001E3E87" w:rsidRDefault="005258B2">
      <w:pPr>
        <w:pStyle w:val="Titre3"/>
        <w:spacing w:before="190" w:after="80"/>
      </w:pPr>
      <w:r>
        <w:rPr>
          <w:rFonts w:ascii="Calibri" w:eastAsia="Calibri" w:hAnsi="Calibri" w:cs="Calibri"/>
          <w:b/>
          <w:bCs/>
          <w:i/>
          <w:iCs/>
          <w:color w:val="1A1A1A"/>
          <w:sz w:val="21"/>
          <w:szCs w:val="21"/>
        </w:rPr>
        <w:t>I. Une volonté de renforcer la cohérence entre droit des étrangers et droit du mariage</w:t>
      </w:r>
    </w:p>
    <w:p w14:paraId="00A4E66D" w14:textId="77777777" w:rsidR="001E3E87" w:rsidRDefault="005258B2">
      <w:pPr>
        <w:pStyle w:val="Titre3"/>
        <w:spacing w:before="190" w:after="80"/>
      </w:pPr>
      <w:r>
        <w:rPr>
          <w:rFonts w:ascii="Calibri" w:eastAsia="Calibri" w:hAnsi="Calibri" w:cs="Calibri"/>
          <w:b/>
          <w:bCs/>
          <w:i/>
          <w:iCs/>
          <w:color w:val="1A1A1A"/>
          <w:sz w:val="21"/>
          <w:szCs w:val="21"/>
        </w:rPr>
        <w:t>A. Une mesure fondée sur des préoccupations migratoires et de lutte contre la fraude</w:t>
      </w:r>
    </w:p>
    <w:p w14:paraId="5128962C" w14:textId="77777777" w:rsidR="001E3E87" w:rsidRDefault="005258B2">
      <w:pPr>
        <w:spacing w:after="90" w:line="264" w:lineRule="auto"/>
        <w:jc w:val="both"/>
      </w:pPr>
      <w:r>
        <w:rPr>
          <w:rFonts w:ascii="Calibri" w:eastAsia="Calibri" w:hAnsi="Calibri" w:cs="Calibri"/>
          <w:color w:val="1A1A1A"/>
        </w:rPr>
        <w:t>L’objectif affiché de cette proposition est clair : empêcher que le mariage soit utilisé comme une stratégie de régularisation du séjour par une personne faisant l’objet d’une OQTF. En effet, en droit positif, un étranger faisant l’objet d’une décision administrative portant mesure d’éloignement peut tout de même contracter mariage. L’union peut alors entraîner, sous certaines conditions, l’annulation de la mesure d’éloignement ou ouvrir la voie à une régularisation. L’ajout envisagé à l’</w:t>
      </w:r>
      <w:r>
        <w:rPr>
          <w:rFonts w:ascii="Calibri" w:eastAsia="Calibri" w:hAnsi="Calibri" w:cs="Calibri"/>
          <w:color w:val="1E88E5"/>
        </w:rPr>
        <w:t>article 144</w:t>
      </w:r>
      <w:r>
        <w:rPr>
          <w:rFonts w:ascii="Calibri" w:eastAsia="Calibri" w:hAnsi="Calibri" w:cs="Calibri"/>
          <w:color w:val="1A1A1A"/>
        </w:rPr>
        <w:t xml:space="preserve"> introduit une condition préalable à la célébration du mariage, non pas liée à l’âge (comme le reste de l’article), mais à la situation administrative d’un des époux. Il s’agit ainsi d’éviter que le mariage serve d’obstacle à l’exécution des décisions préfectorales d’éloignement. Cette mesure exerce donc une influence directe sur les droits de la personne faisant l’objet de la mesure d’éloignement.</w:t>
      </w:r>
    </w:p>
    <w:p w14:paraId="1D160721" w14:textId="77777777" w:rsidR="001E3E87" w:rsidRDefault="005258B2">
      <w:pPr>
        <w:pStyle w:val="Titre3"/>
        <w:spacing w:before="190" w:after="80"/>
      </w:pPr>
      <w:r>
        <w:rPr>
          <w:rFonts w:ascii="Calibri" w:eastAsia="Calibri" w:hAnsi="Calibri" w:cs="Calibri"/>
          <w:b/>
          <w:bCs/>
          <w:i/>
          <w:iCs/>
          <w:color w:val="1A1A1A"/>
          <w:sz w:val="21"/>
          <w:szCs w:val="21"/>
        </w:rPr>
        <w:t>B. La volonté de simplification de la gestion et d’anticipation des mariage en contexte migratoire</w:t>
      </w:r>
    </w:p>
    <w:p w14:paraId="711C4691" w14:textId="77777777" w:rsidR="001E3E87" w:rsidRDefault="005258B2">
      <w:pPr>
        <w:spacing w:after="90" w:line="264" w:lineRule="auto"/>
        <w:jc w:val="both"/>
      </w:pPr>
      <w:r>
        <w:rPr>
          <w:rFonts w:ascii="Calibri" w:eastAsia="Calibri" w:hAnsi="Calibri" w:cs="Calibri"/>
          <w:color w:val="1A1A1A"/>
        </w:rPr>
        <w:t>Au-delà de la lutte contre les fraudes, la proposition de loi s’inscrit dans une volonté de rationaliser l’action administrative. En interdisant la célébration du mariage en cas d’OQTF, on éviterait d’avoir à suspendre ou annuler une mesure d’éloignement en raison d’un mariage survenu postérieurement. Il s’agit donc d’anticiper les effets juridiques du mariage, en empêchant qu’il interfère avec la procédure d’éloignement, ce qui est vu par les députés comme un moyen de préserver l’efficacité de la politique migratoire. Cette approche administrative se fonde sur une conception plus restrictive du droit au mariage, subordonnée aux impératifs d’ordre public migratoire.</w:t>
      </w:r>
    </w:p>
    <w:p w14:paraId="64CC10C0" w14:textId="77777777" w:rsidR="001E3E87" w:rsidRDefault="005258B2">
      <w:pPr>
        <w:pStyle w:val="Titre3"/>
        <w:spacing w:before="190" w:after="80"/>
      </w:pPr>
      <w:r>
        <w:rPr>
          <w:rFonts w:ascii="Calibri" w:eastAsia="Calibri" w:hAnsi="Calibri" w:cs="Calibri"/>
          <w:b/>
          <w:bCs/>
          <w:i/>
          <w:iCs/>
          <w:color w:val="1A1A1A"/>
          <w:sz w:val="21"/>
          <w:szCs w:val="21"/>
        </w:rPr>
        <w:t>II. Une proposition soulevant de sérieuses interrogations constitutionnelles et conventionnelles</w:t>
      </w:r>
    </w:p>
    <w:p w14:paraId="03AB7B22" w14:textId="77777777" w:rsidR="001E3E87" w:rsidRDefault="005258B2">
      <w:pPr>
        <w:pStyle w:val="Titre3"/>
        <w:spacing w:before="190" w:after="80"/>
      </w:pPr>
      <w:r>
        <w:rPr>
          <w:rFonts w:ascii="Calibri" w:eastAsia="Calibri" w:hAnsi="Calibri" w:cs="Calibri"/>
          <w:b/>
          <w:bCs/>
          <w:i/>
          <w:iCs/>
          <w:color w:val="1A1A1A"/>
          <w:sz w:val="21"/>
          <w:szCs w:val="21"/>
        </w:rPr>
        <w:t>A. L’atteinte sous-jacente au droit fondamental de se marier</w:t>
      </w:r>
    </w:p>
    <w:p w14:paraId="649F719C" w14:textId="77777777" w:rsidR="001E3E87" w:rsidRDefault="005258B2">
      <w:pPr>
        <w:spacing w:after="90" w:line="264" w:lineRule="auto"/>
        <w:jc w:val="both"/>
      </w:pPr>
      <w:r>
        <w:rPr>
          <w:rFonts w:ascii="Calibri" w:eastAsia="Calibri" w:hAnsi="Calibri" w:cs="Calibri"/>
          <w:color w:val="1A1A1A"/>
        </w:rPr>
        <w:t>Le droit au mariage est garanti par l’</w:t>
      </w:r>
      <w:r>
        <w:rPr>
          <w:rFonts w:ascii="Calibri" w:eastAsia="Calibri" w:hAnsi="Calibri" w:cs="Calibri"/>
          <w:color w:val="1E88E5"/>
        </w:rPr>
        <w:t>article 12</w:t>
      </w:r>
      <w:r>
        <w:rPr>
          <w:rFonts w:ascii="Calibri" w:eastAsia="Calibri" w:hAnsi="Calibri" w:cs="Calibri"/>
          <w:color w:val="1A1A1A"/>
        </w:rPr>
        <w:t xml:space="preserve"> de la </w:t>
      </w:r>
      <w:r>
        <w:rPr>
          <w:rFonts w:ascii="Calibri" w:eastAsia="Calibri" w:hAnsi="Calibri" w:cs="Calibri"/>
          <w:color w:val="1E88E5"/>
        </w:rPr>
        <w:t>Convention européenne des droits de l’homme</w:t>
      </w:r>
      <w:r>
        <w:rPr>
          <w:rFonts w:ascii="Calibri" w:eastAsia="Calibri" w:hAnsi="Calibri" w:cs="Calibri"/>
          <w:color w:val="1A1A1A"/>
        </w:rPr>
        <w:t xml:space="preserve"> (CEDH) et les </w:t>
      </w:r>
      <w:r>
        <w:rPr>
          <w:rFonts w:ascii="Calibri" w:eastAsia="Calibri" w:hAnsi="Calibri" w:cs="Calibri"/>
          <w:color w:val="1E88E5"/>
        </w:rPr>
        <w:t>articles 2 et 4</w:t>
      </w:r>
      <w:r>
        <w:rPr>
          <w:rFonts w:ascii="Calibri" w:eastAsia="Calibri" w:hAnsi="Calibri" w:cs="Calibri"/>
          <w:color w:val="1A1A1A"/>
        </w:rPr>
        <w:t xml:space="preserve"> de la </w:t>
      </w:r>
      <w:r>
        <w:rPr>
          <w:rFonts w:ascii="Calibri" w:eastAsia="Calibri" w:hAnsi="Calibri" w:cs="Calibri"/>
          <w:color w:val="1E88E5"/>
        </w:rPr>
        <w:t>Déclaration des droits de l’homme et du citoyen</w:t>
      </w:r>
      <w:r>
        <w:rPr>
          <w:rFonts w:ascii="Calibri" w:eastAsia="Calibri" w:hAnsi="Calibri" w:cs="Calibri"/>
          <w:color w:val="1A1A1A"/>
        </w:rPr>
        <w:t xml:space="preserve">. Il a été reconnu comme une liberté fondamentale par le Conseil constitutionnel et le Conseil d’État. Ce droit ne peut être limité que pour des raisons légitimes et de manière proportionnée. Or, en interdisant a priori tout mariage à une personne sous OQTF, sans examen individualisé, la </w:t>
      </w:r>
      <w:r>
        <w:rPr>
          <w:rFonts w:ascii="Calibri" w:eastAsia="Calibri" w:hAnsi="Calibri" w:cs="Calibri"/>
          <w:color w:val="1A1A1A"/>
        </w:rPr>
        <w:lastRenderedPageBreak/>
        <w:t>proposition de loi opère une restriction générale et absolue, susceptible d’être jugée disproportionnée. La Cour européenne des droits de l’homme a déjà rappelé que le droit au mariage ne peut être supprimé du seul fait de la situation administrative d’un étranger (CEDH, O’Donoghue c. Royaume-Uni, 2010).</w:t>
      </w:r>
    </w:p>
    <w:p w14:paraId="53D65898" w14:textId="77777777" w:rsidR="001E3E87" w:rsidRDefault="005258B2">
      <w:pPr>
        <w:pStyle w:val="Titre3"/>
        <w:spacing w:before="190" w:after="80"/>
      </w:pPr>
      <w:r>
        <w:rPr>
          <w:rFonts w:ascii="Calibri" w:eastAsia="Calibri" w:hAnsi="Calibri" w:cs="Calibri"/>
          <w:b/>
          <w:bCs/>
          <w:i/>
          <w:iCs/>
          <w:color w:val="1A1A1A"/>
          <w:sz w:val="21"/>
          <w:szCs w:val="21"/>
        </w:rPr>
        <w:t>B. Le risque d’inconstitutionnalité pour atteinte disproportionnée à une liberté individuelle</w:t>
      </w:r>
    </w:p>
    <w:p w14:paraId="6111A0C6" w14:textId="77777777" w:rsidR="001E3E87" w:rsidRDefault="005258B2">
      <w:pPr>
        <w:spacing w:after="90" w:line="264" w:lineRule="auto"/>
        <w:jc w:val="both"/>
      </w:pPr>
      <w:r>
        <w:rPr>
          <w:rFonts w:ascii="Calibri" w:eastAsia="Calibri" w:hAnsi="Calibri" w:cs="Calibri"/>
          <w:color w:val="1A1A1A"/>
        </w:rPr>
        <w:t>Le Conseil constitutionnel, dans plusieurs décisions (notamment DC no 93-325 et DC no 2003-484), a rappelé que le législateur peut encadrer l’exercice du droit au mariage, mais ne peut y porter atteinte de manière disproportionnée. La condition de régularité du séjour n’a jamais été reconnue comme préalable à la célébration du mariage. Ainsi, une telle interdiction pourrait priver les individus de la possibilité de se marier en France même pour les personnes en situation irrégulière, tant que le mariage n’est pas frauduleux. Enfin, la mesure risquerait de violer le principe d’égalité devant la loi, en instaurant une différence de traitement entre les couples selon la nationalité ou la situation administrative de l’un des époux, sans justification suffisante au regard de l’objectif poursuivi. En conclusion, il existe de forts risques que cette loi soit déclarée inconstitutionnelle en ce qu’elle porte une atteinte démesurée au droit de se marier.</w:t>
      </w:r>
    </w:p>
    <w:p w14:paraId="7C51B8CC" w14:textId="77777777" w:rsidR="001E3E87" w:rsidRDefault="005258B2">
      <w:r>
        <w:br w:type="page"/>
      </w:r>
    </w:p>
    <w:p w14:paraId="662B6763"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44 — DISSERTATION</w:t>
      </w:r>
    </w:p>
    <w:p w14:paraId="2A2A35C8" w14:textId="77777777" w:rsidR="001E3E87" w:rsidRDefault="005258B2">
      <w:pPr>
        <w:spacing w:after="160"/>
      </w:pPr>
      <w:r>
        <w:rPr>
          <w:rFonts w:ascii="Calibri" w:eastAsia="Calibri" w:hAnsi="Calibri" w:cs="Calibri"/>
          <w:i/>
          <w:iCs/>
          <w:color w:val="5A5A5A"/>
          <w:sz w:val="18"/>
          <w:szCs w:val="18"/>
        </w:rPr>
        <w:t>Fiche n° 44 — Le droit des peuples à disposer d’eux-mêmes  |  PARTIE VI. LES DROITS CIVILS ET POLITIQUES  |  Fascicule p. 465</w:t>
      </w:r>
    </w:p>
    <w:p w14:paraId="305DF3F4"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1F649742"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Les implications du droit des peuples à disposer d’eux-mêmes en France ?</w:t>
      </w:r>
    </w:p>
    <w:p w14:paraId="710B7A9E"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606BEFB7" w14:textId="77777777" w:rsidR="001E3E87" w:rsidRDefault="005258B2">
      <w:pPr>
        <w:spacing w:after="90" w:line="264" w:lineRule="auto"/>
        <w:jc w:val="both"/>
      </w:pPr>
      <w:r>
        <w:rPr>
          <w:rFonts w:ascii="Calibri" w:eastAsia="Calibri" w:hAnsi="Calibri" w:cs="Calibri"/>
          <w:color w:val="1A1A1A"/>
        </w:rPr>
        <w:t xml:space="preserve">Le droit des peuples à disposer d’eux-mêmes fait l’objet d’une reconnaissance multiple. L’intérêt d’une telle analyse réside dans des revendications contemporaines d’indépendance hétérogènes en Nouvelle-Calédonie et en Corse, dont la réponse juridique apportée semble devoir se construire dans les années à venir. Ces revendications s’inscrivent dans le cadre d’un État unitaire qu’est la France (art. premier la </w:t>
      </w:r>
      <w:r>
        <w:rPr>
          <w:rFonts w:ascii="Calibri" w:eastAsia="Calibri" w:hAnsi="Calibri" w:cs="Calibri"/>
          <w:color w:val="1E88E5"/>
        </w:rPr>
        <w:t>Constitution de 1958</w:t>
      </w:r>
      <w:r>
        <w:rPr>
          <w:rFonts w:ascii="Calibri" w:eastAsia="Calibri" w:hAnsi="Calibri" w:cs="Calibri"/>
          <w:color w:val="1A1A1A"/>
        </w:rPr>
        <w:t xml:space="preserve"> « La France est une République indivisible ».)</w:t>
      </w:r>
    </w:p>
    <w:p w14:paraId="27D8241C" w14:textId="77777777" w:rsidR="001E3E87" w:rsidRDefault="005258B2">
      <w:pPr>
        <w:spacing w:after="90" w:line="264" w:lineRule="auto"/>
        <w:jc w:val="both"/>
      </w:pPr>
      <w:r>
        <w:rPr>
          <w:rFonts w:ascii="Calibri" w:eastAsia="Calibri" w:hAnsi="Calibri" w:cs="Calibri"/>
          <w:color w:val="1A1A1A"/>
        </w:rPr>
        <w:t>Problématique et annonce de plan : L’exposé des contours du droit des peuples à disposer d’eux-mêmes s’avère nécessaire (I) à la lecture de ses éventuelles applications à venir au sein de la République française (II).</w:t>
      </w:r>
    </w:p>
    <w:p w14:paraId="29EE1DD7" w14:textId="77777777" w:rsidR="001E3E87" w:rsidRDefault="005258B2">
      <w:pPr>
        <w:pStyle w:val="Titre3"/>
        <w:spacing w:before="190" w:after="80"/>
      </w:pPr>
      <w:r>
        <w:rPr>
          <w:rFonts w:ascii="Calibri" w:eastAsia="Calibri" w:hAnsi="Calibri" w:cs="Calibri"/>
          <w:b/>
          <w:bCs/>
          <w:i/>
          <w:iCs/>
          <w:color w:val="1A1A1A"/>
          <w:sz w:val="21"/>
          <w:szCs w:val="21"/>
        </w:rPr>
        <w:t>I. Les applications historiques du droit des peuples à disposer d’eux-mêmes</w:t>
      </w:r>
    </w:p>
    <w:p w14:paraId="2EFB8883" w14:textId="77777777" w:rsidR="001E3E87" w:rsidRDefault="005258B2">
      <w:pPr>
        <w:pStyle w:val="Titre3"/>
        <w:spacing w:before="190" w:after="80"/>
      </w:pPr>
      <w:r>
        <w:rPr>
          <w:rFonts w:ascii="Calibri" w:eastAsia="Calibri" w:hAnsi="Calibri" w:cs="Calibri"/>
          <w:b/>
          <w:bCs/>
          <w:i/>
          <w:iCs/>
          <w:color w:val="1A1A1A"/>
          <w:sz w:val="21"/>
          <w:szCs w:val="21"/>
        </w:rPr>
        <w:t>A. Le droit des peuples à disposer d’eux-mêmes corolaire des processus de décolonisation</w:t>
      </w:r>
    </w:p>
    <w:p w14:paraId="02B0E767" w14:textId="77777777" w:rsidR="001E3E87" w:rsidRDefault="005258B2">
      <w:pPr>
        <w:spacing w:after="90" w:line="264" w:lineRule="auto"/>
        <w:jc w:val="both"/>
      </w:pPr>
      <w:r>
        <w:rPr>
          <w:rFonts w:ascii="Calibri" w:eastAsia="Calibri" w:hAnsi="Calibri" w:cs="Calibri"/>
          <w:color w:val="1A1A1A"/>
        </w:rPr>
        <w:t xml:space="preserve">Le droit des peuples à disposer d’eux-mêmes a fait l’objet de plusieurs développements (relativement vagues) dans la </w:t>
      </w:r>
      <w:r>
        <w:rPr>
          <w:rFonts w:ascii="Calibri" w:eastAsia="Calibri" w:hAnsi="Calibri" w:cs="Calibri"/>
          <w:color w:val="1E88E5"/>
        </w:rPr>
        <w:t>Charte des Nations unies</w:t>
      </w:r>
      <w:r>
        <w:rPr>
          <w:rFonts w:ascii="Calibri" w:eastAsia="Calibri" w:hAnsi="Calibri" w:cs="Calibri"/>
          <w:color w:val="1A1A1A"/>
        </w:rPr>
        <w:t xml:space="preserve"> à l’issue de la Seconde Guerre mondiale. Plusieurs résolutions de l’Assemblée générale des Nations unies se sont saisies de ce droit dans la perspective de lui donner un contenu clair, un contenu plus éclairé par la Cour internationale de justice. Dans le cadre de la décolonisation, il y a eu en France plusieurs référendums (comme à Mayotte et en Nouvelle- Calédonie) qui ont donné lieu à un rattachement à la France. Rappeler l’</w:t>
      </w:r>
      <w:r>
        <w:rPr>
          <w:rFonts w:ascii="Calibri" w:eastAsia="Calibri" w:hAnsi="Calibri" w:cs="Calibri"/>
          <w:color w:val="1E88E5"/>
        </w:rPr>
        <w:t>article 53</w:t>
      </w:r>
      <w:r>
        <w:rPr>
          <w:rFonts w:ascii="Calibri" w:eastAsia="Calibri" w:hAnsi="Calibri" w:cs="Calibri"/>
          <w:color w:val="1A1A1A"/>
        </w:rPr>
        <w:t xml:space="preserve"> de la Constitution et son interprétation par le Conseil constitutionnel en 1975).</w:t>
      </w:r>
    </w:p>
    <w:p w14:paraId="57AA1DC7" w14:textId="77777777" w:rsidR="001E3E87" w:rsidRDefault="005258B2">
      <w:pPr>
        <w:pStyle w:val="Titre3"/>
        <w:spacing w:before="190" w:after="80"/>
      </w:pPr>
      <w:r>
        <w:rPr>
          <w:rFonts w:ascii="Calibri" w:eastAsia="Calibri" w:hAnsi="Calibri" w:cs="Calibri"/>
          <w:b/>
          <w:bCs/>
          <w:i/>
          <w:iCs/>
          <w:color w:val="1A1A1A"/>
          <w:sz w:val="21"/>
          <w:szCs w:val="21"/>
        </w:rPr>
        <w:t>B. Le droit des peuples à disposer d’eux-mêmes en droit français</w:t>
      </w:r>
    </w:p>
    <w:p w14:paraId="34454073" w14:textId="77777777" w:rsidR="001E3E87" w:rsidRDefault="005258B2">
      <w:pPr>
        <w:spacing w:after="90" w:line="264" w:lineRule="auto"/>
        <w:jc w:val="both"/>
      </w:pPr>
      <w:r>
        <w:rPr>
          <w:rFonts w:ascii="Calibri" w:eastAsia="Calibri" w:hAnsi="Calibri" w:cs="Calibri"/>
          <w:color w:val="1A1A1A"/>
        </w:rPr>
        <w:t>Si le droit français reconnaît un droit à l’autodétermination, le droit positif est clair sur la notion de « peuple français » (décision du Conseil constitutionnel de 1991 : Loi portant statut de la collectivité territoriale de Corse ; décision du Conseil constitutionnel de 1999 : Charte européenne des langues régionales ou minoritaires).</w:t>
      </w:r>
    </w:p>
    <w:p w14:paraId="5FC64E7F" w14:textId="77777777" w:rsidR="001E3E87" w:rsidRDefault="005258B2">
      <w:pPr>
        <w:pStyle w:val="Titre3"/>
        <w:spacing w:before="190" w:after="80"/>
      </w:pPr>
      <w:r>
        <w:rPr>
          <w:rFonts w:ascii="Calibri" w:eastAsia="Calibri" w:hAnsi="Calibri" w:cs="Calibri"/>
          <w:b/>
          <w:bCs/>
          <w:i/>
          <w:iCs/>
          <w:color w:val="1A1A1A"/>
          <w:sz w:val="21"/>
          <w:szCs w:val="21"/>
        </w:rPr>
        <w:t>II. Des applications éventuelles à venir du droit des peuples à disposer d’eux-mêmes en France</w:t>
      </w:r>
    </w:p>
    <w:p w14:paraId="55BE4C5B" w14:textId="77777777" w:rsidR="001E3E87" w:rsidRDefault="005258B2">
      <w:pPr>
        <w:pStyle w:val="Titre3"/>
        <w:spacing w:before="190" w:after="80"/>
      </w:pPr>
      <w:r>
        <w:rPr>
          <w:rFonts w:ascii="Calibri" w:eastAsia="Calibri" w:hAnsi="Calibri" w:cs="Calibri"/>
          <w:b/>
          <w:bCs/>
          <w:i/>
          <w:iCs/>
          <w:color w:val="1A1A1A"/>
          <w:sz w:val="21"/>
          <w:szCs w:val="21"/>
        </w:rPr>
        <w:t>A. Une application incertaine à venir pour le cas de la Nouvelle-Calédonie</w:t>
      </w:r>
    </w:p>
    <w:p w14:paraId="00842052" w14:textId="77777777" w:rsidR="001E3E87" w:rsidRDefault="005258B2">
      <w:pPr>
        <w:spacing w:after="90" w:line="264" w:lineRule="auto"/>
        <w:jc w:val="both"/>
      </w:pPr>
      <w:r>
        <w:rPr>
          <w:rFonts w:ascii="Calibri" w:eastAsia="Calibri" w:hAnsi="Calibri" w:cs="Calibri"/>
          <w:color w:val="1A1A1A"/>
        </w:rPr>
        <w:t>La Nouvelle-Calédonie dispose d’un statut dérogatoire. Plusieurs référendums sur l’accès à l’indépendance ont donné lieu au « non ». Le projet de loi constitutionnelle relatif à la réforme du corps électoral a finalement été abandonné. Le projet de réforme relatif au corps électoral mettait en présence deux points de vue : l’anomalie démocratique, car des milliers de personnes ne pouvaient pas voter / la conformité avec l’Accord de Nouméa qui prévoit une meilleure prise en compte de l’identité kanak. Dans tous les cas, ce projet de réforme a donné lieu à un climat particulièrement sensible qui perdure en Nouvelle-Calédonie. Au regard des résultats des référendums ainsi qu’à l’instabilité actuelle en Nouvelle- Calédonie, l’application à venir du droit du peuple kanak à disposer de lui-même demeure incertaine.</w:t>
      </w:r>
    </w:p>
    <w:p w14:paraId="67D8946C" w14:textId="77777777" w:rsidR="001E3E87" w:rsidRDefault="005258B2">
      <w:pPr>
        <w:pStyle w:val="Titre3"/>
        <w:spacing w:before="190" w:after="80"/>
      </w:pPr>
      <w:r>
        <w:rPr>
          <w:rFonts w:ascii="Calibri" w:eastAsia="Calibri" w:hAnsi="Calibri" w:cs="Calibri"/>
          <w:b/>
          <w:bCs/>
          <w:i/>
          <w:iCs/>
          <w:color w:val="1A1A1A"/>
          <w:sz w:val="21"/>
          <w:szCs w:val="21"/>
        </w:rPr>
        <w:t>B. L’actualité des débats juridiques sur l’avenir institutionnel de la Corse</w:t>
      </w:r>
    </w:p>
    <w:p w14:paraId="7AC2DAA2" w14:textId="77777777" w:rsidR="001E3E87" w:rsidRDefault="005258B2">
      <w:pPr>
        <w:spacing w:after="90" w:line="264" w:lineRule="auto"/>
        <w:jc w:val="both"/>
      </w:pPr>
      <w:r>
        <w:rPr>
          <w:rFonts w:ascii="Calibri" w:eastAsia="Calibri" w:hAnsi="Calibri" w:cs="Calibri"/>
          <w:color w:val="1A1A1A"/>
        </w:rPr>
        <w:t>Le statut de la Corse a évolué depuis 1982 (loi de 1982, loi de 1991, loi de 2002, loi de 2015). Le 28 mai 2025, un rapport d’information (no 1466) déposé par la commission des lois constitutionnelle, de la législation et de l’administration générale de la République traite de l’avenir institutionnel de la Corse. L’éventuelle issue de cette réforme serait la consécration d’un réel statut d’autonomie de la Corse. La jurisprudence administrative récente sur l’usage de la langue Corse dans la sphère publique relance des débats sur la préservation de l’identité culturelle de l’île.</w:t>
      </w:r>
    </w:p>
    <w:p w14:paraId="204A77A2" w14:textId="77777777" w:rsidR="001E3E87" w:rsidRDefault="005258B2">
      <w:pPr>
        <w:spacing w:after="90" w:line="264" w:lineRule="auto"/>
        <w:jc w:val="both"/>
      </w:pPr>
      <w:r>
        <w:rPr>
          <w:rFonts w:ascii="Calibri" w:eastAsia="Calibri" w:hAnsi="Calibri" w:cs="Calibri"/>
          <w:color w:val="1A1A1A"/>
        </w:rPr>
        <w:t>En conclusion, il semble délicat d’affirmer catégoriquement que le droit des peuples à disposer d’eux-mêmes doive trouver à s’appliquer dans l’immédiat en France. Il existe une tension difficile à résoudre entre ce droit et l’intégrité territoriale de l’État (comparaison avec la Catalogne).</w:t>
      </w:r>
    </w:p>
    <w:p w14:paraId="63DC4237" w14:textId="77777777" w:rsidR="001E3E87" w:rsidRDefault="005258B2">
      <w:r>
        <w:br w:type="page"/>
      </w:r>
    </w:p>
    <w:p w14:paraId="13E512F2" w14:textId="77777777" w:rsidR="001E3E87" w:rsidRDefault="005258B2">
      <w:pPr>
        <w:shd w:val="clear" w:color="auto" w:fill="F2E9EA"/>
        <w:spacing w:before="200" w:after="200"/>
        <w:jc w:val="center"/>
      </w:pPr>
      <w:r>
        <w:rPr>
          <w:rFonts w:ascii="Calibri" w:eastAsia="Calibri" w:hAnsi="Calibri" w:cs="Calibri"/>
          <w:b/>
          <w:bCs/>
          <w:color w:val="8C1C2B"/>
          <w:spacing w:val="30"/>
          <w:sz w:val="26"/>
          <w:szCs w:val="26"/>
        </w:rPr>
        <w:lastRenderedPageBreak/>
        <w:t>PARTIE VII. LES DROITS ÉCONOMIQUES, SOCIAUX ET CULTURELS</w:t>
      </w:r>
    </w:p>
    <w:p w14:paraId="56149505"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t>ENTRAÎNEMENT N° 45 — DISSERTATION</w:t>
      </w:r>
    </w:p>
    <w:p w14:paraId="6EA5C91D" w14:textId="77777777" w:rsidR="001E3E87" w:rsidRDefault="005258B2">
      <w:pPr>
        <w:spacing w:after="160"/>
      </w:pPr>
      <w:r>
        <w:rPr>
          <w:rFonts w:ascii="Calibri" w:eastAsia="Calibri" w:hAnsi="Calibri" w:cs="Calibri"/>
          <w:i/>
          <w:iCs/>
          <w:color w:val="5A5A5A"/>
          <w:sz w:val="18"/>
          <w:szCs w:val="18"/>
        </w:rPr>
        <w:t>Fiche n° 45 — La liberté du commerce et de l’industrie  |  PARTIE VII. LES DROITS ÉCONOMIQUES, SOCIAUX ET CULTURELS  |  Fascicule p. 473</w:t>
      </w:r>
    </w:p>
    <w:p w14:paraId="692157BE"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3F2FF7C1"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La soumission de la liberté d’entreprendre à des autorisations administratives.</w:t>
      </w:r>
    </w:p>
    <w:p w14:paraId="2E4077E3"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7A4411F5" w14:textId="77777777" w:rsidR="001E3E87" w:rsidRDefault="005258B2">
      <w:pPr>
        <w:spacing w:after="90" w:line="264" w:lineRule="auto"/>
        <w:jc w:val="both"/>
      </w:pPr>
      <w:r>
        <w:rPr>
          <w:rFonts w:ascii="Calibri" w:eastAsia="Calibri" w:hAnsi="Calibri" w:cs="Calibri"/>
          <w:color w:val="1A1A1A"/>
        </w:rPr>
        <w:t xml:space="preserve">Si la </w:t>
      </w:r>
      <w:r>
        <w:rPr>
          <w:rFonts w:ascii="Calibri" w:eastAsia="Calibri" w:hAnsi="Calibri" w:cs="Calibri"/>
          <w:color w:val="1E88E5"/>
        </w:rPr>
        <w:t>Déclaration des droits de l’homme et du citoyen</w:t>
      </w:r>
      <w:r>
        <w:rPr>
          <w:rFonts w:ascii="Calibri" w:eastAsia="Calibri" w:hAnsi="Calibri" w:cs="Calibri"/>
          <w:color w:val="1A1A1A"/>
        </w:rPr>
        <w:t xml:space="preserve"> de 1789 proclame la liberté comme principe, elle admet aussi que son exercice puisse être encadré pour garantir l’ordre public et l’intérêt général. La liberté d’entreprendre, fondement de l’économie de marché, n’échappe pas à cette logique. Notions à aborder :</w:t>
      </w:r>
    </w:p>
    <w:p w14:paraId="2071E3AF"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Liberté d’entreprendre : principe à valeur constitutionnelle permettant à toute personne de créer, exercer et gérer librement une activité économique (</w:t>
      </w:r>
      <w:r>
        <w:rPr>
          <w:rFonts w:ascii="Calibri" w:eastAsia="Calibri" w:hAnsi="Calibri" w:cs="Calibri"/>
          <w:color w:val="E91E63"/>
        </w:rPr>
        <w:t xml:space="preserve">Cons. const., décision no 81-132 </w:t>
      </w:r>
      <w:r>
        <w:rPr>
          <w:rFonts w:ascii="Calibri" w:eastAsia="Calibri" w:hAnsi="Calibri" w:cs="Calibri"/>
          <w:color w:val="1A1A1A"/>
        </w:rPr>
        <w:t>DC, 16 janvier 1982, Loi de nationalisation).</w:t>
      </w:r>
    </w:p>
    <w:p w14:paraId="4C3877D5"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Soumission à des autorisations administratives : procédure par laquelle l’exercice d’une activité économique est conditionné à l’obtention préalable d’une décision favorable d’une autorité administrative. Ces autorisations peuvent prendre la forme de licences, permis, agréments ou autorisations diverses.</w:t>
      </w:r>
    </w:p>
    <w:p w14:paraId="2D59F641" w14:textId="77777777" w:rsidR="001E3E87" w:rsidRDefault="005258B2">
      <w:pPr>
        <w:spacing w:after="90" w:line="264" w:lineRule="auto"/>
        <w:jc w:val="both"/>
      </w:pPr>
      <w:r>
        <w:rPr>
          <w:rFonts w:ascii="Calibri" w:eastAsia="Calibri" w:hAnsi="Calibri" w:cs="Calibri"/>
          <w:b/>
          <w:bCs/>
          <w:color w:val="1A1A1A"/>
        </w:rPr>
        <w:t>Problématique:</w:t>
      </w:r>
      <w:r>
        <w:rPr>
          <w:rFonts w:ascii="Calibri" w:eastAsia="Calibri" w:hAnsi="Calibri" w:cs="Calibri"/>
          <w:color w:val="1A1A1A"/>
        </w:rPr>
        <w:t xml:space="preserve"> Dans quelle mesure la soumission de la liberté d’entreprendre à des autorisations administratives constitue-t-elle une conciliation légitime entre liberté économique et exigences d’ordre public, sans porter atteinte de manière disproportionnée à cette liberté fondamentale ?</w:t>
      </w:r>
    </w:p>
    <w:p w14:paraId="6F48E737" w14:textId="77777777" w:rsidR="001E3E87" w:rsidRDefault="005258B2">
      <w:pPr>
        <w:pStyle w:val="Titre3"/>
        <w:spacing w:before="190" w:after="80"/>
      </w:pPr>
      <w:r>
        <w:rPr>
          <w:rFonts w:ascii="Calibri" w:eastAsia="Calibri" w:hAnsi="Calibri" w:cs="Calibri"/>
          <w:b/>
          <w:bCs/>
          <w:i/>
          <w:iCs/>
          <w:color w:val="1A1A1A"/>
          <w:sz w:val="21"/>
          <w:szCs w:val="21"/>
        </w:rPr>
        <w:t>I. L’articulation entre l’intérêt général et la liberté d’entreprendre</w:t>
      </w:r>
    </w:p>
    <w:p w14:paraId="5ADB0D62" w14:textId="77777777" w:rsidR="001E3E87" w:rsidRDefault="005258B2">
      <w:pPr>
        <w:pStyle w:val="Titre3"/>
        <w:spacing w:before="190" w:after="80"/>
      </w:pPr>
      <w:r>
        <w:rPr>
          <w:rFonts w:ascii="Calibri" w:eastAsia="Calibri" w:hAnsi="Calibri" w:cs="Calibri"/>
          <w:b/>
          <w:bCs/>
          <w:i/>
          <w:iCs/>
          <w:color w:val="1A1A1A"/>
          <w:sz w:val="21"/>
          <w:szCs w:val="21"/>
        </w:rPr>
        <w:t>A. Une liberté constitutionnelle conciliable avec d’autres exigences constitutionnelles</w:t>
      </w:r>
    </w:p>
    <w:p w14:paraId="209D51BA" w14:textId="77777777" w:rsidR="001E3E87" w:rsidRDefault="005258B2">
      <w:pPr>
        <w:spacing w:after="90" w:line="264" w:lineRule="auto"/>
        <w:jc w:val="both"/>
      </w:pPr>
      <w:r>
        <w:rPr>
          <w:rFonts w:ascii="Calibri" w:eastAsia="Calibri" w:hAnsi="Calibri" w:cs="Calibri"/>
          <w:color w:val="1A1A1A"/>
        </w:rPr>
        <w:t>Rattachement de la liberté d’entreprendre à l’</w:t>
      </w:r>
      <w:r>
        <w:rPr>
          <w:rFonts w:ascii="Calibri" w:eastAsia="Calibri" w:hAnsi="Calibri" w:cs="Calibri"/>
          <w:color w:val="1E88E5"/>
        </w:rPr>
        <w:t>article 4</w:t>
      </w:r>
      <w:r>
        <w:rPr>
          <w:rFonts w:ascii="Calibri" w:eastAsia="Calibri" w:hAnsi="Calibri" w:cs="Calibri"/>
          <w:color w:val="1A1A1A"/>
        </w:rPr>
        <w:t xml:space="preserve"> de la Déclaration des droits de l’homme (liberté individuelle) et au Préambule de 1946 (alinéa 5 : droit d’obtenir un emploi et de choisir librement son activité professionnelle). Exigences constitutionnelles avec lesquelles elle doit être conciliée : ordre public, santé publique, protection de l’environnement, dignité de la personne humaine (voir par exemple </w:t>
      </w:r>
      <w:r>
        <w:rPr>
          <w:rFonts w:ascii="Calibri" w:eastAsia="Calibri" w:hAnsi="Calibri" w:cs="Calibri"/>
          <w:color w:val="E91E63"/>
        </w:rPr>
        <w:t xml:space="preserve">Cons. const., déc. no 2013-346 </w:t>
      </w:r>
      <w:r>
        <w:rPr>
          <w:rFonts w:ascii="Calibri" w:eastAsia="Calibri" w:hAnsi="Calibri" w:cs="Calibri"/>
          <w:color w:val="1A1A1A"/>
        </w:rPr>
        <w:t>QPC, 11 octobre 2013, qui met en exergue la nécessité de protéger les usagers).</w:t>
      </w:r>
    </w:p>
    <w:p w14:paraId="4E552057" w14:textId="77777777" w:rsidR="001E3E87" w:rsidRDefault="005258B2">
      <w:pPr>
        <w:pStyle w:val="Titre3"/>
        <w:spacing w:before="190" w:after="80"/>
      </w:pPr>
      <w:r>
        <w:rPr>
          <w:rFonts w:ascii="Calibri" w:eastAsia="Calibri" w:hAnsi="Calibri" w:cs="Calibri"/>
          <w:b/>
          <w:bCs/>
          <w:i/>
          <w:iCs/>
          <w:color w:val="1A1A1A"/>
          <w:sz w:val="21"/>
          <w:szCs w:val="21"/>
        </w:rPr>
        <w:t>B. Les régimes d’autorisation comme instruments classiques de police administrative économique</w:t>
      </w:r>
    </w:p>
    <w:p w14:paraId="32C6864B" w14:textId="77777777" w:rsidR="001E3E87" w:rsidRDefault="005258B2">
      <w:pPr>
        <w:spacing w:after="90" w:line="264" w:lineRule="auto"/>
        <w:jc w:val="both"/>
      </w:pPr>
      <w:r>
        <w:rPr>
          <w:rFonts w:ascii="Calibri" w:eastAsia="Calibri" w:hAnsi="Calibri" w:cs="Calibri"/>
          <w:color w:val="1A1A1A"/>
        </w:rPr>
        <w:t>Diversité des régimes d’autorisation :</w:t>
      </w:r>
    </w:p>
    <w:p w14:paraId="051AB92D"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Activités dangereuses ou sensibles (ex. : pharmacies, transports publics, professions juridiques).</w:t>
      </w:r>
    </w:p>
    <w:p w14:paraId="6D3EA339" w14:textId="77777777" w:rsidR="001E3E87" w:rsidRDefault="005258B2">
      <w:pPr>
        <w:pStyle w:val="Paragraphedeliste"/>
        <w:numPr>
          <w:ilvl w:val="0"/>
          <w:numId w:val="2"/>
        </w:numPr>
        <w:spacing w:after="70" w:line="264" w:lineRule="auto"/>
        <w:jc w:val="both"/>
      </w:pPr>
      <w:r>
        <w:rPr>
          <w:rFonts w:ascii="Calibri" w:eastAsia="Calibri" w:hAnsi="Calibri" w:cs="Calibri"/>
          <w:color w:val="1A1A1A"/>
        </w:rPr>
        <w:t xml:space="preserve">Réglementation économique spécifique (licences de taxis, licences de débit de boissons, marchés réglementés). Tirer des exemples du </w:t>
      </w:r>
      <w:r>
        <w:rPr>
          <w:rFonts w:ascii="Calibri" w:eastAsia="Calibri" w:hAnsi="Calibri" w:cs="Calibri"/>
          <w:color w:val="1E88E5"/>
        </w:rPr>
        <w:t>Code de la santé publique</w:t>
      </w:r>
      <w:r>
        <w:rPr>
          <w:rFonts w:ascii="Calibri" w:eastAsia="Calibri" w:hAnsi="Calibri" w:cs="Calibri"/>
          <w:color w:val="1A1A1A"/>
        </w:rPr>
        <w:t xml:space="preserve">, du Code des transports et du </w:t>
      </w:r>
      <w:r>
        <w:rPr>
          <w:rFonts w:ascii="Calibri" w:eastAsia="Calibri" w:hAnsi="Calibri" w:cs="Calibri"/>
          <w:color w:val="1E88E5"/>
        </w:rPr>
        <w:t>Code de commerce</w:t>
      </w:r>
      <w:r>
        <w:rPr>
          <w:rFonts w:ascii="Calibri" w:eastAsia="Calibri" w:hAnsi="Calibri" w:cs="Calibri"/>
          <w:color w:val="1A1A1A"/>
        </w:rPr>
        <w:t xml:space="preserve"> dans lesquelles l’autorisation vise la qualité du service rendu ou la préservation de l’équilibre économique (</w:t>
      </w:r>
      <w:r>
        <w:rPr>
          <w:rFonts w:ascii="Calibri" w:eastAsia="Calibri" w:hAnsi="Calibri" w:cs="Calibri"/>
          <w:color w:val="E91E63"/>
        </w:rPr>
        <w:t xml:space="preserve">CE, SSR, 27 avril 1994, Société Auchan, no 156860 </w:t>
      </w:r>
      <w:r>
        <w:rPr>
          <w:rFonts w:ascii="Calibri" w:eastAsia="Calibri" w:hAnsi="Calibri" w:cs="Calibri"/>
          <w:color w:val="1A1A1A"/>
        </w:rPr>
        <w:t>: à propos des autorisations d’implantation commerciale).</w:t>
      </w:r>
    </w:p>
    <w:p w14:paraId="1708C489" w14:textId="77777777" w:rsidR="001E3E87" w:rsidRDefault="005258B2">
      <w:pPr>
        <w:pStyle w:val="Titre3"/>
        <w:spacing w:before="190" w:after="80"/>
      </w:pPr>
      <w:r>
        <w:rPr>
          <w:rFonts w:ascii="Calibri" w:eastAsia="Calibri" w:hAnsi="Calibri" w:cs="Calibri"/>
          <w:b/>
          <w:bCs/>
          <w:i/>
          <w:iCs/>
          <w:color w:val="1A1A1A"/>
          <w:sz w:val="21"/>
          <w:szCs w:val="21"/>
        </w:rPr>
        <w:t>II. Le contrôle des régimes d’autorisation</w:t>
      </w:r>
    </w:p>
    <w:p w14:paraId="466874CA" w14:textId="77777777" w:rsidR="001E3E87" w:rsidRDefault="005258B2">
      <w:pPr>
        <w:pStyle w:val="Titre3"/>
        <w:spacing w:before="190" w:after="80"/>
      </w:pPr>
      <w:r>
        <w:rPr>
          <w:rFonts w:ascii="Calibri" w:eastAsia="Calibri" w:hAnsi="Calibri" w:cs="Calibri"/>
          <w:b/>
          <w:bCs/>
          <w:i/>
          <w:iCs/>
          <w:color w:val="1A1A1A"/>
          <w:sz w:val="21"/>
          <w:szCs w:val="21"/>
        </w:rPr>
        <w:t xml:space="preserve">A. La proportionnalité des atteintes </w:t>
      </w:r>
      <w:proofErr w:type="gramStart"/>
      <w:r>
        <w:rPr>
          <w:rFonts w:ascii="Calibri" w:eastAsia="Calibri" w:hAnsi="Calibri" w:cs="Calibri"/>
          <w:b/>
          <w:bCs/>
          <w:i/>
          <w:iCs/>
          <w:color w:val="1A1A1A"/>
          <w:sz w:val="21"/>
          <w:szCs w:val="21"/>
        </w:rPr>
        <w:t>à</w:t>
      </w:r>
      <w:proofErr w:type="gramEnd"/>
      <w:r>
        <w:rPr>
          <w:rFonts w:ascii="Calibri" w:eastAsia="Calibri" w:hAnsi="Calibri" w:cs="Calibri"/>
          <w:b/>
          <w:bCs/>
          <w:i/>
          <w:iCs/>
          <w:color w:val="1A1A1A"/>
          <w:sz w:val="21"/>
          <w:szCs w:val="21"/>
        </w:rPr>
        <w:t xml:space="preserve"> la liberté d’entreprendre</w:t>
      </w:r>
    </w:p>
    <w:p w14:paraId="30554BFD" w14:textId="77777777" w:rsidR="001E3E87" w:rsidRDefault="005258B2">
      <w:pPr>
        <w:spacing w:after="90" w:line="264" w:lineRule="auto"/>
        <w:jc w:val="both"/>
      </w:pPr>
      <w:r>
        <w:rPr>
          <w:rFonts w:ascii="Calibri" w:eastAsia="Calibri" w:hAnsi="Calibri" w:cs="Calibri"/>
          <w:color w:val="1A1A1A"/>
        </w:rPr>
        <w:t>Exigence de nécessité et d’adéquation des mesures restrictives (</w:t>
      </w:r>
      <w:r>
        <w:rPr>
          <w:rFonts w:ascii="Calibri" w:eastAsia="Calibri" w:hAnsi="Calibri" w:cs="Calibri"/>
          <w:color w:val="E91E63"/>
        </w:rPr>
        <w:t xml:space="preserve">CEDH, 24 novembre 1986, Gillow c. Royaume- Uni, no 9063/80 </w:t>
      </w:r>
      <w:r>
        <w:rPr>
          <w:rFonts w:ascii="Calibri" w:eastAsia="Calibri" w:hAnsi="Calibri" w:cs="Calibri"/>
          <w:color w:val="1A1A1A"/>
        </w:rPr>
        <w:t>: la limitation d’une liberté fondamentale doit être justifiée, nécessaire et proportionnée). Le principe général posé par l’arrêt Benjamin est transposable à la police économique. Le contrôle est renforcé dans les cas de restrictions lourdes ou discriminatoires (</w:t>
      </w:r>
      <w:r>
        <w:rPr>
          <w:rFonts w:ascii="Calibri" w:eastAsia="Calibri" w:hAnsi="Calibri" w:cs="Calibri"/>
          <w:color w:val="E91E63"/>
        </w:rPr>
        <w:t xml:space="preserve">CE, 3 novembre 1997, Société Million et Marais, no 169907 </w:t>
      </w:r>
      <w:r>
        <w:rPr>
          <w:rFonts w:ascii="Calibri" w:eastAsia="Calibri" w:hAnsi="Calibri" w:cs="Calibri"/>
          <w:color w:val="1A1A1A"/>
        </w:rPr>
        <w:t xml:space="preserve">: contrôle de la compatibilité des décisions administratives avec les règles de concurrence. Voir également </w:t>
      </w:r>
      <w:r>
        <w:rPr>
          <w:rFonts w:ascii="Calibri" w:eastAsia="Calibri" w:hAnsi="Calibri" w:cs="Calibri"/>
          <w:color w:val="E91E63"/>
        </w:rPr>
        <w:t xml:space="preserve">CJCE, 30 novembre 1995, Reinhard Gebhard c. Consiglio </w:t>
      </w:r>
      <w:proofErr w:type="spellStart"/>
      <w:r>
        <w:rPr>
          <w:rFonts w:ascii="Calibri" w:eastAsia="Calibri" w:hAnsi="Calibri" w:cs="Calibri"/>
          <w:color w:val="E91E63"/>
        </w:rPr>
        <w:t>dell’Ordine</w:t>
      </w:r>
      <w:proofErr w:type="spellEnd"/>
      <w:r>
        <w:rPr>
          <w:rFonts w:ascii="Calibri" w:eastAsia="Calibri" w:hAnsi="Calibri" w:cs="Calibri"/>
          <w:color w:val="E91E63"/>
        </w:rPr>
        <w:t xml:space="preserve"> </w:t>
      </w:r>
      <w:proofErr w:type="spellStart"/>
      <w:r>
        <w:rPr>
          <w:rFonts w:ascii="Calibri" w:eastAsia="Calibri" w:hAnsi="Calibri" w:cs="Calibri"/>
          <w:color w:val="E91E63"/>
        </w:rPr>
        <w:t>degli</w:t>
      </w:r>
      <w:proofErr w:type="spellEnd"/>
      <w:r>
        <w:rPr>
          <w:rFonts w:ascii="Calibri" w:eastAsia="Calibri" w:hAnsi="Calibri" w:cs="Calibri"/>
          <w:color w:val="E91E63"/>
        </w:rPr>
        <w:t xml:space="preserve"> </w:t>
      </w:r>
      <w:proofErr w:type="spellStart"/>
      <w:r>
        <w:rPr>
          <w:rFonts w:ascii="Calibri" w:eastAsia="Calibri" w:hAnsi="Calibri" w:cs="Calibri"/>
          <w:color w:val="E91E63"/>
        </w:rPr>
        <w:t>Avvocati</w:t>
      </w:r>
      <w:proofErr w:type="spellEnd"/>
      <w:r>
        <w:rPr>
          <w:rFonts w:ascii="Calibri" w:eastAsia="Calibri" w:hAnsi="Calibri" w:cs="Calibri"/>
          <w:color w:val="E91E63"/>
        </w:rPr>
        <w:t xml:space="preserve"> e </w:t>
      </w:r>
      <w:proofErr w:type="spellStart"/>
      <w:r>
        <w:rPr>
          <w:rFonts w:ascii="Calibri" w:eastAsia="Calibri" w:hAnsi="Calibri" w:cs="Calibri"/>
          <w:color w:val="E91E63"/>
        </w:rPr>
        <w:t>Procuratori</w:t>
      </w:r>
      <w:proofErr w:type="spellEnd"/>
      <w:r>
        <w:rPr>
          <w:rFonts w:ascii="Calibri" w:eastAsia="Calibri" w:hAnsi="Calibri" w:cs="Calibri"/>
          <w:color w:val="E91E63"/>
        </w:rPr>
        <w:t xml:space="preserve"> di Milano, aff. C-55/94</w:t>
      </w:r>
      <w:r>
        <w:rPr>
          <w:rFonts w:ascii="Calibri" w:eastAsia="Calibri" w:hAnsi="Calibri" w:cs="Calibri"/>
          <w:color w:val="1A1A1A"/>
        </w:rPr>
        <w:t xml:space="preserve"> : les restrictions à la liberté d’établissement doivent être non discriminatoires, justifiées par des raisons impérieuses d’intérêt général, adaptées et nécessaires).</w:t>
      </w:r>
    </w:p>
    <w:p w14:paraId="5351043F" w14:textId="77777777" w:rsidR="001E3E87" w:rsidRDefault="005258B2">
      <w:pPr>
        <w:pStyle w:val="Titre3"/>
        <w:spacing w:before="190" w:after="80"/>
      </w:pPr>
      <w:r>
        <w:rPr>
          <w:rFonts w:ascii="Calibri" w:eastAsia="Calibri" w:hAnsi="Calibri" w:cs="Calibri"/>
          <w:b/>
          <w:bCs/>
          <w:i/>
          <w:iCs/>
          <w:color w:val="1A1A1A"/>
          <w:sz w:val="21"/>
          <w:szCs w:val="21"/>
        </w:rPr>
        <w:t>B. Les garanties juridictionnelles et procédurales</w:t>
      </w:r>
    </w:p>
    <w:p w14:paraId="661CCED5" w14:textId="77777777" w:rsidR="001E3E87" w:rsidRDefault="005258B2">
      <w:pPr>
        <w:spacing w:after="90" w:line="264" w:lineRule="auto"/>
        <w:jc w:val="both"/>
      </w:pPr>
      <w:r>
        <w:rPr>
          <w:rFonts w:ascii="Calibri" w:eastAsia="Calibri" w:hAnsi="Calibri" w:cs="Calibri"/>
          <w:color w:val="1A1A1A"/>
        </w:rPr>
        <w:t>Possibilité de contestation des refus d’autorisation devant le juge administratif (</w:t>
      </w:r>
      <w:r>
        <w:rPr>
          <w:rFonts w:ascii="Calibri" w:eastAsia="Calibri" w:hAnsi="Calibri" w:cs="Calibri"/>
          <w:color w:val="E91E63"/>
        </w:rPr>
        <w:t>CE, 17 février 1950, ministre de l’Agriculture c. Dame Lamotte, no 86949</w:t>
      </w:r>
      <w:r>
        <w:rPr>
          <w:rFonts w:ascii="Calibri" w:eastAsia="Calibri" w:hAnsi="Calibri" w:cs="Calibri"/>
          <w:color w:val="1A1A1A"/>
        </w:rPr>
        <w:t xml:space="preserve">). Le juge administratif vérifie que la décision de refus d’autorisation est fondée </w:t>
      </w:r>
      <w:r>
        <w:rPr>
          <w:rFonts w:ascii="Calibri" w:eastAsia="Calibri" w:hAnsi="Calibri" w:cs="Calibri"/>
          <w:color w:val="1A1A1A"/>
        </w:rPr>
        <w:lastRenderedPageBreak/>
        <w:t>sur des motifs légalement prévus, qu’elle poursuit un objectif d’intérêt général (protection de la santé publique, de la sécurité, de l’environnement…) et qu’elle respecte le principe de proportionnalité. De plus, dans le cadre du contentieux de la responsabilité administrative, il est également possible d’obtenir réparation en cas de refus illégal d’autorisation ayant causé un préjudice économique, renforçant ainsi la protection effective de la liberté d’entreprendre.</w:t>
      </w:r>
    </w:p>
    <w:p w14:paraId="7A37BB6F" w14:textId="77777777" w:rsidR="001E3E87" w:rsidRDefault="005258B2">
      <w:pPr>
        <w:spacing w:after="90" w:line="264" w:lineRule="auto"/>
        <w:jc w:val="both"/>
      </w:pPr>
      <w:r>
        <w:rPr>
          <w:rFonts w:ascii="Calibri" w:eastAsia="Calibri" w:hAnsi="Calibri" w:cs="Calibri"/>
          <w:color w:val="1A1A1A"/>
        </w:rPr>
        <w:t>En conclusion, si la soumission de la liberté d’entreprendre à des autorisations administratives constitue une restriction à un droit fondamental, elle apparaît globalement légitime et conforme aux exigences constitutionnelles et européennes dès lors qu’elle poursuit un objectif d’intérêt général et respecte les principes de nécessité, de proportionnalité. La multiplication des régimes d’autorisation soulève toutefois des interrogations sur la simplification administrative et la compétitivité économique, notamment à l’échelle de l’Union européenne où le principe de liberté d’établissement tend prévaloir.</w:t>
      </w:r>
    </w:p>
    <w:p w14:paraId="471E8D68" w14:textId="77777777" w:rsidR="001E3E87" w:rsidRDefault="005258B2">
      <w:r>
        <w:br w:type="page"/>
      </w:r>
    </w:p>
    <w:p w14:paraId="7A23A0D3"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46 — COMMENTAIRE DE TEXTE</w:t>
      </w:r>
    </w:p>
    <w:p w14:paraId="43DDBAE2" w14:textId="77777777" w:rsidR="001E3E87" w:rsidRDefault="005258B2">
      <w:pPr>
        <w:spacing w:after="160"/>
      </w:pPr>
      <w:r>
        <w:rPr>
          <w:rFonts w:ascii="Calibri" w:eastAsia="Calibri" w:hAnsi="Calibri" w:cs="Calibri"/>
          <w:i/>
          <w:iCs/>
          <w:color w:val="5A5A5A"/>
          <w:sz w:val="18"/>
          <w:szCs w:val="18"/>
        </w:rPr>
        <w:t>Fiche n° 46 — Le droit de propriété  |  PARTIE VII. LES DROITS ÉCONOMIQUES, SOCIAUX ET CULTURELS  |  Fascicule p. 479</w:t>
      </w:r>
    </w:p>
    <w:p w14:paraId="2C575016"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2CA8299F" w14:textId="77777777" w:rsidR="001E3E87" w:rsidRDefault="005258B2">
      <w:pPr>
        <w:pBdr>
          <w:left w:val="single" w:sz="12" w:space="10" w:color="8C1C2B"/>
        </w:pBdr>
        <w:spacing w:after="90" w:line="264" w:lineRule="auto"/>
        <w:ind w:left="260"/>
        <w:jc w:val="both"/>
      </w:pPr>
      <w:r>
        <w:rPr>
          <w:rFonts w:ascii="Calibri" w:eastAsia="Calibri" w:hAnsi="Calibri" w:cs="Calibri"/>
          <w:color w:val="1E88E5"/>
        </w:rPr>
        <w:t>Article 1er</w:t>
      </w:r>
      <w:r>
        <w:rPr>
          <w:rFonts w:ascii="Calibri" w:eastAsia="Calibri" w:hAnsi="Calibri" w:cs="Calibri"/>
          <w:color w:val="1A1A1A"/>
        </w:rPr>
        <w:t xml:space="preserve"> du protocole no 1 :</w:t>
      </w:r>
    </w:p>
    <w:p w14:paraId="4A517321"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 Toute personne physique ou morale a droit au respect de ses biens. Nul ne peut être privé de sa propriété que pour cause d’utilité publique et dans les conditions prévues par la loi et les principes généraux du droit international. Les dispositions précédentes ne portent pas atteinte au droit que possèdent les États de mettre en vigueur les lois qu’ils jugent nécessaires pour réglementer l’usage des biens conformément à l’intérêt général ou pour assurer le paiement des impôts ou d’autres contributions ou des amendes. »</w:t>
      </w:r>
    </w:p>
    <w:p w14:paraId="31BAA5EF"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607C9FB5" w14:textId="77777777" w:rsidR="001E3E87" w:rsidRDefault="005258B2">
      <w:pPr>
        <w:spacing w:after="90" w:line="264" w:lineRule="auto"/>
        <w:jc w:val="both"/>
      </w:pPr>
      <w:r>
        <w:rPr>
          <w:rFonts w:ascii="Calibri" w:eastAsia="Calibri" w:hAnsi="Calibri" w:cs="Calibri"/>
          <w:color w:val="1A1A1A"/>
        </w:rPr>
        <w:t xml:space="preserve">Le droit de propriété était initialement absent du texte de la </w:t>
      </w:r>
      <w:r>
        <w:rPr>
          <w:rFonts w:ascii="Calibri" w:eastAsia="Calibri" w:hAnsi="Calibri" w:cs="Calibri"/>
          <w:color w:val="1E88E5"/>
        </w:rPr>
        <w:t>Convention européenne des droits de l’homme</w:t>
      </w:r>
      <w:r>
        <w:rPr>
          <w:rFonts w:ascii="Calibri" w:eastAsia="Calibri" w:hAnsi="Calibri" w:cs="Calibri"/>
          <w:color w:val="1A1A1A"/>
        </w:rPr>
        <w:t>. Ce texte consacrait en effet lors de son adoption en 1950 uniquement des droits de nature civile et politique. Ce n’est donc qu’ultérieurement par le biais de l’adoption du premier protocole, en 1952, que le droit de propriété a intégré le système conventionnel. Ce texte est longtemps demeuré sous exploité. L’interprétation dynamique de la Cour européenne des droits de l’homme a toutefois permis une réécriture importante du régime de l’</w:t>
      </w:r>
      <w:r>
        <w:rPr>
          <w:rFonts w:ascii="Calibri" w:eastAsia="Calibri" w:hAnsi="Calibri" w:cs="Calibri"/>
          <w:color w:val="1E88E5"/>
        </w:rPr>
        <w:t>article 1er</w:t>
      </w:r>
      <w:r>
        <w:rPr>
          <w:rFonts w:ascii="Calibri" w:eastAsia="Calibri" w:hAnsi="Calibri" w:cs="Calibri"/>
          <w:color w:val="1A1A1A"/>
        </w:rPr>
        <w:t xml:space="preserve"> du protocole no 1 et de ses conditions d’application.</w:t>
      </w:r>
    </w:p>
    <w:p w14:paraId="2807D373"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Si l’</w:t>
      </w:r>
      <w:r>
        <w:rPr>
          <w:rFonts w:ascii="Calibri" w:eastAsia="Calibri" w:hAnsi="Calibri" w:cs="Calibri"/>
          <w:color w:val="1E88E5"/>
        </w:rPr>
        <w:t>article 1</w:t>
      </w:r>
      <w:r>
        <w:rPr>
          <w:rFonts w:ascii="Calibri" w:eastAsia="Calibri" w:hAnsi="Calibri" w:cs="Calibri"/>
          <w:color w:val="1A1A1A"/>
        </w:rPr>
        <w:t xml:space="preserve"> du protocole 1 consacre le droit à la protection des biens contre les atteintes causées jusque dans les relations interindividuelles (I), il ne consacre toutefois qu’un droit relatif à la protection des biens (II).</w:t>
      </w:r>
    </w:p>
    <w:p w14:paraId="4F479D72" w14:textId="77777777" w:rsidR="001E3E87" w:rsidRDefault="005258B2">
      <w:pPr>
        <w:pStyle w:val="Titre3"/>
        <w:spacing w:before="190" w:after="80"/>
      </w:pPr>
      <w:r>
        <w:rPr>
          <w:rFonts w:ascii="Calibri" w:eastAsia="Calibri" w:hAnsi="Calibri" w:cs="Calibri"/>
          <w:b/>
          <w:bCs/>
          <w:i/>
          <w:iCs/>
          <w:color w:val="1A1A1A"/>
          <w:sz w:val="21"/>
          <w:szCs w:val="21"/>
        </w:rPr>
        <w:t>I. La protection horizontale des biens contre les atteintes</w:t>
      </w:r>
    </w:p>
    <w:p w14:paraId="097000E0" w14:textId="77777777" w:rsidR="001E3E87" w:rsidRDefault="005258B2">
      <w:pPr>
        <w:pStyle w:val="Titre3"/>
        <w:spacing w:before="190" w:after="80"/>
      </w:pPr>
      <w:r>
        <w:rPr>
          <w:rFonts w:ascii="Calibri" w:eastAsia="Calibri" w:hAnsi="Calibri" w:cs="Calibri"/>
          <w:b/>
          <w:bCs/>
          <w:i/>
          <w:iCs/>
          <w:color w:val="1A1A1A"/>
          <w:sz w:val="21"/>
          <w:szCs w:val="21"/>
        </w:rPr>
        <w:t>A. Une protection contre les atteintes aux biens</w:t>
      </w:r>
    </w:p>
    <w:p w14:paraId="28DE386A" w14:textId="77777777" w:rsidR="001E3E87" w:rsidRDefault="005258B2">
      <w:pPr>
        <w:spacing w:after="90" w:line="264" w:lineRule="auto"/>
        <w:jc w:val="both"/>
      </w:pPr>
      <w:r>
        <w:rPr>
          <w:rFonts w:ascii="Calibri" w:eastAsia="Calibri" w:hAnsi="Calibri" w:cs="Calibri"/>
          <w:color w:val="1A1A1A"/>
        </w:rPr>
        <w:t>La Cour a défini de manière autonome la notion de biens. Elle en adopte une conception large. Cette notion inclut ainsi les biens mobiliers ou immobiliers, corporels ou incorporels. Les prestations sociales ainsi que les créances de sommes d’argent peuvent également être qualifiées en tant que tel (</w:t>
      </w:r>
      <w:r>
        <w:rPr>
          <w:rFonts w:ascii="Calibri" w:eastAsia="Calibri" w:hAnsi="Calibri" w:cs="Calibri"/>
          <w:color w:val="E91E63"/>
        </w:rPr>
        <w:t>CEDH, GC., 28 septembre 2004, Kopecký c. Slovaquie, no 44912/98</w:t>
      </w:r>
      <w:r>
        <w:rPr>
          <w:rFonts w:ascii="Calibri" w:eastAsia="Calibri" w:hAnsi="Calibri" w:cs="Calibri"/>
          <w:color w:val="1A1A1A"/>
        </w:rPr>
        <w:t>). Les créances constituées ou simplement virtuelles peuvent également être qualifiées de biens au sens de l’</w:t>
      </w:r>
      <w:r>
        <w:rPr>
          <w:rFonts w:ascii="Calibri" w:eastAsia="Calibri" w:hAnsi="Calibri" w:cs="Calibri"/>
          <w:color w:val="1E88E5"/>
        </w:rPr>
        <w:t>article 1</w:t>
      </w:r>
      <w:r>
        <w:rPr>
          <w:rFonts w:ascii="Calibri" w:eastAsia="Calibri" w:hAnsi="Calibri" w:cs="Calibri"/>
          <w:color w:val="1A1A1A"/>
        </w:rPr>
        <w:t xml:space="preserve"> du protocole 1. Les créances virtuelles doivent cependant être suffisamment concrètes pour être de nature à faire naître une espérance légitime chez la victime.</w:t>
      </w:r>
    </w:p>
    <w:p w14:paraId="70270655" w14:textId="77777777" w:rsidR="001E3E87" w:rsidRDefault="005258B2">
      <w:pPr>
        <w:pStyle w:val="Titre3"/>
        <w:spacing w:before="190" w:after="80"/>
      </w:pPr>
      <w:r>
        <w:rPr>
          <w:rFonts w:ascii="Calibri" w:eastAsia="Calibri" w:hAnsi="Calibri" w:cs="Calibri"/>
          <w:b/>
          <w:bCs/>
          <w:i/>
          <w:iCs/>
          <w:color w:val="1A1A1A"/>
          <w:sz w:val="21"/>
          <w:szCs w:val="21"/>
        </w:rPr>
        <w:t>B. Une redéfinition jurisprudentielle des régimes juridiques des atteintes aux biens</w:t>
      </w:r>
    </w:p>
    <w:p w14:paraId="242AE431" w14:textId="77777777" w:rsidR="001E3E87" w:rsidRDefault="005258B2">
      <w:pPr>
        <w:spacing w:after="90" w:line="264" w:lineRule="auto"/>
        <w:jc w:val="both"/>
      </w:pPr>
      <w:r>
        <w:rPr>
          <w:rFonts w:ascii="Calibri" w:eastAsia="Calibri" w:hAnsi="Calibri" w:cs="Calibri"/>
          <w:color w:val="1A1A1A"/>
        </w:rPr>
        <w:t>La Cour européenne des droits de l’homme a redéfini le régime de l’</w:t>
      </w:r>
      <w:r>
        <w:rPr>
          <w:rFonts w:ascii="Calibri" w:eastAsia="Calibri" w:hAnsi="Calibri" w:cs="Calibri"/>
          <w:color w:val="1E88E5"/>
        </w:rPr>
        <w:t>article 1</w:t>
      </w:r>
      <w:r>
        <w:rPr>
          <w:rFonts w:ascii="Calibri" w:eastAsia="Calibri" w:hAnsi="Calibri" w:cs="Calibri"/>
          <w:color w:val="1A1A1A"/>
        </w:rPr>
        <w:t xml:space="preserve"> du protocole 1 (</w:t>
      </w:r>
      <w:r>
        <w:rPr>
          <w:rFonts w:ascii="Calibri" w:eastAsia="Calibri" w:hAnsi="Calibri" w:cs="Calibri"/>
          <w:color w:val="E91E63"/>
        </w:rPr>
        <w:t xml:space="preserve">CEDH, AP., 23 septembre 1982, </w:t>
      </w:r>
      <w:proofErr w:type="spellStart"/>
      <w:r>
        <w:rPr>
          <w:rFonts w:ascii="Calibri" w:eastAsia="Calibri" w:hAnsi="Calibri" w:cs="Calibri"/>
          <w:color w:val="E91E63"/>
        </w:rPr>
        <w:t>Sporrong</w:t>
      </w:r>
      <w:proofErr w:type="spellEnd"/>
      <w:r>
        <w:rPr>
          <w:rFonts w:ascii="Calibri" w:eastAsia="Calibri" w:hAnsi="Calibri" w:cs="Calibri"/>
          <w:color w:val="E91E63"/>
        </w:rPr>
        <w:t xml:space="preserve"> et </w:t>
      </w:r>
      <w:proofErr w:type="spellStart"/>
      <w:r>
        <w:rPr>
          <w:rFonts w:ascii="Calibri" w:eastAsia="Calibri" w:hAnsi="Calibri" w:cs="Calibri"/>
          <w:color w:val="E91E63"/>
        </w:rPr>
        <w:t>Lönnroth</w:t>
      </w:r>
      <w:proofErr w:type="spellEnd"/>
      <w:r>
        <w:rPr>
          <w:rFonts w:ascii="Calibri" w:eastAsia="Calibri" w:hAnsi="Calibri" w:cs="Calibri"/>
          <w:color w:val="E91E63"/>
        </w:rPr>
        <w:t xml:space="preserve"> c. Suède, no 7151/75 </w:t>
      </w:r>
      <w:r>
        <w:rPr>
          <w:rFonts w:ascii="Calibri" w:eastAsia="Calibri" w:hAnsi="Calibri" w:cs="Calibri"/>
          <w:color w:val="1A1A1A"/>
        </w:rPr>
        <w:t>et 7152/75). La Cour a identifié trois régimes distincts, deux régimes spécifiques l’un fondé sur la privation du droit de propriété (2e phrase du 1er alinéa), l’autre concernant les réglementations par l’État de l’usage des biens (alinéa 2), et un principe général du respect de la propriété (1rephrase du 1er alinéa). Cette réécriture a ainsi conféré une portée normative à la première phrase du premier alinéa. Tandis que la deuxième norme vise le transfert ou la disparition de la propriété, l’atteinte visée par la troisième norme revêt un caractère davantage temporaire. La première norme quant à elle a permis d’étendre de manière conséquente le champ d’application de l’article, car elle recouvre les atteintes à la propriété ne pouvant rentrer dans le champ des deux autres normes.</w:t>
      </w:r>
    </w:p>
    <w:p w14:paraId="1C80E247" w14:textId="77777777" w:rsidR="001E3E87" w:rsidRDefault="005258B2">
      <w:pPr>
        <w:pStyle w:val="Titre3"/>
        <w:spacing w:before="190" w:after="80"/>
      </w:pPr>
      <w:r>
        <w:rPr>
          <w:rFonts w:ascii="Calibri" w:eastAsia="Calibri" w:hAnsi="Calibri" w:cs="Calibri"/>
          <w:b/>
          <w:bCs/>
          <w:i/>
          <w:iCs/>
          <w:color w:val="1A1A1A"/>
          <w:sz w:val="21"/>
          <w:szCs w:val="21"/>
        </w:rPr>
        <w:t>II. La consécration d’un droit relatif à la protection des biens</w:t>
      </w:r>
    </w:p>
    <w:p w14:paraId="1775734B" w14:textId="77777777" w:rsidR="001E3E87" w:rsidRDefault="005258B2">
      <w:pPr>
        <w:pStyle w:val="Titre3"/>
        <w:spacing w:before="190" w:after="80"/>
      </w:pPr>
      <w:r>
        <w:rPr>
          <w:rFonts w:ascii="Calibri" w:eastAsia="Calibri" w:hAnsi="Calibri" w:cs="Calibri"/>
          <w:b/>
          <w:bCs/>
          <w:i/>
          <w:iCs/>
          <w:color w:val="1A1A1A"/>
          <w:sz w:val="21"/>
          <w:szCs w:val="21"/>
        </w:rPr>
        <w:t>A. La protection contre les atteintes illégitimes</w:t>
      </w:r>
    </w:p>
    <w:p w14:paraId="0FD4D240" w14:textId="77777777" w:rsidR="001E3E87" w:rsidRDefault="005258B2">
      <w:pPr>
        <w:spacing w:after="90" w:line="264" w:lineRule="auto"/>
        <w:jc w:val="both"/>
      </w:pPr>
      <w:r>
        <w:rPr>
          <w:rFonts w:ascii="Calibri" w:eastAsia="Calibri" w:hAnsi="Calibri" w:cs="Calibri"/>
          <w:color w:val="1A1A1A"/>
        </w:rPr>
        <w:t>La protection offerte par l’</w:t>
      </w:r>
      <w:r>
        <w:rPr>
          <w:rFonts w:ascii="Calibri" w:eastAsia="Calibri" w:hAnsi="Calibri" w:cs="Calibri"/>
          <w:color w:val="1E88E5"/>
        </w:rPr>
        <w:t>article 1</w:t>
      </w:r>
      <w:r>
        <w:rPr>
          <w:rFonts w:ascii="Calibri" w:eastAsia="Calibri" w:hAnsi="Calibri" w:cs="Calibri"/>
          <w:color w:val="1A1A1A"/>
        </w:rPr>
        <w:t xml:space="preserve"> du premier protocole ne consacre pas un droit absolu. Il s’agit d’un droit relatif admettant que des atteintes justifiées soient commises par l’État. Pour ce faire, les atteintes doivent être prévues par la loi, poursuivre un but légitime et s’avérer être nécessaires dans une société démocratique. Afin d’apprécier ce dernier critère, la Cour analyse notamment la présence ou non d’indemnisation en contrepartie de l’atteinte à la propriété. Son absence est ainsi généralement constitutive d’une atteinte injustifiée lorsqu’est en cause la deuxième norme de l’article (</w:t>
      </w:r>
      <w:r>
        <w:rPr>
          <w:rFonts w:ascii="Calibri" w:eastAsia="Calibri" w:hAnsi="Calibri" w:cs="Calibri"/>
          <w:color w:val="E91E63"/>
        </w:rPr>
        <w:t>CEDH, GC., 28 novembre 2002, Ex-roi de Grèce et a. c. Grèce, no 25701/94</w:t>
      </w:r>
      <w:r>
        <w:rPr>
          <w:rFonts w:ascii="Calibri" w:eastAsia="Calibri" w:hAnsi="Calibri" w:cs="Calibri"/>
          <w:color w:val="1A1A1A"/>
        </w:rPr>
        <w:t>).</w:t>
      </w:r>
    </w:p>
    <w:p w14:paraId="72929818" w14:textId="77777777" w:rsidR="001E3E87" w:rsidRDefault="005258B2">
      <w:pPr>
        <w:pStyle w:val="Titre3"/>
        <w:spacing w:before="190" w:after="80"/>
      </w:pPr>
      <w:r>
        <w:rPr>
          <w:rFonts w:ascii="Calibri" w:eastAsia="Calibri" w:hAnsi="Calibri" w:cs="Calibri"/>
          <w:b/>
          <w:bCs/>
          <w:i/>
          <w:iCs/>
          <w:color w:val="1A1A1A"/>
          <w:sz w:val="21"/>
          <w:szCs w:val="21"/>
        </w:rPr>
        <w:lastRenderedPageBreak/>
        <w:t>B. La découverte d’obligations positives</w:t>
      </w:r>
    </w:p>
    <w:p w14:paraId="7CE1CF6B" w14:textId="77777777" w:rsidR="001E3E87" w:rsidRDefault="005258B2">
      <w:pPr>
        <w:spacing w:after="90" w:line="264" w:lineRule="auto"/>
        <w:jc w:val="both"/>
      </w:pPr>
      <w:r>
        <w:rPr>
          <w:rFonts w:ascii="Calibri" w:eastAsia="Calibri" w:hAnsi="Calibri" w:cs="Calibri"/>
          <w:color w:val="1A1A1A"/>
        </w:rPr>
        <w:t>L’</w:t>
      </w:r>
      <w:r>
        <w:rPr>
          <w:rFonts w:ascii="Calibri" w:eastAsia="Calibri" w:hAnsi="Calibri" w:cs="Calibri"/>
          <w:color w:val="1E88E5"/>
        </w:rPr>
        <w:t>article 1</w:t>
      </w:r>
      <w:r>
        <w:rPr>
          <w:rFonts w:ascii="Calibri" w:eastAsia="Calibri" w:hAnsi="Calibri" w:cs="Calibri"/>
          <w:color w:val="1A1A1A"/>
        </w:rPr>
        <w:t xml:space="preserve"> du </w:t>
      </w:r>
      <w:r>
        <w:rPr>
          <w:rFonts w:ascii="Calibri" w:eastAsia="Calibri" w:hAnsi="Calibri" w:cs="Calibri"/>
          <w:color w:val="1E88E5"/>
        </w:rPr>
        <w:t>Protocole no 1</w:t>
      </w:r>
      <w:r>
        <w:rPr>
          <w:rFonts w:ascii="Calibri" w:eastAsia="Calibri" w:hAnsi="Calibri" w:cs="Calibri"/>
          <w:color w:val="1A1A1A"/>
        </w:rPr>
        <w:t xml:space="preserve"> s’applique que l’atteinte à la propriété soit causée par l’État ou par un particulier puisque l’article dispose d’un effet horizontal (</w:t>
      </w:r>
      <w:r>
        <w:rPr>
          <w:rFonts w:ascii="Calibri" w:eastAsia="Calibri" w:hAnsi="Calibri" w:cs="Calibri"/>
          <w:color w:val="E91E63"/>
        </w:rPr>
        <w:t xml:space="preserve">CEDH, 29 janvier 2013, </w:t>
      </w:r>
      <w:proofErr w:type="spellStart"/>
      <w:r>
        <w:rPr>
          <w:rFonts w:ascii="Calibri" w:eastAsia="Calibri" w:hAnsi="Calibri" w:cs="Calibri"/>
          <w:color w:val="E91E63"/>
        </w:rPr>
        <w:t>Zolotas</w:t>
      </w:r>
      <w:proofErr w:type="spellEnd"/>
      <w:r>
        <w:rPr>
          <w:rFonts w:ascii="Calibri" w:eastAsia="Calibri" w:hAnsi="Calibri" w:cs="Calibri"/>
          <w:color w:val="E91E63"/>
        </w:rPr>
        <w:t xml:space="preserve"> c. Grèce (no 2), no 66610/09</w:t>
      </w:r>
      <w:r>
        <w:rPr>
          <w:rFonts w:ascii="Calibri" w:eastAsia="Calibri" w:hAnsi="Calibri" w:cs="Calibri"/>
          <w:color w:val="1A1A1A"/>
        </w:rPr>
        <w:t>). L’État doit ainsi assurer la protection du droit de propriété jusque dans le cadre des relations interindividuelles. L’État doit permettre un accès aux recours permettant si nécessaire l’octroi d’une indemnisation. S’assurer de l’exécution des décisions de justice au sein desquelles une somme pécuniaire est en cause (</w:t>
      </w:r>
      <w:r>
        <w:rPr>
          <w:rFonts w:ascii="Calibri" w:eastAsia="Calibri" w:hAnsi="Calibri" w:cs="Calibri"/>
          <w:color w:val="E91E63"/>
        </w:rPr>
        <w:t>CEDH, 19 mars 1997, Hornsby c. Grèce, no 18357/91</w:t>
      </w:r>
      <w:r>
        <w:rPr>
          <w:rFonts w:ascii="Calibri" w:eastAsia="Calibri" w:hAnsi="Calibri" w:cs="Calibri"/>
          <w:color w:val="1A1A1A"/>
        </w:rPr>
        <w:t>). En conclusion, loin d’avoir entraîné l’ajout d’un droit absolu à la Convention, l’entrée en vigueur du premier protocole en 1952 a consacré un droit relatif ayant fait l’objet d’une timide mobilisation par la Cour avant que cette dernière n’étende considérablement son champ d’application ainsi que les obligations découlant de son application.</w:t>
      </w:r>
    </w:p>
    <w:p w14:paraId="7DDF4210" w14:textId="77777777" w:rsidR="001E3E87" w:rsidRDefault="005258B2">
      <w:r>
        <w:br w:type="page"/>
      </w:r>
    </w:p>
    <w:p w14:paraId="78F66C4D"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47 — COMMENTAIRE DE TEXTE</w:t>
      </w:r>
    </w:p>
    <w:p w14:paraId="20A5B5FE" w14:textId="77777777" w:rsidR="001E3E87" w:rsidRDefault="005258B2">
      <w:pPr>
        <w:spacing w:after="160"/>
      </w:pPr>
      <w:r>
        <w:rPr>
          <w:rFonts w:ascii="Calibri" w:eastAsia="Calibri" w:hAnsi="Calibri" w:cs="Calibri"/>
          <w:i/>
          <w:iCs/>
          <w:color w:val="5A5A5A"/>
          <w:sz w:val="18"/>
          <w:szCs w:val="18"/>
        </w:rPr>
        <w:t>Fiche n° 47 — Le droit à l’éducation et à la formation  |  PARTIE VII. LES DROITS ÉCONOMIQUES, SOCIAUX ET CULTURELS  |  Fascicule p. 487</w:t>
      </w:r>
    </w:p>
    <w:p w14:paraId="10439A08"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0C78E6B2"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Cour des comptes et Chambre régionale et territoriale des comptes, L’enseignement primaire, Une organisation en décalage avec les besoins de l’élève, Rapport public thématique, mai 2025 [extraits].</w:t>
      </w:r>
    </w:p>
    <w:p w14:paraId="15370093"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 Le renforcement du capital humain est une des principales priorités de politique structurelle recommandée par l’OCDE. L’expérience montre que l’éducation des enfants joue un rôle fondamental pour le développement des compétences futures dans un monde en constante évolution. Un environnement et un accueil de qualité sont des composants indispensables pour favoriser la réussite scolaire de tous, en particulier ceux issus de milieux moins privilégiés. Or, pour améliorer ses performances, notre système scolaire doit réexaminer son organisation actuellement en décalage avec les besoins de l’enfant, renforcer l’attractivité de la fonction d’enseignant et adapter la gouvernance des écoles pour un management de qualité. Un système éducatif en situation d’échec, des inégalités qui s’aggravent L’échec scolaire constitue une des principales causes d’inefficacité pour les systèmes éducatifs. Le risque de quitter l’école prématurément, de ne pas pouvoir accéder aux filières qualifiantes ou d’y accéder dans de mauvaises conditions constitue un coût élevé, pour l’élève lui-même en obérant ses perspectives d’emploi, mais aussi pour la société qui a besoin d’une population active instruite pour stimuler l’innovation et la croissance économique à long terme. Or, en dépit d’une augmentation constante ces dix dernières années de la dépense consacrée à l’école primaire, le niveau des élèves a suivi une tendance inverse. Le déclin des performances scolaires des élèves, notamment vis-à-vis de nos voisins européens s’accompagne d’une incapacité de la politique éducative à résorber les fortes disparités de niveau, en particulier la proportion d’élèves qui sont en difficulté majeure. […] Une organisation en décalage avec les besoins de l’enfant L’ensemble des professionnels et des experts s’accorde à reconnaître le rôle majeur que l’éducation et l’accueil des jeunes enfants jouent dans le développement cognitif et émotionnel, l’apprentissage et le bien-être de la petite enfance. Les enfants qui bénéficient d’un enseignement structuré et de qualité, dès le plus jeune âge, sont les plus susceptibles d’avoir de bons résultats scolaires par la suite. Ce constat, scientifiquement établi, devrait par nature être universel. Il se vérifie moins, cependant, chez les enfants issus de milieux socio- économiques défavorisés, qui, trop souvent, ne bénéficient pas de toutes les possibilités de développement de leurs capacités dans le cadre strictement familial. […] »</w:t>
      </w:r>
    </w:p>
    <w:p w14:paraId="7A1DCCEF"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644BDC3E" w14:textId="77777777" w:rsidR="001E3E87" w:rsidRDefault="005258B2">
      <w:pPr>
        <w:spacing w:after="90" w:line="264" w:lineRule="auto"/>
        <w:jc w:val="both"/>
      </w:pPr>
      <w:r>
        <w:rPr>
          <w:rFonts w:ascii="Calibri" w:eastAsia="Calibri" w:hAnsi="Calibri" w:cs="Calibri"/>
          <w:color w:val="1A1A1A"/>
        </w:rPr>
        <w:t>Le caractère fondamental du droit à l’éducation fait consensus au sein des instruments de protection des droits humains. C’est ce caractère essentiel à la fois pour l’enfant et la communauté qui est mis en avant dans le document présenté. Il s’agit d’un extrait de la synthèse du Rapport de la Cour des comptes sur l’éducation primaire, publié en mai 2025 et dressant un constat alarmant sur le système éducatif français. Celui-ci est déclaré être en « échec » puisqu’il n’atteint pas ses objectifs. Ce texte, en plus de former une juste critique concernant la nécessité de la mise en place d’un système scolaire adéquate, inclusif et répondant aux besoins de l’enfant, conformément aux normes internationales et nationales, montre le délicat équilibre entre un droit individuel de l’enfant à l’éducation et les perspectives de la société vis-à-vis de ce droit. L’importance fondamentale du droit à l’éducation doit alors être soulignée en tant qu’exercice d’un droit humain particulier, mais également condition essentielle pour l’exercice de tous les autres. Néanmoins, selon ce rapport, l’école est vectrice d’inégalités et contribue même à les accentuer, en situation paradoxale avec le but du droit à l’éducation.</w:t>
      </w:r>
    </w:p>
    <w:p w14:paraId="4D4D1442"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Le texte démontre d’une manière très juste que le système éducatif ne remplit pas correctement sa fonction sociale. En effet, il ne respecte pas les principes fondamentaux du droit à l’éducation (I), cela emportant des conséquences néfastes pour la portée de ce droit, individuelle comme collective (II).</w:t>
      </w:r>
    </w:p>
    <w:p w14:paraId="210F0ABC" w14:textId="77777777" w:rsidR="001E3E87" w:rsidRDefault="005258B2">
      <w:pPr>
        <w:pStyle w:val="Titre3"/>
        <w:spacing w:before="190" w:after="80"/>
      </w:pPr>
      <w:r>
        <w:rPr>
          <w:rFonts w:ascii="Calibri" w:eastAsia="Calibri" w:hAnsi="Calibri" w:cs="Calibri"/>
          <w:b/>
          <w:bCs/>
          <w:i/>
          <w:iCs/>
          <w:color w:val="1A1A1A"/>
          <w:sz w:val="21"/>
          <w:szCs w:val="21"/>
        </w:rPr>
        <w:t>I. Un système éducatif peinant à respecter ses principes fondamentaux</w:t>
      </w:r>
    </w:p>
    <w:p w14:paraId="591B9135" w14:textId="77777777" w:rsidR="001E3E87" w:rsidRDefault="005258B2">
      <w:pPr>
        <w:pStyle w:val="Titre3"/>
        <w:spacing w:before="190" w:after="80"/>
      </w:pPr>
      <w:r>
        <w:rPr>
          <w:rFonts w:ascii="Calibri" w:eastAsia="Calibri" w:hAnsi="Calibri" w:cs="Calibri"/>
          <w:b/>
          <w:bCs/>
          <w:i/>
          <w:iCs/>
          <w:color w:val="1A1A1A"/>
          <w:sz w:val="21"/>
          <w:szCs w:val="21"/>
        </w:rPr>
        <w:t>A. Une inégalité des chances structurelle</w:t>
      </w:r>
    </w:p>
    <w:p w14:paraId="119E7FF7" w14:textId="77777777" w:rsidR="001E3E87" w:rsidRDefault="005258B2">
      <w:pPr>
        <w:spacing w:after="90" w:line="264" w:lineRule="auto"/>
        <w:jc w:val="both"/>
      </w:pPr>
      <w:r>
        <w:rPr>
          <w:rFonts w:ascii="Calibri" w:eastAsia="Calibri" w:hAnsi="Calibri" w:cs="Calibri"/>
          <w:color w:val="1A1A1A"/>
        </w:rPr>
        <w:t>Le caractère égalitaire de l’école, particulièrement pour l’école primaire, a été soulevé très tôt, dès la Révolution française, pendant laquelle a été mise en avant la nécessité d’éduquer la population, notamment par Condorcet, Rousseau ou Diderot. Or dans l’extrait, les obligations positives qui incombent à l’État pour la mise en œuvre du droit à l’éducation ne favorisent pas le développement des « aptitudes mentales et physiques [de l’enfant], dans toute la mesure de leurs potentialités » (</w:t>
      </w:r>
      <w:r>
        <w:rPr>
          <w:rFonts w:ascii="Calibri" w:eastAsia="Calibri" w:hAnsi="Calibri" w:cs="Calibri"/>
          <w:color w:val="1E88E5"/>
        </w:rPr>
        <w:t>art. 29-1</w:t>
      </w:r>
      <w:r>
        <w:rPr>
          <w:rFonts w:ascii="Calibri" w:eastAsia="Calibri" w:hAnsi="Calibri" w:cs="Calibri"/>
          <w:color w:val="1A1A1A"/>
        </w:rPr>
        <w:t xml:space="preserve">-a de la Convention internationale des droits de l’enfant). L’inégalité est mentionnée </w:t>
      </w:r>
      <w:r>
        <w:rPr>
          <w:rFonts w:ascii="Calibri" w:eastAsia="Calibri" w:hAnsi="Calibri" w:cs="Calibri"/>
          <w:color w:val="1A1A1A"/>
        </w:rPr>
        <w:lastRenderedPageBreak/>
        <w:t xml:space="preserve">comme touchant notamment les « enfants issus de milieux socio-économiques défavorisés », mettant en avant le rôle supplétif essentiel de l’État dans l’éducation. Cependant, si l’éducation doit en effet renforcer l’égalité et « développer le plein potentiel » des élèves, l’éducation ne permet plus une ascension sociale et reproduit les inégalités, ce qui constitue paradoxalement le but inverse du droit à l’éducation. La mixité sociale est pourtant un des buts des </w:t>
      </w:r>
      <w:r>
        <w:rPr>
          <w:rFonts w:ascii="Calibri" w:eastAsia="Calibri" w:hAnsi="Calibri" w:cs="Calibri"/>
          <w:color w:val="1E88E5"/>
        </w:rPr>
        <w:t>articles L. 111-1 et L 121</w:t>
      </w:r>
      <w:r>
        <w:rPr>
          <w:rFonts w:ascii="Calibri" w:eastAsia="Calibri" w:hAnsi="Calibri" w:cs="Calibri"/>
          <w:color w:val="1A1A1A"/>
        </w:rPr>
        <w:t xml:space="preserve">- 1du </w:t>
      </w:r>
      <w:r>
        <w:rPr>
          <w:rFonts w:ascii="Calibri" w:eastAsia="Calibri" w:hAnsi="Calibri" w:cs="Calibri"/>
          <w:color w:val="1E88E5"/>
        </w:rPr>
        <w:t>Code de l’éducation</w:t>
      </w:r>
      <w:r>
        <w:rPr>
          <w:rFonts w:ascii="Calibri" w:eastAsia="Calibri" w:hAnsi="Calibri" w:cs="Calibri"/>
          <w:color w:val="1A1A1A"/>
        </w:rPr>
        <w:t>. Ce rapport interroge également l’étendue des obligations incombant à l’État notamment concernant un droit personnel de chaque enfant à une qualité suffisante d’éducation, celui-ci dénonçant une inadéquation structurelle.</w:t>
      </w:r>
    </w:p>
    <w:p w14:paraId="089FD4D1" w14:textId="77777777" w:rsidR="001E3E87" w:rsidRDefault="005258B2">
      <w:pPr>
        <w:pStyle w:val="Titre3"/>
        <w:spacing w:before="190" w:after="80"/>
      </w:pPr>
      <w:r>
        <w:rPr>
          <w:rFonts w:ascii="Calibri" w:eastAsia="Calibri" w:hAnsi="Calibri" w:cs="Calibri"/>
          <w:b/>
          <w:bCs/>
          <w:i/>
          <w:iCs/>
          <w:color w:val="1A1A1A"/>
          <w:sz w:val="21"/>
          <w:szCs w:val="21"/>
        </w:rPr>
        <w:t>B. L’éducation, levier du droit à l’épanouissement</w:t>
      </w:r>
    </w:p>
    <w:p w14:paraId="76B3FE3C" w14:textId="77777777" w:rsidR="001E3E87" w:rsidRDefault="005258B2">
      <w:pPr>
        <w:spacing w:after="90" w:line="264" w:lineRule="auto"/>
        <w:jc w:val="both"/>
      </w:pPr>
      <w:r>
        <w:rPr>
          <w:rFonts w:ascii="Calibri" w:eastAsia="Calibri" w:hAnsi="Calibri" w:cs="Calibri"/>
          <w:color w:val="1A1A1A"/>
        </w:rPr>
        <w:t>C’est un des éléments mis en avant dans le rapport, mais également central aux textes nationaux et internationaux : l’</w:t>
      </w:r>
      <w:r>
        <w:rPr>
          <w:rFonts w:ascii="Calibri" w:eastAsia="Calibri" w:hAnsi="Calibri" w:cs="Calibri"/>
          <w:color w:val="1E88E5"/>
        </w:rPr>
        <w:t>article 13</w:t>
      </w:r>
      <w:r>
        <w:rPr>
          <w:rFonts w:ascii="Calibri" w:eastAsia="Calibri" w:hAnsi="Calibri" w:cs="Calibri"/>
          <w:color w:val="1A1A1A"/>
        </w:rPr>
        <w:t xml:space="preserve"> du </w:t>
      </w:r>
      <w:r>
        <w:rPr>
          <w:rFonts w:ascii="Calibri" w:eastAsia="Calibri" w:hAnsi="Calibri" w:cs="Calibri"/>
          <w:color w:val="1E88E5"/>
        </w:rPr>
        <w:t>Pacte international relatif aux droits économiques, sociaux et culturels</w:t>
      </w:r>
      <w:r>
        <w:rPr>
          <w:rFonts w:ascii="Calibri" w:eastAsia="Calibri" w:hAnsi="Calibri" w:cs="Calibri"/>
          <w:color w:val="1A1A1A"/>
        </w:rPr>
        <w:t xml:space="preserve"> prévoit que « l’éducation doit viser au plein épanouissement de la personnalité humaine et du sens de sa dignité et renforcer le respect des droits de l’homme et des libertés fondamentales », faisant aussi écho à l’</w:t>
      </w:r>
      <w:r>
        <w:rPr>
          <w:rFonts w:ascii="Calibri" w:eastAsia="Calibri" w:hAnsi="Calibri" w:cs="Calibri"/>
          <w:color w:val="1E88E5"/>
        </w:rPr>
        <w:t>article 5</w:t>
      </w:r>
      <w:r>
        <w:rPr>
          <w:rFonts w:ascii="Calibri" w:eastAsia="Calibri" w:hAnsi="Calibri" w:cs="Calibri"/>
          <w:color w:val="1A1A1A"/>
        </w:rPr>
        <w:t xml:space="preserve"> de la Convention concernant la lutte contre la discrimination dans le domaine de l’enseignement de 1960, de même que l’</w:t>
      </w:r>
      <w:r>
        <w:rPr>
          <w:rFonts w:ascii="Calibri" w:eastAsia="Calibri" w:hAnsi="Calibri" w:cs="Calibri"/>
          <w:color w:val="1E88E5"/>
        </w:rPr>
        <w:t>article 29-1</w:t>
      </w:r>
      <w:r>
        <w:rPr>
          <w:rFonts w:ascii="Calibri" w:eastAsia="Calibri" w:hAnsi="Calibri" w:cs="Calibri"/>
          <w:color w:val="1A1A1A"/>
        </w:rPr>
        <w:t xml:space="preserve">-a de la Convention internationale des droits de l’enfant, et à l’arrêt </w:t>
      </w:r>
      <w:r>
        <w:rPr>
          <w:rFonts w:ascii="Calibri" w:eastAsia="Calibri" w:hAnsi="Calibri" w:cs="Calibri"/>
          <w:color w:val="E91E63"/>
        </w:rPr>
        <w:t xml:space="preserve">CEDH [GC], 19 octobre 2012, Catan et a. c. Moldova et Russie, no 43370/04 </w:t>
      </w:r>
      <w:r>
        <w:rPr>
          <w:rFonts w:ascii="Calibri" w:eastAsia="Calibri" w:hAnsi="Calibri" w:cs="Calibri"/>
          <w:color w:val="1A1A1A"/>
        </w:rPr>
        <w:t>et suivants. La Cour européenne des droits de l’enfant indique par ailleurs elle-même que l’éducation est « indispensable à la réalisation des droits de l’homme » (</w:t>
      </w:r>
      <w:r>
        <w:rPr>
          <w:rFonts w:ascii="Calibri" w:eastAsia="Calibri" w:hAnsi="Calibri" w:cs="Calibri"/>
          <w:color w:val="E91E63"/>
        </w:rPr>
        <w:t>CEDH, 23 février 2016, Çam c. Turquie, no 51500/08</w:t>
      </w:r>
      <w:r>
        <w:rPr>
          <w:rFonts w:ascii="Calibri" w:eastAsia="Calibri" w:hAnsi="Calibri" w:cs="Calibri"/>
          <w:color w:val="1A1A1A"/>
        </w:rPr>
        <w:t>). L’épanouissement de l’enfant comme objectif pointé dans le rapport n’est donc pas uniquement un abus de langage, mais bien une obligation juridique (voir également l’</w:t>
      </w:r>
      <w:r>
        <w:rPr>
          <w:rFonts w:ascii="Calibri" w:eastAsia="Calibri" w:hAnsi="Calibri" w:cs="Calibri"/>
          <w:color w:val="1E88E5"/>
        </w:rPr>
        <w:t>article 3</w:t>
      </w:r>
      <w:r>
        <w:rPr>
          <w:rFonts w:ascii="Calibri" w:eastAsia="Calibri" w:hAnsi="Calibri" w:cs="Calibri"/>
          <w:color w:val="1A1A1A"/>
        </w:rPr>
        <w:t xml:space="preserve"> de la Convention internationale des droits de l’enfant).</w:t>
      </w:r>
    </w:p>
    <w:p w14:paraId="722D395B" w14:textId="77777777" w:rsidR="001E3E87" w:rsidRDefault="005258B2">
      <w:pPr>
        <w:pStyle w:val="Titre3"/>
        <w:spacing w:before="190" w:after="80"/>
      </w:pPr>
      <w:r>
        <w:rPr>
          <w:rFonts w:ascii="Calibri" w:eastAsia="Calibri" w:hAnsi="Calibri" w:cs="Calibri"/>
          <w:b/>
          <w:bCs/>
          <w:i/>
          <w:iCs/>
          <w:color w:val="1A1A1A"/>
          <w:sz w:val="21"/>
          <w:szCs w:val="21"/>
        </w:rPr>
        <w:t>II. Les défaillances de la fonction sociale de l’éducation</w:t>
      </w:r>
    </w:p>
    <w:p w14:paraId="4BFE581C" w14:textId="77777777" w:rsidR="001E3E87" w:rsidRDefault="005258B2">
      <w:pPr>
        <w:pStyle w:val="Titre3"/>
        <w:spacing w:before="190" w:after="80"/>
      </w:pPr>
      <w:r>
        <w:rPr>
          <w:rFonts w:ascii="Calibri" w:eastAsia="Calibri" w:hAnsi="Calibri" w:cs="Calibri"/>
          <w:b/>
          <w:bCs/>
          <w:i/>
          <w:iCs/>
          <w:color w:val="1A1A1A"/>
          <w:sz w:val="21"/>
          <w:szCs w:val="21"/>
        </w:rPr>
        <w:t>A. L’éducation comme perspective professionnelle</w:t>
      </w:r>
    </w:p>
    <w:p w14:paraId="77871458" w14:textId="77777777" w:rsidR="001E3E87" w:rsidRDefault="005258B2">
      <w:pPr>
        <w:spacing w:after="90" w:line="264" w:lineRule="auto"/>
        <w:jc w:val="both"/>
      </w:pPr>
      <w:r>
        <w:rPr>
          <w:rFonts w:ascii="Calibri" w:eastAsia="Calibri" w:hAnsi="Calibri" w:cs="Calibri"/>
          <w:color w:val="1A1A1A"/>
        </w:rPr>
        <w:t xml:space="preserve">Dans cet extrait, l’éducation constitue aussi et surtout un intérêt pour la société dans son ensemble par un renouvellement de la masse de travailleurs actifs, ce qui contraste avec le caractère utopiste de l’épanouissement individuel. Or, l’objectif défini par le </w:t>
      </w:r>
      <w:r>
        <w:rPr>
          <w:rFonts w:ascii="Calibri" w:eastAsia="Calibri" w:hAnsi="Calibri" w:cs="Calibri"/>
          <w:color w:val="1E88E5"/>
        </w:rPr>
        <w:t>Pacte international relatif aux droits économiques, sociaux et culturels</w:t>
      </w:r>
      <w:r>
        <w:rPr>
          <w:rFonts w:ascii="Calibri" w:eastAsia="Calibri" w:hAnsi="Calibri" w:cs="Calibri"/>
          <w:color w:val="1A1A1A"/>
        </w:rPr>
        <w:t xml:space="preserve"> en son </w:t>
      </w:r>
      <w:r>
        <w:rPr>
          <w:rFonts w:ascii="Calibri" w:eastAsia="Calibri" w:hAnsi="Calibri" w:cs="Calibri"/>
          <w:color w:val="1E88E5"/>
        </w:rPr>
        <w:t>article 13</w:t>
      </w:r>
      <w:r>
        <w:rPr>
          <w:rFonts w:ascii="Calibri" w:eastAsia="Calibri" w:hAnsi="Calibri" w:cs="Calibri"/>
          <w:color w:val="1A1A1A"/>
        </w:rPr>
        <w:t xml:space="preserve"> est ici difficilement respecté. L’éducation est un vecteur de développement socio-économique primordial : facteur de croissance, d’innovation et de cohésion sociale. L’échec scolaire représente donc un coût pour l’élève qui ne peut s’insérer correctement dans la société par l’accès « à des filières qualifiantes ». Le système éducatif et l’accession à des formations sont alors intrinsèquement liés, comme en témoigne la mention de l’OCDE. Cette absence d’éducation adéquate vient dès lors remettre en question indirectement le droit à la formation, mais surtout les capacités d’y accéder. Le texte critique ainsi indirectement, mais avec pertinence le risque pour l’autonomie personnelle des élèves en tant que futurs travailleurs de pouvoir bénéficier d’un « droit au travail » adapté effectif au sens de l’</w:t>
      </w:r>
      <w:r>
        <w:rPr>
          <w:rFonts w:ascii="Calibri" w:eastAsia="Calibri" w:hAnsi="Calibri" w:cs="Calibri"/>
          <w:color w:val="1E88E5"/>
        </w:rPr>
        <w:t>article 1</w:t>
      </w:r>
      <w:r>
        <w:rPr>
          <w:rFonts w:ascii="Calibri" w:eastAsia="Calibri" w:hAnsi="Calibri" w:cs="Calibri"/>
          <w:color w:val="1A1A1A"/>
        </w:rPr>
        <w:t xml:space="preserve"> de la Charte sociale européenne révisée, ou de pouvoir à la fois utiliser leur formation pour lutter contre la pauvreté (</w:t>
      </w:r>
      <w:r>
        <w:rPr>
          <w:rFonts w:ascii="Calibri" w:eastAsia="Calibri" w:hAnsi="Calibri" w:cs="Calibri"/>
          <w:color w:val="1E88E5"/>
        </w:rPr>
        <w:t>art. 30</w:t>
      </w:r>
      <w:r>
        <w:rPr>
          <w:rFonts w:ascii="Calibri" w:eastAsia="Calibri" w:hAnsi="Calibri" w:cs="Calibri"/>
          <w:color w:val="1A1A1A"/>
        </w:rPr>
        <w:t>a, Charte sociale européenne révisée). En effet, l’éducation doit permettre l’autonomie de l’enfant (Observation générale no 1 Comité des droits de l’enfant, 2001) et lui permettre de répondre aux besoins liés à la mondialisation et aux changements majeurs des sociétés (ibid.), ce qui est questionnable dans cet extrait.</w:t>
      </w:r>
    </w:p>
    <w:p w14:paraId="14245C92" w14:textId="77777777" w:rsidR="001E3E87" w:rsidRDefault="005258B2">
      <w:pPr>
        <w:pStyle w:val="Titre3"/>
        <w:spacing w:before="190" w:after="80"/>
      </w:pPr>
      <w:r>
        <w:rPr>
          <w:rFonts w:ascii="Calibri" w:eastAsia="Calibri" w:hAnsi="Calibri" w:cs="Calibri"/>
          <w:b/>
          <w:bCs/>
          <w:i/>
          <w:iCs/>
          <w:color w:val="1A1A1A"/>
          <w:sz w:val="21"/>
          <w:szCs w:val="21"/>
        </w:rPr>
        <w:t>B. L’insuffisance et l’inconstance des mesures adoptées</w:t>
      </w:r>
    </w:p>
    <w:p w14:paraId="52001665" w14:textId="77777777" w:rsidR="001E3E87" w:rsidRDefault="005258B2">
      <w:pPr>
        <w:spacing w:after="90" w:line="264" w:lineRule="auto"/>
        <w:jc w:val="both"/>
      </w:pPr>
      <w:r>
        <w:rPr>
          <w:rFonts w:ascii="Calibri" w:eastAsia="Calibri" w:hAnsi="Calibri" w:cs="Calibri"/>
          <w:color w:val="1A1A1A"/>
        </w:rPr>
        <w:t>La Convention des droits de l’enfant mentionne également un principe de non-régression (</w:t>
      </w:r>
      <w:r>
        <w:rPr>
          <w:rFonts w:ascii="Calibri" w:eastAsia="Calibri" w:hAnsi="Calibri" w:cs="Calibri"/>
          <w:color w:val="1E88E5"/>
        </w:rPr>
        <w:t>art. 28</w:t>
      </w:r>
      <w:r>
        <w:rPr>
          <w:rFonts w:ascii="Calibri" w:eastAsia="Calibri" w:hAnsi="Calibri" w:cs="Calibri"/>
          <w:color w:val="1A1A1A"/>
        </w:rPr>
        <w:t xml:space="preserve">) dont le non- respect est vivement critiqué dans le rapport. Malgré le caractère fondamental du droit à l’éducation pour l’élève et la société, les dernières mesures gouvernementales ne suffisent pas qu’elles portent sur le harcèlement : </w:t>
      </w:r>
      <w:r>
        <w:rPr>
          <w:rFonts w:ascii="Calibri" w:eastAsia="Calibri" w:hAnsi="Calibri" w:cs="Calibri"/>
          <w:color w:val="1E88E5"/>
        </w:rPr>
        <w:t>article L. 111-6</w:t>
      </w:r>
      <w:r>
        <w:rPr>
          <w:rFonts w:ascii="Calibri" w:eastAsia="Calibri" w:hAnsi="Calibri" w:cs="Calibri"/>
          <w:color w:val="1A1A1A"/>
        </w:rPr>
        <w:t xml:space="preserve"> du </w:t>
      </w:r>
      <w:r>
        <w:rPr>
          <w:rFonts w:ascii="Calibri" w:eastAsia="Calibri" w:hAnsi="Calibri" w:cs="Calibri"/>
          <w:color w:val="1E88E5"/>
        </w:rPr>
        <w:t>Code de l’éducation</w:t>
      </w:r>
      <w:r>
        <w:rPr>
          <w:rFonts w:ascii="Calibri" w:eastAsia="Calibri" w:hAnsi="Calibri" w:cs="Calibri"/>
          <w:color w:val="1A1A1A"/>
        </w:rPr>
        <w:t xml:space="preserve"> ou sur les changements des temps de travail dans la semaine scolaire avec tout d’abord le décret du 24 janvier 2013, pris en application de la loi du 8 juillet 2013 imposant la semaine de 4,5 jours de travail, puis le décret du 27 juin 2017 offrant la possibilité de répartir de nouveau les enseignements sur quatre jours. Le Gouvernement doit dès lors prendre des mesures beaucoup plus structurelles afin de remédier aux constats du rapport, mais aussi et surtout afin de respecter les principes fondamentaux du droit à l’éducation.</w:t>
      </w:r>
    </w:p>
    <w:p w14:paraId="6867F3DC" w14:textId="77777777" w:rsidR="001E3E87" w:rsidRDefault="005258B2">
      <w:pPr>
        <w:spacing w:after="90" w:line="264" w:lineRule="auto"/>
        <w:jc w:val="both"/>
      </w:pPr>
      <w:r>
        <w:rPr>
          <w:rFonts w:ascii="Calibri" w:eastAsia="Calibri" w:hAnsi="Calibri" w:cs="Calibri"/>
          <w:color w:val="1A1A1A"/>
        </w:rPr>
        <w:t>En conclusion, le rapport présenté montre les défaillances structurelles du système éducatif français au regard des normes fondamentales nationales et internationales et ses conséquences dévastatrices à l’échelle individuelle et collective pour l’épanouissement personnel.</w:t>
      </w:r>
    </w:p>
    <w:p w14:paraId="77033096" w14:textId="77777777" w:rsidR="001E3E87" w:rsidRDefault="005258B2">
      <w:r>
        <w:br w:type="page"/>
      </w:r>
    </w:p>
    <w:p w14:paraId="506BD963"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48 — COMMENTAIRE DE DÉCISION</w:t>
      </w:r>
    </w:p>
    <w:p w14:paraId="547F7E36" w14:textId="77777777" w:rsidR="001E3E87" w:rsidRDefault="005258B2">
      <w:pPr>
        <w:spacing w:after="160"/>
      </w:pPr>
      <w:r>
        <w:rPr>
          <w:rFonts w:ascii="Calibri" w:eastAsia="Calibri" w:hAnsi="Calibri" w:cs="Calibri"/>
          <w:i/>
          <w:iCs/>
          <w:color w:val="5A5A5A"/>
          <w:sz w:val="18"/>
          <w:szCs w:val="18"/>
        </w:rPr>
        <w:t>Fiche n° 48 — Le droit à la santé et à la protection sociale  |  PARTIE VII. LES DROITS ÉCONOMIQUES, SOCIAUX ET CULTURELS  |  Fascicule p. 498</w:t>
      </w:r>
    </w:p>
    <w:p w14:paraId="3A19AFE4"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067D823E" w14:textId="77777777" w:rsidR="001E3E87" w:rsidRDefault="005258B2">
      <w:pPr>
        <w:pBdr>
          <w:left w:val="single" w:sz="12" w:space="10" w:color="8C1C2B"/>
        </w:pBdr>
        <w:spacing w:after="90" w:line="264" w:lineRule="auto"/>
        <w:ind w:left="260"/>
        <w:jc w:val="both"/>
      </w:pPr>
      <w:r>
        <w:rPr>
          <w:rFonts w:ascii="Calibri" w:eastAsia="Calibri" w:hAnsi="Calibri" w:cs="Calibri"/>
          <w:color w:val="E91E63"/>
        </w:rPr>
        <w:t>CE, 8 septembre 2005, no 284803</w:t>
      </w:r>
    </w:p>
    <w:p w14:paraId="17FA31C8"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74549467" w14:textId="77777777" w:rsidR="001E3E87" w:rsidRDefault="005258B2">
      <w:pPr>
        <w:spacing w:after="90" w:line="264" w:lineRule="auto"/>
        <w:jc w:val="both"/>
      </w:pPr>
      <w:r>
        <w:rPr>
          <w:rFonts w:ascii="Calibri" w:eastAsia="Calibri" w:hAnsi="Calibri" w:cs="Calibri"/>
          <w:color w:val="1A1A1A"/>
        </w:rPr>
        <w:t>Placée au croisement du droit des libertés fondamentales et du droit pénitentiaire, la présente affaire met en cause les obligations de l’administration pénitentiaire à l’égard de la santé d’un détenu souffrant de pathologies cardiaques. M. X, incarcéré à la maison d’arrêt de Nantes depuis juillet 2002, subit un infarctus en juillet 2004. Bien que son état soit jugé compatible avec le maintien en détention, il demande ensuite à être placé dans une cellule non-fumeur, invoquant les risques du tabagisme passif sur sa santé. L’administration ne fait pas totalement droit à cette demande, notamment en raison de la volonté de l’intéressé de conserver son emploi aux cuisines. Le juge des référés du tribunal administratif de Nantes, saisi par M. X sur le fondement de l’</w:t>
      </w:r>
      <w:r>
        <w:rPr>
          <w:rFonts w:ascii="Calibri" w:eastAsia="Calibri" w:hAnsi="Calibri" w:cs="Calibri"/>
          <w:color w:val="1E88E5"/>
        </w:rPr>
        <w:t>article L. 521-2</w:t>
      </w:r>
      <w:r>
        <w:rPr>
          <w:rFonts w:ascii="Calibri" w:eastAsia="Calibri" w:hAnsi="Calibri" w:cs="Calibri"/>
          <w:color w:val="1A1A1A"/>
        </w:rPr>
        <w:t xml:space="preserve"> du </w:t>
      </w:r>
      <w:r>
        <w:rPr>
          <w:rFonts w:ascii="Calibri" w:eastAsia="Calibri" w:hAnsi="Calibri" w:cs="Calibri"/>
          <w:color w:val="1E88E5"/>
        </w:rPr>
        <w:t>Code de justice administrative</w:t>
      </w:r>
      <w:r>
        <w:rPr>
          <w:rFonts w:ascii="Calibri" w:eastAsia="Calibri" w:hAnsi="Calibri" w:cs="Calibri"/>
          <w:color w:val="1A1A1A"/>
        </w:rPr>
        <w:t>, ordonne néanmoins au Garde des Sceaux de prendre des mesures visant à limiter l’exposition au tabagisme passif dans un délai d’un mois, notamment en le plaçant dans une autre cellule avec des détenus non-fumeurs. À l’appui de sa demande, il soutient que lorsqu’il a saisi le juge des référés, il partageait sa cellule avec trois détenus fumeurs ; que, postérieurement à l’introduction de sa requête, deux non-fumeurs ont intégré sa cellule à la place de deux détenus fumeurs ; que le changement de cellule qui lui a été proposé le 23 août 2005 avec transfert a été refusé par lui au motif qu’il entraînait la perte de son emploi aux cuisines.</w:t>
      </w:r>
    </w:p>
    <w:p w14:paraId="6BCE2FF2" w14:textId="77777777" w:rsidR="001E3E87" w:rsidRDefault="005258B2">
      <w:pPr>
        <w:spacing w:after="90" w:line="264" w:lineRule="auto"/>
        <w:jc w:val="both"/>
      </w:pPr>
      <w:r>
        <w:rPr>
          <w:rFonts w:ascii="Calibri" w:eastAsia="Calibri" w:hAnsi="Calibri" w:cs="Calibri"/>
          <w:b/>
          <w:bCs/>
          <w:color w:val="1A1A1A"/>
        </w:rPr>
        <w:t>Problématique:</w:t>
      </w:r>
      <w:r>
        <w:rPr>
          <w:rFonts w:ascii="Calibri" w:eastAsia="Calibri" w:hAnsi="Calibri" w:cs="Calibri"/>
          <w:color w:val="1A1A1A"/>
        </w:rPr>
        <w:t xml:space="preserve"> dans quelles conditions l’exposition d’un détenu au tabagisme passif peut-elle constituer une atteinte grave et manifestement illégale à une liberté fondamentale, justifiant l’intervention du juge des référés sur le fondement de l’</w:t>
      </w:r>
      <w:r>
        <w:rPr>
          <w:rFonts w:ascii="Calibri" w:eastAsia="Calibri" w:hAnsi="Calibri" w:cs="Calibri"/>
          <w:color w:val="1E88E5"/>
        </w:rPr>
        <w:t>article L. 521-2</w:t>
      </w:r>
      <w:r>
        <w:rPr>
          <w:rFonts w:ascii="Calibri" w:eastAsia="Calibri" w:hAnsi="Calibri" w:cs="Calibri"/>
          <w:color w:val="1A1A1A"/>
        </w:rPr>
        <w:t xml:space="preserve"> du CJA ? En d’autres termes, le droit à la santé est-il une liberté fondamentale invocable à l’occasion d’un référé ?</w:t>
      </w:r>
    </w:p>
    <w:p w14:paraId="601252C5" w14:textId="77777777" w:rsidR="001E3E87" w:rsidRDefault="005258B2">
      <w:pPr>
        <w:spacing w:after="90" w:line="264" w:lineRule="auto"/>
        <w:jc w:val="both"/>
      </w:pPr>
      <w:r>
        <w:rPr>
          <w:rFonts w:ascii="Calibri" w:eastAsia="Calibri" w:hAnsi="Calibri" w:cs="Calibri"/>
          <w:color w:val="1A1A1A"/>
        </w:rPr>
        <w:t>Pour y répondre, le Conseil d’État procède à une double analyse. Il écarte d’abord la qualification de liberté fondamentale pour le droit à la santé, tout en admettant certaines déclinaisons protectrices de la liberté personnelle (§1). Il apprécie ensuite de manière concrète les diligences de l’administration, concluant à l’absence d’atteinte grave et manifestement illégale (§2).</w:t>
      </w:r>
    </w:p>
    <w:p w14:paraId="39FE3326" w14:textId="77777777" w:rsidR="001E3E87" w:rsidRDefault="005258B2">
      <w:pPr>
        <w:pStyle w:val="Titre3"/>
        <w:spacing w:before="190" w:after="80"/>
      </w:pPr>
      <w:r>
        <w:rPr>
          <w:rFonts w:ascii="Calibri" w:eastAsia="Calibri" w:hAnsi="Calibri" w:cs="Calibri"/>
          <w:b/>
          <w:bCs/>
          <w:i/>
          <w:iCs/>
          <w:color w:val="1A1A1A"/>
          <w:sz w:val="21"/>
          <w:szCs w:val="21"/>
        </w:rPr>
        <w:t>I. La reconnaissance encadrée des atteintes aux libertés fondamentales en milieu carcéral</w:t>
      </w:r>
    </w:p>
    <w:p w14:paraId="67FCFBA3" w14:textId="77777777" w:rsidR="001E3E87" w:rsidRDefault="005258B2">
      <w:pPr>
        <w:pStyle w:val="Titre3"/>
        <w:spacing w:before="190" w:after="80"/>
      </w:pPr>
      <w:r>
        <w:rPr>
          <w:rFonts w:ascii="Calibri" w:eastAsia="Calibri" w:hAnsi="Calibri" w:cs="Calibri"/>
          <w:b/>
          <w:bCs/>
          <w:i/>
          <w:iCs/>
          <w:color w:val="1A1A1A"/>
          <w:sz w:val="21"/>
          <w:szCs w:val="21"/>
        </w:rPr>
        <w:t>A. L’exclusion du droit à la santé du champ de l’</w:t>
      </w:r>
      <w:r>
        <w:rPr>
          <w:rFonts w:ascii="Calibri" w:eastAsia="Calibri" w:hAnsi="Calibri" w:cs="Calibri"/>
          <w:b/>
          <w:bCs/>
          <w:i/>
          <w:iCs/>
          <w:color w:val="1E88E5"/>
          <w:sz w:val="21"/>
          <w:szCs w:val="21"/>
        </w:rPr>
        <w:t>article L. 521-2</w:t>
      </w:r>
      <w:r>
        <w:rPr>
          <w:rFonts w:ascii="Calibri" w:eastAsia="Calibri" w:hAnsi="Calibri" w:cs="Calibri"/>
          <w:b/>
          <w:bCs/>
          <w:i/>
          <w:iCs/>
          <w:color w:val="1A1A1A"/>
          <w:sz w:val="21"/>
          <w:szCs w:val="21"/>
        </w:rPr>
        <w:t xml:space="preserve"> CJA</w:t>
      </w:r>
    </w:p>
    <w:p w14:paraId="6F4E9D50" w14:textId="77777777" w:rsidR="001E3E87" w:rsidRDefault="005258B2">
      <w:pPr>
        <w:spacing w:after="90" w:line="264" w:lineRule="auto"/>
        <w:jc w:val="both"/>
      </w:pPr>
      <w:r>
        <w:rPr>
          <w:rFonts w:ascii="Calibri" w:eastAsia="Calibri" w:hAnsi="Calibri" w:cs="Calibri"/>
          <w:color w:val="1A1A1A"/>
        </w:rPr>
        <w:t>Dans un attendu de principe, le Conseil d’État rappelle que si la protection de la santé publique constitue un objectif de valeur constitutionnelle en vertu du Préambule de 1946, le droit à la santé ne saurait être considéré comme une liberté fondamentale au sens de l’</w:t>
      </w:r>
      <w:r>
        <w:rPr>
          <w:rFonts w:ascii="Calibri" w:eastAsia="Calibri" w:hAnsi="Calibri" w:cs="Calibri"/>
          <w:color w:val="1E88E5"/>
        </w:rPr>
        <w:t>article L. 521-2</w:t>
      </w:r>
      <w:r>
        <w:rPr>
          <w:rFonts w:ascii="Calibri" w:eastAsia="Calibri" w:hAnsi="Calibri" w:cs="Calibri"/>
          <w:color w:val="1A1A1A"/>
        </w:rPr>
        <w:t xml:space="preserve"> du </w:t>
      </w:r>
      <w:r>
        <w:rPr>
          <w:rFonts w:ascii="Calibri" w:eastAsia="Calibri" w:hAnsi="Calibri" w:cs="Calibri"/>
          <w:color w:val="1E88E5"/>
        </w:rPr>
        <w:t>Code de justice administrative</w:t>
      </w:r>
      <w:r>
        <w:rPr>
          <w:rFonts w:ascii="Calibri" w:eastAsia="Calibri" w:hAnsi="Calibri" w:cs="Calibri"/>
          <w:color w:val="1A1A1A"/>
        </w:rPr>
        <w:t xml:space="preserve">. Cette décision s’inscrit dans la lignée d’autres arrêts limitant la portée du droit à la santé. Par exemple, le Conseil d’État a retenu que le </w:t>
      </w:r>
      <w:r>
        <w:rPr>
          <w:rFonts w:ascii="Calibri" w:eastAsia="Calibri" w:hAnsi="Calibri" w:cs="Calibri"/>
          <w:color w:val="1E88E5"/>
        </w:rPr>
        <w:t>Pacte international relatif aux droits économiques, sociaux et culturels</w:t>
      </w:r>
      <w:r>
        <w:rPr>
          <w:rFonts w:ascii="Calibri" w:eastAsia="Calibri" w:hAnsi="Calibri" w:cs="Calibri"/>
          <w:color w:val="1A1A1A"/>
        </w:rPr>
        <w:t xml:space="preserve"> n’avait pas d’effet direct (</w:t>
      </w:r>
      <w:r>
        <w:rPr>
          <w:rFonts w:ascii="Calibri" w:eastAsia="Calibri" w:hAnsi="Calibri" w:cs="Calibri"/>
          <w:color w:val="E91E63"/>
        </w:rPr>
        <w:t>CE, 7 juin 2006, Association Aides, no 285576</w:t>
      </w:r>
      <w:r>
        <w:rPr>
          <w:rFonts w:ascii="Calibri" w:eastAsia="Calibri" w:hAnsi="Calibri" w:cs="Calibri"/>
          <w:color w:val="1A1A1A"/>
        </w:rPr>
        <w:t>). Le juge des référés de première instance avait quant à lui reconnu à la santé ce statut de liberté fondamentale, position ici censurée. Le Conseil d’État marque ainsi une limite claire entre les droits protégés par la Constitution et ceux qui, pour pouvoir justifier une intervention en référé-liberté, doivent présenter une dimension immédiate et fondamentale de la personne humaine, ce qui n’est pas toujours le cas du droit à la santé.</w:t>
      </w:r>
    </w:p>
    <w:p w14:paraId="35F604FE" w14:textId="77777777" w:rsidR="001E3E87" w:rsidRDefault="005258B2">
      <w:pPr>
        <w:pStyle w:val="Titre3"/>
        <w:spacing w:before="190" w:after="80"/>
      </w:pPr>
      <w:r>
        <w:rPr>
          <w:rFonts w:ascii="Calibri" w:eastAsia="Calibri" w:hAnsi="Calibri" w:cs="Calibri"/>
          <w:b/>
          <w:bCs/>
          <w:i/>
          <w:iCs/>
          <w:color w:val="1A1A1A"/>
          <w:sz w:val="21"/>
          <w:szCs w:val="21"/>
        </w:rPr>
        <w:t>B. L’intégration de certaines composantes de la liberté personnelle</w:t>
      </w:r>
    </w:p>
    <w:p w14:paraId="3A2A5293" w14:textId="77777777" w:rsidR="001E3E87" w:rsidRDefault="005258B2">
      <w:pPr>
        <w:spacing w:after="90" w:line="264" w:lineRule="auto"/>
        <w:jc w:val="both"/>
      </w:pPr>
      <w:r>
        <w:rPr>
          <w:rFonts w:ascii="Calibri" w:eastAsia="Calibri" w:hAnsi="Calibri" w:cs="Calibri"/>
          <w:color w:val="1A1A1A"/>
        </w:rPr>
        <w:t>Malgré cette exclusion, le Conseil d’État n’écarte pas toute protection du détenu. Il souligne que certains droits dérivés du principe de liberté personnelle peuvent être protégés via l’</w:t>
      </w:r>
      <w:r>
        <w:rPr>
          <w:rFonts w:ascii="Calibri" w:eastAsia="Calibri" w:hAnsi="Calibri" w:cs="Calibri"/>
          <w:color w:val="1E88E5"/>
        </w:rPr>
        <w:t>article L. 521-2</w:t>
      </w:r>
      <w:r>
        <w:rPr>
          <w:rFonts w:ascii="Calibri" w:eastAsia="Calibri" w:hAnsi="Calibri" w:cs="Calibri"/>
          <w:color w:val="1A1A1A"/>
        </w:rPr>
        <w:t>, notamment le droit de ne pas subir des contraintes qui excéderaient celles inhérentes à la détention. Ainsi, le consentement éclairé aux soins ou le droit à un environnement respectueux de la dignité humaine, dans les limites de la contrainte carcérale, peuvent entrer dans le champ du référé-liberté. Ce raisonnement permet au juge de maintenir une exigence d’équilibre : il ne reconnaît pas un droit absolu à la santé, mais autorise un contrôle juridictionnel renforcé si les conditions de détention présentent un caractère manifestement excessif au regard des libertés fondamentales.</w:t>
      </w:r>
    </w:p>
    <w:p w14:paraId="04AEA421" w14:textId="77777777" w:rsidR="001E3E87" w:rsidRDefault="005258B2">
      <w:pPr>
        <w:pStyle w:val="Titre3"/>
        <w:spacing w:before="190" w:after="80"/>
      </w:pPr>
      <w:r>
        <w:rPr>
          <w:rFonts w:ascii="Calibri" w:eastAsia="Calibri" w:hAnsi="Calibri" w:cs="Calibri"/>
          <w:b/>
          <w:bCs/>
          <w:i/>
          <w:iCs/>
          <w:color w:val="1A1A1A"/>
          <w:sz w:val="21"/>
          <w:szCs w:val="21"/>
        </w:rPr>
        <w:t>II. Le contrôle circonstancié des mesures administratives par le juge des référés</w:t>
      </w:r>
    </w:p>
    <w:p w14:paraId="3ADB277B" w14:textId="77777777" w:rsidR="001E3E87" w:rsidRDefault="005258B2">
      <w:pPr>
        <w:pStyle w:val="Titre3"/>
        <w:spacing w:before="190" w:after="80"/>
      </w:pPr>
      <w:r>
        <w:rPr>
          <w:rFonts w:ascii="Calibri" w:eastAsia="Calibri" w:hAnsi="Calibri" w:cs="Calibri"/>
          <w:b/>
          <w:bCs/>
          <w:i/>
          <w:iCs/>
          <w:color w:val="1A1A1A"/>
          <w:sz w:val="21"/>
          <w:szCs w:val="21"/>
        </w:rPr>
        <w:lastRenderedPageBreak/>
        <w:t>A. L’appréciation concrète des diligences administratives</w:t>
      </w:r>
    </w:p>
    <w:p w14:paraId="04867AF2" w14:textId="77777777" w:rsidR="001E3E87" w:rsidRDefault="005258B2">
      <w:pPr>
        <w:spacing w:after="90" w:line="264" w:lineRule="auto"/>
        <w:jc w:val="both"/>
      </w:pPr>
      <w:r>
        <w:rPr>
          <w:rFonts w:ascii="Calibri" w:eastAsia="Calibri" w:hAnsi="Calibri" w:cs="Calibri"/>
          <w:color w:val="1A1A1A"/>
        </w:rPr>
        <w:t>La deuxième étape du raisonnement du Conseil d’État consiste à examiner de manière factuelle les efforts déployés par l’administration pour réduire l’exposition de M. X au tabagisme passif. Il relève notamment que des ajustements ont été faits à la suite des mesures de grâce présidentielle, permettant de placer M. X avec deux codétenus non-fumeurs et un troisième renonçant à fumer en sa présence par correction. Par ailleurs, le Conseil d’État souligne que le maintien de M. X au service des cuisines, à sa demande, limite les possibilités de changement de cellule. Il en déduit que l’administration a pris des mesures adaptées aux contraintes pénitentiaires, sans pour autant nier la persistance d’un risque résiduel.</w:t>
      </w:r>
    </w:p>
    <w:p w14:paraId="3627408D" w14:textId="77777777" w:rsidR="001E3E87" w:rsidRDefault="005258B2">
      <w:pPr>
        <w:pStyle w:val="Titre3"/>
        <w:spacing w:before="190" w:after="80"/>
      </w:pPr>
      <w:r>
        <w:rPr>
          <w:rFonts w:ascii="Calibri" w:eastAsia="Calibri" w:hAnsi="Calibri" w:cs="Calibri"/>
          <w:b/>
          <w:bCs/>
          <w:i/>
          <w:iCs/>
          <w:color w:val="1A1A1A"/>
          <w:sz w:val="21"/>
          <w:szCs w:val="21"/>
        </w:rPr>
        <w:t>B. L’absence d’atteinte grave et manifeste excluant l’intervention du juge</w:t>
      </w:r>
    </w:p>
    <w:p w14:paraId="1AE42243" w14:textId="77777777" w:rsidR="001E3E87" w:rsidRDefault="005258B2">
      <w:pPr>
        <w:spacing w:after="90" w:line="264" w:lineRule="auto"/>
        <w:jc w:val="both"/>
      </w:pPr>
      <w:r>
        <w:rPr>
          <w:rFonts w:ascii="Calibri" w:eastAsia="Calibri" w:hAnsi="Calibri" w:cs="Calibri"/>
          <w:color w:val="1A1A1A"/>
        </w:rPr>
        <w:t>En dernier lieu, et sans même examiner la condition d’urgence, le Conseil d’État juge qu’aucune atteinte grave et manifestement illégale à une liberté fondamentale n’est caractérisée. Cette formulation, exigée par l’</w:t>
      </w:r>
      <w:r>
        <w:rPr>
          <w:rFonts w:ascii="Calibri" w:eastAsia="Calibri" w:hAnsi="Calibri" w:cs="Calibri"/>
          <w:color w:val="1E88E5"/>
        </w:rPr>
        <w:t>article L. 521-2</w:t>
      </w:r>
      <w:r>
        <w:rPr>
          <w:rFonts w:ascii="Calibri" w:eastAsia="Calibri" w:hAnsi="Calibri" w:cs="Calibri"/>
          <w:color w:val="1A1A1A"/>
        </w:rPr>
        <w:t xml:space="preserve"> du CJA, constitue un seuil élevé, qui n’est franchi qu’en cas d’inaction manifeste ou de mépris volontaire des droits fondamentaux. En l’espèce, l’administration a mis en œuvre une gestion pragmatique et réactive de la situation de M. X, ce qui suffit à exclure l’intervention du juge du référé-liberté. L’ordonnance du tribunal administratif est donc annulée, et les conclusions de M. X rejetées. En conclusion, cet arrêt témoigne d’une ligne jurisprudentielle constante du Conseil d’État : le référé-liberté est un outil puissant, mais strictement encadré, même dans le cadre sensible de la détention. L’exclusion du droit à la santé en tant que liberté fondamentale ne signifie pas que les détenus soient privés de toute protection juridictionnelle, mais le juge exige que l’administration ait failli de manière manifeste.</w:t>
      </w:r>
    </w:p>
    <w:p w14:paraId="3D03314B" w14:textId="77777777" w:rsidR="001E3E87" w:rsidRDefault="005258B2">
      <w:r>
        <w:br w:type="page"/>
      </w:r>
    </w:p>
    <w:p w14:paraId="3E86D2A1"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49 — COMMENTAIRE D’ARRÊT</w:t>
      </w:r>
    </w:p>
    <w:p w14:paraId="554B2FCC" w14:textId="77777777" w:rsidR="001E3E87" w:rsidRDefault="005258B2">
      <w:pPr>
        <w:spacing w:after="160"/>
      </w:pPr>
      <w:r>
        <w:rPr>
          <w:rFonts w:ascii="Calibri" w:eastAsia="Calibri" w:hAnsi="Calibri" w:cs="Calibri"/>
          <w:i/>
          <w:iCs/>
          <w:color w:val="5A5A5A"/>
          <w:sz w:val="18"/>
          <w:szCs w:val="18"/>
        </w:rPr>
        <w:t>Fiche n° 49 — Le droit à un environnement sain  |  PARTIE VII. LES DROITS ÉCONOMIQUES, SOCIAUX ET CULTURELS  |  Fascicule p. 507</w:t>
      </w:r>
    </w:p>
    <w:p w14:paraId="40757FA0"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76ADE0C8" w14:textId="77777777" w:rsidR="001E3E87" w:rsidRDefault="005258B2">
      <w:pPr>
        <w:pBdr>
          <w:left w:val="single" w:sz="12" w:space="10" w:color="8C1C2B"/>
        </w:pBdr>
        <w:spacing w:after="90" w:line="264" w:lineRule="auto"/>
        <w:ind w:left="260"/>
        <w:jc w:val="both"/>
      </w:pPr>
      <w:r>
        <w:rPr>
          <w:rFonts w:ascii="Calibri" w:eastAsia="Calibri" w:hAnsi="Calibri" w:cs="Calibri"/>
          <w:color w:val="E91E63"/>
        </w:rPr>
        <w:t xml:space="preserve">CEDH, 30 janvier 2025, Cannavacciuolo et a. c. Italie, nos 51567/14 39742/14 </w:t>
      </w:r>
      <w:r>
        <w:rPr>
          <w:rFonts w:ascii="Calibri" w:eastAsia="Calibri" w:hAnsi="Calibri" w:cs="Calibri"/>
          <w:color w:val="1A1A1A"/>
        </w:rPr>
        <w:t>et 74208/14.</w:t>
      </w:r>
    </w:p>
    <w:p w14:paraId="079559B0"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079E602D" w14:textId="77777777" w:rsidR="001E3E87" w:rsidRDefault="005258B2">
      <w:pPr>
        <w:spacing w:after="90" w:line="264" w:lineRule="auto"/>
        <w:jc w:val="both"/>
      </w:pPr>
      <w:r>
        <w:rPr>
          <w:rFonts w:ascii="Calibri" w:eastAsia="Calibri" w:hAnsi="Calibri" w:cs="Calibri"/>
          <w:color w:val="1A1A1A"/>
        </w:rPr>
        <w:t>La gestion des déchets par l’Italie est une problématique récurrente qui a fait l’objet de nombreuses critiques depuis la fin des années 1990, particulièrement en raison du développement de l’</w:t>
      </w:r>
      <w:proofErr w:type="spellStart"/>
      <w:r>
        <w:rPr>
          <w:rFonts w:ascii="Calibri" w:eastAsia="Calibri" w:hAnsi="Calibri" w:cs="Calibri"/>
          <w:color w:val="1A1A1A"/>
        </w:rPr>
        <w:t>écomafia</w:t>
      </w:r>
      <w:proofErr w:type="spellEnd"/>
      <w:r>
        <w:rPr>
          <w:rFonts w:ascii="Calibri" w:eastAsia="Calibri" w:hAnsi="Calibri" w:cs="Calibri"/>
          <w:color w:val="1A1A1A"/>
        </w:rPr>
        <w:t xml:space="preserve"> dans la région de la Campanie. Cette gestion défaillante a d’ailleurs conduit l’Italie à être condamnée par la Cour européenne des droits de l’homme en 2012 dans le cadre de l’affaire Di Sarno. L’affaire du 30 janvier 2025 portait une nouvelle fois sur la gestion des déchets au sein de la région désormais tristement surnommée « terra dei </w:t>
      </w:r>
      <w:proofErr w:type="spellStart"/>
      <w:r>
        <w:rPr>
          <w:rFonts w:ascii="Calibri" w:eastAsia="Calibri" w:hAnsi="Calibri" w:cs="Calibri"/>
          <w:color w:val="1A1A1A"/>
        </w:rPr>
        <w:t>fuochi</w:t>
      </w:r>
      <w:proofErr w:type="spellEnd"/>
      <w:r>
        <w:rPr>
          <w:rFonts w:ascii="Calibri" w:eastAsia="Calibri" w:hAnsi="Calibri" w:cs="Calibri"/>
          <w:color w:val="1A1A1A"/>
        </w:rPr>
        <w:t xml:space="preserve"> » ou terre de feu. Depuis les années 1990, la mafia procède de manière illégale, sur des terrains privés, à des déversements, des enfouissements, ainsi qu’à l’incinération de déchets toxiques. De nombreux requérants, 41 personnes et 5 organisations ont donc souhaité dénoncer l’incurie de l’État auprès de la Cour européenne des droits de l’homme. Ils alléguaient principalement que l’État n’avait pas respecté ses obligations positives au titre des </w:t>
      </w:r>
      <w:r>
        <w:rPr>
          <w:rFonts w:ascii="Calibri" w:eastAsia="Calibri" w:hAnsi="Calibri" w:cs="Calibri"/>
          <w:color w:val="1E88E5"/>
        </w:rPr>
        <w:t>articles 2 et 8</w:t>
      </w:r>
      <w:r>
        <w:rPr>
          <w:rFonts w:ascii="Calibri" w:eastAsia="Calibri" w:hAnsi="Calibri" w:cs="Calibri"/>
          <w:color w:val="1A1A1A"/>
        </w:rPr>
        <w:t xml:space="preserve"> en ne prenant aucune mesure de nature à mettre fin à cette pratique privée.</w:t>
      </w:r>
    </w:p>
    <w:p w14:paraId="61DC4A67" w14:textId="77777777" w:rsidR="001E3E87" w:rsidRDefault="005258B2">
      <w:pPr>
        <w:spacing w:after="90" w:line="264" w:lineRule="auto"/>
        <w:jc w:val="both"/>
      </w:pPr>
      <w:r>
        <w:rPr>
          <w:rFonts w:ascii="Calibri" w:eastAsia="Calibri" w:hAnsi="Calibri" w:cs="Calibri"/>
          <w:color w:val="1A1A1A"/>
        </w:rPr>
        <w:t>La Cour européenne des droits de l’homme, après avoir accueilli favorablement la requête des requérants, personnes physiques, résidant encore au sein de cette région au jour de sa décision, a estimé que l’État n’avait pas respecté ses obligations positives au titre de l’</w:t>
      </w:r>
      <w:r>
        <w:rPr>
          <w:rFonts w:ascii="Calibri" w:eastAsia="Calibri" w:hAnsi="Calibri" w:cs="Calibri"/>
          <w:color w:val="1E88E5"/>
        </w:rPr>
        <w:t>article 2</w:t>
      </w:r>
      <w:r>
        <w:rPr>
          <w:rFonts w:ascii="Calibri" w:eastAsia="Calibri" w:hAnsi="Calibri" w:cs="Calibri"/>
          <w:color w:val="1A1A1A"/>
        </w:rPr>
        <w:t xml:space="preserve"> de la Convention. En raison du grand nombre de requêtes potentiellement concernées par cette affaire, la Cour a mobilisé la procédure d’arrêt pilote.</w:t>
      </w:r>
    </w:p>
    <w:p w14:paraId="5B1F4A20"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La Cour va procéder de manière tout à fait prévisible à l’application de l’</w:t>
      </w:r>
      <w:r>
        <w:rPr>
          <w:rFonts w:ascii="Calibri" w:eastAsia="Calibri" w:hAnsi="Calibri" w:cs="Calibri"/>
          <w:color w:val="1E88E5"/>
        </w:rPr>
        <w:t>article 2</w:t>
      </w:r>
      <w:r>
        <w:rPr>
          <w:rFonts w:ascii="Calibri" w:eastAsia="Calibri" w:hAnsi="Calibri" w:cs="Calibri"/>
          <w:color w:val="1A1A1A"/>
        </w:rPr>
        <w:t xml:space="preserve"> de la Convention dans le cadre d’une affaire environnementale (I). Son approche demeure néanmoins innovante par le recours à la procédure d’arrêt pilote dans cette matière (II).</w:t>
      </w:r>
    </w:p>
    <w:p w14:paraId="5A6B9F5D" w14:textId="77777777" w:rsidR="001E3E87" w:rsidRDefault="005258B2">
      <w:pPr>
        <w:pStyle w:val="Titre3"/>
        <w:spacing w:before="190" w:after="80"/>
      </w:pPr>
      <w:r>
        <w:rPr>
          <w:rFonts w:ascii="Calibri" w:eastAsia="Calibri" w:hAnsi="Calibri" w:cs="Calibri"/>
          <w:b/>
          <w:bCs/>
          <w:i/>
          <w:iCs/>
          <w:color w:val="1A1A1A"/>
          <w:sz w:val="21"/>
          <w:szCs w:val="21"/>
        </w:rPr>
        <w:t>I. Le constat prévisible de l’applicabilité de l’</w:t>
      </w:r>
      <w:r>
        <w:rPr>
          <w:rFonts w:ascii="Calibri" w:eastAsia="Calibri" w:hAnsi="Calibri" w:cs="Calibri"/>
          <w:b/>
          <w:bCs/>
          <w:i/>
          <w:iCs/>
          <w:color w:val="1E88E5"/>
          <w:sz w:val="21"/>
          <w:szCs w:val="21"/>
        </w:rPr>
        <w:t>article 2</w:t>
      </w:r>
      <w:r>
        <w:rPr>
          <w:rFonts w:ascii="Calibri" w:eastAsia="Calibri" w:hAnsi="Calibri" w:cs="Calibri"/>
          <w:b/>
          <w:bCs/>
          <w:i/>
          <w:iCs/>
          <w:color w:val="1A1A1A"/>
          <w:sz w:val="21"/>
          <w:szCs w:val="21"/>
        </w:rPr>
        <w:t xml:space="preserve"> de la Convention dans le cadre d’une affaire</w:t>
      </w:r>
    </w:p>
    <w:p w14:paraId="6DCDA8A5" w14:textId="77777777" w:rsidR="001E3E87" w:rsidRDefault="005258B2">
      <w:pPr>
        <w:spacing w:after="90" w:line="264" w:lineRule="auto"/>
        <w:jc w:val="both"/>
      </w:pPr>
      <w:r>
        <w:rPr>
          <w:rFonts w:ascii="Calibri" w:eastAsia="Calibri" w:hAnsi="Calibri" w:cs="Calibri"/>
          <w:color w:val="1A1A1A"/>
        </w:rPr>
        <w:t>environnementale</w:t>
      </w:r>
    </w:p>
    <w:p w14:paraId="05CBB76F" w14:textId="77777777" w:rsidR="001E3E87" w:rsidRDefault="005258B2">
      <w:pPr>
        <w:pStyle w:val="Titre3"/>
        <w:spacing w:before="190" w:after="80"/>
      </w:pPr>
      <w:r>
        <w:rPr>
          <w:rFonts w:ascii="Calibri" w:eastAsia="Calibri" w:hAnsi="Calibri" w:cs="Calibri"/>
          <w:b/>
          <w:bCs/>
          <w:i/>
          <w:iCs/>
          <w:color w:val="1A1A1A"/>
          <w:sz w:val="21"/>
          <w:szCs w:val="21"/>
        </w:rPr>
        <w:t>A. L’examen exigeant des conditions de recevabilité des requêtes</w:t>
      </w:r>
    </w:p>
    <w:p w14:paraId="7348C99B" w14:textId="77777777" w:rsidR="001E3E87" w:rsidRDefault="005258B2">
      <w:pPr>
        <w:spacing w:after="90" w:line="264" w:lineRule="auto"/>
        <w:jc w:val="both"/>
      </w:pPr>
      <w:r>
        <w:rPr>
          <w:rFonts w:ascii="Calibri" w:eastAsia="Calibri" w:hAnsi="Calibri" w:cs="Calibri"/>
          <w:color w:val="1A1A1A"/>
        </w:rPr>
        <w:t xml:space="preserve">La jurisprudence étant hostile à l’actio </w:t>
      </w:r>
      <w:proofErr w:type="spellStart"/>
      <w:r>
        <w:rPr>
          <w:rFonts w:ascii="Calibri" w:eastAsia="Calibri" w:hAnsi="Calibri" w:cs="Calibri"/>
          <w:color w:val="1A1A1A"/>
        </w:rPr>
        <w:t>popularis</w:t>
      </w:r>
      <w:proofErr w:type="spellEnd"/>
      <w:r>
        <w:rPr>
          <w:rFonts w:ascii="Calibri" w:eastAsia="Calibri" w:hAnsi="Calibri" w:cs="Calibri"/>
          <w:color w:val="1A1A1A"/>
        </w:rPr>
        <w:t xml:space="preserve"> et contrairement à sa position en matière de litiges climatiques (</w:t>
      </w:r>
      <w:r>
        <w:rPr>
          <w:rFonts w:ascii="Calibri" w:eastAsia="Calibri" w:hAnsi="Calibri" w:cs="Calibri"/>
          <w:color w:val="E91E63"/>
        </w:rPr>
        <w:t xml:space="preserve">CEDH, GC., 9 avril 2024, </w:t>
      </w:r>
      <w:proofErr w:type="spellStart"/>
      <w:r>
        <w:rPr>
          <w:rFonts w:ascii="Calibri" w:eastAsia="Calibri" w:hAnsi="Calibri" w:cs="Calibri"/>
          <w:color w:val="E91E63"/>
        </w:rPr>
        <w:t>Verein</w:t>
      </w:r>
      <w:proofErr w:type="spellEnd"/>
      <w:r>
        <w:rPr>
          <w:rFonts w:ascii="Calibri" w:eastAsia="Calibri" w:hAnsi="Calibri" w:cs="Calibri"/>
          <w:color w:val="E91E63"/>
        </w:rPr>
        <w:t xml:space="preserve"> Klimaseniorinnen Schweiz et a. c. Suisse, no 53600/20</w:t>
      </w:r>
      <w:r>
        <w:rPr>
          <w:rFonts w:ascii="Calibri" w:eastAsia="Calibri" w:hAnsi="Calibri" w:cs="Calibri"/>
          <w:color w:val="1A1A1A"/>
        </w:rPr>
        <w:t xml:space="preserve">), la Cour n’a pas admis en l’espèce la recevabilité des recours formés par les associations de victimes. Ces dernières ne pouvaient se prévaloir de la qualité de victime au titre des </w:t>
      </w:r>
      <w:r>
        <w:rPr>
          <w:rFonts w:ascii="Calibri" w:eastAsia="Calibri" w:hAnsi="Calibri" w:cs="Calibri"/>
          <w:color w:val="1E88E5"/>
        </w:rPr>
        <w:t>articles 8 et 2</w:t>
      </w:r>
      <w:r>
        <w:rPr>
          <w:rFonts w:ascii="Calibri" w:eastAsia="Calibri" w:hAnsi="Calibri" w:cs="Calibri"/>
          <w:color w:val="1A1A1A"/>
        </w:rPr>
        <w:t xml:space="preserve"> sans qu’aucune circonstance spécifique ne puisse le justifier. Les recours formés par les requérants ne vivant pas ou plus dans les communes affectées au jour de son jugement ont également été déclarés irrecevables. La Cour a cependant apprécié avec davantage de tempérance l’absence de recours en indemnisation formulé par les requérants en droit interne.</w:t>
      </w:r>
    </w:p>
    <w:p w14:paraId="4A6B268F" w14:textId="77777777" w:rsidR="001E3E87" w:rsidRDefault="005258B2">
      <w:pPr>
        <w:pStyle w:val="Titre3"/>
        <w:spacing w:before="190" w:after="80"/>
      </w:pPr>
      <w:r>
        <w:rPr>
          <w:rFonts w:ascii="Calibri" w:eastAsia="Calibri" w:hAnsi="Calibri" w:cs="Calibri"/>
          <w:b/>
          <w:bCs/>
          <w:i/>
          <w:iCs/>
          <w:color w:val="1A1A1A"/>
          <w:sz w:val="21"/>
          <w:szCs w:val="21"/>
        </w:rPr>
        <w:t>B. L’applicabilité prévisible de l’</w:t>
      </w:r>
      <w:r>
        <w:rPr>
          <w:rFonts w:ascii="Calibri" w:eastAsia="Calibri" w:hAnsi="Calibri" w:cs="Calibri"/>
          <w:b/>
          <w:bCs/>
          <w:i/>
          <w:iCs/>
          <w:color w:val="1E88E5"/>
          <w:sz w:val="21"/>
          <w:szCs w:val="21"/>
        </w:rPr>
        <w:t>article 2</w:t>
      </w:r>
      <w:r>
        <w:rPr>
          <w:rFonts w:ascii="Calibri" w:eastAsia="Calibri" w:hAnsi="Calibri" w:cs="Calibri"/>
          <w:b/>
          <w:bCs/>
          <w:i/>
          <w:iCs/>
          <w:color w:val="1A1A1A"/>
          <w:sz w:val="21"/>
          <w:szCs w:val="21"/>
        </w:rPr>
        <w:t xml:space="preserve"> de la Convention en cas de pollution environnementale</w:t>
      </w:r>
    </w:p>
    <w:p w14:paraId="0BB32155" w14:textId="77777777" w:rsidR="001E3E87" w:rsidRDefault="005258B2">
      <w:pPr>
        <w:spacing w:after="90" w:line="264" w:lineRule="auto"/>
        <w:jc w:val="both"/>
      </w:pPr>
      <w:r>
        <w:rPr>
          <w:rFonts w:ascii="Calibri" w:eastAsia="Calibri" w:hAnsi="Calibri" w:cs="Calibri"/>
          <w:color w:val="1A1A1A"/>
        </w:rPr>
        <w:t>Le droit à l’environnement n’est pas protégé en tant que tel par la Convention, il ne dispose que d’une protection par ricochet. L’applicabilité de l’</w:t>
      </w:r>
      <w:r>
        <w:rPr>
          <w:rFonts w:ascii="Calibri" w:eastAsia="Calibri" w:hAnsi="Calibri" w:cs="Calibri"/>
          <w:color w:val="1E88E5"/>
        </w:rPr>
        <w:t>article 2</w:t>
      </w:r>
      <w:r>
        <w:rPr>
          <w:rFonts w:ascii="Calibri" w:eastAsia="Calibri" w:hAnsi="Calibri" w:cs="Calibri"/>
          <w:color w:val="1A1A1A"/>
        </w:rPr>
        <w:t xml:space="preserve"> à la cause en l’absence de décès n’est pas surprenante (</w:t>
      </w:r>
      <w:r>
        <w:rPr>
          <w:rFonts w:ascii="Calibri" w:eastAsia="Calibri" w:hAnsi="Calibri" w:cs="Calibri"/>
          <w:color w:val="E91E63"/>
        </w:rPr>
        <w:t xml:space="preserve">CEDH, GC., 30 novembre 2004, </w:t>
      </w:r>
      <w:proofErr w:type="spellStart"/>
      <w:r>
        <w:rPr>
          <w:rFonts w:ascii="Calibri" w:eastAsia="Calibri" w:hAnsi="Calibri" w:cs="Calibri"/>
          <w:color w:val="E91E63"/>
        </w:rPr>
        <w:t>Öneryildiz</w:t>
      </w:r>
      <w:proofErr w:type="spellEnd"/>
      <w:r>
        <w:rPr>
          <w:rFonts w:ascii="Calibri" w:eastAsia="Calibri" w:hAnsi="Calibri" w:cs="Calibri"/>
          <w:color w:val="E91E63"/>
        </w:rPr>
        <w:t xml:space="preserve"> c. Turquie, no 48939/99</w:t>
      </w:r>
      <w:r>
        <w:rPr>
          <w:rFonts w:ascii="Calibri" w:eastAsia="Calibri" w:hAnsi="Calibri" w:cs="Calibri"/>
          <w:color w:val="1A1A1A"/>
        </w:rPr>
        <w:t>). La Cour n’a pas exigé des requérants qu’ils démontrent l’existence d’un lien de causalité entre l’exposition à de telles pollutions et le développement de maladies. La Cour admet en effet qu’en cas d’activités dangereuses commises par l’État ou des particuliers un risque réel et imminent pour la vie suffit pour appliquer l’</w:t>
      </w:r>
      <w:r>
        <w:rPr>
          <w:rFonts w:ascii="Calibri" w:eastAsia="Calibri" w:hAnsi="Calibri" w:cs="Calibri"/>
          <w:color w:val="1E88E5"/>
        </w:rPr>
        <w:t>article 2</w:t>
      </w:r>
      <w:r>
        <w:rPr>
          <w:rFonts w:ascii="Calibri" w:eastAsia="Calibri" w:hAnsi="Calibri" w:cs="Calibri"/>
          <w:color w:val="1A1A1A"/>
        </w:rPr>
        <w:t xml:space="preserve"> (</w:t>
      </w:r>
      <w:r>
        <w:rPr>
          <w:rFonts w:ascii="Calibri" w:eastAsia="Calibri" w:hAnsi="Calibri" w:cs="Calibri"/>
          <w:color w:val="E91E63"/>
        </w:rPr>
        <w:t xml:space="preserve">CEDH, 24 juillet 2014, Brincat et a. c. Malte, nos 60908/11 </w:t>
      </w:r>
      <w:r>
        <w:rPr>
          <w:rFonts w:ascii="Calibri" w:eastAsia="Calibri" w:hAnsi="Calibri" w:cs="Calibri"/>
          <w:color w:val="1A1A1A"/>
        </w:rPr>
        <w:t>et a.), critères qui ont été constatés en l’espèce.</w:t>
      </w:r>
    </w:p>
    <w:p w14:paraId="72126423" w14:textId="77777777" w:rsidR="001E3E87" w:rsidRDefault="005258B2">
      <w:pPr>
        <w:pStyle w:val="Titre3"/>
        <w:spacing w:before="190" w:after="80"/>
      </w:pPr>
      <w:r>
        <w:rPr>
          <w:rFonts w:ascii="Calibri" w:eastAsia="Calibri" w:hAnsi="Calibri" w:cs="Calibri"/>
          <w:b/>
          <w:bCs/>
          <w:i/>
          <w:iCs/>
          <w:color w:val="1A1A1A"/>
          <w:sz w:val="21"/>
          <w:szCs w:val="21"/>
        </w:rPr>
        <w:t>II. Le recours innovant à la procédure des arrêts pilotes en matière environnementale</w:t>
      </w:r>
    </w:p>
    <w:p w14:paraId="46987DA3" w14:textId="77777777" w:rsidR="001E3E87" w:rsidRDefault="005258B2">
      <w:pPr>
        <w:pStyle w:val="Titre3"/>
        <w:spacing w:before="190" w:after="80"/>
      </w:pPr>
      <w:r>
        <w:rPr>
          <w:rFonts w:ascii="Calibri" w:eastAsia="Calibri" w:hAnsi="Calibri" w:cs="Calibri"/>
          <w:b/>
          <w:bCs/>
          <w:i/>
          <w:iCs/>
          <w:color w:val="1A1A1A"/>
          <w:sz w:val="21"/>
          <w:szCs w:val="21"/>
        </w:rPr>
        <w:t>A. La violation des obligations positives de l’État au titre du droit à la vie</w:t>
      </w:r>
    </w:p>
    <w:p w14:paraId="6318B7D8" w14:textId="77777777" w:rsidR="001E3E87" w:rsidRDefault="005258B2">
      <w:pPr>
        <w:spacing w:after="90" w:line="264" w:lineRule="auto"/>
        <w:jc w:val="both"/>
      </w:pPr>
      <w:r>
        <w:rPr>
          <w:rFonts w:ascii="Calibri" w:eastAsia="Calibri" w:hAnsi="Calibri" w:cs="Calibri"/>
          <w:color w:val="1A1A1A"/>
        </w:rPr>
        <w:t>La Cour a rappelé que les obligations positives au titre de l’</w:t>
      </w:r>
      <w:r>
        <w:rPr>
          <w:rFonts w:ascii="Calibri" w:eastAsia="Calibri" w:hAnsi="Calibri" w:cs="Calibri"/>
          <w:color w:val="1E88E5"/>
        </w:rPr>
        <w:t>article 8</w:t>
      </w:r>
      <w:r>
        <w:rPr>
          <w:rFonts w:ascii="Calibri" w:eastAsia="Calibri" w:hAnsi="Calibri" w:cs="Calibri"/>
          <w:color w:val="1A1A1A"/>
        </w:rPr>
        <w:t xml:space="preserve"> et de l’</w:t>
      </w:r>
      <w:r>
        <w:rPr>
          <w:rFonts w:ascii="Calibri" w:eastAsia="Calibri" w:hAnsi="Calibri" w:cs="Calibri"/>
          <w:color w:val="1E88E5"/>
        </w:rPr>
        <w:t>article 2</w:t>
      </w:r>
      <w:r>
        <w:rPr>
          <w:rFonts w:ascii="Calibri" w:eastAsia="Calibri" w:hAnsi="Calibri" w:cs="Calibri"/>
          <w:color w:val="1A1A1A"/>
        </w:rPr>
        <w:t xml:space="preserve"> sont similaires lorsque sont en cause des activités dangereuses. L’État dispose ainsi d’obligations positives matérielles et procédurales (</w:t>
      </w:r>
      <w:r>
        <w:rPr>
          <w:rFonts w:ascii="Calibri" w:eastAsia="Calibri" w:hAnsi="Calibri" w:cs="Calibri"/>
          <w:color w:val="E91E63"/>
        </w:rPr>
        <w:t>CEDH, GC., 19 février 1998, Guerra et a. c. Italie, no 14967/89</w:t>
      </w:r>
      <w:r>
        <w:rPr>
          <w:rFonts w:ascii="Calibri" w:eastAsia="Calibri" w:hAnsi="Calibri" w:cs="Calibri"/>
          <w:color w:val="1A1A1A"/>
        </w:rPr>
        <w:t>). L’inaction prolongée de l’État ainsi que sa connaissance de la problématique depuis le début des années 1990 ont conduit la Cour à constater la violation des obligations positives de l’État au titre de l’</w:t>
      </w:r>
      <w:r>
        <w:rPr>
          <w:rFonts w:ascii="Calibri" w:eastAsia="Calibri" w:hAnsi="Calibri" w:cs="Calibri"/>
          <w:color w:val="1E88E5"/>
        </w:rPr>
        <w:t>article 2</w:t>
      </w:r>
      <w:r>
        <w:rPr>
          <w:rFonts w:ascii="Calibri" w:eastAsia="Calibri" w:hAnsi="Calibri" w:cs="Calibri"/>
          <w:color w:val="1A1A1A"/>
        </w:rPr>
        <w:t>.</w:t>
      </w:r>
    </w:p>
    <w:p w14:paraId="4651CD4F" w14:textId="77777777" w:rsidR="001E3E87" w:rsidRDefault="005258B2">
      <w:pPr>
        <w:pStyle w:val="Titre3"/>
        <w:spacing w:before="190" w:after="80"/>
      </w:pPr>
      <w:r>
        <w:rPr>
          <w:rFonts w:ascii="Calibri" w:eastAsia="Calibri" w:hAnsi="Calibri" w:cs="Calibri"/>
          <w:b/>
          <w:bCs/>
          <w:i/>
          <w:iCs/>
          <w:color w:val="1A1A1A"/>
          <w:sz w:val="21"/>
          <w:szCs w:val="21"/>
        </w:rPr>
        <w:lastRenderedPageBreak/>
        <w:t>B. Le manquement systématique de l’État à ses obligations environnementales</w:t>
      </w:r>
    </w:p>
    <w:p w14:paraId="4B3E227F" w14:textId="77777777" w:rsidR="001E3E87" w:rsidRDefault="005258B2">
      <w:pPr>
        <w:spacing w:after="90" w:line="264" w:lineRule="auto"/>
        <w:jc w:val="both"/>
      </w:pPr>
      <w:r>
        <w:rPr>
          <w:rFonts w:ascii="Calibri" w:eastAsia="Calibri" w:hAnsi="Calibri" w:cs="Calibri"/>
          <w:color w:val="1A1A1A"/>
        </w:rPr>
        <w:t>La procédure d’arrêts pilotes a été développée initialement par la Cour en 2004 (</w:t>
      </w:r>
      <w:r>
        <w:rPr>
          <w:rFonts w:ascii="Calibri" w:eastAsia="Calibri" w:hAnsi="Calibri" w:cs="Calibri"/>
          <w:color w:val="E91E63"/>
        </w:rPr>
        <w:t>CEDH, GC., 22 juin 2004, Broniowski c. Pologne, no 31443/96</w:t>
      </w:r>
      <w:r>
        <w:rPr>
          <w:rFonts w:ascii="Calibri" w:eastAsia="Calibri" w:hAnsi="Calibri" w:cs="Calibri"/>
          <w:color w:val="1A1A1A"/>
        </w:rPr>
        <w:t>) avant d’être codifiée au sein du règlement de la Cour (</w:t>
      </w:r>
      <w:r>
        <w:rPr>
          <w:rFonts w:ascii="Calibri" w:eastAsia="Calibri" w:hAnsi="Calibri" w:cs="Calibri"/>
          <w:color w:val="1E88E5"/>
        </w:rPr>
        <w:t>art. 61</w:t>
      </w:r>
      <w:r>
        <w:rPr>
          <w:rFonts w:ascii="Calibri" w:eastAsia="Calibri" w:hAnsi="Calibri" w:cs="Calibri"/>
          <w:color w:val="1A1A1A"/>
        </w:rPr>
        <w:t xml:space="preserve"> du règlement). La Cour a relativement peu utilisé cette procédure qui lui permet de traiter au sein d’une seule affaire des violations systémiques ou structurelles. Cet arrêt est de ce fait d’une certaine importance, car il s’agit de la première application de ce type de procédure à la matière environnementale. La Cour a formulé des recommandations de mesures générales à adopter par l’État défendeur telle que l’adoption d’une stratégie nationale permettant de lutter contre ces graves nuisances, la mise en place d’un mécanisme de suivi indépendant et d’une plateforme d’information du public.</w:t>
      </w:r>
    </w:p>
    <w:p w14:paraId="29BE30F7" w14:textId="77777777" w:rsidR="001E3E87" w:rsidRDefault="005258B2">
      <w:pPr>
        <w:spacing w:after="90" w:line="264" w:lineRule="auto"/>
        <w:jc w:val="both"/>
      </w:pPr>
      <w:r>
        <w:rPr>
          <w:rFonts w:ascii="Calibri" w:eastAsia="Calibri" w:hAnsi="Calibri" w:cs="Calibri"/>
          <w:color w:val="1A1A1A"/>
        </w:rPr>
        <w:t>En conclusion, la Cour procède à la condamnation prévisible de l’Italie pour non-respect de ses obligations environnementales dans le cadre de relations interindividuelles par le biais d’un arrêt pilote, les manquements de l’État en la matière ayant été systémiques.</w:t>
      </w:r>
    </w:p>
    <w:p w14:paraId="00692A82" w14:textId="77777777" w:rsidR="001E3E87" w:rsidRDefault="005258B2">
      <w:r>
        <w:br w:type="page"/>
      </w:r>
    </w:p>
    <w:p w14:paraId="5D90683C"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50 — ARGUMENTATION JURIDIQUE</w:t>
      </w:r>
    </w:p>
    <w:p w14:paraId="07FBA9AE" w14:textId="77777777" w:rsidR="001E3E87" w:rsidRDefault="005258B2">
      <w:pPr>
        <w:spacing w:after="160"/>
      </w:pPr>
      <w:r>
        <w:rPr>
          <w:rFonts w:ascii="Calibri" w:eastAsia="Calibri" w:hAnsi="Calibri" w:cs="Calibri"/>
          <w:i/>
          <w:iCs/>
          <w:color w:val="5A5A5A"/>
          <w:sz w:val="18"/>
          <w:szCs w:val="18"/>
        </w:rPr>
        <w:t>Fiche n° 50 — Le droit au travail  |  PARTIE VII. LES DROITS ÉCONOMIQUES, SOCIAUX ET CULTURELS  |  Fascicule p. 516</w:t>
      </w:r>
    </w:p>
    <w:p w14:paraId="5CA93EF1"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63E08F5F"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Soutenez que travailler n’est pas simplement un droit, mais aussi un devoir.</w:t>
      </w:r>
    </w:p>
    <w:p w14:paraId="38E917F6"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61491A26" w14:textId="77777777" w:rsidR="001E3E87" w:rsidRDefault="005258B2">
      <w:pPr>
        <w:spacing w:after="90" w:line="264" w:lineRule="auto"/>
        <w:jc w:val="both"/>
      </w:pPr>
      <w:r>
        <w:rPr>
          <w:rFonts w:ascii="Calibri" w:eastAsia="Calibri" w:hAnsi="Calibri" w:cs="Calibri"/>
          <w:color w:val="1A1A1A"/>
        </w:rPr>
        <w:t xml:space="preserve">Dans les sociétés démocratiques contemporaines, le travail est généralement perçu comme un droit fondamental, au même titre que l’éducation ou la santé. Cette reconnaissance découle d’une longue évolution historique, marquée notamment par les luttes ouvrières, l’essor de l’État social et la consécration du travail dans les textes fondateurs. Ainsi, le </w:t>
      </w:r>
      <w:r>
        <w:rPr>
          <w:rFonts w:ascii="Calibri" w:eastAsia="Calibri" w:hAnsi="Calibri" w:cs="Calibri"/>
          <w:color w:val="1E88E5"/>
        </w:rPr>
        <w:t>Préambule de la Constitution de 1946</w:t>
      </w:r>
      <w:r>
        <w:rPr>
          <w:rFonts w:ascii="Calibri" w:eastAsia="Calibri" w:hAnsi="Calibri" w:cs="Calibri"/>
          <w:color w:val="1A1A1A"/>
        </w:rPr>
        <w:t xml:space="preserve">, toujours en vigueur par son intégration au bloc de constitutionnalité, énonce que « chacun a le devoir de travailler et le droit d’obtenir un emploi » en son paragraphe 5. Cette formulation – souvent citée, mais rarement interrogée dans sa globalité – met sur un pied d’égalité deux idées que l’on oppose volontiers : le droit au travail et le devoir de travailler. On retrouve une telle consécration dans d’autres textes internationaux comme la </w:t>
      </w:r>
      <w:r>
        <w:rPr>
          <w:rFonts w:ascii="Calibri" w:eastAsia="Calibri" w:hAnsi="Calibri" w:cs="Calibri"/>
          <w:color w:val="1E88E5"/>
        </w:rPr>
        <w:t>Déclaration universelle des droits de l’homme</w:t>
      </w:r>
      <w:r>
        <w:rPr>
          <w:rFonts w:ascii="Calibri" w:eastAsia="Calibri" w:hAnsi="Calibri" w:cs="Calibri"/>
          <w:color w:val="1A1A1A"/>
        </w:rPr>
        <w:t>. Or, si l’on évoque volontiers le droit au travail dans les débats publics et politiques – notamment à travers la lutte contre le chômage ou la précarité –, la notion de devoir de travailler semble plus discrète, voire dérangeante, tant elle peut évoquer la contrainte ou l’atteinte à la liberté individuelle. Pourtant, elle s’enracine dans une certaine philosophie républicaine du travail, qui considère que participer à l’activité économique ne relève pas seulement de l’intérêt personnel, mais aussi d’un engagement au service du bien commun.</w:t>
      </w:r>
    </w:p>
    <w:p w14:paraId="4C7CFF37"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Dès lors, il convient de s’interroger sur la portée réelle de cette idée : le travail est-il simplement un droit dont on peut se prévaloir, ou n’engage-t-il pas également une responsabilité vis-à-vis de la collectivité ? Plus encore, en quoi peut-on soutenir que travailler est non seulement un droit, mais aussi un devoir ? Pour y répondre, il faut d’abord montrer que le travail constitue un droit essentiel, garantissant la dignité de chacun et sa place dans la société (I), avant de démontrer qu’il revêt également une dimension de devoir civique et social, en tant qu’il assure la solidarité et la pérennité du modèle républicain (II).</w:t>
      </w:r>
    </w:p>
    <w:p w14:paraId="7257D1E5" w14:textId="77777777" w:rsidR="001E3E87" w:rsidRDefault="005258B2">
      <w:pPr>
        <w:pStyle w:val="Titre3"/>
        <w:spacing w:before="190" w:after="80"/>
      </w:pPr>
      <w:r>
        <w:rPr>
          <w:rFonts w:ascii="Calibri" w:eastAsia="Calibri" w:hAnsi="Calibri" w:cs="Calibri"/>
          <w:b/>
          <w:bCs/>
          <w:i/>
          <w:iCs/>
          <w:color w:val="1A1A1A"/>
          <w:sz w:val="21"/>
          <w:szCs w:val="21"/>
        </w:rPr>
        <w:t>I. Travailler est un droit : une garantie individuelle et sociale</w:t>
      </w:r>
    </w:p>
    <w:p w14:paraId="2E1C3421" w14:textId="77777777" w:rsidR="001E3E87" w:rsidRDefault="005258B2">
      <w:pPr>
        <w:pStyle w:val="Titre3"/>
        <w:spacing w:before="190" w:after="80"/>
      </w:pPr>
      <w:r>
        <w:rPr>
          <w:rFonts w:ascii="Calibri" w:eastAsia="Calibri" w:hAnsi="Calibri" w:cs="Calibri"/>
          <w:b/>
          <w:bCs/>
          <w:i/>
          <w:iCs/>
          <w:color w:val="1A1A1A"/>
          <w:sz w:val="21"/>
          <w:szCs w:val="21"/>
        </w:rPr>
        <w:t>A. Le droit au travail comme droit fondamental</w:t>
      </w:r>
    </w:p>
    <w:p w14:paraId="0B08AC16" w14:textId="77777777" w:rsidR="001E3E87" w:rsidRDefault="005258B2">
      <w:pPr>
        <w:spacing w:after="90" w:line="264" w:lineRule="auto"/>
        <w:jc w:val="both"/>
      </w:pPr>
      <w:r>
        <w:rPr>
          <w:rFonts w:ascii="Calibri" w:eastAsia="Calibri" w:hAnsi="Calibri" w:cs="Calibri"/>
          <w:color w:val="1A1A1A"/>
        </w:rPr>
        <w:t>Le droit au travail est affirmé par des textes de valeur constitutionnelle (Préambule de 1946, al. 5). Il est également consacré par des normes internationales (</w:t>
      </w:r>
      <w:r>
        <w:rPr>
          <w:rFonts w:ascii="Calibri" w:eastAsia="Calibri" w:hAnsi="Calibri" w:cs="Calibri"/>
          <w:color w:val="1E88E5"/>
        </w:rPr>
        <w:t>Déclaration universelle des droits de l’homme</w:t>
      </w:r>
      <w:r>
        <w:rPr>
          <w:rFonts w:ascii="Calibri" w:eastAsia="Calibri" w:hAnsi="Calibri" w:cs="Calibri"/>
          <w:color w:val="1A1A1A"/>
        </w:rPr>
        <w:t xml:space="preserve">, </w:t>
      </w:r>
      <w:r>
        <w:rPr>
          <w:rFonts w:ascii="Calibri" w:eastAsia="Calibri" w:hAnsi="Calibri" w:cs="Calibri"/>
          <w:color w:val="1E88E5"/>
        </w:rPr>
        <w:t>Pacte international relatif aux droits économiques, sociaux et culturels</w:t>
      </w:r>
      <w:r>
        <w:rPr>
          <w:rFonts w:ascii="Calibri" w:eastAsia="Calibri" w:hAnsi="Calibri" w:cs="Calibri"/>
          <w:color w:val="1A1A1A"/>
        </w:rPr>
        <w:t>, Charte sociale européenne…). Il garantit la possibilité pour chacun de subvenir à ses besoins, de construire son autonomie et sa dignité. Sa reconnaissance comme un droit ne fait donc aucun doute.</w:t>
      </w:r>
    </w:p>
    <w:p w14:paraId="66BE7027" w14:textId="77777777" w:rsidR="001E3E87" w:rsidRDefault="005258B2">
      <w:pPr>
        <w:pStyle w:val="Titre3"/>
        <w:spacing w:before="190" w:after="80"/>
      </w:pPr>
      <w:r>
        <w:rPr>
          <w:rFonts w:ascii="Calibri" w:eastAsia="Calibri" w:hAnsi="Calibri" w:cs="Calibri"/>
          <w:b/>
          <w:bCs/>
          <w:i/>
          <w:iCs/>
          <w:color w:val="1A1A1A"/>
          <w:sz w:val="21"/>
          <w:szCs w:val="21"/>
        </w:rPr>
        <w:t>B. Les implications du droit au travail dans l’ordre juridique positif</w:t>
      </w:r>
    </w:p>
    <w:p w14:paraId="32E16FCB" w14:textId="77777777" w:rsidR="001E3E87" w:rsidRDefault="005258B2">
      <w:pPr>
        <w:spacing w:after="90" w:line="264" w:lineRule="auto"/>
        <w:jc w:val="both"/>
      </w:pPr>
      <w:r>
        <w:rPr>
          <w:rFonts w:ascii="Calibri" w:eastAsia="Calibri" w:hAnsi="Calibri" w:cs="Calibri"/>
          <w:color w:val="1A1A1A"/>
        </w:rPr>
        <w:t>L’État doit mettre en œuvre des politiques pour assurer un accès effectif à l’emploi (cf. obligations de moyens) // mise en place du SMIC. Le droit du travail encadre la relation entre employeurs et salariés afin d’assurer un équilibre (conditions de travail, salaires, durée du travail, protection contre le licenciement abusif…). Le Conseil constitutionnel a reconnu une valeur constitutionnelle au droit d’obtenir un emploi (décision 86- 207 DC du 2 juillet 1986, Loi autorisant le Gouvernement à prendre diverses mesures d’ordre économique et social : une loi d’habilitation ne saurait avoir ni pour objet, ni pour effet de dispenser le Gouvernement dans l’exercice des pouvoirs qui lui sont conférés en application de l’</w:t>
      </w:r>
      <w:r>
        <w:rPr>
          <w:rFonts w:ascii="Calibri" w:eastAsia="Calibri" w:hAnsi="Calibri" w:cs="Calibri"/>
          <w:color w:val="1E88E5"/>
        </w:rPr>
        <w:t>article 38</w:t>
      </w:r>
      <w:r>
        <w:rPr>
          <w:rFonts w:ascii="Calibri" w:eastAsia="Calibri" w:hAnsi="Calibri" w:cs="Calibri"/>
          <w:color w:val="1A1A1A"/>
        </w:rPr>
        <w:t xml:space="preserve"> de la Constitution, du respect des règles et principes de valeur constitutionnelle, au nombre desquels figure le droit au travail. Transition : Mais reconnaître un droit implique souvent une responsabilité corrélative. Et dans le cas du travail, cette responsabilité prend une tournure particulière : travailler, ce n’est pas seulement un droit que l’on peut revendiquer, c’est aussi une contribution attendue au pacte social.</w:t>
      </w:r>
    </w:p>
    <w:p w14:paraId="0D8AA09B" w14:textId="77777777" w:rsidR="001E3E87" w:rsidRDefault="005258B2">
      <w:pPr>
        <w:pStyle w:val="Titre3"/>
        <w:spacing w:before="190" w:after="80"/>
      </w:pPr>
      <w:r>
        <w:rPr>
          <w:rFonts w:ascii="Calibri" w:eastAsia="Calibri" w:hAnsi="Calibri" w:cs="Calibri"/>
          <w:b/>
          <w:bCs/>
          <w:i/>
          <w:iCs/>
          <w:color w:val="1A1A1A"/>
          <w:sz w:val="21"/>
          <w:szCs w:val="21"/>
        </w:rPr>
        <w:t xml:space="preserve">II. Travailler </w:t>
      </w:r>
      <w:proofErr w:type="gramStart"/>
      <w:r>
        <w:rPr>
          <w:rFonts w:ascii="Calibri" w:eastAsia="Calibri" w:hAnsi="Calibri" w:cs="Calibri"/>
          <w:b/>
          <w:bCs/>
          <w:i/>
          <w:iCs/>
          <w:color w:val="1A1A1A"/>
          <w:sz w:val="21"/>
          <w:szCs w:val="21"/>
        </w:rPr>
        <w:t>peut être</w:t>
      </w:r>
      <w:proofErr w:type="gramEnd"/>
      <w:r>
        <w:rPr>
          <w:rFonts w:ascii="Calibri" w:eastAsia="Calibri" w:hAnsi="Calibri" w:cs="Calibri"/>
          <w:b/>
          <w:bCs/>
          <w:i/>
          <w:iCs/>
          <w:color w:val="1A1A1A"/>
          <w:sz w:val="21"/>
          <w:szCs w:val="21"/>
        </w:rPr>
        <w:t xml:space="preserve"> un devoir : une exigence civique et une contribution à l’intérêt général</w:t>
      </w:r>
    </w:p>
    <w:p w14:paraId="1A401654" w14:textId="77777777" w:rsidR="001E3E87" w:rsidRDefault="005258B2">
      <w:pPr>
        <w:pStyle w:val="Titre3"/>
        <w:spacing w:before="190" w:after="80"/>
      </w:pPr>
      <w:r>
        <w:rPr>
          <w:rFonts w:ascii="Calibri" w:eastAsia="Calibri" w:hAnsi="Calibri" w:cs="Calibri"/>
          <w:b/>
          <w:bCs/>
          <w:i/>
          <w:iCs/>
          <w:color w:val="1A1A1A"/>
          <w:sz w:val="21"/>
          <w:szCs w:val="21"/>
        </w:rPr>
        <w:t>A. Le travail comme devoir individuel inscrit dans la tradition républicaine</w:t>
      </w:r>
    </w:p>
    <w:p w14:paraId="27A55AF3" w14:textId="77777777" w:rsidR="001E3E87" w:rsidRDefault="005258B2">
      <w:pPr>
        <w:spacing w:after="90" w:line="264" w:lineRule="auto"/>
        <w:jc w:val="both"/>
      </w:pPr>
      <w:r>
        <w:rPr>
          <w:rFonts w:ascii="Calibri" w:eastAsia="Calibri" w:hAnsi="Calibri" w:cs="Calibri"/>
          <w:color w:val="1A1A1A"/>
        </w:rPr>
        <w:t xml:space="preserve">Le préambule de 1946 lui-même évoque expressément le « devoir de travailler » : cela inscrit le travail dans une logique de responsabilité. Le devoir de travailler est également présent dans des contextes spécifiques : obligation de recherche active d’emploi pour les demandeurs d’emploi, devoir de formation ou de reconversion. Le travail est un vecteur d’inclusion sociale, de cohésion et de dignité. Il permet de contribuer au financement de la solidarité nationale (impôts, cotisations sociales). Ne pas travailler, lorsqu’on en a la capacité, peut peser sur la collectivité et fragiliser le lien social. </w:t>
      </w:r>
      <w:r>
        <w:rPr>
          <w:rFonts w:ascii="Calibri" w:eastAsia="Calibri" w:hAnsi="Calibri" w:cs="Calibri"/>
          <w:color w:val="1A1A1A"/>
        </w:rPr>
        <w:lastRenderedPageBreak/>
        <w:t>Le devoir de travailler se traduit parfois dans le droit positif : par exemple, les obligations de certaines personnes sous le RSA, ou les débats sur la « contrepartie » à l’aide sociale.</w:t>
      </w:r>
    </w:p>
    <w:p w14:paraId="0D9EEC3B" w14:textId="77777777" w:rsidR="001E3E87" w:rsidRDefault="005258B2">
      <w:pPr>
        <w:pStyle w:val="Titre3"/>
        <w:spacing w:before="190" w:after="80"/>
      </w:pPr>
      <w:r>
        <w:rPr>
          <w:rFonts w:ascii="Calibri" w:eastAsia="Calibri" w:hAnsi="Calibri" w:cs="Calibri"/>
          <w:b/>
          <w:bCs/>
          <w:i/>
          <w:iCs/>
          <w:color w:val="1A1A1A"/>
          <w:sz w:val="21"/>
          <w:szCs w:val="21"/>
        </w:rPr>
        <w:t>B. Un devoir de travailler remis en question</w:t>
      </w:r>
    </w:p>
    <w:p w14:paraId="24D93FA5" w14:textId="77777777" w:rsidR="001E3E87" w:rsidRDefault="005258B2">
      <w:pPr>
        <w:spacing w:after="90" w:line="264" w:lineRule="auto"/>
        <w:jc w:val="both"/>
      </w:pPr>
      <w:r>
        <w:rPr>
          <w:rFonts w:ascii="Calibri" w:eastAsia="Calibri" w:hAnsi="Calibri" w:cs="Calibri"/>
          <w:color w:val="1A1A1A"/>
        </w:rPr>
        <w:t>Cette conception est remise en question par certains philosophes ou hommes politiques. Il est remis en question par l’idée de droit à la paresse. Cela signifie que bien qu’il existe un droit de ne pas travailler, pris au prisme notamment de la prohibition du travail forcé. Les individus sont libres d’eux-mêmes, de refuser de travailler.</w:t>
      </w:r>
    </w:p>
    <w:p w14:paraId="3D6B56DD" w14:textId="77777777" w:rsidR="001E3E87" w:rsidRDefault="005258B2">
      <w:pPr>
        <w:spacing w:after="90" w:line="264" w:lineRule="auto"/>
        <w:jc w:val="both"/>
      </w:pPr>
      <w:r>
        <w:rPr>
          <w:rFonts w:ascii="Calibri" w:eastAsia="Calibri" w:hAnsi="Calibri" w:cs="Calibri"/>
          <w:color w:val="1A1A1A"/>
        </w:rPr>
        <w:t>En conclusion, le devoir de travailler ne doit pas être compris comme une obligation absolue : il suppose que des conditions dignes et accessibles soient offertes. Il ne saurait justifier une stigmatisation des inactifs ou des exclus du marché du travail. Le droit à l’oisiveté ou au retrait temporaire du monde professionnel peut aussi faire partie d’un parcours de vie librement choisi.</w:t>
      </w:r>
    </w:p>
    <w:p w14:paraId="59F01F6B" w14:textId="77777777" w:rsidR="001E3E87" w:rsidRDefault="005258B2">
      <w:r>
        <w:br w:type="page"/>
      </w:r>
    </w:p>
    <w:p w14:paraId="6BF2427B"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51 — DISSERTATION</w:t>
      </w:r>
    </w:p>
    <w:p w14:paraId="47ED5721" w14:textId="77777777" w:rsidR="001E3E87" w:rsidRDefault="005258B2">
      <w:pPr>
        <w:spacing w:after="160"/>
      </w:pPr>
      <w:r>
        <w:rPr>
          <w:rFonts w:ascii="Calibri" w:eastAsia="Calibri" w:hAnsi="Calibri" w:cs="Calibri"/>
          <w:i/>
          <w:iCs/>
          <w:color w:val="5A5A5A"/>
          <w:sz w:val="18"/>
          <w:szCs w:val="18"/>
        </w:rPr>
        <w:t>Fiche n° 51 — Le droit au logement  |  PARTIE VII. LES DROITS ÉCONOMIQUES, SOCIAUX ET CULTURELS  |  Fascicule p. 524</w:t>
      </w:r>
    </w:p>
    <w:p w14:paraId="77345CC9"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2ED87605"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Le droit au logement est-il un droit fondamental ?</w:t>
      </w:r>
    </w:p>
    <w:p w14:paraId="41345FFA"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1152E293" w14:textId="77777777" w:rsidR="001E3E87" w:rsidRDefault="005258B2">
      <w:pPr>
        <w:spacing w:after="90" w:line="264" w:lineRule="auto"/>
        <w:jc w:val="both"/>
      </w:pPr>
      <w:r>
        <w:rPr>
          <w:rFonts w:ascii="Calibri" w:eastAsia="Calibri" w:hAnsi="Calibri" w:cs="Calibri"/>
          <w:color w:val="1A1A1A"/>
        </w:rPr>
        <w:t>Le droit au logement ne peut pas être considéré comme un droit subjectif. En effet, ce dernier ne constitue pas un droit autonome opposable à l’État, il n’est pas directement invocable par les justiciables. En effet, la médiation par l’État et les collectivités de ce droit au logement est fluctuante. Les résultats de ces politiques publiques restent incertains. Il n’est donc pas possible pour l’individu de s’en prévaloir de manière automatique. Ce n’est que par la volonté du législateur d’assurer une égalité des chances voire une égalité de fait que le droit opposable au logement devient justiciable. Cette justiciabilité du droit au logement est cependant réservée et restreinte à des situations particulières concernant le droit au logement opposable mis en place en 2007 tandis que la relation bailleur/preneur est encadrée classiquement par les textes législatifs.</w:t>
      </w:r>
    </w:p>
    <w:p w14:paraId="33CAD255"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Cette absence de subjectivisation du droit au logement s’explique par une faible base textuelle (I) tout en étant dépendant des politiques publiques (II).</w:t>
      </w:r>
    </w:p>
    <w:p w14:paraId="06F3D1D0" w14:textId="77777777" w:rsidR="001E3E87" w:rsidRDefault="005258B2">
      <w:pPr>
        <w:pStyle w:val="Titre3"/>
        <w:spacing w:before="190" w:after="80"/>
      </w:pPr>
      <w:r>
        <w:rPr>
          <w:rFonts w:ascii="Calibri" w:eastAsia="Calibri" w:hAnsi="Calibri" w:cs="Calibri"/>
          <w:b/>
          <w:bCs/>
          <w:i/>
          <w:iCs/>
          <w:color w:val="1A1A1A"/>
          <w:sz w:val="21"/>
          <w:szCs w:val="21"/>
        </w:rPr>
        <w:t>I. La faible consécration textuelle du droit au logement</w:t>
      </w:r>
    </w:p>
    <w:p w14:paraId="52C4BE40" w14:textId="77777777" w:rsidR="001E3E87" w:rsidRDefault="005258B2">
      <w:pPr>
        <w:pStyle w:val="Titre3"/>
        <w:spacing w:before="190" w:after="80"/>
      </w:pPr>
      <w:r>
        <w:rPr>
          <w:rFonts w:ascii="Calibri" w:eastAsia="Calibri" w:hAnsi="Calibri" w:cs="Calibri"/>
          <w:b/>
          <w:bCs/>
          <w:i/>
          <w:iCs/>
          <w:color w:val="1A1A1A"/>
          <w:sz w:val="21"/>
          <w:szCs w:val="21"/>
        </w:rPr>
        <w:t>A. Des sources disparates mentionnant le droit au logement</w:t>
      </w:r>
    </w:p>
    <w:p w14:paraId="60C38519" w14:textId="77777777" w:rsidR="001E3E87" w:rsidRDefault="005258B2">
      <w:pPr>
        <w:spacing w:after="90" w:line="264" w:lineRule="auto"/>
        <w:jc w:val="both"/>
      </w:pPr>
      <w:r>
        <w:rPr>
          <w:rFonts w:ascii="Calibri" w:eastAsia="Calibri" w:hAnsi="Calibri" w:cs="Calibri"/>
          <w:color w:val="1A1A1A"/>
        </w:rPr>
        <w:t>Rares mentions en droit international (</w:t>
      </w:r>
      <w:r>
        <w:rPr>
          <w:rFonts w:ascii="Calibri" w:eastAsia="Calibri" w:hAnsi="Calibri" w:cs="Calibri"/>
          <w:color w:val="1E88E5"/>
        </w:rPr>
        <w:t>art. 25-1</w:t>
      </w:r>
      <w:r>
        <w:rPr>
          <w:rFonts w:ascii="Calibri" w:eastAsia="Calibri" w:hAnsi="Calibri" w:cs="Calibri"/>
          <w:color w:val="1A1A1A"/>
        </w:rPr>
        <w:t xml:space="preserve"> </w:t>
      </w:r>
      <w:r>
        <w:rPr>
          <w:rFonts w:ascii="Calibri" w:eastAsia="Calibri" w:hAnsi="Calibri" w:cs="Calibri"/>
          <w:color w:val="1E88E5"/>
        </w:rPr>
        <w:t>DUDH</w:t>
      </w:r>
      <w:r>
        <w:rPr>
          <w:rFonts w:ascii="Calibri" w:eastAsia="Calibri" w:hAnsi="Calibri" w:cs="Calibri"/>
          <w:color w:val="1A1A1A"/>
        </w:rPr>
        <w:t xml:space="preserve"> et </w:t>
      </w:r>
      <w:r>
        <w:rPr>
          <w:rFonts w:ascii="Calibri" w:eastAsia="Calibri" w:hAnsi="Calibri" w:cs="Calibri"/>
          <w:color w:val="1E88E5"/>
        </w:rPr>
        <w:t>art. 11</w:t>
      </w:r>
      <w:r>
        <w:rPr>
          <w:rFonts w:ascii="Calibri" w:eastAsia="Calibri" w:hAnsi="Calibri" w:cs="Calibri"/>
          <w:color w:val="1A1A1A"/>
        </w:rPr>
        <w:t xml:space="preserve"> </w:t>
      </w:r>
      <w:r>
        <w:rPr>
          <w:rFonts w:ascii="Calibri" w:eastAsia="Calibri" w:hAnsi="Calibri" w:cs="Calibri"/>
          <w:color w:val="1E88E5"/>
        </w:rPr>
        <w:t>PIDCP</w:t>
      </w:r>
      <w:r>
        <w:rPr>
          <w:rFonts w:ascii="Calibri" w:eastAsia="Calibri" w:hAnsi="Calibri" w:cs="Calibri"/>
          <w:color w:val="1A1A1A"/>
        </w:rPr>
        <w:t>). Absence de proclamation expresse en droit européen (</w:t>
      </w:r>
      <w:r>
        <w:rPr>
          <w:rFonts w:ascii="Calibri" w:eastAsia="Calibri" w:hAnsi="Calibri" w:cs="Calibri"/>
          <w:color w:val="1E88E5"/>
        </w:rPr>
        <w:t>art. 34</w:t>
      </w:r>
      <w:r>
        <w:rPr>
          <w:rFonts w:ascii="Calibri" w:eastAsia="Calibri" w:hAnsi="Calibri" w:cs="Calibri"/>
          <w:color w:val="1A1A1A"/>
        </w:rPr>
        <w:t xml:space="preserve"> de la </w:t>
      </w:r>
      <w:r>
        <w:rPr>
          <w:rFonts w:ascii="Calibri" w:eastAsia="Calibri" w:hAnsi="Calibri" w:cs="Calibri"/>
          <w:color w:val="1E88E5"/>
        </w:rPr>
        <w:t>Charte des droits fondamentaux de l’Union européenne</w:t>
      </w:r>
      <w:r>
        <w:rPr>
          <w:rFonts w:ascii="Calibri" w:eastAsia="Calibri" w:hAnsi="Calibri" w:cs="Calibri"/>
          <w:color w:val="1A1A1A"/>
        </w:rPr>
        <w:t xml:space="preserve">, « droit à l’aide au logement », et </w:t>
      </w:r>
      <w:r>
        <w:rPr>
          <w:rFonts w:ascii="Calibri" w:eastAsia="Calibri" w:hAnsi="Calibri" w:cs="Calibri"/>
          <w:color w:val="1E88E5"/>
        </w:rPr>
        <w:t>art. 31</w:t>
      </w:r>
      <w:r>
        <w:rPr>
          <w:rFonts w:ascii="Calibri" w:eastAsia="Calibri" w:hAnsi="Calibri" w:cs="Calibri"/>
          <w:color w:val="1A1A1A"/>
        </w:rPr>
        <w:t xml:space="preserve"> de la Charte sociale européenne « favoriser l’accès au logement »). En France, les seules références sont législatives (</w:t>
      </w:r>
      <w:r>
        <w:rPr>
          <w:rFonts w:ascii="Calibri" w:eastAsia="Calibri" w:hAnsi="Calibri" w:cs="Calibri"/>
          <w:color w:val="1E88E5"/>
        </w:rPr>
        <w:t>Loi no 89-462</w:t>
      </w:r>
      <w:r>
        <w:rPr>
          <w:rFonts w:ascii="Calibri" w:eastAsia="Calibri" w:hAnsi="Calibri" w:cs="Calibri"/>
          <w:color w:val="1A1A1A"/>
        </w:rPr>
        <w:t xml:space="preserve"> du 6 juillet 1989 tendant à améliorer les rapports locatifs et portant modification de la </w:t>
      </w:r>
      <w:r>
        <w:rPr>
          <w:rFonts w:ascii="Calibri" w:eastAsia="Calibri" w:hAnsi="Calibri" w:cs="Calibri"/>
          <w:color w:val="1E88E5"/>
        </w:rPr>
        <w:t>loi no 86-1290</w:t>
      </w:r>
      <w:r>
        <w:rPr>
          <w:rFonts w:ascii="Calibri" w:eastAsia="Calibri" w:hAnsi="Calibri" w:cs="Calibri"/>
          <w:color w:val="1A1A1A"/>
        </w:rPr>
        <w:t xml:space="preserve"> du 23 décembre 1986 et </w:t>
      </w:r>
      <w:r>
        <w:rPr>
          <w:rFonts w:ascii="Calibri" w:eastAsia="Calibri" w:hAnsi="Calibri" w:cs="Calibri"/>
          <w:color w:val="1E88E5"/>
        </w:rPr>
        <w:t>Loi no 90-449</w:t>
      </w:r>
      <w:r>
        <w:rPr>
          <w:rFonts w:ascii="Calibri" w:eastAsia="Calibri" w:hAnsi="Calibri" w:cs="Calibri"/>
          <w:color w:val="1A1A1A"/>
        </w:rPr>
        <w:t xml:space="preserve"> du 31 mai 1990 visant à la mise en œuvre du droit au logement : proclament le droit au logement / </w:t>
      </w:r>
      <w:r>
        <w:rPr>
          <w:rFonts w:ascii="Calibri" w:eastAsia="Calibri" w:hAnsi="Calibri" w:cs="Calibri"/>
          <w:color w:val="1E88E5"/>
        </w:rPr>
        <w:t>Loi no 2007-</w:t>
      </w:r>
      <w:r>
        <w:rPr>
          <w:rFonts w:ascii="Calibri" w:eastAsia="Calibri" w:hAnsi="Calibri" w:cs="Calibri"/>
          <w:color w:val="1A1A1A"/>
        </w:rPr>
        <w:t xml:space="preserve"> 290 du 5 mars 2007 instituant le droit au logement opposable et portant diverses mesures en faveur de la cohésion sociale : création du droit au logement opposable. Le constat en droit interne est donc celui d’une absence de proclamation d’un droit au logement dans les textes constitutionnels.</w:t>
      </w:r>
    </w:p>
    <w:p w14:paraId="47D606D8" w14:textId="77777777" w:rsidR="001E3E87" w:rsidRDefault="005258B2">
      <w:pPr>
        <w:pStyle w:val="Titre3"/>
        <w:spacing w:before="190" w:after="80"/>
      </w:pPr>
      <w:r>
        <w:rPr>
          <w:rFonts w:ascii="Calibri" w:eastAsia="Calibri" w:hAnsi="Calibri" w:cs="Calibri"/>
          <w:b/>
          <w:bCs/>
          <w:i/>
          <w:iCs/>
          <w:color w:val="1A1A1A"/>
          <w:sz w:val="21"/>
          <w:szCs w:val="21"/>
        </w:rPr>
        <w:t>B. La simple reconnaissance du droit au logement comme objectif à valeur constitutionnelle</w:t>
      </w:r>
    </w:p>
    <w:p w14:paraId="78D1627C" w14:textId="77777777" w:rsidR="001E3E87" w:rsidRDefault="005258B2">
      <w:pPr>
        <w:spacing w:after="90" w:line="264" w:lineRule="auto"/>
        <w:jc w:val="both"/>
      </w:pPr>
      <w:r>
        <w:rPr>
          <w:rFonts w:ascii="Calibri" w:eastAsia="Calibri" w:hAnsi="Calibri" w:cs="Calibri"/>
          <w:color w:val="1A1A1A"/>
        </w:rPr>
        <w:t>Droit au logement érigé par le Conseil constitutionnel comme un objectif à valeur constitutionnelle et non un droit ou principe fondamental (</w:t>
      </w:r>
      <w:r>
        <w:rPr>
          <w:rFonts w:ascii="Calibri" w:eastAsia="Calibri" w:hAnsi="Calibri" w:cs="Calibri"/>
          <w:color w:val="E91E63"/>
        </w:rPr>
        <w:t xml:space="preserve">Cons. const., déc. no 95-359 </w:t>
      </w:r>
      <w:r>
        <w:rPr>
          <w:rFonts w:ascii="Calibri" w:eastAsia="Calibri" w:hAnsi="Calibri" w:cs="Calibri"/>
          <w:color w:val="1A1A1A"/>
        </w:rPr>
        <w:t xml:space="preserve">DC, 19 janvier 1995, Loi relative à la diversité de l’habitat : le Conseil constitutionnel reconnaît le droit au logement comme un objectif à valeur constitutionnelle fondé sur la dignité de la personne humaine. Voir également </w:t>
      </w:r>
      <w:r>
        <w:rPr>
          <w:rFonts w:ascii="Calibri" w:eastAsia="Calibri" w:hAnsi="Calibri" w:cs="Calibri"/>
          <w:color w:val="E91E63"/>
        </w:rPr>
        <w:t xml:space="preserve">Cons. const., déc. no 2009-578 </w:t>
      </w:r>
      <w:r>
        <w:rPr>
          <w:rFonts w:ascii="Calibri" w:eastAsia="Calibri" w:hAnsi="Calibri" w:cs="Calibri"/>
          <w:color w:val="1A1A1A"/>
        </w:rPr>
        <w:t>DC, 18 mars 2009, Loi de mobilisation pour le logement et la lutte contre l’exclusion : objectif à valeur constitutionnel d’un logement décent). Or, les objectifs sont au mieux des droits fondamentaux de second rang (expression de Louis Favoreu) et plus certainement des instruments de sauvetage de la constitutionnalité des lois déférées devant le juge constitutionnel. En outre, cet objectif à valeur constitutionnel n’est pas opposable à l’administration dans le cadre d’un référé- liberté et il ne peut servir de base pour un recours contre le refus de réquisition de logements inoccupés (</w:t>
      </w:r>
      <w:r>
        <w:rPr>
          <w:rFonts w:ascii="Calibri" w:eastAsia="Calibri" w:hAnsi="Calibri" w:cs="Calibri"/>
          <w:color w:val="E91E63"/>
        </w:rPr>
        <w:t xml:space="preserve">CE, ord. réf., 3 mai 2002, Association de réinsertion sociale du Limousin et autres, no 245697 </w:t>
      </w:r>
      <w:r>
        <w:rPr>
          <w:rFonts w:ascii="Calibri" w:eastAsia="Calibri" w:hAnsi="Calibri" w:cs="Calibri"/>
          <w:color w:val="1A1A1A"/>
        </w:rPr>
        <w:t xml:space="preserve">; </w:t>
      </w:r>
      <w:r>
        <w:rPr>
          <w:rFonts w:ascii="Calibri" w:eastAsia="Calibri" w:hAnsi="Calibri" w:cs="Calibri"/>
          <w:color w:val="E91E63"/>
        </w:rPr>
        <w:t>CE, ord. réf., 13 novembre 2009, ministre de l’Immigration, no 325884</w:t>
      </w:r>
      <w:r>
        <w:rPr>
          <w:rFonts w:ascii="Calibri" w:eastAsia="Calibri" w:hAnsi="Calibri" w:cs="Calibri"/>
          <w:color w:val="1A1A1A"/>
        </w:rPr>
        <w:t>).</w:t>
      </w:r>
    </w:p>
    <w:p w14:paraId="13BC1CF8" w14:textId="77777777" w:rsidR="001E3E87" w:rsidRDefault="005258B2">
      <w:pPr>
        <w:pStyle w:val="Titre3"/>
        <w:spacing w:before="190" w:after="80"/>
      </w:pPr>
      <w:r>
        <w:rPr>
          <w:rFonts w:ascii="Calibri" w:eastAsia="Calibri" w:hAnsi="Calibri" w:cs="Calibri"/>
          <w:b/>
          <w:bCs/>
          <w:i/>
          <w:iCs/>
          <w:color w:val="1A1A1A"/>
          <w:sz w:val="21"/>
          <w:szCs w:val="21"/>
        </w:rPr>
        <w:t>II. Un droit au logement dépendant des politiques publiques</w:t>
      </w:r>
    </w:p>
    <w:p w14:paraId="32B01B8E" w14:textId="77777777" w:rsidR="001E3E87" w:rsidRDefault="005258B2">
      <w:pPr>
        <w:pStyle w:val="Titre3"/>
        <w:spacing w:before="190" w:after="80"/>
      </w:pPr>
      <w:r>
        <w:rPr>
          <w:rFonts w:ascii="Calibri" w:eastAsia="Calibri" w:hAnsi="Calibri" w:cs="Calibri"/>
          <w:b/>
          <w:bCs/>
          <w:i/>
          <w:iCs/>
          <w:color w:val="1A1A1A"/>
          <w:sz w:val="21"/>
          <w:szCs w:val="21"/>
        </w:rPr>
        <w:t>A. Un socle commun encadrant la relation bailleur/preneur</w:t>
      </w:r>
    </w:p>
    <w:p w14:paraId="291DD8AD" w14:textId="77777777" w:rsidR="001E3E87" w:rsidRDefault="005258B2">
      <w:pPr>
        <w:spacing w:after="90" w:line="264" w:lineRule="auto"/>
        <w:jc w:val="both"/>
      </w:pPr>
      <w:r>
        <w:rPr>
          <w:rFonts w:ascii="Calibri" w:eastAsia="Calibri" w:hAnsi="Calibri" w:cs="Calibri"/>
          <w:color w:val="1A1A1A"/>
        </w:rPr>
        <w:t>Préservation classique du droit au logement par l’encadrement des relations individuelles entre les bailleurs et les preneurs (</w:t>
      </w:r>
      <w:r>
        <w:rPr>
          <w:rFonts w:ascii="Calibri" w:eastAsia="Calibri" w:hAnsi="Calibri" w:cs="Calibri"/>
          <w:color w:val="1E88E5"/>
        </w:rPr>
        <w:t>art. 1er</w:t>
      </w:r>
      <w:r>
        <w:rPr>
          <w:rFonts w:ascii="Calibri" w:eastAsia="Calibri" w:hAnsi="Calibri" w:cs="Calibri"/>
          <w:color w:val="1A1A1A"/>
        </w:rPr>
        <w:t xml:space="preserve"> alinéa 3, </w:t>
      </w:r>
      <w:r>
        <w:rPr>
          <w:rFonts w:ascii="Calibri" w:eastAsia="Calibri" w:hAnsi="Calibri" w:cs="Calibri"/>
          <w:color w:val="1E88E5"/>
        </w:rPr>
        <w:t>loi no 86-1290</w:t>
      </w:r>
      <w:r>
        <w:rPr>
          <w:rFonts w:ascii="Calibri" w:eastAsia="Calibri" w:hAnsi="Calibri" w:cs="Calibri"/>
          <w:color w:val="1A1A1A"/>
        </w:rPr>
        <w:t>, 23 décembre 1986). Un contrat de bail ne peut pas être refusé pour des motifs discriminatoires (</w:t>
      </w:r>
      <w:r>
        <w:rPr>
          <w:rFonts w:ascii="Calibri" w:eastAsia="Calibri" w:hAnsi="Calibri" w:cs="Calibri"/>
          <w:color w:val="1E88E5"/>
        </w:rPr>
        <w:t>art. 158</w:t>
      </w:r>
      <w:r>
        <w:rPr>
          <w:rFonts w:ascii="Calibri" w:eastAsia="Calibri" w:hAnsi="Calibri" w:cs="Calibri"/>
          <w:color w:val="1A1A1A"/>
        </w:rPr>
        <w:t xml:space="preserve"> de la </w:t>
      </w:r>
      <w:r>
        <w:rPr>
          <w:rFonts w:ascii="Calibri" w:eastAsia="Calibri" w:hAnsi="Calibri" w:cs="Calibri"/>
          <w:color w:val="1E88E5"/>
        </w:rPr>
        <w:t>loi no 2002-73</w:t>
      </w:r>
      <w:r>
        <w:rPr>
          <w:rFonts w:ascii="Calibri" w:eastAsia="Calibri" w:hAnsi="Calibri" w:cs="Calibri"/>
          <w:color w:val="1A1A1A"/>
        </w:rPr>
        <w:t xml:space="preserve"> du 17 janvier 2002 de modernisation sociale). Protection pécuniaire du locataire par l’encadrement des prix des loyers Une protection supplémentaire a été instaurée pour le locataire avec le droit à la conservation du logement afin de limiter les mises en œuvre de procédures d’expulsion en cas de non-paiement des loyers en saisissant a priori à titre préventif les services sociaux. Cependant cette législation concerne une partie de la population qui est en capacité d’avoir et qui possède déjà un logement.</w:t>
      </w:r>
    </w:p>
    <w:p w14:paraId="790E2043" w14:textId="77777777" w:rsidR="001E3E87" w:rsidRDefault="005258B2">
      <w:pPr>
        <w:pStyle w:val="Titre3"/>
        <w:spacing w:before="190" w:after="80"/>
      </w:pPr>
      <w:r>
        <w:rPr>
          <w:rFonts w:ascii="Calibri" w:eastAsia="Calibri" w:hAnsi="Calibri" w:cs="Calibri"/>
          <w:b/>
          <w:bCs/>
          <w:i/>
          <w:iCs/>
          <w:color w:val="1A1A1A"/>
          <w:sz w:val="21"/>
          <w:szCs w:val="21"/>
        </w:rPr>
        <w:t>B. La dimension sociale du droit au logement</w:t>
      </w:r>
    </w:p>
    <w:p w14:paraId="2DF8AC1E" w14:textId="77777777" w:rsidR="001E3E87" w:rsidRDefault="005258B2">
      <w:pPr>
        <w:spacing w:after="90" w:line="264" w:lineRule="auto"/>
        <w:jc w:val="both"/>
      </w:pPr>
      <w:r>
        <w:rPr>
          <w:rFonts w:ascii="Calibri" w:eastAsia="Calibri" w:hAnsi="Calibri" w:cs="Calibri"/>
          <w:color w:val="1A1A1A"/>
        </w:rPr>
        <w:lastRenderedPageBreak/>
        <w:t>Réelle mise en œuvre du droit au logement avec les politiques sociales qui s’adressent à une partie spécifique de la population. Dans les années 1990, on assiste à une priorisation de l’accession au logement social et la mise en place d’un fonds de solidarité pour le logement (</w:t>
      </w:r>
      <w:r>
        <w:rPr>
          <w:rFonts w:ascii="Calibri" w:eastAsia="Calibri" w:hAnsi="Calibri" w:cs="Calibri"/>
          <w:color w:val="1E88E5"/>
        </w:rPr>
        <w:t>art. 1er</w:t>
      </w:r>
      <w:r>
        <w:rPr>
          <w:rFonts w:ascii="Calibri" w:eastAsia="Calibri" w:hAnsi="Calibri" w:cs="Calibri"/>
          <w:color w:val="1A1A1A"/>
        </w:rPr>
        <w:t xml:space="preserve"> de la </w:t>
      </w:r>
      <w:r>
        <w:rPr>
          <w:rFonts w:ascii="Calibri" w:eastAsia="Calibri" w:hAnsi="Calibri" w:cs="Calibri"/>
          <w:color w:val="1E88E5"/>
        </w:rPr>
        <w:t>loi no 90-449</w:t>
      </w:r>
      <w:r>
        <w:rPr>
          <w:rFonts w:ascii="Calibri" w:eastAsia="Calibri" w:hAnsi="Calibri" w:cs="Calibri"/>
          <w:color w:val="1A1A1A"/>
        </w:rPr>
        <w:t xml:space="preserve"> du 31 mai 1990 visant à la mise en œuvre du droit au logement et </w:t>
      </w:r>
      <w:r>
        <w:rPr>
          <w:rFonts w:ascii="Calibri" w:eastAsia="Calibri" w:hAnsi="Calibri" w:cs="Calibri"/>
          <w:color w:val="1E88E5"/>
        </w:rPr>
        <w:t>art. 7</w:t>
      </w:r>
      <w:r>
        <w:rPr>
          <w:rFonts w:ascii="Calibri" w:eastAsia="Calibri" w:hAnsi="Calibri" w:cs="Calibri"/>
          <w:color w:val="1A1A1A"/>
        </w:rPr>
        <w:t xml:space="preserve"> de la </w:t>
      </w:r>
      <w:r>
        <w:rPr>
          <w:rFonts w:ascii="Calibri" w:eastAsia="Calibri" w:hAnsi="Calibri" w:cs="Calibri"/>
          <w:color w:val="1E88E5"/>
        </w:rPr>
        <w:t>loi no 90-449</w:t>
      </w:r>
      <w:r>
        <w:rPr>
          <w:rFonts w:ascii="Calibri" w:eastAsia="Calibri" w:hAnsi="Calibri" w:cs="Calibri"/>
          <w:color w:val="1A1A1A"/>
        </w:rPr>
        <w:t xml:space="preserve"> du 31 mai 1990 visant à la mise en œuvre du droit au logement). Instauration du droit au logement opposable (</w:t>
      </w:r>
      <w:r>
        <w:rPr>
          <w:rFonts w:ascii="Calibri" w:eastAsia="Calibri" w:hAnsi="Calibri" w:cs="Calibri"/>
          <w:color w:val="1E88E5"/>
        </w:rPr>
        <w:t>loi no 2007-290</w:t>
      </w:r>
      <w:r>
        <w:rPr>
          <w:rFonts w:ascii="Calibri" w:eastAsia="Calibri" w:hAnsi="Calibri" w:cs="Calibri"/>
          <w:color w:val="1A1A1A"/>
        </w:rPr>
        <w:t xml:space="preserve"> du 5 mars 2007 avec un mécanisme d’attribution prioritaire des logements en urgence par une commission de médiation sous la responsabilité des préfets. Le mécanisme du droit au logement opposable a été ouvert pour tous depuis 2012 et dès 2008 pour les plus défavorisés.</w:t>
      </w:r>
    </w:p>
    <w:p w14:paraId="37EFC574" w14:textId="77777777" w:rsidR="001E3E87" w:rsidRDefault="005258B2">
      <w:pPr>
        <w:spacing w:after="90" w:line="264" w:lineRule="auto"/>
        <w:jc w:val="both"/>
      </w:pPr>
      <w:r>
        <w:rPr>
          <w:rFonts w:ascii="Calibri" w:eastAsia="Calibri" w:hAnsi="Calibri" w:cs="Calibri"/>
          <w:color w:val="1A1A1A"/>
        </w:rPr>
        <w:t>En conclusion, le droit au logement n’est pas un droit subjectif et il peut difficilement être considéré comme un réel droit fondamental. C’est dans la mise en œuvre des politiques sociales et le droit au logement opposable qu’il est le plus garanti par l’État même si les résultats de cette politique sont insuffisants.</w:t>
      </w:r>
    </w:p>
    <w:p w14:paraId="0476C2B8" w14:textId="77777777" w:rsidR="001E3E87" w:rsidRDefault="005258B2">
      <w:r>
        <w:br w:type="page"/>
      </w:r>
    </w:p>
    <w:p w14:paraId="5B18BC92"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52 — DISSERTATION</w:t>
      </w:r>
    </w:p>
    <w:p w14:paraId="5F0721ED" w14:textId="77777777" w:rsidR="001E3E87" w:rsidRDefault="005258B2">
      <w:pPr>
        <w:spacing w:after="160"/>
      </w:pPr>
      <w:r>
        <w:rPr>
          <w:rFonts w:ascii="Calibri" w:eastAsia="Calibri" w:hAnsi="Calibri" w:cs="Calibri"/>
          <w:i/>
          <w:iCs/>
          <w:color w:val="5A5A5A"/>
          <w:sz w:val="18"/>
          <w:szCs w:val="18"/>
        </w:rPr>
        <w:t>Fiche n° 52 — Le droit à la culture  |  PARTIE VII. LES DROITS ÉCONOMIQUES, SOCIAUX ET CULTURELS  |  Fascicule p. 534</w:t>
      </w:r>
    </w:p>
    <w:p w14:paraId="2FAD68BA"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2A976311"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Quelles sont les interactions entre droit à la culture et droit de la culture ?</w:t>
      </w:r>
    </w:p>
    <w:p w14:paraId="0CC03F32"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46452799" w14:textId="77777777" w:rsidR="001E3E87" w:rsidRDefault="005258B2">
      <w:pPr>
        <w:spacing w:after="90" w:line="264" w:lineRule="auto"/>
        <w:jc w:val="both"/>
      </w:pPr>
      <w:r>
        <w:rPr>
          <w:rFonts w:ascii="Calibri" w:eastAsia="Calibri" w:hAnsi="Calibri" w:cs="Calibri"/>
          <w:color w:val="1A1A1A"/>
        </w:rPr>
        <w:t xml:space="preserve">Le concept de culture occupe une place croissante dans le champ juridique, tant sur le plan national qu’international. Pourtant, la distinction entre le droit à la culture, qui relève des droits fondamentaux des individus et des communautés, et le droit de la culture, qui regroupe l’ensemble des règles juridiques encadrant la production, la diffusion et la préservation des biens et activités culturels, reste floue dans de nombreux discours. Or, ces deux dimensions sont intimement liées : le droit à la culture ne peut pleinement s’exercer sans un cadre juridique protecteur et structuré, tandis que le droit de la culture doit rester au service de l’accès effectif à la culture pour tous. En effet, des instruments internationaux comme le </w:t>
      </w:r>
      <w:r>
        <w:rPr>
          <w:rFonts w:ascii="Calibri" w:eastAsia="Calibri" w:hAnsi="Calibri" w:cs="Calibri"/>
          <w:color w:val="1E88E5"/>
        </w:rPr>
        <w:t>Pacte international relatif aux droits économiques, sociaux et culturels</w:t>
      </w:r>
      <w:r>
        <w:rPr>
          <w:rFonts w:ascii="Calibri" w:eastAsia="Calibri" w:hAnsi="Calibri" w:cs="Calibri"/>
          <w:color w:val="1A1A1A"/>
        </w:rPr>
        <w:t xml:space="preserve"> (</w:t>
      </w:r>
      <w:r>
        <w:rPr>
          <w:rFonts w:ascii="Calibri" w:eastAsia="Calibri" w:hAnsi="Calibri" w:cs="Calibri"/>
          <w:color w:val="1E88E5"/>
        </w:rPr>
        <w:t>article 15</w:t>
      </w:r>
      <w:r>
        <w:rPr>
          <w:rFonts w:ascii="Calibri" w:eastAsia="Calibri" w:hAnsi="Calibri" w:cs="Calibri"/>
          <w:color w:val="1A1A1A"/>
        </w:rPr>
        <w:t>) reconnaissent le droit de toute personne de participer à la vie culturelle, tandis que des textes tels que la Convention de l’UNESCO sur la protection et la promotion de la diversité des expressions culturelles (2005) établissent des règles visant à préserver la diversité culturelle.</w:t>
      </w:r>
    </w:p>
    <w:p w14:paraId="660CE887"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Il apparaît que ces deux notions, loin de s’opposer, se complètent et s’enrichissent mutuellement. Le droit à la culture fonde et légitime le droit de la culture (I), tandis que le droit de la culture garantit les conditions d’effectivité du droit à la culture (II).</w:t>
      </w:r>
    </w:p>
    <w:p w14:paraId="18417BFB" w14:textId="77777777" w:rsidR="001E3E87" w:rsidRDefault="005258B2">
      <w:pPr>
        <w:pStyle w:val="Titre3"/>
        <w:spacing w:before="190" w:after="80"/>
      </w:pPr>
      <w:r>
        <w:rPr>
          <w:rFonts w:ascii="Calibri" w:eastAsia="Calibri" w:hAnsi="Calibri" w:cs="Calibri"/>
          <w:b/>
          <w:bCs/>
          <w:i/>
          <w:iCs/>
          <w:color w:val="1A1A1A"/>
          <w:sz w:val="21"/>
          <w:szCs w:val="21"/>
        </w:rPr>
        <w:t>I. Le droit à la culture comme fondement et finalité du droit de la culture</w:t>
      </w:r>
    </w:p>
    <w:p w14:paraId="233E061B" w14:textId="77777777" w:rsidR="001E3E87" w:rsidRDefault="005258B2">
      <w:pPr>
        <w:pStyle w:val="Titre3"/>
        <w:spacing w:before="190" w:after="80"/>
      </w:pPr>
      <w:r>
        <w:rPr>
          <w:rFonts w:ascii="Calibri" w:eastAsia="Calibri" w:hAnsi="Calibri" w:cs="Calibri"/>
          <w:b/>
          <w:bCs/>
          <w:i/>
          <w:iCs/>
          <w:color w:val="1A1A1A"/>
          <w:sz w:val="21"/>
          <w:szCs w:val="21"/>
        </w:rPr>
        <w:t>A. Le droit à la culture : un droit fondamental reconnu et protégé</w:t>
      </w:r>
    </w:p>
    <w:p w14:paraId="1D7CFCF2" w14:textId="77777777" w:rsidR="001E3E87" w:rsidRDefault="005258B2">
      <w:pPr>
        <w:spacing w:after="90" w:line="264" w:lineRule="auto"/>
        <w:jc w:val="both"/>
      </w:pPr>
      <w:r>
        <w:rPr>
          <w:rFonts w:ascii="Calibri" w:eastAsia="Calibri" w:hAnsi="Calibri" w:cs="Calibri"/>
          <w:color w:val="1A1A1A"/>
        </w:rPr>
        <w:t xml:space="preserve">Reconnaissance internationale (art. </w:t>
      </w:r>
      <w:r>
        <w:rPr>
          <w:rFonts w:ascii="Calibri" w:eastAsia="Calibri" w:hAnsi="Calibri" w:cs="Calibri"/>
          <w:color w:val="1E88E5"/>
        </w:rPr>
        <w:t>PIDESC</w:t>
      </w:r>
      <w:r>
        <w:rPr>
          <w:rFonts w:ascii="Calibri" w:eastAsia="Calibri" w:hAnsi="Calibri" w:cs="Calibri"/>
          <w:color w:val="1A1A1A"/>
        </w:rPr>
        <w:t xml:space="preserve"> : droit de participer à la vie culturelle ; </w:t>
      </w:r>
      <w:r>
        <w:rPr>
          <w:rFonts w:ascii="Calibri" w:eastAsia="Calibri" w:hAnsi="Calibri" w:cs="Calibri"/>
          <w:color w:val="1E88E5"/>
        </w:rPr>
        <w:t>art. 27</w:t>
      </w:r>
      <w:r>
        <w:rPr>
          <w:rFonts w:ascii="Calibri" w:eastAsia="Calibri" w:hAnsi="Calibri" w:cs="Calibri"/>
          <w:color w:val="1A1A1A"/>
        </w:rPr>
        <w:t xml:space="preserve"> </w:t>
      </w:r>
      <w:r>
        <w:rPr>
          <w:rFonts w:ascii="Calibri" w:eastAsia="Calibri" w:hAnsi="Calibri" w:cs="Calibri"/>
          <w:color w:val="1E88E5"/>
        </w:rPr>
        <w:t>DUDH</w:t>
      </w:r>
      <w:r>
        <w:rPr>
          <w:rFonts w:ascii="Calibri" w:eastAsia="Calibri" w:hAnsi="Calibri" w:cs="Calibri"/>
          <w:color w:val="1A1A1A"/>
        </w:rPr>
        <w:t xml:space="preserve">). Reconnaissance nationale (Préambule de 1946, alinéa 13 ; </w:t>
      </w:r>
      <w:r>
        <w:rPr>
          <w:rFonts w:ascii="Calibri" w:eastAsia="Calibri" w:hAnsi="Calibri" w:cs="Calibri"/>
          <w:color w:val="E91E63"/>
        </w:rPr>
        <w:t xml:space="preserve">Cons. const., déc. no 2001-450 </w:t>
      </w:r>
      <w:r>
        <w:rPr>
          <w:rFonts w:ascii="Calibri" w:eastAsia="Calibri" w:hAnsi="Calibri" w:cs="Calibri"/>
          <w:color w:val="1A1A1A"/>
        </w:rPr>
        <w:t>DC sur la loi relative à la liberté de communication).</w:t>
      </w:r>
    </w:p>
    <w:p w14:paraId="5F00A029" w14:textId="77777777" w:rsidR="001E3E87" w:rsidRDefault="005258B2">
      <w:pPr>
        <w:pStyle w:val="Titre3"/>
        <w:spacing w:before="190" w:after="80"/>
      </w:pPr>
      <w:r>
        <w:rPr>
          <w:rFonts w:ascii="Calibri" w:eastAsia="Calibri" w:hAnsi="Calibri" w:cs="Calibri"/>
          <w:b/>
          <w:bCs/>
          <w:i/>
          <w:iCs/>
          <w:color w:val="1A1A1A"/>
          <w:sz w:val="21"/>
          <w:szCs w:val="21"/>
        </w:rPr>
        <w:t>B. Le droit de la culture : un ensemble normatif au service des droits culturels</w:t>
      </w:r>
    </w:p>
    <w:p w14:paraId="360D3357" w14:textId="77777777" w:rsidR="001E3E87" w:rsidRDefault="005258B2">
      <w:pPr>
        <w:spacing w:after="90" w:line="264" w:lineRule="auto"/>
        <w:jc w:val="both"/>
      </w:pPr>
      <w:r>
        <w:rPr>
          <w:rFonts w:ascii="Calibri" w:eastAsia="Calibri" w:hAnsi="Calibri" w:cs="Calibri"/>
          <w:color w:val="1A1A1A"/>
        </w:rPr>
        <w:t>Réglementation de la production et de la diffusion culturelles : droit de la propriété intellectuelle (Code de la propriété intellectuelle), régulation des industries culturelles (ex : quotas audiovisuels), politiques publiques de soutien à la culture, interventions de l’État et des collectivités territoriales, protection du patrimoine culturel (UNESCO, Code du patrimoine) …</w:t>
      </w:r>
    </w:p>
    <w:p w14:paraId="33776068" w14:textId="77777777" w:rsidR="001E3E87" w:rsidRDefault="005258B2">
      <w:pPr>
        <w:pStyle w:val="Titre3"/>
        <w:spacing w:before="190" w:after="80"/>
      </w:pPr>
      <w:r>
        <w:rPr>
          <w:rFonts w:ascii="Calibri" w:eastAsia="Calibri" w:hAnsi="Calibri" w:cs="Calibri"/>
          <w:b/>
          <w:bCs/>
          <w:i/>
          <w:iCs/>
          <w:color w:val="1A1A1A"/>
          <w:sz w:val="21"/>
          <w:szCs w:val="21"/>
        </w:rPr>
        <w:t>II. Le droit de la culture comme condition d’effectivité du droit à la culture</w:t>
      </w:r>
    </w:p>
    <w:p w14:paraId="05BA3A6B" w14:textId="77777777" w:rsidR="001E3E87" w:rsidRDefault="005258B2">
      <w:pPr>
        <w:pStyle w:val="Titre3"/>
        <w:spacing w:before="190" w:after="80"/>
      </w:pPr>
      <w:r>
        <w:rPr>
          <w:rFonts w:ascii="Calibri" w:eastAsia="Calibri" w:hAnsi="Calibri" w:cs="Calibri"/>
          <w:b/>
          <w:bCs/>
          <w:i/>
          <w:iCs/>
          <w:color w:val="1A1A1A"/>
          <w:sz w:val="21"/>
          <w:szCs w:val="21"/>
        </w:rPr>
        <w:t>A. Les instruments juridiques garantissant l’accès effectif à la culture</w:t>
      </w:r>
    </w:p>
    <w:p w14:paraId="545FDD08" w14:textId="77777777" w:rsidR="001E3E87" w:rsidRDefault="005258B2">
      <w:pPr>
        <w:spacing w:after="90" w:line="264" w:lineRule="auto"/>
        <w:jc w:val="both"/>
      </w:pPr>
      <w:r>
        <w:rPr>
          <w:rFonts w:ascii="Calibri" w:eastAsia="Calibri" w:hAnsi="Calibri" w:cs="Calibri"/>
          <w:color w:val="1A1A1A"/>
        </w:rPr>
        <w:t>Politiques de démocratisation culturelle : tarification sociale, accès à l’éducation artistique, dispositifs spécifiques pour les publics défavorisés, protection de la diversité culturelle (Convention de l’UNESCO de 2005 sur la diversité des expressions culturelles), soutien aux langues régionales et minoritaires (Charte européenne, même si non ratifiée par la France) …</w:t>
      </w:r>
    </w:p>
    <w:p w14:paraId="7CAF64A7" w14:textId="77777777" w:rsidR="001E3E87" w:rsidRDefault="005258B2">
      <w:pPr>
        <w:pStyle w:val="Titre3"/>
        <w:spacing w:before="190" w:after="80"/>
      </w:pPr>
      <w:r>
        <w:rPr>
          <w:rFonts w:ascii="Calibri" w:eastAsia="Calibri" w:hAnsi="Calibri" w:cs="Calibri"/>
          <w:b/>
          <w:bCs/>
          <w:i/>
          <w:iCs/>
          <w:color w:val="1A1A1A"/>
          <w:sz w:val="21"/>
          <w:szCs w:val="21"/>
        </w:rPr>
        <w:t>B. Les tensions et limites dans l’articulation des deux dimensions</w:t>
      </w:r>
    </w:p>
    <w:p w14:paraId="6FB55852" w14:textId="77777777" w:rsidR="001E3E87" w:rsidRDefault="005258B2">
      <w:pPr>
        <w:spacing w:after="90" w:line="264" w:lineRule="auto"/>
        <w:jc w:val="both"/>
      </w:pPr>
      <w:r>
        <w:rPr>
          <w:rFonts w:ascii="Calibri" w:eastAsia="Calibri" w:hAnsi="Calibri" w:cs="Calibri"/>
          <w:color w:val="1A1A1A"/>
        </w:rPr>
        <w:t>Tensions entre propriété intellectuelle et accès à la culture : exceptions au droit d’auteur (bibliothèques, enseignement…), débat sur les biens communs culturels, risques d’instrumentalisation politique ou commerciale du droit de la culture (marchandisation de la culture, politiques culturelles excluantes ou discriminatoires…).</w:t>
      </w:r>
    </w:p>
    <w:p w14:paraId="1B0A3328" w14:textId="77777777" w:rsidR="001E3E87" w:rsidRDefault="005258B2">
      <w:pPr>
        <w:spacing w:after="90" w:line="264" w:lineRule="auto"/>
        <w:jc w:val="both"/>
      </w:pPr>
      <w:r>
        <w:rPr>
          <w:rFonts w:ascii="Calibri" w:eastAsia="Calibri" w:hAnsi="Calibri" w:cs="Calibri"/>
          <w:color w:val="1A1A1A"/>
        </w:rPr>
        <w:t>En conclusion, le droit à la culture et le droit de la culture, bien que distincts par leur nature, s’inscrivent dans une relation d’interdépendance : le premier constitue la finalité essentielle du second, tandis que le second fournit les outils juridiques indispensables à la pleine effectivité du premier, soulignant ainsi que la protection juridique de la culture ne saurait être dissociée de la garantie de son accès au plus grand nombre.</w:t>
      </w:r>
    </w:p>
    <w:p w14:paraId="715958A0" w14:textId="77777777" w:rsidR="001E3E87" w:rsidRDefault="005258B2">
      <w:r>
        <w:br w:type="page"/>
      </w:r>
    </w:p>
    <w:p w14:paraId="0BA9DCD4"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53 — COMMENTAIRE D’ARRÊT</w:t>
      </w:r>
    </w:p>
    <w:p w14:paraId="0E89574F" w14:textId="77777777" w:rsidR="001E3E87" w:rsidRDefault="005258B2">
      <w:pPr>
        <w:spacing w:after="160"/>
      </w:pPr>
      <w:r>
        <w:rPr>
          <w:rFonts w:ascii="Calibri" w:eastAsia="Calibri" w:hAnsi="Calibri" w:cs="Calibri"/>
          <w:i/>
          <w:iCs/>
          <w:color w:val="5A5A5A"/>
          <w:sz w:val="18"/>
          <w:szCs w:val="18"/>
        </w:rPr>
        <w:t>Fiche n° 53 — Le droit d’asile  |  PARTIE VII. LES DROITS ÉCONOMIQUES, SOCIAUX ET CULTURELS  |  Fascicule p. 544</w:t>
      </w:r>
    </w:p>
    <w:p w14:paraId="45E71E35"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4E7EAD0C" w14:textId="77777777" w:rsidR="001E3E87" w:rsidRDefault="005258B2">
      <w:pPr>
        <w:pBdr>
          <w:left w:val="single" w:sz="12" w:space="10" w:color="8C1C2B"/>
        </w:pBdr>
        <w:spacing w:after="90" w:line="264" w:lineRule="auto"/>
        <w:ind w:left="260"/>
        <w:jc w:val="both"/>
      </w:pPr>
      <w:r>
        <w:rPr>
          <w:rFonts w:ascii="Calibri" w:eastAsia="Calibri" w:hAnsi="Calibri" w:cs="Calibri"/>
          <w:color w:val="E91E63"/>
        </w:rPr>
        <w:t xml:space="preserve">Cons. const., no 93-325 </w:t>
      </w:r>
      <w:r>
        <w:rPr>
          <w:rFonts w:ascii="Calibri" w:eastAsia="Calibri" w:hAnsi="Calibri" w:cs="Calibri"/>
          <w:color w:val="1A1A1A"/>
        </w:rPr>
        <w:t>DC, 13 août 1993, Loi relative à la maîtrise de l’immigration et aux conditions d’entrée, d’accueil et de séjour des étrangers en France.</w:t>
      </w:r>
    </w:p>
    <w:p w14:paraId="6CC17E5F"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5619FA9F" w14:textId="77777777" w:rsidR="001E3E87" w:rsidRDefault="005258B2">
      <w:pPr>
        <w:spacing w:after="90" w:line="264" w:lineRule="auto"/>
        <w:jc w:val="both"/>
      </w:pPr>
      <w:r>
        <w:rPr>
          <w:rFonts w:ascii="Calibri" w:eastAsia="Calibri" w:hAnsi="Calibri" w:cs="Calibri"/>
          <w:color w:val="1A1A1A"/>
        </w:rPr>
        <w:t xml:space="preserve">Cette décision du Conseil constitutionnel illustre la manière dont notre Constitution aborde les droits fondamentaux des étrangers et protège les droits de tous. Les étrangers qui peuvent être en situation irrégulière possèdent des droits fondamentaux qui sont particulièrement vulnérables et peuvent faire l’objet d’un traitement différencié. Avec la décision </w:t>
      </w:r>
      <w:r>
        <w:rPr>
          <w:rFonts w:ascii="Calibri" w:eastAsia="Calibri" w:hAnsi="Calibri" w:cs="Calibri"/>
          <w:color w:val="E91E63"/>
        </w:rPr>
        <w:t xml:space="preserve">Cons. const., no 2018-717/718 </w:t>
      </w:r>
      <w:r>
        <w:rPr>
          <w:rFonts w:ascii="Calibri" w:eastAsia="Calibri" w:hAnsi="Calibri" w:cs="Calibri"/>
          <w:color w:val="1A1A1A"/>
        </w:rPr>
        <w:t>QPC, 6 juillet 2018, le Conseil constitutionnel estime qu’il découle du principe de fraternité « la liberté d’aider autrui, dans un but humanitaire, sans considération de la régularité de son séjour sur le territoire national » permettant ainsi de censurer le délit d’aide. Cependant le principe de fraternité doit se concilier avec l’objectif de lutte contre l’immigration irrégulière qui participe de la sauvegarde de l’ordre public. La loi de 1993 s’inscrit dans un ensemble législatif qui marque une politique de fermeté à l’égard de l’immigration (</w:t>
      </w:r>
      <w:r>
        <w:rPr>
          <w:rFonts w:ascii="Calibri" w:eastAsia="Calibri" w:hAnsi="Calibri" w:cs="Calibri"/>
          <w:color w:val="1E88E5"/>
        </w:rPr>
        <w:t>loi no 86-1025</w:t>
      </w:r>
      <w:r>
        <w:rPr>
          <w:rFonts w:ascii="Calibri" w:eastAsia="Calibri" w:hAnsi="Calibri" w:cs="Calibri"/>
          <w:color w:val="1A1A1A"/>
        </w:rPr>
        <w:t xml:space="preserve"> du 9 septembre 1986 relative aux conditions d’entrée et de séjour des étrangers en France « loi Pasqua » et </w:t>
      </w:r>
      <w:r>
        <w:rPr>
          <w:rFonts w:ascii="Calibri" w:eastAsia="Calibri" w:hAnsi="Calibri" w:cs="Calibri"/>
          <w:color w:val="1E88E5"/>
        </w:rPr>
        <w:t>loi no 97-396</w:t>
      </w:r>
      <w:r>
        <w:rPr>
          <w:rFonts w:ascii="Calibri" w:eastAsia="Calibri" w:hAnsi="Calibri" w:cs="Calibri"/>
          <w:color w:val="1A1A1A"/>
        </w:rPr>
        <w:t xml:space="preserve"> du 24 avril 1997 portant diverses dispositions relatives à l’immigration « loi Debré »). Ces lois déterminent un régime de police propre aux étrangers.</w:t>
      </w:r>
    </w:p>
    <w:p w14:paraId="3DB08632"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Cette décision pose le cadre des droits et libertés des étrangers en France en conciliant les droits des étrangers et le principe d’égalité (I) et en reconnaissant des droits fondamentaux aux étrangers (II).</w:t>
      </w:r>
    </w:p>
    <w:p w14:paraId="3818FD3D" w14:textId="77777777" w:rsidR="001E3E87" w:rsidRDefault="005258B2">
      <w:pPr>
        <w:pStyle w:val="Titre3"/>
        <w:spacing w:before="190" w:after="80"/>
      </w:pPr>
      <w:r>
        <w:rPr>
          <w:rFonts w:ascii="Calibri" w:eastAsia="Calibri" w:hAnsi="Calibri" w:cs="Calibri"/>
          <w:b/>
          <w:bCs/>
          <w:i/>
          <w:iCs/>
          <w:color w:val="1A1A1A"/>
          <w:sz w:val="21"/>
          <w:szCs w:val="21"/>
        </w:rPr>
        <w:t>I. Droit des personnes migrantes et principe d’égalité</w:t>
      </w:r>
    </w:p>
    <w:p w14:paraId="31B7D52B" w14:textId="77777777" w:rsidR="001E3E87" w:rsidRDefault="005258B2">
      <w:pPr>
        <w:pStyle w:val="Titre3"/>
        <w:spacing w:before="190" w:after="80"/>
      </w:pPr>
      <w:r>
        <w:rPr>
          <w:rFonts w:ascii="Calibri" w:eastAsia="Calibri" w:hAnsi="Calibri" w:cs="Calibri"/>
          <w:b/>
          <w:bCs/>
          <w:i/>
          <w:iCs/>
          <w:color w:val="1A1A1A"/>
          <w:sz w:val="21"/>
          <w:szCs w:val="21"/>
        </w:rPr>
        <w:t>A. Les critères de l’altérité : la distinction entre étranger et national</w:t>
      </w:r>
    </w:p>
    <w:p w14:paraId="74799B73" w14:textId="77777777" w:rsidR="001E3E87" w:rsidRDefault="005258B2">
      <w:pPr>
        <w:spacing w:after="90" w:line="264" w:lineRule="auto"/>
        <w:jc w:val="both"/>
      </w:pPr>
      <w:r>
        <w:rPr>
          <w:rFonts w:ascii="Calibri" w:eastAsia="Calibri" w:hAnsi="Calibri" w:cs="Calibri"/>
          <w:color w:val="1A1A1A"/>
        </w:rPr>
        <w:t xml:space="preserve">Dans une décision antérieure, </w:t>
      </w:r>
      <w:r>
        <w:rPr>
          <w:rFonts w:ascii="Calibri" w:eastAsia="Calibri" w:hAnsi="Calibri" w:cs="Calibri"/>
          <w:color w:val="E91E63"/>
        </w:rPr>
        <w:t xml:space="preserve">Cons. const., no 89-269 </w:t>
      </w:r>
      <w:r>
        <w:rPr>
          <w:rFonts w:ascii="Calibri" w:eastAsia="Calibri" w:hAnsi="Calibri" w:cs="Calibri"/>
          <w:color w:val="1A1A1A"/>
        </w:rPr>
        <w:t>DC, 22 janvier 1990, le Conseil constitutionnel avait initié une différenciation entre les droits des étrangers et ceux des nationaux. Aucun principe ni aucune règle de valeur constitutionnelle n’assure aux étrangers des droits de caractère général et absolu d’accès et de séjour sur le territoire national. Le second considérant de la décision permet au législateur de prendre des dispositions restrictives des libertés vis-à-vis des demandeurs d’asile.</w:t>
      </w:r>
    </w:p>
    <w:p w14:paraId="784D79E5" w14:textId="77777777" w:rsidR="001E3E87" w:rsidRDefault="005258B2">
      <w:pPr>
        <w:pStyle w:val="Titre3"/>
        <w:spacing w:before="190" w:after="80"/>
      </w:pPr>
      <w:r>
        <w:rPr>
          <w:rFonts w:ascii="Calibri" w:eastAsia="Calibri" w:hAnsi="Calibri" w:cs="Calibri"/>
          <w:b/>
          <w:bCs/>
          <w:i/>
          <w:iCs/>
          <w:color w:val="1A1A1A"/>
          <w:sz w:val="21"/>
          <w:szCs w:val="21"/>
        </w:rPr>
        <w:t>B. La tolérance de la différence de traitement</w:t>
      </w:r>
    </w:p>
    <w:p w14:paraId="4F4A2E6B" w14:textId="77777777" w:rsidR="001E3E87" w:rsidRDefault="005258B2">
      <w:pPr>
        <w:spacing w:after="90" w:line="264" w:lineRule="auto"/>
        <w:jc w:val="both"/>
      </w:pPr>
      <w:r>
        <w:rPr>
          <w:rFonts w:ascii="Calibri" w:eastAsia="Calibri" w:hAnsi="Calibri" w:cs="Calibri"/>
          <w:color w:val="1A1A1A"/>
        </w:rPr>
        <w:t>Dans cette décision, le Conseil constitutionnel évalue certaines différences de traitement pouvant exister entre étrangers notamment pour l’obtention des droits découlant de l’obtention d’une carte de résident. Certaines catégories d’étrangers sont assimilables aux nationaux notamment dans le cas d’étrangers ayant étudié en France pendant une dizaine d’année (cons. 26). L’</w:t>
      </w:r>
      <w:proofErr w:type="spellStart"/>
      <w:r>
        <w:rPr>
          <w:rFonts w:ascii="Calibri" w:eastAsia="Calibri" w:hAnsi="Calibri" w:cs="Calibri"/>
          <w:color w:val="1A1A1A"/>
        </w:rPr>
        <w:t>atttude</w:t>
      </w:r>
      <w:proofErr w:type="spellEnd"/>
      <w:r>
        <w:rPr>
          <w:rFonts w:ascii="Calibri" w:eastAsia="Calibri" w:hAnsi="Calibri" w:cs="Calibri"/>
          <w:color w:val="1A1A1A"/>
        </w:rPr>
        <w:t xml:space="preserve"> de l’étranger, son respect de la législation ou a contrario la violation de la législation peut déterminer l’accès à certaines procédures (abrogation d’un arrêté d’expulsion ou relèvement d’une interdiction de territoire). La loi peut aussi établir différentes procédures d’examen des demandes d’asile en fonction de la nationalité du demandeur : procédure prioritaire « Dublin » III mise en œuvre pour les ressortissants des pays dits « sûrs » ou mise en œuvre de l’asile constitutionnel ou conventionnel, ou encore la protection subsidiaire.</w:t>
      </w:r>
    </w:p>
    <w:p w14:paraId="6BE38BD2" w14:textId="77777777" w:rsidR="001E3E87" w:rsidRDefault="005258B2">
      <w:pPr>
        <w:pStyle w:val="Titre3"/>
        <w:spacing w:before="190" w:after="80"/>
      </w:pPr>
      <w:r>
        <w:rPr>
          <w:rFonts w:ascii="Calibri" w:eastAsia="Calibri" w:hAnsi="Calibri" w:cs="Calibri"/>
          <w:b/>
          <w:bCs/>
          <w:i/>
          <w:iCs/>
          <w:color w:val="1A1A1A"/>
          <w:sz w:val="21"/>
          <w:szCs w:val="21"/>
        </w:rPr>
        <w:t>II. Les droits fondamentaux des personnes migrantes</w:t>
      </w:r>
    </w:p>
    <w:p w14:paraId="1377E609" w14:textId="77777777" w:rsidR="001E3E87" w:rsidRDefault="005258B2">
      <w:pPr>
        <w:pStyle w:val="Titre3"/>
        <w:spacing w:before="190" w:after="80"/>
      </w:pPr>
      <w:r>
        <w:rPr>
          <w:rFonts w:ascii="Calibri" w:eastAsia="Calibri" w:hAnsi="Calibri" w:cs="Calibri"/>
          <w:b/>
          <w:bCs/>
          <w:i/>
          <w:iCs/>
          <w:color w:val="1A1A1A"/>
          <w:sz w:val="21"/>
          <w:szCs w:val="21"/>
        </w:rPr>
        <w:t>A. La liberté d’aller et de venir des étrangers : un enjeu de souveraineté</w:t>
      </w:r>
    </w:p>
    <w:p w14:paraId="79C0AC93" w14:textId="77777777" w:rsidR="001E3E87" w:rsidRDefault="005258B2">
      <w:pPr>
        <w:spacing w:after="90" w:line="264" w:lineRule="auto"/>
        <w:jc w:val="both"/>
      </w:pPr>
      <w:r>
        <w:rPr>
          <w:rFonts w:ascii="Calibri" w:eastAsia="Calibri" w:hAnsi="Calibri" w:cs="Calibri"/>
          <w:color w:val="1A1A1A"/>
        </w:rPr>
        <w:t xml:space="preserve">Droit d’asile prévu par l’alinéa 4 du préambule de la </w:t>
      </w:r>
      <w:r>
        <w:rPr>
          <w:rFonts w:ascii="Calibri" w:eastAsia="Calibri" w:hAnsi="Calibri" w:cs="Calibri"/>
          <w:color w:val="1E88E5"/>
        </w:rPr>
        <w:t>Constitution de 1946</w:t>
      </w:r>
      <w:r>
        <w:rPr>
          <w:rFonts w:ascii="Calibri" w:eastAsia="Calibri" w:hAnsi="Calibri" w:cs="Calibri"/>
          <w:color w:val="1A1A1A"/>
        </w:rPr>
        <w:t xml:space="preserve"> : « Tout homme persécuté en raison de son action en faveur de la liberté a droit d’asile sur le territoire de la République. » Le considérant 84 de la décision fournit les garanties de ce droit avec l’autorisation temporaire pour rester sur le territoire le temps que la demande soit examinée et les droits de la défense respectés. Le Conseil constitutionnel impose l’accueil de l’étranger et ses droits de la défense. La France doit procéder à l’examen de la situation des demandeurs d’asile qui seraient persécutés pour leurs actions en faveur de la liberté, avec admission provisoire de séjour le temps de statuer sur leur demande. Conciliation entre la liberté d’aller et de venir et la protection de la sécurité nationale. La question du droit d’entrée et de séjour des étrangers demeure une question de souveraineté et les conditions de délivrance des titres de séjours peuvent évoluer sans que la </w:t>
      </w:r>
      <w:r>
        <w:rPr>
          <w:rFonts w:ascii="Calibri" w:eastAsia="Calibri" w:hAnsi="Calibri" w:cs="Calibri"/>
          <w:color w:val="1A1A1A"/>
        </w:rPr>
        <w:lastRenderedPageBreak/>
        <w:t>garantie des droits fondamentaux ne s’y opposent. Possible décision judiciaire ou administrative de rétention des étrangers.</w:t>
      </w:r>
    </w:p>
    <w:p w14:paraId="6FA98447" w14:textId="77777777" w:rsidR="001E3E87" w:rsidRDefault="005258B2">
      <w:pPr>
        <w:pStyle w:val="Titre3"/>
        <w:spacing w:before="190" w:after="80"/>
      </w:pPr>
      <w:r>
        <w:rPr>
          <w:rFonts w:ascii="Calibri" w:eastAsia="Calibri" w:hAnsi="Calibri" w:cs="Calibri"/>
          <w:b/>
          <w:bCs/>
          <w:i/>
          <w:iCs/>
          <w:color w:val="1A1A1A"/>
          <w:sz w:val="21"/>
          <w:szCs w:val="21"/>
        </w:rPr>
        <w:t>B. Les droits fondamentaux des étrangers : un enjeu d’humanité</w:t>
      </w:r>
    </w:p>
    <w:p w14:paraId="554481D1" w14:textId="77777777" w:rsidR="001E3E87" w:rsidRDefault="005258B2">
      <w:pPr>
        <w:spacing w:after="90" w:line="264" w:lineRule="auto"/>
        <w:jc w:val="both"/>
      </w:pPr>
      <w:r>
        <w:rPr>
          <w:rFonts w:ascii="Calibri" w:eastAsia="Calibri" w:hAnsi="Calibri" w:cs="Calibri"/>
          <w:color w:val="1A1A1A"/>
        </w:rPr>
        <w:t>Les droits des étrangers peuvent subir des restrictions particulières, notamment pour que ces droits ne deviennent pas un moyen de contourner les règles relatives à l’entrée et au séjour sur le territoire. Liberté du mariage : son respect s’oppose à ce que le caractère irrégulier du séjour d’un étranger fasse obstacle, par lui-même, au mariage de l’intéressé. Droit à une vie familiale normale et regroupement familial : considérant 70 « les étrangers dont la résidence en France est stable et régulière ont, comme les nationaux, le droit de mener une vie familiale normale ; que ce droit comporte en particulier la faculté pour ces étrangers de leurs conjoints et leurs enfants mineurs sous réserve de restrictions tenant à la sauvegarde de l’ordre public et à la protection de la santé publique […] ». Le caractère « normal » de la vie familiale s’apprécie selon les conditions qui « prévalent en France, pays d’accueil », ce qui exclut la polygamie. Le législateur peut déterminer les conditions d’appréciation de la stabilité du séjour nécessaire au regroupement familial. Les étrangers bénéficient des mêmes droits sociaux que les nationaux : accès aux soins, prestations sociales et familiales, droit au respect de la vie privée et des données personnelles… S’agissant des demandeurs d’asile, la France encadre les différentes procédures. L’accession au statut de réfugié permet à ce dernier d’acquérir des droits équivalents à ceux des nationaux.</w:t>
      </w:r>
    </w:p>
    <w:p w14:paraId="403509AA" w14:textId="77777777" w:rsidR="001E3E87" w:rsidRDefault="005258B2">
      <w:pPr>
        <w:spacing w:after="90" w:line="264" w:lineRule="auto"/>
        <w:jc w:val="both"/>
      </w:pPr>
      <w:r>
        <w:rPr>
          <w:rFonts w:ascii="Calibri" w:eastAsia="Calibri" w:hAnsi="Calibri" w:cs="Calibri"/>
          <w:color w:val="1A1A1A"/>
        </w:rPr>
        <w:t>En conclusion, le Conseil constitutionnel vérifie et encadre la différence de traitements des migrants tout en étant garant de leurs droits fondamentaux.</w:t>
      </w:r>
    </w:p>
    <w:p w14:paraId="4DC09753" w14:textId="77777777" w:rsidR="001E3E87" w:rsidRDefault="005258B2">
      <w:r>
        <w:br w:type="page"/>
      </w:r>
    </w:p>
    <w:p w14:paraId="707A1973" w14:textId="77777777" w:rsidR="001E3E87" w:rsidRDefault="005258B2">
      <w:pPr>
        <w:shd w:val="clear" w:color="auto" w:fill="F2E9EA"/>
        <w:spacing w:before="200" w:after="200"/>
        <w:jc w:val="center"/>
      </w:pPr>
      <w:r>
        <w:rPr>
          <w:rFonts w:ascii="Calibri" w:eastAsia="Calibri" w:hAnsi="Calibri" w:cs="Calibri"/>
          <w:b/>
          <w:bCs/>
          <w:color w:val="8C1C2B"/>
          <w:spacing w:val="30"/>
          <w:sz w:val="26"/>
          <w:szCs w:val="26"/>
        </w:rPr>
        <w:lastRenderedPageBreak/>
        <w:t>PARTIE VIII. L’ÉGALITÉ ET LA NON-DISCRIMINATION</w:t>
      </w:r>
    </w:p>
    <w:p w14:paraId="172F49DD"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t>ENTRAÎNEMENT N° 54 — COMMENTAIRE D’ARRÊT</w:t>
      </w:r>
    </w:p>
    <w:p w14:paraId="0C316B25" w14:textId="77777777" w:rsidR="001E3E87" w:rsidRDefault="005258B2">
      <w:pPr>
        <w:spacing w:after="160"/>
      </w:pPr>
      <w:r>
        <w:rPr>
          <w:rFonts w:ascii="Calibri" w:eastAsia="Calibri" w:hAnsi="Calibri" w:cs="Calibri"/>
          <w:i/>
          <w:iCs/>
          <w:color w:val="5A5A5A"/>
          <w:sz w:val="18"/>
          <w:szCs w:val="18"/>
        </w:rPr>
        <w:t>Fiche n° 54 — L’interdiction de la discrimination  |  PARTIE VIII. L’ÉGALITÉ ET LA NON-DISCRIMINATION  |  Fascicule p. 557</w:t>
      </w:r>
    </w:p>
    <w:p w14:paraId="5EE82555"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0AED253E"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D.H. et a. c. République tchèque du 13 novembre 2007.</w:t>
      </w:r>
    </w:p>
    <w:p w14:paraId="46BA7C90"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 En fait. Les requérants sont 18 ressortissants tchèques d’origine rom. L’affaire concerne leur scolarisation dans des écoles spéciales, en raison, selon eux, de leur origine rom. En droit (fond) – La chambre avait conclu, par six voix contre une, à la non-violation de l’</w:t>
      </w:r>
      <w:r>
        <w:rPr>
          <w:rFonts w:ascii="Calibri" w:eastAsia="Calibri" w:hAnsi="Calibri" w:cs="Calibri"/>
          <w:color w:val="1E88E5"/>
        </w:rPr>
        <w:t>article 14</w:t>
      </w:r>
      <w:r>
        <w:rPr>
          <w:rFonts w:ascii="Calibri" w:eastAsia="Calibri" w:hAnsi="Calibri" w:cs="Calibri"/>
          <w:color w:val="1A1A1A"/>
        </w:rPr>
        <w:t xml:space="preserve"> combiné avec l’</w:t>
      </w:r>
      <w:r>
        <w:rPr>
          <w:rFonts w:ascii="Calibri" w:eastAsia="Calibri" w:hAnsi="Calibri" w:cs="Calibri"/>
          <w:color w:val="1E88E5"/>
        </w:rPr>
        <w:t>article 2</w:t>
      </w:r>
      <w:r>
        <w:rPr>
          <w:rFonts w:ascii="Calibri" w:eastAsia="Calibri" w:hAnsi="Calibri" w:cs="Calibri"/>
          <w:color w:val="1A1A1A"/>
        </w:rPr>
        <w:t xml:space="preserve"> du </w:t>
      </w:r>
      <w:r>
        <w:rPr>
          <w:rFonts w:ascii="Calibri" w:eastAsia="Calibri" w:hAnsi="Calibri" w:cs="Calibri"/>
          <w:color w:val="1E88E5"/>
        </w:rPr>
        <w:t>Protocole no 1</w:t>
      </w:r>
      <w:r>
        <w:rPr>
          <w:rFonts w:ascii="Calibri" w:eastAsia="Calibri" w:hAnsi="Calibri" w:cs="Calibri"/>
          <w:color w:val="1A1A1A"/>
        </w:rPr>
        <w:t>. […]. Sur l’existence d’une présomption de discrimination indirecte […] La Grande Chambre admet que, faute d’information nationale officielle sur l’origine ethnique des élèves, les statistiques présentées par les requérants peuvent ne pas être entièrement fiables. À ses yeux, ces chiffres révèlent néanmoins la tendance prédominante, confirmée tant par l’État défendeur que par des organes de contrôle indépendants. […] Même si le pourcentage exact des enfants roms placés à l’époque des faits dans des écoles spéciales reste difficile à établir, leur nombre était démesurément élevé et ces écoles spéciales comptaient majoritairement des enfants roms. En dépit de sa neutralité, la loi en cause a donc, de facto, eu des répercussions beaucoup plus importantes sur les enfants roms que sur les enfants non-roms. Dans ces conditions, les éléments de preuve présentés par les requérants peuvent être considérés comme suffisamment fiables et révélateurs pour faire naître une forte présomption de discrimination indirecte, laquelle dans ce domaine notamment n’exige pas de prouver une intention des autorités de discriminer. Il appartient donc au Gouvernement de démontrer que cette différence d’effet de la législation était le résultat de facteurs objectifs qui n’étaient pas liés à l’origine ethnique. Sur l’existence d’une justification objective et raisonnable : […] Plusieurs organismes indépendants du Conseil de l’Europe ont exprimé des doutes sur le caractère adéquat desdits tests. La Cour estime qu’il existe un risque que les tests soient entachés de préjugés et que leurs résultats ne soient pas lus à la lumière des particularités et des caractéristiques spécifiques des enfants roms qui les subissent. Dans ces conditions, les résultats des tests ne sauraient servir de justification à la différence de traitement litigieuse. […] Dès lors qu’il a été établi que l’application de la législation tchèque pertinente avait à l’époque des faits des effets préjudiciables disproportionnés sur la communauté rom, les requérants en tant que membres de cette communauté ont nécessairement subi le même traitement discriminatoire. Conclusion : violation (treize voix contre quatre). »</w:t>
      </w:r>
    </w:p>
    <w:p w14:paraId="7B496D43"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4AF19215" w14:textId="77777777" w:rsidR="001E3E87" w:rsidRDefault="005258B2">
      <w:pPr>
        <w:spacing w:after="90" w:line="264" w:lineRule="auto"/>
        <w:jc w:val="both"/>
      </w:pPr>
      <w:r>
        <w:rPr>
          <w:rFonts w:ascii="Calibri" w:eastAsia="Calibri" w:hAnsi="Calibri" w:cs="Calibri"/>
          <w:color w:val="1A1A1A"/>
        </w:rPr>
        <w:t>Une première décision de la chambre avait conclu à la non-violation de l’</w:t>
      </w:r>
      <w:r>
        <w:rPr>
          <w:rFonts w:ascii="Calibri" w:eastAsia="Calibri" w:hAnsi="Calibri" w:cs="Calibri"/>
          <w:color w:val="1E88E5"/>
        </w:rPr>
        <w:t>article 14</w:t>
      </w:r>
      <w:r>
        <w:rPr>
          <w:rFonts w:ascii="Calibri" w:eastAsia="Calibri" w:hAnsi="Calibri" w:cs="Calibri"/>
          <w:color w:val="1A1A1A"/>
        </w:rPr>
        <w:t xml:space="preserve"> combiné à l’</w:t>
      </w:r>
      <w:r>
        <w:rPr>
          <w:rFonts w:ascii="Calibri" w:eastAsia="Calibri" w:hAnsi="Calibri" w:cs="Calibri"/>
          <w:color w:val="1E88E5"/>
        </w:rPr>
        <w:t>article 2</w:t>
      </w:r>
      <w:r>
        <w:rPr>
          <w:rFonts w:ascii="Calibri" w:eastAsia="Calibri" w:hAnsi="Calibri" w:cs="Calibri"/>
          <w:color w:val="1A1A1A"/>
        </w:rPr>
        <w:t xml:space="preserve"> du </w:t>
      </w:r>
      <w:r>
        <w:rPr>
          <w:rFonts w:ascii="Calibri" w:eastAsia="Calibri" w:hAnsi="Calibri" w:cs="Calibri"/>
          <w:color w:val="1E88E5"/>
        </w:rPr>
        <w:t>Protocole no 1</w:t>
      </w:r>
      <w:r>
        <w:rPr>
          <w:rFonts w:ascii="Calibri" w:eastAsia="Calibri" w:hAnsi="Calibri" w:cs="Calibri"/>
          <w:color w:val="1A1A1A"/>
        </w:rPr>
        <w:t>. Les requérants ont obtenu le renvoi de l’affaire devant la Grande Chambre, qui, dans sa décision du 13 novembre 2007, a cette fois conclu à la violation. La Cour européenne des droits de l’homme reconnaît dans cet arrêt une discrimination fondée sur l’origine ethnique dans l’accès au droit à l’instruction, à l’encontre d ’enfants roms placés dans des écoles spéciales. Il s’agit d’un arrêt de principe dans lequel la Cour pose les bases du contrôle des discriminations indirectes.</w:t>
      </w:r>
    </w:p>
    <w:p w14:paraId="307E1B4D"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La recherche de l’égalité réelle impose-t-elle de sanctionner des dispositifs apparemment neutres, mais produisant des effets discriminatoires sur des groupes protégés, sans preuve d’une intention discriminatoire ? En consacrant la prohibition des discriminations dites indirectes, la Cour combine un contrôle des effets objectifs des normes prétendument neutres, mais discriminatoires en pratique (I) avec une reconnaissance, encore prudente, d’un droit collectif à la non-discrimination (II).</w:t>
      </w:r>
    </w:p>
    <w:p w14:paraId="70EA337C" w14:textId="77777777" w:rsidR="001E3E87" w:rsidRDefault="005258B2">
      <w:pPr>
        <w:pStyle w:val="Titre3"/>
        <w:spacing w:before="190" w:after="80"/>
      </w:pPr>
      <w:r>
        <w:rPr>
          <w:rFonts w:ascii="Calibri" w:eastAsia="Calibri" w:hAnsi="Calibri" w:cs="Calibri"/>
          <w:b/>
          <w:bCs/>
          <w:i/>
          <w:iCs/>
          <w:color w:val="1A1A1A"/>
          <w:sz w:val="21"/>
          <w:szCs w:val="21"/>
        </w:rPr>
        <w:t>I. La sanction des discriminations indirectes : la recherche de l’égalité substantielle</w:t>
      </w:r>
    </w:p>
    <w:p w14:paraId="63C60612" w14:textId="77777777" w:rsidR="001E3E87" w:rsidRDefault="005258B2">
      <w:pPr>
        <w:pStyle w:val="Titre3"/>
        <w:spacing w:before="190" w:after="80"/>
      </w:pPr>
      <w:r>
        <w:rPr>
          <w:rFonts w:ascii="Calibri" w:eastAsia="Calibri" w:hAnsi="Calibri" w:cs="Calibri"/>
          <w:b/>
          <w:bCs/>
          <w:i/>
          <w:iCs/>
          <w:color w:val="1A1A1A"/>
          <w:sz w:val="21"/>
          <w:szCs w:val="21"/>
        </w:rPr>
        <w:t>A. Des critères a priori neutres, mais défavorables à certains groupes protégés</w:t>
      </w:r>
    </w:p>
    <w:p w14:paraId="3EE3BB47" w14:textId="77777777" w:rsidR="001E3E87" w:rsidRDefault="005258B2">
      <w:pPr>
        <w:spacing w:after="90" w:line="264" w:lineRule="auto"/>
        <w:jc w:val="both"/>
      </w:pPr>
      <w:r>
        <w:rPr>
          <w:rFonts w:ascii="Calibri" w:eastAsia="Calibri" w:hAnsi="Calibri" w:cs="Calibri"/>
          <w:color w:val="1A1A1A"/>
        </w:rPr>
        <w:t xml:space="preserve">Critères visant abstraitement des individus, mais désavantageant, en pratique, un groupe, lequel est identifié à partir d’un critère prohibé (en l’espèce, l’origine ethnique : les roms). En l’espèce, le placement reposait sur des tests psychométriques non adaptés aux spécificités culturelles et linguistiques des enfants roms. Jurisprudence antérieure dans le sens d’un contrôle des discriminations indirectes : mais la Cour européenne des droits de l’homme n’était pas aussi claire : Abdulaziz c. Royaume-Uni, 28 mai 1985, </w:t>
      </w:r>
      <w:proofErr w:type="spellStart"/>
      <w:r>
        <w:rPr>
          <w:rFonts w:ascii="Calibri" w:eastAsia="Calibri" w:hAnsi="Calibri" w:cs="Calibri"/>
          <w:color w:val="1A1A1A"/>
        </w:rPr>
        <w:t>Thlimmenos</w:t>
      </w:r>
      <w:proofErr w:type="spellEnd"/>
      <w:r>
        <w:rPr>
          <w:rFonts w:ascii="Calibri" w:eastAsia="Calibri" w:hAnsi="Calibri" w:cs="Calibri"/>
          <w:color w:val="1A1A1A"/>
        </w:rPr>
        <w:t xml:space="preserve"> c. Grèce du 6 avril 2000, </w:t>
      </w:r>
      <w:proofErr w:type="spellStart"/>
      <w:r>
        <w:rPr>
          <w:rFonts w:ascii="Calibri" w:eastAsia="Calibri" w:hAnsi="Calibri" w:cs="Calibri"/>
          <w:color w:val="1A1A1A"/>
        </w:rPr>
        <w:t>Hoogendijk</w:t>
      </w:r>
      <w:proofErr w:type="spellEnd"/>
      <w:r>
        <w:rPr>
          <w:rFonts w:ascii="Calibri" w:eastAsia="Calibri" w:hAnsi="Calibri" w:cs="Calibri"/>
          <w:color w:val="1A1A1A"/>
        </w:rPr>
        <w:t xml:space="preserve"> c. Pays-Bas du 6 janvier 2005. Rappeler que la Cour européenne des droits de l’homme était incitée, car la Cour de justice de l’Union procédait à ce contrôle depuis les années 1970 (CJCE, 12 février 1974, </w:t>
      </w:r>
      <w:proofErr w:type="spellStart"/>
      <w:r>
        <w:rPr>
          <w:rFonts w:ascii="Calibri" w:eastAsia="Calibri" w:hAnsi="Calibri" w:cs="Calibri"/>
          <w:color w:val="1A1A1A"/>
        </w:rPr>
        <w:t>Sotgiu</w:t>
      </w:r>
      <w:proofErr w:type="spellEnd"/>
      <w:r>
        <w:rPr>
          <w:rFonts w:ascii="Calibri" w:eastAsia="Calibri" w:hAnsi="Calibri" w:cs="Calibri"/>
          <w:color w:val="1A1A1A"/>
        </w:rPr>
        <w:t>)</w:t>
      </w:r>
    </w:p>
    <w:p w14:paraId="41946B5C" w14:textId="77777777" w:rsidR="001E3E87" w:rsidRDefault="005258B2">
      <w:pPr>
        <w:pStyle w:val="Titre3"/>
        <w:spacing w:before="190" w:after="80"/>
      </w:pPr>
      <w:r>
        <w:rPr>
          <w:rFonts w:ascii="Calibri" w:eastAsia="Calibri" w:hAnsi="Calibri" w:cs="Calibri"/>
          <w:b/>
          <w:bCs/>
          <w:i/>
          <w:iCs/>
          <w:color w:val="1A1A1A"/>
          <w:sz w:val="21"/>
          <w:szCs w:val="21"/>
        </w:rPr>
        <w:lastRenderedPageBreak/>
        <w:t>B. La charge de la preuve : présomption et statistique</w:t>
      </w:r>
    </w:p>
    <w:p w14:paraId="75E776B8" w14:textId="77777777" w:rsidR="001E3E87" w:rsidRDefault="005258B2">
      <w:pPr>
        <w:spacing w:after="90" w:line="264" w:lineRule="auto"/>
        <w:jc w:val="both"/>
      </w:pPr>
      <w:r>
        <w:rPr>
          <w:rFonts w:ascii="Calibri" w:eastAsia="Calibri" w:hAnsi="Calibri" w:cs="Calibri"/>
          <w:color w:val="1A1A1A"/>
        </w:rPr>
        <w:t xml:space="preserve">Une fois l’effet défavorable établi, la Cour entend faire peser la charge de la preuve sur le défendeur, c’est-à- dire l’État. Pas d’intention : s’agissant de la preuve de la discrimination, une des conséquences de la reconnaissance des discriminations indirectes est un détachement du caractère intentionnel de la discrimination. Charge de la preuve (statistique et présomption) : dans un arrêt antérieur, la Cour avait reconnu la production d’une preuve statistique pour constater une discrimination (sexe) : CEDH, Adami c. Malte, 20 juin 2006. Standard de preuve moins strict quand les circonstances autorisent un renversement de la charge de la preuve. En principe, la charge de la preuve pèse sur celui qui affirme l’existence d’un fait, mais quand l’accès à la preuve est difficile (comme c’est souvent le cas des discriminations indirectes), la Cour facilite la tâche du requérant et applique un régime moins draconien. Jurisprudence ultérieure (Roms) : la Cour apporte des précisions. Forte présomption de discrimination en cas d’incidents racistes dans l’école. La charge de la preuve pèse sur l’État qui doit démontrer que la différence de traitement se fonde sur des facteurs objectifs non liés à l’origine ethnique des élèves (CEDH, </w:t>
      </w:r>
      <w:proofErr w:type="spellStart"/>
      <w:r>
        <w:rPr>
          <w:rFonts w:ascii="Calibri" w:eastAsia="Calibri" w:hAnsi="Calibri" w:cs="Calibri"/>
          <w:color w:val="1A1A1A"/>
        </w:rPr>
        <w:t>Sampanis</w:t>
      </w:r>
      <w:proofErr w:type="spellEnd"/>
      <w:r>
        <w:rPr>
          <w:rFonts w:ascii="Calibri" w:eastAsia="Calibri" w:hAnsi="Calibri" w:cs="Calibri"/>
          <w:color w:val="1A1A1A"/>
        </w:rPr>
        <w:t xml:space="preserve"> c. Grèce, 5 juin 2008). La notion de « discrimination indirecte » se révèle pertinente pour appréhender, à l’heure actuelle (et dans un futur proche) les biais et discriminations algorithmiques (non intentionnels par définition) + importance des statistiques pour prouver ces biais.</w:t>
      </w:r>
    </w:p>
    <w:p w14:paraId="4BC269ED" w14:textId="77777777" w:rsidR="001E3E87" w:rsidRDefault="005258B2">
      <w:pPr>
        <w:pStyle w:val="Titre3"/>
        <w:spacing w:before="190" w:after="80"/>
      </w:pPr>
      <w:r>
        <w:rPr>
          <w:rFonts w:ascii="Calibri" w:eastAsia="Calibri" w:hAnsi="Calibri" w:cs="Calibri"/>
          <w:b/>
          <w:bCs/>
          <w:i/>
          <w:iCs/>
          <w:color w:val="1A1A1A"/>
          <w:sz w:val="21"/>
          <w:szCs w:val="21"/>
        </w:rPr>
        <w:t>II. La non-discrimination au service des groupes et de la diversité</w:t>
      </w:r>
    </w:p>
    <w:p w14:paraId="7C669750" w14:textId="77777777" w:rsidR="001E3E87" w:rsidRDefault="005258B2">
      <w:pPr>
        <w:pStyle w:val="Titre3"/>
        <w:spacing w:before="190" w:after="80"/>
      </w:pPr>
      <w:r>
        <w:rPr>
          <w:rFonts w:ascii="Calibri" w:eastAsia="Calibri" w:hAnsi="Calibri" w:cs="Calibri"/>
          <w:b/>
          <w:bCs/>
          <w:i/>
          <w:iCs/>
          <w:color w:val="1A1A1A"/>
          <w:sz w:val="21"/>
          <w:szCs w:val="21"/>
        </w:rPr>
        <w:t>A. La dimension collective et structurelle du droit à la non-discrimination</w:t>
      </w:r>
    </w:p>
    <w:p w14:paraId="06C7DFB0" w14:textId="77777777" w:rsidR="001E3E87" w:rsidRDefault="005258B2">
      <w:pPr>
        <w:spacing w:after="90" w:line="264" w:lineRule="auto"/>
        <w:jc w:val="both"/>
      </w:pPr>
      <w:r>
        <w:rPr>
          <w:rFonts w:ascii="Calibri" w:eastAsia="Calibri" w:hAnsi="Calibri" w:cs="Calibri"/>
          <w:color w:val="1A1A1A"/>
        </w:rPr>
        <w:t>Pour la première fois aussi expressément, le juge de Strasbourg sanctionne une discrimination à l’encontre d’un groupe. La dimension collective du droit à la non-discrimination prend en l’espèce une ampleur particulière même si la jurisprudence antérieure montrait déjà des signes (CEDH, Abdulaziz, c. Royaume-Uni, 28 mai 1985). Les groupes victimes de discriminations et de préjugés constituent une réalité que la Cour européenne des droits de l’homme ne peut ignorer même si elle se montre encore prudente.</w:t>
      </w:r>
    </w:p>
    <w:p w14:paraId="3CDD0D92" w14:textId="77777777" w:rsidR="001E3E87" w:rsidRDefault="005258B2">
      <w:pPr>
        <w:pStyle w:val="Titre3"/>
        <w:spacing w:before="190" w:after="80"/>
      </w:pPr>
      <w:r>
        <w:rPr>
          <w:rFonts w:ascii="Calibri" w:eastAsia="Calibri" w:hAnsi="Calibri" w:cs="Calibri"/>
          <w:b/>
          <w:bCs/>
          <w:i/>
          <w:iCs/>
          <w:color w:val="1A1A1A"/>
          <w:sz w:val="21"/>
          <w:szCs w:val="21"/>
        </w:rPr>
        <w:t>B. Les prémisses d’une consécration d’un droit des groupes en droit de la Convention</w:t>
      </w:r>
    </w:p>
    <w:p w14:paraId="075E8172" w14:textId="77777777" w:rsidR="001E3E87" w:rsidRDefault="005258B2">
      <w:pPr>
        <w:spacing w:after="90" w:line="264" w:lineRule="auto"/>
        <w:jc w:val="both"/>
      </w:pPr>
      <w:r>
        <w:rPr>
          <w:rFonts w:ascii="Calibri" w:eastAsia="Calibri" w:hAnsi="Calibri" w:cs="Calibri"/>
          <w:color w:val="1A1A1A"/>
        </w:rPr>
        <w:t>Pour l’heure, la Cour n’a pas développé un véritable « droit des groupes ». Une évolution jurisprudentielle n’est pas à exclure. Beaucoup de commentateurs, attachés à la conception universaliste (formelle, abstraite ?) des droits humains sont réticents à voir dans le droit à la non-discrimination un instrument de protection des groupes (lecture dite « communautariste » ou différentialiste des droits). Rappeler qu’en France, le droit constitutionnel ne consacre ni un droit à la différence ni un droit des groupes (minorités ethniques).</w:t>
      </w:r>
    </w:p>
    <w:p w14:paraId="4F989900" w14:textId="77777777" w:rsidR="001E3E87" w:rsidRDefault="005258B2">
      <w:r>
        <w:br w:type="page"/>
      </w:r>
    </w:p>
    <w:p w14:paraId="2C3283BF"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55 — ARGUMENTATION JURIDIQUE</w:t>
      </w:r>
    </w:p>
    <w:p w14:paraId="28F4FBB2" w14:textId="77777777" w:rsidR="001E3E87" w:rsidRDefault="005258B2">
      <w:pPr>
        <w:spacing w:after="160"/>
      </w:pPr>
      <w:r>
        <w:rPr>
          <w:rFonts w:ascii="Calibri" w:eastAsia="Calibri" w:hAnsi="Calibri" w:cs="Calibri"/>
          <w:i/>
          <w:iCs/>
          <w:color w:val="5A5A5A"/>
          <w:sz w:val="18"/>
          <w:szCs w:val="18"/>
        </w:rPr>
        <w:t>Fiche n° 55 — La prise en compte des vulnérabilités  |  PARTIE VIII. L’ÉGALITÉ ET LA NON-DISCRIMINATION  |  Fascicule p. 569</w:t>
      </w:r>
    </w:p>
    <w:p w14:paraId="5968B62D"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2121C660"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Soutenez qu’il existe un droit à la mendicité.</w:t>
      </w:r>
    </w:p>
    <w:p w14:paraId="27C4052D"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260760F2" w14:textId="77777777" w:rsidR="001E3E87" w:rsidRDefault="005258B2">
      <w:pPr>
        <w:spacing w:after="90" w:line="264" w:lineRule="auto"/>
        <w:jc w:val="both"/>
      </w:pPr>
      <w:r>
        <w:rPr>
          <w:rFonts w:ascii="Calibri" w:eastAsia="Calibri" w:hAnsi="Calibri" w:cs="Calibri"/>
          <w:color w:val="1A1A1A"/>
        </w:rPr>
        <w:t xml:space="preserve">La mendicité, comme état d’une personne qui mendie pour survivre, est une expression de la pauvreté. La mendicité </w:t>
      </w:r>
      <w:proofErr w:type="gramStart"/>
      <w:r>
        <w:rPr>
          <w:rFonts w:ascii="Calibri" w:eastAsia="Calibri" w:hAnsi="Calibri" w:cs="Calibri"/>
          <w:color w:val="1A1A1A"/>
        </w:rPr>
        <w:t>n’est</w:t>
      </w:r>
      <w:proofErr w:type="gramEnd"/>
      <w:r>
        <w:rPr>
          <w:rFonts w:ascii="Calibri" w:eastAsia="Calibri" w:hAnsi="Calibri" w:cs="Calibri"/>
          <w:color w:val="1A1A1A"/>
        </w:rPr>
        <w:t xml:space="preserve"> pas un délit, depuis sa suppression du </w:t>
      </w:r>
      <w:r>
        <w:rPr>
          <w:rFonts w:ascii="Calibri" w:eastAsia="Calibri" w:hAnsi="Calibri" w:cs="Calibri"/>
          <w:color w:val="1E88E5"/>
        </w:rPr>
        <w:t>Code pénal</w:t>
      </w:r>
      <w:r>
        <w:rPr>
          <w:rFonts w:ascii="Calibri" w:eastAsia="Calibri" w:hAnsi="Calibri" w:cs="Calibri"/>
          <w:color w:val="1A1A1A"/>
        </w:rPr>
        <w:t xml:space="preserve"> en 1994, sauf si elle est réalisée en réunion et de manière agressive, ou sous la menace d’un animal dangereux (</w:t>
      </w:r>
      <w:r>
        <w:rPr>
          <w:rFonts w:ascii="Calibri" w:eastAsia="Calibri" w:hAnsi="Calibri" w:cs="Calibri"/>
          <w:color w:val="1E88E5"/>
        </w:rPr>
        <w:t>art. 312-12-1</w:t>
      </w:r>
      <w:r>
        <w:rPr>
          <w:rFonts w:ascii="Calibri" w:eastAsia="Calibri" w:hAnsi="Calibri" w:cs="Calibri"/>
          <w:color w:val="1A1A1A"/>
        </w:rPr>
        <w:t xml:space="preserve"> du </w:t>
      </w:r>
      <w:r>
        <w:rPr>
          <w:rFonts w:ascii="Calibri" w:eastAsia="Calibri" w:hAnsi="Calibri" w:cs="Calibri"/>
          <w:color w:val="1E88E5"/>
        </w:rPr>
        <w:t>Code pénal</w:t>
      </w:r>
      <w:r>
        <w:rPr>
          <w:rFonts w:ascii="Calibri" w:eastAsia="Calibri" w:hAnsi="Calibri" w:cs="Calibri"/>
          <w:color w:val="1A1A1A"/>
        </w:rPr>
        <w:t>). Elle fait cependant régulièrement l’objet d’interdiction par des maires de communes souhaitant dissimuler cette précarité. Néanmoins, elle occupe une position paradoxale, entre pratique permettant la réalisation des autres droits humains, et pratique qui résulte de la liberté individuelle. Il s’agit généralement d’une solution de dernier recours permettant à des personnes vulnérables de survivre et de compenser les inactions sociales de l’État. Dès lors, la mendicité peut être nécessaire pour survivre et devient donc un droit légitime, particulièrement pour les personnes vulnérables, bien que cette situation puisse accentuer leur vulnérabilité, par la stigmatisation, la marginalisation ou en tant que victime d’exploitation.</w:t>
      </w:r>
    </w:p>
    <w:p w14:paraId="041EF657" w14:textId="77777777" w:rsidR="001E3E87" w:rsidRDefault="005258B2">
      <w:pPr>
        <w:spacing w:after="90" w:line="264" w:lineRule="auto"/>
        <w:jc w:val="both"/>
      </w:pPr>
      <w:r>
        <w:rPr>
          <w:rFonts w:ascii="Calibri" w:eastAsia="Calibri" w:hAnsi="Calibri" w:cs="Calibri"/>
          <w:b/>
          <w:bCs/>
          <w:color w:val="1A1A1A"/>
        </w:rPr>
        <w:t>Problématique et annonce du plan:</w:t>
      </w:r>
      <w:r>
        <w:rPr>
          <w:rFonts w:ascii="Calibri" w:eastAsia="Calibri" w:hAnsi="Calibri" w:cs="Calibri"/>
          <w:color w:val="1A1A1A"/>
        </w:rPr>
        <w:t xml:space="preserve"> La mendicité est un droit, interdépendant avec d’autres droits humains. Elle peut être appréhendée comme résultant de la jouissance de droits fondamentaux des personnes en situation de vulnérabilité (A). Elle est néanmoins contrôlée en tant qu’enjeu de société (B).</w:t>
      </w:r>
    </w:p>
    <w:p w14:paraId="32DD1397" w14:textId="77777777" w:rsidR="001E3E87" w:rsidRDefault="005258B2">
      <w:pPr>
        <w:pStyle w:val="Titre3"/>
        <w:spacing w:before="190" w:after="80"/>
      </w:pPr>
      <w:r>
        <w:rPr>
          <w:rFonts w:ascii="Calibri" w:eastAsia="Calibri" w:hAnsi="Calibri" w:cs="Calibri"/>
          <w:b/>
          <w:bCs/>
          <w:i/>
          <w:iCs/>
          <w:color w:val="1A1A1A"/>
          <w:sz w:val="21"/>
          <w:szCs w:val="21"/>
        </w:rPr>
        <w:t>I. La mendicité comme expression des droits fondamentaux protégés</w:t>
      </w:r>
    </w:p>
    <w:p w14:paraId="6645533B" w14:textId="77777777" w:rsidR="001E3E87" w:rsidRDefault="005258B2">
      <w:pPr>
        <w:pStyle w:val="Titre3"/>
        <w:spacing w:before="190" w:after="80"/>
      </w:pPr>
      <w:r>
        <w:rPr>
          <w:rFonts w:ascii="Calibri" w:eastAsia="Calibri" w:hAnsi="Calibri" w:cs="Calibri"/>
          <w:b/>
          <w:bCs/>
          <w:i/>
          <w:iCs/>
          <w:color w:val="1A1A1A"/>
          <w:sz w:val="21"/>
          <w:szCs w:val="21"/>
        </w:rPr>
        <w:t>A. Un droit à l’existence digne</w:t>
      </w:r>
    </w:p>
    <w:p w14:paraId="0C96F44D" w14:textId="77777777" w:rsidR="001E3E87" w:rsidRDefault="005258B2">
      <w:pPr>
        <w:spacing w:after="90" w:line="264" w:lineRule="auto"/>
        <w:jc w:val="both"/>
      </w:pPr>
      <w:r>
        <w:rPr>
          <w:rFonts w:ascii="Calibri" w:eastAsia="Calibri" w:hAnsi="Calibri" w:cs="Calibri"/>
          <w:color w:val="1A1A1A"/>
        </w:rPr>
        <w:t>Le droit à la mendicité est l’émanation de plusieurs dispositions du droit international des droits de l’homme, de première, deuxième et troisième génération. La mendicité est à la fois une nécessité pour la réalisation plusieurs droits. C’est le cas du droit à la vie (</w:t>
      </w:r>
      <w:r>
        <w:rPr>
          <w:rFonts w:ascii="Calibri" w:eastAsia="Calibri" w:hAnsi="Calibri" w:cs="Calibri"/>
          <w:color w:val="1E88E5"/>
        </w:rPr>
        <w:t>art. 2</w:t>
      </w:r>
      <w:r>
        <w:rPr>
          <w:rFonts w:ascii="Calibri" w:eastAsia="Calibri" w:hAnsi="Calibri" w:cs="Calibri"/>
          <w:color w:val="1A1A1A"/>
        </w:rPr>
        <w:t xml:space="preserve"> de la </w:t>
      </w:r>
      <w:r>
        <w:rPr>
          <w:rFonts w:ascii="Calibri" w:eastAsia="Calibri" w:hAnsi="Calibri" w:cs="Calibri"/>
          <w:color w:val="1E88E5"/>
        </w:rPr>
        <w:t>CESDH</w:t>
      </w:r>
      <w:r>
        <w:rPr>
          <w:rFonts w:ascii="Calibri" w:eastAsia="Calibri" w:hAnsi="Calibri" w:cs="Calibri"/>
          <w:color w:val="1A1A1A"/>
        </w:rPr>
        <w:t xml:space="preserve">, </w:t>
      </w:r>
      <w:r>
        <w:rPr>
          <w:rFonts w:ascii="Calibri" w:eastAsia="Calibri" w:hAnsi="Calibri" w:cs="Calibri"/>
          <w:color w:val="1E88E5"/>
        </w:rPr>
        <w:t>art. 6</w:t>
      </w:r>
      <w:r>
        <w:rPr>
          <w:rFonts w:ascii="Calibri" w:eastAsia="Calibri" w:hAnsi="Calibri" w:cs="Calibri"/>
          <w:color w:val="1A1A1A"/>
        </w:rPr>
        <w:t xml:space="preserve"> du </w:t>
      </w:r>
      <w:r>
        <w:rPr>
          <w:rFonts w:ascii="Calibri" w:eastAsia="Calibri" w:hAnsi="Calibri" w:cs="Calibri"/>
          <w:color w:val="1E88E5"/>
        </w:rPr>
        <w:t>PIDCP</w:t>
      </w:r>
      <w:r>
        <w:rPr>
          <w:rFonts w:ascii="Calibri" w:eastAsia="Calibri" w:hAnsi="Calibri" w:cs="Calibri"/>
          <w:color w:val="1A1A1A"/>
        </w:rPr>
        <w:t xml:space="preserve">, </w:t>
      </w:r>
      <w:r>
        <w:rPr>
          <w:rFonts w:ascii="Calibri" w:eastAsia="Calibri" w:hAnsi="Calibri" w:cs="Calibri"/>
          <w:color w:val="1E88E5"/>
        </w:rPr>
        <w:t>art. 2</w:t>
      </w:r>
      <w:r>
        <w:rPr>
          <w:rFonts w:ascii="Calibri" w:eastAsia="Calibri" w:hAnsi="Calibri" w:cs="Calibri"/>
          <w:color w:val="1A1A1A"/>
        </w:rPr>
        <w:t xml:space="preserve"> CDFUE, </w:t>
      </w:r>
      <w:r>
        <w:rPr>
          <w:rFonts w:ascii="Calibri" w:eastAsia="Calibri" w:hAnsi="Calibri" w:cs="Calibri"/>
          <w:color w:val="1E88E5"/>
        </w:rPr>
        <w:t>art. 6</w:t>
      </w:r>
      <w:r>
        <w:rPr>
          <w:rFonts w:ascii="Calibri" w:eastAsia="Calibri" w:hAnsi="Calibri" w:cs="Calibri"/>
          <w:color w:val="1A1A1A"/>
        </w:rPr>
        <w:t xml:space="preserve"> de la Convention des droits des enfants) et du droit à des conditions de vie dignes ou de ses corolaires (</w:t>
      </w:r>
      <w:r>
        <w:rPr>
          <w:rFonts w:ascii="Calibri" w:eastAsia="Calibri" w:hAnsi="Calibri" w:cs="Calibri"/>
          <w:color w:val="1E88E5"/>
        </w:rPr>
        <w:t>art. 11</w:t>
      </w:r>
      <w:r>
        <w:rPr>
          <w:rFonts w:ascii="Calibri" w:eastAsia="Calibri" w:hAnsi="Calibri" w:cs="Calibri"/>
          <w:color w:val="1A1A1A"/>
        </w:rPr>
        <w:t xml:space="preserve"> de la Charte sociale européenne, 34 CDFUE, </w:t>
      </w:r>
      <w:r>
        <w:rPr>
          <w:rFonts w:ascii="Calibri" w:eastAsia="Calibri" w:hAnsi="Calibri" w:cs="Calibri"/>
          <w:color w:val="1E88E5"/>
        </w:rPr>
        <w:t>art. 11</w:t>
      </w:r>
      <w:r>
        <w:rPr>
          <w:rFonts w:ascii="Calibri" w:eastAsia="Calibri" w:hAnsi="Calibri" w:cs="Calibri"/>
          <w:color w:val="1A1A1A"/>
        </w:rPr>
        <w:t xml:space="preserve"> </w:t>
      </w:r>
      <w:r>
        <w:rPr>
          <w:rFonts w:ascii="Calibri" w:eastAsia="Calibri" w:hAnsi="Calibri" w:cs="Calibri"/>
          <w:color w:val="1E88E5"/>
        </w:rPr>
        <w:t>PIDESC</w:t>
      </w:r>
      <w:r>
        <w:rPr>
          <w:rFonts w:ascii="Calibri" w:eastAsia="Calibri" w:hAnsi="Calibri" w:cs="Calibri"/>
          <w:color w:val="1A1A1A"/>
        </w:rPr>
        <w:t>). C’est un choix relevant de l’autonomie personnelle et du droit au respect de la vie privée et familiale tel que protégé par l’</w:t>
      </w:r>
      <w:r>
        <w:rPr>
          <w:rFonts w:ascii="Calibri" w:eastAsia="Calibri" w:hAnsi="Calibri" w:cs="Calibri"/>
          <w:color w:val="1E88E5"/>
        </w:rPr>
        <w:t>article 8</w:t>
      </w:r>
      <w:r>
        <w:rPr>
          <w:rFonts w:ascii="Calibri" w:eastAsia="Calibri" w:hAnsi="Calibri" w:cs="Calibri"/>
          <w:color w:val="1A1A1A"/>
        </w:rPr>
        <w:t xml:space="preserve"> de la </w:t>
      </w:r>
      <w:r>
        <w:rPr>
          <w:rFonts w:ascii="Calibri" w:eastAsia="Calibri" w:hAnsi="Calibri" w:cs="Calibri"/>
          <w:color w:val="1E88E5"/>
        </w:rPr>
        <w:t>Convention européenne des droits de l’homme</w:t>
      </w:r>
      <w:r>
        <w:rPr>
          <w:rFonts w:ascii="Calibri" w:eastAsia="Calibri" w:hAnsi="Calibri" w:cs="Calibri"/>
          <w:color w:val="1A1A1A"/>
        </w:rPr>
        <w:t>. Il s’agit d’un droit recoupant de nombreux autres droits et démontrant par là même l’interdépendance des droits humains.</w:t>
      </w:r>
    </w:p>
    <w:p w14:paraId="1626D6BD" w14:textId="77777777" w:rsidR="001E3E87" w:rsidRDefault="005258B2">
      <w:pPr>
        <w:pStyle w:val="Titre3"/>
        <w:spacing w:before="190" w:after="80"/>
      </w:pPr>
      <w:r>
        <w:rPr>
          <w:rFonts w:ascii="Calibri" w:eastAsia="Calibri" w:hAnsi="Calibri" w:cs="Calibri"/>
          <w:b/>
          <w:bCs/>
          <w:i/>
          <w:iCs/>
          <w:color w:val="1A1A1A"/>
          <w:sz w:val="21"/>
          <w:szCs w:val="21"/>
        </w:rPr>
        <w:t>B. Un droit à destination des plus vulnérables</w:t>
      </w:r>
    </w:p>
    <w:p w14:paraId="6B08BCF1" w14:textId="77777777" w:rsidR="001E3E87" w:rsidRDefault="005258B2">
      <w:pPr>
        <w:spacing w:after="90" w:line="264" w:lineRule="auto"/>
        <w:jc w:val="both"/>
      </w:pPr>
      <w:r>
        <w:rPr>
          <w:rFonts w:ascii="Calibri" w:eastAsia="Calibri" w:hAnsi="Calibri" w:cs="Calibri"/>
          <w:color w:val="1A1A1A"/>
        </w:rPr>
        <w:t xml:space="preserve">La mendicité est une pratique utilisée par les personnes dans des situations de vulnérabilité socio-économique extrême et est un signe de pauvreté, qui peut elle-même créer un obstacle à l’accès à des moyens de subsistance essentiels comme la nourriture (Conseil économique et social, 1999, Observation générale no 19 relative au droit à une nourriture suffisante, E/C.12/1999/5). La Cour européenne reconnaît la vulnérabilité des personnes recourant à la mendicité pour survivre : </w:t>
      </w:r>
      <w:r>
        <w:rPr>
          <w:rFonts w:ascii="Calibri" w:eastAsia="Calibri" w:hAnsi="Calibri" w:cs="Calibri"/>
          <w:color w:val="E91E63"/>
        </w:rPr>
        <w:t xml:space="preserve">CEDH, 19 janvier 2021, Lacatus c. Suisse, no 14065/15. </w:t>
      </w:r>
      <w:r>
        <w:rPr>
          <w:rFonts w:ascii="Calibri" w:eastAsia="Calibri" w:hAnsi="Calibri" w:cs="Calibri"/>
          <w:color w:val="1A1A1A"/>
        </w:rPr>
        <w:t xml:space="preserve">Son interdiction est ainsi une atteinte aux droits humains. L’exploitation de la mendicité, comme forme d’exploitation par le travail, </w:t>
      </w:r>
      <w:proofErr w:type="gramStart"/>
      <w:r>
        <w:rPr>
          <w:rFonts w:ascii="Calibri" w:eastAsia="Calibri" w:hAnsi="Calibri" w:cs="Calibri"/>
          <w:color w:val="1A1A1A"/>
        </w:rPr>
        <w:t>est</w:t>
      </w:r>
      <w:proofErr w:type="gramEnd"/>
      <w:r>
        <w:rPr>
          <w:rFonts w:ascii="Calibri" w:eastAsia="Calibri" w:hAnsi="Calibri" w:cs="Calibri"/>
          <w:color w:val="1A1A1A"/>
        </w:rPr>
        <w:t xml:space="preserve"> un délit prévu à l’</w:t>
      </w:r>
      <w:r>
        <w:rPr>
          <w:rFonts w:ascii="Calibri" w:eastAsia="Calibri" w:hAnsi="Calibri" w:cs="Calibri"/>
          <w:color w:val="1E88E5"/>
        </w:rPr>
        <w:t>article 225-12-5</w:t>
      </w:r>
      <w:r>
        <w:rPr>
          <w:rFonts w:ascii="Calibri" w:eastAsia="Calibri" w:hAnsi="Calibri" w:cs="Calibri"/>
          <w:color w:val="1A1A1A"/>
        </w:rPr>
        <w:t xml:space="preserve"> du </w:t>
      </w:r>
      <w:r>
        <w:rPr>
          <w:rFonts w:ascii="Calibri" w:eastAsia="Calibri" w:hAnsi="Calibri" w:cs="Calibri"/>
          <w:color w:val="1E88E5"/>
        </w:rPr>
        <w:t>Code pénal</w:t>
      </w:r>
      <w:r>
        <w:rPr>
          <w:rFonts w:ascii="Calibri" w:eastAsia="Calibri" w:hAnsi="Calibri" w:cs="Calibri"/>
          <w:color w:val="1A1A1A"/>
        </w:rPr>
        <w:t>, et cette exploitation en bande organisée est par ailleurs une circonstance aggravante, de même que lorsqu’elle est commise à l’égard de personnes vulnérables. Il existe à ce titre un lien très étroit entre exploitation de la mendicité et traite des êtres humains, et constitue, dans ce cadre, une atteinte à la dignité de la personne. Dans son rapport concernant la Suisse publié en 2019, le Groupe d’experts sur la lutte contre la traite des êtres humains considère que la pénalisation de la mendicité met les victimes dans des situations d’extrême précarité.</w:t>
      </w:r>
    </w:p>
    <w:p w14:paraId="494550CD" w14:textId="77777777" w:rsidR="001E3E87" w:rsidRDefault="005258B2">
      <w:pPr>
        <w:pStyle w:val="Titre3"/>
        <w:spacing w:before="190" w:after="80"/>
      </w:pPr>
      <w:r>
        <w:rPr>
          <w:rFonts w:ascii="Calibri" w:eastAsia="Calibri" w:hAnsi="Calibri" w:cs="Calibri"/>
          <w:b/>
          <w:bCs/>
          <w:i/>
          <w:iCs/>
          <w:color w:val="1A1A1A"/>
          <w:sz w:val="21"/>
          <w:szCs w:val="21"/>
        </w:rPr>
        <w:t>II. Un droit nécessaire dans une société démocratique</w:t>
      </w:r>
    </w:p>
    <w:p w14:paraId="0339ADDB" w14:textId="77777777" w:rsidR="001E3E87" w:rsidRDefault="005258B2">
      <w:pPr>
        <w:pStyle w:val="Titre3"/>
        <w:spacing w:before="190" w:after="80"/>
      </w:pPr>
      <w:r>
        <w:rPr>
          <w:rFonts w:ascii="Calibri" w:eastAsia="Calibri" w:hAnsi="Calibri" w:cs="Calibri"/>
          <w:b/>
          <w:bCs/>
          <w:i/>
          <w:iCs/>
          <w:color w:val="1A1A1A"/>
          <w:sz w:val="21"/>
          <w:szCs w:val="21"/>
        </w:rPr>
        <w:t>A. Un droit devant tenir compte de l’équilibre entre ordre public et droit individuel</w:t>
      </w:r>
    </w:p>
    <w:p w14:paraId="56CF54D1" w14:textId="77777777" w:rsidR="001E3E87" w:rsidRDefault="005258B2">
      <w:pPr>
        <w:spacing w:after="90" w:line="264" w:lineRule="auto"/>
        <w:jc w:val="both"/>
      </w:pPr>
      <w:r>
        <w:rPr>
          <w:rFonts w:ascii="Calibri" w:eastAsia="Calibri" w:hAnsi="Calibri" w:cs="Calibri"/>
          <w:color w:val="1A1A1A"/>
        </w:rPr>
        <w:t>Mendier n’est pas un droit absolu. Il ne peut faire l’objet d’une interdiction absolue qui serait disproportionnée (</w:t>
      </w:r>
      <w:r>
        <w:rPr>
          <w:rFonts w:ascii="Calibri" w:eastAsia="Calibri" w:hAnsi="Calibri" w:cs="Calibri"/>
          <w:color w:val="E91E63"/>
        </w:rPr>
        <w:t>CEDH, 19 janvier 2021, Lacatus c. Suisse, no 14065/15</w:t>
      </w:r>
      <w:r>
        <w:rPr>
          <w:rFonts w:ascii="Calibri" w:eastAsia="Calibri" w:hAnsi="Calibri" w:cs="Calibri"/>
          <w:color w:val="1A1A1A"/>
        </w:rPr>
        <w:t>). De nombreux maires ont édicté des arrêtés anti-mendicités qui ont été annulés par les juges administratifs : le juge doit alors opérer une conciliation in concreto en censurant les mesures trop générales ou absolues considérées comme disproportionnées, selon un raisonnement classique des droits humains (</w:t>
      </w:r>
      <w:r>
        <w:rPr>
          <w:rFonts w:ascii="Calibri" w:eastAsia="Calibri" w:hAnsi="Calibri" w:cs="Calibri"/>
          <w:color w:val="E91E63"/>
        </w:rPr>
        <w:t>TA d’Amiens, réf., 16 mai 2024, Ligue des droits de l’homme et autres, no 2401685</w:t>
      </w:r>
      <w:r>
        <w:rPr>
          <w:rFonts w:ascii="Calibri" w:eastAsia="Calibri" w:hAnsi="Calibri" w:cs="Calibri"/>
          <w:color w:val="1A1A1A"/>
        </w:rPr>
        <w:t xml:space="preserve">). Il peut néanmoins être réglementé en cas de risque d’atteinte à l’ordre public (sûreté, sécurité, salubrité publique) (par la fouille de poubelles par exemple) : </w:t>
      </w:r>
      <w:r>
        <w:rPr>
          <w:rFonts w:ascii="Calibri" w:eastAsia="Calibri" w:hAnsi="Calibri" w:cs="Calibri"/>
          <w:color w:val="E91E63"/>
        </w:rPr>
        <w:lastRenderedPageBreak/>
        <w:t xml:space="preserve">CE, CHR, 15 novembre 2017, no 403275. </w:t>
      </w:r>
      <w:r>
        <w:rPr>
          <w:rFonts w:ascii="Calibri" w:eastAsia="Calibri" w:hAnsi="Calibri" w:cs="Calibri"/>
          <w:color w:val="1A1A1A"/>
        </w:rPr>
        <w:t>Les individus la pratiquant ont cependant un droit d’occupation de l’espace public.</w:t>
      </w:r>
    </w:p>
    <w:p w14:paraId="6AF5C0D9" w14:textId="77777777" w:rsidR="001E3E87" w:rsidRDefault="005258B2">
      <w:pPr>
        <w:pStyle w:val="Titre3"/>
        <w:spacing w:before="190" w:after="80"/>
      </w:pPr>
      <w:r>
        <w:rPr>
          <w:rFonts w:ascii="Calibri" w:eastAsia="Calibri" w:hAnsi="Calibri" w:cs="Calibri"/>
          <w:b/>
          <w:bCs/>
          <w:i/>
          <w:iCs/>
          <w:color w:val="1A1A1A"/>
          <w:sz w:val="21"/>
          <w:szCs w:val="21"/>
        </w:rPr>
        <w:t>B. Un palliatif aux carences de la protection sociale étatique</w:t>
      </w:r>
    </w:p>
    <w:p w14:paraId="70F43D64" w14:textId="77777777" w:rsidR="001E3E87" w:rsidRDefault="005258B2">
      <w:pPr>
        <w:spacing w:after="90" w:line="264" w:lineRule="auto"/>
        <w:jc w:val="both"/>
      </w:pPr>
      <w:r>
        <w:rPr>
          <w:rFonts w:ascii="Calibri" w:eastAsia="Calibri" w:hAnsi="Calibri" w:cs="Calibri"/>
          <w:color w:val="1A1A1A"/>
        </w:rPr>
        <w:t>Si le droit international garantit le droit à l’alimentation, l’habillement, le logement ainsi que le droit au travail, les droits dits « créances » sont souvent difficilement mis en œuvre, rendant la mendicité nécessaire pour pallier les carences de la protection de l’État. Le droit à l’alimentation n’est pas reconnu textuellement en droit interne. Néanmoins, il existe certaines mesures ou systèmes comme les crédits nationaux et le Fond social européen, le Conseil national de l’alimentation. L’</w:t>
      </w:r>
      <w:r>
        <w:rPr>
          <w:rFonts w:ascii="Calibri" w:eastAsia="Calibri" w:hAnsi="Calibri" w:cs="Calibri"/>
          <w:color w:val="1E88E5"/>
        </w:rPr>
        <w:t>article L. 266-2</w:t>
      </w:r>
      <w:r>
        <w:rPr>
          <w:rFonts w:ascii="Calibri" w:eastAsia="Calibri" w:hAnsi="Calibri" w:cs="Calibri"/>
          <w:color w:val="1A1A1A"/>
        </w:rPr>
        <w:t xml:space="preserve"> du Code de l’action sociale et des familles qui prévoit une aide alimentaire qui reste cependant très insuffisante et parfois difficilement accessible. Les droits-créances sont dépendants des politiques budgétaires de l’État, particulièrement dans une politique d’austérité. On note en outre une augmentation constante du nombre de personnes vivant sous le seuil de pauvreté. La mendicité permet ainsi aux individus de passer outre les carences de l’État pour survivre.</w:t>
      </w:r>
    </w:p>
    <w:p w14:paraId="64E40935" w14:textId="77777777" w:rsidR="001E3E87" w:rsidRDefault="005258B2">
      <w:pPr>
        <w:spacing w:after="90" w:line="264" w:lineRule="auto"/>
        <w:jc w:val="both"/>
      </w:pPr>
      <w:r>
        <w:rPr>
          <w:rFonts w:ascii="Calibri" w:eastAsia="Calibri" w:hAnsi="Calibri" w:cs="Calibri"/>
          <w:color w:val="1A1A1A"/>
        </w:rPr>
        <w:t>En conclusion, il existe un droit à la mendicité dans un cadre d’interdépendance des droits humains, non absolu, mais permettant de pallier les carences de l’État pour les personnes vulnérables.</w:t>
      </w:r>
    </w:p>
    <w:p w14:paraId="1B42150A" w14:textId="77777777" w:rsidR="001E3E87" w:rsidRDefault="005258B2">
      <w:r>
        <w:br w:type="page"/>
      </w:r>
    </w:p>
    <w:p w14:paraId="512DF1DB" w14:textId="77777777" w:rsidR="001E3E87" w:rsidRDefault="005258B2">
      <w:pPr>
        <w:pStyle w:val="Titre1"/>
        <w:pBdr>
          <w:bottom w:val="single" w:sz="12" w:space="6" w:color="8C1C2B"/>
        </w:pBdr>
        <w:spacing w:before="240" w:after="80"/>
      </w:pPr>
      <w:r>
        <w:rPr>
          <w:rFonts w:ascii="Calibri" w:eastAsia="Calibri" w:hAnsi="Calibri" w:cs="Calibri"/>
          <w:b/>
          <w:bCs/>
          <w:color w:val="8C1C2B"/>
          <w:sz w:val="28"/>
          <w:szCs w:val="28"/>
        </w:rPr>
        <w:lastRenderedPageBreak/>
        <w:t>ENTRAÎNEMENT N° 56 — COMMENTAIRE DE TEXTE</w:t>
      </w:r>
    </w:p>
    <w:p w14:paraId="6AA43480" w14:textId="77777777" w:rsidR="001E3E87" w:rsidRDefault="005258B2">
      <w:pPr>
        <w:spacing w:after="160"/>
      </w:pPr>
      <w:r>
        <w:rPr>
          <w:rFonts w:ascii="Calibri" w:eastAsia="Calibri" w:hAnsi="Calibri" w:cs="Calibri"/>
          <w:i/>
          <w:iCs/>
          <w:color w:val="5A5A5A"/>
          <w:sz w:val="18"/>
          <w:szCs w:val="18"/>
        </w:rPr>
        <w:t>Fiche n° 56 — Les mesures d’inégalité compensatoire  |  PARTIE VIII. L’ÉGALITÉ ET LA NON-DISCRIMINATION  |  Fascicule p. 579</w:t>
      </w:r>
    </w:p>
    <w:p w14:paraId="387EF974" w14:textId="77777777" w:rsidR="001E3E87" w:rsidRDefault="005258B2">
      <w:pPr>
        <w:pStyle w:val="Titre2"/>
        <w:spacing w:before="240" w:after="110"/>
      </w:pPr>
      <w:r>
        <w:rPr>
          <w:rFonts w:ascii="Calibri" w:eastAsia="Calibri" w:hAnsi="Calibri" w:cs="Calibri"/>
          <w:b/>
          <w:bCs/>
          <w:color w:val="1A1A1A"/>
          <w:spacing w:val="20"/>
          <w:sz w:val="23"/>
          <w:szCs w:val="23"/>
        </w:rPr>
        <w:t>SUJET</w:t>
      </w:r>
    </w:p>
    <w:p w14:paraId="7A34A0A4" w14:textId="77777777" w:rsidR="001E3E87" w:rsidRDefault="005258B2">
      <w:pPr>
        <w:pBdr>
          <w:left w:val="single" w:sz="12" w:space="10" w:color="8C1C2B"/>
        </w:pBdr>
        <w:spacing w:after="90" w:line="264" w:lineRule="auto"/>
        <w:ind w:left="260"/>
        <w:jc w:val="both"/>
      </w:pPr>
      <w:r>
        <w:rPr>
          <w:rFonts w:ascii="Calibri" w:eastAsia="Calibri" w:hAnsi="Calibri" w:cs="Calibri"/>
          <w:color w:val="1E88E5"/>
        </w:rPr>
        <w:t>article 1er</w:t>
      </w:r>
      <w:r>
        <w:rPr>
          <w:rFonts w:ascii="Calibri" w:eastAsia="Calibri" w:hAnsi="Calibri" w:cs="Calibri"/>
          <w:color w:val="1A1A1A"/>
        </w:rPr>
        <w:t xml:space="preserve"> </w:t>
      </w:r>
      <w:r>
        <w:rPr>
          <w:rFonts w:ascii="Calibri" w:eastAsia="Calibri" w:hAnsi="Calibri" w:cs="Calibri"/>
          <w:color w:val="1E88E5"/>
        </w:rPr>
        <w:t>DDHC</w:t>
      </w:r>
    </w:p>
    <w:p w14:paraId="5003BB0C" w14:textId="77777777" w:rsidR="001E3E87" w:rsidRDefault="005258B2">
      <w:pPr>
        <w:pBdr>
          <w:left w:val="single" w:sz="12" w:space="10" w:color="8C1C2B"/>
        </w:pBdr>
        <w:spacing w:after="90" w:line="264" w:lineRule="auto"/>
        <w:ind w:left="260"/>
        <w:jc w:val="both"/>
      </w:pPr>
      <w:r>
        <w:rPr>
          <w:rFonts w:ascii="Calibri" w:eastAsia="Calibri" w:hAnsi="Calibri" w:cs="Calibri"/>
          <w:color w:val="1A1A1A"/>
        </w:rPr>
        <w:t>« Les hommes naissent et demeurent libres et égaux en droits. Les distinctions. Les distinctions sociales ne peuvent être fondées que sur l’utilité commune. »</w:t>
      </w:r>
    </w:p>
    <w:p w14:paraId="3A2BA4C9" w14:textId="77777777" w:rsidR="001E3E87" w:rsidRDefault="005258B2">
      <w:pPr>
        <w:pStyle w:val="Titre2"/>
        <w:spacing w:before="240" w:after="110"/>
      </w:pPr>
      <w:r>
        <w:rPr>
          <w:rFonts w:ascii="Calibri" w:eastAsia="Calibri" w:hAnsi="Calibri" w:cs="Calibri"/>
          <w:b/>
          <w:bCs/>
          <w:color w:val="1A1A1A"/>
          <w:spacing w:val="20"/>
          <w:sz w:val="23"/>
          <w:szCs w:val="23"/>
        </w:rPr>
        <w:t>CORRIGÉ</w:t>
      </w:r>
    </w:p>
    <w:p w14:paraId="375D7C4D" w14:textId="77777777" w:rsidR="001E3E87" w:rsidRDefault="005258B2">
      <w:pPr>
        <w:spacing w:after="90" w:line="264" w:lineRule="auto"/>
        <w:jc w:val="both"/>
      </w:pPr>
      <w:r>
        <w:rPr>
          <w:rFonts w:ascii="Calibri" w:eastAsia="Calibri" w:hAnsi="Calibri" w:cs="Calibri"/>
          <w:b/>
          <w:bCs/>
          <w:color w:val="1A1A1A"/>
        </w:rPr>
        <w:t>Introduction:</w:t>
      </w:r>
      <w:r>
        <w:rPr>
          <w:rFonts w:ascii="Calibri" w:eastAsia="Calibri" w:hAnsi="Calibri" w:cs="Calibri"/>
          <w:color w:val="1A1A1A"/>
        </w:rPr>
        <w:t xml:space="preserve"> L’</w:t>
      </w:r>
      <w:r>
        <w:rPr>
          <w:rFonts w:ascii="Calibri" w:eastAsia="Calibri" w:hAnsi="Calibri" w:cs="Calibri"/>
          <w:color w:val="1E88E5"/>
        </w:rPr>
        <w:t>article 1er</w:t>
      </w:r>
      <w:r>
        <w:rPr>
          <w:rFonts w:ascii="Calibri" w:eastAsia="Calibri" w:hAnsi="Calibri" w:cs="Calibri"/>
          <w:color w:val="1A1A1A"/>
        </w:rPr>
        <w:t xml:space="preserve"> de la </w:t>
      </w:r>
      <w:r>
        <w:rPr>
          <w:rFonts w:ascii="Calibri" w:eastAsia="Calibri" w:hAnsi="Calibri" w:cs="Calibri"/>
          <w:color w:val="1E88E5"/>
        </w:rPr>
        <w:t>Déclaration des droits de l’homme et du citoyen</w:t>
      </w:r>
      <w:r>
        <w:rPr>
          <w:rFonts w:ascii="Calibri" w:eastAsia="Calibri" w:hAnsi="Calibri" w:cs="Calibri"/>
          <w:color w:val="1A1A1A"/>
        </w:rPr>
        <w:t xml:space="preserve"> de 1789 pose les fondements de l’ordre juridique républicain en affirmant que « les hommes naissent et demeurent libres et égaux en droits » et que « les distinctions sociales ne peuvent être fondées que sur l’utilité commune ». Si cette double formule consacre un idéal d’égalité, elle révèle aussi des tensions entre universalité proclamée et exclusions permises. Problématique : Comment cette affirmation fondatrice peut-elle à la fois poser l’égalité comme principe absolu et admettre des distinctions qui en limitent la portée ? Annonce de plan : Nous analyserons les limites d’une égalité formelle, historiquement marquée par l’exclusion de certains groupes (I), avant d’étudier les dérogations admises au nom de l’utilité commune, justifiées par l’intérêt général, mais peu mobilisées, en pratique, pour tendre vers l’égalité réelle (II).</w:t>
      </w:r>
    </w:p>
    <w:p w14:paraId="1876622D" w14:textId="77777777" w:rsidR="001E3E87" w:rsidRDefault="005258B2">
      <w:pPr>
        <w:pStyle w:val="Titre3"/>
        <w:spacing w:before="190" w:after="80"/>
      </w:pPr>
      <w:r>
        <w:rPr>
          <w:rFonts w:ascii="Calibri" w:eastAsia="Calibri" w:hAnsi="Calibri" w:cs="Calibri"/>
          <w:b/>
          <w:bCs/>
          <w:i/>
          <w:iCs/>
          <w:color w:val="1A1A1A"/>
          <w:sz w:val="21"/>
          <w:szCs w:val="21"/>
        </w:rPr>
        <w:t>I- Les lacunes d’une conception formelle de l’égalité</w:t>
      </w:r>
    </w:p>
    <w:p w14:paraId="10A127C6" w14:textId="77777777" w:rsidR="001E3E87" w:rsidRDefault="005258B2">
      <w:pPr>
        <w:spacing w:after="90" w:line="264" w:lineRule="auto"/>
        <w:jc w:val="both"/>
      </w:pPr>
      <w:r>
        <w:rPr>
          <w:rFonts w:ascii="Calibri" w:eastAsia="Calibri" w:hAnsi="Calibri" w:cs="Calibri"/>
          <w:color w:val="1A1A1A"/>
        </w:rPr>
        <w:t>Il s’agit de commenter la première phrase en insistant sur les limites de la formule : « Les hommes naissent et demeurent libres et égaux en droits » tant sur la forme (terminologie) que sur le fond (les conséquences juridiques pour certains groupes, à commencer par les femmes).</w:t>
      </w:r>
    </w:p>
    <w:p w14:paraId="117F9F17" w14:textId="77777777" w:rsidR="001E3E87" w:rsidRDefault="005258B2">
      <w:pPr>
        <w:pStyle w:val="Titre3"/>
        <w:spacing w:before="190" w:after="80"/>
      </w:pPr>
      <w:r>
        <w:rPr>
          <w:rFonts w:ascii="Calibri" w:eastAsia="Calibri" w:hAnsi="Calibri" w:cs="Calibri"/>
          <w:b/>
          <w:bCs/>
          <w:i/>
          <w:iCs/>
          <w:color w:val="1A1A1A"/>
          <w:sz w:val="21"/>
          <w:szCs w:val="21"/>
        </w:rPr>
        <w:t>A. L’universalisme excluant : le biais patriarcal</w:t>
      </w:r>
    </w:p>
    <w:p w14:paraId="6806E5C2" w14:textId="77777777" w:rsidR="001E3E87" w:rsidRDefault="005258B2">
      <w:pPr>
        <w:spacing w:after="90" w:line="264" w:lineRule="auto"/>
        <w:jc w:val="both"/>
      </w:pPr>
      <w:r>
        <w:rPr>
          <w:rFonts w:ascii="Calibri" w:eastAsia="Calibri" w:hAnsi="Calibri" w:cs="Calibri"/>
          <w:color w:val="1A1A1A"/>
        </w:rPr>
        <w:t xml:space="preserve">Les hommes ne visent pas les êtres humains puisque les femmes sont, à l’époque de la </w:t>
      </w:r>
      <w:r>
        <w:rPr>
          <w:rFonts w:ascii="Calibri" w:eastAsia="Calibri" w:hAnsi="Calibri" w:cs="Calibri"/>
          <w:color w:val="1E88E5"/>
        </w:rPr>
        <w:t>Déclaration des droits de l’homme et du citoyen</w:t>
      </w:r>
      <w:r>
        <w:rPr>
          <w:rFonts w:ascii="Calibri" w:eastAsia="Calibri" w:hAnsi="Calibri" w:cs="Calibri"/>
          <w:color w:val="1A1A1A"/>
        </w:rPr>
        <w:t>, largement exclues (la terminologie n’est pas neutre du fait de l’héritage sexiste) et, plus généralement, tous ceux qui ne sont pas reconnus comme citoyens : enfants, étrangers. Cette exclusion est manifeste au XVIIIe siècle et persiste, sous diverses formes, jusqu’au XXe siècle (ex. : droit de vote en 1944).</w:t>
      </w:r>
    </w:p>
    <w:p w14:paraId="6BA92A5A" w14:textId="77777777" w:rsidR="001E3E87" w:rsidRDefault="005258B2">
      <w:pPr>
        <w:spacing w:after="90" w:line="264" w:lineRule="auto"/>
        <w:jc w:val="both"/>
      </w:pPr>
      <w:r>
        <w:rPr>
          <w:rFonts w:ascii="Calibri" w:eastAsia="Calibri" w:hAnsi="Calibri" w:cs="Calibri"/>
          <w:color w:val="1A1A1A"/>
        </w:rPr>
        <w:t>B- De l’égalité proclamée à l’interdiction explicite des discriminations Au fil du temps, sous l’influence conjuguée des normes internationales, des modèles étrangers (notamment américain) et d’une relecture plus substantielle de l’égalité, le droit français a intégré des exigences antidiscriminatoires. Le droit positif s’est enrichi depuis le XVIIIe siècle (</w:t>
      </w:r>
      <w:r>
        <w:rPr>
          <w:rFonts w:ascii="Calibri" w:eastAsia="Calibri" w:hAnsi="Calibri" w:cs="Calibri"/>
          <w:color w:val="1E88E5"/>
        </w:rPr>
        <w:t>art. 1er</w:t>
      </w:r>
      <w:r>
        <w:rPr>
          <w:rFonts w:ascii="Calibri" w:eastAsia="Calibri" w:hAnsi="Calibri" w:cs="Calibri"/>
          <w:color w:val="1A1A1A"/>
        </w:rPr>
        <w:t xml:space="preserve"> de la Constitution). Droit de ne pas être discriminé (sexe, origine…). Parité (discriminations positives en faveur des femmes : révisions constitutionnelles).</w:t>
      </w:r>
    </w:p>
    <w:p w14:paraId="53CAA798" w14:textId="77777777" w:rsidR="001E3E87" w:rsidRDefault="005258B2">
      <w:pPr>
        <w:pStyle w:val="Titre3"/>
        <w:spacing w:before="190" w:after="80"/>
      </w:pPr>
      <w:r>
        <w:rPr>
          <w:rFonts w:ascii="Calibri" w:eastAsia="Calibri" w:hAnsi="Calibri" w:cs="Calibri"/>
          <w:b/>
          <w:bCs/>
          <w:i/>
          <w:iCs/>
          <w:color w:val="1A1A1A"/>
          <w:sz w:val="21"/>
          <w:szCs w:val="21"/>
        </w:rPr>
        <w:t>II. De possibles dérogations à l’égalité formelle : l’utilité commune</w:t>
      </w:r>
    </w:p>
    <w:p w14:paraId="208C5773" w14:textId="77777777" w:rsidR="001E3E87" w:rsidRDefault="005258B2">
      <w:pPr>
        <w:spacing w:after="90" w:line="264" w:lineRule="auto"/>
        <w:jc w:val="both"/>
      </w:pPr>
      <w:r>
        <w:rPr>
          <w:rFonts w:ascii="Calibri" w:eastAsia="Calibri" w:hAnsi="Calibri" w:cs="Calibri"/>
          <w:color w:val="1A1A1A"/>
        </w:rPr>
        <w:t>Il s’agit de relever le potentiel de la seconde phrase, exploitable par les juridictions nationales, sous l’angle de la réalisation de l’égalité réelle, en distinguant le traitement de situations jugées équivalentes et le traitement de situations non équivalentes.</w:t>
      </w:r>
    </w:p>
    <w:p w14:paraId="43039977" w14:textId="77777777" w:rsidR="001E3E87" w:rsidRDefault="005258B2">
      <w:pPr>
        <w:pStyle w:val="Titre3"/>
        <w:spacing w:before="190" w:after="80"/>
      </w:pPr>
      <w:r>
        <w:rPr>
          <w:rFonts w:ascii="Calibri" w:eastAsia="Calibri" w:hAnsi="Calibri" w:cs="Calibri"/>
          <w:b/>
          <w:bCs/>
          <w:i/>
          <w:iCs/>
          <w:color w:val="1A1A1A"/>
          <w:sz w:val="21"/>
          <w:szCs w:val="21"/>
        </w:rPr>
        <w:t>A. La justification des ruptures à l’égalité formelle en recourant à l’intérêt général</w:t>
      </w:r>
    </w:p>
    <w:p w14:paraId="7C233707" w14:textId="77777777" w:rsidR="001E3E87" w:rsidRDefault="005258B2">
      <w:pPr>
        <w:spacing w:after="90" w:line="264" w:lineRule="auto"/>
        <w:jc w:val="both"/>
      </w:pPr>
      <w:r>
        <w:rPr>
          <w:rFonts w:ascii="Calibri" w:eastAsia="Calibri" w:hAnsi="Calibri" w:cs="Calibri"/>
          <w:color w:val="1A1A1A"/>
        </w:rPr>
        <w:t>« L’utilité commune », c’est-à-dire l’intérêt général (et lui seul) peut justifier un traitement différent de situations jugées équivalentes, c’est-à-dire qu’il peut justifier une rupture de l’égalité formelle et réelle. L’intérêt général justifie ainsi des distinctions entre catégories de personnes. Le droit des étrangers en est une illustration. Selon le Conseil constitutionnel, « aucune règle de valeur constitutionnelle n’assure aux étrangers des droits de caractère général et absolu d’accès et de séjour sur le territoire national ; qu’eu égard à l’objectif d’intérêt général qu’il s’est assigné, tendant à instituer un statut de résident de longue durée, le législateur a pu exiger que l’obtention de la carte de résident […] soit soumise à la double condition d’une durée de résidence ininterrompue de deux ou cinq ans sur le territoire français et d’une intégration » (20 novembre 2003, 2203- 484 DC). On peut s’étonner que de telles « dérogations » à l’égalité formelle (et réelle) soit si peu critiquées par ceux qui se scandalisent devant les discriminations positives, qui, si elles sont aussi des dérogations à l’égalité formelle, visent quant à elles, une égalité bien réelle. Il est paradoxal de se montrer aussi attaché au principe d’égalité au point de lui préférer la lettre à sa réalisation effective.</w:t>
      </w:r>
    </w:p>
    <w:p w14:paraId="6E030EB6" w14:textId="77777777" w:rsidR="001E3E87" w:rsidRDefault="005258B2">
      <w:pPr>
        <w:pStyle w:val="Titre3"/>
        <w:spacing w:before="190" w:after="80"/>
      </w:pPr>
      <w:r>
        <w:rPr>
          <w:rFonts w:ascii="Calibri" w:eastAsia="Calibri" w:hAnsi="Calibri" w:cs="Calibri"/>
          <w:b/>
          <w:bCs/>
          <w:i/>
          <w:iCs/>
          <w:color w:val="1A1A1A"/>
          <w:sz w:val="21"/>
          <w:szCs w:val="21"/>
        </w:rPr>
        <w:t>B. La réalisation de l’égalité réelle par l’intérêt général : un manque de volontarisme du juge ?</w:t>
      </w:r>
    </w:p>
    <w:p w14:paraId="06585009" w14:textId="77777777" w:rsidR="001E3E87" w:rsidRDefault="005258B2">
      <w:pPr>
        <w:spacing w:after="90" w:line="264" w:lineRule="auto"/>
        <w:jc w:val="both"/>
      </w:pPr>
      <w:r>
        <w:rPr>
          <w:rFonts w:ascii="Calibri" w:eastAsia="Calibri" w:hAnsi="Calibri" w:cs="Calibri"/>
          <w:color w:val="1A1A1A"/>
        </w:rPr>
        <w:lastRenderedPageBreak/>
        <w:t>Se pose donc, toujours sous l’angle de l’utilité commune/intérêt général de cet article, la possible dérogation fondée sur des actions positives (traitement différent de situations non équivalentes) : si elle contrevient à l’égalité formelle, la discrimination positive s’accorde avec l’égalité réelle. En effet, traiter de manière distincte des situations différentes est en adéquation avec l’égalité réelle. Il s’agit donc d’une dérogation différente de la première, fondée sur l’intérêt général, bien que toutes deux constituent une rupture de l’égalité formelle. Malgré la mobilisation de l’</w:t>
      </w:r>
      <w:r>
        <w:rPr>
          <w:rFonts w:ascii="Calibri" w:eastAsia="Calibri" w:hAnsi="Calibri" w:cs="Calibri"/>
          <w:color w:val="1E88E5"/>
        </w:rPr>
        <w:t>article 1er</w:t>
      </w:r>
      <w:r>
        <w:rPr>
          <w:rFonts w:ascii="Calibri" w:eastAsia="Calibri" w:hAnsi="Calibri" w:cs="Calibri"/>
          <w:color w:val="1A1A1A"/>
        </w:rPr>
        <w:t xml:space="preserve"> de la </w:t>
      </w:r>
      <w:r>
        <w:rPr>
          <w:rFonts w:ascii="Calibri" w:eastAsia="Calibri" w:hAnsi="Calibri" w:cs="Calibri"/>
          <w:color w:val="1E88E5"/>
        </w:rPr>
        <w:t>Déclaration des droits de l’homme et du citoyen</w:t>
      </w:r>
      <w:r>
        <w:rPr>
          <w:rFonts w:ascii="Calibri" w:eastAsia="Calibri" w:hAnsi="Calibri" w:cs="Calibri"/>
          <w:color w:val="1A1A1A"/>
        </w:rPr>
        <w:t xml:space="preserve"> par le juge constitutionnel, le potentiel de sa deuxième phrase n’est pas exploité pour la justification des distinctions sociales au nom des mesures préférentielles et de lutte contre les inégalités. Cela exigerait un certain volontarisme de la part du Conseil constitutionnel qui, au contraire, s’est plutôt engagé lors des vingt dernières années dans une certaine réserve. Il reste que les dérogations fondées sur les discriminations positives reposent sur une logique différente des premières, Le critère d’ajustement est interne à l’égalité, là où l’intérêt général est le critère de modulation extérieure à l’égalité. L’intérêt général et les discriminations positives rompent tous deux l’égalité formelle dans sa conception républicaine (telle que proclamée dans la première phrase de l’article). Mais là où les actions positives s’attachent, précisément grâce à cette rupture, à tendre vers une égalité réelle, l’intérêt général permet de justifier l’existence d’une discrimination à la fois formelle et matérielle.</w:t>
      </w:r>
    </w:p>
    <w:p w14:paraId="05031CC0" w14:textId="77777777" w:rsidR="001E3E87" w:rsidRDefault="005258B2">
      <w:pPr>
        <w:spacing w:after="90" w:line="264" w:lineRule="auto"/>
        <w:jc w:val="both"/>
      </w:pPr>
      <w:r>
        <w:rPr>
          <w:rFonts w:ascii="Calibri" w:eastAsia="Calibri" w:hAnsi="Calibri" w:cs="Calibri"/>
          <w:color w:val="1A1A1A"/>
        </w:rPr>
        <w:t>En conclusion, l’</w:t>
      </w:r>
      <w:r>
        <w:rPr>
          <w:rFonts w:ascii="Calibri" w:eastAsia="Calibri" w:hAnsi="Calibri" w:cs="Calibri"/>
          <w:color w:val="1E88E5"/>
        </w:rPr>
        <w:t>article 1er</w:t>
      </w:r>
      <w:r>
        <w:rPr>
          <w:rFonts w:ascii="Calibri" w:eastAsia="Calibri" w:hAnsi="Calibri" w:cs="Calibri"/>
          <w:color w:val="1A1A1A"/>
        </w:rPr>
        <w:t xml:space="preserve"> de la </w:t>
      </w:r>
      <w:r>
        <w:rPr>
          <w:rFonts w:ascii="Calibri" w:eastAsia="Calibri" w:hAnsi="Calibri" w:cs="Calibri"/>
          <w:color w:val="1E88E5"/>
        </w:rPr>
        <w:t>Déclaration des droits de l’homme et du citoyen</w:t>
      </w:r>
      <w:r>
        <w:rPr>
          <w:rFonts w:ascii="Calibri" w:eastAsia="Calibri" w:hAnsi="Calibri" w:cs="Calibri"/>
          <w:color w:val="1A1A1A"/>
        </w:rPr>
        <w:t xml:space="preserve"> contient en germe à la fois les fondements de l’égalité et les outils pour y déroger au nom de l’intérêt général. Si, concernant ce dernier point, le juge a accepté que des « discriminations négatives » soient justifiées par l’intérêt général, il s’est montré plus réservé s’agissant des « discriminations positives ». Le texte est ce qu’il est, ses failles et ses virtualités demeurent. Ses limites et lacunes ont été progressivement, et partiellement, comblées par d’autres instruments, y compris législatifs, mais il appartient aux juridictions, à commencer par le Conseil constitutionnel et le Conseil d’État de s’en saisir pour assurer une égalité toujours plus effective.</w:t>
      </w:r>
    </w:p>
    <w:p w14:paraId="63729D0F" w14:textId="77777777" w:rsidR="001E3E87" w:rsidRDefault="005258B2">
      <w:r>
        <w:br w:type="page"/>
      </w:r>
    </w:p>
    <w:sectPr w:rsidR="001E3E87">
      <w:footerReference w:type="default" r:id="rId7"/>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E5FAD5" w14:textId="77777777" w:rsidR="00C05639" w:rsidRDefault="00C05639">
      <w:r>
        <w:separator/>
      </w:r>
    </w:p>
  </w:endnote>
  <w:endnote w:type="continuationSeparator" w:id="0">
    <w:p w14:paraId="186EA657" w14:textId="77777777" w:rsidR="00C05639" w:rsidRDefault="00C05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B4743C" w14:textId="77777777" w:rsidR="001E3E87" w:rsidRDefault="005258B2">
    <w:pPr>
      <w:jc w:val="center"/>
    </w:pPr>
    <w:r>
      <w:rPr>
        <w:rFonts w:ascii="Calibri" w:eastAsia="Calibri" w:hAnsi="Calibri" w:cs="Calibri"/>
        <w:color w:val="5A5A5A"/>
        <w:sz w:val="15"/>
        <w:szCs w:val="15"/>
      </w:rPr>
      <w:t xml:space="preserve">CRFPA — Base de données des entraînements — Libertés publiques et droits fondamentaux   |   </w:t>
    </w:r>
    <w:r>
      <w:rPr>
        <w:rFonts w:ascii="Calibri" w:eastAsia="Calibri" w:hAnsi="Calibri" w:cs="Calibri"/>
        <w:color w:val="5A5A5A"/>
        <w:sz w:val="15"/>
        <w:szCs w:val="15"/>
      </w:rPr>
      <w:fldChar w:fldCharType="begin"/>
    </w:r>
    <w:r>
      <w:rPr>
        <w:rFonts w:ascii="Calibri" w:eastAsia="Calibri" w:hAnsi="Calibri" w:cs="Calibri"/>
        <w:color w:val="5A5A5A"/>
        <w:sz w:val="15"/>
        <w:szCs w:val="15"/>
      </w:rPr>
      <w:instrText>PAGE</w:instrText>
    </w:r>
    <w:r>
      <w:rPr>
        <w:rFonts w:ascii="Calibri" w:eastAsia="Calibri" w:hAnsi="Calibri" w:cs="Calibri"/>
        <w:color w:val="5A5A5A"/>
        <w:sz w:val="15"/>
        <w:szCs w:val="15"/>
      </w:rPr>
      <w:fldChar w:fldCharType="separate"/>
    </w:r>
    <w:r w:rsidR="00263B7E">
      <w:rPr>
        <w:rFonts w:ascii="Calibri" w:eastAsia="Calibri" w:hAnsi="Calibri" w:cs="Calibri"/>
        <w:noProof/>
        <w:color w:val="5A5A5A"/>
        <w:sz w:val="15"/>
        <w:szCs w:val="15"/>
      </w:rPr>
      <w:t>1</w:t>
    </w:r>
    <w:r>
      <w:rPr>
        <w:rFonts w:ascii="Calibri" w:eastAsia="Calibri" w:hAnsi="Calibri" w:cs="Calibri"/>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438AAD" w14:textId="77777777" w:rsidR="00C05639" w:rsidRDefault="00C05639">
      <w:r>
        <w:separator/>
      </w:r>
    </w:p>
  </w:footnote>
  <w:footnote w:type="continuationSeparator" w:id="0">
    <w:p w14:paraId="6017D5CD" w14:textId="77777777" w:rsidR="00C05639" w:rsidRDefault="00C056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521834"/>
    <w:multiLevelType w:val="hybridMultilevel"/>
    <w:tmpl w:val="5CBC0018"/>
    <w:lvl w:ilvl="0" w:tplc="0CEE5BF8">
      <w:start w:val="1"/>
      <w:numFmt w:val="bullet"/>
      <w:lvlText w:val="▪"/>
      <w:lvlJc w:val="left"/>
      <w:pPr>
        <w:ind w:left="340" w:hanging="200"/>
      </w:pPr>
    </w:lvl>
    <w:lvl w:ilvl="1" w:tplc="C50025D4">
      <w:start w:val="1"/>
      <w:numFmt w:val="bullet"/>
      <w:lvlText w:val="–"/>
      <w:lvlJc w:val="left"/>
      <w:pPr>
        <w:ind w:left="700" w:hanging="200"/>
      </w:pPr>
    </w:lvl>
    <w:lvl w:ilvl="2" w:tplc="901CEBDE">
      <w:start w:val="1"/>
      <w:numFmt w:val="bullet"/>
      <w:lvlText w:val="·"/>
      <w:lvlJc w:val="left"/>
      <w:pPr>
        <w:ind w:left="1060" w:hanging="200"/>
      </w:pPr>
    </w:lvl>
    <w:lvl w:ilvl="3" w:tplc="3342D11E">
      <w:numFmt w:val="decimal"/>
      <w:lvlText w:val=""/>
      <w:lvlJc w:val="left"/>
    </w:lvl>
    <w:lvl w:ilvl="4" w:tplc="E940C7DE">
      <w:numFmt w:val="decimal"/>
      <w:lvlText w:val=""/>
      <w:lvlJc w:val="left"/>
    </w:lvl>
    <w:lvl w:ilvl="5" w:tplc="37D073DE">
      <w:numFmt w:val="decimal"/>
      <w:lvlText w:val=""/>
      <w:lvlJc w:val="left"/>
    </w:lvl>
    <w:lvl w:ilvl="6" w:tplc="93021FD2">
      <w:numFmt w:val="decimal"/>
      <w:lvlText w:val=""/>
      <w:lvlJc w:val="left"/>
    </w:lvl>
    <w:lvl w:ilvl="7" w:tplc="1D3248AE">
      <w:numFmt w:val="decimal"/>
      <w:lvlText w:val=""/>
      <w:lvlJc w:val="left"/>
    </w:lvl>
    <w:lvl w:ilvl="8" w:tplc="A7087B96">
      <w:numFmt w:val="decimal"/>
      <w:lvlText w:val=""/>
      <w:lvlJc w:val="left"/>
    </w:lvl>
  </w:abstractNum>
  <w:abstractNum w:abstractNumId="1" w15:restartNumberingAfterBreak="0">
    <w:nsid w:val="5B1A46FD"/>
    <w:multiLevelType w:val="hybridMultilevel"/>
    <w:tmpl w:val="241A779E"/>
    <w:lvl w:ilvl="0" w:tplc="51E2D96E">
      <w:start w:val="1"/>
      <w:numFmt w:val="bullet"/>
      <w:lvlText w:val="●"/>
      <w:lvlJc w:val="left"/>
      <w:pPr>
        <w:ind w:left="720" w:hanging="360"/>
      </w:pPr>
    </w:lvl>
    <w:lvl w:ilvl="1" w:tplc="F112DA5C">
      <w:start w:val="1"/>
      <w:numFmt w:val="bullet"/>
      <w:lvlText w:val="○"/>
      <w:lvlJc w:val="left"/>
      <w:pPr>
        <w:ind w:left="1440" w:hanging="360"/>
      </w:pPr>
    </w:lvl>
    <w:lvl w:ilvl="2" w:tplc="B34AD382">
      <w:start w:val="1"/>
      <w:numFmt w:val="bullet"/>
      <w:lvlText w:val="■"/>
      <w:lvlJc w:val="left"/>
      <w:pPr>
        <w:ind w:left="2160" w:hanging="360"/>
      </w:pPr>
    </w:lvl>
    <w:lvl w:ilvl="3" w:tplc="A224C440">
      <w:start w:val="1"/>
      <w:numFmt w:val="bullet"/>
      <w:lvlText w:val="●"/>
      <w:lvlJc w:val="left"/>
      <w:pPr>
        <w:ind w:left="2880" w:hanging="360"/>
      </w:pPr>
    </w:lvl>
    <w:lvl w:ilvl="4" w:tplc="88023A3C">
      <w:start w:val="1"/>
      <w:numFmt w:val="bullet"/>
      <w:lvlText w:val="○"/>
      <w:lvlJc w:val="left"/>
      <w:pPr>
        <w:ind w:left="3600" w:hanging="360"/>
      </w:pPr>
    </w:lvl>
    <w:lvl w:ilvl="5" w:tplc="682255D8">
      <w:start w:val="1"/>
      <w:numFmt w:val="bullet"/>
      <w:lvlText w:val="■"/>
      <w:lvlJc w:val="left"/>
      <w:pPr>
        <w:ind w:left="4320" w:hanging="360"/>
      </w:pPr>
    </w:lvl>
    <w:lvl w:ilvl="6" w:tplc="9BF45112">
      <w:start w:val="1"/>
      <w:numFmt w:val="bullet"/>
      <w:lvlText w:val="●"/>
      <w:lvlJc w:val="left"/>
      <w:pPr>
        <w:ind w:left="5040" w:hanging="360"/>
      </w:pPr>
    </w:lvl>
    <w:lvl w:ilvl="7" w:tplc="95F0BE22">
      <w:start w:val="1"/>
      <w:numFmt w:val="bullet"/>
      <w:lvlText w:val="●"/>
      <w:lvlJc w:val="left"/>
      <w:pPr>
        <w:ind w:left="5760" w:hanging="360"/>
      </w:pPr>
    </w:lvl>
    <w:lvl w:ilvl="8" w:tplc="B6AC7EA6">
      <w:start w:val="1"/>
      <w:numFmt w:val="bullet"/>
      <w:lvlText w:val="●"/>
      <w:lvlJc w:val="left"/>
      <w:pPr>
        <w:ind w:left="6480" w:hanging="360"/>
      </w:pPr>
    </w:lvl>
  </w:abstractNum>
  <w:num w:numId="1" w16cid:durableId="1095708720">
    <w:abstractNumId w:val="1"/>
    <w:lvlOverride w:ilvl="0">
      <w:startOverride w:val="1"/>
    </w:lvlOverride>
  </w:num>
  <w:num w:numId="2" w16cid:durableId="92183467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E87"/>
    <w:rsid w:val="0005033C"/>
    <w:rsid w:val="000B4AFD"/>
    <w:rsid w:val="00127A99"/>
    <w:rsid w:val="00130101"/>
    <w:rsid w:val="00136770"/>
    <w:rsid w:val="00170D0C"/>
    <w:rsid w:val="001C798B"/>
    <w:rsid w:val="001E3E87"/>
    <w:rsid w:val="002538AC"/>
    <w:rsid w:val="00263B7E"/>
    <w:rsid w:val="002F7BC2"/>
    <w:rsid w:val="00324965"/>
    <w:rsid w:val="00324DFD"/>
    <w:rsid w:val="0033742F"/>
    <w:rsid w:val="00342E5E"/>
    <w:rsid w:val="00400959"/>
    <w:rsid w:val="00414D28"/>
    <w:rsid w:val="004B3118"/>
    <w:rsid w:val="004D015C"/>
    <w:rsid w:val="00502F32"/>
    <w:rsid w:val="005258B2"/>
    <w:rsid w:val="005263B4"/>
    <w:rsid w:val="005442E2"/>
    <w:rsid w:val="0059578B"/>
    <w:rsid w:val="005B6D57"/>
    <w:rsid w:val="006019EA"/>
    <w:rsid w:val="00626788"/>
    <w:rsid w:val="00627E67"/>
    <w:rsid w:val="00672AC7"/>
    <w:rsid w:val="006C19D9"/>
    <w:rsid w:val="006E134D"/>
    <w:rsid w:val="006E2893"/>
    <w:rsid w:val="007529D1"/>
    <w:rsid w:val="007B66F6"/>
    <w:rsid w:val="0081769B"/>
    <w:rsid w:val="00862579"/>
    <w:rsid w:val="0086388D"/>
    <w:rsid w:val="00885125"/>
    <w:rsid w:val="008F59D0"/>
    <w:rsid w:val="009330B4"/>
    <w:rsid w:val="0096253A"/>
    <w:rsid w:val="0099587D"/>
    <w:rsid w:val="009A094A"/>
    <w:rsid w:val="009C2C67"/>
    <w:rsid w:val="009C3056"/>
    <w:rsid w:val="009D0B28"/>
    <w:rsid w:val="009D65C9"/>
    <w:rsid w:val="00A12744"/>
    <w:rsid w:val="00A30890"/>
    <w:rsid w:val="00A5395D"/>
    <w:rsid w:val="00A64B10"/>
    <w:rsid w:val="00A86E46"/>
    <w:rsid w:val="00AB3D2E"/>
    <w:rsid w:val="00BB4DDF"/>
    <w:rsid w:val="00BC2ECB"/>
    <w:rsid w:val="00C05639"/>
    <w:rsid w:val="00C32459"/>
    <w:rsid w:val="00C54DE1"/>
    <w:rsid w:val="00C66B4C"/>
    <w:rsid w:val="00C83FEC"/>
    <w:rsid w:val="00D80622"/>
    <w:rsid w:val="00D83CDB"/>
    <w:rsid w:val="00DE61A1"/>
    <w:rsid w:val="00DF191D"/>
    <w:rsid w:val="00EB607B"/>
    <w:rsid w:val="00F0356E"/>
    <w:rsid w:val="00F26070"/>
    <w:rsid w:val="00F52034"/>
    <w:rsid w:val="00FF7D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5AA4223"/>
  <w15:docId w15:val="{7351335C-4FB1-0B44-8F97-A7B1B1C1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118</Pages>
  <Words>59262</Words>
  <Characters>325942</Characters>
  <Application>Microsoft Office Word</Application>
  <DocSecurity>0</DocSecurity>
  <Lines>2716</Lines>
  <Paragraphs>768</Paragraphs>
  <ScaleCrop>false</ScaleCrop>
  <Company/>
  <LinksUpToDate>false</LinksUpToDate>
  <CharactersWithSpaces>384436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CRFPA — Base de données des entraînements (Libertés publiques 2026)</dc:title>
  <dc:creator>Simon</dc:creator>
  <dc:description>Les 56 rubriques « Pour s’entraîner » du fascicule Objectif Barreau 2026, intégralement recensées et corrigées</dc:description>
  <cp:lastModifiedBy>Simon BERNINES</cp:lastModifiedBy>
  <cp:revision>13</cp:revision>
  <dcterms:created xsi:type="dcterms:W3CDTF">2026-09-15T20:32:00Z</dcterms:created>
  <dcterms:modified xsi:type="dcterms:W3CDTF">2026-10-25T10:09:00Z</dcterms:modified>
</cp:coreProperties>
</file>