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859D0E" w14:textId="77777777" w:rsidR="00E6057C" w:rsidRDefault="00000000">
      <w:pPr>
        <w:spacing w:before="1400" w:after="120"/>
        <w:jc w:val="center"/>
      </w:pPr>
      <w:r>
        <w:rPr>
          <w:rFonts w:ascii="Calibri" w:eastAsia="Calibri" w:hAnsi="Calibri" w:cs="Calibri"/>
          <w:b/>
          <w:bCs/>
          <w:color w:val="5A5A5A"/>
          <w:spacing w:val="60"/>
          <w:sz w:val="26"/>
          <w:szCs w:val="26"/>
        </w:rPr>
        <w:t>GRAND ORAL DU CRFPA</w:t>
      </w:r>
    </w:p>
    <w:p w14:paraId="7DE6C1A1" w14:textId="77777777" w:rsidR="00E6057C" w:rsidRDefault="00000000">
      <w:pPr>
        <w:spacing w:after="100"/>
        <w:jc w:val="center"/>
      </w:pPr>
      <w:r>
        <w:rPr>
          <w:rFonts w:ascii="Calibri" w:eastAsia="Calibri" w:hAnsi="Calibri" w:cs="Calibri"/>
          <w:b/>
          <w:bCs/>
          <w:color w:val="8C1C2B"/>
          <w:sz w:val="44"/>
          <w:szCs w:val="44"/>
        </w:rPr>
        <w:t>LIBERTÉS PUBLIQUES ET DROITS FONDAMENTAUX</w:t>
      </w:r>
    </w:p>
    <w:p w14:paraId="189F2964" w14:textId="77777777" w:rsidR="00E6057C" w:rsidRDefault="00000000">
      <w:pPr>
        <w:spacing w:after="600"/>
        <w:jc w:val="center"/>
      </w:pPr>
      <w:r>
        <w:rPr>
          <w:rFonts w:ascii="Calibri" w:eastAsia="Calibri" w:hAnsi="Calibri" w:cs="Calibri"/>
          <w:color w:val="1A1A1A"/>
          <w:sz w:val="26"/>
          <w:szCs w:val="26"/>
        </w:rPr>
        <w:t>Partie II — Les sources internes (fiches n° 9 à 11)</w:t>
      </w:r>
    </w:p>
    <w:p w14:paraId="2D038F8F" w14:textId="77777777" w:rsidR="00E6057C" w:rsidRDefault="00000000">
      <w:pPr>
        <w:spacing w:after="100"/>
        <w:jc w:val="center"/>
      </w:pPr>
      <w:r>
        <w:rPr>
          <w:rFonts w:ascii="Calibri" w:eastAsia="Calibri" w:hAnsi="Calibri" w:cs="Calibri"/>
          <w:i/>
          <w:iCs/>
          <w:color w:val="5A5A5A"/>
        </w:rPr>
        <w:t>Fiches de révision exhaustives — exposé de 15 minutes et entretien avec le jury</w:t>
      </w:r>
    </w:p>
    <w:p w14:paraId="7CA73D8F" w14:textId="77777777" w:rsidR="00E6057C" w:rsidRDefault="00000000">
      <w:pPr>
        <w:spacing w:after="700"/>
        <w:jc w:val="center"/>
      </w:pPr>
      <w:r>
        <w:rPr>
          <w:rFonts w:ascii="Calibri" w:eastAsia="Calibri" w:hAnsi="Calibri" w:cs="Calibri"/>
          <w:i/>
          <w:iCs/>
          <w:color w:val="5A5A5A"/>
          <w:sz w:val="18"/>
          <w:szCs w:val="18"/>
        </w:rPr>
        <w:t>D’après le fascicule Objectif Barreau 2026</w:t>
      </w:r>
    </w:p>
    <w:p w14:paraId="36F18445" w14:textId="77777777" w:rsidR="00E6057C" w:rsidRDefault="00000000">
      <w:pPr>
        <w:spacing w:before="200" w:after="120"/>
      </w:pPr>
      <w:r>
        <w:rPr>
          <w:rFonts w:ascii="Calibri" w:eastAsia="Calibri" w:hAnsi="Calibri" w:cs="Calibri"/>
          <w:b/>
          <w:bCs/>
          <w:color w:val="1A1A1A"/>
          <w:sz w:val="22"/>
          <w:szCs w:val="22"/>
        </w:rPr>
        <w:t>CODE COULEUR</w:t>
      </w:r>
    </w:p>
    <w:p w14:paraId="6A6C2581" w14:textId="77777777" w:rsidR="00E6057C" w:rsidRDefault="00000000">
      <w:pPr>
        <w:pStyle w:val="Paragraphedeliste"/>
        <w:numPr>
          <w:ilvl w:val="0"/>
          <w:numId w:val="2"/>
        </w:numPr>
        <w:spacing w:after="60"/>
      </w:pPr>
      <w:r>
        <w:rPr>
          <w:rFonts w:ascii="Calibri" w:eastAsia="Calibri" w:hAnsi="Calibri" w:cs="Calibri"/>
          <w:color w:val="1E88E5"/>
        </w:rPr>
        <w:t>Textes normatifs</w:t>
      </w:r>
      <w:r>
        <w:rPr>
          <w:rFonts w:ascii="Calibri" w:eastAsia="Calibri" w:hAnsi="Calibri" w:cs="Calibri"/>
          <w:color w:val="1A1A1A"/>
        </w:rPr>
        <w:t xml:space="preserve"> — traités, conventions, Constitution, codes, lois, règlements.</w:t>
      </w:r>
    </w:p>
    <w:p w14:paraId="51E7A8EB" w14:textId="77777777" w:rsidR="00E6057C" w:rsidRDefault="00000000">
      <w:pPr>
        <w:pStyle w:val="Paragraphedeliste"/>
        <w:numPr>
          <w:ilvl w:val="0"/>
          <w:numId w:val="2"/>
        </w:numPr>
        <w:spacing w:after="60"/>
      </w:pPr>
      <w:r>
        <w:rPr>
          <w:rFonts w:ascii="Calibri" w:eastAsia="Calibri" w:hAnsi="Calibri" w:cs="Calibri"/>
          <w:color w:val="E91E63"/>
        </w:rPr>
        <w:t>Jurisprudence</w:t>
      </w:r>
      <w:r>
        <w:rPr>
          <w:rFonts w:ascii="Calibri" w:eastAsia="Calibri" w:hAnsi="Calibri" w:cs="Calibri"/>
          <w:color w:val="1A1A1A"/>
        </w:rPr>
        <w:t xml:space="preserve"> — Cass., CE, Cons. const., CEDH, CJUE, décisions QPC.</w:t>
      </w:r>
    </w:p>
    <w:p w14:paraId="3F481E28" w14:textId="77777777" w:rsidR="00E6057C" w:rsidRDefault="00000000">
      <w:pPr>
        <w:pStyle w:val="Paragraphedeliste"/>
        <w:numPr>
          <w:ilvl w:val="0"/>
          <w:numId w:val="2"/>
        </w:numPr>
        <w:spacing w:after="60"/>
      </w:pPr>
      <w:r>
        <w:rPr>
          <w:rFonts w:ascii="Calibri" w:eastAsia="Calibri" w:hAnsi="Calibri" w:cs="Calibri"/>
          <w:color w:val="2E7D32"/>
        </w:rPr>
        <w:t>Doctrine</w:t>
      </w:r>
      <w:r>
        <w:rPr>
          <w:rFonts w:ascii="Calibri" w:eastAsia="Calibri" w:hAnsi="Calibri" w:cs="Calibri"/>
          <w:color w:val="1A1A1A"/>
        </w:rPr>
        <w:t xml:space="preserve"> — auteurs, thèses, controverses universitaires, avis institutionnels.</w:t>
      </w:r>
    </w:p>
    <w:p w14:paraId="4CB9B5C1" w14:textId="77777777" w:rsidR="00E6057C" w:rsidRDefault="00000000">
      <w:pPr>
        <w:pStyle w:val="Paragraphedeliste"/>
        <w:numPr>
          <w:ilvl w:val="0"/>
          <w:numId w:val="2"/>
        </w:numPr>
        <w:spacing w:after="60"/>
      </w:pPr>
      <w:r>
        <w:rPr>
          <w:rFonts w:ascii="Calibri" w:eastAsia="Calibri" w:hAnsi="Calibri" w:cs="Calibri"/>
          <w:b/>
          <w:bCs/>
          <w:color w:val="1A1A1A"/>
        </w:rPr>
        <w:t>Gras</w:t>
      </w:r>
      <w:r>
        <w:rPr>
          <w:rFonts w:ascii="Calibri" w:eastAsia="Calibri" w:hAnsi="Calibri" w:cs="Calibri"/>
          <w:color w:val="1A1A1A"/>
        </w:rPr>
        <w:t xml:space="preserve"> — réservé au seul apport à mémoriser. La couleur dit d’où vient la règle, le gras dit ce qu’il faut réciter.</w:t>
      </w:r>
    </w:p>
    <w:p w14:paraId="0B7E830F" w14:textId="77777777" w:rsidR="00E6057C" w:rsidRDefault="00000000">
      <w:pPr>
        <w:pStyle w:val="Paragraphedeliste"/>
        <w:numPr>
          <w:ilvl w:val="0"/>
          <w:numId w:val="2"/>
        </w:numPr>
        <w:spacing w:after="300"/>
      </w:pPr>
      <w:r>
        <w:rPr>
          <w:rFonts w:ascii="Calibri" w:eastAsia="Calibri" w:hAnsi="Calibri" w:cs="Calibri"/>
          <w:color w:val="1A1A1A"/>
        </w:rPr>
        <w:t>★ — référence incontournable, à citer de mémoire le jour J.</w:t>
      </w:r>
    </w:p>
    <w:p w14:paraId="0F76970A" w14:textId="77777777" w:rsidR="00E6057C" w:rsidRDefault="00000000">
      <w:pPr>
        <w:spacing w:before="200" w:after="120"/>
      </w:pPr>
      <w:r>
        <w:rPr>
          <w:rFonts w:ascii="Calibri" w:eastAsia="Calibri" w:hAnsi="Calibri" w:cs="Calibri"/>
          <w:b/>
          <w:bCs/>
          <w:color w:val="1A1A1A"/>
          <w:sz w:val="22"/>
          <w:szCs w:val="22"/>
        </w:rPr>
        <w:t>SOMMAIRE</w:t>
      </w:r>
    </w:p>
    <w:p w14:paraId="538D2423" w14:textId="77777777" w:rsidR="00E6057C" w:rsidRDefault="00000000">
      <w:pPr>
        <w:pStyle w:val="Paragraphedeliste"/>
        <w:numPr>
          <w:ilvl w:val="0"/>
          <w:numId w:val="2"/>
        </w:numPr>
        <w:spacing w:after="40"/>
      </w:pPr>
      <w:r>
        <w:rPr>
          <w:rFonts w:ascii="Calibri" w:eastAsia="Calibri" w:hAnsi="Calibri" w:cs="Calibri"/>
          <w:color w:val="1A1A1A"/>
        </w:rPr>
        <w:t>Fiche n° 9 — Les sources constitutionnelles</w:t>
      </w:r>
    </w:p>
    <w:p w14:paraId="68B033D2" w14:textId="77777777" w:rsidR="00E6057C" w:rsidRDefault="00000000">
      <w:pPr>
        <w:pStyle w:val="Paragraphedeliste"/>
        <w:numPr>
          <w:ilvl w:val="0"/>
          <w:numId w:val="2"/>
        </w:numPr>
        <w:spacing w:after="40"/>
      </w:pPr>
      <w:r>
        <w:rPr>
          <w:rFonts w:ascii="Calibri" w:eastAsia="Calibri" w:hAnsi="Calibri" w:cs="Calibri"/>
          <w:color w:val="1A1A1A"/>
        </w:rPr>
        <w:t>Fiche n° 10 — Le bloc de légalité</w:t>
      </w:r>
    </w:p>
    <w:p w14:paraId="4AC0E8B6" w14:textId="77777777" w:rsidR="00E6057C" w:rsidRDefault="00000000">
      <w:pPr>
        <w:pStyle w:val="Paragraphedeliste"/>
        <w:numPr>
          <w:ilvl w:val="0"/>
          <w:numId w:val="2"/>
        </w:numPr>
        <w:spacing w:after="40"/>
      </w:pPr>
      <w:r>
        <w:rPr>
          <w:rFonts w:ascii="Calibri" w:eastAsia="Calibri" w:hAnsi="Calibri" w:cs="Calibri"/>
          <w:color w:val="1A1A1A"/>
        </w:rPr>
        <w:t>Fiche n° 11 — Le règlement et les libertés</w:t>
      </w:r>
    </w:p>
    <w:p w14:paraId="65AC7DC2" w14:textId="77777777" w:rsidR="00E6057C" w:rsidRDefault="00000000">
      <w:pPr>
        <w:pStyle w:val="Paragraphedeliste"/>
        <w:numPr>
          <w:ilvl w:val="0"/>
          <w:numId w:val="2"/>
        </w:numPr>
        <w:spacing w:after="40"/>
      </w:pPr>
      <w:r>
        <w:rPr>
          <w:rFonts w:ascii="Calibri" w:eastAsia="Calibri" w:hAnsi="Calibri" w:cs="Calibri"/>
          <w:color w:val="1A1A1A"/>
        </w:rPr>
        <w:t>Annexe I — Chronologie transversale (parties I et II)</w:t>
      </w:r>
    </w:p>
    <w:p w14:paraId="25616E0B" w14:textId="77777777" w:rsidR="00E6057C" w:rsidRDefault="00000000">
      <w:pPr>
        <w:pStyle w:val="Paragraphedeliste"/>
        <w:numPr>
          <w:ilvl w:val="0"/>
          <w:numId w:val="2"/>
        </w:numPr>
        <w:spacing w:after="40"/>
      </w:pPr>
      <w:r>
        <w:rPr>
          <w:rFonts w:ascii="Calibri" w:eastAsia="Calibri" w:hAnsi="Calibri" w:cs="Calibri"/>
          <w:color w:val="1A1A1A"/>
        </w:rPr>
        <w:t>Annexe II — Index transversal (fiches 1 à 11)</w:t>
      </w:r>
    </w:p>
    <w:p w14:paraId="25C76B6C" w14:textId="77777777" w:rsidR="00E6057C" w:rsidRDefault="00000000">
      <w:pPr>
        <w:spacing w:before="300" w:after="80"/>
      </w:pPr>
      <w:r>
        <w:rPr>
          <w:rFonts w:ascii="Calibri" w:eastAsia="Calibri" w:hAnsi="Calibri" w:cs="Calibri"/>
          <w:i/>
          <w:iCs/>
          <w:color w:val="5A5A5A"/>
          <w:sz w:val="18"/>
          <w:szCs w:val="18"/>
        </w:rPr>
        <w:t>Chaque fiche s’ouvre sur une FICHE-MÉMOIRE d’une page — accroche, définition en trois lignes, cinq références incontournables, deux matrices de plan, trois pièges. C’est elle que l’on relit ; les pages suivantes forment le dossier de consultation.</w:t>
      </w:r>
    </w:p>
    <w:p w14:paraId="6E70D663" w14:textId="77777777" w:rsidR="00E6057C" w:rsidRDefault="00000000">
      <w:r>
        <w:rPr>
          <w:rFonts w:ascii="Calibri" w:eastAsia="Calibri" w:hAnsi="Calibri" w:cs="Calibri"/>
          <w:i/>
          <w:iCs/>
          <w:color w:val="5A5A5A"/>
          <w:sz w:val="18"/>
          <w:szCs w:val="18"/>
        </w:rPr>
        <w:t>Dossier : architecture textuelle — ligne prétorienne et évolutions — débats doctrinaux et critiques — dispositif « Grand Oral » (relances du jury, sujets d’exposé, angles morts formulés en question / réponse pour le rappel actif).</w:t>
      </w:r>
    </w:p>
    <w:p w14:paraId="79DD9118" w14:textId="77777777" w:rsidR="00E6057C" w:rsidRDefault="00000000">
      <w:r>
        <w:br w:type="page"/>
      </w:r>
    </w:p>
    <w:p w14:paraId="44142C98" w14:textId="77777777" w:rsidR="00E6057C"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9 — LES SOURCES CONSTITUTIONNELLES</w:t>
      </w:r>
    </w:p>
    <w:p w14:paraId="54FFAC31" w14:textId="77777777" w:rsidR="00E6057C" w:rsidRDefault="00000000">
      <w:pPr>
        <w:pStyle w:val="Titre2"/>
        <w:spacing w:before="280" w:after="120"/>
      </w:pPr>
      <w:r>
        <w:rPr>
          <w:rFonts w:ascii="Calibri" w:eastAsia="Calibri" w:hAnsi="Calibri" w:cs="Calibri"/>
          <w:b/>
          <w:bCs/>
          <w:color w:val="1A1A1A"/>
          <w:sz w:val="24"/>
          <w:szCs w:val="24"/>
        </w:rPr>
        <w:t>◆ FICHE-MÉMOIRE — à réviser en trois minutes</w:t>
      </w:r>
    </w:p>
    <w:p w14:paraId="6F7DBFFF" w14:textId="77777777" w:rsidR="00E6057C" w:rsidRDefault="00000000">
      <w:pPr>
        <w:pStyle w:val="Titre3"/>
        <w:spacing w:before="200" w:after="90"/>
      </w:pPr>
      <w:r>
        <w:rPr>
          <w:rFonts w:ascii="Calibri" w:eastAsia="Calibri" w:hAnsi="Calibri" w:cs="Calibri"/>
          <w:b/>
          <w:bCs/>
          <w:i/>
          <w:iCs/>
          <w:color w:val="5A5A5A"/>
          <w:sz w:val="21"/>
          <w:szCs w:val="21"/>
        </w:rPr>
        <w:t>Accroche</w:t>
      </w:r>
    </w:p>
    <w:p w14:paraId="463B7E91"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Le bloc de constitutionnalité n’a pas été décrété : il a été construit. » L’expression est forgée par </w:t>
      </w:r>
      <w:r>
        <w:rPr>
          <w:rFonts w:ascii="Calibri" w:eastAsia="Calibri" w:hAnsi="Calibri" w:cs="Calibri"/>
          <w:color w:val="2E7D32"/>
        </w:rPr>
        <w:t>Claude Emeri</w:t>
      </w:r>
      <w:r>
        <w:rPr>
          <w:rFonts w:ascii="Calibri" w:eastAsia="Calibri" w:hAnsi="Calibri" w:cs="Calibri"/>
          <w:color w:val="1A1A1A"/>
        </w:rPr>
        <w:t xml:space="preserve">, par opposition au bloc de légalité, et popularisée par </w:t>
      </w:r>
      <w:r>
        <w:rPr>
          <w:rFonts w:ascii="Calibri" w:eastAsia="Calibri" w:hAnsi="Calibri" w:cs="Calibri"/>
          <w:color w:val="2E7D32"/>
        </w:rPr>
        <w:t>Louis Favoreu</w:t>
      </w:r>
      <w:r>
        <w:rPr>
          <w:rFonts w:ascii="Calibri" w:eastAsia="Calibri" w:hAnsi="Calibri" w:cs="Calibri"/>
          <w:color w:val="1A1A1A"/>
        </w:rPr>
        <w:t xml:space="preserve"> ; elle désigne un ensemble de normes que le juge constitutionnel s’est lui-même donné pour normes de référence.</w:t>
      </w:r>
    </w:p>
    <w:p w14:paraId="73734DED" w14:textId="77777777" w:rsidR="00E6057C" w:rsidRDefault="00000000">
      <w:pPr>
        <w:pStyle w:val="Titre3"/>
        <w:spacing w:before="200" w:after="90"/>
      </w:pPr>
      <w:r>
        <w:rPr>
          <w:rFonts w:ascii="Calibri" w:eastAsia="Calibri" w:hAnsi="Calibri" w:cs="Calibri"/>
          <w:b/>
          <w:bCs/>
          <w:i/>
          <w:iCs/>
          <w:color w:val="5A5A5A"/>
          <w:sz w:val="21"/>
          <w:szCs w:val="21"/>
        </w:rPr>
        <w:t>Définition en trois lignes</w:t>
      </w:r>
    </w:p>
    <w:p w14:paraId="2981615A"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Le bloc de constitutionnalité est l’</w:t>
      </w:r>
      <w:r>
        <w:rPr>
          <w:rFonts w:ascii="Calibri" w:eastAsia="Calibri" w:hAnsi="Calibri" w:cs="Calibri"/>
          <w:b/>
          <w:bCs/>
          <w:color w:val="1A1A1A"/>
        </w:rPr>
        <w:t>ensemble des normes de valeur constitutionnelle servant de normes de référence au contrôle de constitutionnalité</w:t>
      </w:r>
      <w:r>
        <w:rPr>
          <w:rFonts w:ascii="Calibri" w:eastAsia="Calibri" w:hAnsi="Calibri" w:cs="Calibri"/>
          <w:color w:val="1A1A1A"/>
        </w:rPr>
        <w:t xml:space="preserve"> : Constitution de 1958 et son préambule, DDHC de 1789, Préambule de 1946 (PFRLR et PPNT), Charte de l’environnement de 2004, principes à valeur constitutionnelle. Les </w:t>
      </w:r>
      <w:r>
        <w:rPr>
          <w:rFonts w:ascii="Calibri" w:eastAsia="Calibri" w:hAnsi="Calibri" w:cs="Calibri"/>
          <w:b/>
          <w:bCs/>
          <w:color w:val="1A1A1A"/>
        </w:rPr>
        <w:t>objectifs</w:t>
      </w:r>
      <w:r>
        <w:rPr>
          <w:rFonts w:ascii="Calibri" w:eastAsia="Calibri" w:hAnsi="Calibri" w:cs="Calibri"/>
          <w:color w:val="1A1A1A"/>
        </w:rPr>
        <w:t xml:space="preserve"> de valeur constitutionnelle s’y rattachent sans être des droits invocables en QPC.</w:t>
      </w:r>
    </w:p>
    <w:p w14:paraId="638094E2" w14:textId="77777777" w:rsidR="00E6057C" w:rsidRDefault="00000000">
      <w:pPr>
        <w:pStyle w:val="Titre3"/>
        <w:spacing w:before="200" w:after="90"/>
      </w:pPr>
      <w:r>
        <w:rPr>
          <w:rFonts w:ascii="Calibri" w:eastAsia="Calibri" w:hAnsi="Calibri" w:cs="Calibri"/>
          <w:b/>
          <w:bCs/>
          <w:i/>
          <w:iCs/>
          <w:color w:val="5A5A5A"/>
          <w:sz w:val="21"/>
          <w:szCs w:val="21"/>
        </w:rPr>
        <w:t>Les cinq références incontournables</w:t>
      </w:r>
    </w:p>
    <w:p w14:paraId="56DC7E1D"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71-44 DC, 16 juillet 1971, Liberté d’association</w:t>
      </w:r>
      <w:r>
        <w:rPr>
          <w:rFonts w:ascii="Calibri" w:eastAsia="Calibri" w:hAnsi="Calibri" w:cs="Calibri"/>
          <w:color w:val="1A1A1A"/>
        </w:rPr>
        <w:t xml:space="preserve"> : </w:t>
      </w:r>
      <w:r>
        <w:rPr>
          <w:rFonts w:ascii="Calibri" w:eastAsia="Calibri" w:hAnsi="Calibri" w:cs="Calibri"/>
          <w:b/>
          <w:bCs/>
          <w:color w:val="1A1A1A"/>
        </w:rPr>
        <w:t>naissance du bloc</w:t>
      </w:r>
      <w:r>
        <w:rPr>
          <w:rFonts w:ascii="Calibri" w:eastAsia="Calibri" w:hAnsi="Calibri" w:cs="Calibri"/>
          <w:color w:val="1A1A1A"/>
        </w:rPr>
        <w:t xml:space="preserve"> ; valeur constitutionnelle du Préambule ; premier PFRLR ; première censure d’une loi pour atteinte à une liberté.</w:t>
      </w:r>
    </w:p>
    <w:p w14:paraId="63DEFA78"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73-51 DC, 27 décembre 1973, Taxation d’office</w:t>
      </w:r>
      <w:r>
        <w:rPr>
          <w:rFonts w:ascii="Calibri" w:eastAsia="Calibri" w:hAnsi="Calibri" w:cs="Calibri"/>
          <w:color w:val="1A1A1A"/>
        </w:rPr>
        <w:t xml:space="preserve"> : </w:t>
      </w:r>
      <w:r>
        <w:rPr>
          <w:rFonts w:ascii="Calibri" w:eastAsia="Calibri" w:hAnsi="Calibri" w:cs="Calibri"/>
          <w:b/>
          <w:bCs/>
          <w:color w:val="1A1A1A"/>
        </w:rPr>
        <w:t>la DDHC devient norme de contrôle</w:t>
      </w:r>
      <w:r>
        <w:rPr>
          <w:rFonts w:ascii="Calibri" w:eastAsia="Calibri" w:hAnsi="Calibri" w:cs="Calibri"/>
          <w:color w:val="1A1A1A"/>
        </w:rPr>
        <w:t xml:space="preserve"> ; tous les moyens tirés de la violation d’un article de la Déclaration sont recevables.</w:t>
      </w:r>
    </w:p>
    <w:p w14:paraId="7C3BC8EC"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94-343/344 DC, 27 juillet 1994, Bioéthique</w:t>
      </w:r>
      <w:r>
        <w:rPr>
          <w:rFonts w:ascii="Calibri" w:eastAsia="Calibri" w:hAnsi="Calibri" w:cs="Calibri"/>
          <w:color w:val="1A1A1A"/>
        </w:rPr>
        <w:t xml:space="preserve"> : </w:t>
      </w:r>
      <w:r>
        <w:rPr>
          <w:rFonts w:ascii="Calibri" w:eastAsia="Calibri" w:hAnsi="Calibri" w:cs="Calibri"/>
          <w:b/>
          <w:bCs/>
          <w:color w:val="1A1A1A"/>
        </w:rPr>
        <w:t>la dignité est un principe à valeur constitutionnelle</w:t>
      </w:r>
      <w:r>
        <w:rPr>
          <w:rFonts w:ascii="Calibri" w:eastAsia="Calibri" w:hAnsi="Calibri" w:cs="Calibri"/>
          <w:color w:val="1A1A1A"/>
        </w:rPr>
        <w:t>, dégagé du Préambule de 1946.</w:t>
      </w:r>
    </w:p>
    <w:p w14:paraId="1C980531"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82-141 DC, 27 juillet 1982, Communication audiovisuelle</w:t>
      </w:r>
      <w:r>
        <w:rPr>
          <w:rFonts w:ascii="Calibri" w:eastAsia="Calibri" w:hAnsi="Calibri" w:cs="Calibri"/>
          <w:color w:val="1A1A1A"/>
        </w:rPr>
        <w:t xml:space="preserve"> : </w:t>
      </w:r>
      <w:r>
        <w:rPr>
          <w:rFonts w:ascii="Calibri" w:eastAsia="Calibri" w:hAnsi="Calibri" w:cs="Calibri"/>
          <w:b/>
          <w:bCs/>
          <w:color w:val="1A1A1A"/>
        </w:rPr>
        <w:t>première consécration des OVC</w:t>
      </w:r>
      <w:r>
        <w:rPr>
          <w:rFonts w:ascii="Calibri" w:eastAsia="Calibri" w:hAnsi="Calibri" w:cs="Calibri"/>
          <w:color w:val="1A1A1A"/>
        </w:rPr>
        <w:t xml:space="preserve"> (sauvegarde de l’ordre public, respect de la liberté d’autrui, pluralisme).</w:t>
      </w:r>
    </w:p>
    <w:p w14:paraId="0F0BDB3B"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2012-283 QPC, M. Antoine de M.</w:t>
      </w:r>
      <w:r>
        <w:rPr>
          <w:rFonts w:ascii="Calibri" w:eastAsia="Calibri" w:hAnsi="Calibri" w:cs="Calibri"/>
          <w:color w:val="1A1A1A"/>
        </w:rPr>
        <w:t xml:space="preserve"> : </w:t>
      </w:r>
      <w:r>
        <w:rPr>
          <w:rFonts w:ascii="Calibri" w:eastAsia="Calibri" w:hAnsi="Calibri" w:cs="Calibri"/>
          <w:b/>
          <w:bCs/>
          <w:color w:val="1A1A1A"/>
        </w:rPr>
        <w:t>l’article 6 de la Charte de l’environnement n’institue pas un droit ou une liberté que la Constitution garantit</w:t>
      </w:r>
      <w:r>
        <w:rPr>
          <w:rFonts w:ascii="Calibri" w:eastAsia="Calibri" w:hAnsi="Calibri" w:cs="Calibri"/>
          <w:color w:val="1A1A1A"/>
        </w:rPr>
        <w:t xml:space="preserve"> — seule exception à la justiciabilité de la Charte en QPC.</w:t>
      </w:r>
    </w:p>
    <w:p w14:paraId="54E62346" w14:textId="77777777" w:rsidR="00E6057C" w:rsidRDefault="00000000">
      <w:pPr>
        <w:pStyle w:val="Titre3"/>
        <w:spacing w:before="200" w:after="90"/>
      </w:pPr>
      <w:r>
        <w:rPr>
          <w:rFonts w:ascii="Calibri" w:eastAsia="Calibri" w:hAnsi="Calibri" w:cs="Calibri"/>
          <w:b/>
          <w:bCs/>
          <w:i/>
          <w:iCs/>
          <w:color w:val="5A5A5A"/>
          <w:sz w:val="21"/>
          <w:szCs w:val="21"/>
        </w:rPr>
        <w:t>Deux matrices de plan</w:t>
      </w:r>
    </w:p>
    <w:p w14:paraId="1BE42127"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Sujet « Le bloc de constitutionnalité »</w:t>
      </w:r>
      <w:r>
        <w:rPr>
          <w:rFonts w:ascii="Calibri" w:eastAsia="Calibri" w:hAnsi="Calibri" w:cs="Calibri"/>
          <w:color w:val="1A1A1A"/>
        </w:rPr>
        <w:t xml:space="preserve"> — </w:t>
      </w:r>
      <w:r>
        <w:rPr>
          <w:rFonts w:ascii="Calibri" w:eastAsia="Calibri" w:hAnsi="Calibri" w:cs="Calibri"/>
          <w:b/>
          <w:bCs/>
          <w:color w:val="1A1A1A"/>
        </w:rPr>
        <w:t>I. Une construction prétorienne</w:t>
      </w:r>
      <w:r>
        <w:rPr>
          <w:rFonts w:ascii="Calibri" w:eastAsia="Calibri" w:hAnsi="Calibri" w:cs="Calibri"/>
          <w:color w:val="1A1A1A"/>
        </w:rPr>
        <w:t xml:space="preserve"> (A. Le silence des textes et le débat sur la valeur de la Déclaration de 1789 ; B. 1971 : le juge se donne ses propres normes de référence) / </w:t>
      </w:r>
      <w:r>
        <w:rPr>
          <w:rFonts w:ascii="Calibri" w:eastAsia="Calibri" w:hAnsi="Calibri" w:cs="Calibri"/>
          <w:b/>
          <w:bCs/>
          <w:color w:val="1A1A1A"/>
        </w:rPr>
        <w:t>II. Un ensemble hétérogène et inégalement justiciable</w:t>
      </w:r>
      <w:r>
        <w:rPr>
          <w:rFonts w:ascii="Calibri" w:eastAsia="Calibri" w:hAnsi="Calibri" w:cs="Calibri"/>
          <w:color w:val="1A1A1A"/>
        </w:rPr>
        <w:t xml:space="preserve"> (A. La diversité des composantes : DDHC, PFRLR, PPNT, Charte, PVC ; B. Les normes de moindre intensité : les OVC, orientations non invocables en QPC, et l’article 6 de la Charte).</w:t>
      </w:r>
    </w:p>
    <w:p w14:paraId="19D89E27"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Sujet « Le Conseil constitutionnel, juge des libertés »</w:t>
      </w:r>
      <w:r>
        <w:rPr>
          <w:rFonts w:ascii="Calibri" w:eastAsia="Calibri" w:hAnsi="Calibri" w:cs="Calibri"/>
          <w:color w:val="1A1A1A"/>
        </w:rPr>
        <w:t xml:space="preserve"> — </w:t>
      </w:r>
      <w:r>
        <w:rPr>
          <w:rFonts w:ascii="Calibri" w:eastAsia="Calibri" w:hAnsi="Calibri" w:cs="Calibri"/>
          <w:b/>
          <w:bCs/>
          <w:color w:val="1A1A1A"/>
        </w:rPr>
        <w:t>I. La conquête</w:t>
      </w:r>
      <w:r>
        <w:rPr>
          <w:rFonts w:ascii="Calibri" w:eastAsia="Calibri" w:hAnsi="Calibri" w:cs="Calibri"/>
          <w:color w:val="1A1A1A"/>
        </w:rPr>
        <w:t xml:space="preserve"> (A. 1971, 1974, 2008 : normes de référence, saisine, justiciable ; B. Un pouvoir créateur assumé : PFRLR et PVC) / </w:t>
      </w:r>
      <w:r>
        <w:rPr>
          <w:rFonts w:ascii="Calibri" w:eastAsia="Calibri" w:hAnsi="Calibri" w:cs="Calibri"/>
          <w:b/>
          <w:bCs/>
          <w:color w:val="1A1A1A"/>
        </w:rPr>
        <w:t>II. Les bornes</w:t>
      </w:r>
      <w:r>
        <w:rPr>
          <w:rFonts w:ascii="Calibri" w:eastAsia="Calibri" w:hAnsi="Calibri" w:cs="Calibri"/>
          <w:color w:val="1A1A1A"/>
        </w:rPr>
        <w:t xml:space="preserve"> (A. L’autolimitation : refus du contrôle de conventionnalité (</w:t>
      </w:r>
      <w:r>
        <w:rPr>
          <w:rFonts w:ascii="Calibri" w:eastAsia="Calibri" w:hAnsi="Calibri" w:cs="Calibri"/>
          <w:color w:val="E91E63"/>
        </w:rPr>
        <w:t>74-54 DC</w:t>
      </w:r>
      <w:r>
        <w:rPr>
          <w:rFonts w:ascii="Calibri" w:eastAsia="Calibri" w:hAnsi="Calibri" w:cs="Calibri"/>
          <w:color w:val="1A1A1A"/>
        </w:rPr>
        <w:t>) et retrait sur les questions sociétales (</w:t>
      </w:r>
      <w:r>
        <w:rPr>
          <w:rFonts w:ascii="Calibri" w:eastAsia="Calibri" w:hAnsi="Calibri" w:cs="Calibri"/>
          <w:color w:val="E91E63"/>
        </w:rPr>
        <w:t>2013-669 DC</w:t>
      </w:r>
      <w:r>
        <w:rPr>
          <w:rFonts w:ascii="Calibri" w:eastAsia="Calibri" w:hAnsi="Calibri" w:cs="Calibri"/>
          <w:color w:val="1A1A1A"/>
        </w:rPr>
        <w:t>) ; B. La critique des critères : PFRLR aux conditions vagues, OVC sans portée normative).</w:t>
      </w:r>
    </w:p>
    <w:p w14:paraId="2637EE80" w14:textId="77777777" w:rsidR="00E6057C" w:rsidRDefault="00000000">
      <w:pPr>
        <w:pStyle w:val="Titre3"/>
        <w:spacing w:before="200" w:after="90"/>
      </w:pPr>
      <w:r>
        <w:rPr>
          <w:rFonts w:ascii="Calibri" w:eastAsia="Calibri" w:hAnsi="Calibri" w:cs="Calibri"/>
          <w:b/>
          <w:bCs/>
          <w:i/>
          <w:iCs/>
          <w:color w:val="5A5A5A"/>
          <w:sz w:val="21"/>
          <w:szCs w:val="21"/>
        </w:rPr>
        <w:t>Trois pièges</w:t>
      </w:r>
    </w:p>
    <w:p w14:paraId="4AC55E0B"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PVC ≠ OVC</w:t>
      </w:r>
      <w:r>
        <w:rPr>
          <w:rFonts w:ascii="Calibri" w:eastAsia="Calibri" w:hAnsi="Calibri" w:cs="Calibri"/>
          <w:color w:val="1A1A1A"/>
        </w:rPr>
        <w:t xml:space="preserve"> : les objectifs de valeur constitutionnelle ne constituent pas en eux-mêmes des droits et libertés au sens de l’</w:t>
      </w:r>
      <w:r>
        <w:rPr>
          <w:rFonts w:ascii="Calibri" w:eastAsia="Calibri" w:hAnsi="Calibri" w:cs="Calibri"/>
          <w:color w:val="1E88E5"/>
        </w:rPr>
        <w:t>art. 61-1 C.</w:t>
      </w:r>
      <w:r>
        <w:rPr>
          <w:rFonts w:ascii="Calibri" w:eastAsia="Calibri" w:hAnsi="Calibri" w:cs="Calibri"/>
          <w:color w:val="1A1A1A"/>
        </w:rPr>
        <w:t xml:space="preserve"> et ne peuvent donc pas, seuls, fonder une QPC.</w:t>
      </w:r>
    </w:p>
    <w:p w14:paraId="10B5B905"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PFRLR</w:t>
      </w:r>
      <w:r>
        <w:rPr>
          <w:rFonts w:ascii="Calibri" w:eastAsia="Calibri" w:hAnsi="Calibri" w:cs="Calibri"/>
          <w:color w:val="1A1A1A"/>
        </w:rPr>
        <w:t xml:space="preserve"> : trois critères </w:t>
      </w:r>
      <w:r>
        <w:rPr>
          <w:rFonts w:ascii="Calibri" w:eastAsia="Calibri" w:hAnsi="Calibri" w:cs="Calibri"/>
          <w:b/>
          <w:bCs/>
          <w:color w:val="1A1A1A"/>
        </w:rPr>
        <w:t>cumulatifs</w:t>
      </w:r>
      <w:r>
        <w:rPr>
          <w:rFonts w:ascii="Calibri" w:eastAsia="Calibri" w:hAnsi="Calibri" w:cs="Calibri"/>
          <w:color w:val="1A1A1A"/>
        </w:rPr>
        <w:t xml:space="preserve">, dont une base textuelle dans une loi républicaine </w:t>
      </w:r>
      <w:r>
        <w:rPr>
          <w:rFonts w:ascii="Calibri" w:eastAsia="Calibri" w:hAnsi="Calibri" w:cs="Calibri"/>
          <w:b/>
          <w:bCs/>
          <w:color w:val="1A1A1A"/>
        </w:rPr>
        <w:t>antérieure à 1946</w:t>
      </w:r>
      <w:r>
        <w:rPr>
          <w:rFonts w:ascii="Calibri" w:eastAsia="Calibri" w:hAnsi="Calibri" w:cs="Calibri"/>
          <w:color w:val="1A1A1A"/>
        </w:rPr>
        <w:t xml:space="preserve"> — et non à 1958.</w:t>
      </w:r>
    </w:p>
    <w:p w14:paraId="2687B34F"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Charte de l’environnement</w:t>
      </w:r>
      <w:r>
        <w:rPr>
          <w:rFonts w:ascii="Calibri" w:eastAsia="Calibri" w:hAnsi="Calibri" w:cs="Calibri"/>
          <w:color w:val="1A1A1A"/>
        </w:rPr>
        <w:t xml:space="preserve"> : valeur constitutionnelle de l’ensemble, </w:t>
      </w:r>
      <w:r>
        <w:rPr>
          <w:rFonts w:ascii="Calibri" w:eastAsia="Calibri" w:hAnsi="Calibri" w:cs="Calibri"/>
          <w:b/>
          <w:bCs/>
          <w:color w:val="1A1A1A"/>
        </w:rPr>
        <w:t>sauf l’article 6</w:t>
      </w:r>
      <w:r>
        <w:rPr>
          <w:rFonts w:ascii="Calibri" w:eastAsia="Calibri" w:hAnsi="Calibri" w:cs="Calibri"/>
          <w:color w:val="1A1A1A"/>
        </w:rPr>
        <w:t>, exclu du champ de la QPC.</w:t>
      </w:r>
    </w:p>
    <w:p w14:paraId="3EF6A3E8" w14:textId="77777777" w:rsidR="00E6057C" w:rsidRDefault="00000000">
      <w:r>
        <w:br w:type="page"/>
      </w:r>
    </w:p>
    <w:p w14:paraId="16FADCB1" w14:textId="77777777" w:rsidR="00E6057C" w:rsidRDefault="00000000">
      <w:pPr>
        <w:pStyle w:val="Titre2"/>
        <w:spacing w:before="280" w:after="120"/>
      </w:pPr>
      <w:r>
        <w:rPr>
          <w:rFonts w:ascii="Calibri" w:eastAsia="Calibri" w:hAnsi="Calibri" w:cs="Calibri"/>
          <w:b/>
          <w:bCs/>
          <w:color w:val="1A1A1A"/>
          <w:sz w:val="24"/>
          <w:szCs w:val="24"/>
        </w:rPr>
        <w:lastRenderedPageBreak/>
        <w:t>1. Architecture textuelle</w:t>
      </w:r>
    </w:p>
    <w:p w14:paraId="30F12ADF" w14:textId="77777777" w:rsidR="00E6057C" w:rsidRDefault="00000000">
      <w:pPr>
        <w:pStyle w:val="Titre3"/>
        <w:spacing w:before="200" w:after="90"/>
      </w:pPr>
      <w:r>
        <w:rPr>
          <w:rFonts w:ascii="Calibri" w:eastAsia="Calibri" w:hAnsi="Calibri" w:cs="Calibri"/>
          <w:b/>
          <w:bCs/>
          <w:i/>
          <w:iCs/>
          <w:color w:val="5A5A5A"/>
          <w:sz w:val="21"/>
          <w:szCs w:val="21"/>
        </w:rPr>
        <w:t>1.1. Le socle du renvoi</w:t>
      </w:r>
    </w:p>
    <w:p w14:paraId="2F068C2C" w14:textId="77777777" w:rsidR="00E6057C" w:rsidRDefault="00000000">
      <w:pPr>
        <w:pStyle w:val="Paragraphedeliste"/>
        <w:numPr>
          <w:ilvl w:val="0"/>
          <w:numId w:val="2"/>
        </w:numPr>
        <w:spacing w:after="70" w:line="264" w:lineRule="auto"/>
        <w:jc w:val="both"/>
      </w:pPr>
      <w:r>
        <w:rPr>
          <w:rFonts w:ascii="Calibri" w:eastAsia="Calibri" w:hAnsi="Calibri" w:cs="Calibri"/>
          <w:color w:val="1E88E5"/>
        </w:rPr>
        <w:t>Préambule de la Constitution du 4 octobre 1958</w:t>
      </w:r>
      <w:r>
        <w:rPr>
          <w:rFonts w:ascii="Calibri" w:eastAsia="Calibri" w:hAnsi="Calibri" w:cs="Calibri"/>
          <w:color w:val="1A1A1A"/>
        </w:rPr>
        <w:t xml:space="preserve"> : « Le peuple français proclame solennellement son attachement aux Droits de l’homme et aux principes de la souveraineté nationale tels qu’ils ont été définis par la Déclaration de 1789, confirmée et complétée par le préambule de la Constitution de 1946, ainsi qu’aux droits et devoirs définis dans la Charte de l’environnement de 2004. » C’est ce renvoi, et lui seul, qui rend possible toute la construction.</w:t>
      </w:r>
    </w:p>
    <w:p w14:paraId="293C41B0" w14:textId="77777777" w:rsidR="00E6057C" w:rsidRDefault="00000000">
      <w:pPr>
        <w:pStyle w:val="Titre3"/>
        <w:spacing w:before="200" w:after="90"/>
      </w:pPr>
      <w:r>
        <w:rPr>
          <w:rFonts w:ascii="Calibri" w:eastAsia="Calibri" w:hAnsi="Calibri" w:cs="Calibri"/>
          <w:b/>
          <w:bCs/>
          <w:i/>
          <w:iCs/>
          <w:color w:val="5A5A5A"/>
          <w:sz w:val="21"/>
          <w:szCs w:val="21"/>
        </w:rPr>
        <w:t>1.2. Le corps de la Constitution de 1958</w:t>
      </w:r>
    </w:p>
    <w:p w14:paraId="07B0BE47"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Le corps du texte contient </w:t>
      </w:r>
      <w:r>
        <w:rPr>
          <w:rFonts w:ascii="Calibri" w:eastAsia="Calibri" w:hAnsi="Calibri" w:cs="Calibri"/>
          <w:b/>
          <w:bCs/>
          <w:color w:val="1A1A1A"/>
        </w:rPr>
        <w:t>peu de droits et libertés</w:t>
      </w:r>
      <w:r>
        <w:rPr>
          <w:rFonts w:ascii="Calibri" w:eastAsia="Calibri" w:hAnsi="Calibri" w:cs="Calibri"/>
          <w:color w:val="1A1A1A"/>
        </w:rPr>
        <w:t xml:space="preserve">. Articles pertinents : </w:t>
      </w:r>
      <w:r>
        <w:rPr>
          <w:rFonts w:ascii="Calibri" w:eastAsia="Calibri" w:hAnsi="Calibri" w:cs="Calibri"/>
          <w:color w:val="1E88E5"/>
        </w:rPr>
        <w:t>art. 1er</w:t>
      </w:r>
      <w:r>
        <w:rPr>
          <w:rFonts w:ascii="Calibri" w:eastAsia="Calibri" w:hAnsi="Calibri" w:cs="Calibri"/>
          <w:color w:val="1A1A1A"/>
        </w:rPr>
        <w:t xml:space="preserve"> (égalité devant la loi sans distinction d’origine, de race ou de religion ; égalité femmes-hommes dans les fonctions électives, professionnelles et sociales) ; </w:t>
      </w:r>
      <w:r>
        <w:rPr>
          <w:rFonts w:ascii="Calibri" w:eastAsia="Calibri" w:hAnsi="Calibri" w:cs="Calibri"/>
          <w:color w:val="1E88E5"/>
        </w:rPr>
        <w:t>art. 2</w:t>
      </w:r>
      <w:r>
        <w:rPr>
          <w:rFonts w:ascii="Calibri" w:eastAsia="Calibri" w:hAnsi="Calibri" w:cs="Calibri"/>
          <w:color w:val="1A1A1A"/>
        </w:rPr>
        <w:t xml:space="preserve"> (forme démocratique du régime, devise) ; </w:t>
      </w:r>
      <w:r>
        <w:rPr>
          <w:rFonts w:ascii="Calibri" w:eastAsia="Calibri" w:hAnsi="Calibri" w:cs="Calibri"/>
          <w:color w:val="1E88E5"/>
        </w:rPr>
        <w:t>art. 3</w:t>
      </w:r>
      <w:r>
        <w:rPr>
          <w:rFonts w:ascii="Calibri" w:eastAsia="Calibri" w:hAnsi="Calibri" w:cs="Calibri"/>
          <w:color w:val="1A1A1A"/>
        </w:rPr>
        <w:t xml:space="preserve"> (suffrage universel, égal et secret) ; </w:t>
      </w:r>
      <w:r>
        <w:rPr>
          <w:rFonts w:ascii="Calibri" w:eastAsia="Calibri" w:hAnsi="Calibri" w:cs="Calibri"/>
          <w:color w:val="1E88E5"/>
        </w:rPr>
        <w:t>art. 4</w:t>
      </w:r>
      <w:r>
        <w:rPr>
          <w:rFonts w:ascii="Calibri" w:eastAsia="Calibri" w:hAnsi="Calibri" w:cs="Calibri"/>
          <w:color w:val="1A1A1A"/>
        </w:rPr>
        <w:t xml:space="preserve"> (pluralisme et liberté des partis politiques) ; </w:t>
      </w:r>
      <w:r>
        <w:rPr>
          <w:rFonts w:ascii="Calibri" w:eastAsia="Calibri" w:hAnsi="Calibri" w:cs="Calibri"/>
          <w:color w:val="1E88E5"/>
        </w:rPr>
        <w:t>art. 16</w:t>
      </w:r>
      <w:r>
        <w:rPr>
          <w:rFonts w:ascii="Calibri" w:eastAsia="Calibri" w:hAnsi="Calibri" w:cs="Calibri"/>
          <w:color w:val="1A1A1A"/>
        </w:rPr>
        <w:t xml:space="preserve"> (circonstances exceptionnelles) ; </w:t>
      </w:r>
      <w:r>
        <w:rPr>
          <w:rFonts w:ascii="Calibri" w:eastAsia="Calibri" w:hAnsi="Calibri" w:cs="Calibri"/>
          <w:color w:val="1E88E5"/>
        </w:rPr>
        <w:t>art. 34</w:t>
      </w:r>
      <w:r>
        <w:rPr>
          <w:rFonts w:ascii="Calibri" w:eastAsia="Calibri" w:hAnsi="Calibri" w:cs="Calibri"/>
          <w:color w:val="1A1A1A"/>
        </w:rPr>
        <w:t xml:space="preserve"> (domaine de la loi) ; </w:t>
      </w:r>
      <w:r>
        <w:rPr>
          <w:rFonts w:ascii="Calibri" w:eastAsia="Calibri" w:hAnsi="Calibri" w:cs="Calibri"/>
          <w:color w:val="1E88E5"/>
        </w:rPr>
        <w:t>art. 53-2</w:t>
      </w:r>
      <w:r>
        <w:rPr>
          <w:rFonts w:ascii="Calibri" w:eastAsia="Calibri" w:hAnsi="Calibri" w:cs="Calibri"/>
          <w:color w:val="1A1A1A"/>
        </w:rPr>
        <w:t xml:space="preserve"> (Cour pénale internationale) ; </w:t>
      </w:r>
      <w:r>
        <w:rPr>
          <w:rFonts w:ascii="Calibri" w:eastAsia="Calibri" w:hAnsi="Calibri" w:cs="Calibri"/>
          <w:color w:val="1E88E5"/>
        </w:rPr>
        <w:t>art. 61</w:t>
      </w:r>
      <w:r>
        <w:rPr>
          <w:rFonts w:ascii="Calibri" w:eastAsia="Calibri" w:hAnsi="Calibri" w:cs="Calibri"/>
          <w:color w:val="1A1A1A"/>
        </w:rPr>
        <w:t xml:space="preserve"> (contrôle </w:t>
      </w:r>
      <w:r>
        <w:rPr>
          <w:rFonts w:ascii="Calibri" w:eastAsia="Calibri" w:hAnsi="Calibri" w:cs="Calibri"/>
          <w:i/>
          <w:iCs/>
          <w:color w:val="1A1A1A"/>
        </w:rPr>
        <w:t>a priori</w:t>
      </w:r>
      <w:r>
        <w:rPr>
          <w:rFonts w:ascii="Calibri" w:eastAsia="Calibri" w:hAnsi="Calibri" w:cs="Calibri"/>
          <w:color w:val="1A1A1A"/>
        </w:rPr>
        <w:t xml:space="preserve">) ; </w:t>
      </w:r>
      <w:r>
        <w:rPr>
          <w:rFonts w:ascii="Calibri" w:eastAsia="Calibri" w:hAnsi="Calibri" w:cs="Calibri"/>
          <w:color w:val="1E88E5"/>
        </w:rPr>
        <w:t>art. 61-1</w:t>
      </w:r>
      <w:r>
        <w:rPr>
          <w:rFonts w:ascii="Calibri" w:eastAsia="Calibri" w:hAnsi="Calibri" w:cs="Calibri"/>
          <w:color w:val="1A1A1A"/>
        </w:rPr>
        <w:t xml:space="preserve"> (contrôle </w:t>
      </w:r>
      <w:r>
        <w:rPr>
          <w:rFonts w:ascii="Calibri" w:eastAsia="Calibri" w:hAnsi="Calibri" w:cs="Calibri"/>
          <w:i/>
          <w:iCs/>
          <w:color w:val="1A1A1A"/>
        </w:rPr>
        <w:t>a posteriori</w:t>
      </w:r>
      <w:r>
        <w:rPr>
          <w:rFonts w:ascii="Calibri" w:eastAsia="Calibri" w:hAnsi="Calibri" w:cs="Calibri"/>
          <w:color w:val="1A1A1A"/>
        </w:rPr>
        <w:t xml:space="preserve">) ; </w:t>
      </w:r>
      <w:r>
        <w:rPr>
          <w:rFonts w:ascii="Calibri" w:eastAsia="Calibri" w:hAnsi="Calibri" w:cs="Calibri"/>
          <w:color w:val="1E88E5"/>
        </w:rPr>
        <w:t>art. 64</w:t>
      </w:r>
      <w:r>
        <w:rPr>
          <w:rFonts w:ascii="Calibri" w:eastAsia="Calibri" w:hAnsi="Calibri" w:cs="Calibri"/>
          <w:color w:val="1A1A1A"/>
        </w:rPr>
        <w:t xml:space="preserve"> (indépendance des magistrats) ; </w:t>
      </w:r>
      <w:r>
        <w:rPr>
          <w:rFonts w:ascii="Calibri" w:eastAsia="Calibri" w:hAnsi="Calibri" w:cs="Calibri"/>
          <w:color w:val="1E88E5"/>
        </w:rPr>
        <w:t>art. 66</w:t>
      </w:r>
      <w:r>
        <w:rPr>
          <w:rFonts w:ascii="Calibri" w:eastAsia="Calibri" w:hAnsi="Calibri" w:cs="Calibri"/>
          <w:color w:val="1A1A1A"/>
        </w:rPr>
        <w:t xml:space="preserve"> (« Nul ne peut être arbitrairement détenu. L’autorité judiciaire, gardienne de la liberté individuelle, assure le respect de ce principe dans les conditions prévues par la loi ») ; </w:t>
      </w:r>
      <w:r>
        <w:rPr>
          <w:rFonts w:ascii="Calibri" w:eastAsia="Calibri" w:hAnsi="Calibri" w:cs="Calibri"/>
          <w:color w:val="1E88E5"/>
        </w:rPr>
        <w:t>art. 66-1</w:t>
      </w:r>
      <w:r>
        <w:rPr>
          <w:rFonts w:ascii="Calibri" w:eastAsia="Calibri" w:hAnsi="Calibri" w:cs="Calibri"/>
          <w:color w:val="1A1A1A"/>
        </w:rPr>
        <w:t xml:space="preserve"> (« Nul ne peut être condamné à la peine de mort »).</w:t>
      </w:r>
    </w:p>
    <w:p w14:paraId="22806C42" w14:textId="77777777" w:rsidR="00E6057C" w:rsidRDefault="00000000">
      <w:pPr>
        <w:pStyle w:val="Titre3"/>
        <w:spacing w:before="200" w:after="90"/>
      </w:pPr>
      <w:r>
        <w:rPr>
          <w:rFonts w:ascii="Calibri" w:eastAsia="Calibri" w:hAnsi="Calibri" w:cs="Calibri"/>
          <w:b/>
          <w:bCs/>
          <w:i/>
          <w:iCs/>
          <w:color w:val="5A5A5A"/>
          <w:sz w:val="21"/>
          <w:szCs w:val="21"/>
        </w:rPr>
        <w:t>1.3. Le Préambule de 1946 : PFRLR et PPNT</w:t>
      </w:r>
    </w:p>
    <w:p w14:paraId="33C5D7E0"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Les trois critères cumulatifs du PFRLR</w:t>
      </w:r>
      <w:r>
        <w:rPr>
          <w:rFonts w:ascii="Calibri" w:eastAsia="Calibri" w:hAnsi="Calibri" w:cs="Calibri"/>
          <w:color w:val="1A1A1A"/>
        </w:rPr>
        <w:t xml:space="preserve"> : (i) une </w:t>
      </w:r>
      <w:r>
        <w:rPr>
          <w:rFonts w:ascii="Calibri" w:eastAsia="Calibri" w:hAnsi="Calibri" w:cs="Calibri"/>
          <w:b/>
          <w:bCs/>
          <w:color w:val="1A1A1A"/>
        </w:rPr>
        <w:t>règle suffisamment importante</w:t>
      </w:r>
      <w:r>
        <w:rPr>
          <w:rFonts w:ascii="Calibri" w:eastAsia="Calibri" w:hAnsi="Calibri" w:cs="Calibri"/>
          <w:color w:val="1A1A1A"/>
        </w:rPr>
        <w:t xml:space="preserve">, d’un degré suffisant de généralité, intéressant des </w:t>
      </w:r>
      <w:r>
        <w:rPr>
          <w:rFonts w:ascii="Calibri" w:eastAsia="Calibri" w:hAnsi="Calibri" w:cs="Calibri"/>
          <w:b/>
          <w:bCs/>
          <w:color w:val="1A1A1A"/>
        </w:rPr>
        <w:t>domaines essentiels</w:t>
      </w:r>
      <w:r>
        <w:rPr>
          <w:rFonts w:ascii="Calibri" w:eastAsia="Calibri" w:hAnsi="Calibri" w:cs="Calibri"/>
          <w:color w:val="1A1A1A"/>
        </w:rPr>
        <w:t xml:space="preserve"> de la vie de la nation — libertés fondamentales, souveraineté nationale, organisation des pouvoirs publics (</w:t>
      </w:r>
      <w:r>
        <w:rPr>
          <w:rFonts w:ascii="Calibri" w:eastAsia="Calibri" w:hAnsi="Calibri" w:cs="Calibri"/>
          <w:color w:val="E91E63"/>
        </w:rPr>
        <w:t>Cons. const., déc. n° 98-407 DC, 14 janvier 1999</w:t>
      </w:r>
      <w:r>
        <w:rPr>
          <w:rFonts w:ascii="Calibri" w:eastAsia="Calibri" w:hAnsi="Calibri" w:cs="Calibri"/>
          <w:color w:val="1A1A1A"/>
        </w:rPr>
        <w:t xml:space="preserve">) ; (ii) une </w:t>
      </w:r>
      <w:r>
        <w:rPr>
          <w:rFonts w:ascii="Calibri" w:eastAsia="Calibri" w:hAnsi="Calibri" w:cs="Calibri"/>
          <w:b/>
          <w:bCs/>
          <w:color w:val="1A1A1A"/>
        </w:rPr>
        <w:t>base textuelle</w:t>
      </w:r>
      <w:r>
        <w:rPr>
          <w:rFonts w:ascii="Calibri" w:eastAsia="Calibri" w:hAnsi="Calibri" w:cs="Calibri"/>
          <w:color w:val="1A1A1A"/>
        </w:rPr>
        <w:t xml:space="preserve"> dans une ou plusieurs </w:t>
      </w:r>
      <w:r>
        <w:rPr>
          <w:rFonts w:ascii="Calibri" w:eastAsia="Calibri" w:hAnsi="Calibri" w:cs="Calibri"/>
          <w:b/>
          <w:bCs/>
          <w:color w:val="1A1A1A"/>
        </w:rPr>
        <w:t>lois républicaines antérieures à 1946</w:t>
      </w:r>
      <w:r>
        <w:rPr>
          <w:rFonts w:ascii="Calibri" w:eastAsia="Calibri" w:hAnsi="Calibri" w:cs="Calibri"/>
          <w:color w:val="1A1A1A"/>
        </w:rPr>
        <w:t xml:space="preserve"> (</w:t>
      </w:r>
      <w:r>
        <w:rPr>
          <w:rFonts w:ascii="Calibri" w:eastAsia="Calibri" w:hAnsi="Calibri" w:cs="Calibri"/>
          <w:color w:val="E91E63"/>
        </w:rPr>
        <w:t>Cons. const., déc. n° 86-224 DC, 23 janvier 1987</w:t>
      </w:r>
      <w:r>
        <w:rPr>
          <w:rFonts w:ascii="Calibri" w:eastAsia="Calibri" w:hAnsi="Calibri" w:cs="Calibri"/>
          <w:color w:val="1A1A1A"/>
        </w:rPr>
        <w:t xml:space="preserve">) ; (iii) une </w:t>
      </w:r>
      <w:r>
        <w:rPr>
          <w:rFonts w:ascii="Calibri" w:eastAsia="Calibri" w:hAnsi="Calibri" w:cs="Calibri"/>
          <w:b/>
          <w:bCs/>
          <w:color w:val="1A1A1A"/>
        </w:rPr>
        <w:t>application continue</w:t>
      </w:r>
      <w:r>
        <w:rPr>
          <w:rFonts w:ascii="Calibri" w:eastAsia="Calibri" w:hAnsi="Calibri" w:cs="Calibri"/>
          <w:color w:val="1A1A1A"/>
        </w:rPr>
        <w:t>, aucune dérogation par une loi antérieure à 1946 n’étant acceptée (</w:t>
      </w:r>
      <w:r>
        <w:rPr>
          <w:rFonts w:ascii="Calibri" w:eastAsia="Calibri" w:hAnsi="Calibri" w:cs="Calibri"/>
          <w:color w:val="E91E63"/>
        </w:rPr>
        <w:t>Cons. const., déc. n° 88-224 DC, 20 juillet 1988, Loi portant amnistie</w:t>
      </w:r>
      <w:r>
        <w:rPr>
          <w:rFonts w:ascii="Calibri" w:eastAsia="Calibri" w:hAnsi="Calibri" w:cs="Calibri"/>
          <w:color w:val="1A1A1A"/>
        </w:rPr>
        <w:t>).</w:t>
      </w:r>
    </w:p>
    <w:p w14:paraId="47F7732F"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Liste des PFRLR consacrés par le Conseil constitutionnel</w:t>
      </w:r>
      <w:r>
        <w:rPr>
          <w:rFonts w:ascii="Calibri" w:eastAsia="Calibri" w:hAnsi="Calibri" w:cs="Calibri"/>
          <w:color w:val="1A1A1A"/>
        </w:rPr>
        <w:t xml:space="preserve"> : liberté d’association (</w:t>
      </w:r>
      <w:r>
        <w:rPr>
          <w:rFonts w:ascii="Calibri" w:eastAsia="Calibri" w:hAnsi="Calibri" w:cs="Calibri"/>
          <w:color w:val="E91E63"/>
        </w:rPr>
        <w:t>71-44 DC, 16 juillet 1971</w:t>
      </w:r>
      <w:r>
        <w:rPr>
          <w:rFonts w:ascii="Calibri" w:eastAsia="Calibri" w:hAnsi="Calibri" w:cs="Calibri"/>
          <w:color w:val="1A1A1A"/>
        </w:rPr>
        <w:t>) ; respect des droits de la défense (</w:t>
      </w:r>
      <w:r>
        <w:rPr>
          <w:rFonts w:ascii="Calibri" w:eastAsia="Calibri" w:hAnsi="Calibri" w:cs="Calibri"/>
          <w:color w:val="E91E63"/>
        </w:rPr>
        <w:t>76-70 DC, 2 décembre 1976</w:t>
      </w:r>
      <w:r>
        <w:rPr>
          <w:rFonts w:ascii="Calibri" w:eastAsia="Calibri" w:hAnsi="Calibri" w:cs="Calibri"/>
          <w:color w:val="1A1A1A"/>
        </w:rPr>
        <w:t>) ; liberté individuelle (</w:t>
      </w:r>
      <w:r>
        <w:rPr>
          <w:rFonts w:ascii="Calibri" w:eastAsia="Calibri" w:hAnsi="Calibri" w:cs="Calibri"/>
          <w:color w:val="E91E63"/>
        </w:rPr>
        <w:t>76-75 DC, 12 janvier 1977</w:t>
      </w:r>
      <w:r>
        <w:rPr>
          <w:rFonts w:ascii="Calibri" w:eastAsia="Calibri" w:hAnsi="Calibri" w:cs="Calibri"/>
          <w:color w:val="1A1A1A"/>
        </w:rPr>
        <w:t>) ; liberté de conscience et liberté de l’enseignement (</w:t>
      </w:r>
      <w:r>
        <w:rPr>
          <w:rFonts w:ascii="Calibri" w:eastAsia="Calibri" w:hAnsi="Calibri" w:cs="Calibri"/>
          <w:color w:val="E91E63"/>
        </w:rPr>
        <w:t>77-87 DC, 23 novembre 1977</w:t>
      </w:r>
      <w:r>
        <w:rPr>
          <w:rFonts w:ascii="Calibri" w:eastAsia="Calibri" w:hAnsi="Calibri" w:cs="Calibri"/>
          <w:color w:val="1A1A1A"/>
        </w:rPr>
        <w:t>) ; indépendance de la juridiction administrative (</w:t>
      </w:r>
      <w:r>
        <w:rPr>
          <w:rFonts w:ascii="Calibri" w:eastAsia="Calibri" w:hAnsi="Calibri" w:cs="Calibri"/>
          <w:color w:val="E91E63"/>
        </w:rPr>
        <w:t>80-119 DC, 22 juillet 1980</w:t>
      </w:r>
      <w:r>
        <w:rPr>
          <w:rFonts w:ascii="Calibri" w:eastAsia="Calibri" w:hAnsi="Calibri" w:cs="Calibri"/>
          <w:color w:val="1A1A1A"/>
        </w:rPr>
        <w:t>) ; garantie de l’indépendance des professeurs d’université (</w:t>
      </w:r>
      <w:r>
        <w:rPr>
          <w:rFonts w:ascii="Calibri" w:eastAsia="Calibri" w:hAnsi="Calibri" w:cs="Calibri"/>
          <w:color w:val="E91E63"/>
        </w:rPr>
        <w:t>83-165 DC, 20 janvier 1984</w:t>
      </w:r>
      <w:r>
        <w:rPr>
          <w:rFonts w:ascii="Calibri" w:eastAsia="Calibri" w:hAnsi="Calibri" w:cs="Calibri"/>
          <w:color w:val="1A1A1A"/>
        </w:rPr>
        <w:t>) ; compétence exclusive de la juridiction administrative pour l’annulation des actes de la puissance publique (</w:t>
      </w:r>
      <w:r>
        <w:rPr>
          <w:rFonts w:ascii="Calibri" w:eastAsia="Calibri" w:hAnsi="Calibri" w:cs="Calibri"/>
          <w:color w:val="E91E63"/>
        </w:rPr>
        <w:t>86-224 DC, 23 janvier 1987</w:t>
      </w:r>
      <w:r>
        <w:rPr>
          <w:rFonts w:ascii="Calibri" w:eastAsia="Calibri" w:hAnsi="Calibri" w:cs="Calibri"/>
          <w:color w:val="1A1A1A"/>
        </w:rPr>
        <w:t>) ; compétence de l’autorité judiciaire en matière de protection de la propriété immobilière privée (</w:t>
      </w:r>
      <w:r>
        <w:rPr>
          <w:rFonts w:ascii="Calibri" w:eastAsia="Calibri" w:hAnsi="Calibri" w:cs="Calibri"/>
          <w:color w:val="E91E63"/>
        </w:rPr>
        <w:t>89-256 DC, 25 juillet 1989</w:t>
      </w:r>
      <w:r>
        <w:rPr>
          <w:rFonts w:ascii="Calibri" w:eastAsia="Calibri" w:hAnsi="Calibri" w:cs="Calibri"/>
          <w:color w:val="1A1A1A"/>
        </w:rPr>
        <w:t>) ; recherche du relèvement éducatif et moral des enfants délinquants par des mesures adaptées (</w:t>
      </w:r>
      <w:r>
        <w:rPr>
          <w:rFonts w:ascii="Calibri" w:eastAsia="Calibri" w:hAnsi="Calibri" w:cs="Calibri"/>
          <w:color w:val="E91E63"/>
        </w:rPr>
        <w:t>2002-461 DC, 29 août 2002</w:t>
      </w:r>
      <w:r>
        <w:rPr>
          <w:rFonts w:ascii="Calibri" w:eastAsia="Calibri" w:hAnsi="Calibri" w:cs="Calibri"/>
          <w:color w:val="1A1A1A"/>
        </w:rPr>
        <w:t>) ; maintien de la législation des départements d’Alsace et de Moselle tant qu’elle n’est pas remplacée (</w:t>
      </w:r>
      <w:r>
        <w:rPr>
          <w:rFonts w:ascii="Calibri" w:eastAsia="Calibri" w:hAnsi="Calibri" w:cs="Calibri"/>
          <w:color w:val="E91E63"/>
        </w:rPr>
        <w:t>2011-157 QPC, 5 août 2011, Société SOMODIA</w:t>
      </w:r>
      <w:r>
        <w:rPr>
          <w:rFonts w:ascii="Calibri" w:eastAsia="Calibri" w:hAnsi="Calibri" w:cs="Calibri"/>
          <w:color w:val="1A1A1A"/>
        </w:rPr>
        <w:t>).</w:t>
      </w:r>
    </w:p>
    <w:p w14:paraId="7B0A9E7F"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PFRLR reconnus par les juridictions ordinaires</w:t>
      </w:r>
      <w:r>
        <w:rPr>
          <w:rFonts w:ascii="Calibri" w:eastAsia="Calibri" w:hAnsi="Calibri" w:cs="Calibri"/>
          <w:color w:val="1A1A1A"/>
        </w:rPr>
        <w:t xml:space="preserve"> : refus d’extradition dans un but politique (</w:t>
      </w:r>
      <w:r>
        <w:rPr>
          <w:rFonts w:ascii="Calibri" w:eastAsia="Calibri" w:hAnsi="Calibri" w:cs="Calibri"/>
          <w:color w:val="E91E63"/>
        </w:rPr>
        <w:t>CE, 3 juillet 1996, Koné, n° 169219</w:t>
      </w:r>
      <w:r>
        <w:rPr>
          <w:rFonts w:ascii="Calibri" w:eastAsia="Calibri" w:hAnsi="Calibri" w:cs="Calibri"/>
          <w:color w:val="1A1A1A"/>
        </w:rPr>
        <w:t>) ; laïcité (</w:t>
      </w:r>
      <w:r>
        <w:rPr>
          <w:rFonts w:ascii="Calibri" w:eastAsia="Calibri" w:hAnsi="Calibri" w:cs="Calibri"/>
          <w:color w:val="E91E63"/>
        </w:rPr>
        <w:t>CE, 6 avril 2001, Syndicat national des enseignants du second degré, n° 219379</w:t>
      </w:r>
      <w:r>
        <w:rPr>
          <w:rFonts w:ascii="Calibri" w:eastAsia="Calibri" w:hAnsi="Calibri" w:cs="Calibri"/>
          <w:color w:val="1A1A1A"/>
        </w:rPr>
        <w:t>).</w:t>
      </w:r>
    </w:p>
    <w:p w14:paraId="616F78D4"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Actualité — le PFRLR de la justice pénale des mineurs reste une norme de contrôle pleinement applicable</w:t>
      </w:r>
      <w:r>
        <w:rPr>
          <w:rFonts w:ascii="Calibri" w:eastAsia="Calibri" w:hAnsi="Calibri" w:cs="Calibri"/>
          <w:color w:val="1A1A1A"/>
        </w:rPr>
        <w:t xml:space="preserve"> : </w:t>
      </w:r>
      <w:r>
        <w:rPr>
          <w:rFonts w:ascii="Calibri" w:eastAsia="Calibri" w:hAnsi="Calibri" w:cs="Calibri"/>
          <w:color w:val="E91E63"/>
        </w:rPr>
        <w:t>Cons. const., déc. n° 2025-1143 QPC, 27 juin 2025, M. Mohamed Z. [Durée de la détention provisoire d’un mineur après sa mise en accusation devant la cour d’assises]</w:t>
      </w:r>
      <w:r>
        <w:rPr>
          <w:rFonts w:ascii="Calibri" w:eastAsia="Calibri" w:hAnsi="Calibri" w:cs="Calibri"/>
          <w:color w:val="1A1A1A"/>
        </w:rPr>
        <w:t xml:space="preserve">. Saisi du régime permettant le maintien en détention provisoire d’un mineur d’au moins seize ans après sa mise en accusation, le Conseil rappelle que la détention d’un mineur doit rester </w:t>
      </w:r>
      <w:r>
        <w:rPr>
          <w:rFonts w:ascii="Calibri" w:eastAsia="Calibri" w:hAnsi="Calibri" w:cs="Calibri"/>
          <w:b/>
          <w:bCs/>
          <w:color w:val="1A1A1A"/>
        </w:rPr>
        <w:t>exceptionnelle et entourée de garanties particulières</w:t>
      </w:r>
      <w:r>
        <w:rPr>
          <w:rFonts w:ascii="Calibri" w:eastAsia="Calibri" w:hAnsi="Calibri" w:cs="Calibri"/>
          <w:color w:val="1A1A1A"/>
        </w:rPr>
        <w:t xml:space="preserve"> et </w:t>
      </w:r>
      <w:r>
        <w:rPr>
          <w:rFonts w:ascii="Calibri" w:eastAsia="Calibri" w:hAnsi="Calibri" w:cs="Calibri"/>
          <w:b/>
          <w:bCs/>
          <w:color w:val="1A1A1A"/>
        </w:rPr>
        <w:t>censure</w:t>
      </w:r>
      <w:r>
        <w:rPr>
          <w:rFonts w:ascii="Calibri" w:eastAsia="Calibri" w:hAnsi="Calibri" w:cs="Calibri"/>
          <w:color w:val="1A1A1A"/>
        </w:rPr>
        <w:t xml:space="preserve"> les dispositions permettant ce maintien selon des règles insuffisamment adaptées à la spécificité de la justice des mineurs. </w:t>
      </w:r>
      <w:r w:rsidRPr="00B13C21">
        <w:rPr>
          <w:rFonts w:ascii="Calibri" w:eastAsia="Calibri" w:hAnsi="Calibri" w:cs="Calibri"/>
          <w:b/>
          <w:bCs/>
          <w:color w:val="1A1A1A"/>
          <w:highlight w:val="yellow"/>
        </w:rPr>
        <w:t>À retenir</w:t>
      </w:r>
      <w:r>
        <w:rPr>
          <w:rFonts w:ascii="Calibri" w:eastAsia="Calibri" w:hAnsi="Calibri" w:cs="Calibri"/>
          <w:color w:val="1A1A1A"/>
        </w:rPr>
        <w:t xml:space="preserve"> : les PFRLR ne sont pas des principes archéologiques dégagés de lois anciennes — ils censurent encore des dispositifs législatifs contemporains.</w:t>
      </w:r>
    </w:p>
    <w:p w14:paraId="0C7B3F40"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Les principes particulièrement nécessaires à notre temps</w:t>
      </w:r>
      <w:r>
        <w:rPr>
          <w:rFonts w:ascii="Calibri" w:eastAsia="Calibri" w:hAnsi="Calibri" w:cs="Calibri"/>
          <w:color w:val="1A1A1A"/>
        </w:rPr>
        <w:t xml:space="preserve"> sont </w:t>
      </w:r>
      <w:r>
        <w:rPr>
          <w:rFonts w:ascii="Calibri" w:eastAsia="Calibri" w:hAnsi="Calibri" w:cs="Calibri"/>
          <w:b/>
          <w:bCs/>
          <w:color w:val="1A1A1A"/>
        </w:rPr>
        <w:t>limitativement énumérés</w:t>
      </w:r>
      <w:r>
        <w:rPr>
          <w:rFonts w:ascii="Calibri" w:eastAsia="Calibri" w:hAnsi="Calibri" w:cs="Calibri"/>
          <w:color w:val="1A1A1A"/>
        </w:rPr>
        <w:t xml:space="preserve"> par le Préambule de 1946, à la différence des PFRLR. Classement en deux catégories : droits de </w:t>
      </w:r>
      <w:r>
        <w:rPr>
          <w:rFonts w:ascii="Calibri" w:eastAsia="Calibri" w:hAnsi="Calibri" w:cs="Calibri"/>
          <w:b/>
          <w:bCs/>
          <w:color w:val="1A1A1A"/>
        </w:rPr>
        <w:t>première génération</w:t>
      </w:r>
      <w:r>
        <w:rPr>
          <w:rFonts w:ascii="Calibri" w:eastAsia="Calibri" w:hAnsi="Calibri" w:cs="Calibri"/>
          <w:color w:val="1A1A1A"/>
        </w:rPr>
        <w:t xml:space="preserve"> (abstention de l’État) et </w:t>
      </w:r>
      <w:r>
        <w:rPr>
          <w:rFonts w:ascii="Calibri" w:eastAsia="Calibri" w:hAnsi="Calibri" w:cs="Calibri"/>
          <w:b/>
          <w:bCs/>
          <w:color w:val="1A1A1A"/>
        </w:rPr>
        <w:t>droits-créances</w:t>
      </w:r>
      <w:r>
        <w:rPr>
          <w:rFonts w:ascii="Calibri" w:eastAsia="Calibri" w:hAnsi="Calibri" w:cs="Calibri"/>
          <w:color w:val="1A1A1A"/>
        </w:rPr>
        <w:t xml:space="preserve"> (intervention de l’État). Principaux PPNT : égalité entre les sexes ; droit d’asile pour tout homme « </w:t>
      </w:r>
      <w:r>
        <w:rPr>
          <w:rFonts w:ascii="Calibri" w:eastAsia="Calibri" w:hAnsi="Calibri" w:cs="Calibri"/>
          <w:i/>
          <w:iCs/>
          <w:color w:val="1A1A1A"/>
        </w:rPr>
        <w:t>persécuté en raison de son action en faveur de la liberté</w:t>
      </w:r>
      <w:r>
        <w:rPr>
          <w:rFonts w:ascii="Calibri" w:eastAsia="Calibri" w:hAnsi="Calibri" w:cs="Calibri"/>
          <w:color w:val="1A1A1A"/>
        </w:rPr>
        <w:t xml:space="preserve"> » ; droit au travail et à l’emploi ; non-discrimination dans le travail ; droit à l’action syndicale ; droit de grève ; participation à la détermination collective des conditions de travail ; expropriation pour cause d’utilité publique ; droit d’obtenir de la collectivité les moyens nécessaires au développement de l’individu et de la famille ; protection de la santé et solidarité envers ceux qui ne peuvent travailler ; solidarité devant les catastrophes naturelles ; droit à l’instruction, à la formation professionnelle et à la culture ; respect du droit international et abstention de l’usage agressif de la force ; égalité des droits et devoirs sans distinction de race ni de religion.</w:t>
      </w:r>
    </w:p>
    <w:p w14:paraId="6F3632BE" w14:textId="77777777" w:rsidR="00E6057C" w:rsidRDefault="00000000">
      <w:pPr>
        <w:pStyle w:val="Titre3"/>
        <w:spacing w:before="200" w:after="90"/>
      </w:pPr>
      <w:r>
        <w:rPr>
          <w:rFonts w:ascii="Calibri" w:eastAsia="Calibri" w:hAnsi="Calibri" w:cs="Calibri"/>
          <w:b/>
          <w:bCs/>
          <w:i/>
          <w:iCs/>
          <w:color w:val="5A5A5A"/>
          <w:sz w:val="21"/>
          <w:szCs w:val="21"/>
        </w:rPr>
        <w:lastRenderedPageBreak/>
        <w:t>1.4. La Déclaration de 1789 et la Charte de l’environnement</w:t>
      </w:r>
    </w:p>
    <w:p w14:paraId="0D45A195"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Cons. const., déc. n° 73-51 DC, 27 décembre 1973, Loi de finances pour 1974 « Taxation d’office »</w:t>
      </w:r>
      <w:r>
        <w:rPr>
          <w:rFonts w:ascii="Calibri" w:eastAsia="Calibri" w:hAnsi="Calibri" w:cs="Calibri"/>
          <w:color w:val="1A1A1A"/>
        </w:rPr>
        <w:t xml:space="preserve"> : « </w:t>
      </w:r>
      <w:r>
        <w:rPr>
          <w:rFonts w:ascii="Calibri" w:eastAsia="Calibri" w:hAnsi="Calibri" w:cs="Calibri"/>
          <w:i/>
          <w:iCs/>
          <w:color w:val="1A1A1A"/>
        </w:rPr>
        <w:t>Considérant, toutefois, que la dernière disposition de l’alinéa ajouté à l’article 180 du code général des impôts par l’article 62 de la loi de finances pour 1974, tend à instituer une discrimination entre les citoyens au regard de la possibilité d’apporter une preuve contraire à une décision de taxation d’office de l’administration les concernant ; qu’ainsi ladite disposition porte atteinte au principe de l’égalité devant la loi contenu dans la Déclaration des droits de l’homme de 1789 et solennellement réaffirmé par le préambule de la Constitution.</w:t>
      </w:r>
      <w:r>
        <w:rPr>
          <w:rFonts w:ascii="Calibri" w:eastAsia="Calibri" w:hAnsi="Calibri" w:cs="Calibri"/>
          <w:color w:val="1A1A1A"/>
        </w:rPr>
        <w:t xml:space="preserve"> » Le Conseil accepte dès lors </w:t>
      </w:r>
      <w:r>
        <w:rPr>
          <w:rFonts w:ascii="Calibri" w:eastAsia="Calibri" w:hAnsi="Calibri" w:cs="Calibri"/>
          <w:b/>
          <w:bCs/>
          <w:color w:val="1A1A1A"/>
        </w:rPr>
        <w:t>tous les moyens tirés de la violation d’un article de la Déclaration</w:t>
      </w:r>
      <w:r>
        <w:rPr>
          <w:rFonts w:ascii="Calibri" w:eastAsia="Calibri" w:hAnsi="Calibri" w:cs="Calibri"/>
          <w:color w:val="1A1A1A"/>
        </w:rPr>
        <w:t>.</w:t>
      </w:r>
    </w:p>
    <w:p w14:paraId="43547CAA" w14:textId="77777777" w:rsidR="00E6057C" w:rsidRDefault="00000000">
      <w:pPr>
        <w:pStyle w:val="Paragraphedeliste"/>
        <w:numPr>
          <w:ilvl w:val="0"/>
          <w:numId w:val="2"/>
        </w:numPr>
        <w:spacing w:after="70" w:line="264" w:lineRule="auto"/>
        <w:jc w:val="both"/>
      </w:pPr>
      <w:r>
        <w:rPr>
          <w:rFonts w:ascii="Calibri" w:eastAsia="Calibri" w:hAnsi="Calibri" w:cs="Calibri"/>
          <w:color w:val="1E88E5"/>
        </w:rPr>
        <w:t>Charte de l’environnement de 2004</w:t>
      </w:r>
      <w:r>
        <w:rPr>
          <w:rFonts w:ascii="Calibri" w:eastAsia="Calibri" w:hAnsi="Calibri" w:cs="Calibri"/>
          <w:color w:val="1A1A1A"/>
        </w:rPr>
        <w:t xml:space="preserve">, intégrée au préambule par la </w:t>
      </w:r>
      <w:r>
        <w:rPr>
          <w:rFonts w:ascii="Calibri" w:eastAsia="Calibri" w:hAnsi="Calibri" w:cs="Calibri"/>
          <w:color w:val="1E88E5"/>
        </w:rPr>
        <w:t>révision constitutionnelle du 1er mars 2005</w:t>
      </w:r>
      <w:r>
        <w:rPr>
          <w:rFonts w:ascii="Calibri" w:eastAsia="Calibri" w:hAnsi="Calibri" w:cs="Calibri"/>
          <w:color w:val="1A1A1A"/>
        </w:rPr>
        <w:t xml:space="preserve">. </w:t>
      </w:r>
      <w:r>
        <w:rPr>
          <w:rFonts w:ascii="Calibri" w:eastAsia="Calibri" w:hAnsi="Calibri" w:cs="Calibri"/>
          <w:color w:val="1E88E5"/>
        </w:rPr>
        <w:t>Art. 1er</w:t>
      </w:r>
      <w:r>
        <w:rPr>
          <w:rFonts w:ascii="Calibri" w:eastAsia="Calibri" w:hAnsi="Calibri" w:cs="Calibri"/>
          <w:color w:val="1A1A1A"/>
        </w:rPr>
        <w:t xml:space="preserve"> (droit de vivre dans un environnement équilibré et respectueux de la santé) ; </w:t>
      </w:r>
      <w:r>
        <w:rPr>
          <w:rFonts w:ascii="Calibri" w:eastAsia="Calibri" w:hAnsi="Calibri" w:cs="Calibri"/>
          <w:color w:val="1E88E5"/>
        </w:rPr>
        <w:t>art. 2</w:t>
      </w:r>
      <w:r>
        <w:rPr>
          <w:rFonts w:ascii="Calibri" w:eastAsia="Calibri" w:hAnsi="Calibri" w:cs="Calibri"/>
          <w:color w:val="1A1A1A"/>
        </w:rPr>
        <w:t xml:space="preserve"> (devoir de participer à la préservation et à l’amélioration) ; </w:t>
      </w:r>
      <w:r>
        <w:rPr>
          <w:rFonts w:ascii="Calibri" w:eastAsia="Calibri" w:hAnsi="Calibri" w:cs="Calibri"/>
          <w:color w:val="1E88E5"/>
        </w:rPr>
        <w:t>art. 3</w:t>
      </w:r>
      <w:r>
        <w:rPr>
          <w:rFonts w:ascii="Calibri" w:eastAsia="Calibri" w:hAnsi="Calibri" w:cs="Calibri"/>
          <w:color w:val="1A1A1A"/>
        </w:rPr>
        <w:t xml:space="preserve"> (prévenir ou limiter les conséquences des atteintes) ; </w:t>
      </w:r>
      <w:r>
        <w:rPr>
          <w:rFonts w:ascii="Calibri" w:eastAsia="Calibri" w:hAnsi="Calibri" w:cs="Calibri"/>
          <w:color w:val="1E88E5"/>
        </w:rPr>
        <w:t>art. 4</w:t>
      </w:r>
      <w:r>
        <w:rPr>
          <w:rFonts w:ascii="Calibri" w:eastAsia="Calibri" w:hAnsi="Calibri" w:cs="Calibri"/>
          <w:color w:val="1A1A1A"/>
        </w:rPr>
        <w:t xml:space="preserve"> (contribuer à leur réparation) ; </w:t>
      </w:r>
      <w:r>
        <w:rPr>
          <w:rFonts w:ascii="Calibri" w:eastAsia="Calibri" w:hAnsi="Calibri" w:cs="Calibri"/>
          <w:color w:val="1E88E5"/>
        </w:rPr>
        <w:t>art. 5</w:t>
      </w:r>
      <w:r>
        <w:rPr>
          <w:rFonts w:ascii="Calibri" w:eastAsia="Calibri" w:hAnsi="Calibri" w:cs="Calibri"/>
          <w:color w:val="1A1A1A"/>
        </w:rPr>
        <w:t xml:space="preserve"> (principe de précaution : « </w:t>
      </w:r>
      <w:r>
        <w:rPr>
          <w:rFonts w:ascii="Calibri" w:eastAsia="Calibri" w:hAnsi="Calibri" w:cs="Calibri"/>
          <w:i/>
          <w:iCs/>
          <w:color w:val="1A1A1A"/>
        </w:rPr>
        <w:t>Lorsque la réalisation d’un dommage, bien qu’incertaine en l’état des connaissances scientifiques, pourrait affecter de manière grave et irréversible l’environnement, les autorités publiques veillent, par application du principe de précaution et dans leurs domaines d’attributions, à la mise en œuvre de procédures d’évaluation des risques et à l’adoption de mesures provisoires et proportionnées afin de parer à la réalisation du dommage</w:t>
      </w:r>
      <w:r>
        <w:rPr>
          <w:rFonts w:ascii="Calibri" w:eastAsia="Calibri" w:hAnsi="Calibri" w:cs="Calibri"/>
          <w:color w:val="1A1A1A"/>
        </w:rPr>
        <w:t xml:space="preserve"> ») ; </w:t>
      </w:r>
      <w:r>
        <w:rPr>
          <w:rFonts w:ascii="Calibri" w:eastAsia="Calibri" w:hAnsi="Calibri" w:cs="Calibri"/>
          <w:color w:val="1E88E5"/>
        </w:rPr>
        <w:t>art. 6</w:t>
      </w:r>
      <w:r>
        <w:rPr>
          <w:rFonts w:ascii="Calibri" w:eastAsia="Calibri" w:hAnsi="Calibri" w:cs="Calibri"/>
          <w:color w:val="1A1A1A"/>
        </w:rPr>
        <w:t xml:space="preserve"> (développement durable comme objectif des politiques publiques) ; </w:t>
      </w:r>
      <w:r>
        <w:rPr>
          <w:rFonts w:ascii="Calibri" w:eastAsia="Calibri" w:hAnsi="Calibri" w:cs="Calibri"/>
          <w:color w:val="1E88E5"/>
        </w:rPr>
        <w:t>art. 7</w:t>
      </w:r>
      <w:r>
        <w:rPr>
          <w:rFonts w:ascii="Calibri" w:eastAsia="Calibri" w:hAnsi="Calibri" w:cs="Calibri"/>
          <w:color w:val="1A1A1A"/>
        </w:rPr>
        <w:t xml:space="preserve"> (droit d’accéder aux informations et de participer à l’élaboration des décisions publiques — </w:t>
      </w:r>
      <w:r>
        <w:rPr>
          <w:rFonts w:ascii="Calibri" w:eastAsia="Calibri" w:hAnsi="Calibri" w:cs="Calibri"/>
          <w:color w:val="E91E63"/>
        </w:rPr>
        <w:t>2016-595 QPC, 18 novembre 2016</w:t>
      </w:r>
      <w:r>
        <w:rPr>
          <w:rFonts w:ascii="Calibri" w:eastAsia="Calibri" w:hAnsi="Calibri" w:cs="Calibri"/>
          <w:color w:val="1A1A1A"/>
        </w:rPr>
        <w:t xml:space="preserve"> ; </w:t>
      </w:r>
      <w:r>
        <w:rPr>
          <w:rFonts w:ascii="Calibri" w:eastAsia="Calibri" w:hAnsi="Calibri" w:cs="Calibri"/>
          <w:color w:val="E91E63"/>
        </w:rPr>
        <w:t>2020-843 QPC, 28 mai 2020</w:t>
      </w:r>
      <w:r>
        <w:rPr>
          <w:rFonts w:ascii="Calibri" w:eastAsia="Calibri" w:hAnsi="Calibri" w:cs="Calibri"/>
          <w:color w:val="1A1A1A"/>
        </w:rPr>
        <w:t xml:space="preserve">) ; </w:t>
      </w:r>
      <w:r>
        <w:rPr>
          <w:rFonts w:ascii="Calibri" w:eastAsia="Calibri" w:hAnsi="Calibri" w:cs="Calibri"/>
          <w:color w:val="1E88E5"/>
        </w:rPr>
        <w:t>art. 9</w:t>
      </w:r>
      <w:r>
        <w:rPr>
          <w:rFonts w:ascii="Calibri" w:eastAsia="Calibri" w:hAnsi="Calibri" w:cs="Calibri"/>
          <w:color w:val="1A1A1A"/>
        </w:rPr>
        <w:t xml:space="preserve"> (recherche et innovation).</w:t>
      </w:r>
    </w:p>
    <w:p w14:paraId="1B3F4DB1"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Cons. const., déc. n° 2005-514 DC, Loi relative à la création du registre international français</w:t>
      </w:r>
      <w:r>
        <w:rPr>
          <w:rFonts w:ascii="Calibri" w:eastAsia="Calibri" w:hAnsi="Calibri" w:cs="Calibri"/>
          <w:color w:val="1A1A1A"/>
        </w:rPr>
        <w:t xml:space="preserve"> : reconnaissance explicite de la valeur constitutionnelle de la Charte. </w:t>
      </w:r>
      <w:r>
        <w:rPr>
          <w:rFonts w:ascii="Calibri" w:eastAsia="Calibri" w:hAnsi="Calibri" w:cs="Calibri"/>
          <w:color w:val="E91E63"/>
        </w:rPr>
        <w:t>Cons. const., déc. n° 2012-283 QPC, M. Antoine de M. [Classement et déclassement de sites]</w:t>
      </w:r>
      <w:r>
        <w:rPr>
          <w:rFonts w:ascii="Calibri" w:eastAsia="Calibri" w:hAnsi="Calibri" w:cs="Calibri"/>
          <w:color w:val="1A1A1A"/>
        </w:rPr>
        <w:t xml:space="preserve"> : </w:t>
      </w:r>
      <w:r>
        <w:rPr>
          <w:rFonts w:ascii="Calibri" w:eastAsia="Calibri" w:hAnsi="Calibri" w:cs="Calibri"/>
          <w:b/>
          <w:bCs/>
          <w:color w:val="1A1A1A"/>
        </w:rPr>
        <w:t>exception</w:t>
      </w:r>
      <w:r>
        <w:rPr>
          <w:rFonts w:ascii="Calibri" w:eastAsia="Calibri" w:hAnsi="Calibri" w:cs="Calibri"/>
          <w:color w:val="1A1A1A"/>
        </w:rPr>
        <w:t xml:space="preserve"> — l’</w:t>
      </w:r>
      <w:r>
        <w:rPr>
          <w:rFonts w:ascii="Calibri" w:eastAsia="Calibri" w:hAnsi="Calibri" w:cs="Calibri"/>
          <w:color w:val="1E88E5"/>
        </w:rPr>
        <w:t>art. 6</w:t>
      </w:r>
      <w:r>
        <w:rPr>
          <w:rFonts w:ascii="Calibri" w:eastAsia="Calibri" w:hAnsi="Calibri" w:cs="Calibri"/>
          <w:color w:val="1A1A1A"/>
        </w:rPr>
        <w:t xml:space="preserve"> n’institue pas un droit ou une liberté que la Constitution garantit.</w:t>
      </w:r>
    </w:p>
    <w:p w14:paraId="66944129"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Argument à réserver pour l’entretien</w:t>
      </w:r>
      <w:r>
        <w:rPr>
          <w:rFonts w:ascii="Calibri" w:eastAsia="Calibri" w:hAnsi="Calibri" w:cs="Calibri"/>
          <w:color w:val="1A1A1A"/>
        </w:rPr>
        <w:t xml:space="preserve"> : l’intégration de la Charte au préambule par le pouvoir constituant dérivé </w:t>
      </w:r>
      <w:r>
        <w:rPr>
          <w:rFonts w:ascii="Calibri" w:eastAsia="Calibri" w:hAnsi="Calibri" w:cs="Calibri"/>
          <w:b/>
          <w:bCs/>
          <w:color w:val="1A1A1A"/>
        </w:rPr>
        <w:t>légitime rétrospectivement</w:t>
      </w:r>
      <w:r>
        <w:rPr>
          <w:rFonts w:ascii="Calibri" w:eastAsia="Calibri" w:hAnsi="Calibri" w:cs="Calibri"/>
          <w:color w:val="1A1A1A"/>
        </w:rPr>
        <w:t xml:space="preserve"> toute la démarche prétorienne de 1971 — en voulant donner valeur constitutionnelle à la Charte, le constituant a reconnu implicitement la valeur constitutionnelle du préambule lui-même.</w:t>
      </w:r>
    </w:p>
    <w:p w14:paraId="6094B522" w14:textId="77777777" w:rsidR="00E6057C" w:rsidRDefault="00000000">
      <w:pPr>
        <w:pStyle w:val="Titre3"/>
        <w:spacing w:before="200" w:after="90"/>
      </w:pPr>
      <w:r>
        <w:rPr>
          <w:rFonts w:ascii="Calibri" w:eastAsia="Calibri" w:hAnsi="Calibri" w:cs="Calibri"/>
          <w:b/>
          <w:bCs/>
          <w:i/>
          <w:iCs/>
          <w:color w:val="5A5A5A"/>
          <w:sz w:val="21"/>
          <w:szCs w:val="21"/>
        </w:rPr>
        <w:t>1.5. Principes et objectifs à valeur constitutionnelle</w:t>
      </w:r>
    </w:p>
    <w:p w14:paraId="43F5C121"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Fondement des PVC</w:t>
      </w:r>
      <w:r>
        <w:rPr>
          <w:rFonts w:ascii="Calibri" w:eastAsia="Calibri" w:hAnsi="Calibri" w:cs="Calibri"/>
          <w:color w:val="1A1A1A"/>
        </w:rPr>
        <w:t xml:space="preserve"> : le </w:t>
      </w:r>
      <w:r>
        <w:rPr>
          <w:rFonts w:ascii="Calibri" w:eastAsia="Calibri" w:hAnsi="Calibri" w:cs="Calibri"/>
          <w:color w:val="1E88E5"/>
        </w:rPr>
        <w:t>premier alinéa du Préambule de 1946</w:t>
      </w:r>
      <w:r>
        <w:rPr>
          <w:rFonts w:ascii="Calibri" w:eastAsia="Calibri" w:hAnsi="Calibri" w:cs="Calibri"/>
          <w:color w:val="1A1A1A"/>
        </w:rPr>
        <w:t xml:space="preserve"> (« </w:t>
      </w:r>
      <w:r>
        <w:rPr>
          <w:rFonts w:ascii="Calibri" w:eastAsia="Calibri" w:hAnsi="Calibri" w:cs="Calibri"/>
          <w:i/>
          <w:iCs/>
          <w:color w:val="1A1A1A"/>
        </w:rPr>
        <w:t>Au lendemain de la victoire remportée par les peuples libres sur les régimes qui ont tenté d’asservir et de dégrader la personne humaine…</w:t>
      </w:r>
      <w:r>
        <w:rPr>
          <w:rFonts w:ascii="Calibri" w:eastAsia="Calibri" w:hAnsi="Calibri" w:cs="Calibri"/>
          <w:color w:val="1A1A1A"/>
        </w:rPr>
        <w:t xml:space="preserve"> »).</w:t>
      </w:r>
    </w:p>
    <w:p w14:paraId="45FED86B"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Liste des PVC</w:t>
      </w:r>
      <w:r>
        <w:rPr>
          <w:rFonts w:ascii="Calibri" w:eastAsia="Calibri" w:hAnsi="Calibri" w:cs="Calibri"/>
          <w:color w:val="1A1A1A"/>
        </w:rPr>
        <w:t xml:space="preserve"> : continuité de l’État et du service public (</w:t>
      </w:r>
      <w:r>
        <w:rPr>
          <w:rFonts w:ascii="Calibri" w:eastAsia="Calibri" w:hAnsi="Calibri" w:cs="Calibri"/>
          <w:color w:val="E91E63"/>
        </w:rPr>
        <w:t>79-105 DC, 25 juillet 1979</w:t>
      </w:r>
      <w:r>
        <w:rPr>
          <w:rFonts w:ascii="Calibri" w:eastAsia="Calibri" w:hAnsi="Calibri" w:cs="Calibri"/>
          <w:color w:val="1A1A1A"/>
        </w:rPr>
        <w:t>) ; liberté d’entreprendre (</w:t>
      </w:r>
      <w:r>
        <w:rPr>
          <w:rFonts w:ascii="Calibri" w:eastAsia="Calibri" w:hAnsi="Calibri" w:cs="Calibri"/>
          <w:color w:val="E91E63"/>
        </w:rPr>
        <w:t>81-132 DC, 16 janvier 1982, Nationalisations</w:t>
      </w:r>
      <w:r>
        <w:rPr>
          <w:rFonts w:ascii="Calibri" w:eastAsia="Calibri" w:hAnsi="Calibri" w:cs="Calibri"/>
          <w:color w:val="1A1A1A"/>
        </w:rPr>
        <w:t>) ; liberté d’aller et de venir (</w:t>
      </w:r>
      <w:r>
        <w:rPr>
          <w:rFonts w:ascii="Calibri" w:eastAsia="Calibri" w:hAnsi="Calibri" w:cs="Calibri"/>
          <w:color w:val="E91E63"/>
        </w:rPr>
        <w:t>79-107 DC, 12 juillet 1979</w:t>
      </w:r>
      <w:r>
        <w:rPr>
          <w:rFonts w:ascii="Calibri" w:eastAsia="Calibri" w:hAnsi="Calibri" w:cs="Calibri"/>
          <w:color w:val="1A1A1A"/>
        </w:rPr>
        <w:t>) ; liberté personnelle du salarié (</w:t>
      </w:r>
      <w:r>
        <w:rPr>
          <w:rFonts w:ascii="Calibri" w:eastAsia="Calibri" w:hAnsi="Calibri" w:cs="Calibri"/>
          <w:color w:val="E91E63"/>
        </w:rPr>
        <w:t>89-257 DC, 25 juillet 1989</w:t>
      </w:r>
      <w:r>
        <w:rPr>
          <w:rFonts w:ascii="Calibri" w:eastAsia="Calibri" w:hAnsi="Calibri" w:cs="Calibri"/>
          <w:color w:val="1A1A1A"/>
        </w:rPr>
        <w:t>) ; sauvegarde de la dignité de la personne humaine contre toute forme d’asservissement et de dégradation (</w:t>
      </w:r>
      <w:r>
        <w:rPr>
          <w:rFonts w:ascii="Calibri" w:eastAsia="Calibri" w:hAnsi="Calibri" w:cs="Calibri"/>
          <w:color w:val="E91E63"/>
        </w:rPr>
        <w:t>94-343/344 DC, 27 juillet 1994</w:t>
      </w:r>
      <w:r>
        <w:rPr>
          <w:rFonts w:ascii="Calibri" w:eastAsia="Calibri" w:hAnsi="Calibri" w:cs="Calibri"/>
          <w:color w:val="1A1A1A"/>
        </w:rPr>
        <w:t xml:space="preserve"> ; </w:t>
      </w:r>
      <w:r>
        <w:rPr>
          <w:rFonts w:ascii="Calibri" w:eastAsia="Calibri" w:hAnsi="Calibri" w:cs="Calibri"/>
          <w:color w:val="E91E63"/>
        </w:rPr>
        <w:t>2017-632 QPC, 2 juin 2017, UNAFTC [procédure collégiale de limitation ou d’arrêt des traitements]</w:t>
      </w:r>
      <w:r>
        <w:rPr>
          <w:rFonts w:ascii="Calibri" w:eastAsia="Calibri" w:hAnsi="Calibri" w:cs="Calibri"/>
          <w:color w:val="1A1A1A"/>
        </w:rPr>
        <w:t>) ; inamovibilité des magistrats du siège (</w:t>
      </w:r>
      <w:r>
        <w:rPr>
          <w:rFonts w:ascii="Calibri" w:eastAsia="Calibri" w:hAnsi="Calibri" w:cs="Calibri"/>
          <w:color w:val="E91E63"/>
        </w:rPr>
        <w:t>70-40 DC, 9 juillet 1970</w:t>
      </w:r>
      <w:r>
        <w:rPr>
          <w:rFonts w:ascii="Calibri" w:eastAsia="Calibri" w:hAnsi="Calibri" w:cs="Calibri"/>
          <w:color w:val="1A1A1A"/>
        </w:rPr>
        <w:t>) ; principe du pollueur-payeur (</w:t>
      </w:r>
      <w:r>
        <w:rPr>
          <w:rFonts w:ascii="Calibri" w:eastAsia="Calibri" w:hAnsi="Calibri" w:cs="Calibri"/>
          <w:color w:val="E91E63"/>
        </w:rPr>
        <w:t>99-424 DC, 29 décembre 1999</w:t>
      </w:r>
      <w:r>
        <w:rPr>
          <w:rFonts w:ascii="Calibri" w:eastAsia="Calibri" w:hAnsi="Calibri" w:cs="Calibri"/>
          <w:color w:val="1A1A1A"/>
        </w:rPr>
        <w:t>) ; principe de fraternité (</w:t>
      </w:r>
      <w:r>
        <w:rPr>
          <w:rFonts w:ascii="Calibri" w:eastAsia="Calibri" w:hAnsi="Calibri" w:cs="Calibri"/>
          <w:color w:val="E91E63"/>
        </w:rPr>
        <w:t>2018-717/718 QPC, 6 juillet 2018, M. Cédric H. et autre [Délit d’aide à l’entrée, à la circulation ou au séjour irréguliers]</w:t>
      </w:r>
      <w:r>
        <w:rPr>
          <w:rFonts w:ascii="Calibri" w:eastAsia="Calibri" w:hAnsi="Calibri" w:cs="Calibri"/>
          <w:color w:val="1A1A1A"/>
        </w:rPr>
        <w:t>) ; publicité des audiences devant les juridictions civiles et administratives (</w:t>
      </w:r>
      <w:r>
        <w:rPr>
          <w:rFonts w:ascii="Calibri" w:eastAsia="Calibri" w:hAnsi="Calibri" w:cs="Calibri"/>
          <w:color w:val="E91E63"/>
        </w:rPr>
        <w:t>2019-778 DC, 21 mars 2019</w:t>
      </w:r>
      <w:r>
        <w:rPr>
          <w:rFonts w:ascii="Calibri" w:eastAsia="Calibri" w:hAnsi="Calibri" w:cs="Calibri"/>
          <w:color w:val="1A1A1A"/>
        </w:rPr>
        <w:t>).</w:t>
      </w:r>
    </w:p>
    <w:p w14:paraId="5CC15B02"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Régime des OVC</w:t>
      </w:r>
      <w:r>
        <w:rPr>
          <w:rFonts w:ascii="Calibri" w:eastAsia="Calibri" w:hAnsi="Calibri" w:cs="Calibri"/>
          <w:color w:val="1A1A1A"/>
        </w:rPr>
        <w:t xml:space="preserve"> : ce sont des </w:t>
      </w:r>
      <w:r>
        <w:rPr>
          <w:rFonts w:ascii="Calibri" w:eastAsia="Calibri" w:hAnsi="Calibri" w:cs="Calibri"/>
          <w:b/>
          <w:bCs/>
          <w:color w:val="1A1A1A"/>
        </w:rPr>
        <w:t>orientations</w:t>
      </w:r>
      <w:r>
        <w:rPr>
          <w:rFonts w:ascii="Calibri" w:eastAsia="Calibri" w:hAnsi="Calibri" w:cs="Calibri"/>
          <w:color w:val="1A1A1A"/>
        </w:rPr>
        <w:t xml:space="preserve">, dépourvues de </w:t>
      </w:r>
      <w:r>
        <w:rPr>
          <w:rFonts w:ascii="Calibri" w:eastAsia="Calibri" w:hAnsi="Calibri" w:cs="Calibri"/>
          <w:b/>
          <w:bCs/>
          <w:color w:val="1A1A1A"/>
        </w:rPr>
        <w:t>portée normative</w:t>
      </w:r>
      <w:r>
        <w:rPr>
          <w:rFonts w:ascii="Calibri" w:eastAsia="Calibri" w:hAnsi="Calibri" w:cs="Calibri"/>
          <w:color w:val="1A1A1A"/>
        </w:rPr>
        <w:t xml:space="preserve"> propre ; le Conseil en déduit qu’ils </w:t>
      </w:r>
      <w:r>
        <w:rPr>
          <w:rFonts w:ascii="Calibri" w:eastAsia="Calibri" w:hAnsi="Calibri" w:cs="Calibri"/>
          <w:b/>
          <w:bCs/>
          <w:color w:val="1A1A1A"/>
        </w:rPr>
        <w:t>ne constituent pas en eux-mêmes des droits et libertés</w:t>
      </w:r>
      <w:r>
        <w:rPr>
          <w:rFonts w:ascii="Calibri" w:eastAsia="Calibri" w:hAnsi="Calibri" w:cs="Calibri"/>
          <w:color w:val="1A1A1A"/>
        </w:rPr>
        <w:t xml:space="preserve"> au sens de l’</w:t>
      </w:r>
      <w:r>
        <w:rPr>
          <w:rFonts w:ascii="Calibri" w:eastAsia="Calibri" w:hAnsi="Calibri" w:cs="Calibri"/>
          <w:color w:val="1E88E5"/>
        </w:rPr>
        <w:t>art. 61-1 C.</w:t>
      </w:r>
      <w:r>
        <w:rPr>
          <w:rFonts w:ascii="Calibri" w:eastAsia="Calibri" w:hAnsi="Calibri" w:cs="Calibri"/>
          <w:color w:val="1A1A1A"/>
        </w:rPr>
        <w:t xml:space="preserve"> et ne peuvent donc fonder une QPC. Certains </w:t>
      </w:r>
      <w:r>
        <w:rPr>
          <w:rFonts w:ascii="Calibri" w:eastAsia="Calibri" w:hAnsi="Calibri" w:cs="Calibri"/>
          <w:b/>
          <w:bCs/>
          <w:color w:val="1A1A1A"/>
        </w:rPr>
        <w:t>limitent</w:t>
      </w:r>
      <w:r>
        <w:rPr>
          <w:rFonts w:ascii="Calibri" w:eastAsia="Calibri" w:hAnsi="Calibri" w:cs="Calibri"/>
          <w:color w:val="1A1A1A"/>
        </w:rPr>
        <w:t xml:space="preserve"> les droits (bonne administration de la justice, protection des deniers publics, ordre public), d’autres les rendent </w:t>
      </w:r>
      <w:r>
        <w:rPr>
          <w:rFonts w:ascii="Calibri" w:eastAsia="Calibri" w:hAnsi="Calibri" w:cs="Calibri"/>
          <w:b/>
          <w:bCs/>
          <w:color w:val="1A1A1A"/>
        </w:rPr>
        <w:t>plus effectifs</w:t>
      </w:r>
      <w:r>
        <w:rPr>
          <w:rFonts w:ascii="Calibri" w:eastAsia="Calibri" w:hAnsi="Calibri" w:cs="Calibri"/>
          <w:color w:val="1A1A1A"/>
        </w:rPr>
        <w:t xml:space="preserve"> (parité). Ils sont parfois rattachés à une disposition constitutionnelle, parfois non. Ils fonctionnent comme des </w:t>
      </w:r>
      <w:r>
        <w:rPr>
          <w:rFonts w:ascii="Calibri" w:eastAsia="Calibri" w:hAnsi="Calibri" w:cs="Calibri"/>
          <w:b/>
          <w:bCs/>
          <w:color w:val="1A1A1A"/>
        </w:rPr>
        <w:t>guides de conciliation</w:t>
      </w:r>
      <w:r>
        <w:rPr>
          <w:rFonts w:ascii="Calibri" w:eastAsia="Calibri" w:hAnsi="Calibri" w:cs="Calibri"/>
          <w:color w:val="1A1A1A"/>
        </w:rPr>
        <w:t xml:space="preserve"> à destination du législateur.</w:t>
      </w:r>
    </w:p>
    <w:p w14:paraId="00CD4947"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Liste des OVC</w:t>
      </w:r>
      <w:r>
        <w:rPr>
          <w:rFonts w:ascii="Calibri" w:eastAsia="Calibri" w:hAnsi="Calibri" w:cs="Calibri"/>
          <w:color w:val="1A1A1A"/>
        </w:rPr>
        <w:t xml:space="preserve"> : maintien de l’ordre public (</w:t>
      </w:r>
      <w:r>
        <w:rPr>
          <w:rFonts w:ascii="Calibri" w:eastAsia="Calibri" w:hAnsi="Calibri" w:cs="Calibri"/>
          <w:color w:val="E91E63"/>
        </w:rPr>
        <w:t>82-141 DC, 27 juillet 1982</w:t>
      </w:r>
      <w:r>
        <w:rPr>
          <w:rFonts w:ascii="Calibri" w:eastAsia="Calibri" w:hAnsi="Calibri" w:cs="Calibri"/>
          <w:color w:val="1A1A1A"/>
        </w:rPr>
        <w:t>) ; recherche des auteurs d’infractions (</w:t>
      </w:r>
      <w:r>
        <w:rPr>
          <w:rFonts w:ascii="Calibri" w:eastAsia="Calibri" w:hAnsi="Calibri" w:cs="Calibri"/>
          <w:color w:val="E91E63"/>
        </w:rPr>
        <w:t>96-377 DC, 16 juillet 1996</w:t>
      </w:r>
      <w:r>
        <w:rPr>
          <w:rFonts w:ascii="Calibri" w:eastAsia="Calibri" w:hAnsi="Calibri" w:cs="Calibri"/>
          <w:color w:val="1A1A1A"/>
        </w:rPr>
        <w:t xml:space="preserve"> ; conciliation avec la liberté personnelle : </w:t>
      </w:r>
      <w:r>
        <w:rPr>
          <w:rFonts w:ascii="Calibri" w:eastAsia="Calibri" w:hAnsi="Calibri" w:cs="Calibri"/>
          <w:color w:val="E91E63"/>
        </w:rPr>
        <w:t>2018-761 QPC, 1er février 2019</w:t>
      </w:r>
      <w:r>
        <w:rPr>
          <w:rFonts w:ascii="Calibri" w:eastAsia="Calibri" w:hAnsi="Calibri" w:cs="Calibri"/>
          <w:color w:val="1A1A1A"/>
        </w:rPr>
        <w:t>) ; possibilité pour toute personne de disposer d’un logement décent (</w:t>
      </w:r>
      <w:r>
        <w:rPr>
          <w:rFonts w:ascii="Calibri" w:eastAsia="Calibri" w:hAnsi="Calibri" w:cs="Calibri"/>
          <w:color w:val="E91E63"/>
        </w:rPr>
        <w:t>94-359 DC, 19 janvier 1995</w:t>
      </w:r>
      <w:r>
        <w:rPr>
          <w:rFonts w:ascii="Calibri" w:eastAsia="Calibri" w:hAnsi="Calibri" w:cs="Calibri"/>
          <w:color w:val="1A1A1A"/>
        </w:rPr>
        <w:t>) ; accessibilité et intelligibilité du droit (</w:t>
      </w:r>
      <w:r>
        <w:rPr>
          <w:rFonts w:ascii="Calibri" w:eastAsia="Calibri" w:hAnsi="Calibri" w:cs="Calibri"/>
          <w:color w:val="E91E63"/>
        </w:rPr>
        <w:t>99-421 DC, 16 décembre 1999</w:t>
      </w:r>
      <w:r>
        <w:rPr>
          <w:rFonts w:ascii="Calibri" w:eastAsia="Calibri" w:hAnsi="Calibri" w:cs="Calibri"/>
          <w:color w:val="1A1A1A"/>
        </w:rPr>
        <w:t>) ; lutte contre la fraude fiscale (</w:t>
      </w:r>
      <w:r>
        <w:rPr>
          <w:rFonts w:ascii="Calibri" w:eastAsia="Calibri" w:hAnsi="Calibri" w:cs="Calibri"/>
          <w:color w:val="E91E63"/>
        </w:rPr>
        <w:t>99-424 DC, 29 décembre 1999</w:t>
      </w:r>
      <w:r>
        <w:rPr>
          <w:rFonts w:ascii="Calibri" w:eastAsia="Calibri" w:hAnsi="Calibri" w:cs="Calibri"/>
          <w:color w:val="1A1A1A"/>
        </w:rPr>
        <w:t>) ; égal accès des femmes et des hommes aux mandats électoraux et fonctions électives (</w:t>
      </w:r>
      <w:r>
        <w:rPr>
          <w:rFonts w:ascii="Calibri" w:eastAsia="Calibri" w:hAnsi="Calibri" w:cs="Calibri"/>
          <w:color w:val="E91E63"/>
        </w:rPr>
        <w:t>2000-429 DC, 30 mai 2000</w:t>
      </w:r>
      <w:r>
        <w:rPr>
          <w:rFonts w:ascii="Calibri" w:eastAsia="Calibri" w:hAnsi="Calibri" w:cs="Calibri"/>
          <w:color w:val="1A1A1A"/>
        </w:rPr>
        <w:t>) ; équilibre financier de la sécurité sociale (</w:t>
      </w:r>
      <w:r>
        <w:rPr>
          <w:rFonts w:ascii="Calibri" w:eastAsia="Calibri" w:hAnsi="Calibri" w:cs="Calibri"/>
          <w:color w:val="E91E63"/>
        </w:rPr>
        <w:t>2001-453 DC, 18 décembre 2001</w:t>
      </w:r>
      <w:r>
        <w:rPr>
          <w:rFonts w:ascii="Calibri" w:eastAsia="Calibri" w:hAnsi="Calibri" w:cs="Calibri"/>
          <w:color w:val="1A1A1A"/>
        </w:rPr>
        <w:t>) ; bon usage des deniers publics (</w:t>
      </w:r>
      <w:r>
        <w:rPr>
          <w:rFonts w:ascii="Calibri" w:eastAsia="Calibri" w:hAnsi="Calibri" w:cs="Calibri"/>
          <w:color w:val="E91E63"/>
        </w:rPr>
        <w:t>2003-473 DC, 26 juin 2003</w:t>
      </w:r>
      <w:r>
        <w:rPr>
          <w:rFonts w:ascii="Calibri" w:eastAsia="Calibri" w:hAnsi="Calibri" w:cs="Calibri"/>
          <w:color w:val="1A1A1A"/>
        </w:rPr>
        <w:t>) ; pluralisme des courants d’expression socioculturels (</w:t>
      </w:r>
      <w:r>
        <w:rPr>
          <w:rFonts w:ascii="Calibri" w:eastAsia="Calibri" w:hAnsi="Calibri" w:cs="Calibri"/>
          <w:color w:val="E91E63"/>
        </w:rPr>
        <w:t>93-333 DC, 21 janvier 1994</w:t>
      </w:r>
      <w:r>
        <w:rPr>
          <w:rFonts w:ascii="Calibri" w:eastAsia="Calibri" w:hAnsi="Calibri" w:cs="Calibri"/>
          <w:color w:val="1A1A1A"/>
        </w:rPr>
        <w:t>) ; pluralisme et indépendance des médias (</w:t>
      </w:r>
      <w:r>
        <w:rPr>
          <w:rFonts w:ascii="Calibri" w:eastAsia="Calibri" w:hAnsi="Calibri" w:cs="Calibri"/>
          <w:color w:val="E91E63"/>
        </w:rPr>
        <w:t>2009-577 DC, 3 mars 2009</w:t>
      </w:r>
      <w:r>
        <w:rPr>
          <w:rFonts w:ascii="Calibri" w:eastAsia="Calibri" w:hAnsi="Calibri" w:cs="Calibri"/>
          <w:color w:val="1A1A1A"/>
        </w:rPr>
        <w:t>) ; bonne administration de la justice (</w:t>
      </w:r>
      <w:r>
        <w:rPr>
          <w:rFonts w:ascii="Calibri" w:eastAsia="Calibri" w:hAnsi="Calibri" w:cs="Calibri"/>
          <w:color w:val="E91E63"/>
        </w:rPr>
        <w:t>2009-595 DC, 3 décembre 2009</w:t>
      </w:r>
      <w:r>
        <w:rPr>
          <w:rFonts w:ascii="Calibri" w:eastAsia="Calibri" w:hAnsi="Calibri" w:cs="Calibri"/>
          <w:color w:val="1A1A1A"/>
        </w:rPr>
        <w:t>) ; protection de la santé (</w:t>
      </w:r>
      <w:r>
        <w:rPr>
          <w:rFonts w:ascii="Calibri" w:eastAsia="Calibri" w:hAnsi="Calibri" w:cs="Calibri"/>
          <w:color w:val="E91E63"/>
        </w:rPr>
        <w:t>2012-248 QPC, 16 mai 2012, M. Mathieu E. [Accès aux origines personnelles]</w:t>
      </w:r>
      <w:r>
        <w:rPr>
          <w:rFonts w:ascii="Calibri" w:eastAsia="Calibri" w:hAnsi="Calibri" w:cs="Calibri"/>
          <w:color w:val="1A1A1A"/>
        </w:rPr>
        <w:t>) ; lutte contre la fraude en matière sociale (</w:t>
      </w:r>
      <w:r>
        <w:rPr>
          <w:rFonts w:ascii="Calibri" w:eastAsia="Calibri" w:hAnsi="Calibri" w:cs="Calibri"/>
          <w:color w:val="E91E63"/>
        </w:rPr>
        <w:t>2019-798 QPC, 14 juin 2019, Mme Hanen S.</w:t>
      </w:r>
      <w:r>
        <w:rPr>
          <w:rFonts w:ascii="Calibri" w:eastAsia="Calibri" w:hAnsi="Calibri" w:cs="Calibri"/>
          <w:color w:val="1A1A1A"/>
        </w:rPr>
        <w:t>) ; protection de l’environnement, patrimoine commun des êtres humains (</w:t>
      </w:r>
      <w:r>
        <w:rPr>
          <w:rFonts w:ascii="Calibri" w:eastAsia="Calibri" w:hAnsi="Calibri" w:cs="Calibri"/>
          <w:color w:val="E91E63"/>
        </w:rPr>
        <w:t>2019-823 QPC, 31 janvier 2020, Union des industries de la protection des plantes</w:t>
      </w:r>
      <w:r>
        <w:rPr>
          <w:rFonts w:ascii="Calibri" w:eastAsia="Calibri" w:hAnsi="Calibri" w:cs="Calibri"/>
          <w:color w:val="1A1A1A"/>
        </w:rPr>
        <w:t>) ; sauvegarde de la propriété intellectuelle (</w:t>
      </w:r>
      <w:r>
        <w:rPr>
          <w:rFonts w:ascii="Calibri" w:eastAsia="Calibri" w:hAnsi="Calibri" w:cs="Calibri"/>
          <w:color w:val="E91E63"/>
        </w:rPr>
        <w:t>2020-841 QPC, 20 mai 2020, La Quadrature du Net et autres</w:t>
      </w:r>
      <w:r>
        <w:rPr>
          <w:rFonts w:ascii="Calibri" w:eastAsia="Calibri" w:hAnsi="Calibri" w:cs="Calibri"/>
          <w:color w:val="1A1A1A"/>
        </w:rPr>
        <w:t>).</w:t>
      </w:r>
    </w:p>
    <w:p w14:paraId="5E80CB55"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lastRenderedPageBreak/>
        <w:t xml:space="preserve">Citation exploitable : « </w:t>
      </w:r>
      <w:r>
        <w:rPr>
          <w:rFonts w:ascii="Calibri" w:eastAsia="Calibri" w:hAnsi="Calibri" w:cs="Calibri"/>
          <w:i/>
          <w:iCs/>
          <w:color w:val="1A1A1A"/>
        </w:rPr>
        <w:t>Il appartient au législateur de concilier […] l’exercice de la liberté de communication telle qu’elle résulte de l’article 11 de la Déclaration des droits de l’homme, avec […] les objectifs de valeur constitutionnelle que sont la sauvegarde de l’ordre public, le respect de la liberté d’autrui et la préservation du caractère pluraliste des courants d’expression socioculturels</w:t>
      </w:r>
      <w:r>
        <w:rPr>
          <w:rFonts w:ascii="Calibri" w:eastAsia="Calibri" w:hAnsi="Calibri" w:cs="Calibri"/>
          <w:color w:val="1A1A1A"/>
        </w:rPr>
        <w:t xml:space="preserve"> » (</w:t>
      </w:r>
      <w:r>
        <w:rPr>
          <w:rFonts w:ascii="Calibri" w:eastAsia="Calibri" w:hAnsi="Calibri" w:cs="Calibri"/>
          <w:color w:val="E91E63"/>
        </w:rPr>
        <w:t>82-141 DC</w:t>
      </w:r>
      <w:r>
        <w:rPr>
          <w:rFonts w:ascii="Calibri" w:eastAsia="Calibri" w:hAnsi="Calibri" w:cs="Calibri"/>
          <w:color w:val="1A1A1A"/>
        </w:rPr>
        <w:t>).</w:t>
      </w:r>
    </w:p>
    <w:p w14:paraId="0E0571F8" w14:textId="77777777" w:rsidR="00E6057C" w:rsidRDefault="00000000">
      <w:pPr>
        <w:pStyle w:val="Titre2"/>
        <w:spacing w:before="280" w:after="120"/>
      </w:pPr>
      <w:r>
        <w:rPr>
          <w:rFonts w:ascii="Calibri" w:eastAsia="Calibri" w:hAnsi="Calibri" w:cs="Calibri"/>
          <w:b/>
          <w:bCs/>
          <w:color w:val="1A1A1A"/>
          <w:sz w:val="24"/>
          <w:szCs w:val="24"/>
        </w:rPr>
        <w:t>2. Ligne prétorienne &amp; évolutions</w:t>
      </w:r>
    </w:p>
    <w:p w14:paraId="01F2003A"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70-39 DC, 19 juin 1970</w:t>
      </w:r>
      <w:r>
        <w:rPr>
          <w:rFonts w:ascii="Calibri" w:eastAsia="Calibri" w:hAnsi="Calibri" w:cs="Calibri"/>
          <w:color w:val="1A1A1A"/>
        </w:rPr>
        <w:t xml:space="preserve"> : première </w:t>
      </w:r>
      <w:r>
        <w:rPr>
          <w:rFonts w:ascii="Calibri" w:eastAsia="Calibri" w:hAnsi="Calibri" w:cs="Calibri"/>
          <w:b/>
          <w:bCs/>
          <w:color w:val="1A1A1A"/>
        </w:rPr>
        <w:t>mention</w:t>
      </w:r>
      <w:r>
        <w:rPr>
          <w:rFonts w:ascii="Calibri" w:eastAsia="Calibri" w:hAnsi="Calibri" w:cs="Calibri"/>
          <w:color w:val="1A1A1A"/>
        </w:rPr>
        <w:t xml:space="preserve"> du Préambule de 1958 — antériorité utile à signaler pour éviter le contresens sur 1971.</w:t>
      </w:r>
    </w:p>
    <w:p w14:paraId="3BFF6F56"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71-44 DC, 16 juillet 1971, Loi complétant les dispositions des articles 5 et 7 de la loi du 1er juillet 1901 relative au contrat d’association</w:t>
      </w:r>
      <w:r>
        <w:rPr>
          <w:rFonts w:ascii="Calibri" w:eastAsia="Calibri" w:hAnsi="Calibri" w:cs="Calibri"/>
          <w:color w:val="1A1A1A"/>
        </w:rPr>
        <w:t xml:space="preserve"> — </w:t>
      </w:r>
      <w:r w:rsidRPr="00F415EF">
        <w:rPr>
          <w:rFonts w:ascii="Calibri" w:eastAsia="Calibri" w:hAnsi="Calibri" w:cs="Calibri"/>
          <w:b/>
          <w:bCs/>
          <w:color w:val="1A1A1A"/>
          <w:highlight w:val="yellow"/>
        </w:rPr>
        <w:t>arrêt de principe</w:t>
      </w:r>
      <w:r>
        <w:rPr>
          <w:rFonts w:ascii="Calibri" w:eastAsia="Calibri" w:hAnsi="Calibri" w:cs="Calibri"/>
          <w:color w:val="1A1A1A"/>
        </w:rPr>
        <w:t xml:space="preserve">. Fait : loi permettant au préfet de saisir le juge judiciaire pour contrôler l’objet d’une association avant la remise du récépissé de déclaration, ce qui revenait à rétablir un </w:t>
      </w:r>
      <w:r>
        <w:rPr>
          <w:rFonts w:ascii="Calibri" w:eastAsia="Calibri" w:hAnsi="Calibri" w:cs="Calibri"/>
          <w:b/>
          <w:bCs/>
          <w:color w:val="1A1A1A"/>
        </w:rPr>
        <w:t>régime d’autorisation</w:t>
      </w:r>
      <w:r>
        <w:rPr>
          <w:rFonts w:ascii="Calibri" w:eastAsia="Calibri" w:hAnsi="Calibri" w:cs="Calibri"/>
          <w:color w:val="1A1A1A"/>
        </w:rPr>
        <w:t>. Cible : l’association « Les amis de la cause du peuple », fondée par Simone de Beauvoir et M. Leyris. Apport : première censure explicitement fondée sur le préambule de 1958 ; consécration de la liberté d’association comme PFRLR ; extension des normes de référence au-delà des seuls articles 1er à 89 de la Constitution.</w:t>
      </w:r>
    </w:p>
    <w:p w14:paraId="515F0DE9"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CE, Ass., 11 juillet 1956, Amicale des Annamites de Paris</w:t>
      </w:r>
      <w:r>
        <w:rPr>
          <w:rFonts w:ascii="Calibri" w:eastAsia="Calibri" w:hAnsi="Calibri" w:cs="Calibri"/>
          <w:color w:val="1A1A1A"/>
        </w:rPr>
        <w:t xml:space="preserve"> : le Conseil d’État avait déjà reconnu la liberté d’association comme PFRLR — antériorité à connaître, elle relativise l’audace de 1971.</w:t>
      </w:r>
    </w:p>
    <w:p w14:paraId="46A5820E"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73-51 DC, 27 décembre 1973, Taxation d’office</w:t>
      </w:r>
      <w:r>
        <w:rPr>
          <w:rFonts w:ascii="Calibri" w:eastAsia="Calibri" w:hAnsi="Calibri" w:cs="Calibri"/>
          <w:color w:val="1A1A1A"/>
        </w:rPr>
        <w:t xml:space="preserve"> : mobilisation de la DDHC comme norme de contrôle.</w:t>
      </w:r>
    </w:p>
    <w:p w14:paraId="567B27D4"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94-343/344 DC, 27 juillet 1994, Bioéthique</w:t>
      </w:r>
      <w:r>
        <w:rPr>
          <w:rFonts w:ascii="Calibri" w:eastAsia="Calibri" w:hAnsi="Calibri" w:cs="Calibri"/>
          <w:color w:val="1A1A1A"/>
        </w:rPr>
        <w:t xml:space="preserve"> : la dignité, </w:t>
      </w:r>
      <w:r w:rsidRPr="00F415EF">
        <w:rPr>
          <w:rFonts w:ascii="Calibri" w:eastAsia="Calibri" w:hAnsi="Calibri" w:cs="Calibri"/>
          <w:b/>
          <w:bCs/>
          <w:color w:val="1A1A1A"/>
        </w:rPr>
        <w:t>principe</w:t>
      </w:r>
      <w:r>
        <w:rPr>
          <w:rFonts w:ascii="Calibri" w:eastAsia="Calibri" w:hAnsi="Calibri" w:cs="Calibri"/>
          <w:color w:val="1A1A1A"/>
        </w:rPr>
        <w:t xml:space="preserve"> à valeur constitutionnelle.</w:t>
      </w:r>
    </w:p>
    <w:p w14:paraId="4DB3DA90"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82-141 DC, 27 juillet 1982, Communication audiovisuelle</w:t>
      </w:r>
      <w:r>
        <w:rPr>
          <w:rFonts w:ascii="Calibri" w:eastAsia="Calibri" w:hAnsi="Calibri" w:cs="Calibri"/>
          <w:color w:val="1A1A1A"/>
        </w:rPr>
        <w:t xml:space="preserve"> : première consécration des </w:t>
      </w:r>
      <w:r w:rsidRPr="00F415EF">
        <w:rPr>
          <w:rFonts w:ascii="Calibri" w:eastAsia="Calibri" w:hAnsi="Calibri" w:cs="Calibri"/>
          <w:b/>
          <w:bCs/>
          <w:color w:val="1A1A1A"/>
        </w:rPr>
        <w:t>objectifs</w:t>
      </w:r>
      <w:r>
        <w:rPr>
          <w:rFonts w:ascii="Calibri" w:eastAsia="Calibri" w:hAnsi="Calibri" w:cs="Calibri"/>
          <w:color w:val="1A1A1A"/>
        </w:rPr>
        <w:t xml:space="preserve"> de valeur constitutionnelle.</w:t>
      </w:r>
    </w:p>
    <w:p w14:paraId="07D4AB65"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Cons. const., déc. n° 2013-669 DC, 17 mai 2013, Loi ouvrant le mariage aux couples de personnes de même sexe</w:t>
      </w:r>
      <w:r>
        <w:rPr>
          <w:rFonts w:ascii="Calibri" w:eastAsia="Calibri" w:hAnsi="Calibri" w:cs="Calibri"/>
          <w:color w:val="1A1A1A"/>
        </w:rPr>
        <w:t xml:space="preserve"> : </w:t>
      </w:r>
      <w:r>
        <w:rPr>
          <w:rFonts w:ascii="Calibri" w:eastAsia="Calibri" w:hAnsi="Calibri" w:cs="Calibri"/>
          <w:b/>
          <w:bCs/>
          <w:color w:val="1A1A1A"/>
        </w:rPr>
        <w:t>autolimitation</w:t>
      </w:r>
      <w:r>
        <w:rPr>
          <w:rFonts w:ascii="Calibri" w:eastAsia="Calibri" w:hAnsi="Calibri" w:cs="Calibri"/>
          <w:color w:val="1A1A1A"/>
        </w:rPr>
        <w:t xml:space="preserve"> — le Conseil considère que les questions sociétales relèvent du domaine d’appréciation du législateur, réponse directe aux critiques adressées à son pouvoir créateur.</w:t>
      </w:r>
    </w:p>
    <w:p w14:paraId="04BFF672" w14:textId="77777777" w:rsidR="00E6057C" w:rsidRDefault="00000000">
      <w:pPr>
        <w:pStyle w:val="Titre2"/>
        <w:spacing w:before="280" w:after="120"/>
      </w:pPr>
      <w:r>
        <w:rPr>
          <w:rFonts w:ascii="Calibri" w:eastAsia="Calibri" w:hAnsi="Calibri" w:cs="Calibri"/>
          <w:b/>
          <w:bCs/>
          <w:color w:val="1A1A1A"/>
          <w:sz w:val="24"/>
          <w:szCs w:val="24"/>
        </w:rPr>
        <w:t>3. Débats doctrinaux &amp; critiques</w:t>
      </w:r>
    </w:p>
    <w:p w14:paraId="535E2218" w14:textId="77777777" w:rsidR="00E6057C" w:rsidRDefault="00000000">
      <w:pPr>
        <w:pStyle w:val="Paragraphedeliste"/>
        <w:numPr>
          <w:ilvl w:val="0"/>
          <w:numId w:val="2"/>
        </w:numPr>
        <w:spacing w:after="70" w:line="264" w:lineRule="auto"/>
        <w:jc w:val="both"/>
      </w:pPr>
      <w:r>
        <w:rPr>
          <w:rFonts w:ascii="Calibri" w:eastAsia="Calibri" w:hAnsi="Calibri" w:cs="Calibri"/>
          <w:color w:val="2E7D32"/>
        </w:rPr>
        <w:t>Claude Emeri</w:t>
      </w:r>
      <w:r>
        <w:rPr>
          <w:rFonts w:ascii="Calibri" w:eastAsia="Calibri" w:hAnsi="Calibri" w:cs="Calibri"/>
          <w:color w:val="1A1A1A"/>
        </w:rPr>
        <w:t xml:space="preserve"> : création de l’expression « bloc de constitutionnalité », par symétrie et opposition avec le bloc de légalité — lequel contenait les libertés adoptées par voie législative sous la IIIe République. </w:t>
      </w:r>
      <w:r>
        <w:rPr>
          <w:rFonts w:ascii="Calibri" w:eastAsia="Calibri" w:hAnsi="Calibri" w:cs="Calibri"/>
          <w:color w:val="2E7D32"/>
        </w:rPr>
        <w:t>Louis Favoreu</w:t>
      </w:r>
      <w:r>
        <w:rPr>
          <w:rFonts w:ascii="Calibri" w:eastAsia="Calibri" w:hAnsi="Calibri" w:cs="Calibri"/>
          <w:color w:val="1A1A1A"/>
        </w:rPr>
        <w:t xml:space="preserve"> : popularisation et développement de la notion ; </w:t>
      </w:r>
      <w:r>
        <w:rPr>
          <w:rFonts w:ascii="Calibri" w:eastAsia="Calibri" w:hAnsi="Calibri" w:cs="Calibri"/>
          <w:color w:val="2E7D32"/>
        </w:rPr>
        <w:t>L. Favoreu et al., Les grandes décisions du Conseil constitutionnel, Dalloz, 20e éd., 2022</w:t>
      </w:r>
      <w:r>
        <w:rPr>
          <w:rFonts w:ascii="Calibri" w:eastAsia="Calibri" w:hAnsi="Calibri" w:cs="Calibri"/>
          <w:color w:val="1A1A1A"/>
        </w:rPr>
        <w:t>.</w:t>
      </w:r>
    </w:p>
    <w:p w14:paraId="5D4ED2C6"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Querelle de vocabulaire</w:t>
      </w:r>
      <w:r>
        <w:rPr>
          <w:rFonts w:ascii="Calibri" w:eastAsia="Calibri" w:hAnsi="Calibri" w:cs="Calibri"/>
          <w:color w:val="1A1A1A"/>
        </w:rPr>
        <w:t xml:space="preserve"> : une partie de la doctrine préfère parler de « </w:t>
      </w:r>
      <w:r>
        <w:rPr>
          <w:rFonts w:ascii="Calibri" w:eastAsia="Calibri" w:hAnsi="Calibri" w:cs="Calibri"/>
          <w:b/>
          <w:bCs/>
          <w:color w:val="1A1A1A"/>
        </w:rPr>
        <w:t>normes de référence du contrôle de constitutionnalité</w:t>
      </w:r>
      <w:r>
        <w:rPr>
          <w:rFonts w:ascii="Calibri" w:eastAsia="Calibri" w:hAnsi="Calibri" w:cs="Calibri"/>
          <w:color w:val="1A1A1A"/>
        </w:rPr>
        <w:t xml:space="preserve"> », formulation plus neutre et plus exacte — il s’agit toujours de désigner les normes de valeur constitutionnelle que le juge peut utiliser dans son contrôle des lois </w:t>
      </w:r>
      <w:r>
        <w:rPr>
          <w:rFonts w:ascii="Calibri" w:eastAsia="Calibri" w:hAnsi="Calibri" w:cs="Calibri"/>
          <w:i/>
          <w:iCs/>
          <w:color w:val="1A1A1A"/>
        </w:rPr>
        <w:t>et</w:t>
      </w:r>
      <w:r>
        <w:rPr>
          <w:rFonts w:ascii="Calibri" w:eastAsia="Calibri" w:hAnsi="Calibri" w:cs="Calibri"/>
          <w:color w:val="1A1A1A"/>
        </w:rPr>
        <w:t xml:space="preserve"> des traités internationaux.</w:t>
      </w:r>
    </w:p>
    <w:p w14:paraId="33F8F0E3"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Le débat historique sur la valeur de la Déclaration de 1789</w:t>
      </w:r>
      <w:r>
        <w:rPr>
          <w:rFonts w:ascii="Calibri" w:eastAsia="Calibri" w:hAnsi="Calibri" w:cs="Calibri"/>
          <w:color w:val="1A1A1A"/>
        </w:rPr>
        <w:t xml:space="preserve"> — première thèse : valeur juridique et même </w:t>
      </w:r>
      <w:r>
        <w:rPr>
          <w:rFonts w:ascii="Calibri" w:eastAsia="Calibri" w:hAnsi="Calibri" w:cs="Calibri"/>
          <w:b/>
          <w:bCs/>
          <w:color w:val="1A1A1A"/>
        </w:rPr>
        <w:t>supra-constitutionnelle</w:t>
      </w:r>
      <w:r>
        <w:rPr>
          <w:rFonts w:ascii="Calibri" w:eastAsia="Calibri" w:hAnsi="Calibri" w:cs="Calibri"/>
          <w:color w:val="1A1A1A"/>
        </w:rPr>
        <w:t xml:space="preserve">, la Déclaration ayant possédé une valeur antérieurement à son rattachement à la Constitution de 1791 et l’ayant conservée ; les principes de droit naturel sont supérieurs à toute règle juridique et d’une nature intrinsèquement supérieure ; la Constitution ne ferait que retranscrire des droits qui lui préexistent. Seconde thèse : simple </w:t>
      </w:r>
      <w:r>
        <w:rPr>
          <w:rFonts w:ascii="Calibri" w:eastAsia="Calibri" w:hAnsi="Calibri" w:cs="Calibri"/>
          <w:b/>
          <w:bCs/>
          <w:color w:val="1A1A1A"/>
        </w:rPr>
        <w:t>valeur philosophique et morale</w:t>
      </w:r>
      <w:r>
        <w:rPr>
          <w:rFonts w:ascii="Calibri" w:eastAsia="Calibri" w:hAnsi="Calibri" w:cs="Calibri"/>
          <w:color w:val="1A1A1A"/>
        </w:rPr>
        <w:t xml:space="preserve">, les principes de 1789 étant trop généraux et vagues, et les Constitutions de 1791 (titre I sur la garantie des droits) comme de 1848 (chapitre II sur les droits garantis) ayant jugé nécessaire de les reprendre en corps de texte. </w:t>
      </w:r>
      <w:r>
        <w:rPr>
          <w:rFonts w:ascii="Calibri" w:eastAsia="Calibri" w:hAnsi="Calibri" w:cs="Calibri"/>
          <w:b/>
          <w:bCs/>
          <w:color w:val="1A1A1A"/>
        </w:rPr>
        <w:t>La question n’a jamais été tranchée avant la Ve République.</w:t>
      </w:r>
    </w:p>
    <w:p w14:paraId="703E1113" w14:textId="77777777" w:rsidR="00E6057C" w:rsidRDefault="00000000">
      <w:pPr>
        <w:pStyle w:val="Paragraphedeliste"/>
        <w:numPr>
          <w:ilvl w:val="0"/>
          <w:numId w:val="2"/>
        </w:numPr>
        <w:spacing w:after="70" w:line="264" w:lineRule="auto"/>
        <w:jc w:val="both"/>
      </w:pPr>
      <w:r>
        <w:rPr>
          <w:rFonts w:ascii="Calibri" w:eastAsia="Calibri" w:hAnsi="Calibri" w:cs="Calibri"/>
          <w:color w:val="2E7D32"/>
        </w:rPr>
        <w:t>Pierre Avril et Jean Gicquel, Le Conseil constitutionnel, Montchrestien, 6e éd., 2011</w:t>
      </w:r>
      <w:r>
        <w:rPr>
          <w:rFonts w:ascii="Calibri" w:eastAsia="Calibri" w:hAnsi="Calibri" w:cs="Calibri"/>
          <w:color w:val="1A1A1A"/>
        </w:rPr>
        <w:t xml:space="preserve"> ; </w:t>
      </w:r>
      <w:r>
        <w:rPr>
          <w:rFonts w:ascii="Calibri" w:eastAsia="Calibri" w:hAnsi="Calibri" w:cs="Calibri"/>
          <w:color w:val="2E7D32"/>
        </w:rPr>
        <w:t>E. Picard, « L’émergence des droits fondamentaux en France », AJDA 1998, n° spécial juillet-août</w:t>
      </w:r>
      <w:r>
        <w:rPr>
          <w:rFonts w:ascii="Calibri" w:eastAsia="Calibri" w:hAnsi="Calibri" w:cs="Calibri"/>
          <w:color w:val="1A1A1A"/>
        </w:rPr>
        <w:t xml:space="preserve"> ; </w:t>
      </w:r>
      <w:r>
        <w:rPr>
          <w:rFonts w:ascii="Calibri" w:eastAsia="Calibri" w:hAnsi="Calibri" w:cs="Calibri"/>
          <w:color w:val="2E7D32"/>
        </w:rPr>
        <w:t>« Le Conseil constitutionnel », Pouvoirs, 2003, n° 105</w:t>
      </w:r>
      <w:r>
        <w:rPr>
          <w:rFonts w:ascii="Calibri" w:eastAsia="Calibri" w:hAnsi="Calibri" w:cs="Calibri"/>
          <w:color w:val="1A1A1A"/>
        </w:rPr>
        <w:t xml:space="preserve"> ; </w:t>
      </w:r>
      <w:r>
        <w:rPr>
          <w:rFonts w:ascii="Calibri" w:eastAsia="Calibri" w:hAnsi="Calibri" w:cs="Calibri"/>
          <w:color w:val="2E7D32"/>
        </w:rPr>
        <w:t>« Les catégories de normes constitutionnelles », Titre VII, n° 8, 2022</w:t>
      </w:r>
      <w:r>
        <w:rPr>
          <w:rFonts w:ascii="Calibri" w:eastAsia="Calibri" w:hAnsi="Calibri" w:cs="Calibri"/>
          <w:color w:val="1A1A1A"/>
        </w:rPr>
        <w:t xml:space="preserve"> ; </w:t>
      </w:r>
      <w:r>
        <w:rPr>
          <w:rFonts w:ascii="Calibri" w:eastAsia="Calibri" w:hAnsi="Calibri" w:cs="Calibri"/>
          <w:color w:val="2E7D32"/>
        </w:rPr>
        <w:t>Redécouvrir le Préambule de la Constitution, rapport du comité présidé par Simone Veil, La Documentation française, 2008</w:t>
      </w:r>
      <w:r>
        <w:rPr>
          <w:rFonts w:ascii="Calibri" w:eastAsia="Calibri" w:hAnsi="Calibri" w:cs="Calibri"/>
          <w:color w:val="1A1A1A"/>
        </w:rPr>
        <w:t>.</w:t>
      </w:r>
    </w:p>
    <w:p w14:paraId="1821F33A" w14:textId="77777777" w:rsidR="00E6057C" w:rsidRDefault="00000000">
      <w:pPr>
        <w:pStyle w:val="Paragraphedeliste"/>
        <w:numPr>
          <w:ilvl w:val="0"/>
          <w:numId w:val="2"/>
        </w:numPr>
        <w:spacing w:after="70" w:line="264" w:lineRule="auto"/>
        <w:jc w:val="both"/>
      </w:pPr>
      <w:r>
        <w:rPr>
          <w:rFonts w:ascii="Calibri" w:eastAsia="Calibri" w:hAnsi="Calibri" w:cs="Calibri"/>
          <w:color w:val="2E7D32"/>
        </w:rPr>
        <w:t>Kelsen, hiérarchie des normes</w:t>
      </w:r>
      <w:r>
        <w:rPr>
          <w:rFonts w:ascii="Calibri" w:eastAsia="Calibri" w:hAnsi="Calibri" w:cs="Calibri"/>
          <w:color w:val="1A1A1A"/>
        </w:rPr>
        <w:t xml:space="preserve"> : une norme N définit les conditions de production de la norme N-1, qui définit à son tour celles de N-2 ; il se peut que N-2 ne respecte pas toutes les conditions nécessaires à sa production. C’est cette </w:t>
      </w:r>
      <w:r>
        <w:rPr>
          <w:rFonts w:ascii="Calibri" w:eastAsia="Calibri" w:hAnsi="Calibri" w:cs="Calibri"/>
          <w:b/>
          <w:bCs/>
          <w:color w:val="1A1A1A"/>
        </w:rPr>
        <w:t>suprématie de la norme supérieure</w:t>
      </w:r>
      <w:r>
        <w:rPr>
          <w:rFonts w:ascii="Calibri" w:eastAsia="Calibri" w:hAnsi="Calibri" w:cs="Calibri"/>
          <w:color w:val="1A1A1A"/>
        </w:rPr>
        <w:t xml:space="preserve"> qui justifie le contrôle de constitutionnalité.</w:t>
      </w:r>
    </w:p>
    <w:p w14:paraId="697CAC25"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Critique centrale</w:t>
      </w:r>
      <w:r>
        <w:rPr>
          <w:rFonts w:ascii="Calibri" w:eastAsia="Calibri" w:hAnsi="Calibri" w:cs="Calibri"/>
          <w:color w:val="1A1A1A"/>
        </w:rPr>
        <w:t xml:space="preserve"> : les trois critères du PFRLR restent </w:t>
      </w:r>
      <w:r>
        <w:rPr>
          <w:rFonts w:ascii="Calibri" w:eastAsia="Calibri" w:hAnsi="Calibri" w:cs="Calibri"/>
          <w:b/>
          <w:bCs/>
          <w:color w:val="1A1A1A"/>
        </w:rPr>
        <w:t>vagues</w:t>
      </w:r>
      <w:r>
        <w:rPr>
          <w:rFonts w:ascii="Calibri" w:eastAsia="Calibri" w:hAnsi="Calibri" w:cs="Calibri"/>
          <w:color w:val="1A1A1A"/>
        </w:rPr>
        <w:t xml:space="preserve">, ce qui confère au Conseil un </w:t>
      </w:r>
      <w:r>
        <w:rPr>
          <w:rFonts w:ascii="Calibri" w:eastAsia="Calibri" w:hAnsi="Calibri" w:cs="Calibri"/>
          <w:b/>
          <w:bCs/>
          <w:color w:val="1A1A1A"/>
        </w:rPr>
        <w:t>fort pouvoir créateur</w:t>
      </w:r>
      <w:r>
        <w:rPr>
          <w:rFonts w:ascii="Calibri" w:eastAsia="Calibri" w:hAnsi="Calibri" w:cs="Calibri"/>
          <w:color w:val="1A1A1A"/>
        </w:rPr>
        <w:t xml:space="preserve"> — et alimente la critique du gouvernement des juges. La décision </w:t>
      </w:r>
      <w:r>
        <w:rPr>
          <w:rFonts w:ascii="Calibri" w:eastAsia="Calibri" w:hAnsi="Calibri" w:cs="Calibri"/>
          <w:color w:val="E91E63"/>
        </w:rPr>
        <w:t>2013-669 DC</w:t>
      </w:r>
      <w:r>
        <w:rPr>
          <w:rFonts w:ascii="Calibri" w:eastAsia="Calibri" w:hAnsi="Calibri" w:cs="Calibri"/>
          <w:color w:val="1A1A1A"/>
        </w:rPr>
        <w:t xml:space="preserve"> est la réponse institutionnelle à cette critique.</w:t>
      </w:r>
    </w:p>
    <w:p w14:paraId="6EE4EA7E" w14:textId="77777777" w:rsidR="00E6057C" w:rsidRDefault="00000000">
      <w:pPr>
        <w:pStyle w:val="Titre2"/>
        <w:spacing w:before="280" w:after="120"/>
      </w:pPr>
      <w:r>
        <w:rPr>
          <w:rFonts w:ascii="Calibri" w:eastAsia="Calibri" w:hAnsi="Calibri" w:cs="Calibri"/>
          <w:b/>
          <w:bCs/>
          <w:color w:val="1A1A1A"/>
          <w:sz w:val="24"/>
          <w:szCs w:val="24"/>
        </w:rPr>
        <w:t>4. Dispositif « Grand Oral »</w:t>
      </w:r>
    </w:p>
    <w:p w14:paraId="5F04E8EB" w14:textId="77777777" w:rsidR="00E6057C" w:rsidRDefault="00000000">
      <w:pPr>
        <w:pStyle w:val="Titre3"/>
        <w:spacing w:before="200" w:after="90"/>
      </w:pPr>
      <w:r>
        <w:rPr>
          <w:rFonts w:ascii="Calibri" w:eastAsia="Calibri" w:hAnsi="Calibri" w:cs="Calibri"/>
          <w:b/>
          <w:bCs/>
          <w:i/>
          <w:iCs/>
          <w:color w:val="5A5A5A"/>
          <w:sz w:val="21"/>
          <w:szCs w:val="21"/>
        </w:rPr>
        <w:t>4.1. Trois relances / questions pièges</w:t>
      </w:r>
    </w:p>
    <w:p w14:paraId="5A687708"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 Le bloc de constitutionnalité est-il hiérarchisé ? »</w:t>
      </w:r>
      <w:r>
        <w:rPr>
          <w:rFonts w:ascii="Calibri" w:eastAsia="Calibri" w:hAnsi="Calibri" w:cs="Calibri"/>
          <w:color w:val="1A1A1A"/>
        </w:rPr>
        <w:t xml:space="preserve"> — En principe non : toutes les normes qui le composent ont la même valeur, ce qui impose au juge de </w:t>
      </w:r>
      <w:r>
        <w:rPr>
          <w:rFonts w:ascii="Calibri" w:eastAsia="Calibri" w:hAnsi="Calibri" w:cs="Calibri"/>
          <w:b/>
          <w:bCs/>
          <w:color w:val="1A1A1A"/>
        </w:rPr>
        <w:t>concilier</w:t>
      </w:r>
      <w:r>
        <w:rPr>
          <w:rFonts w:ascii="Calibri" w:eastAsia="Calibri" w:hAnsi="Calibri" w:cs="Calibri"/>
          <w:color w:val="1A1A1A"/>
        </w:rPr>
        <w:t xml:space="preserve"> plutôt que de hiérarchiser. En fait, oui partiellement : les OVC n’ont pas de portée normative propre et ne sont pas invocables en QPC ; l’article 6 de la Charte est exclu. Réponse attendue : une </w:t>
      </w:r>
      <w:r>
        <w:rPr>
          <w:rFonts w:ascii="Calibri" w:eastAsia="Calibri" w:hAnsi="Calibri" w:cs="Calibri"/>
          <w:b/>
          <w:bCs/>
          <w:color w:val="1A1A1A"/>
        </w:rPr>
        <w:t>hiérarchie de justiciabilité</w:t>
      </w:r>
      <w:r>
        <w:rPr>
          <w:rFonts w:ascii="Calibri" w:eastAsia="Calibri" w:hAnsi="Calibri" w:cs="Calibri"/>
          <w:color w:val="1A1A1A"/>
        </w:rPr>
        <w:t>, non de valeur.</w:t>
      </w:r>
    </w:p>
    <w:p w14:paraId="74AB4AD0"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 Le Conseil constitutionnel s’est-il attribué à lui-même ses normes de référence ? »</w:t>
      </w:r>
      <w:r>
        <w:rPr>
          <w:rFonts w:ascii="Calibri" w:eastAsia="Calibri" w:hAnsi="Calibri" w:cs="Calibri"/>
          <w:color w:val="1A1A1A"/>
        </w:rPr>
        <w:t xml:space="preserve"> — Oui en fait, non en droit : le renvoi opéré par le préambule de 1958 est explicite. Nuance décisive : l’identification des PFRLR, non énumérés par le Préambule de 1946, relève bien d’un choix du juge. Contre-argument à réserver : l’intégration de la Charte en 2005 par le constituant valide rétrospectivement la méthode.</w:t>
      </w:r>
    </w:p>
    <w:p w14:paraId="6A6216C1"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 Un OVC peut-il fonder une QPC ? »</w:t>
      </w:r>
      <w:r>
        <w:rPr>
          <w:rFonts w:ascii="Calibri" w:eastAsia="Calibri" w:hAnsi="Calibri" w:cs="Calibri"/>
          <w:color w:val="1A1A1A"/>
        </w:rPr>
        <w:t xml:space="preserve"> — Non, seul. Il peut en revanche être invoqué </w:t>
      </w:r>
      <w:r>
        <w:rPr>
          <w:rFonts w:ascii="Calibri" w:eastAsia="Calibri" w:hAnsi="Calibri" w:cs="Calibri"/>
          <w:b/>
          <w:bCs/>
          <w:color w:val="1A1A1A"/>
        </w:rPr>
        <w:t>en combinaison</w:t>
      </w:r>
      <w:r>
        <w:rPr>
          <w:rFonts w:ascii="Calibri" w:eastAsia="Calibri" w:hAnsi="Calibri" w:cs="Calibri"/>
          <w:color w:val="1A1A1A"/>
        </w:rPr>
        <w:t xml:space="preserve"> avec un droit ou une liberté que la Constitution garantit, et il joue comme instrument de conciliation dans le contrôle. Piège fréquent : confondre l’OVC « protection de la santé » (</w:t>
      </w:r>
      <w:r>
        <w:rPr>
          <w:rFonts w:ascii="Calibri" w:eastAsia="Calibri" w:hAnsi="Calibri" w:cs="Calibri"/>
          <w:color w:val="E91E63"/>
        </w:rPr>
        <w:t>2012-248 QPC</w:t>
      </w:r>
      <w:r>
        <w:rPr>
          <w:rFonts w:ascii="Calibri" w:eastAsia="Calibri" w:hAnsi="Calibri" w:cs="Calibri"/>
          <w:color w:val="1A1A1A"/>
        </w:rPr>
        <w:t>) et le PPNT « protection de la santé » du Préambule de 1946.</w:t>
      </w:r>
    </w:p>
    <w:p w14:paraId="500FDA6E" w14:textId="77777777" w:rsidR="00E6057C" w:rsidRDefault="00000000">
      <w:pPr>
        <w:pStyle w:val="Titre3"/>
        <w:spacing w:before="200" w:after="90"/>
      </w:pPr>
      <w:r>
        <w:rPr>
          <w:rFonts w:ascii="Calibri" w:eastAsia="Calibri" w:hAnsi="Calibri" w:cs="Calibri"/>
          <w:b/>
          <w:bCs/>
          <w:i/>
          <w:iCs/>
          <w:color w:val="5A5A5A"/>
          <w:sz w:val="21"/>
          <w:szCs w:val="21"/>
        </w:rPr>
        <w:t>4.2. Sujets d’exposé rattachables</w:t>
      </w:r>
    </w:p>
    <w:p w14:paraId="0B3B9285"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Commentaire de la décision n° 71-44 DC du 16 juillet 1971 » (sujet expressément proposé par le fascicule).</w:t>
      </w:r>
    </w:p>
    <w:p w14:paraId="0770A2A8"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Le bloc de constitutionnalité » ; « Les principes fondamentaux reconnus par les lois de la République ».</w:t>
      </w:r>
    </w:p>
    <w:p w14:paraId="071CAC33"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Les objectifs de valeur constitutionnelle protègent-ils les libertés ? » ; « La Charte de l’environnement ».</w:t>
      </w:r>
    </w:p>
    <w:p w14:paraId="7206D799"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Le Conseil constitutionnel, juge des libertés » ; « Le pouvoir créateur du juge constitutionnel ».</w:t>
      </w:r>
    </w:p>
    <w:p w14:paraId="0B89F5D5" w14:textId="77777777" w:rsidR="00E6057C" w:rsidRDefault="00000000">
      <w:pPr>
        <w:pStyle w:val="Titre3"/>
        <w:spacing w:before="200" w:after="90"/>
      </w:pPr>
      <w:r>
        <w:rPr>
          <w:rFonts w:ascii="Calibri" w:eastAsia="Calibri" w:hAnsi="Calibri" w:cs="Calibri"/>
          <w:b/>
          <w:bCs/>
          <w:i/>
          <w:iCs/>
          <w:color w:val="5A5A5A"/>
          <w:sz w:val="21"/>
          <w:szCs w:val="21"/>
        </w:rPr>
        <w:t>4.3. Angles morts — en question / réponse</w:t>
      </w:r>
    </w:p>
    <w:p w14:paraId="46A89969"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1971 est-elle la première décision mentionnant le Préambule ?</w:t>
      </w:r>
      <w:r>
        <w:rPr>
          <w:rFonts w:ascii="Calibri" w:eastAsia="Calibri" w:hAnsi="Calibri" w:cs="Calibri"/>
          <w:color w:val="1A1A1A"/>
        </w:rPr>
        <w:t xml:space="preserve"> — Non : </w:t>
      </w:r>
      <w:r>
        <w:rPr>
          <w:rFonts w:ascii="Calibri" w:eastAsia="Calibri" w:hAnsi="Calibri" w:cs="Calibri"/>
          <w:color w:val="E91E63"/>
        </w:rPr>
        <w:t>70-39 DC, 19 juin 1970</w:t>
      </w:r>
      <w:r>
        <w:rPr>
          <w:rFonts w:ascii="Calibri" w:eastAsia="Calibri" w:hAnsi="Calibri" w:cs="Calibri"/>
          <w:color w:val="1A1A1A"/>
        </w:rPr>
        <w:t xml:space="preserve"> le mentionne déjà. 1971 est la première à </w:t>
      </w:r>
      <w:r>
        <w:rPr>
          <w:rFonts w:ascii="Calibri" w:eastAsia="Calibri" w:hAnsi="Calibri" w:cs="Calibri"/>
          <w:b/>
          <w:bCs/>
          <w:color w:val="1A1A1A"/>
        </w:rPr>
        <w:t>censurer explicitement sur son fondement</w:t>
      </w:r>
      <w:r>
        <w:rPr>
          <w:rFonts w:ascii="Calibri" w:eastAsia="Calibri" w:hAnsi="Calibri" w:cs="Calibri"/>
          <w:color w:val="1A1A1A"/>
        </w:rPr>
        <w:t>.</w:t>
      </w:r>
    </w:p>
    <w:p w14:paraId="4D12315A"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Un PFRLR peut-il reposer sur une loi de 1958 ?</w:t>
      </w:r>
      <w:r>
        <w:rPr>
          <w:rFonts w:ascii="Calibri" w:eastAsia="Calibri" w:hAnsi="Calibri" w:cs="Calibri"/>
          <w:color w:val="1A1A1A"/>
        </w:rPr>
        <w:t xml:space="preserve"> — Non : la loi républicaine doit être </w:t>
      </w:r>
      <w:r>
        <w:rPr>
          <w:rFonts w:ascii="Calibri" w:eastAsia="Calibri" w:hAnsi="Calibri" w:cs="Calibri"/>
          <w:b/>
          <w:bCs/>
          <w:color w:val="1A1A1A"/>
        </w:rPr>
        <w:t>antérieure à 1946</w:t>
      </w:r>
      <w:r>
        <w:rPr>
          <w:rFonts w:ascii="Calibri" w:eastAsia="Calibri" w:hAnsi="Calibri" w:cs="Calibri"/>
          <w:color w:val="1A1A1A"/>
        </w:rPr>
        <w:t>, avoir reçu une application continue et n’avoir subi aucune dérogation avant 1946.</w:t>
      </w:r>
    </w:p>
    <w:p w14:paraId="4DFC2C3A"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Seul le Conseil constitutionnel dégage des PFRLR ?</w:t>
      </w:r>
      <w:r>
        <w:rPr>
          <w:rFonts w:ascii="Calibri" w:eastAsia="Calibri" w:hAnsi="Calibri" w:cs="Calibri"/>
          <w:color w:val="1A1A1A"/>
        </w:rPr>
        <w:t xml:space="preserve"> — Non : le Conseil d’État l’a fait pour le refus d’extradition à but politique (</w:t>
      </w:r>
      <w:r>
        <w:rPr>
          <w:rFonts w:ascii="Calibri" w:eastAsia="Calibri" w:hAnsi="Calibri" w:cs="Calibri"/>
          <w:color w:val="E91E63"/>
        </w:rPr>
        <w:t>Koné</w:t>
      </w:r>
      <w:r w:rsidRPr="00664673">
        <w:rPr>
          <w:rFonts w:ascii="Calibri" w:eastAsia="Calibri" w:hAnsi="Calibri" w:cs="Calibri"/>
          <w:color w:val="FF1393"/>
        </w:rPr>
        <w:t>, 1996</w:t>
      </w:r>
      <w:r w:rsidRPr="00664673">
        <w:rPr>
          <w:rFonts w:ascii="Calibri" w:eastAsia="Calibri" w:hAnsi="Calibri" w:cs="Calibri"/>
          <w:color w:val="000000" w:themeColor="text1"/>
        </w:rPr>
        <w:t xml:space="preserve">) </w:t>
      </w:r>
      <w:r>
        <w:rPr>
          <w:rFonts w:ascii="Calibri" w:eastAsia="Calibri" w:hAnsi="Calibri" w:cs="Calibri"/>
          <w:color w:val="1A1A1A"/>
        </w:rPr>
        <w:t>et la laïcité (</w:t>
      </w:r>
      <w:r>
        <w:rPr>
          <w:rFonts w:ascii="Calibri" w:eastAsia="Calibri" w:hAnsi="Calibri" w:cs="Calibri"/>
          <w:color w:val="E91E63"/>
        </w:rPr>
        <w:t>SNES</w:t>
      </w:r>
      <w:r w:rsidRPr="00664673">
        <w:rPr>
          <w:rFonts w:ascii="Calibri" w:eastAsia="Calibri" w:hAnsi="Calibri" w:cs="Calibri"/>
          <w:color w:val="FF1393"/>
        </w:rPr>
        <w:t>, 2001</w:t>
      </w:r>
      <w:r>
        <w:rPr>
          <w:rFonts w:ascii="Calibri" w:eastAsia="Calibri" w:hAnsi="Calibri" w:cs="Calibri"/>
          <w:color w:val="1A1A1A"/>
        </w:rPr>
        <w:t xml:space="preserve">), et avait reconnu la liberté d’association dès </w:t>
      </w:r>
      <w:r>
        <w:rPr>
          <w:rFonts w:ascii="Calibri" w:eastAsia="Calibri" w:hAnsi="Calibri" w:cs="Calibri"/>
          <w:color w:val="E91E63"/>
        </w:rPr>
        <w:t xml:space="preserve">Amicale des Annamites de </w:t>
      </w:r>
      <w:r w:rsidRPr="00664673">
        <w:rPr>
          <w:rFonts w:ascii="Calibri" w:eastAsia="Calibri" w:hAnsi="Calibri" w:cs="Calibri"/>
          <w:color w:val="FF1393"/>
        </w:rPr>
        <w:t>Paris (1956).</w:t>
      </w:r>
    </w:p>
    <w:p w14:paraId="5E398170"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Toute la Charte de l’environnement est-elle invocable en QPC ?</w:t>
      </w:r>
      <w:r>
        <w:rPr>
          <w:rFonts w:ascii="Calibri" w:eastAsia="Calibri" w:hAnsi="Calibri" w:cs="Calibri"/>
          <w:color w:val="1A1A1A"/>
        </w:rPr>
        <w:t xml:space="preserve"> — Non : l’</w:t>
      </w:r>
      <w:r>
        <w:rPr>
          <w:rFonts w:ascii="Calibri" w:eastAsia="Calibri" w:hAnsi="Calibri" w:cs="Calibri"/>
          <w:color w:val="1E88E5"/>
        </w:rPr>
        <w:t>art. 6</w:t>
      </w:r>
      <w:r>
        <w:rPr>
          <w:rFonts w:ascii="Calibri" w:eastAsia="Calibri" w:hAnsi="Calibri" w:cs="Calibri"/>
          <w:color w:val="1A1A1A"/>
        </w:rPr>
        <w:t xml:space="preserve"> en est exclu (</w:t>
      </w:r>
      <w:r>
        <w:rPr>
          <w:rFonts w:ascii="Calibri" w:eastAsia="Calibri" w:hAnsi="Calibri" w:cs="Calibri"/>
          <w:color w:val="E91E63"/>
        </w:rPr>
        <w:t>2012-283 QPC</w:t>
      </w:r>
      <w:r>
        <w:rPr>
          <w:rFonts w:ascii="Calibri" w:eastAsia="Calibri" w:hAnsi="Calibri" w:cs="Calibri"/>
          <w:color w:val="1A1A1A"/>
        </w:rPr>
        <w:t>).</w:t>
      </w:r>
    </w:p>
    <w:p w14:paraId="5F2793C1"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L’</w:t>
      </w:r>
      <w:r w:rsidRPr="00664673">
        <w:rPr>
          <w:rFonts w:ascii="Calibri" w:eastAsia="Calibri" w:hAnsi="Calibri" w:cs="Calibri"/>
          <w:b/>
          <w:bCs/>
          <w:color w:val="00B0F0"/>
        </w:rPr>
        <w:t xml:space="preserve">article 66 de la Constitution </w:t>
      </w:r>
      <w:r>
        <w:rPr>
          <w:rFonts w:ascii="Calibri" w:eastAsia="Calibri" w:hAnsi="Calibri" w:cs="Calibri"/>
          <w:b/>
          <w:bCs/>
          <w:color w:val="1A1A1A"/>
        </w:rPr>
        <w:t>protège-t-il la « liberté personnelle » ?</w:t>
      </w:r>
      <w:r>
        <w:rPr>
          <w:rFonts w:ascii="Calibri" w:eastAsia="Calibri" w:hAnsi="Calibri" w:cs="Calibri"/>
          <w:color w:val="1A1A1A"/>
        </w:rPr>
        <w:t xml:space="preserve"> — Non : il vise la </w:t>
      </w:r>
      <w:r>
        <w:rPr>
          <w:rFonts w:ascii="Calibri" w:eastAsia="Calibri" w:hAnsi="Calibri" w:cs="Calibri"/>
          <w:b/>
          <w:bCs/>
          <w:color w:val="1A1A1A"/>
        </w:rPr>
        <w:t>liberté individuelle</w:t>
      </w:r>
      <w:r>
        <w:rPr>
          <w:rFonts w:ascii="Calibri" w:eastAsia="Calibri" w:hAnsi="Calibri" w:cs="Calibri"/>
          <w:color w:val="1A1A1A"/>
        </w:rPr>
        <w:t>, dont l’autorité judiciaire est gardienne. La « liberté personnelle » est un PVC distinct, rattaché aux articles 2 et 4 de la DDHC, dont le juge judiciaire n’est pas le gardien constitutionnel.</w:t>
      </w:r>
    </w:p>
    <w:p w14:paraId="0C5C4CCD"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Les PPNT sont-ils, comme les PFRLR, dégagés au cas par cas ?</w:t>
      </w:r>
      <w:r>
        <w:rPr>
          <w:rFonts w:ascii="Calibri" w:eastAsia="Calibri" w:hAnsi="Calibri" w:cs="Calibri"/>
          <w:color w:val="1A1A1A"/>
        </w:rPr>
        <w:t xml:space="preserve"> — Non : ils sont </w:t>
      </w:r>
      <w:r>
        <w:rPr>
          <w:rFonts w:ascii="Calibri" w:eastAsia="Calibri" w:hAnsi="Calibri" w:cs="Calibri"/>
          <w:b/>
          <w:bCs/>
          <w:color w:val="1A1A1A"/>
        </w:rPr>
        <w:t>limitativement énumérés</w:t>
      </w:r>
      <w:r>
        <w:rPr>
          <w:rFonts w:ascii="Calibri" w:eastAsia="Calibri" w:hAnsi="Calibri" w:cs="Calibri"/>
          <w:color w:val="1A1A1A"/>
        </w:rPr>
        <w:t xml:space="preserve"> par le Préambule de 1946. C’est la différence structurelle entre les deux catégories.</w:t>
      </w:r>
    </w:p>
    <w:p w14:paraId="4BFB0759" w14:textId="77777777" w:rsidR="00E6057C" w:rsidRDefault="00000000">
      <w:r>
        <w:br w:type="page"/>
      </w:r>
    </w:p>
    <w:p w14:paraId="7855C7FB" w14:textId="77777777" w:rsidR="00E6057C"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10 — LE BLOC DE LÉGALITÉ</w:t>
      </w:r>
    </w:p>
    <w:p w14:paraId="0DE5E28B" w14:textId="77777777" w:rsidR="00E6057C" w:rsidRDefault="00000000">
      <w:pPr>
        <w:pStyle w:val="Titre2"/>
        <w:spacing w:before="280" w:after="120"/>
      </w:pPr>
      <w:r>
        <w:rPr>
          <w:rFonts w:ascii="Calibri" w:eastAsia="Calibri" w:hAnsi="Calibri" w:cs="Calibri"/>
          <w:b/>
          <w:bCs/>
          <w:color w:val="1A1A1A"/>
          <w:sz w:val="24"/>
          <w:szCs w:val="24"/>
        </w:rPr>
        <w:t>◆ FICHE-MÉMOIRE — à réviser en trois minutes</w:t>
      </w:r>
    </w:p>
    <w:p w14:paraId="4730B9CD" w14:textId="77777777" w:rsidR="00E6057C" w:rsidRDefault="00000000">
      <w:pPr>
        <w:pStyle w:val="Titre3"/>
        <w:spacing w:before="200" w:after="90"/>
      </w:pPr>
      <w:r>
        <w:rPr>
          <w:rFonts w:ascii="Calibri" w:eastAsia="Calibri" w:hAnsi="Calibri" w:cs="Calibri"/>
          <w:b/>
          <w:bCs/>
          <w:i/>
          <w:iCs/>
          <w:color w:val="5A5A5A"/>
          <w:sz w:val="21"/>
          <w:szCs w:val="21"/>
        </w:rPr>
        <w:t>Accroche</w:t>
      </w:r>
    </w:p>
    <w:p w14:paraId="3354B601"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i/>
          <w:iCs/>
          <w:color w:val="1A1A1A"/>
        </w:rPr>
        <w:t>Quand la loi bavarde, le citoyen ne l’écoute plus que d’une oreille distraite</w:t>
      </w:r>
      <w:r>
        <w:rPr>
          <w:rFonts w:ascii="Calibri" w:eastAsia="Calibri" w:hAnsi="Calibri" w:cs="Calibri"/>
          <w:color w:val="1A1A1A"/>
        </w:rPr>
        <w:t xml:space="preserve"> » (</w:t>
      </w:r>
      <w:r>
        <w:rPr>
          <w:rFonts w:ascii="Calibri" w:eastAsia="Calibri" w:hAnsi="Calibri" w:cs="Calibri"/>
          <w:color w:val="2E7D32"/>
        </w:rPr>
        <w:t>Conseil d’État, Rapport public 1991</w:t>
      </w:r>
      <w:r>
        <w:rPr>
          <w:rFonts w:ascii="Calibri" w:eastAsia="Calibri" w:hAnsi="Calibri" w:cs="Calibri"/>
          <w:color w:val="1A1A1A"/>
        </w:rPr>
        <w:t xml:space="preserve">). De la loi infaillible de </w:t>
      </w:r>
      <w:r>
        <w:rPr>
          <w:rFonts w:ascii="Calibri" w:eastAsia="Calibri" w:hAnsi="Calibri" w:cs="Calibri"/>
          <w:color w:val="2E7D32"/>
        </w:rPr>
        <w:t>Rousseau</w:t>
      </w:r>
      <w:r>
        <w:rPr>
          <w:rFonts w:ascii="Calibri" w:eastAsia="Calibri" w:hAnsi="Calibri" w:cs="Calibri"/>
          <w:color w:val="1A1A1A"/>
        </w:rPr>
        <w:t xml:space="preserve"> à la loi bavarde du Conseil d’État, le bloc de légalité raconte le </w:t>
      </w:r>
      <w:r>
        <w:rPr>
          <w:rFonts w:ascii="Calibri" w:eastAsia="Calibri" w:hAnsi="Calibri" w:cs="Calibri"/>
          <w:b/>
          <w:bCs/>
          <w:color w:val="1A1A1A"/>
        </w:rPr>
        <w:t>déclin d’une norme</w:t>
      </w:r>
      <w:r>
        <w:rPr>
          <w:rFonts w:ascii="Calibri" w:eastAsia="Calibri" w:hAnsi="Calibri" w:cs="Calibri"/>
          <w:color w:val="1A1A1A"/>
        </w:rPr>
        <w:t xml:space="preserve"> qui fut, deux siècles durant, la seule source légitime des libertés.</w:t>
      </w:r>
    </w:p>
    <w:p w14:paraId="53D7179C"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Accroche alternative : « </w:t>
      </w:r>
      <w:r>
        <w:rPr>
          <w:rFonts w:ascii="Calibri" w:eastAsia="Calibri" w:hAnsi="Calibri" w:cs="Calibri"/>
          <w:i/>
          <w:iCs/>
          <w:color w:val="1A1A1A"/>
        </w:rPr>
        <w:t>La loi n’exprime la volonté générale que dans le respect de la Constitution</w:t>
      </w:r>
      <w:r>
        <w:rPr>
          <w:rFonts w:ascii="Calibri" w:eastAsia="Calibri" w:hAnsi="Calibri" w:cs="Calibri"/>
          <w:color w:val="1A1A1A"/>
        </w:rPr>
        <w:t xml:space="preserve"> » (</w:t>
      </w:r>
      <w:r>
        <w:rPr>
          <w:rFonts w:ascii="Calibri" w:eastAsia="Calibri" w:hAnsi="Calibri" w:cs="Calibri"/>
          <w:color w:val="E91E63"/>
        </w:rPr>
        <w:t>Cons. const., déc. n° 85-197 DC, 23 août 1985, Évolution de la Nouvelle-Calédonie</w:t>
      </w:r>
      <w:r>
        <w:rPr>
          <w:rFonts w:ascii="Calibri" w:eastAsia="Calibri" w:hAnsi="Calibri" w:cs="Calibri"/>
          <w:color w:val="1A1A1A"/>
        </w:rPr>
        <w:t>) — la phrase qui met fin au légicentrisme français.</w:t>
      </w:r>
    </w:p>
    <w:p w14:paraId="7DB18DF1" w14:textId="77777777" w:rsidR="00E6057C" w:rsidRDefault="00000000">
      <w:pPr>
        <w:pStyle w:val="Titre3"/>
        <w:spacing w:before="200" w:after="90"/>
      </w:pPr>
      <w:r>
        <w:rPr>
          <w:rFonts w:ascii="Calibri" w:eastAsia="Calibri" w:hAnsi="Calibri" w:cs="Calibri"/>
          <w:b/>
          <w:bCs/>
          <w:i/>
          <w:iCs/>
          <w:color w:val="5A5A5A"/>
          <w:sz w:val="21"/>
          <w:szCs w:val="21"/>
        </w:rPr>
        <w:t>Définition en trois lignes</w:t>
      </w:r>
    </w:p>
    <w:p w14:paraId="1F9F4153"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Le bloc de légalité est l’</w:t>
      </w:r>
      <w:r>
        <w:rPr>
          <w:rFonts w:ascii="Calibri" w:eastAsia="Calibri" w:hAnsi="Calibri" w:cs="Calibri"/>
          <w:b/>
          <w:bCs/>
          <w:color w:val="1A1A1A"/>
        </w:rPr>
        <w:t>ensemble des normes de valeur législative servant de normes de référence au contrôle de légalité des actes administratifs</w:t>
      </w:r>
      <w:r>
        <w:rPr>
          <w:rFonts w:ascii="Calibri" w:eastAsia="Calibri" w:hAnsi="Calibri" w:cs="Calibri"/>
          <w:color w:val="1A1A1A"/>
        </w:rPr>
        <w:t xml:space="preserve">. Position </w:t>
      </w:r>
      <w:r>
        <w:rPr>
          <w:rFonts w:ascii="Calibri" w:eastAsia="Calibri" w:hAnsi="Calibri" w:cs="Calibri"/>
          <w:b/>
          <w:bCs/>
          <w:color w:val="1A1A1A"/>
        </w:rPr>
        <w:t>intermédiaire</w:t>
      </w:r>
      <w:r>
        <w:rPr>
          <w:rFonts w:ascii="Calibri" w:eastAsia="Calibri" w:hAnsi="Calibri" w:cs="Calibri"/>
          <w:color w:val="1A1A1A"/>
        </w:rPr>
        <w:t xml:space="preserve"> dans la hiérarchie : norme de référence pour le juge administratif, norme contrôlée au regard de la Constitution et des conventions. Deux acceptions : </w:t>
      </w:r>
      <w:r>
        <w:rPr>
          <w:rFonts w:ascii="Calibri" w:eastAsia="Calibri" w:hAnsi="Calibri" w:cs="Calibri"/>
          <w:b/>
          <w:bCs/>
          <w:color w:val="1A1A1A"/>
        </w:rPr>
        <w:t>traditionnelle</w:t>
      </w:r>
      <w:r>
        <w:rPr>
          <w:rFonts w:ascii="Calibri" w:eastAsia="Calibri" w:hAnsi="Calibri" w:cs="Calibri"/>
          <w:color w:val="1A1A1A"/>
        </w:rPr>
        <w:t xml:space="preserve"> (lois organiques, ordinaires, référendaires, ordonnances) et </w:t>
      </w:r>
      <w:r>
        <w:rPr>
          <w:rFonts w:ascii="Calibri" w:eastAsia="Calibri" w:hAnsi="Calibri" w:cs="Calibri"/>
          <w:b/>
          <w:bCs/>
          <w:color w:val="1A1A1A"/>
        </w:rPr>
        <w:t>élargie</w:t>
      </w:r>
      <w:r>
        <w:rPr>
          <w:rFonts w:ascii="Calibri" w:eastAsia="Calibri" w:hAnsi="Calibri" w:cs="Calibri"/>
          <w:color w:val="1A1A1A"/>
        </w:rPr>
        <w:t xml:space="preserve"> (intégration des principes généraux du droit).</w:t>
      </w:r>
    </w:p>
    <w:p w14:paraId="3B99E0D9" w14:textId="77777777" w:rsidR="00E6057C" w:rsidRDefault="00000000">
      <w:pPr>
        <w:pStyle w:val="Titre3"/>
        <w:spacing w:before="200" w:after="90"/>
      </w:pPr>
      <w:r>
        <w:rPr>
          <w:rFonts w:ascii="Calibri" w:eastAsia="Calibri" w:hAnsi="Calibri" w:cs="Calibri"/>
          <w:b/>
          <w:bCs/>
          <w:i/>
          <w:iCs/>
          <w:color w:val="5A5A5A"/>
          <w:sz w:val="21"/>
          <w:szCs w:val="21"/>
        </w:rPr>
        <w:t>Les cinq références incontournables</w:t>
      </w:r>
    </w:p>
    <w:p w14:paraId="1953BA8D"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85-197 DC, 23 août 1985</w:t>
      </w:r>
      <w:r>
        <w:rPr>
          <w:rFonts w:ascii="Calibri" w:eastAsia="Calibri" w:hAnsi="Calibri" w:cs="Calibri"/>
          <w:color w:val="1A1A1A"/>
        </w:rPr>
        <w:t xml:space="preserve"> : </w:t>
      </w:r>
      <w:r>
        <w:rPr>
          <w:rFonts w:ascii="Calibri" w:eastAsia="Calibri" w:hAnsi="Calibri" w:cs="Calibri"/>
          <w:b/>
          <w:bCs/>
          <w:color w:val="1A1A1A"/>
        </w:rPr>
        <w:t>fin du légicentrisme</w:t>
      </w:r>
      <w:r>
        <w:rPr>
          <w:rFonts w:ascii="Calibri" w:eastAsia="Calibri" w:hAnsi="Calibri" w:cs="Calibri"/>
          <w:color w:val="1A1A1A"/>
        </w:rPr>
        <w:t xml:space="preserve"> — la loi n’est l’expression de la volonté générale que dans le respect de la Constitution.</w:t>
      </w:r>
    </w:p>
    <w:p w14:paraId="3C288545"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26 octobre 1945, Aramu, n° 77726</w:t>
      </w:r>
      <w:r>
        <w:rPr>
          <w:rFonts w:ascii="Calibri" w:eastAsia="Calibri" w:hAnsi="Calibri" w:cs="Calibri"/>
          <w:color w:val="1A1A1A"/>
        </w:rPr>
        <w:t xml:space="preserve"> : </w:t>
      </w:r>
      <w:r>
        <w:rPr>
          <w:rFonts w:ascii="Calibri" w:eastAsia="Calibri" w:hAnsi="Calibri" w:cs="Calibri"/>
          <w:b/>
          <w:bCs/>
          <w:color w:val="1A1A1A"/>
        </w:rPr>
        <w:t>naissance des PGD</w:t>
      </w:r>
      <w:r>
        <w:rPr>
          <w:rFonts w:ascii="Calibri" w:eastAsia="Calibri" w:hAnsi="Calibri" w:cs="Calibri"/>
          <w:color w:val="1A1A1A"/>
        </w:rPr>
        <w:t xml:space="preserve"> — des principes généraux du droit sont applicables </w:t>
      </w:r>
      <w:r>
        <w:rPr>
          <w:rFonts w:ascii="Calibri" w:eastAsia="Calibri" w:hAnsi="Calibri" w:cs="Calibri"/>
          <w:b/>
          <w:bCs/>
          <w:color w:val="1A1A1A"/>
        </w:rPr>
        <w:t>même en l’absence de texte</w:t>
      </w:r>
      <w:r>
        <w:rPr>
          <w:rFonts w:ascii="Calibri" w:eastAsia="Calibri" w:hAnsi="Calibri" w:cs="Calibri"/>
          <w:color w:val="1A1A1A"/>
        </w:rPr>
        <w:t>.</w:t>
      </w:r>
    </w:p>
    <w:p w14:paraId="798D7DEE"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Cass., ch. mixte, 24 mai 1975, Jacques Vabre, n° 73-13.556</w:t>
      </w:r>
      <w:r>
        <w:rPr>
          <w:rFonts w:ascii="Calibri" w:eastAsia="Calibri" w:hAnsi="Calibri" w:cs="Calibri"/>
          <w:color w:val="1A1A1A"/>
        </w:rPr>
        <w:t xml:space="preserve"> et </w:t>
      </w:r>
      <w:r>
        <w:rPr>
          <w:rFonts w:ascii="Calibri" w:eastAsia="Calibri" w:hAnsi="Calibri" w:cs="Calibri"/>
          <w:color w:val="E91E63"/>
        </w:rPr>
        <w:t>CE, Ass., 20 octobre 1989, Nicolo, n° 108243</w:t>
      </w:r>
      <w:r>
        <w:rPr>
          <w:rFonts w:ascii="Calibri" w:eastAsia="Calibri" w:hAnsi="Calibri" w:cs="Calibri"/>
          <w:color w:val="1A1A1A"/>
        </w:rPr>
        <w:t xml:space="preserve"> : </w:t>
      </w:r>
      <w:r>
        <w:rPr>
          <w:rFonts w:ascii="Calibri" w:eastAsia="Calibri" w:hAnsi="Calibri" w:cs="Calibri"/>
          <w:b/>
          <w:bCs/>
          <w:color w:val="1A1A1A"/>
        </w:rPr>
        <w:t>contrôle de conventionnalité</w:t>
      </w:r>
      <w:r>
        <w:rPr>
          <w:rFonts w:ascii="Calibri" w:eastAsia="Calibri" w:hAnsi="Calibri" w:cs="Calibri"/>
          <w:color w:val="1A1A1A"/>
        </w:rPr>
        <w:t xml:space="preserve"> de la loi par le juge ordinaire.</w:t>
      </w:r>
    </w:p>
    <w:p w14:paraId="442519CF"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86-217 DC, 18 septembre 1986, Liberté de communication</w:t>
      </w:r>
      <w:r>
        <w:rPr>
          <w:rFonts w:ascii="Calibri" w:eastAsia="Calibri" w:hAnsi="Calibri" w:cs="Calibri"/>
          <w:color w:val="1A1A1A"/>
        </w:rPr>
        <w:t xml:space="preserve"> : </w:t>
      </w:r>
      <w:r>
        <w:rPr>
          <w:rFonts w:ascii="Calibri" w:eastAsia="Calibri" w:hAnsi="Calibri" w:cs="Calibri"/>
          <w:b/>
          <w:bCs/>
          <w:color w:val="1A1A1A"/>
        </w:rPr>
        <w:t>effet cliquet</w:t>
      </w:r>
      <w:r>
        <w:rPr>
          <w:rFonts w:ascii="Calibri" w:eastAsia="Calibri" w:hAnsi="Calibri" w:cs="Calibri"/>
          <w:color w:val="1A1A1A"/>
        </w:rPr>
        <w:t xml:space="preserve"> — le législateur peut modifier ou abroger, à la seule condition de ne pas priver de garanties légales des exigences constitutionnelles.</w:t>
      </w:r>
    </w:p>
    <w:p w14:paraId="5E5BE7E6"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20 mars 2025, Association pour la défense du droit au recours, n° 494158</w:t>
      </w:r>
      <w:r>
        <w:rPr>
          <w:rFonts w:ascii="Calibri" w:eastAsia="Calibri" w:hAnsi="Calibri" w:cs="Calibri"/>
          <w:color w:val="1A1A1A"/>
        </w:rPr>
        <w:t xml:space="preserve"> : une </w:t>
      </w:r>
      <w:r>
        <w:rPr>
          <w:rFonts w:ascii="Calibri" w:eastAsia="Calibri" w:hAnsi="Calibri" w:cs="Calibri"/>
          <w:b/>
          <w:bCs/>
          <w:color w:val="1A1A1A"/>
        </w:rPr>
        <w:t>ordonnance non ratifiée demeure un acte administratif</w:t>
      </w:r>
      <w:r>
        <w:rPr>
          <w:rFonts w:ascii="Calibri" w:eastAsia="Calibri" w:hAnsi="Calibri" w:cs="Calibri"/>
          <w:color w:val="1A1A1A"/>
        </w:rPr>
        <w:t>, mais après expiration du délai d’habilitation ses dispositions du domaine législatif ne peuvent plus être modifiées par le pouvoir réglementaire.</w:t>
      </w:r>
    </w:p>
    <w:p w14:paraId="06DC4A42" w14:textId="77777777" w:rsidR="00E6057C" w:rsidRDefault="00000000">
      <w:pPr>
        <w:pStyle w:val="Titre3"/>
        <w:spacing w:before="200" w:after="90"/>
      </w:pPr>
      <w:r>
        <w:rPr>
          <w:rFonts w:ascii="Calibri" w:eastAsia="Calibri" w:hAnsi="Calibri" w:cs="Calibri"/>
          <w:b/>
          <w:bCs/>
          <w:i/>
          <w:iCs/>
          <w:color w:val="5A5A5A"/>
          <w:sz w:val="21"/>
          <w:szCs w:val="21"/>
        </w:rPr>
        <w:t>Deux matrices de plan</w:t>
      </w:r>
    </w:p>
    <w:p w14:paraId="4C198870"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Sujet « La loi protège-t-elle encore les libertés ? »</w:t>
      </w:r>
      <w:r>
        <w:rPr>
          <w:rFonts w:ascii="Calibri" w:eastAsia="Calibri" w:hAnsi="Calibri" w:cs="Calibri"/>
          <w:color w:val="1A1A1A"/>
        </w:rPr>
        <w:t xml:space="preserve"> — </w:t>
      </w:r>
      <w:r>
        <w:rPr>
          <w:rFonts w:ascii="Calibri" w:eastAsia="Calibri" w:hAnsi="Calibri" w:cs="Calibri"/>
          <w:b/>
          <w:bCs/>
          <w:color w:val="1A1A1A"/>
        </w:rPr>
        <w:t>I. Une source historiquement nécessaire</w:t>
      </w:r>
      <w:r>
        <w:rPr>
          <w:rFonts w:ascii="Calibri" w:eastAsia="Calibri" w:hAnsi="Calibri" w:cs="Calibri"/>
          <w:color w:val="1A1A1A"/>
        </w:rPr>
        <w:t xml:space="preserve"> (A. L’héritage légicentriste : </w:t>
      </w:r>
      <w:r>
        <w:rPr>
          <w:rFonts w:ascii="Calibri" w:eastAsia="Calibri" w:hAnsi="Calibri" w:cs="Calibri"/>
          <w:color w:val="1E88E5"/>
        </w:rPr>
        <w:t>art. 5 et 6 DDHC</w:t>
      </w:r>
      <w:r>
        <w:rPr>
          <w:rFonts w:ascii="Calibri" w:eastAsia="Calibri" w:hAnsi="Calibri" w:cs="Calibri"/>
          <w:color w:val="1A1A1A"/>
        </w:rPr>
        <w:t xml:space="preserve">, grandes lois de la IIIe République ; B. Une compétence constitutionnellement réservée : </w:t>
      </w:r>
      <w:r>
        <w:rPr>
          <w:rFonts w:ascii="Calibri" w:eastAsia="Calibri" w:hAnsi="Calibri" w:cs="Calibri"/>
          <w:color w:val="1E88E5"/>
        </w:rPr>
        <w:t>art. 34 C.</w:t>
      </w:r>
      <w:r>
        <w:rPr>
          <w:rFonts w:ascii="Calibri" w:eastAsia="Calibri" w:hAnsi="Calibri" w:cs="Calibri"/>
          <w:color w:val="1A1A1A"/>
        </w:rPr>
        <w:t xml:space="preserve">, traduction juridique et effectivité des droits) / </w:t>
      </w:r>
      <w:r>
        <w:rPr>
          <w:rFonts w:ascii="Calibri" w:eastAsia="Calibri" w:hAnsi="Calibri" w:cs="Calibri"/>
          <w:b/>
          <w:bCs/>
          <w:color w:val="1A1A1A"/>
        </w:rPr>
        <w:t>II. Une source désormais suspecte et encadrée</w:t>
      </w:r>
      <w:r>
        <w:rPr>
          <w:rFonts w:ascii="Calibri" w:eastAsia="Calibri" w:hAnsi="Calibri" w:cs="Calibri"/>
          <w:color w:val="1A1A1A"/>
        </w:rPr>
        <w:t xml:space="preserve"> (A. Une norme subordonnée : </w:t>
      </w:r>
      <w:r>
        <w:rPr>
          <w:rFonts w:ascii="Calibri" w:eastAsia="Calibri" w:hAnsi="Calibri" w:cs="Calibri"/>
          <w:color w:val="E91E63"/>
        </w:rPr>
        <w:t>85-197 DC</w:t>
      </w:r>
      <w:r>
        <w:rPr>
          <w:rFonts w:ascii="Calibri" w:eastAsia="Calibri" w:hAnsi="Calibri" w:cs="Calibri"/>
          <w:color w:val="1A1A1A"/>
        </w:rPr>
        <w:t>, contrôle de constitutionnalité, contrôle de conventionnalité, effet cliquet ; B. Une norme dévaluée : inflation normative, désobéissance civile et clauses de conscience).</w:t>
      </w:r>
    </w:p>
    <w:p w14:paraId="0A940EF3"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Sujet « Le bloc de légalité »</w:t>
      </w:r>
      <w:r>
        <w:rPr>
          <w:rFonts w:ascii="Calibri" w:eastAsia="Calibri" w:hAnsi="Calibri" w:cs="Calibri"/>
          <w:color w:val="1A1A1A"/>
        </w:rPr>
        <w:t xml:space="preserve"> — </w:t>
      </w:r>
      <w:r>
        <w:rPr>
          <w:rFonts w:ascii="Calibri" w:eastAsia="Calibri" w:hAnsi="Calibri" w:cs="Calibri"/>
          <w:b/>
          <w:bCs/>
          <w:color w:val="1A1A1A"/>
        </w:rPr>
        <w:t>I. Un bloc hétérogène</w:t>
      </w:r>
      <w:r>
        <w:rPr>
          <w:rFonts w:ascii="Calibri" w:eastAsia="Calibri" w:hAnsi="Calibri" w:cs="Calibri"/>
          <w:color w:val="1A1A1A"/>
        </w:rPr>
        <w:t xml:space="preserve"> (A. La diversité des normes législatives : organiques, ordinaires, référendaires ; B. Le cas frontière des ordonnances de l’</w:t>
      </w:r>
      <w:r>
        <w:rPr>
          <w:rFonts w:ascii="Calibri" w:eastAsia="Calibri" w:hAnsi="Calibri" w:cs="Calibri"/>
          <w:color w:val="1E88E5"/>
        </w:rPr>
        <w:t>art. 38 C.</w:t>
      </w:r>
      <w:r>
        <w:rPr>
          <w:rFonts w:ascii="Calibri" w:eastAsia="Calibri" w:hAnsi="Calibri" w:cs="Calibri"/>
          <w:color w:val="1A1A1A"/>
        </w:rPr>
        <w:t xml:space="preserve">) / </w:t>
      </w:r>
      <w:r>
        <w:rPr>
          <w:rFonts w:ascii="Calibri" w:eastAsia="Calibri" w:hAnsi="Calibri" w:cs="Calibri"/>
          <w:b/>
          <w:bCs/>
          <w:color w:val="1A1A1A"/>
        </w:rPr>
        <w:t>II. Un bloc élargi et de valeur incertaine</w:t>
      </w:r>
      <w:r>
        <w:rPr>
          <w:rFonts w:ascii="Calibri" w:eastAsia="Calibri" w:hAnsi="Calibri" w:cs="Calibri"/>
          <w:color w:val="1A1A1A"/>
        </w:rPr>
        <w:t xml:space="preserve"> (A. L’intégration prétorienne des PGD : </w:t>
      </w:r>
      <w:r>
        <w:rPr>
          <w:rFonts w:ascii="Calibri" w:eastAsia="Calibri" w:hAnsi="Calibri" w:cs="Calibri"/>
          <w:color w:val="E91E63"/>
        </w:rPr>
        <w:t>Aramu</w:t>
      </w:r>
      <w:r>
        <w:rPr>
          <w:rFonts w:ascii="Calibri" w:eastAsia="Calibri" w:hAnsi="Calibri" w:cs="Calibri"/>
          <w:color w:val="1A1A1A"/>
        </w:rPr>
        <w:t xml:space="preserve"> ; B. Une valeur « infralégislative mais supra-décrétale » — </w:t>
      </w:r>
      <w:r>
        <w:rPr>
          <w:rFonts w:ascii="Calibri" w:eastAsia="Calibri" w:hAnsi="Calibri" w:cs="Calibri"/>
          <w:color w:val="2E7D32"/>
        </w:rPr>
        <w:t>R. Chapus</w:t>
      </w:r>
      <w:r>
        <w:rPr>
          <w:rFonts w:ascii="Calibri" w:eastAsia="Calibri" w:hAnsi="Calibri" w:cs="Calibri"/>
          <w:color w:val="1A1A1A"/>
        </w:rPr>
        <w:t>).</w:t>
      </w:r>
    </w:p>
    <w:p w14:paraId="6D0E4715" w14:textId="77777777" w:rsidR="00E6057C" w:rsidRDefault="00000000">
      <w:pPr>
        <w:pStyle w:val="Titre3"/>
        <w:spacing w:before="200" w:after="90"/>
      </w:pPr>
      <w:r>
        <w:rPr>
          <w:rFonts w:ascii="Calibri" w:eastAsia="Calibri" w:hAnsi="Calibri" w:cs="Calibri"/>
          <w:b/>
          <w:bCs/>
          <w:i/>
          <w:iCs/>
          <w:color w:val="5A5A5A"/>
          <w:sz w:val="21"/>
          <w:szCs w:val="21"/>
        </w:rPr>
        <w:t>Trois pièges</w:t>
      </w:r>
    </w:p>
    <w:p w14:paraId="57C9E36B"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PGD ≠ PFRLR ≠ PVC</w:t>
      </w:r>
      <w:r>
        <w:rPr>
          <w:rFonts w:ascii="Calibri" w:eastAsia="Calibri" w:hAnsi="Calibri" w:cs="Calibri"/>
          <w:color w:val="1A1A1A"/>
        </w:rPr>
        <w:t xml:space="preserve"> : les premiers sont dégagés par le </w:t>
      </w:r>
      <w:r>
        <w:rPr>
          <w:rFonts w:ascii="Calibri" w:eastAsia="Calibri" w:hAnsi="Calibri" w:cs="Calibri"/>
          <w:b/>
          <w:bCs/>
          <w:color w:val="1A1A1A"/>
        </w:rPr>
        <w:t>juge administratif</w:t>
      </w:r>
      <w:r>
        <w:rPr>
          <w:rFonts w:ascii="Calibri" w:eastAsia="Calibri" w:hAnsi="Calibri" w:cs="Calibri"/>
          <w:color w:val="1A1A1A"/>
        </w:rPr>
        <w:t xml:space="preserve"> et de valeur infralégislative ; les deuxièmes et troisièmes sont de valeur </w:t>
      </w:r>
      <w:r>
        <w:rPr>
          <w:rFonts w:ascii="Calibri" w:eastAsia="Calibri" w:hAnsi="Calibri" w:cs="Calibri"/>
          <w:b/>
          <w:bCs/>
          <w:color w:val="1A1A1A"/>
        </w:rPr>
        <w:t>constitutionnelle</w:t>
      </w:r>
      <w:r>
        <w:rPr>
          <w:rFonts w:ascii="Calibri" w:eastAsia="Calibri" w:hAnsi="Calibri" w:cs="Calibri"/>
          <w:color w:val="1A1A1A"/>
        </w:rPr>
        <w:t>.</w:t>
      </w:r>
    </w:p>
    <w:p w14:paraId="77266432"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Ordonnance non ratifiée</w:t>
      </w:r>
      <w:r>
        <w:rPr>
          <w:rFonts w:ascii="Calibri" w:eastAsia="Calibri" w:hAnsi="Calibri" w:cs="Calibri"/>
          <w:color w:val="1A1A1A"/>
        </w:rPr>
        <w:t xml:space="preserve"> : elle reste un </w:t>
      </w:r>
      <w:r>
        <w:rPr>
          <w:rFonts w:ascii="Calibri" w:eastAsia="Calibri" w:hAnsi="Calibri" w:cs="Calibri"/>
          <w:b/>
          <w:bCs/>
          <w:color w:val="1A1A1A"/>
        </w:rPr>
        <w:t>acte administratif</w:t>
      </w:r>
      <w:r>
        <w:rPr>
          <w:rFonts w:ascii="Calibri" w:eastAsia="Calibri" w:hAnsi="Calibri" w:cs="Calibri"/>
          <w:color w:val="1A1A1A"/>
        </w:rPr>
        <w:t xml:space="preserve"> ; mais après l’expiration du délai d’habilitation, la contestation de ses dispositions du domaine législatif au titre des droits et libertés passe par la </w:t>
      </w:r>
      <w:r>
        <w:rPr>
          <w:rFonts w:ascii="Calibri" w:eastAsia="Calibri" w:hAnsi="Calibri" w:cs="Calibri"/>
          <w:b/>
          <w:bCs/>
          <w:color w:val="1A1A1A"/>
        </w:rPr>
        <w:t>QPC</w:t>
      </w:r>
      <w:r>
        <w:rPr>
          <w:rFonts w:ascii="Calibri" w:eastAsia="Calibri" w:hAnsi="Calibri" w:cs="Calibri"/>
          <w:color w:val="1A1A1A"/>
        </w:rPr>
        <w:t>.</w:t>
      </w:r>
    </w:p>
    <w:p w14:paraId="16DEDAB0"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Jacques Vabre</w:t>
      </w:r>
      <w:r>
        <w:rPr>
          <w:rFonts w:ascii="Calibri" w:eastAsia="Calibri" w:hAnsi="Calibri" w:cs="Calibri"/>
          <w:color w:val="1A1A1A"/>
        </w:rPr>
        <w:t xml:space="preserve"> est une décision de la </w:t>
      </w:r>
      <w:r>
        <w:rPr>
          <w:rFonts w:ascii="Calibri" w:eastAsia="Calibri" w:hAnsi="Calibri" w:cs="Calibri"/>
          <w:b/>
          <w:bCs/>
          <w:color w:val="1A1A1A"/>
        </w:rPr>
        <w:t>Cour de cassation (chambre mixte, 1975)</w:t>
      </w:r>
      <w:r>
        <w:rPr>
          <w:rFonts w:ascii="Calibri" w:eastAsia="Calibri" w:hAnsi="Calibri" w:cs="Calibri"/>
          <w:color w:val="1A1A1A"/>
        </w:rPr>
        <w:t xml:space="preserve">, </w:t>
      </w:r>
      <w:r>
        <w:rPr>
          <w:rFonts w:ascii="Calibri" w:eastAsia="Calibri" w:hAnsi="Calibri" w:cs="Calibri"/>
          <w:b/>
          <w:bCs/>
          <w:color w:val="1A1A1A"/>
        </w:rPr>
        <w:t>Nicolo</w:t>
      </w:r>
      <w:r>
        <w:rPr>
          <w:rFonts w:ascii="Calibri" w:eastAsia="Calibri" w:hAnsi="Calibri" w:cs="Calibri"/>
          <w:color w:val="1A1A1A"/>
        </w:rPr>
        <w:t xml:space="preserve"> une décision du </w:t>
      </w:r>
      <w:r>
        <w:rPr>
          <w:rFonts w:ascii="Calibri" w:eastAsia="Calibri" w:hAnsi="Calibri" w:cs="Calibri"/>
          <w:b/>
          <w:bCs/>
          <w:color w:val="1A1A1A"/>
        </w:rPr>
        <w:t>Conseil d’État (Assemblée, 1989)</w:t>
      </w:r>
      <w:r>
        <w:rPr>
          <w:rFonts w:ascii="Calibri" w:eastAsia="Calibri" w:hAnsi="Calibri" w:cs="Calibri"/>
          <w:color w:val="1A1A1A"/>
        </w:rPr>
        <w:t xml:space="preserve"> — quatorze ans d’écart, ne jamais les inverser.</w:t>
      </w:r>
    </w:p>
    <w:p w14:paraId="7E784376" w14:textId="77777777" w:rsidR="00E6057C" w:rsidRDefault="00000000">
      <w:r>
        <w:br w:type="page"/>
      </w:r>
    </w:p>
    <w:p w14:paraId="66C1088A" w14:textId="77777777" w:rsidR="00E6057C" w:rsidRDefault="00000000">
      <w:pPr>
        <w:pStyle w:val="Titre2"/>
        <w:spacing w:before="280" w:after="120"/>
      </w:pPr>
      <w:r>
        <w:rPr>
          <w:rFonts w:ascii="Calibri" w:eastAsia="Calibri" w:hAnsi="Calibri" w:cs="Calibri"/>
          <w:b/>
          <w:bCs/>
          <w:color w:val="1A1A1A"/>
          <w:sz w:val="24"/>
          <w:szCs w:val="24"/>
        </w:rPr>
        <w:lastRenderedPageBreak/>
        <w:t>1. Architecture textuelle</w:t>
      </w:r>
    </w:p>
    <w:p w14:paraId="16718DF2" w14:textId="77777777" w:rsidR="00E6057C" w:rsidRDefault="00000000">
      <w:pPr>
        <w:pStyle w:val="Titre3"/>
        <w:spacing w:before="200" w:after="90"/>
      </w:pPr>
      <w:r>
        <w:rPr>
          <w:rFonts w:ascii="Calibri" w:eastAsia="Calibri" w:hAnsi="Calibri" w:cs="Calibri"/>
          <w:b/>
          <w:bCs/>
          <w:i/>
          <w:iCs/>
          <w:color w:val="5A5A5A"/>
          <w:sz w:val="21"/>
          <w:szCs w:val="21"/>
        </w:rPr>
        <w:t>1.1. Le socle légicentriste</w:t>
      </w:r>
    </w:p>
    <w:p w14:paraId="1D5F4167" w14:textId="77777777" w:rsidR="00E6057C" w:rsidRDefault="00000000">
      <w:pPr>
        <w:pStyle w:val="Paragraphedeliste"/>
        <w:numPr>
          <w:ilvl w:val="0"/>
          <w:numId w:val="2"/>
        </w:numPr>
        <w:spacing w:after="70" w:line="264" w:lineRule="auto"/>
        <w:jc w:val="both"/>
      </w:pPr>
      <w:r>
        <w:rPr>
          <w:rFonts w:ascii="Calibri" w:eastAsia="Calibri" w:hAnsi="Calibri" w:cs="Calibri"/>
          <w:color w:val="1E88E5"/>
        </w:rPr>
        <w:t>Art. 5 de la DDHC</w:t>
      </w:r>
      <w:r>
        <w:rPr>
          <w:rFonts w:ascii="Calibri" w:eastAsia="Calibri" w:hAnsi="Calibri" w:cs="Calibri"/>
          <w:color w:val="1A1A1A"/>
        </w:rPr>
        <w:t xml:space="preserve"> : « La loi n’a le droit de défendre que les actions nuisibles à la société. Tout ce qui n’est pas défendu par la loi ne peut être empêché, et nul ne peut être contraint à faire ce qu’elle n’ordonne pas. »</w:t>
      </w:r>
    </w:p>
    <w:p w14:paraId="6A5CC0A4" w14:textId="77777777" w:rsidR="00E6057C" w:rsidRDefault="00000000">
      <w:pPr>
        <w:pStyle w:val="Paragraphedeliste"/>
        <w:numPr>
          <w:ilvl w:val="0"/>
          <w:numId w:val="2"/>
        </w:numPr>
        <w:spacing w:after="70" w:line="264" w:lineRule="auto"/>
        <w:jc w:val="both"/>
      </w:pPr>
      <w:r>
        <w:rPr>
          <w:rFonts w:ascii="Calibri" w:eastAsia="Calibri" w:hAnsi="Calibri" w:cs="Calibri"/>
          <w:color w:val="1E88E5"/>
        </w:rPr>
        <w:t>Art. 6 de la DDHC</w:t>
      </w:r>
      <w:r>
        <w:rPr>
          <w:rFonts w:ascii="Calibri" w:eastAsia="Calibri" w:hAnsi="Calibri" w:cs="Calibri"/>
          <w:color w:val="1A1A1A"/>
        </w:rPr>
        <w:t xml:space="preserve"> : « La loi est l’expression de la volonté générale. Tous les citoyens ont droit de concourir personnellement, ou par leurs représentants, à sa formation. Elle doit être la même pour tous, soit qu’elle protège, soit qu’elle punisse […]. »</w:t>
      </w:r>
    </w:p>
    <w:p w14:paraId="03574493" w14:textId="77777777" w:rsidR="00E6057C" w:rsidRDefault="00000000">
      <w:pPr>
        <w:pStyle w:val="Paragraphedeliste"/>
        <w:numPr>
          <w:ilvl w:val="0"/>
          <w:numId w:val="2"/>
        </w:numPr>
        <w:spacing w:after="70" w:line="264" w:lineRule="auto"/>
        <w:jc w:val="both"/>
      </w:pPr>
      <w:r>
        <w:rPr>
          <w:rFonts w:ascii="Calibri" w:eastAsia="Calibri" w:hAnsi="Calibri" w:cs="Calibri"/>
          <w:color w:val="1E88E5"/>
        </w:rPr>
        <w:t>Art. 34 de la Constitution de 1958</w:t>
      </w:r>
      <w:r>
        <w:rPr>
          <w:rFonts w:ascii="Calibri" w:eastAsia="Calibri" w:hAnsi="Calibri" w:cs="Calibri"/>
          <w:color w:val="1A1A1A"/>
        </w:rPr>
        <w:t xml:space="preserve"> : « La fixation des règles concernant les garanties fondamentales accordées aux citoyens pour l’exercice des libertés publiques. » L’article garantit aussi indirectement les droits en réservant à la loi les droits civiques (droit de vote et d’éligibilité), la détermination des crimes, des délits et des peines, le régime de la propriété, le droit syndical et le droit du travail.</w:t>
      </w:r>
    </w:p>
    <w:p w14:paraId="45EE6B95"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Les grandes lois libérales de la IIIe République</w:t>
      </w:r>
      <w:r>
        <w:rPr>
          <w:rFonts w:ascii="Calibri" w:eastAsia="Calibri" w:hAnsi="Calibri" w:cs="Calibri"/>
          <w:color w:val="1A1A1A"/>
        </w:rPr>
        <w:t xml:space="preserve"> : liberté de la presse (</w:t>
      </w:r>
      <w:r>
        <w:rPr>
          <w:rFonts w:ascii="Calibri" w:eastAsia="Calibri" w:hAnsi="Calibri" w:cs="Calibri"/>
          <w:color w:val="1E88E5"/>
        </w:rPr>
        <w:t>loi du 29 juillet 1881</w:t>
      </w:r>
      <w:r>
        <w:rPr>
          <w:rFonts w:ascii="Calibri" w:eastAsia="Calibri" w:hAnsi="Calibri" w:cs="Calibri"/>
          <w:color w:val="1A1A1A"/>
        </w:rPr>
        <w:t>) ; liberté syndicale (</w:t>
      </w:r>
      <w:r>
        <w:rPr>
          <w:rFonts w:ascii="Calibri" w:eastAsia="Calibri" w:hAnsi="Calibri" w:cs="Calibri"/>
          <w:color w:val="1E88E5"/>
        </w:rPr>
        <w:t>loi de 1884</w:t>
      </w:r>
      <w:r>
        <w:rPr>
          <w:rFonts w:ascii="Calibri" w:eastAsia="Calibri" w:hAnsi="Calibri" w:cs="Calibri"/>
          <w:color w:val="1A1A1A"/>
        </w:rPr>
        <w:t>) ; liberté d’association (</w:t>
      </w:r>
      <w:r>
        <w:rPr>
          <w:rFonts w:ascii="Calibri" w:eastAsia="Calibri" w:hAnsi="Calibri" w:cs="Calibri"/>
          <w:color w:val="1E88E5"/>
        </w:rPr>
        <w:t>loi du 1er juillet 1901</w:t>
      </w:r>
      <w:r>
        <w:rPr>
          <w:rFonts w:ascii="Calibri" w:eastAsia="Calibri" w:hAnsi="Calibri" w:cs="Calibri"/>
          <w:color w:val="1A1A1A"/>
        </w:rPr>
        <w:t>) ; liberté de conscience (</w:t>
      </w:r>
      <w:r>
        <w:rPr>
          <w:rFonts w:ascii="Calibri" w:eastAsia="Calibri" w:hAnsi="Calibri" w:cs="Calibri"/>
          <w:color w:val="1E88E5"/>
        </w:rPr>
        <w:t>loi de 1905</w:t>
      </w:r>
      <w:r>
        <w:rPr>
          <w:rFonts w:ascii="Calibri" w:eastAsia="Calibri" w:hAnsi="Calibri" w:cs="Calibri"/>
          <w:color w:val="1A1A1A"/>
        </w:rPr>
        <w:t>).</w:t>
      </w:r>
    </w:p>
    <w:p w14:paraId="66A20519" w14:textId="77777777" w:rsidR="00E6057C" w:rsidRDefault="00000000">
      <w:pPr>
        <w:pStyle w:val="Titre3"/>
        <w:spacing w:before="200" w:after="90"/>
      </w:pPr>
      <w:r>
        <w:rPr>
          <w:rFonts w:ascii="Calibri" w:eastAsia="Calibri" w:hAnsi="Calibri" w:cs="Calibri"/>
          <w:b/>
          <w:bCs/>
          <w:i/>
          <w:iCs/>
          <w:color w:val="5A5A5A"/>
          <w:sz w:val="21"/>
          <w:szCs w:val="21"/>
        </w:rPr>
        <w:t>1.2. Les composantes du bloc de légalité</w:t>
      </w:r>
    </w:p>
    <w:p w14:paraId="70AA8558"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Lois organiques</w:t>
      </w:r>
      <w:r>
        <w:rPr>
          <w:rFonts w:ascii="Calibri" w:eastAsia="Calibri" w:hAnsi="Calibri" w:cs="Calibri"/>
          <w:color w:val="1A1A1A"/>
        </w:rPr>
        <w:t xml:space="preserve"> : supérieures aux lois ordinaires dans la hiérarchie ; elles fixent les règles propres à l’</w:t>
      </w:r>
      <w:r>
        <w:rPr>
          <w:rFonts w:ascii="Calibri" w:eastAsia="Calibri" w:hAnsi="Calibri" w:cs="Calibri"/>
          <w:b/>
          <w:bCs/>
          <w:color w:val="1A1A1A"/>
        </w:rPr>
        <w:t>organisation des pouvoirs publics</w:t>
      </w:r>
      <w:r>
        <w:rPr>
          <w:rFonts w:ascii="Calibri" w:eastAsia="Calibri" w:hAnsi="Calibri" w:cs="Calibri"/>
          <w:color w:val="1A1A1A"/>
        </w:rPr>
        <w:t>, ne peuvent intervenir que dans les domaines énumérés par la Constitution et sont soumises à la procédure particulière de l’</w:t>
      </w:r>
      <w:r>
        <w:rPr>
          <w:rFonts w:ascii="Calibri" w:eastAsia="Calibri" w:hAnsi="Calibri" w:cs="Calibri"/>
          <w:color w:val="1E88E5"/>
        </w:rPr>
        <w:t>art. 46 de la Constitution</w:t>
      </w:r>
      <w:r>
        <w:rPr>
          <w:rFonts w:ascii="Calibri" w:eastAsia="Calibri" w:hAnsi="Calibri" w:cs="Calibri"/>
          <w:color w:val="1A1A1A"/>
        </w:rPr>
        <w:t>.</w:t>
      </w:r>
    </w:p>
    <w:p w14:paraId="58CA6512"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Lois ordinaires</w:t>
      </w:r>
      <w:r>
        <w:rPr>
          <w:rFonts w:ascii="Calibri" w:eastAsia="Calibri" w:hAnsi="Calibri" w:cs="Calibri"/>
          <w:color w:val="1A1A1A"/>
        </w:rPr>
        <w:t xml:space="preserve"> : votées selon la procédure des </w:t>
      </w:r>
      <w:r>
        <w:rPr>
          <w:rFonts w:ascii="Calibri" w:eastAsia="Calibri" w:hAnsi="Calibri" w:cs="Calibri"/>
          <w:color w:val="1E88E5"/>
        </w:rPr>
        <w:t>art. 39 et suivants de la Constitution</w:t>
      </w:r>
      <w:r>
        <w:rPr>
          <w:rFonts w:ascii="Calibri" w:eastAsia="Calibri" w:hAnsi="Calibri" w:cs="Calibri"/>
          <w:color w:val="1A1A1A"/>
        </w:rPr>
        <w:t>, dans le domaine de l’</w:t>
      </w:r>
      <w:r>
        <w:rPr>
          <w:rFonts w:ascii="Calibri" w:eastAsia="Calibri" w:hAnsi="Calibri" w:cs="Calibri"/>
          <w:color w:val="1E88E5"/>
        </w:rPr>
        <w:t>art. 34</w:t>
      </w:r>
      <w:r>
        <w:rPr>
          <w:rFonts w:ascii="Calibri" w:eastAsia="Calibri" w:hAnsi="Calibri" w:cs="Calibri"/>
          <w:color w:val="1A1A1A"/>
        </w:rPr>
        <w:t>.</w:t>
      </w:r>
    </w:p>
    <w:p w14:paraId="67945727"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Lois référendaires</w:t>
      </w:r>
      <w:r>
        <w:rPr>
          <w:rFonts w:ascii="Calibri" w:eastAsia="Calibri" w:hAnsi="Calibri" w:cs="Calibri"/>
          <w:color w:val="1A1A1A"/>
        </w:rPr>
        <w:t xml:space="preserve"> : expression directe de la souveraineté nationale (</w:t>
      </w:r>
      <w:r>
        <w:rPr>
          <w:rFonts w:ascii="Calibri" w:eastAsia="Calibri" w:hAnsi="Calibri" w:cs="Calibri"/>
          <w:color w:val="1E88E5"/>
        </w:rPr>
        <w:t>art. 11 de la Constitution</w:t>
      </w:r>
      <w:r>
        <w:rPr>
          <w:rFonts w:ascii="Calibri" w:eastAsia="Calibri" w:hAnsi="Calibri" w:cs="Calibri"/>
          <w:color w:val="1A1A1A"/>
        </w:rPr>
        <w:t xml:space="preserve">) ; s’y ajoutent, depuis la révision de 2008, les propositions de loi référendaire adoptées par la voie du </w:t>
      </w:r>
      <w:r>
        <w:rPr>
          <w:rFonts w:ascii="Calibri" w:eastAsia="Calibri" w:hAnsi="Calibri" w:cs="Calibri"/>
          <w:b/>
          <w:bCs/>
          <w:color w:val="1A1A1A"/>
        </w:rPr>
        <w:t>référendum d’initiative partagée</w:t>
      </w:r>
      <w:r>
        <w:rPr>
          <w:rFonts w:ascii="Calibri" w:eastAsia="Calibri" w:hAnsi="Calibri" w:cs="Calibri"/>
          <w:color w:val="1A1A1A"/>
        </w:rPr>
        <w:t>, initié par un cinquième des membres du Parlement et soutenu par un dixième des électeurs inscrits sur les listes électorales.</w:t>
      </w:r>
    </w:p>
    <w:p w14:paraId="40E0576C"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Ordonnances de l’</w:t>
      </w:r>
      <w:r>
        <w:rPr>
          <w:rFonts w:ascii="Calibri" w:eastAsia="Calibri" w:hAnsi="Calibri" w:cs="Calibri"/>
          <w:b/>
          <w:bCs/>
          <w:color w:val="1E88E5"/>
        </w:rPr>
        <w:t>art. 38 de la Constitution</w:t>
      </w:r>
      <w:r>
        <w:rPr>
          <w:rFonts w:ascii="Calibri" w:eastAsia="Calibri" w:hAnsi="Calibri" w:cs="Calibri"/>
          <w:color w:val="1A1A1A"/>
        </w:rPr>
        <w:t xml:space="preserve"> : en principe, tant qu’elles ne sont pas ratifiées, elles ont valeur d’acte réglementaire.</w:t>
      </w:r>
    </w:p>
    <w:p w14:paraId="7986A56B" w14:textId="77777777" w:rsidR="00E6057C" w:rsidRDefault="00000000">
      <w:pPr>
        <w:pStyle w:val="Titre2"/>
        <w:spacing w:before="280" w:after="120"/>
      </w:pPr>
      <w:r>
        <w:rPr>
          <w:rFonts w:ascii="Calibri" w:eastAsia="Calibri" w:hAnsi="Calibri" w:cs="Calibri"/>
          <w:b/>
          <w:bCs/>
          <w:color w:val="1A1A1A"/>
          <w:sz w:val="24"/>
          <w:szCs w:val="24"/>
        </w:rPr>
        <w:t>2. Ligne prétorienne &amp; évolutions</w:t>
      </w:r>
    </w:p>
    <w:p w14:paraId="3D84FC3F" w14:textId="77777777" w:rsidR="00E6057C" w:rsidRDefault="00000000">
      <w:pPr>
        <w:pStyle w:val="Titre3"/>
        <w:spacing w:before="200" w:after="90"/>
      </w:pPr>
      <w:r>
        <w:rPr>
          <w:rFonts w:ascii="Calibri" w:eastAsia="Calibri" w:hAnsi="Calibri" w:cs="Calibri"/>
          <w:b/>
          <w:bCs/>
          <w:i/>
          <w:iCs/>
          <w:color w:val="5A5A5A"/>
          <w:sz w:val="21"/>
          <w:szCs w:val="21"/>
        </w:rPr>
        <w:t>2.1. Le déclin de la loi</w:t>
      </w:r>
    </w:p>
    <w:p w14:paraId="31CDD8D3"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85-197 DC, 23 août 1985, Loi sur l’évolution de la Nouvelle-Calédonie</w:t>
      </w:r>
      <w:r>
        <w:rPr>
          <w:rFonts w:ascii="Calibri" w:eastAsia="Calibri" w:hAnsi="Calibri" w:cs="Calibri"/>
          <w:color w:val="1A1A1A"/>
        </w:rPr>
        <w:t xml:space="preserve"> — </w:t>
      </w:r>
      <w:r w:rsidRPr="003705D7">
        <w:rPr>
          <w:rFonts w:ascii="Calibri" w:eastAsia="Calibri" w:hAnsi="Calibri" w:cs="Calibri"/>
          <w:b/>
          <w:bCs/>
          <w:color w:val="1A1A1A"/>
          <w:highlight w:val="yellow"/>
        </w:rPr>
        <w:t>décision de principe</w:t>
      </w:r>
      <w:r>
        <w:rPr>
          <w:rFonts w:ascii="Calibri" w:eastAsia="Calibri" w:hAnsi="Calibri" w:cs="Calibri"/>
          <w:color w:val="1A1A1A"/>
        </w:rPr>
        <w:t>. Rupture avec la tradition rousseauiste : la loi ne peut être l’expression de la volonté générale qu’</w:t>
      </w:r>
      <w:r>
        <w:rPr>
          <w:rFonts w:ascii="Calibri" w:eastAsia="Calibri" w:hAnsi="Calibri" w:cs="Calibri"/>
          <w:b/>
          <w:bCs/>
          <w:color w:val="1A1A1A"/>
        </w:rPr>
        <w:t>à la condition de respecter la Constitution</w:t>
      </w:r>
      <w:r>
        <w:rPr>
          <w:rFonts w:ascii="Calibri" w:eastAsia="Calibri" w:hAnsi="Calibri" w:cs="Calibri"/>
          <w:color w:val="1A1A1A"/>
        </w:rPr>
        <w:t>.</w:t>
      </w:r>
    </w:p>
    <w:p w14:paraId="4103EB9F"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Cons. const., déc. n° 62-20 DC, 6 novembre 1962, Élection du président de la République au suffrage universel direct</w:t>
      </w:r>
      <w:r>
        <w:rPr>
          <w:rFonts w:ascii="Calibri" w:eastAsia="Calibri" w:hAnsi="Calibri" w:cs="Calibri"/>
          <w:color w:val="1A1A1A"/>
        </w:rPr>
        <w:t xml:space="preserve"> : refus traditionnel de contrôler les lois référendaires adoptées en vertu de l’</w:t>
      </w:r>
      <w:r>
        <w:rPr>
          <w:rFonts w:ascii="Calibri" w:eastAsia="Calibri" w:hAnsi="Calibri" w:cs="Calibri"/>
          <w:color w:val="1E88E5"/>
        </w:rPr>
        <w:t>art. 11 C.</w:t>
      </w:r>
      <w:r>
        <w:rPr>
          <w:rFonts w:ascii="Calibri" w:eastAsia="Calibri" w:hAnsi="Calibri" w:cs="Calibri"/>
          <w:color w:val="1A1A1A"/>
        </w:rPr>
        <w:t xml:space="preserve">, expression directe de la souveraineté nationale. </w:t>
      </w:r>
      <w:r>
        <w:rPr>
          <w:rFonts w:ascii="Calibri" w:eastAsia="Calibri" w:hAnsi="Calibri" w:cs="Calibri"/>
          <w:b/>
          <w:bCs/>
          <w:color w:val="1A1A1A"/>
        </w:rPr>
        <w:t>Point de discussion</w:t>
      </w:r>
      <w:r>
        <w:rPr>
          <w:rFonts w:ascii="Calibri" w:eastAsia="Calibri" w:hAnsi="Calibri" w:cs="Calibri"/>
          <w:color w:val="1A1A1A"/>
        </w:rPr>
        <w:t xml:space="preserve"> : l’</w:t>
      </w:r>
      <w:r>
        <w:rPr>
          <w:rFonts w:ascii="Calibri" w:eastAsia="Calibri" w:hAnsi="Calibri" w:cs="Calibri"/>
          <w:color w:val="1E88E5"/>
        </w:rPr>
        <w:t>art. 11</w:t>
      </w:r>
      <w:r>
        <w:rPr>
          <w:rFonts w:ascii="Calibri" w:eastAsia="Calibri" w:hAnsi="Calibri" w:cs="Calibri"/>
          <w:color w:val="1A1A1A"/>
        </w:rPr>
        <w:t xml:space="preserve"> ne permet en théorie d’adopter que des lois référendaires, non de réviser la Constitution (</w:t>
      </w:r>
      <w:r>
        <w:rPr>
          <w:rFonts w:ascii="Calibri" w:eastAsia="Calibri" w:hAnsi="Calibri" w:cs="Calibri"/>
          <w:color w:val="1E88E5"/>
        </w:rPr>
        <w:t>art. 89 C.</w:t>
      </w:r>
      <w:r>
        <w:rPr>
          <w:rFonts w:ascii="Calibri" w:eastAsia="Calibri" w:hAnsi="Calibri" w:cs="Calibri"/>
          <w:color w:val="1A1A1A"/>
        </w:rPr>
        <w:t>) — or le général de Gaulle s’en est affranchi à deux reprises, en 1962 et en 1969.</w:t>
      </w:r>
    </w:p>
    <w:p w14:paraId="4E730BDA" w14:textId="77777777" w:rsidR="00E6057C" w:rsidRDefault="00000000">
      <w:pPr>
        <w:pStyle w:val="Titre3"/>
        <w:spacing w:before="200" w:after="90"/>
      </w:pPr>
      <w:r>
        <w:rPr>
          <w:rFonts w:ascii="Calibri" w:eastAsia="Calibri" w:hAnsi="Calibri" w:cs="Calibri"/>
          <w:b/>
          <w:bCs/>
          <w:i/>
          <w:iCs/>
          <w:color w:val="5A5A5A"/>
          <w:sz w:val="21"/>
          <w:szCs w:val="21"/>
        </w:rPr>
        <w:t>2.2. Le statut des ordonnances non ratifiées — dialogue entre les deux ordres</w:t>
      </w:r>
    </w:p>
    <w:p w14:paraId="2E9A82E9"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Cons. const., déc. n° 2020-843 QPC, 28 mai 2020, Force 5</w:t>
      </w:r>
      <w:r>
        <w:rPr>
          <w:rFonts w:ascii="Calibri" w:eastAsia="Calibri" w:hAnsi="Calibri" w:cs="Calibri"/>
          <w:color w:val="1A1A1A"/>
        </w:rPr>
        <w:t xml:space="preserve"> : à l’expiration du délai d’habilitation, les dispositions d’une ordonnance relevant du domaine législatif </w:t>
      </w:r>
      <w:r>
        <w:rPr>
          <w:rFonts w:ascii="Calibri" w:eastAsia="Calibri" w:hAnsi="Calibri" w:cs="Calibri"/>
          <w:b/>
          <w:bCs/>
          <w:color w:val="1A1A1A"/>
        </w:rPr>
        <w:t>ne peuvent plus être modifiées que par la loi</w:t>
      </w:r>
      <w:r>
        <w:rPr>
          <w:rFonts w:ascii="Calibri" w:eastAsia="Calibri" w:hAnsi="Calibri" w:cs="Calibri"/>
          <w:color w:val="1A1A1A"/>
        </w:rPr>
        <w:t xml:space="preserve"> ; l’ordonnance acquiert donc automatiquement valeur législative dès lors qu’un projet de loi de ratification a été déposé dans le délai, sans besoin d’une ratification expresse.</w:t>
      </w:r>
    </w:p>
    <w:p w14:paraId="789D00E1"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CE, 1er juillet 2020, Conseil national de l’Ordre des architectes</w:t>
      </w:r>
      <w:r>
        <w:rPr>
          <w:rFonts w:ascii="Calibri" w:eastAsia="Calibri" w:hAnsi="Calibri" w:cs="Calibri"/>
          <w:color w:val="1A1A1A"/>
        </w:rPr>
        <w:t xml:space="preserve"> : le Conseil d’État examine au fond un recours contre une ordonnance non ratifiée — il se juge donc </w:t>
      </w:r>
      <w:r>
        <w:rPr>
          <w:rFonts w:ascii="Calibri" w:eastAsia="Calibri" w:hAnsi="Calibri" w:cs="Calibri"/>
          <w:b/>
          <w:bCs/>
          <w:color w:val="1A1A1A"/>
        </w:rPr>
        <w:t>implicitement compétent</w:t>
      </w:r>
      <w:r>
        <w:rPr>
          <w:rFonts w:ascii="Calibri" w:eastAsia="Calibri" w:hAnsi="Calibri" w:cs="Calibri"/>
          <w:color w:val="1A1A1A"/>
        </w:rPr>
        <w:t xml:space="preserve"> pour connaître d’un recours pour excès de pouvoir même après l’expiration du délai d’habilitation.</w:t>
      </w:r>
    </w:p>
    <w:p w14:paraId="3A37A895"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Cons. const., déc. n° 2020-851/852 QPC, 3 juillet 2020, M. Sofiane A. et autre</w:t>
      </w:r>
      <w:r>
        <w:rPr>
          <w:rFonts w:ascii="Calibri" w:eastAsia="Calibri" w:hAnsi="Calibri" w:cs="Calibri"/>
          <w:color w:val="1A1A1A"/>
        </w:rPr>
        <w:t xml:space="preserve"> : le Conseil réaffirme sa compétence, mais la </w:t>
      </w:r>
      <w:r>
        <w:rPr>
          <w:rFonts w:ascii="Calibri" w:eastAsia="Calibri" w:hAnsi="Calibri" w:cs="Calibri"/>
          <w:b/>
          <w:bCs/>
          <w:color w:val="1A1A1A"/>
        </w:rPr>
        <w:t>circonscrit</w:t>
      </w:r>
      <w:r>
        <w:rPr>
          <w:rFonts w:ascii="Calibri" w:eastAsia="Calibri" w:hAnsi="Calibri" w:cs="Calibri"/>
          <w:color w:val="1A1A1A"/>
        </w:rPr>
        <w:t xml:space="preserve"> aux cas dans lesquels sont invoqués des moyens relatifs aux droits et libertés ; hors ces cas, le Conseil d’État demeure compétent pour examiner les autres motifs d’illégalité.</w:t>
      </w:r>
    </w:p>
    <w:p w14:paraId="044B24BD"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CE, 16 décembre 2020, Fédération CFDT des finances et autres</w:t>
      </w:r>
      <w:r>
        <w:rPr>
          <w:rFonts w:ascii="Calibri" w:eastAsia="Calibri" w:hAnsi="Calibri" w:cs="Calibri"/>
          <w:color w:val="1A1A1A"/>
        </w:rPr>
        <w:t xml:space="preserve"> : reprise de l’analyse du Conseil constitutionnel ; la contestation des dispositions relevant du domaine de la loi ne peut s’opérer qu’à travers une QPC transmise au Conseil constitutionnel.</w:t>
      </w:r>
    </w:p>
    <w:p w14:paraId="51CD1A83"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lastRenderedPageBreak/>
        <w:t xml:space="preserve">★ </w:t>
      </w:r>
      <w:r>
        <w:rPr>
          <w:rFonts w:ascii="Calibri" w:eastAsia="Calibri" w:hAnsi="Calibri" w:cs="Calibri"/>
          <w:b/>
          <w:bCs/>
          <w:color w:val="1A1A1A"/>
        </w:rPr>
        <w:t>Actualité</w:t>
      </w:r>
      <w:r>
        <w:rPr>
          <w:rFonts w:ascii="Calibri" w:eastAsia="Calibri" w:hAnsi="Calibri" w:cs="Calibri"/>
          <w:color w:val="1A1A1A"/>
        </w:rPr>
        <w:t xml:space="preserve"> — </w:t>
      </w:r>
      <w:r>
        <w:rPr>
          <w:rFonts w:ascii="Calibri" w:eastAsia="Calibri" w:hAnsi="Calibri" w:cs="Calibri"/>
          <w:color w:val="E91E63"/>
        </w:rPr>
        <w:t>CE, 20 mars 2025, Association pour la défense du droit au recours, n° 494158</w:t>
      </w:r>
      <w:r>
        <w:rPr>
          <w:rFonts w:ascii="Calibri" w:eastAsia="Calibri" w:hAnsi="Calibri" w:cs="Calibri"/>
          <w:color w:val="1A1A1A"/>
        </w:rPr>
        <w:t xml:space="preserve"> : une ordonnance prise sur le fondement de l’</w:t>
      </w:r>
      <w:r>
        <w:rPr>
          <w:rFonts w:ascii="Calibri" w:eastAsia="Calibri" w:hAnsi="Calibri" w:cs="Calibri"/>
          <w:color w:val="1E88E5"/>
        </w:rPr>
        <w:t>art. 38 C.</w:t>
      </w:r>
      <w:r>
        <w:rPr>
          <w:rFonts w:ascii="Calibri" w:eastAsia="Calibri" w:hAnsi="Calibri" w:cs="Calibri"/>
          <w:color w:val="1A1A1A"/>
        </w:rPr>
        <w:t xml:space="preserve"> conserve, aussi longtemps qu’elle n’a pas été </w:t>
      </w:r>
      <w:r>
        <w:rPr>
          <w:rFonts w:ascii="Calibri" w:eastAsia="Calibri" w:hAnsi="Calibri" w:cs="Calibri"/>
          <w:b/>
          <w:bCs/>
          <w:color w:val="1A1A1A"/>
        </w:rPr>
        <w:t>expressément ratifiée</w:t>
      </w:r>
      <w:r>
        <w:rPr>
          <w:rFonts w:ascii="Calibri" w:eastAsia="Calibri" w:hAnsi="Calibri" w:cs="Calibri"/>
          <w:color w:val="1A1A1A"/>
        </w:rPr>
        <w:t xml:space="preserve"> par le Parlement, le caractère d’un </w:t>
      </w:r>
      <w:r>
        <w:rPr>
          <w:rFonts w:ascii="Calibri" w:eastAsia="Calibri" w:hAnsi="Calibri" w:cs="Calibri"/>
          <w:b/>
          <w:bCs/>
          <w:color w:val="1A1A1A"/>
        </w:rPr>
        <w:t>acte administratif</w:t>
      </w:r>
      <w:r>
        <w:rPr>
          <w:rFonts w:ascii="Calibri" w:eastAsia="Calibri" w:hAnsi="Calibri" w:cs="Calibri"/>
          <w:color w:val="1A1A1A"/>
        </w:rPr>
        <w:t xml:space="preserve">. Particularité après l’expiration du délai d’habilitation : ses dispositions relevant du domaine de la loi ne peuvent plus être modifiées ni abrogées par le pouvoir réglementaire — seul le législateur, ou le Gouvernement bénéficiant d’une nouvelle habilitation, peut intervenir, </w:t>
      </w:r>
      <w:r>
        <w:rPr>
          <w:rFonts w:ascii="Calibri" w:eastAsia="Calibri" w:hAnsi="Calibri" w:cs="Calibri"/>
          <w:b/>
          <w:bCs/>
          <w:color w:val="1A1A1A"/>
        </w:rPr>
        <w:t>y compris lorsque ces dispositions seraient entachées d’illégalité</w:t>
      </w:r>
      <w:r>
        <w:rPr>
          <w:rFonts w:ascii="Calibri" w:eastAsia="Calibri" w:hAnsi="Calibri" w:cs="Calibri"/>
          <w:color w:val="1A1A1A"/>
        </w:rPr>
        <w:t>.</w:t>
      </w:r>
    </w:p>
    <w:p w14:paraId="447EE1BD" w14:textId="77777777" w:rsidR="00E6057C" w:rsidRDefault="00000000">
      <w:pPr>
        <w:pStyle w:val="Titre3"/>
        <w:spacing w:before="200" w:after="90"/>
      </w:pPr>
      <w:r>
        <w:rPr>
          <w:rFonts w:ascii="Calibri" w:eastAsia="Calibri" w:hAnsi="Calibri" w:cs="Calibri"/>
          <w:b/>
          <w:bCs/>
          <w:i/>
          <w:iCs/>
          <w:color w:val="5A5A5A"/>
          <w:sz w:val="21"/>
          <w:szCs w:val="21"/>
        </w:rPr>
        <w:t>2.3. Les principes généraux du droit</w:t>
      </w:r>
    </w:p>
    <w:p w14:paraId="52A6FACF"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26 octobre 1945, Aramu, n° 77726</w:t>
      </w:r>
      <w:r>
        <w:rPr>
          <w:rFonts w:ascii="Calibri" w:eastAsia="Calibri" w:hAnsi="Calibri" w:cs="Calibri"/>
          <w:color w:val="1A1A1A"/>
        </w:rPr>
        <w:t xml:space="preserve"> : </w:t>
      </w:r>
      <w:r w:rsidRPr="00B93C06">
        <w:rPr>
          <w:rFonts w:ascii="Calibri" w:eastAsia="Calibri" w:hAnsi="Calibri" w:cs="Calibri"/>
          <w:b/>
          <w:bCs/>
          <w:color w:val="1A1A1A"/>
          <w:highlight w:val="yellow"/>
        </w:rPr>
        <w:t>première utilisation</w:t>
      </w:r>
      <w:r w:rsidRPr="00B93C06">
        <w:rPr>
          <w:rFonts w:ascii="Calibri" w:eastAsia="Calibri" w:hAnsi="Calibri" w:cs="Calibri"/>
          <w:color w:val="1A1A1A"/>
          <w:highlight w:val="yellow"/>
        </w:rPr>
        <w:t xml:space="preserve"> de l’expression</w:t>
      </w:r>
      <w:r>
        <w:rPr>
          <w:rFonts w:ascii="Calibri" w:eastAsia="Calibri" w:hAnsi="Calibri" w:cs="Calibri"/>
          <w:color w:val="1A1A1A"/>
        </w:rPr>
        <w:t xml:space="preserve"> ; reconnaissance de </w:t>
      </w:r>
      <w:r>
        <w:rPr>
          <w:rFonts w:ascii="Calibri" w:eastAsia="Calibri" w:hAnsi="Calibri" w:cs="Calibri"/>
          <w:b/>
          <w:bCs/>
          <w:color w:val="1A1A1A"/>
        </w:rPr>
        <w:t>principes généraux du droit applicables même sans texte</w:t>
      </w:r>
      <w:r>
        <w:rPr>
          <w:rFonts w:ascii="Calibri" w:eastAsia="Calibri" w:hAnsi="Calibri" w:cs="Calibri"/>
          <w:color w:val="1A1A1A"/>
        </w:rPr>
        <w:t>.</w:t>
      </w:r>
    </w:p>
    <w:p w14:paraId="6AF0A74C"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Principaux PGD</w:t>
      </w:r>
      <w:r>
        <w:rPr>
          <w:rFonts w:ascii="Calibri" w:eastAsia="Calibri" w:hAnsi="Calibri" w:cs="Calibri"/>
          <w:color w:val="1A1A1A"/>
        </w:rPr>
        <w:t xml:space="preserve"> : droits de la défense en matière administrative (</w:t>
      </w:r>
      <w:r>
        <w:rPr>
          <w:rFonts w:ascii="Calibri" w:eastAsia="Calibri" w:hAnsi="Calibri" w:cs="Calibri"/>
          <w:color w:val="E91E63"/>
        </w:rPr>
        <w:t>CE, Sect., 5 mai 1944, Dame Veuve Trompier Gravier, n° 69751</w:t>
      </w:r>
      <w:r>
        <w:rPr>
          <w:rFonts w:ascii="Calibri" w:eastAsia="Calibri" w:hAnsi="Calibri" w:cs="Calibri"/>
          <w:color w:val="1A1A1A"/>
        </w:rPr>
        <w:t>) ; possibilité d’exercer un recours pour excès de pouvoir même sans texte (</w:t>
      </w:r>
      <w:r>
        <w:rPr>
          <w:rFonts w:ascii="Calibri" w:eastAsia="Calibri" w:hAnsi="Calibri" w:cs="Calibri"/>
          <w:color w:val="E91E63"/>
        </w:rPr>
        <w:t>CE, Ass., 17 février 1950, Ministre de l’Agriculture c. Dame Lamotte, n° 86949</w:t>
      </w:r>
      <w:r>
        <w:rPr>
          <w:rFonts w:ascii="Calibri" w:eastAsia="Calibri" w:hAnsi="Calibri" w:cs="Calibri"/>
          <w:color w:val="1A1A1A"/>
        </w:rPr>
        <w:t>) ; interdiction d’extrader un réfugié politique (</w:t>
      </w:r>
      <w:r>
        <w:rPr>
          <w:rFonts w:ascii="Calibri" w:eastAsia="Calibri" w:hAnsi="Calibri" w:cs="Calibri"/>
          <w:color w:val="E91E63"/>
        </w:rPr>
        <w:t>CE, Ass., 1er avril 1988, Bereciartua-Echarri, n° 85234</w:t>
      </w:r>
      <w:r>
        <w:rPr>
          <w:rFonts w:ascii="Calibri" w:eastAsia="Calibri" w:hAnsi="Calibri" w:cs="Calibri"/>
          <w:color w:val="1A1A1A"/>
        </w:rPr>
        <w:t>) ; droit au regroupement familial (</w:t>
      </w:r>
      <w:r>
        <w:rPr>
          <w:rFonts w:ascii="Calibri" w:eastAsia="Calibri" w:hAnsi="Calibri" w:cs="Calibri"/>
          <w:color w:val="E91E63"/>
        </w:rPr>
        <w:t>CE, Ass., 8 décembre 1978, GISTI et autres, n° 10676 et 10679</w:t>
      </w:r>
      <w:r>
        <w:rPr>
          <w:rFonts w:ascii="Calibri" w:eastAsia="Calibri" w:hAnsi="Calibri" w:cs="Calibri"/>
          <w:color w:val="1A1A1A"/>
        </w:rPr>
        <w:t>) ; liberté d’aller et venir (</w:t>
      </w:r>
      <w:r>
        <w:rPr>
          <w:rFonts w:ascii="Calibri" w:eastAsia="Calibri" w:hAnsi="Calibri" w:cs="Calibri"/>
          <w:color w:val="E91E63"/>
        </w:rPr>
        <w:t>CE, 20 décembre 1995, Madame Vedel, n° 132183</w:t>
      </w:r>
      <w:r>
        <w:rPr>
          <w:rFonts w:ascii="Calibri" w:eastAsia="Calibri" w:hAnsi="Calibri" w:cs="Calibri"/>
          <w:color w:val="1A1A1A"/>
        </w:rPr>
        <w:t>).</w:t>
      </w:r>
    </w:p>
    <w:p w14:paraId="2D4EEF1E"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Cons. const., déc. n° 91-167 L, 19 décembre 1991</w:t>
      </w:r>
      <w:r>
        <w:rPr>
          <w:rFonts w:ascii="Calibri" w:eastAsia="Calibri" w:hAnsi="Calibri" w:cs="Calibri"/>
          <w:color w:val="1A1A1A"/>
        </w:rPr>
        <w:t xml:space="preserve"> : « </w:t>
      </w:r>
      <w:r>
        <w:rPr>
          <w:rFonts w:ascii="Calibri" w:eastAsia="Calibri" w:hAnsi="Calibri" w:cs="Calibri"/>
          <w:i/>
          <w:iCs/>
          <w:color w:val="1A1A1A"/>
        </w:rPr>
        <w:t>Considérant que d’après un principe général de notre droit le silence gardé par l’administration vaut décision de rejet, qu’en l’espèce, il ne peut y être dérogé que par une décision législative.</w:t>
      </w:r>
      <w:r>
        <w:rPr>
          <w:rFonts w:ascii="Calibri" w:eastAsia="Calibri" w:hAnsi="Calibri" w:cs="Calibri"/>
          <w:color w:val="1A1A1A"/>
        </w:rPr>
        <w:t xml:space="preserve"> » Par un raisonnement de </w:t>
      </w:r>
      <w:r>
        <w:rPr>
          <w:rFonts w:ascii="Calibri" w:eastAsia="Calibri" w:hAnsi="Calibri" w:cs="Calibri"/>
          <w:b/>
          <w:bCs/>
          <w:color w:val="1A1A1A"/>
        </w:rPr>
        <w:t>parallélisme des formes</w:t>
      </w:r>
      <w:r>
        <w:rPr>
          <w:rFonts w:ascii="Calibri" w:eastAsia="Calibri" w:hAnsi="Calibri" w:cs="Calibri"/>
          <w:color w:val="1A1A1A"/>
        </w:rPr>
        <w:t xml:space="preserve">, seul le législateur étant compétent pour mettre en cause un PGD, ces principes auraient au moins une </w:t>
      </w:r>
      <w:r>
        <w:rPr>
          <w:rFonts w:ascii="Calibri" w:eastAsia="Calibri" w:hAnsi="Calibri" w:cs="Calibri"/>
          <w:b/>
          <w:bCs/>
          <w:color w:val="1A1A1A"/>
        </w:rPr>
        <w:t>valeur législative</w:t>
      </w:r>
      <w:r>
        <w:rPr>
          <w:rFonts w:ascii="Calibri" w:eastAsia="Calibri" w:hAnsi="Calibri" w:cs="Calibri"/>
          <w:color w:val="1A1A1A"/>
        </w:rPr>
        <w:t>.</w:t>
      </w:r>
    </w:p>
    <w:p w14:paraId="483829F0" w14:textId="77777777" w:rsidR="00E6057C" w:rsidRDefault="00000000">
      <w:pPr>
        <w:pStyle w:val="Titre3"/>
        <w:spacing w:before="200" w:after="90"/>
      </w:pPr>
      <w:r>
        <w:rPr>
          <w:rFonts w:ascii="Calibri" w:eastAsia="Calibri" w:hAnsi="Calibri" w:cs="Calibri"/>
          <w:b/>
          <w:bCs/>
          <w:i/>
          <w:iCs/>
          <w:color w:val="5A5A5A"/>
          <w:sz w:val="21"/>
          <w:szCs w:val="21"/>
        </w:rPr>
        <w:t>2.4. La loi, instrument de conciliation et de restriction</w:t>
      </w:r>
    </w:p>
    <w:p w14:paraId="2DADC670"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Cons. const., déc. n° 2014-373 QPC, 4 avril 2014, Société Sephora</w:t>
      </w:r>
      <w:r>
        <w:rPr>
          <w:rFonts w:ascii="Calibri" w:eastAsia="Calibri" w:hAnsi="Calibri" w:cs="Calibri"/>
          <w:color w:val="1A1A1A"/>
        </w:rPr>
        <w:t xml:space="preserve"> : conciliation entre liberté d’entreprendre et droits des salariés à propos du travail de nuit.</w:t>
      </w:r>
    </w:p>
    <w:p w14:paraId="7EA27FE4"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Cons. const., déc. n° 2003-467 DC, 13 mars 2003, Loi pour la sécurité intérieure</w:t>
      </w:r>
      <w:r>
        <w:rPr>
          <w:rFonts w:ascii="Calibri" w:eastAsia="Calibri" w:hAnsi="Calibri" w:cs="Calibri"/>
          <w:color w:val="1A1A1A"/>
        </w:rPr>
        <w:t xml:space="preserve"> : « </w:t>
      </w:r>
      <w:r>
        <w:rPr>
          <w:rFonts w:ascii="Calibri" w:eastAsia="Calibri" w:hAnsi="Calibri" w:cs="Calibri"/>
          <w:i/>
          <w:iCs/>
          <w:color w:val="1A1A1A"/>
        </w:rPr>
        <w:t>D’assurer la conciliation entre, d’une part, la prévention des atteintes à l’ordre public et la recherche des auteurs d’infractions, toutes deux nécessaires à la sauvegarde de droits et de principes de valeur constitutionnelle, et, d’autre part, l’exercice des libertés constitutionnellement garanties.</w:t>
      </w:r>
      <w:r>
        <w:rPr>
          <w:rFonts w:ascii="Calibri" w:eastAsia="Calibri" w:hAnsi="Calibri" w:cs="Calibri"/>
          <w:color w:val="1A1A1A"/>
        </w:rPr>
        <w:t xml:space="preserve"> » </w:t>
      </w:r>
      <w:r>
        <w:rPr>
          <w:rFonts w:ascii="Calibri" w:eastAsia="Calibri" w:hAnsi="Calibri" w:cs="Calibri"/>
          <w:b/>
          <w:bCs/>
          <w:color w:val="1A1A1A"/>
        </w:rPr>
        <w:t>Angle critique</w:t>
      </w:r>
      <w:r>
        <w:rPr>
          <w:rFonts w:ascii="Calibri" w:eastAsia="Calibri" w:hAnsi="Calibri" w:cs="Calibri"/>
          <w:color w:val="1A1A1A"/>
        </w:rPr>
        <w:t xml:space="preserve"> : le Conseil retient que la sauvegarde de l’ordre public est </w:t>
      </w:r>
      <w:r>
        <w:rPr>
          <w:rFonts w:ascii="Calibri" w:eastAsia="Calibri" w:hAnsi="Calibri" w:cs="Calibri"/>
          <w:b/>
          <w:bCs/>
          <w:color w:val="1A1A1A"/>
        </w:rPr>
        <w:t>consubstantielle</w:t>
      </w:r>
      <w:r>
        <w:rPr>
          <w:rFonts w:ascii="Calibri" w:eastAsia="Calibri" w:hAnsi="Calibri" w:cs="Calibri"/>
          <w:color w:val="1A1A1A"/>
        </w:rPr>
        <w:t xml:space="preserve"> à la protection des libertés — il n’y aurait pas de libertés individuelles sans sécurité ; cette approche favorise le développement des discours sécuritaires.</w:t>
      </w:r>
    </w:p>
    <w:p w14:paraId="3B11396D"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Cons. const., déc. n° 2015-458 QPC, 20 mars 2015, Époux L.</w:t>
      </w:r>
      <w:r>
        <w:rPr>
          <w:rFonts w:ascii="Calibri" w:eastAsia="Calibri" w:hAnsi="Calibri" w:cs="Calibri"/>
          <w:color w:val="1A1A1A"/>
        </w:rPr>
        <w:t xml:space="preserve"> et </w:t>
      </w:r>
      <w:r>
        <w:rPr>
          <w:rFonts w:ascii="Calibri" w:eastAsia="Calibri" w:hAnsi="Calibri" w:cs="Calibri"/>
          <w:color w:val="E91E63"/>
        </w:rPr>
        <w:t>CE, 6 mai 2019, Ligue nationale pour la liberté des vaccinations, n° 419242</w:t>
      </w:r>
      <w:r>
        <w:rPr>
          <w:rFonts w:ascii="Calibri" w:eastAsia="Calibri" w:hAnsi="Calibri" w:cs="Calibri"/>
          <w:color w:val="1A1A1A"/>
        </w:rPr>
        <w:t xml:space="preserve"> : le passage de trois à onze vaccinations obligatoires constitue une atteinte au droit au respect de la vie privée, </w:t>
      </w:r>
      <w:r>
        <w:rPr>
          <w:rFonts w:ascii="Calibri" w:eastAsia="Calibri" w:hAnsi="Calibri" w:cs="Calibri"/>
          <w:b/>
          <w:bCs/>
          <w:color w:val="1A1A1A"/>
        </w:rPr>
        <w:t>justifiée</w:t>
      </w:r>
      <w:r>
        <w:rPr>
          <w:rFonts w:ascii="Calibri" w:eastAsia="Calibri" w:hAnsi="Calibri" w:cs="Calibri"/>
          <w:color w:val="1A1A1A"/>
        </w:rPr>
        <w:t xml:space="preserve"> par l’objectif d’amélioration de la couverture vaccinale.</w:t>
      </w:r>
    </w:p>
    <w:p w14:paraId="1ED4DE25" w14:textId="77777777" w:rsidR="00E6057C" w:rsidRDefault="00000000">
      <w:pPr>
        <w:pStyle w:val="Titre3"/>
        <w:spacing w:before="200" w:after="90"/>
      </w:pPr>
      <w:r>
        <w:rPr>
          <w:rFonts w:ascii="Calibri" w:eastAsia="Calibri" w:hAnsi="Calibri" w:cs="Calibri"/>
          <w:b/>
          <w:bCs/>
          <w:i/>
          <w:iCs/>
          <w:color w:val="5A5A5A"/>
          <w:sz w:val="21"/>
          <w:szCs w:val="21"/>
        </w:rPr>
        <w:t>2.5. Le contrôle de la loi</w:t>
      </w:r>
    </w:p>
    <w:p w14:paraId="675AF938"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86-217 DC, 18 septembre 1986, Liberté de communication</w:t>
      </w:r>
      <w:r>
        <w:rPr>
          <w:rFonts w:ascii="Calibri" w:eastAsia="Calibri" w:hAnsi="Calibri" w:cs="Calibri"/>
          <w:color w:val="1A1A1A"/>
        </w:rPr>
        <w:t xml:space="preserve"> — </w:t>
      </w:r>
      <w:r>
        <w:rPr>
          <w:rFonts w:ascii="Calibri" w:eastAsia="Calibri" w:hAnsi="Calibri" w:cs="Calibri"/>
          <w:b/>
          <w:bCs/>
          <w:color w:val="1A1A1A"/>
        </w:rPr>
        <w:t>effet cliquet</w:t>
      </w:r>
      <w:r>
        <w:rPr>
          <w:rFonts w:ascii="Calibri" w:eastAsia="Calibri" w:hAnsi="Calibri" w:cs="Calibri"/>
          <w:color w:val="1A1A1A"/>
        </w:rPr>
        <w:t xml:space="preserve">. Le législateur peut modifier ou abroger des dispositions antérieures </w:t>
      </w:r>
      <w:r w:rsidRPr="00152B3B">
        <w:rPr>
          <w:rFonts w:ascii="Calibri" w:eastAsia="Calibri" w:hAnsi="Calibri" w:cs="Calibri"/>
          <w:color w:val="1A1A1A"/>
          <w:highlight w:val="yellow"/>
        </w:rPr>
        <w:t xml:space="preserve">à la seule condition de </w:t>
      </w:r>
      <w:r w:rsidRPr="00152B3B">
        <w:rPr>
          <w:rFonts w:ascii="Calibri" w:eastAsia="Calibri" w:hAnsi="Calibri" w:cs="Calibri"/>
          <w:b/>
          <w:bCs/>
          <w:color w:val="1A1A1A"/>
          <w:highlight w:val="yellow"/>
        </w:rPr>
        <w:t>ne pas priver de garanties légales</w:t>
      </w:r>
      <w:r w:rsidRPr="00152B3B">
        <w:rPr>
          <w:rFonts w:ascii="Calibri" w:eastAsia="Calibri" w:hAnsi="Calibri" w:cs="Calibri"/>
          <w:color w:val="1A1A1A"/>
          <w:highlight w:val="yellow"/>
        </w:rPr>
        <w:t xml:space="preserve"> des exigences constitutionnelles</w:t>
      </w:r>
      <w:r>
        <w:rPr>
          <w:rFonts w:ascii="Calibri" w:eastAsia="Calibri" w:hAnsi="Calibri" w:cs="Calibri"/>
          <w:color w:val="1A1A1A"/>
        </w:rPr>
        <w:t xml:space="preserve"> : il ne peut donc supprimer des dispositions législatives qui rendaient effectives des libertés constitutionnellement garanties.</w:t>
      </w:r>
    </w:p>
    <w:p w14:paraId="2817D9FF"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Cass., ch. mixte, 24 mai 1975, Jacques Vabre, n° 73-13.556</w:t>
      </w:r>
      <w:r>
        <w:rPr>
          <w:rFonts w:ascii="Calibri" w:eastAsia="Calibri" w:hAnsi="Calibri" w:cs="Calibri"/>
          <w:color w:val="1A1A1A"/>
        </w:rPr>
        <w:t xml:space="preserve"> ; ★ </w:t>
      </w:r>
      <w:r>
        <w:rPr>
          <w:rFonts w:ascii="Calibri" w:eastAsia="Calibri" w:hAnsi="Calibri" w:cs="Calibri"/>
          <w:color w:val="E91E63"/>
        </w:rPr>
        <w:t>CE, Ass., 20 octobre 1989, Nicolo, n° 108243</w:t>
      </w:r>
      <w:r>
        <w:rPr>
          <w:rFonts w:ascii="Calibri" w:eastAsia="Calibri" w:hAnsi="Calibri" w:cs="Calibri"/>
          <w:color w:val="1A1A1A"/>
        </w:rPr>
        <w:t xml:space="preserve"> : contrôle de conventionnalité de la loi par le juge ordinaire.</w:t>
      </w:r>
    </w:p>
    <w:p w14:paraId="3612E0C2"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CE, Ass., 31 mai 2016, Gonzalez Gomez, n° 396848</w:t>
      </w:r>
      <w:r>
        <w:rPr>
          <w:rFonts w:ascii="Calibri" w:eastAsia="Calibri" w:hAnsi="Calibri" w:cs="Calibri"/>
          <w:color w:val="1A1A1A"/>
        </w:rPr>
        <w:t xml:space="preserve"> : la non-conformité d’une loi aux stipulations conventionnelles peut être censurée par le juge ordinaire, </w:t>
      </w:r>
      <w:r>
        <w:rPr>
          <w:rFonts w:ascii="Calibri" w:eastAsia="Calibri" w:hAnsi="Calibri" w:cs="Calibri"/>
          <w:b/>
          <w:bCs/>
          <w:color w:val="1A1A1A"/>
        </w:rPr>
        <w:t>y compris à l’occasion d’une audience de référé</w:t>
      </w:r>
      <w:r>
        <w:rPr>
          <w:rFonts w:ascii="Calibri" w:eastAsia="Calibri" w:hAnsi="Calibri" w:cs="Calibri"/>
          <w:color w:val="1A1A1A"/>
        </w:rPr>
        <w:t xml:space="preserve"> — et par un contrôle </w:t>
      </w:r>
      <w:r>
        <w:rPr>
          <w:rFonts w:ascii="Calibri" w:eastAsia="Calibri" w:hAnsi="Calibri" w:cs="Calibri"/>
          <w:i/>
          <w:iCs/>
          <w:color w:val="1A1A1A"/>
        </w:rPr>
        <w:t>in concreto</w:t>
      </w:r>
      <w:r>
        <w:rPr>
          <w:rFonts w:ascii="Calibri" w:eastAsia="Calibri" w:hAnsi="Calibri" w:cs="Calibri"/>
          <w:color w:val="1A1A1A"/>
        </w:rPr>
        <w:t>.</w:t>
      </w:r>
    </w:p>
    <w:p w14:paraId="0D453325"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Cons. const., déc. n° 2005-530 DC, 29 décembre 2005, Loi de finances pour 2006</w:t>
      </w:r>
      <w:r>
        <w:rPr>
          <w:rFonts w:ascii="Calibri" w:eastAsia="Calibri" w:hAnsi="Calibri" w:cs="Calibri"/>
          <w:color w:val="1A1A1A"/>
        </w:rPr>
        <w:t xml:space="preserve"> : sanction de la complexité excessive de la loi ; le Conseil veille à la clarté, à l’intelligibilité et à l’accessibilité, élevées au rang d’objectif de valeur constitutionnelle (</w:t>
      </w:r>
      <w:r>
        <w:rPr>
          <w:rFonts w:ascii="Calibri" w:eastAsia="Calibri" w:hAnsi="Calibri" w:cs="Calibri"/>
          <w:color w:val="E91E63"/>
        </w:rPr>
        <w:t>99-421 DC, 16 décembre 1999</w:t>
      </w:r>
      <w:r>
        <w:rPr>
          <w:rFonts w:ascii="Calibri" w:eastAsia="Calibri" w:hAnsi="Calibri" w:cs="Calibri"/>
          <w:color w:val="1A1A1A"/>
        </w:rPr>
        <w:t>).</w:t>
      </w:r>
    </w:p>
    <w:p w14:paraId="32C7BC8D" w14:textId="77777777" w:rsidR="00E6057C" w:rsidRDefault="00000000">
      <w:pPr>
        <w:pStyle w:val="Titre2"/>
        <w:spacing w:before="280" w:after="120"/>
      </w:pPr>
      <w:r>
        <w:rPr>
          <w:rFonts w:ascii="Calibri" w:eastAsia="Calibri" w:hAnsi="Calibri" w:cs="Calibri"/>
          <w:b/>
          <w:bCs/>
          <w:color w:val="1A1A1A"/>
          <w:sz w:val="24"/>
          <w:szCs w:val="24"/>
        </w:rPr>
        <w:t>3. Débats doctrinaux &amp; critiques</w:t>
      </w:r>
    </w:p>
    <w:p w14:paraId="33994A36" w14:textId="77777777" w:rsidR="00E6057C" w:rsidRDefault="00000000">
      <w:pPr>
        <w:pStyle w:val="Paragraphedeliste"/>
        <w:numPr>
          <w:ilvl w:val="0"/>
          <w:numId w:val="2"/>
        </w:numPr>
        <w:spacing w:after="70" w:line="264" w:lineRule="auto"/>
        <w:jc w:val="both"/>
      </w:pPr>
      <w:r>
        <w:rPr>
          <w:rFonts w:ascii="Calibri" w:eastAsia="Calibri" w:hAnsi="Calibri" w:cs="Calibri"/>
          <w:color w:val="2E7D32"/>
        </w:rPr>
        <w:t>Jean-Jacques Rousseau</w:t>
      </w:r>
      <w:r>
        <w:rPr>
          <w:rFonts w:ascii="Calibri" w:eastAsia="Calibri" w:hAnsi="Calibri" w:cs="Calibri"/>
          <w:color w:val="1A1A1A"/>
        </w:rPr>
        <w:t xml:space="preserve"> : la loi ne peut mal faire puisqu’elle émane de la volonté populaire, elle-même infaillible — théorie de la </w:t>
      </w:r>
      <w:r>
        <w:rPr>
          <w:rFonts w:ascii="Calibri" w:eastAsia="Calibri" w:hAnsi="Calibri" w:cs="Calibri"/>
          <w:b/>
          <w:bCs/>
          <w:color w:val="1A1A1A"/>
        </w:rPr>
        <w:t>souveraineté populaire</w:t>
      </w:r>
      <w:r>
        <w:rPr>
          <w:rFonts w:ascii="Calibri" w:eastAsia="Calibri" w:hAnsi="Calibri" w:cs="Calibri"/>
          <w:color w:val="1A1A1A"/>
        </w:rPr>
        <w:t>, destinée à remplacer la coercition arbitraire imposée par le Roi.</w:t>
      </w:r>
    </w:p>
    <w:p w14:paraId="1AC0BD0E" w14:textId="77777777" w:rsidR="00E6057C" w:rsidRDefault="00000000">
      <w:pPr>
        <w:pStyle w:val="Paragraphedeliste"/>
        <w:numPr>
          <w:ilvl w:val="0"/>
          <w:numId w:val="2"/>
        </w:numPr>
        <w:spacing w:after="70" w:line="264" w:lineRule="auto"/>
        <w:jc w:val="both"/>
      </w:pPr>
      <w:r>
        <w:rPr>
          <w:rFonts w:ascii="Calibri" w:eastAsia="Calibri" w:hAnsi="Calibri" w:cs="Calibri"/>
          <w:color w:val="2E7D32"/>
        </w:rPr>
        <w:lastRenderedPageBreak/>
        <w:t>René Chapus</w:t>
      </w:r>
      <w:r>
        <w:rPr>
          <w:rFonts w:ascii="Calibri" w:eastAsia="Calibri" w:hAnsi="Calibri" w:cs="Calibri"/>
          <w:color w:val="1A1A1A"/>
        </w:rPr>
        <w:t xml:space="preserve"> : si le Conseil d’État est soumis à la loi, il peut en revanche censurer les actes administratifs comme les décrets ; les principes généraux du droit ont donc une valeur </w:t>
      </w:r>
      <w:r>
        <w:rPr>
          <w:rFonts w:ascii="Calibri" w:eastAsia="Calibri" w:hAnsi="Calibri" w:cs="Calibri"/>
          <w:b/>
          <w:bCs/>
          <w:color w:val="1A1A1A"/>
        </w:rPr>
        <w:t>infralégislative mais supra-décrétale</w:t>
      </w:r>
      <w:r>
        <w:rPr>
          <w:rFonts w:ascii="Calibri" w:eastAsia="Calibri" w:hAnsi="Calibri" w:cs="Calibri"/>
          <w:color w:val="1A1A1A"/>
        </w:rPr>
        <w:t xml:space="preserve">, le juge administratif étant « </w:t>
      </w:r>
      <w:r>
        <w:rPr>
          <w:rFonts w:ascii="Calibri" w:eastAsia="Calibri" w:hAnsi="Calibri" w:cs="Calibri"/>
          <w:i/>
          <w:iCs/>
          <w:color w:val="1A1A1A"/>
        </w:rPr>
        <w:t>serviteur de la loi, mais censeur des décrets</w:t>
      </w:r>
      <w:r>
        <w:rPr>
          <w:rFonts w:ascii="Calibri" w:eastAsia="Calibri" w:hAnsi="Calibri" w:cs="Calibri"/>
          <w:color w:val="1A1A1A"/>
        </w:rPr>
        <w:t xml:space="preserve"> ».</w:t>
      </w:r>
    </w:p>
    <w:p w14:paraId="6F2187D7" w14:textId="77777777" w:rsidR="00E6057C" w:rsidRDefault="00000000">
      <w:pPr>
        <w:pStyle w:val="Paragraphedeliste"/>
        <w:numPr>
          <w:ilvl w:val="0"/>
          <w:numId w:val="2"/>
        </w:numPr>
        <w:spacing w:after="70" w:line="264" w:lineRule="auto"/>
        <w:jc w:val="both"/>
      </w:pPr>
      <w:r>
        <w:rPr>
          <w:rFonts w:ascii="Calibri" w:eastAsia="Calibri" w:hAnsi="Calibri" w:cs="Calibri"/>
          <w:color w:val="2E7D32"/>
        </w:rPr>
        <w:t>Conseil d’État, Rapport public 1991, De la sécurité juridique / Simplification et qualité du droit</w:t>
      </w:r>
      <w:r>
        <w:rPr>
          <w:rFonts w:ascii="Calibri" w:eastAsia="Calibri" w:hAnsi="Calibri" w:cs="Calibri"/>
          <w:color w:val="1A1A1A"/>
        </w:rPr>
        <w:t xml:space="preserve"> : constat de l’</w:t>
      </w:r>
      <w:r>
        <w:rPr>
          <w:rFonts w:ascii="Calibri" w:eastAsia="Calibri" w:hAnsi="Calibri" w:cs="Calibri"/>
          <w:b/>
          <w:bCs/>
          <w:color w:val="1A1A1A"/>
        </w:rPr>
        <w:t>inflation normative</w:t>
      </w:r>
      <w:r>
        <w:rPr>
          <w:rFonts w:ascii="Calibri" w:eastAsia="Calibri" w:hAnsi="Calibri" w:cs="Calibri"/>
          <w:color w:val="1A1A1A"/>
        </w:rPr>
        <w:t xml:space="preserve"> — accroissement massif du nombre de lois et surtout de leur contenu ; « quand la loi bavarde, le citoyen ne l’écoute plus que d’une oreille indiscrète ». En matière de libertés, cette inflation est inquiétante en ce qu’elle </w:t>
      </w:r>
      <w:r>
        <w:rPr>
          <w:rFonts w:ascii="Calibri" w:eastAsia="Calibri" w:hAnsi="Calibri" w:cs="Calibri"/>
          <w:b/>
          <w:bCs/>
          <w:color w:val="1A1A1A"/>
        </w:rPr>
        <w:t>affaiblit l’effectivité de la protection</w:t>
      </w:r>
      <w:r>
        <w:rPr>
          <w:rFonts w:ascii="Calibri" w:eastAsia="Calibri" w:hAnsi="Calibri" w:cs="Calibri"/>
          <w:color w:val="1A1A1A"/>
        </w:rPr>
        <w:t>.</w:t>
      </w:r>
    </w:p>
    <w:p w14:paraId="7465476D" w14:textId="77777777" w:rsidR="00E6057C" w:rsidRDefault="00000000">
      <w:pPr>
        <w:pStyle w:val="Paragraphedeliste"/>
        <w:numPr>
          <w:ilvl w:val="0"/>
          <w:numId w:val="2"/>
        </w:numPr>
        <w:spacing w:after="70" w:line="264" w:lineRule="auto"/>
        <w:jc w:val="both"/>
      </w:pPr>
      <w:r>
        <w:rPr>
          <w:rFonts w:ascii="Calibri" w:eastAsia="Calibri" w:hAnsi="Calibri" w:cs="Calibri"/>
          <w:color w:val="2E7D32"/>
        </w:rPr>
        <w:t>Henry David Thoreau</w:t>
      </w:r>
      <w:r>
        <w:rPr>
          <w:rFonts w:ascii="Calibri" w:eastAsia="Calibri" w:hAnsi="Calibri" w:cs="Calibri"/>
          <w:color w:val="1A1A1A"/>
        </w:rPr>
        <w:t xml:space="preserve"> : théorisation de la </w:t>
      </w:r>
      <w:r>
        <w:rPr>
          <w:rFonts w:ascii="Calibri" w:eastAsia="Calibri" w:hAnsi="Calibri" w:cs="Calibri"/>
          <w:b/>
          <w:bCs/>
          <w:color w:val="1A1A1A"/>
        </w:rPr>
        <w:t>désobéissance civile</w:t>
      </w:r>
      <w:r>
        <w:rPr>
          <w:rFonts w:ascii="Calibri" w:eastAsia="Calibri" w:hAnsi="Calibri" w:cs="Calibri"/>
          <w:color w:val="1A1A1A"/>
        </w:rPr>
        <w:t xml:space="preserve"> comme instrument de revendication et de protestation. Distinction structurante : la </w:t>
      </w:r>
      <w:r>
        <w:rPr>
          <w:rFonts w:ascii="Calibri" w:eastAsia="Calibri" w:hAnsi="Calibri" w:cs="Calibri"/>
          <w:b/>
          <w:bCs/>
          <w:color w:val="1A1A1A"/>
        </w:rPr>
        <w:t>résistance à l’oppression</w:t>
      </w:r>
      <w:r>
        <w:rPr>
          <w:rFonts w:ascii="Calibri" w:eastAsia="Calibri" w:hAnsi="Calibri" w:cs="Calibri"/>
          <w:color w:val="1A1A1A"/>
        </w:rPr>
        <w:t xml:space="preserve"> remet en cause le pouvoir lui-même, en raison de sa nature autoritaire ; la </w:t>
      </w:r>
      <w:r>
        <w:rPr>
          <w:rFonts w:ascii="Calibri" w:eastAsia="Calibri" w:hAnsi="Calibri" w:cs="Calibri"/>
          <w:b/>
          <w:bCs/>
          <w:color w:val="1A1A1A"/>
        </w:rPr>
        <w:t>désobéissance civile</w:t>
      </w:r>
      <w:r>
        <w:rPr>
          <w:rFonts w:ascii="Calibri" w:eastAsia="Calibri" w:hAnsi="Calibri" w:cs="Calibri"/>
          <w:color w:val="1A1A1A"/>
        </w:rPr>
        <w:t xml:space="preserve"> conteste une </w:t>
      </w:r>
      <w:r>
        <w:rPr>
          <w:rFonts w:ascii="Calibri" w:eastAsia="Calibri" w:hAnsi="Calibri" w:cs="Calibri"/>
          <w:b/>
          <w:bCs/>
          <w:color w:val="1A1A1A"/>
        </w:rPr>
        <w:t>mesure</w:t>
      </w:r>
      <w:r>
        <w:rPr>
          <w:rFonts w:ascii="Calibri" w:eastAsia="Calibri" w:hAnsi="Calibri" w:cs="Calibri"/>
          <w:color w:val="1A1A1A"/>
        </w:rPr>
        <w:t xml:space="preserve"> adoptée par le pouvoir, par un acte contraire à la loi destiné à induire un changement dans celle-ci ou dans la politique menée.</w:t>
      </w:r>
    </w:p>
    <w:p w14:paraId="6C721841"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Illustrations de la désobéissance</w:t>
      </w:r>
      <w:r>
        <w:rPr>
          <w:rFonts w:ascii="Calibri" w:eastAsia="Calibri" w:hAnsi="Calibri" w:cs="Calibri"/>
          <w:color w:val="1A1A1A"/>
        </w:rPr>
        <w:t xml:space="preserve"> : refus de certains maires de célébrer des mariages après l’entrée en vigueur de la </w:t>
      </w:r>
      <w:r>
        <w:rPr>
          <w:rFonts w:ascii="Calibri" w:eastAsia="Calibri" w:hAnsi="Calibri" w:cs="Calibri"/>
          <w:color w:val="1E88E5"/>
        </w:rPr>
        <w:t>loi n° 2013-404 du 17 mai 2013</w:t>
      </w:r>
      <w:r>
        <w:rPr>
          <w:rFonts w:ascii="Calibri" w:eastAsia="Calibri" w:hAnsi="Calibri" w:cs="Calibri"/>
          <w:color w:val="1A1A1A"/>
        </w:rPr>
        <w:t xml:space="preserve"> ; refus de marier une personne sous obligation de quitter le territoire français, en méconnaissance des dispositions du Code civil et du Code général des collectivités territoriales.</w:t>
      </w:r>
    </w:p>
    <w:p w14:paraId="701978F6"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Les dérogations admises</w:t>
      </w:r>
      <w:r>
        <w:rPr>
          <w:rFonts w:ascii="Calibri" w:eastAsia="Calibri" w:hAnsi="Calibri" w:cs="Calibri"/>
          <w:color w:val="1A1A1A"/>
        </w:rPr>
        <w:t xml:space="preserve"> — </w:t>
      </w:r>
      <w:r>
        <w:rPr>
          <w:rFonts w:ascii="Calibri" w:eastAsia="Calibri" w:hAnsi="Calibri" w:cs="Calibri"/>
          <w:b/>
          <w:bCs/>
          <w:color w:val="1A1A1A"/>
        </w:rPr>
        <w:t>clause de conscience</w:t>
      </w:r>
      <w:r>
        <w:rPr>
          <w:rFonts w:ascii="Calibri" w:eastAsia="Calibri" w:hAnsi="Calibri" w:cs="Calibri"/>
          <w:color w:val="1A1A1A"/>
        </w:rPr>
        <w:t xml:space="preserve"> : refus de pratiquer une IVG (</w:t>
      </w:r>
      <w:r>
        <w:rPr>
          <w:rFonts w:ascii="Calibri" w:eastAsia="Calibri" w:hAnsi="Calibri" w:cs="Calibri"/>
          <w:color w:val="1E88E5"/>
        </w:rPr>
        <w:t>art. L. 2212-8 CSP</w:t>
      </w:r>
      <w:r>
        <w:rPr>
          <w:rFonts w:ascii="Calibri" w:eastAsia="Calibri" w:hAnsi="Calibri" w:cs="Calibri"/>
          <w:color w:val="1A1A1A"/>
        </w:rPr>
        <w:t>), une stérilisation chirurgicale (</w:t>
      </w:r>
      <w:r>
        <w:rPr>
          <w:rFonts w:ascii="Calibri" w:eastAsia="Calibri" w:hAnsi="Calibri" w:cs="Calibri"/>
          <w:color w:val="1E88E5"/>
        </w:rPr>
        <w:t>art. L. 2123-1 CSP</w:t>
      </w:r>
      <w:r>
        <w:rPr>
          <w:rFonts w:ascii="Calibri" w:eastAsia="Calibri" w:hAnsi="Calibri" w:cs="Calibri"/>
          <w:color w:val="1A1A1A"/>
        </w:rPr>
        <w:t>), ou de participer à des recherches sur les embryons humains (</w:t>
      </w:r>
      <w:r>
        <w:rPr>
          <w:rFonts w:ascii="Calibri" w:eastAsia="Calibri" w:hAnsi="Calibri" w:cs="Calibri"/>
          <w:color w:val="1E88E5"/>
        </w:rPr>
        <w:t>art. L. 2151-7-1 CSP</w:t>
      </w:r>
      <w:r>
        <w:rPr>
          <w:rFonts w:ascii="Calibri" w:eastAsia="Calibri" w:hAnsi="Calibri" w:cs="Calibri"/>
          <w:color w:val="1A1A1A"/>
        </w:rPr>
        <w:t xml:space="preserve">). </w:t>
      </w:r>
      <w:r>
        <w:rPr>
          <w:rFonts w:ascii="Calibri" w:eastAsia="Calibri" w:hAnsi="Calibri" w:cs="Calibri"/>
          <w:b/>
          <w:bCs/>
          <w:color w:val="1A1A1A"/>
        </w:rPr>
        <w:t>Fonctionnaires</w:t>
      </w:r>
      <w:r>
        <w:rPr>
          <w:rFonts w:ascii="Calibri" w:eastAsia="Calibri" w:hAnsi="Calibri" w:cs="Calibri"/>
          <w:color w:val="1A1A1A"/>
        </w:rPr>
        <w:t xml:space="preserve"> : obéissance de principe aux ordres du supérieur, sauf ordre </w:t>
      </w:r>
      <w:r>
        <w:rPr>
          <w:rFonts w:ascii="Calibri" w:eastAsia="Calibri" w:hAnsi="Calibri" w:cs="Calibri"/>
          <w:b/>
          <w:bCs/>
          <w:color w:val="1A1A1A"/>
        </w:rPr>
        <w:t>manifestement illégal et de nature à compromettre gravement un intérêt public</w:t>
      </w:r>
      <w:r>
        <w:rPr>
          <w:rFonts w:ascii="Calibri" w:eastAsia="Calibri" w:hAnsi="Calibri" w:cs="Calibri"/>
          <w:color w:val="1A1A1A"/>
        </w:rPr>
        <w:t>.</w:t>
      </w:r>
    </w:p>
    <w:p w14:paraId="1C425F3E"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Actualité — nouvelle clause de conscience en matière d’aide à mourir</w:t>
      </w:r>
      <w:r>
        <w:rPr>
          <w:rFonts w:ascii="Calibri" w:eastAsia="Calibri" w:hAnsi="Calibri" w:cs="Calibri"/>
          <w:color w:val="1A1A1A"/>
        </w:rPr>
        <w:t xml:space="preserve"> : </w:t>
      </w:r>
      <w:r>
        <w:rPr>
          <w:rFonts w:ascii="Calibri" w:eastAsia="Calibri" w:hAnsi="Calibri" w:cs="Calibri"/>
          <w:color w:val="1E88E5"/>
        </w:rPr>
        <w:t>loi n° 2026-794 du 18 août 2026 relative au droit à l’aide à mourir, art. 14 ; art. L. 1111-12-12 du Code de la santé publique</w:t>
      </w:r>
      <w:r>
        <w:rPr>
          <w:rFonts w:ascii="Calibri" w:eastAsia="Calibri" w:hAnsi="Calibri" w:cs="Calibri"/>
          <w:color w:val="1A1A1A"/>
        </w:rPr>
        <w:t xml:space="preserve">. Les professionnels de santé directement appelés à participer à la procédure — médecin saisi de la demande, professionnels participant au collège pluriprofessionnel, médecin ou infirmier chargé d’accompagner l’administration de la substance létale — </w:t>
      </w:r>
      <w:r>
        <w:rPr>
          <w:rFonts w:ascii="Calibri" w:eastAsia="Calibri" w:hAnsi="Calibri" w:cs="Calibri"/>
          <w:b/>
          <w:bCs/>
          <w:color w:val="1A1A1A"/>
        </w:rPr>
        <w:t>ne peuvent être contraints d’y participer</w:t>
      </w:r>
      <w:r>
        <w:rPr>
          <w:rFonts w:ascii="Calibri" w:eastAsia="Calibri" w:hAnsi="Calibri" w:cs="Calibri"/>
          <w:color w:val="1A1A1A"/>
        </w:rPr>
        <w:t xml:space="preserve">. L’exercice de la clause est concilié avec l’effectivité du droit : le professionnel qui refuse doit en informer </w:t>
      </w:r>
      <w:r>
        <w:rPr>
          <w:rFonts w:ascii="Calibri" w:eastAsia="Calibri" w:hAnsi="Calibri" w:cs="Calibri"/>
          <w:b/>
          <w:bCs/>
          <w:color w:val="1A1A1A"/>
        </w:rPr>
        <w:t>sans délai</w:t>
      </w:r>
      <w:r>
        <w:rPr>
          <w:rFonts w:ascii="Calibri" w:eastAsia="Calibri" w:hAnsi="Calibri" w:cs="Calibri"/>
          <w:color w:val="1A1A1A"/>
        </w:rPr>
        <w:t xml:space="preserve"> la personne ou le professionnel qui le sollicite et lui communiquer le nom de professionnels disposés à participer ; les volontaires se déclarent auprès de la commission de contrôle et d’évaluation instituée par la loi. Loi définitivement adoptée en juillet 2026, promulguée le 18 août 2026, entrée en vigueur sur ce point le </w:t>
      </w:r>
      <w:r>
        <w:rPr>
          <w:rFonts w:ascii="Calibri" w:eastAsia="Calibri" w:hAnsi="Calibri" w:cs="Calibri"/>
          <w:b/>
          <w:bCs/>
          <w:color w:val="1A1A1A"/>
        </w:rPr>
        <w:t>20 août 2026</w:t>
      </w:r>
      <w:r>
        <w:rPr>
          <w:rFonts w:ascii="Calibri" w:eastAsia="Calibri" w:hAnsi="Calibri" w:cs="Calibri"/>
          <w:color w:val="1A1A1A"/>
        </w:rPr>
        <w:t>.</w:t>
      </w:r>
    </w:p>
    <w:p w14:paraId="394C9A53"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Le principe de permission</w:t>
      </w:r>
      <w:r>
        <w:rPr>
          <w:rFonts w:ascii="Calibri" w:eastAsia="Calibri" w:hAnsi="Calibri" w:cs="Calibri"/>
          <w:color w:val="1A1A1A"/>
        </w:rPr>
        <w:t xml:space="preserve"> : en l’absence de loi, tout ce qui n’est pas prohibé est possible. Exemple topique : en l’absence de loi interdisant l’exercice de la prostitution, celle-ci n’est pas formellement interdite ; seul l’</w:t>
      </w:r>
      <w:r>
        <w:rPr>
          <w:rFonts w:ascii="Calibri" w:eastAsia="Calibri" w:hAnsi="Calibri" w:cs="Calibri"/>
          <w:b/>
          <w:bCs/>
          <w:color w:val="1A1A1A"/>
        </w:rPr>
        <w:t>achat</w:t>
      </w:r>
      <w:r>
        <w:rPr>
          <w:rFonts w:ascii="Calibri" w:eastAsia="Calibri" w:hAnsi="Calibri" w:cs="Calibri"/>
          <w:color w:val="1A1A1A"/>
        </w:rPr>
        <w:t xml:space="preserve"> de services sexuels est prohibé (</w:t>
      </w:r>
      <w:r>
        <w:rPr>
          <w:rFonts w:ascii="Calibri" w:eastAsia="Calibri" w:hAnsi="Calibri" w:cs="Calibri"/>
          <w:color w:val="1E88E5"/>
        </w:rPr>
        <w:t>loi n° 2016-444 du 13 avril 2016 visant à renforcer la lutte contre le système prostitutionnel et à accompagner les personnes prostituées</w:t>
      </w:r>
      <w:r>
        <w:rPr>
          <w:rFonts w:ascii="Calibri" w:eastAsia="Calibri" w:hAnsi="Calibri" w:cs="Calibri"/>
          <w:color w:val="1A1A1A"/>
        </w:rPr>
        <w:t>).</w:t>
      </w:r>
    </w:p>
    <w:p w14:paraId="4AC942F6"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Lois spécifiques mobilisables</w:t>
      </w:r>
      <w:r>
        <w:rPr>
          <w:rFonts w:ascii="Calibri" w:eastAsia="Calibri" w:hAnsi="Calibri" w:cs="Calibri"/>
          <w:color w:val="1A1A1A"/>
        </w:rPr>
        <w:t xml:space="preserve"> : </w:t>
      </w:r>
      <w:r>
        <w:rPr>
          <w:rFonts w:ascii="Calibri" w:eastAsia="Calibri" w:hAnsi="Calibri" w:cs="Calibri"/>
          <w:color w:val="1E88E5"/>
        </w:rPr>
        <w:t>loi Veil du 17 janvier 1975</w:t>
      </w:r>
      <w:r>
        <w:rPr>
          <w:rFonts w:ascii="Calibri" w:eastAsia="Calibri" w:hAnsi="Calibri" w:cs="Calibri"/>
          <w:color w:val="1A1A1A"/>
        </w:rPr>
        <w:t xml:space="preserve"> (dépénalisation de l’avortement) ; </w:t>
      </w:r>
      <w:r>
        <w:rPr>
          <w:rFonts w:ascii="Calibri" w:eastAsia="Calibri" w:hAnsi="Calibri" w:cs="Calibri"/>
          <w:color w:val="1E88E5"/>
        </w:rPr>
        <w:t>loi du 13 juillet 1983</w:t>
      </w:r>
      <w:r>
        <w:rPr>
          <w:rFonts w:ascii="Calibri" w:eastAsia="Calibri" w:hAnsi="Calibri" w:cs="Calibri"/>
          <w:color w:val="1A1A1A"/>
        </w:rPr>
        <w:t xml:space="preserve"> (égalité des sexes dans le Code du travail et la fonction publique) ; </w:t>
      </w:r>
      <w:r>
        <w:rPr>
          <w:rFonts w:ascii="Calibri" w:eastAsia="Calibri" w:hAnsi="Calibri" w:cs="Calibri"/>
          <w:color w:val="1E88E5"/>
        </w:rPr>
        <w:t>loi du 27 janvier 2017 relative à l’égalité et à la citoyenneté</w:t>
      </w:r>
      <w:r>
        <w:rPr>
          <w:rFonts w:ascii="Calibri" w:eastAsia="Calibri" w:hAnsi="Calibri" w:cs="Calibri"/>
          <w:color w:val="1A1A1A"/>
        </w:rPr>
        <w:t xml:space="preserve"> ; </w:t>
      </w:r>
      <w:r>
        <w:rPr>
          <w:rFonts w:ascii="Calibri" w:eastAsia="Calibri" w:hAnsi="Calibri" w:cs="Calibri"/>
          <w:color w:val="1E88E5"/>
        </w:rPr>
        <w:t>CESEDA</w:t>
      </w:r>
      <w:r>
        <w:rPr>
          <w:rFonts w:ascii="Calibri" w:eastAsia="Calibri" w:hAnsi="Calibri" w:cs="Calibri"/>
          <w:color w:val="1A1A1A"/>
        </w:rPr>
        <w:t xml:space="preserve"> (droit de vote et d’éligibilité des citoyens de l’Union) ; lois sur les relations entre le citoyen et l’administration (accès aux documents administratifs, qualité du droit, allègement des démarches).</w:t>
      </w:r>
    </w:p>
    <w:p w14:paraId="261AA4EB" w14:textId="77777777" w:rsidR="00E6057C" w:rsidRDefault="00000000">
      <w:pPr>
        <w:pStyle w:val="Titre2"/>
        <w:spacing w:before="280" w:after="120"/>
      </w:pPr>
      <w:r>
        <w:rPr>
          <w:rFonts w:ascii="Calibri" w:eastAsia="Calibri" w:hAnsi="Calibri" w:cs="Calibri"/>
          <w:b/>
          <w:bCs/>
          <w:color w:val="1A1A1A"/>
          <w:sz w:val="24"/>
          <w:szCs w:val="24"/>
        </w:rPr>
        <w:t>4. Dispositif « Grand Oral »</w:t>
      </w:r>
    </w:p>
    <w:p w14:paraId="6735A522" w14:textId="77777777" w:rsidR="00E6057C" w:rsidRDefault="00000000">
      <w:pPr>
        <w:pStyle w:val="Titre3"/>
        <w:spacing w:before="200" w:after="90"/>
      </w:pPr>
      <w:r>
        <w:rPr>
          <w:rFonts w:ascii="Calibri" w:eastAsia="Calibri" w:hAnsi="Calibri" w:cs="Calibri"/>
          <w:b/>
          <w:bCs/>
          <w:i/>
          <w:iCs/>
          <w:color w:val="5A5A5A"/>
          <w:sz w:val="21"/>
          <w:szCs w:val="21"/>
        </w:rPr>
        <w:t>4.1. Trois relances / questions pièges</w:t>
      </w:r>
    </w:p>
    <w:p w14:paraId="100CFA6C"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 Quelle est la valeur d’un principe général du droit ? »</w:t>
      </w:r>
      <w:r>
        <w:rPr>
          <w:rFonts w:ascii="Calibri" w:eastAsia="Calibri" w:hAnsi="Calibri" w:cs="Calibri"/>
          <w:color w:val="1A1A1A"/>
        </w:rPr>
        <w:t xml:space="preserve"> — Réponse en deux temps : le Conseil constitutionnel laisse penser, par parallélisme des formes, à une valeur au moins </w:t>
      </w:r>
      <w:r>
        <w:rPr>
          <w:rFonts w:ascii="Calibri" w:eastAsia="Calibri" w:hAnsi="Calibri" w:cs="Calibri"/>
          <w:b/>
          <w:bCs/>
          <w:color w:val="1A1A1A"/>
        </w:rPr>
        <w:t>législative</w:t>
      </w:r>
      <w:r>
        <w:rPr>
          <w:rFonts w:ascii="Calibri" w:eastAsia="Calibri" w:hAnsi="Calibri" w:cs="Calibri"/>
          <w:color w:val="1A1A1A"/>
        </w:rPr>
        <w:t xml:space="preserve"> (</w:t>
      </w:r>
      <w:r>
        <w:rPr>
          <w:rFonts w:ascii="Calibri" w:eastAsia="Calibri" w:hAnsi="Calibri" w:cs="Calibri"/>
          <w:color w:val="E91E63"/>
        </w:rPr>
        <w:t>91-167 L, 1991</w:t>
      </w:r>
      <w:r>
        <w:rPr>
          <w:rFonts w:ascii="Calibri" w:eastAsia="Calibri" w:hAnsi="Calibri" w:cs="Calibri"/>
          <w:color w:val="1A1A1A"/>
        </w:rPr>
        <w:t xml:space="preserve">) ; </w:t>
      </w:r>
      <w:r>
        <w:rPr>
          <w:rFonts w:ascii="Calibri" w:eastAsia="Calibri" w:hAnsi="Calibri" w:cs="Calibri"/>
          <w:color w:val="2E7D32"/>
        </w:rPr>
        <w:t>Chapus</w:t>
      </w:r>
      <w:r>
        <w:rPr>
          <w:rFonts w:ascii="Calibri" w:eastAsia="Calibri" w:hAnsi="Calibri" w:cs="Calibri"/>
          <w:color w:val="1A1A1A"/>
        </w:rPr>
        <w:t xml:space="preserve"> défend une valeur </w:t>
      </w:r>
      <w:r>
        <w:rPr>
          <w:rFonts w:ascii="Calibri" w:eastAsia="Calibri" w:hAnsi="Calibri" w:cs="Calibri"/>
          <w:b/>
          <w:bCs/>
          <w:color w:val="1A1A1A"/>
        </w:rPr>
        <w:t>infralégislative mais supra-décrétale</w:t>
      </w:r>
      <w:r>
        <w:rPr>
          <w:rFonts w:ascii="Calibri" w:eastAsia="Calibri" w:hAnsi="Calibri" w:cs="Calibri"/>
          <w:color w:val="1A1A1A"/>
        </w:rPr>
        <w:t>, seule cohérente avec l’office du juge administratif. Conclure sur le caractère incertain et fonctionnel de cette valeur.</w:t>
      </w:r>
    </w:p>
    <w:p w14:paraId="5CEFB861"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 Peut-on attaquer une ordonnance non ratifiée ? »</w:t>
      </w:r>
      <w:r>
        <w:rPr>
          <w:rFonts w:ascii="Calibri" w:eastAsia="Calibri" w:hAnsi="Calibri" w:cs="Calibri"/>
          <w:color w:val="1A1A1A"/>
        </w:rPr>
        <w:t xml:space="preserve"> — Oui, mais la voie dépend de l’objet du grief. Acte administratif : REP devant le juge administratif. Après expiration du délai d’habilitation et pour des moyens tirés des </w:t>
      </w:r>
      <w:r>
        <w:rPr>
          <w:rFonts w:ascii="Calibri" w:eastAsia="Calibri" w:hAnsi="Calibri" w:cs="Calibri"/>
          <w:b/>
          <w:bCs/>
          <w:color w:val="1A1A1A"/>
        </w:rPr>
        <w:t>droits et libertés</w:t>
      </w:r>
      <w:r>
        <w:rPr>
          <w:rFonts w:ascii="Calibri" w:eastAsia="Calibri" w:hAnsi="Calibri" w:cs="Calibri"/>
          <w:color w:val="1A1A1A"/>
        </w:rPr>
        <w:t xml:space="preserve">, la voie est la </w:t>
      </w:r>
      <w:r>
        <w:rPr>
          <w:rFonts w:ascii="Calibri" w:eastAsia="Calibri" w:hAnsi="Calibri" w:cs="Calibri"/>
          <w:b/>
          <w:bCs/>
          <w:color w:val="1A1A1A"/>
        </w:rPr>
        <w:t>QPC</w:t>
      </w:r>
      <w:r>
        <w:rPr>
          <w:rFonts w:ascii="Calibri" w:eastAsia="Calibri" w:hAnsi="Calibri" w:cs="Calibri"/>
          <w:color w:val="1A1A1A"/>
        </w:rPr>
        <w:t xml:space="preserve"> (</w:t>
      </w:r>
      <w:r>
        <w:rPr>
          <w:rFonts w:ascii="Calibri" w:eastAsia="Calibri" w:hAnsi="Calibri" w:cs="Calibri"/>
          <w:color w:val="E91E63"/>
        </w:rPr>
        <w:t>2020-843 QPC</w:t>
      </w:r>
      <w:r>
        <w:rPr>
          <w:rFonts w:ascii="Calibri" w:eastAsia="Calibri" w:hAnsi="Calibri" w:cs="Calibri"/>
          <w:color w:val="1A1A1A"/>
        </w:rPr>
        <w:t xml:space="preserve"> ; </w:t>
      </w:r>
      <w:r>
        <w:rPr>
          <w:rFonts w:ascii="Calibri" w:eastAsia="Calibri" w:hAnsi="Calibri" w:cs="Calibri"/>
          <w:color w:val="E91E63"/>
        </w:rPr>
        <w:t>2020-851/852 QPC</w:t>
      </w:r>
      <w:r>
        <w:rPr>
          <w:rFonts w:ascii="Calibri" w:eastAsia="Calibri" w:hAnsi="Calibri" w:cs="Calibri"/>
          <w:color w:val="1A1A1A"/>
        </w:rPr>
        <w:t xml:space="preserve"> ; </w:t>
      </w:r>
      <w:r>
        <w:rPr>
          <w:rFonts w:ascii="Calibri" w:eastAsia="Calibri" w:hAnsi="Calibri" w:cs="Calibri"/>
          <w:color w:val="E91E63"/>
        </w:rPr>
        <w:t>CE, 16 décembre 2020</w:t>
      </w:r>
      <w:r>
        <w:rPr>
          <w:rFonts w:ascii="Calibri" w:eastAsia="Calibri" w:hAnsi="Calibri" w:cs="Calibri"/>
          <w:color w:val="1A1A1A"/>
        </w:rPr>
        <w:t xml:space="preserve">). </w:t>
      </w:r>
      <w:r>
        <w:rPr>
          <w:rFonts w:ascii="Calibri" w:eastAsia="Calibri" w:hAnsi="Calibri" w:cs="Calibri"/>
          <w:color w:val="E91E63"/>
        </w:rPr>
        <w:t>CE, 20 mars 2025</w:t>
      </w:r>
      <w:r>
        <w:rPr>
          <w:rFonts w:ascii="Calibri" w:eastAsia="Calibri" w:hAnsi="Calibri" w:cs="Calibri"/>
          <w:color w:val="1A1A1A"/>
        </w:rPr>
        <w:t xml:space="preserve"> confirme la qualification d’acte administratif et ajoute l’impossibilité pour le pouvoir réglementaire de les modifier.</w:t>
      </w:r>
    </w:p>
    <w:p w14:paraId="73815573" w14:textId="77777777" w:rsidR="00E6057C" w:rsidRPr="00D81DF2" w:rsidRDefault="00000000">
      <w:pPr>
        <w:pStyle w:val="Paragraphedeliste"/>
        <w:numPr>
          <w:ilvl w:val="0"/>
          <w:numId w:val="2"/>
        </w:numPr>
        <w:spacing w:after="70" w:line="264" w:lineRule="auto"/>
        <w:jc w:val="both"/>
      </w:pPr>
      <w:r>
        <w:rPr>
          <w:rFonts w:ascii="Calibri" w:eastAsia="Calibri" w:hAnsi="Calibri" w:cs="Calibri"/>
          <w:b/>
          <w:bCs/>
          <w:color w:val="1A1A1A"/>
        </w:rPr>
        <w:t>« L’effet cliquet interdit-il tout recul législatif ? »</w:t>
      </w:r>
      <w:r>
        <w:rPr>
          <w:rFonts w:ascii="Calibri" w:eastAsia="Calibri" w:hAnsi="Calibri" w:cs="Calibri"/>
          <w:color w:val="1A1A1A"/>
        </w:rPr>
        <w:t xml:space="preserve"> — Non. Le législateur conserve le pouvoir de modifier et d’abroger ; la seule limite est de ne pas </w:t>
      </w:r>
      <w:r>
        <w:rPr>
          <w:rFonts w:ascii="Calibri" w:eastAsia="Calibri" w:hAnsi="Calibri" w:cs="Calibri"/>
          <w:b/>
          <w:bCs/>
          <w:color w:val="1A1A1A"/>
        </w:rPr>
        <w:t>priver de garanties légales</w:t>
      </w:r>
      <w:r>
        <w:rPr>
          <w:rFonts w:ascii="Calibri" w:eastAsia="Calibri" w:hAnsi="Calibri" w:cs="Calibri"/>
          <w:color w:val="1A1A1A"/>
        </w:rPr>
        <w:t xml:space="preserve"> des exigences constitutionnelles. Il s’agit d’un </w:t>
      </w:r>
      <w:r>
        <w:rPr>
          <w:rFonts w:ascii="Calibri" w:eastAsia="Calibri" w:hAnsi="Calibri" w:cs="Calibri"/>
          <w:b/>
          <w:bCs/>
          <w:color w:val="1A1A1A"/>
        </w:rPr>
        <w:t>contrôle de non-régression substantielle</w:t>
      </w:r>
      <w:r>
        <w:rPr>
          <w:rFonts w:ascii="Calibri" w:eastAsia="Calibri" w:hAnsi="Calibri" w:cs="Calibri"/>
          <w:color w:val="1A1A1A"/>
        </w:rPr>
        <w:t>, non d’une interdiction de réforme.</w:t>
      </w:r>
    </w:p>
    <w:p w14:paraId="578A266A" w14:textId="77777777" w:rsidR="00D81DF2" w:rsidRDefault="00D81DF2" w:rsidP="00D81DF2">
      <w:pPr>
        <w:pStyle w:val="Paragraphedeliste"/>
        <w:spacing w:after="70" w:line="264" w:lineRule="auto"/>
        <w:ind w:left="340"/>
        <w:jc w:val="both"/>
      </w:pPr>
    </w:p>
    <w:p w14:paraId="43B8126A" w14:textId="77777777" w:rsidR="00E6057C" w:rsidRDefault="00000000">
      <w:pPr>
        <w:pStyle w:val="Titre3"/>
        <w:spacing w:before="200" w:after="90"/>
      </w:pPr>
      <w:r>
        <w:rPr>
          <w:rFonts w:ascii="Calibri" w:eastAsia="Calibri" w:hAnsi="Calibri" w:cs="Calibri"/>
          <w:b/>
          <w:bCs/>
          <w:i/>
          <w:iCs/>
          <w:color w:val="5A5A5A"/>
          <w:sz w:val="21"/>
          <w:szCs w:val="21"/>
        </w:rPr>
        <w:lastRenderedPageBreak/>
        <w:t>4.2. Sujets d’exposé rattachables</w:t>
      </w:r>
    </w:p>
    <w:p w14:paraId="07A74D18"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Commentaire de la loi constitutionnelle n° 2024-200 du 8 mars 2024 relative à la liberté de recourir à l’interruption volontaire de grossesse » (sujet expressément proposé par le fascicule). Éléments : </w:t>
      </w:r>
      <w:r>
        <w:rPr>
          <w:rFonts w:ascii="Calibri" w:eastAsia="Calibri" w:hAnsi="Calibri" w:cs="Calibri"/>
          <w:color w:val="1E88E5"/>
        </w:rPr>
        <w:t>article unique</w:t>
      </w:r>
      <w:r>
        <w:rPr>
          <w:rFonts w:ascii="Calibri" w:eastAsia="Calibri" w:hAnsi="Calibri" w:cs="Calibri"/>
          <w:color w:val="1A1A1A"/>
        </w:rPr>
        <w:t xml:space="preserve"> insérant, après le dix-septième alinéa de l’</w:t>
      </w:r>
      <w:r>
        <w:rPr>
          <w:rFonts w:ascii="Calibri" w:eastAsia="Calibri" w:hAnsi="Calibri" w:cs="Calibri"/>
          <w:color w:val="1E88E5"/>
        </w:rPr>
        <w:t>art. 34 C.</w:t>
      </w:r>
      <w:r>
        <w:rPr>
          <w:rFonts w:ascii="Calibri" w:eastAsia="Calibri" w:hAnsi="Calibri" w:cs="Calibri"/>
          <w:color w:val="1A1A1A"/>
        </w:rPr>
        <w:t xml:space="preserve">, un alinéa ainsi rédigé : « </w:t>
      </w:r>
      <w:r>
        <w:rPr>
          <w:rFonts w:ascii="Calibri" w:eastAsia="Calibri" w:hAnsi="Calibri" w:cs="Calibri"/>
          <w:i/>
          <w:iCs/>
          <w:color w:val="1A1A1A"/>
        </w:rPr>
        <w:t>La loi détermine les conditions dans lesquelles s’exerce la liberté garantie à la femme d’avoir recours à une interruption volontaire de grossesse.</w:t>
      </w:r>
      <w:r>
        <w:rPr>
          <w:rFonts w:ascii="Calibri" w:eastAsia="Calibri" w:hAnsi="Calibri" w:cs="Calibri"/>
          <w:color w:val="1A1A1A"/>
        </w:rPr>
        <w:t xml:space="preserve"> » Contexte : </w:t>
      </w:r>
      <w:r>
        <w:rPr>
          <w:rFonts w:ascii="Calibri" w:eastAsia="Calibri" w:hAnsi="Calibri" w:cs="Calibri"/>
          <w:color w:val="E91E63"/>
        </w:rPr>
        <w:t>Dobbs v. Jackson Women’s Health Organization</w:t>
      </w:r>
      <w:r>
        <w:rPr>
          <w:rFonts w:ascii="Calibri" w:eastAsia="Calibri" w:hAnsi="Calibri" w:cs="Calibri"/>
          <w:color w:val="1A1A1A"/>
        </w:rPr>
        <w:t xml:space="preserve"> (2022) ; Congrès réuni approuvant le projet par 780 voix pour et 72 contre. Analyse : constitutionnalisation non d’un droit fondamental </w:t>
      </w:r>
      <w:r>
        <w:rPr>
          <w:rFonts w:ascii="Calibri" w:eastAsia="Calibri" w:hAnsi="Calibri" w:cs="Calibri"/>
          <w:i/>
          <w:iCs/>
          <w:color w:val="1A1A1A"/>
        </w:rPr>
        <w:t>stricto sensu</w:t>
      </w:r>
      <w:r>
        <w:rPr>
          <w:rFonts w:ascii="Calibri" w:eastAsia="Calibri" w:hAnsi="Calibri" w:cs="Calibri"/>
          <w:color w:val="1A1A1A"/>
        </w:rPr>
        <w:t xml:space="preserve"> mais d’une « </w:t>
      </w:r>
      <w:r>
        <w:rPr>
          <w:rFonts w:ascii="Calibri" w:eastAsia="Calibri" w:hAnsi="Calibri" w:cs="Calibri"/>
          <w:b/>
          <w:bCs/>
          <w:color w:val="1A1A1A"/>
        </w:rPr>
        <w:t>liberté garantie</w:t>
      </w:r>
      <w:r>
        <w:rPr>
          <w:rFonts w:ascii="Calibri" w:eastAsia="Calibri" w:hAnsi="Calibri" w:cs="Calibri"/>
          <w:color w:val="1A1A1A"/>
        </w:rPr>
        <w:t xml:space="preserve"> » dont l’exercice relève du législateur — équilibre entre affirmation de principe et encadrement parlementaire ; protection contre une abrogation totale, sans absolutisation ; la clause de conscience des médecins et </w:t>
      </w:r>
      <w:proofErr w:type="spellStart"/>
      <w:r>
        <w:rPr>
          <w:rFonts w:ascii="Calibri" w:eastAsia="Calibri" w:hAnsi="Calibri" w:cs="Calibri"/>
          <w:color w:val="1A1A1A"/>
        </w:rPr>
        <w:t>sages-femmes</w:t>
      </w:r>
      <w:proofErr w:type="spellEnd"/>
      <w:r>
        <w:rPr>
          <w:rFonts w:ascii="Calibri" w:eastAsia="Calibri" w:hAnsi="Calibri" w:cs="Calibri"/>
          <w:color w:val="1A1A1A"/>
        </w:rPr>
        <w:t xml:space="preserve"> n’est pas remise en cause.</w:t>
      </w:r>
    </w:p>
    <w:p w14:paraId="38454A5E"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La loi est-elle encore protectrice des libertés ? » ; « Le déclin de la loi ».</w:t>
      </w:r>
    </w:p>
    <w:p w14:paraId="5542B7E9"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Les principes généraux du droit » ; « Le juge administratif, serviteur de la loi et censeur des décrets ».</w:t>
      </w:r>
    </w:p>
    <w:p w14:paraId="7B965596"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La désobéissance civile » ; « La clause de conscience » ; « L’inflation normative ».</w:t>
      </w:r>
    </w:p>
    <w:p w14:paraId="515E4391" w14:textId="77777777" w:rsidR="00E6057C" w:rsidRDefault="00000000">
      <w:pPr>
        <w:pStyle w:val="Titre3"/>
        <w:spacing w:before="200" w:after="90"/>
      </w:pPr>
      <w:r>
        <w:rPr>
          <w:rFonts w:ascii="Calibri" w:eastAsia="Calibri" w:hAnsi="Calibri" w:cs="Calibri"/>
          <w:b/>
          <w:bCs/>
          <w:i/>
          <w:iCs/>
          <w:color w:val="5A5A5A"/>
          <w:sz w:val="21"/>
          <w:szCs w:val="21"/>
        </w:rPr>
        <w:t>4.3. Angles morts — en question / réponse</w:t>
      </w:r>
    </w:p>
    <w:p w14:paraId="2852F70E"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Bloc de légalité et bloc de constitutionnalité, même chose ?</w:t>
      </w:r>
      <w:r>
        <w:rPr>
          <w:rFonts w:ascii="Calibri" w:eastAsia="Calibri" w:hAnsi="Calibri" w:cs="Calibri"/>
          <w:color w:val="1A1A1A"/>
        </w:rPr>
        <w:t xml:space="preserve"> — Non. Le second sert de référence au contrôle de constitutionnalité des lois ; le premier au contrôle de légalité des actes administratifs. Le bloc de légalité est </w:t>
      </w:r>
      <w:r>
        <w:rPr>
          <w:rFonts w:ascii="Calibri" w:eastAsia="Calibri" w:hAnsi="Calibri" w:cs="Calibri"/>
          <w:b/>
          <w:bCs/>
          <w:color w:val="1A1A1A"/>
        </w:rPr>
        <w:t>à la fois norme de référence et norme contrôlée</w:t>
      </w:r>
      <w:r>
        <w:rPr>
          <w:rFonts w:ascii="Calibri" w:eastAsia="Calibri" w:hAnsi="Calibri" w:cs="Calibri"/>
          <w:color w:val="1A1A1A"/>
        </w:rPr>
        <w:t>.</w:t>
      </w:r>
    </w:p>
    <w:p w14:paraId="11DCA4B6"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Un PGD est-il un PFRLR ?</w:t>
      </w:r>
      <w:r>
        <w:rPr>
          <w:rFonts w:ascii="Calibri" w:eastAsia="Calibri" w:hAnsi="Calibri" w:cs="Calibri"/>
          <w:color w:val="1A1A1A"/>
        </w:rPr>
        <w:t xml:space="preserve"> — Non. Le PGD est dégagé par le </w:t>
      </w:r>
      <w:r>
        <w:rPr>
          <w:rFonts w:ascii="Calibri" w:eastAsia="Calibri" w:hAnsi="Calibri" w:cs="Calibri"/>
          <w:b/>
          <w:bCs/>
          <w:color w:val="1A1A1A"/>
        </w:rPr>
        <w:t>juge administratif</w:t>
      </w:r>
      <w:r>
        <w:rPr>
          <w:rFonts w:ascii="Calibri" w:eastAsia="Calibri" w:hAnsi="Calibri" w:cs="Calibri"/>
          <w:color w:val="1A1A1A"/>
        </w:rPr>
        <w:t xml:space="preserve"> sans texte et de valeur infralégislative ; le PFRLR est dégagé par le juge constitutionnel à partir d’une loi républicaine antérieure à 1946 et de valeur </w:t>
      </w:r>
      <w:r>
        <w:rPr>
          <w:rFonts w:ascii="Calibri" w:eastAsia="Calibri" w:hAnsi="Calibri" w:cs="Calibri"/>
          <w:b/>
          <w:bCs/>
          <w:color w:val="1A1A1A"/>
        </w:rPr>
        <w:t>constitutionnelle</w:t>
      </w:r>
      <w:r>
        <w:rPr>
          <w:rFonts w:ascii="Calibri" w:eastAsia="Calibri" w:hAnsi="Calibri" w:cs="Calibri"/>
          <w:color w:val="1A1A1A"/>
        </w:rPr>
        <w:t>.</w:t>
      </w:r>
    </w:p>
    <w:p w14:paraId="58A79EAD"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Jacques Vabre et Nicolo, quel ordre ?</w:t>
      </w:r>
      <w:r>
        <w:rPr>
          <w:rFonts w:ascii="Calibri" w:eastAsia="Calibri" w:hAnsi="Calibri" w:cs="Calibri"/>
          <w:color w:val="1A1A1A"/>
        </w:rPr>
        <w:t xml:space="preserve"> — </w:t>
      </w:r>
      <w:r>
        <w:rPr>
          <w:rFonts w:ascii="Calibri" w:eastAsia="Calibri" w:hAnsi="Calibri" w:cs="Calibri"/>
          <w:color w:val="E91E63"/>
        </w:rPr>
        <w:t>Jacques Vabre</w:t>
      </w:r>
      <w:r>
        <w:rPr>
          <w:rFonts w:ascii="Calibri" w:eastAsia="Calibri" w:hAnsi="Calibri" w:cs="Calibri"/>
          <w:color w:val="1A1A1A"/>
        </w:rPr>
        <w:t xml:space="preserve"> : </w:t>
      </w:r>
      <w:r w:rsidRPr="00D81DF2">
        <w:rPr>
          <w:rFonts w:ascii="Calibri" w:eastAsia="Calibri" w:hAnsi="Calibri" w:cs="Calibri"/>
          <w:b/>
          <w:bCs/>
          <w:color w:val="FF1393"/>
        </w:rPr>
        <w:t>Cour de cassation, chambre mixte, 24 mai 1975</w:t>
      </w:r>
      <w:r w:rsidRPr="00D81DF2">
        <w:rPr>
          <w:rFonts w:ascii="Calibri" w:eastAsia="Calibri" w:hAnsi="Calibri" w:cs="Calibri"/>
          <w:color w:val="FF1393"/>
        </w:rPr>
        <w:t xml:space="preserve">. </w:t>
      </w:r>
      <w:r>
        <w:rPr>
          <w:rFonts w:ascii="Calibri" w:eastAsia="Calibri" w:hAnsi="Calibri" w:cs="Calibri"/>
          <w:color w:val="E91E63"/>
        </w:rPr>
        <w:t>Nicolo</w:t>
      </w:r>
      <w:r>
        <w:rPr>
          <w:rFonts w:ascii="Calibri" w:eastAsia="Calibri" w:hAnsi="Calibri" w:cs="Calibri"/>
          <w:color w:val="1A1A1A"/>
        </w:rPr>
        <w:t xml:space="preserve"> </w:t>
      </w:r>
      <w:r w:rsidRPr="00D81DF2">
        <w:rPr>
          <w:rFonts w:ascii="Calibri" w:eastAsia="Calibri" w:hAnsi="Calibri" w:cs="Calibri"/>
          <w:color w:val="FF1393"/>
        </w:rPr>
        <w:t xml:space="preserve">: </w:t>
      </w:r>
      <w:r w:rsidRPr="00D81DF2">
        <w:rPr>
          <w:rFonts w:ascii="Calibri" w:eastAsia="Calibri" w:hAnsi="Calibri" w:cs="Calibri"/>
          <w:b/>
          <w:bCs/>
          <w:color w:val="FF1393"/>
        </w:rPr>
        <w:t>Conseil d’État, Assemblée, 20 octobre 1989</w:t>
      </w:r>
      <w:r>
        <w:rPr>
          <w:rFonts w:ascii="Calibri" w:eastAsia="Calibri" w:hAnsi="Calibri" w:cs="Calibri"/>
          <w:color w:val="1A1A1A"/>
        </w:rPr>
        <w:t>. Quatorze ans séparent les deux ordres ; l’inversion est sanctionnée immédiatement.</w:t>
      </w:r>
    </w:p>
    <w:p w14:paraId="317F3468"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La « Constitution Grévy » date-t-elle de 1849 ?</w:t>
      </w:r>
      <w:r>
        <w:rPr>
          <w:rFonts w:ascii="Calibri" w:eastAsia="Calibri" w:hAnsi="Calibri" w:cs="Calibri"/>
          <w:color w:val="1A1A1A"/>
        </w:rPr>
        <w:t xml:space="preserve"> — Non : </w:t>
      </w:r>
      <w:r>
        <w:rPr>
          <w:rFonts w:ascii="Calibri" w:eastAsia="Calibri" w:hAnsi="Calibri" w:cs="Calibri"/>
          <w:b/>
          <w:bCs/>
          <w:color w:val="1A1A1A"/>
        </w:rPr>
        <w:t>1879</w:t>
      </w:r>
      <w:r>
        <w:rPr>
          <w:rFonts w:ascii="Calibri" w:eastAsia="Calibri" w:hAnsi="Calibri" w:cs="Calibri"/>
          <w:color w:val="1A1A1A"/>
        </w:rPr>
        <w:t>. Jules Grévy accède à la présidence de la République en 1879 et renonce dans son discours d’investiture à certains pouvoirs constitutionnellement prévus, dont le droit de dissolution — d’où un déséquilibre durable au profit du pouvoir législatif. Une date de 1849 est une coquille à ne pas reprendre.</w:t>
      </w:r>
    </w:p>
    <w:p w14:paraId="780A4049"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La décision « Sécurité intérieure » est-elle du 19 mars 2003 ?</w:t>
      </w:r>
      <w:r>
        <w:rPr>
          <w:rFonts w:ascii="Calibri" w:eastAsia="Calibri" w:hAnsi="Calibri" w:cs="Calibri"/>
          <w:color w:val="1A1A1A"/>
        </w:rPr>
        <w:t xml:space="preserve"> — Non : </w:t>
      </w:r>
      <w:r>
        <w:rPr>
          <w:rFonts w:ascii="Calibri" w:eastAsia="Calibri" w:hAnsi="Calibri" w:cs="Calibri"/>
          <w:color w:val="E91E63"/>
        </w:rPr>
        <w:t>Cons. const., déc. n° 2003-467 DC du 13 mars 2003</w:t>
      </w:r>
      <w:r>
        <w:rPr>
          <w:rFonts w:ascii="Calibri" w:eastAsia="Calibri" w:hAnsi="Calibri" w:cs="Calibri"/>
          <w:color w:val="1A1A1A"/>
        </w:rPr>
        <w:t>. Vérifier systématiquement, la date circule sous deux formes dans les supports de préparation.</w:t>
      </w:r>
    </w:p>
    <w:p w14:paraId="3C512DCD"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La prostitution est-elle interdite en France ?</w:t>
      </w:r>
      <w:r>
        <w:rPr>
          <w:rFonts w:ascii="Calibri" w:eastAsia="Calibri" w:hAnsi="Calibri" w:cs="Calibri"/>
          <w:color w:val="1A1A1A"/>
        </w:rPr>
        <w:t xml:space="preserve"> — Non. En l’absence de loi la prohibant, elle n’est pas formellement interdite ; seul l’</w:t>
      </w:r>
      <w:r>
        <w:rPr>
          <w:rFonts w:ascii="Calibri" w:eastAsia="Calibri" w:hAnsi="Calibri" w:cs="Calibri"/>
          <w:b/>
          <w:bCs/>
          <w:color w:val="1A1A1A"/>
        </w:rPr>
        <w:t>achat</w:t>
      </w:r>
      <w:r>
        <w:rPr>
          <w:rFonts w:ascii="Calibri" w:eastAsia="Calibri" w:hAnsi="Calibri" w:cs="Calibri"/>
          <w:color w:val="1A1A1A"/>
        </w:rPr>
        <w:t xml:space="preserve"> d’un acte sexuel est réprimé (</w:t>
      </w:r>
      <w:r>
        <w:rPr>
          <w:rFonts w:ascii="Calibri" w:eastAsia="Calibri" w:hAnsi="Calibri" w:cs="Calibri"/>
          <w:color w:val="1E88E5"/>
        </w:rPr>
        <w:t>loi du 13 avril 2016</w:t>
      </w:r>
      <w:r>
        <w:rPr>
          <w:rFonts w:ascii="Calibri" w:eastAsia="Calibri" w:hAnsi="Calibri" w:cs="Calibri"/>
          <w:color w:val="1A1A1A"/>
        </w:rPr>
        <w:t>). C’est l’illustration canonique du principe de permission tiré de l’</w:t>
      </w:r>
      <w:r>
        <w:rPr>
          <w:rFonts w:ascii="Calibri" w:eastAsia="Calibri" w:hAnsi="Calibri" w:cs="Calibri"/>
          <w:color w:val="1E88E5"/>
        </w:rPr>
        <w:t>art. 5 DDHC</w:t>
      </w:r>
      <w:r>
        <w:rPr>
          <w:rFonts w:ascii="Calibri" w:eastAsia="Calibri" w:hAnsi="Calibri" w:cs="Calibri"/>
          <w:color w:val="1A1A1A"/>
        </w:rPr>
        <w:t>.</w:t>
      </w:r>
    </w:p>
    <w:p w14:paraId="1156DFED"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Un fonctionnaire peut-il désobéir ?</w:t>
      </w:r>
      <w:r>
        <w:rPr>
          <w:rFonts w:ascii="Calibri" w:eastAsia="Calibri" w:hAnsi="Calibri" w:cs="Calibri"/>
          <w:color w:val="1A1A1A"/>
        </w:rPr>
        <w:t xml:space="preserve"> — Exceptionnellement : uniquement si l’ordre est </w:t>
      </w:r>
      <w:r>
        <w:rPr>
          <w:rFonts w:ascii="Calibri" w:eastAsia="Calibri" w:hAnsi="Calibri" w:cs="Calibri"/>
          <w:b/>
          <w:bCs/>
          <w:color w:val="1A1A1A"/>
        </w:rPr>
        <w:t>manifestement illégal</w:t>
      </w:r>
      <w:r>
        <w:rPr>
          <w:rFonts w:ascii="Calibri" w:eastAsia="Calibri" w:hAnsi="Calibri" w:cs="Calibri"/>
          <w:color w:val="1A1A1A"/>
        </w:rPr>
        <w:t xml:space="preserve"> </w:t>
      </w:r>
      <w:r>
        <w:rPr>
          <w:rFonts w:ascii="Calibri" w:eastAsia="Calibri" w:hAnsi="Calibri" w:cs="Calibri"/>
          <w:i/>
          <w:iCs/>
          <w:color w:val="1A1A1A"/>
        </w:rPr>
        <w:t>et</w:t>
      </w:r>
      <w:r>
        <w:rPr>
          <w:rFonts w:ascii="Calibri" w:eastAsia="Calibri" w:hAnsi="Calibri" w:cs="Calibri"/>
          <w:color w:val="1A1A1A"/>
        </w:rPr>
        <w:t xml:space="preserve"> de nature à </w:t>
      </w:r>
      <w:r>
        <w:rPr>
          <w:rFonts w:ascii="Calibri" w:eastAsia="Calibri" w:hAnsi="Calibri" w:cs="Calibri"/>
          <w:b/>
          <w:bCs/>
          <w:color w:val="1A1A1A"/>
        </w:rPr>
        <w:t>compromettre gravement un intérêt public</w:t>
      </w:r>
      <w:r>
        <w:rPr>
          <w:rFonts w:ascii="Calibri" w:eastAsia="Calibri" w:hAnsi="Calibri" w:cs="Calibri"/>
          <w:color w:val="1A1A1A"/>
        </w:rPr>
        <w:t xml:space="preserve"> — les deux conditions sont cumulatives.</w:t>
      </w:r>
    </w:p>
    <w:p w14:paraId="4CD94164" w14:textId="77777777" w:rsidR="00E6057C" w:rsidRDefault="00000000">
      <w:r>
        <w:br w:type="page"/>
      </w:r>
    </w:p>
    <w:p w14:paraId="45AE7F4E" w14:textId="77777777" w:rsidR="00E6057C"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11 — LE RÈGLEMENT ET LES LIBERTÉS</w:t>
      </w:r>
    </w:p>
    <w:p w14:paraId="5256B557" w14:textId="77777777" w:rsidR="00E6057C" w:rsidRDefault="00000000">
      <w:pPr>
        <w:pStyle w:val="Titre2"/>
        <w:spacing w:before="280" w:after="120"/>
      </w:pPr>
      <w:r>
        <w:rPr>
          <w:rFonts w:ascii="Calibri" w:eastAsia="Calibri" w:hAnsi="Calibri" w:cs="Calibri"/>
          <w:b/>
          <w:bCs/>
          <w:color w:val="1A1A1A"/>
          <w:sz w:val="24"/>
          <w:szCs w:val="24"/>
        </w:rPr>
        <w:t>◆ FICHE-MÉMOIRE — à réviser en trois minutes</w:t>
      </w:r>
    </w:p>
    <w:p w14:paraId="6377BAEC" w14:textId="77777777" w:rsidR="00E6057C" w:rsidRDefault="00000000">
      <w:pPr>
        <w:pStyle w:val="Titre3"/>
        <w:spacing w:before="200" w:after="90"/>
      </w:pPr>
      <w:r>
        <w:rPr>
          <w:rFonts w:ascii="Calibri" w:eastAsia="Calibri" w:hAnsi="Calibri" w:cs="Calibri"/>
          <w:b/>
          <w:bCs/>
          <w:i/>
          <w:iCs/>
          <w:color w:val="5A5A5A"/>
          <w:sz w:val="21"/>
          <w:szCs w:val="21"/>
        </w:rPr>
        <w:t>Accroche</w:t>
      </w:r>
    </w:p>
    <w:p w14:paraId="034AD44B"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i/>
          <w:iCs/>
          <w:color w:val="1A1A1A"/>
        </w:rPr>
        <w:t>La liberté est la règle et la restriction de police l’exception</w:t>
      </w:r>
      <w:r>
        <w:rPr>
          <w:rFonts w:ascii="Calibri" w:eastAsia="Calibri" w:hAnsi="Calibri" w:cs="Calibri"/>
          <w:color w:val="1A1A1A"/>
        </w:rPr>
        <w:t xml:space="preserve"> » (</w:t>
      </w:r>
      <w:r>
        <w:rPr>
          <w:rFonts w:ascii="Calibri" w:eastAsia="Calibri" w:hAnsi="Calibri" w:cs="Calibri"/>
          <w:color w:val="2E7D32"/>
        </w:rPr>
        <w:t>Corneille, concl. sur CE, 10 août 1917, Baldy, n° 59855</w:t>
      </w:r>
      <w:r>
        <w:rPr>
          <w:rFonts w:ascii="Calibri" w:eastAsia="Calibri" w:hAnsi="Calibri" w:cs="Calibri"/>
          <w:color w:val="1A1A1A"/>
        </w:rPr>
        <w:t xml:space="preserve">). Le pouvoir réglementaire est le </w:t>
      </w:r>
      <w:r>
        <w:rPr>
          <w:rFonts w:ascii="Calibri" w:eastAsia="Calibri" w:hAnsi="Calibri" w:cs="Calibri"/>
          <w:b/>
          <w:bCs/>
          <w:color w:val="1A1A1A"/>
        </w:rPr>
        <w:t>paradoxe</w:t>
      </w:r>
      <w:r>
        <w:rPr>
          <w:rFonts w:ascii="Calibri" w:eastAsia="Calibri" w:hAnsi="Calibri" w:cs="Calibri"/>
          <w:color w:val="1A1A1A"/>
        </w:rPr>
        <w:t xml:space="preserve"> du droit des libertés : instrument de leur mise en œuvre concrète, il en est aussi le premier limiteur — et c’est le juge, non le texte, qui arbitre.</w:t>
      </w:r>
    </w:p>
    <w:p w14:paraId="68BEEB94" w14:textId="77777777" w:rsidR="00E6057C" w:rsidRDefault="00000000">
      <w:pPr>
        <w:pStyle w:val="Titre3"/>
        <w:spacing w:before="200" w:after="90"/>
      </w:pPr>
      <w:r>
        <w:rPr>
          <w:rFonts w:ascii="Calibri" w:eastAsia="Calibri" w:hAnsi="Calibri" w:cs="Calibri"/>
          <w:b/>
          <w:bCs/>
          <w:i/>
          <w:iCs/>
          <w:color w:val="5A5A5A"/>
          <w:sz w:val="21"/>
          <w:szCs w:val="21"/>
        </w:rPr>
        <w:t>Définition en trois lignes</w:t>
      </w:r>
    </w:p>
    <w:p w14:paraId="7F607EA8"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Le pouvoir réglementaire est le pouvoir de prendre </w:t>
      </w:r>
      <w:r>
        <w:rPr>
          <w:rFonts w:ascii="Calibri" w:eastAsia="Calibri" w:hAnsi="Calibri" w:cs="Calibri"/>
          <w:b/>
          <w:bCs/>
          <w:color w:val="1A1A1A"/>
        </w:rPr>
        <w:t>unilatéralement</w:t>
      </w:r>
      <w:r>
        <w:rPr>
          <w:rFonts w:ascii="Calibri" w:eastAsia="Calibri" w:hAnsi="Calibri" w:cs="Calibri"/>
          <w:color w:val="1A1A1A"/>
        </w:rPr>
        <w:t xml:space="preserve"> — sans l’accord du destinataire — des actes exécutoires comportant des </w:t>
      </w:r>
      <w:r>
        <w:rPr>
          <w:rFonts w:ascii="Calibri" w:eastAsia="Calibri" w:hAnsi="Calibri" w:cs="Calibri"/>
          <w:b/>
          <w:bCs/>
          <w:color w:val="1A1A1A"/>
        </w:rPr>
        <w:t>dispositions générales et impersonnelles</w:t>
      </w:r>
      <w:r>
        <w:rPr>
          <w:rFonts w:ascii="Calibri" w:eastAsia="Calibri" w:hAnsi="Calibri" w:cs="Calibri"/>
          <w:color w:val="1A1A1A"/>
        </w:rPr>
        <w:t xml:space="preserve">. Deux fondements en matière de libertés : une </w:t>
      </w:r>
      <w:r>
        <w:rPr>
          <w:rFonts w:ascii="Calibri" w:eastAsia="Calibri" w:hAnsi="Calibri" w:cs="Calibri"/>
          <w:b/>
          <w:bCs/>
          <w:color w:val="1A1A1A"/>
        </w:rPr>
        <w:t>compétence constitutionnelle</w:t>
      </w:r>
      <w:r>
        <w:rPr>
          <w:rFonts w:ascii="Calibri" w:eastAsia="Calibri" w:hAnsi="Calibri" w:cs="Calibri"/>
          <w:color w:val="1A1A1A"/>
        </w:rPr>
        <w:t xml:space="preserve"> (exécution des lois et pouvoir réglementaire autonome de l’</w:t>
      </w:r>
      <w:r>
        <w:rPr>
          <w:rFonts w:ascii="Calibri" w:eastAsia="Calibri" w:hAnsi="Calibri" w:cs="Calibri"/>
          <w:color w:val="1E88E5"/>
        </w:rPr>
        <w:t>art. 37 C.</w:t>
      </w:r>
      <w:r>
        <w:rPr>
          <w:rFonts w:ascii="Calibri" w:eastAsia="Calibri" w:hAnsi="Calibri" w:cs="Calibri"/>
          <w:color w:val="1A1A1A"/>
        </w:rPr>
        <w:t xml:space="preserve">) et une </w:t>
      </w:r>
      <w:r>
        <w:rPr>
          <w:rFonts w:ascii="Calibri" w:eastAsia="Calibri" w:hAnsi="Calibri" w:cs="Calibri"/>
          <w:b/>
          <w:bCs/>
          <w:color w:val="1A1A1A"/>
        </w:rPr>
        <w:t>compétence autonome de police administrative générale</w:t>
      </w:r>
      <w:r>
        <w:rPr>
          <w:rFonts w:ascii="Calibri" w:eastAsia="Calibri" w:hAnsi="Calibri" w:cs="Calibri"/>
          <w:color w:val="1A1A1A"/>
        </w:rPr>
        <w:t>, qui ne repose ni sur l’article 34 ni sur l’article 37.</w:t>
      </w:r>
    </w:p>
    <w:p w14:paraId="33E7E779" w14:textId="77777777" w:rsidR="00E6057C" w:rsidRDefault="00000000">
      <w:pPr>
        <w:pStyle w:val="Titre3"/>
        <w:spacing w:before="200" w:after="90"/>
      </w:pPr>
      <w:r>
        <w:rPr>
          <w:rFonts w:ascii="Calibri" w:eastAsia="Calibri" w:hAnsi="Calibri" w:cs="Calibri"/>
          <w:b/>
          <w:bCs/>
          <w:i/>
          <w:iCs/>
          <w:color w:val="5A5A5A"/>
          <w:sz w:val="21"/>
          <w:szCs w:val="21"/>
        </w:rPr>
        <w:t>Les cinq références incontournables</w:t>
      </w:r>
    </w:p>
    <w:p w14:paraId="62A7CAC5"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8 août 1919, Labonne, n° 56377</w:t>
      </w:r>
      <w:r>
        <w:rPr>
          <w:rFonts w:ascii="Calibri" w:eastAsia="Calibri" w:hAnsi="Calibri" w:cs="Calibri"/>
          <w:color w:val="1A1A1A"/>
        </w:rPr>
        <w:t xml:space="preserve"> : </w:t>
      </w:r>
      <w:r>
        <w:rPr>
          <w:rFonts w:ascii="Calibri" w:eastAsia="Calibri" w:hAnsi="Calibri" w:cs="Calibri"/>
          <w:b/>
          <w:bCs/>
          <w:color w:val="1A1A1A"/>
        </w:rPr>
        <w:t>pouvoir de police générale du chef de l’Exécutif sans délégation de la loi</w:t>
      </w:r>
      <w:r>
        <w:rPr>
          <w:rFonts w:ascii="Calibri" w:eastAsia="Calibri" w:hAnsi="Calibri" w:cs="Calibri"/>
          <w:color w:val="1A1A1A"/>
        </w:rPr>
        <w:t xml:space="preserve"> — une compétence propre.</w:t>
      </w:r>
    </w:p>
    <w:p w14:paraId="5A1AE226"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7 février 1936, Jamart, n° 43321</w:t>
      </w:r>
      <w:r>
        <w:rPr>
          <w:rFonts w:ascii="Calibri" w:eastAsia="Calibri" w:hAnsi="Calibri" w:cs="Calibri"/>
          <w:color w:val="1A1A1A"/>
        </w:rPr>
        <w:t xml:space="preserve"> : les ministres n’ont pas de pouvoir réglementaire général, mais un </w:t>
      </w:r>
      <w:r>
        <w:rPr>
          <w:rFonts w:ascii="Calibri" w:eastAsia="Calibri" w:hAnsi="Calibri" w:cs="Calibri"/>
          <w:b/>
          <w:bCs/>
          <w:color w:val="1A1A1A"/>
        </w:rPr>
        <w:t>pouvoir d’organisation de leur service</w:t>
      </w:r>
      <w:r>
        <w:rPr>
          <w:rFonts w:ascii="Calibri" w:eastAsia="Calibri" w:hAnsi="Calibri" w:cs="Calibri"/>
          <w:color w:val="1A1A1A"/>
        </w:rPr>
        <w:t>.</w:t>
      </w:r>
    </w:p>
    <w:p w14:paraId="5462ABF0"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90-283 DC, 8 janvier 1991, Lutte contre le tabagisme et l’alcoolisme</w:t>
      </w:r>
      <w:r>
        <w:rPr>
          <w:rFonts w:ascii="Calibri" w:eastAsia="Calibri" w:hAnsi="Calibri" w:cs="Calibri"/>
          <w:color w:val="1A1A1A"/>
        </w:rPr>
        <w:t xml:space="preserve"> : le pouvoir réglementaire met en œuvre la loi « </w:t>
      </w:r>
      <w:r>
        <w:rPr>
          <w:rFonts w:ascii="Calibri" w:eastAsia="Calibri" w:hAnsi="Calibri" w:cs="Calibri"/>
          <w:i/>
          <w:iCs/>
          <w:color w:val="1A1A1A"/>
        </w:rPr>
        <w:t>à la condition de ne pas en altérer la portée</w:t>
      </w:r>
      <w:r>
        <w:rPr>
          <w:rFonts w:ascii="Calibri" w:eastAsia="Calibri" w:hAnsi="Calibri" w:cs="Calibri"/>
          <w:color w:val="1A1A1A"/>
        </w:rPr>
        <w:t xml:space="preserve"> ».</w:t>
      </w:r>
    </w:p>
    <w:p w14:paraId="686AF1BF"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19 juillet 2011, Ligue des droits de l’Homme, n° 343430</w:t>
      </w:r>
      <w:r>
        <w:rPr>
          <w:rFonts w:ascii="Calibri" w:eastAsia="Calibri" w:hAnsi="Calibri" w:cs="Calibri"/>
          <w:color w:val="1A1A1A"/>
        </w:rPr>
        <w:t xml:space="preserve"> : « </w:t>
      </w:r>
      <w:r>
        <w:rPr>
          <w:rFonts w:ascii="Calibri" w:eastAsia="Calibri" w:hAnsi="Calibri" w:cs="Calibri"/>
          <w:i/>
          <w:iCs/>
          <w:color w:val="1A1A1A"/>
        </w:rPr>
        <w:t>La circonstance que l’incrimination d’un acte a pour effet de limiter l’exercice d’une liberté publique garantie par des dispositions constitutionnelles ne saurait, par elle-même, avoir pour conséquence de réserver au pouvoir législatif la compétence pour édicter ces contraventions.</w:t>
      </w:r>
      <w:r>
        <w:rPr>
          <w:rFonts w:ascii="Calibri" w:eastAsia="Calibri" w:hAnsi="Calibri" w:cs="Calibri"/>
          <w:color w:val="1A1A1A"/>
        </w:rPr>
        <w:t xml:space="preserve"> »</w:t>
      </w:r>
    </w:p>
    <w:p w14:paraId="69C92B3D"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19 mai 1933, Benjamin, n° 17413</w:t>
      </w:r>
      <w:r>
        <w:rPr>
          <w:rFonts w:ascii="Calibri" w:eastAsia="Calibri" w:hAnsi="Calibri" w:cs="Calibri"/>
          <w:color w:val="1A1A1A"/>
        </w:rPr>
        <w:t xml:space="preserve"> : conciliation et </w:t>
      </w:r>
      <w:r>
        <w:rPr>
          <w:rFonts w:ascii="Calibri" w:eastAsia="Calibri" w:hAnsi="Calibri" w:cs="Calibri"/>
          <w:b/>
          <w:bCs/>
          <w:color w:val="1A1A1A"/>
        </w:rPr>
        <w:t>proportionnalité</w:t>
      </w:r>
      <w:r>
        <w:rPr>
          <w:rFonts w:ascii="Calibri" w:eastAsia="Calibri" w:hAnsi="Calibri" w:cs="Calibri"/>
          <w:color w:val="1A1A1A"/>
        </w:rPr>
        <w:t xml:space="preserve"> du contrôle sur les mesures de police réglementaires.</w:t>
      </w:r>
    </w:p>
    <w:p w14:paraId="658CB0DA" w14:textId="77777777" w:rsidR="00E6057C" w:rsidRDefault="00000000">
      <w:pPr>
        <w:pStyle w:val="Titre3"/>
        <w:spacing w:before="200" w:after="90"/>
      </w:pPr>
      <w:r>
        <w:rPr>
          <w:rFonts w:ascii="Calibri" w:eastAsia="Calibri" w:hAnsi="Calibri" w:cs="Calibri"/>
          <w:b/>
          <w:bCs/>
          <w:i/>
          <w:iCs/>
          <w:color w:val="5A5A5A"/>
          <w:sz w:val="21"/>
          <w:szCs w:val="21"/>
        </w:rPr>
        <w:t>Deux matrices de plan</w:t>
      </w:r>
    </w:p>
    <w:p w14:paraId="61699866"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Sujet « Le pouvoir réglementaire est-il gardien des libertés ? »</w:t>
      </w:r>
      <w:r>
        <w:rPr>
          <w:rFonts w:ascii="Calibri" w:eastAsia="Calibri" w:hAnsi="Calibri" w:cs="Calibri"/>
          <w:color w:val="1A1A1A"/>
        </w:rPr>
        <w:t xml:space="preserve"> — </w:t>
      </w:r>
      <w:r>
        <w:rPr>
          <w:rFonts w:ascii="Calibri" w:eastAsia="Calibri" w:hAnsi="Calibri" w:cs="Calibri"/>
          <w:b/>
          <w:bCs/>
          <w:color w:val="1A1A1A"/>
        </w:rPr>
        <w:t>I. Un instrument de protection</w:t>
      </w:r>
      <w:r>
        <w:rPr>
          <w:rFonts w:ascii="Calibri" w:eastAsia="Calibri" w:hAnsi="Calibri" w:cs="Calibri"/>
          <w:color w:val="1A1A1A"/>
        </w:rPr>
        <w:t xml:space="preserve"> (A. Une compétence encadrée qui garantit les droits : </w:t>
      </w:r>
      <w:r>
        <w:rPr>
          <w:rFonts w:ascii="Calibri" w:eastAsia="Calibri" w:hAnsi="Calibri" w:cs="Calibri"/>
          <w:color w:val="1E88E5"/>
        </w:rPr>
        <w:t>art. 34 et 37 C.</w:t>
      </w:r>
      <w:r>
        <w:rPr>
          <w:rFonts w:ascii="Calibri" w:eastAsia="Calibri" w:hAnsi="Calibri" w:cs="Calibri"/>
          <w:color w:val="1A1A1A"/>
        </w:rPr>
        <w:t xml:space="preserve">, </w:t>
      </w:r>
      <w:r>
        <w:rPr>
          <w:rFonts w:ascii="Calibri" w:eastAsia="Calibri" w:hAnsi="Calibri" w:cs="Calibri"/>
          <w:color w:val="E91E63"/>
        </w:rPr>
        <w:t>Labonne</w:t>
      </w:r>
      <w:r>
        <w:rPr>
          <w:rFonts w:ascii="Calibri" w:eastAsia="Calibri" w:hAnsi="Calibri" w:cs="Calibri"/>
          <w:color w:val="1A1A1A"/>
        </w:rPr>
        <w:t xml:space="preserve">, mise en œuvre conforme aux objectifs de la loi — </w:t>
      </w:r>
      <w:r>
        <w:rPr>
          <w:rFonts w:ascii="Calibri" w:eastAsia="Calibri" w:hAnsi="Calibri" w:cs="Calibri"/>
          <w:color w:val="E91E63"/>
        </w:rPr>
        <w:t>90-283 DC</w:t>
      </w:r>
      <w:r>
        <w:rPr>
          <w:rFonts w:ascii="Calibri" w:eastAsia="Calibri" w:hAnsi="Calibri" w:cs="Calibri"/>
          <w:color w:val="1A1A1A"/>
        </w:rPr>
        <w:t xml:space="preserve"> ; B. Un support de conciliation : police générale, </w:t>
      </w:r>
      <w:r>
        <w:rPr>
          <w:rFonts w:ascii="Calibri" w:eastAsia="Calibri" w:hAnsi="Calibri" w:cs="Calibri"/>
          <w:color w:val="E91E63"/>
        </w:rPr>
        <w:t>Benjamin</w:t>
      </w:r>
      <w:r>
        <w:rPr>
          <w:rFonts w:ascii="Calibri" w:eastAsia="Calibri" w:hAnsi="Calibri" w:cs="Calibri"/>
          <w:color w:val="1A1A1A"/>
        </w:rPr>
        <w:t xml:space="preserve">, autorités administratives indépendantes dotées d’un pouvoir réglementaire — CNIL, ARCOM) / </w:t>
      </w:r>
      <w:r>
        <w:rPr>
          <w:rFonts w:ascii="Calibri" w:eastAsia="Calibri" w:hAnsi="Calibri" w:cs="Calibri"/>
          <w:b/>
          <w:bCs/>
          <w:color w:val="1A1A1A"/>
        </w:rPr>
        <w:t>II. Un pouvoir susceptible d’y porter atteinte</w:t>
      </w:r>
      <w:r>
        <w:rPr>
          <w:rFonts w:ascii="Calibri" w:eastAsia="Calibri" w:hAnsi="Calibri" w:cs="Calibri"/>
          <w:color w:val="1A1A1A"/>
        </w:rPr>
        <w:t xml:space="preserve"> (A. Un pouvoir exécutif historiquement suspect : tradition libérale, </w:t>
      </w:r>
      <w:r>
        <w:rPr>
          <w:rFonts w:ascii="Calibri" w:eastAsia="Calibri" w:hAnsi="Calibri" w:cs="Calibri"/>
          <w:color w:val="1E88E5"/>
        </w:rPr>
        <w:t>art. 8 DDHC</w:t>
      </w:r>
      <w:r>
        <w:rPr>
          <w:rFonts w:ascii="Calibri" w:eastAsia="Calibri" w:hAnsi="Calibri" w:cs="Calibri"/>
          <w:color w:val="1A1A1A"/>
        </w:rPr>
        <w:t xml:space="preserve">, régimes de crise, décrets Covid ; B. Une garantie qui repose sur le juge plus que sur le texte : référé-liberté, </w:t>
      </w:r>
      <w:r>
        <w:rPr>
          <w:rFonts w:ascii="Calibri" w:eastAsia="Calibri" w:hAnsi="Calibri" w:cs="Calibri"/>
          <w:color w:val="E91E63"/>
        </w:rPr>
        <w:t>Dieudonné M’Bala M’Bala</w:t>
      </w:r>
      <w:r>
        <w:rPr>
          <w:rFonts w:ascii="Calibri" w:eastAsia="Calibri" w:hAnsi="Calibri" w:cs="Calibri"/>
          <w:color w:val="1A1A1A"/>
        </w:rPr>
        <w:t>, contrôle de proportionnalité).</w:t>
      </w:r>
    </w:p>
    <w:p w14:paraId="2B086EE7"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Sujet « Loi et règlement dans la protection des libertés »</w:t>
      </w:r>
      <w:r>
        <w:rPr>
          <w:rFonts w:ascii="Calibri" w:eastAsia="Calibri" w:hAnsi="Calibri" w:cs="Calibri"/>
          <w:color w:val="1A1A1A"/>
        </w:rPr>
        <w:t xml:space="preserve"> — </w:t>
      </w:r>
      <w:r>
        <w:rPr>
          <w:rFonts w:ascii="Calibri" w:eastAsia="Calibri" w:hAnsi="Calibri" w:cs="Calibri"/>
          <w:b/>
          <w:bCs/>
          <w:color w:val="1A1A1A"/>
        </w:rPr>
        <w:t>I. Un partage organisé</w:t>
      </w:r>
      <w:r>
        <w:rPr>
          <w:rFonts w:ascii="Calibri" w:eastAsia="Calibri" w:hAnsi="Calibri" w:cs="Calibri"/>
          <w:color w:val="1A1A1A"/>
        </w:rPr>
        <w:t xml:space="preserve"> (</w:t>
      </w:r>
      <w:r>
        <w:rPr>
          <w:rFonts w:ascii="Calibri" w:eastAsia="Calibri" w:hAnsi="Calibri" w:cs="Calibri"/>
          <w:color w:val="1E88E5"/>
        </w:rPr>
        <w:t>art. 34</w:t>
      </w:r>
      <w:r>
        <w:rPr>
          <w:rFonts w:ascii="Calibri" w:eastAsia="Calibri" w:hAnsi="Calibri" w:cs="Calibri"/>
          <w:color w:val="1A1A1A"/>
        </w:rPr>
        <w:t xml:space="preserve"> / </w:t>
      </w:r>
      <w:r>
        <w:rPr>
          <w:rFonts w:ascii="Calibri" w:eastAsia="Calibri" w:hAnsi="Calibri" w:cs="Calibri"/>
          <w:color w:val="1E88E5"/>
        </w:rPr>
        <w:t>art. 37</w:t>
      </w:r>
      <w:r>
        <w:rPr>
          <w:rFonts w:ascii="Calibri" w:eastAsia="Calibri" w:hAnsi="Calibri" w:cs="Calibri"/>
          <w:color w:val="1A1A1A"/>
        </w:rPr>
        <w:t xml:space="preserve">, </w:t>
      </w:r>
      <w:r>
        <w:rPr>
          <w:rFonts w:ascii="Calibri" w:eastAsia="Calibri" w:hAnsi="Calibri" w:cs="Calibri"/>
          <w:color w:val="E91E63"/>
        </w:rPr>
        <w:t>Jamart</w:t>
      </w:r>
      <w:r>
        <w:rPr>
          <w:rFonts w:ascii="Calibri" w:eastAsia="Calibri" w:hAnsi="Calibri" w:cs="Calibri"/>
          <w:color w:val="1A1A1A"/>
        </w:rPr>
        <w:t xml:space="preserve">, décrets d’application, effectivité des droits-créances) / </w:t>
      </w:r>
      <w:r>
        <w:rPr>
          <w:rFonts w:ascii="Calibri" w:eastAsia="Calibri" w:hAnsi="Calibri" w:cs="Calibri"/>
          <w:b/>
          <w:bCs/>
          <w:color w:val="1A1A1A"/>
        </w:rPr>
        <w:t>II. Un partage brouillé</w:t>
      </w:r>
      <w:r>
        <w:rPr>
          <w:rFonts w:ascii="Calibri" w:eastAsia="Calibri" w:hAnsi="Calibri" w:cs="Calibri"/>
          <w:color w:val="1A1A1A"/>
        </w:rPr>
        <w:t xml:space="preserve"> (police générale hors de l’article 37, pouvoir réglementaire contraventionnel, régimes de crise, distinction objet / effet de la norme).</w:t>
      </w:r>
    </w:p>
    <w:p w14:paraId="7D935254" w14:textId="77777777" w:rsidR="00E6057C" w:rsidRDefault="00000000">
      <w:pPr>
        <w:pStyle w:val="Titre3"/>
        <w:spacing w:before="200" w:after="90"/>
      </w:pPr>
      <w:r>
        <w:rPr>
          <w:rFonts w:ascii="Calibri" w:eastAsia="Calibri" w:hAnsi="Calibri" w:cs="Calibri"/>
          <w:b/>
          <w:bCs/>
          <w:i/>
          <w:iCs/>
          <w:color w:val="5A5A5A"/>
          <w:sz w:val="21"/>
          <w:szCs w:val="21"/>
        </w:rPr>
        <w:t>Trois pièges</w:t>
      </w:r>
    </w:p>
    <w:p w14:paraId="17CA6C7C"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Le pouvoir de police générale n’est pas fondé sur l’</w:t>
      </w:r>
      <w:r>
        <w:rPr>
          <w:rFonts w:ascii="Calibri" w:eastAsia="Calibri" w:hAnsi="Calibri" w:cs="Calibri"/>
          <w:b/>
          <w:bCs/>
          <w:color w:val="1E88E5"/>
        </w:rPr>
        <w:t>art. 37 C.</w:t>
      </w:r>
      <w:r>
        <w:rPr>
          <w:rFonts w:ascii="Calibri" w:eastAsia="Calibri" w:hAnsi="Calibri" w:cs="Calibri"/>
          <w:color w:val="1A1A1A"/>
        </w:rPr>
        <w:t xml:space="preserve"> : il ne s’agit donc pas d’une question de répartition des compétences avec l’</w:t>
      </w:r>
      <w:r>
        <w:rPr>
          <w:rFonts w:ascii="Calibri" w:eastAsia="Calibri" w:hAnsi="Calibri" w:cs="Calibri"/>
          <w:color w:val="1E88E5"/>
        </w:rPr>
        <w:t>art. 34</w:t>
      </w:r>
      <w:r>
        <w:rPr>
          <w:rFonts w:ascii="Calibri" w:eastAsia="Calibri" w:hAnsi="Calibri" w:cs="Calibri"/>
          <w:color w:val="1A1A1A"/>
        </w:rPr>
        <w:t>. C’est une compétence propre, qui peut viser n’importe quel droit, y compris constitutionnel ou supranational.</w:t>
      </w:r>
    </w:p>
    <w:p w14:paraId="4BB09036"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Contraventions</w:t>
      </w:r>
      <w:r>
        <w:rPr>
          <w:rFonts w:ascii="Calibri" w:eastAsia="Calibri" w:hAnsi="Calibri" w:cs="Calibri"/>
          <w:color w:val="1A1A1A"/>
        </w:rPr>
        <w:t xml:space="preserve"> : compétence du pouvoir réglementaire ; </w:t>
      </w:r>
      <w:r>
        <w:rPr>
          <w:rFonts w:ascii="Calibri" w:eastAsia="Calibri" w:hAnsi="Calibri" w:cs="Calibri"/>
          <w:b/>
          <w:bCs/>
          <w:color w:val="1A1A1A"/>
        </w:rPr>
        <w:t>crimes et délits</w:t>
      </w:r>
      <w:r>
        <w:rPr>
          <w:rFonts w:ascii="Calibri" w:eastAsia="Calibri" w:hAnsi="Calibri" w:cs="Calibri"/>
          <w:color w:val="1A1A1A"/>
        </w:rPr>
        <w:t xml:space="preserve"> : compétence du législateur (</w:t>
      </w:r>
      <w:r>
        <w:rPr>
          <w:rFonts w:ascii="Calibri" w:eastAsia="Calibri" w:hAnsi="Calibri" w:cs="Calibri"/>
          <w:color w:val="1E88E5"/>
        </w:rPr>
        <w:t>art. 34 C.</w:t>
      </w:r>
      <w:r>
        <w:rPr>
          <w:rFonts w:ascii="Calibri" w:eastAsia="Calibri" w:hAnsi="Calibri" w:cs="Calibri"/>
          <w:color w:val="1A1A1A"/>
        </w:rPr>
        <w:t>).</w:t>
      </w:r>
    </w:p>
    <w:p w14:paraId="4F99462D"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Le pouvoir réglementaire local</w:t>
      </w:r>
      <w:r>
        <w:rPr>
          <w:rFonts w:ascii="Calibri" w:eastAsia="Calibri" w:hAnsi="Calibri" w:cs="Calibri"/>
          <w:color w:val="1A1A1A"/>
        </w:rPr>
        <w:t xml:space="preserve"> n’a pas pour fondement les </w:t>
      </w:r>
      <w:r>
        <w:rPr>
          <w:rFonts w:ascii="Calibri" w:eastAsia="Calibri" w:hAnsi="Calibri" w:cs="Calibri"/>
          <w:color w:val="1E88E5"/>
        </w:rPr>
        <w:t>art. 13 et 21 C.</w:t>
      </w:r>
      <w:r>
        <w:rPr>
          <w:rFonts w:ascii="Calibri" w:eastAsia="Calibri" w:hAnsi="Calibri" w:cs="Calibri"/>
          <w:color w:val="1A1A1A"/>
        </w:rPr>
        <w:t xml:space="preserve"> mais la </w:t>
      </w:r>
      <w:r>
        <w:rPr>
          <w:rFonts w:ascii="Calibri" w:eastAsia="Calibri" w:hAnsi="Calibri" w:cs="Calibri"/>
          <w:b/>
          <w:bCs/>
          <w:color w:val="1A1A1A"/>
        </w:rPr>
        <w:t>libre administration</w:t>
      </w:r>
      <w:r>
        <w:rPr>
          <w:rFonts w:ascii="Calibri" w:eastAsia="Calibri" w:hAnsi="Calibri" w:cs="Calibri"/>
          <w:color w:val="1A1A1A"/>
        </w:rPr>
        <w:t xml:space="preserve"> de l’</w:t>
      </w:r>
      <w:r>
        <w:rPr>
          <w:rFonts w:ascii="Calibri" w:eastAsia="Calibri" w:hAnsi="Calibri" w:cs="Calibri"/>
          <w:color w:val="1E88E5"/>
        </w:rPr>
        <w:t>art. 72 al. 2 C.</w:t>
      </w:r>
      <w:r>
        <w:rPr>
          <w:rFonts w:ascii="Calibri" w:eastAsia="Calibri" w:hAnsi="Calibri" w:cs="Calibri"/>
          <w:color w:val="1A1A1A"/>
        </w:rPr>
        <w:t xml:space="preserve"> (</w:t>
      </w:r>
      <w:r>
        <w:rPr>
          <w:rFonts w:ascii="Calibri" w:eastAsia="Calibri" w:hAnsi="Calibri" w:cs="Calibri"/>
          <w:color w:val="E91E63"/>
        </w:rPr>
        <w:t>Cons. const., 17 janvier 2002, n° 2001-454 DC, Loi relative à la Corse</w:t>
      </w:r>
      <w:r>
        <w:rPr>
          <w:rFonts w:ascii="Calibri" w:eastAsia="Calibri" w:hAnsi="Calibri" w:cs="Calibri"/>
          <w:color w:val="1A1A1A"/>
        </w:rPr>
        <w:t>).</w:t>
      </w:r>
    </w:p>
    <w:p w14:paraId="46260F07" w14:textId="77777777" w:rsidR="00E6057C" w:rsidRDefault="00000000">
      <w:r>
        <w:br w:type="page"/>
      </w:r>
    </w:p>
    <w:p w14:paraId="3D1B61D9" w14:textId="77777777" w:rsidR="00E6057C" w:rsidRDefault="00000000">
      <w:pPr>
        <w:pStyle w:val="Titre2"/>
        <w:spacing w:before="280" w:after="120"/>
      </w:pPr>
      <w:r>
        <w:rPr>
          <w:rFonts w:ascii="Calibri" w:eastAsia="Calibri" w:hAnsi="Calibri" w:cs="Calibri"/>
          <w:b/>
          <w:bCs/>
          <w:color w:val="1A1A1A"/>
          <w:sz w:val="24"/>
          <w:szCs w:val="24"/>
        </w:rPr>
        <w:lastRenderedPageBreak/>
        <w:t>1. Architecture textuelle</w:t>
      </w:r>
    </w:p>
    <w:p w14:paraId="5E85A7A8" w14:textId="77777777" w:rsidR="00E6057C" w:rsidRDefault="00000000">
      <w:pPr>
        <w:pStyle w:val="Paragraphedeliste"/>
        <w:numPr>
          <w:ilvl w:val="0"/>
          <w:numId w:val="2"/>
        </w:numPr>
        <w:spacing w:after="70" w:line="264" w:lineRule="auto"/>
        <w:jc w:val="both"/>
      </w:pPr>
      <w:r>
        <w:rPr>
          <w:rFonts w:ascii="Calibri" w:eastAsia="Calibri" w:hAnsi="Calibri" w:cs="Calibri"/>
          <w:color w:val="1E88E5"/>
        </w:rPr>
        <w:t>Art. 21 de la Constitution</w:t>
      </w:r>
      <w:r>
        <w:rPr>
          <w:rFonts w:ascii="Calibri" w:eastAsia="Calibri" w:hAnsi="Calibri" w:cs="Calibri"/>
          <w:color w:val="1A1A1A"/>
        </w:rPr>
        <w:t xml:space="preserve"> : le Premier ministre exerce le pouvoir réglementaire ; il est le </w:t>
      </w:r>
      <w:r>
        <w:rPr>
          <w:rFonts w:ascii="Calibri" w:eastAsia="Calibri" w:hAnsi="Calibri" w:cs="Calibri"/>
          <w:b/>
          <w:bCs/>
          <w:color w:val="1A1A1A"/>
        </w:rPr>
        <w:t>seul au sein du Gouvernement</w:t>
      </w:r>
      <w:r>
        <w:rPr>
          <w:rFonts w:ascii="Calibri" w:eastAsia="Calibri" w:hAnsi="Calibri" w:cs="Calibri"/>
          <w:color w:val="1A1A1A"/>
        </w:rPr>
        <w:t xml:space="preserve"> à le détenir, sous deux formes — pouvoir réglementaire d’</w:t>
      </w:r>
      <w:r>
        <w:rPr>
          <w:rFonts w:ascii="Calibri" w:eastAsia="Calibri" w:hAnsi="Calibri" w:cs="Calibri"/>
          <w:b/>
          <w:bCs/>
          <w:color w:val="1A1A1A"/>
        </w:rPr>
        <w:t>exécution des lois</w:t>
      </w:r>
      <w:r>
        <w:rPr>
          <w:rFonts w:ascii="Calibri" w:eastAsia="Calibri" w:hAnsi="Calibri" w:cs="Calibri"/>
          <w:color w:val="1A1A1A"/>
        </w:rPr>
        <w:t xml:space="preserve"> et pouvoir réglementaire </w:t>
      </w:r>
      <w:r>
        <w:rPr>
          <w:rFonts w:ascii="Calibri" w:eastAsia="Calibri" w:hAnsi="Calibri" w:cs="Calibri"/>
          <w:b/>
          <w:bCs/>
          <w:color w:val="1A1A1A"/>
        </w:rPr>
        <w:t>autonome</w:t>
      </w:r>
      <w:r>
        <w:rPr>
          <w:rFonts w:ascii="Calibri" w:eastAsia="Calibri" w:hAnsi="Calibri" w:cs="Calibri"/>
          <w:color w:val="1A1A1A"/>
        </w:rPr>
        <w:t>.</w:t>
      </w:r>
    </w:p>
    <w:p w14:paraId="487DD277" w14:textId="77777777" w:rsidR="00E6057C" w:rsidRDefault="00000000">
      <w:pPr>
        <w:pStyle w:val="Paragraphedeliste"/>
        <w:numPr>
          <w:ilvl w:val="0"/>
          <w:numId w:val="2"/>
        </w:numPr>
        <w:spacing w:after="70" w:line="264" w:lineRule="auto"/>
        <w:jc w:val="both"/>
      </w:pPr>
      <w:r>
        <w:rPr>
          <w:rFonts w:ascii="Calibri" w:eastAsia="Calibri" w:hAnsi="Calibri" w:cs="Calibri"/>
          <w:color w:val="1E88E5"/>
        </w:rPr>
        <w:t>Art. 37 de la Constitution</w:t>
      </w:r>
      <w:r>
        <w:rPr>
          <w:rFonts w:ascii="Calibri" w:eastAsia="Calibri" w:hAnsi="Calibri" w:cs="Calibri"/>
          <w:color w:val="1A1A1A"/>
        </w:rPr>
        <w:t xml:space="preserve"> : définition </w:t>
      </w:r>
      <w:r>
        <w:rPr>
          <w:rFonts w:ascii="Calibri" w:eastAsia="Calibri" w:hAnsi="Calibri" w:cs="Calibri"/>
          <w:b/>
          <w:bCs/>
          <w:color w:val="1A1A1A"/>
        </w:rPr>
        <w:t>négative</w:t>
      </w:r>
      <w:r>
        <w:rPr>
          <w:rFonts w:ascii="Calibri" w:eastAsia="Calibri" w:hAnsi="Calibri" w:cs="Calibri"/>
          <w:color w:val="1A1A1A"/>
        </w:rPr>
        <w:t xml:space="preserve"> du pouvoir réglementaire autonome — toutes les matières qui ne sont pas limitativement énumérées à l’</w:t>
      </w:r>
      <w:r>
        <w:rPr>
          <w:rFonts w:ascii="Calibri" w:eastAsia="Calibri" w:hAnsi="Calibri" w:cs="Calibri"/>
          <w:color w:val="1E88E5"/>
        </w:rPr>
        <w:t>art. 34</w:t>
      </w:r>
      <w:r>
        <w:rPr>
          <w:rFonts w:ascii="Calibri" w:eastAsia="Calibri" w:hAnsi="Calibri" w:cs="Calibri"/>
          <w:color w:val="1A1A1A"/>
        </w:rPr>
        <w:t xml:space="preserve"> relèvent de sa compétence.</w:t>
      </w:r>
    </w:p>
    <w:p w14:paraId="1DFFF16E" w14:textId="77777777" w:rsidR="00E6057C" w:rsidRDefault="00000000">
      <w:pPr>
        <w:pStyle w:val="Paragraphedeliste"/>
        <w:numPr>
          <w:ilvl w:val="0"/>
          <w:numId w:val="2"/>
        </w:numPr>
        <w:spacing w:after="70" w:line="264" w:lineRule="auto"/>
        <w:jc w:val="both"/>
      </w:pPr>
      <w:r>
        <w:rPr>
          <w:rFonts w:ascii="Calibri" w:eastAsia="Calibri" w:hAnsi="Calibri" w:cs="Calibri"/>
          <w:color w:val="1E88E5"/>
        </w:rPr>
        <w:t>Art. 13 de la Constitution</w:t>
      </w:r>
      <w:r>
        <w:rPr>
          <w:rFonts w:ascii="Calibri" w:eastAsia="Calibri" w:hAnsi="Calibri" w:cs="Calibri"/>
          <w:color w:val="1A1A1A"/>
        </w:rPr>
        <w:t xml:space="preserve"> : décrets délibérés en conseil des ministres, signés par le président de la République.</w:t>
      </w:r>
    </w:p>
    <w:p w14:paraId="7EDDC666" w14:textId="77777777" w:rsidR="00E6057C" w:rsidRDefault="00000000">
      <w:pPr>
        <w:pStyle w:val="Paragraphedeliste"/>
        <w:numPr>
          <w:ilvl w:val="0"/>
          <w:numId w:val="2"/>
        </w:numPr>
        <w:spacing w:after="70" w:line="264" w:lineRule="auto"/>
        <w:jc w:val="both"/>
      </w:pPr>
      <w:r>
        <w:rPr>
          <w:rFonts w:ascii="Calibri" w:eastAsia="Calibri" w:hAnsi="Calibri" w:cs="Calibri"/>
          <w:color w:val="1E88E5"/>
        </w:rPr>
        <w:t>Art. 72 al. 3 de la Constitution</w:t>
      </w:r>
      <w:r>
        <w:rPr>
          <w:rFonts w:ascii="Calibri" w:eastAsia="Calibri" w:hAnsi="Calibri" w:cs="Calibri"/>
          <w:color w:val="1A1A1A"/>
        </w:rPr>
        <w:t xml:space="preserve"> : « Dans les conditions prévues par la loi, ces collectivités s’administrent librement par des conseils élus et disposent d’un pouvoir réglementaire pour l’exercice de leurs compétences. »</w:t>
      </w:r>
    </w:p>
    <w:p w14:paraId="07B7210D" w14:textId="77777777" w:rsidR="00533892" w:rsidRPr="00533892" w:rsidRDefault="00000000">
      <w:pPr>
        <w:pStyle w:val="Paragraphedeliste"/>
        <w:numPr>
          <w:ilvl w:val="0"/>
          <w:numId w:val="2"/>
        </w:numPr>
        <w:spacing w:after="70" w:line="264" w:lineRule="auto"/>
        <w:jc w:val="both"/>
      </w:pPr>
      <w:r>
        <w:rPr>
          <w:rFonts w:ascii="Calibri" w:eastAsia="Calibri" w:hAnsi="Calibri" w:cs="Calibri"/>
          <w:b/>
          <w:bCs/>
          <w:color w:val="1A1A1A"/>
        </w:rPr>
        <w:t>Hiérarchie des normes réglementaires</w:t>
      </w:r>
      <w:r>
        <w:rPr>
          <w:rFonts w:ascii="Calibri" w:eastAsia="Calibri" w:hAnsi="Calibri" w:cs="Calibri"/>
          <w:color w:val="1A1A1A"/>
        </w:rPr>
        <w:t xml:space="preserve"> : </w:t>
      </w:r>
    </w:p>
    <w:p w14:paraId="1262756C" w14:textId="77777777" w:rsidR="00533892" w:rsidRPr="00533892" w:rsidRDefault="00000000" w:rsidP="00533892">
      <w:pPr>
        <w:pStyle w:val="Paragraphedeliste"/>
        <w:numPr>
          <w:ilvl w:val="0"/>
          <w:numId w:val="3"/>
        </w:numPr>
        <w:spacing w:after="70" w:line="264" w:lineRule="auto"/>
        <w:jc w:val="both"/>
      </w:pPr>
      <w:r>
        <w:rPr>
          <w:rFonts w:ascii="Calibri" w:eastAsia="Calibri" w:hAnsi="Calibri" w:cs="Calibri"/>
          <w:b/>
          <w:bCs/>
          <w:color w:val="1A1A1A"/>
        </w:rPr>
        <w:t>décrets en conseil des ministres</w:t>
      </w:r>
      <w:r>
        <w:rPr>
          <w:rFonts w:ascii="Calibri" w:eastAsia="Calibri" w:hAnsi="Calibri" w:cs="Calibri"/>
          <w:color w:val="1A1A1A"/>
        </w:rPr>
        <w:t xml:space="preserve"> (signés par le président de la République, </w:t>
      </w:r>
      <w:r>
        <w:rPr>
          <w:rFonts w:ascii="Calibri" w:eastAsia="Calibri" w:hAnsi="Calibri" w:cs="Calibri"/>
          <w:color w:val="1E88E5"/>
        </w:rPr>
        <w:t>art. 13 C.</w:t>
      </w:r>
      <w:r>
        <w:rPr>
          <w:rFonts w:ascii="Calibri" w:eastAsia="Calibri" w:hAnsi="Calibri" w:cs="Calibri"/>
          <w:color w:val="1A1A1A"/>
        </w:rPr>
        <w:t xml:space="preserve">) ; </w:t>
      </w:r>
    </w:p>
    <w:p w14:paraId="296548D7" w14:textId="77777777" w:rsidR="00533892" w:rsidRPr="00533892" w:rsidRDefault="00000000" w:rsidP="00533892">
      <w:pPr>
        <w:pStyle w:val="Paragraphedeliste"/>
        <w:numPr>
          <w:ilvl w:val="0"/>
          <w:numId w:val="3"/>
        </w:numPr>
        <w:spacing w:after="70" w:line="264" w:lineRule="auto"/>
        <w:jc w:val="both"/>
      </w:pPr>
      <w:r>
        <w:rPr>
          <w:rFonts w:ascii="Calibri" w:eastAsia="Calibri" w:hAnsi="Calibri" w:cs="Calibri"/>
          <w:b/>
          <w:bCs/>
          <w:color w:val="1A1A1A"/>
        </w:rPr>
        <w:t>décrets en Conseil d’État</w:t>
      </w:r>
      <w:r>
        <w:rPr>
          <w:rFonts w:ascii="Calibri" w:eastAsia="Calibri" w:hAnsi="Calibri" w:cs="Calibri"/>
          <w:color w:val="1A1A1A"/>
        </w:rPr>
        <w:t xml:space="preserve"> (signés par le Premier ministre après avis du Conseil d’État) ; </w:t>
      </w:r>
    </w:p>
    <w:p w14:paraId="2A08C77C" w14:textId="77777777" w:rsidR="00533892" w:rsidRPr="00533892" w:rsidRDefault="00000000" w:rsidP="00533892">
      <w:pPr>
        <w:pStyle w:val="Paragraphedeliste"/>
        <w:numPr>
          <w:ilvl w:val="0"/>
          <w:numId w:val="3"/>
        </w:numPr>
        <w:spacing w:after="70" w:line="264" w:lineRule="auto"/>
        <w:jc w:val="both"/>
      </w:pPr>
      <w:r>
        <w:rPr>
          <w:rFonts w:ascii="Calibri" w:eastAsia="Calibri" w:hAnsi="Calibri" w:cs="Calibri"/>
          <w:b/>
          <w:bCs/>
          <w:color w:val="1A1A1A"/>
        </w:rPr>
        <w:t>décrets simples</w:t>
      </w:r>
      <w:r>
        <w:rPr>
          <w:rFonts w:ascii="Calibri" w:eastAsia="Calibri" w:hAnsi="Calibri" w:cs="Calibri"/>
          <w:color w:val="1A1A1A"/>
        </w:rPr>
        <w:t xml:space="preserve"> (aucune formalité particulière, signature du seul Premier ministre). </w:t>
      </w:r>
    </w:p>
    <w:p w14:paraId="1D113529" w14:textId="2DA83BBF" w:rsidR="00E6057C" w:rsidRDefault="00000000" w:rsidP="00533892">
      <w:pPr>
        <w:pStyle w:val="Paragraphedeliste"/>
        <w:numPr>
          <w:ilvl w:val="0"/>
          <w:numId w:val="3"/>
        </w:numPr>
        <w:spacing w:after="70" w:line="264" w:lineRule="auto"/>
        <w:jc w:val="both"/>
      </w:pPr>
      <w:r>
        <w:rPr>
          <w:rFonts w:ascii="Calibri" w:eastAsia="Calibri" w:hAnsi="Calibri" w:cs="Calibri"/>
          <w:color w:val="1A1A1A"/>
        </w:rPr>
        <w:t xml:space="preserve">À côté, les </w:t>
      </w:r>
      <w:r>
        <w:rPr>
          <w:rFonts w:ascii="Calibri" w:eastAsia="Calibri" w:hAnsi="Calibri" w:cs="Calibri"/>
          <w:b/>
          <w:bCs/>
          <w:color w:val="1A1A1A"/>
        </w:rPr>
        <w:t>arrêtés</w:t>
      </w:r>
      <w:r>
        <w:rPr>
          <w:rFonts w:ascii="Calibri" w:eastAsia="Calibri" w:hAnsi="Calibri" w:cs="Calibri"/>
          <w:color w:val="1A1A1A"/>
        </w:rPr>
        <w:t xml:space="preserve"> — actes administratifs unilatéraux des ministres, préfets ou maires — sont </w:t>
      </w:r>
      <w:r>
        <w:rPr>
          <w:rFonts w:ascii="Calibri" w:eastAsia="Calibri" w:hAnsi="Calibri" w:cs="Calibri"/>
          <w:b/>
          <w:bCs/>
          <w:color w:val="1A1A1A"/>
        </w:rPr>
        <w:t>inférieurs aux décrets</w:t>
      </w:r>
      <w:r>
        <w:rPr>
          <w:rFonts w:ascii="Calibri" w:eastAsia="Calibri" w:hAnsi="Calibri" w:cs="Calibri"/>
          <w:color w:val="1A1A1A"/>
        </w:rPr>
        <w:t xml:space="preserve"> et doivent en respecter les dispositions.</w:t>
      </w:r>
    </w:p>
    <w:p w14:paraId="38313458"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Textes de police</w:t>
      </w:r>
      <w:r>
        <w:rPr>
          <w:rFonts w:ascii="Calibri" w:eastAsia="Calibri" w:hAnsi="Calibri" w:cs="Calibri"/>
          <w:color w:val="1A1A1A"/>
        </w:rPr>
        <w:t xml:space="preserve"> : </w:t>
      </w:r>
      <w:r>
        <w:rPr>
          <w:rFonts w:ascii="Calibri" w:eastAsia="Calibri" w:hAnsi="Calibri" w:cs="Calibri"/>
          <w:color w:val="1E88E5"/>
        </w:rPr>
        <w:t>art. 97 de la loi du 5 avril 1884</w:t>
      </w:r>
      <w:r>
        <w:rPr>
          <w:rFonts w:ascii="Calibri" w:eastAsia="Calibri" w:hAnsi="Calibri" w:cs="Calibri"/>
          <w:color w:val="1A1A1A"/>
        </w:rPr>
        <w:t xml:space="preserve"> (pouvoirs du maire) ; </w:t>
      </w:r>
      <w:r>
        <w:rPr>
          <w:rFonts w:ascii="Calibri" w:eastAsia="Calibri" w:hAnsi="Calibri" w:cs="Calibri"/>
          <w:color w:val="1E88E5"/>
        </w:rPr>
        <w:t>lois des 30 juin 1881 et 28 mars 1907</w:t>
      </w:r>
      <w:r>
        <w:rPr>
          <w:rFonts w:ascii="Calibri" w:eastAsia="Calibri" w:hAnsi="Calibri" w:cs="Calibri"/>
          <w:color w:val="1A1A1A"/>
        </w:rPr>
        <w:t xml:space="preserve"> (liberté de réunion) ; </w:t>
      </w:r>
      <w:r>
        <w:rPr>
          <w:rFonts w:ascii="Calibri" w:eastAsia="Calibri" w:hAnsi="Calibri" w:cs="Calibri"/>
          <w:color w:val="1E88E5"/>
        </w:rPr>
        <w:t>art. L. 5132-8 du Code de la santé publique</w:t>
      </w:r>
      <w:r>
        <w:rPr>
          <w:rFonts w:ascii="Calibri" w:eastAsia="Calibri" w:hAnsi="Calibri" w:cs="Calibri"/>
          <w:color w:val="1A1A1A"/>
        </w:rPr>
        <w:t xml:space="preserve"> (produits réglementés).</w:t>
      </w:r>
    </w:p>
    <w:p w14:paraId="52B1F4A0" w14:textId="77777777" w:rsidR="00E6057C" w:rsidRDefault="00000000">
      <w:pPr>
        <w:pStyle w:val="Titre2"/>
        <w:spacing w:before="280" w:after="120"/>
      </w:pPr>
      <w:r>
        <w:rPr>
          <w:rFonts w:ascii="Calibri" w:eastAsia="Calibri" w:hAnsi="Calibri" w:cs="Calibri"/>
          <w:b/>
          <w:bCs/>
          <w:color w:val="1A1A1A"/>
          <w:sz w:val="24"/>
          <w:szCs w:val="24"/>
        </w:rPr>
        <w:t>2. Ligne prétorienne &amp; évolutions</w:t>
      </w:r>
    </w:p>
    <w:p w14:paraId="1002841B" w14:textId="77777777" w:rsidR="00E6057C" w:rsidRDefault="00000000">
      <w:pPr>
        <w:pStyle w:val="Titre3"/>
        <w:spacing w:before="200" w:after="90"/>
      </w:pPr>
      <w:r>
        <w:rPr>
          <w:rFonts w:ascii="Calibri" w:eastAsia="Calibri" w:hAnsi="Calibri" w:cs="Calibri"/>
          <w:b/>
          <w:bCs/>
          <w:i/>
          <w:iCs/>
          <w:color w:val="5A5A5A"/>
          <w:sz w:val="21"/>
          <w:szCs w:val="21"/>
        </w:rPr>
        <w:t>2.1. Titulaires et répartition</w:t>
      </w:r>
    </w:p>
    <w:p w14:paraId="4B92BB73"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7 février 1936, Jamart, n° 43321</w:t>
      </w:r>
      <w:r>
        <w:rPr>
          <w:rFonts w:ascii="Calibri" w:eastAsia="Calibri" w:hAnsi="Calibri" w:cs="Calibri"/>
          <w:color w:val="1A1A1A"/>
        </w:rPr>
        <w:t xml:space="preserve"> : les ministres ne disposent pas du pouvoir réglementaire, mais d’un pouvoir d’</w:t>
      </w:r>
      <w:r>
        <w:rPr>
          <w:rFonts w:ascii="Calibri" w:eastAsia="Calibri" w:hAnsi="Calibri" w:cs="Calibri"/>
          <w:b/>
          <w:bCs/>
          <w:color w:val="1A1A1A"/>
        </w:rPr>
        <w:t>organisation et d’administration de leur service</w:t>
      </w:r>
      <w:r>
        <w:rPr>
          <w:rFonts w:ascii="Calibri" w:eastAsia="Calibri" w:hAnsi="Calibri" w:cs="Calibri"/>
          <w:color w:val="1A1A1A"/>
        </w:rPr>
        <w:t>.</w:t>
      </w:r>
    </w:p>
    <w:p w14:paraId="572E1B18"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CE, 27 avril 1962, Sicard, n° 50032</w:t>
      </w:r>
      <w:r>
        <w:rPr>
          <w:rFonts w:ascii="Calibri" w:eastAsia="Calibri" w:hAnsi="Calibri" w:cs="Calibri"/>
          <w:color w:val="1A1A1A"/>
        </w:rPr>
        <w:t xml:space="preserve"> : pour les décrets signés par le président de la République mais </w:t>
      </w:r>
      <w:r>
        <w:rPr>
          <w:rFonts w:ascii="Calibri" w:eastAsia="Calibri" w:hAnsi="Calibri" w:cs="Calibri"/>
          <w:b/>
          <w:bCs/>
          <w:color w:val="1A1A1A"/>
        </w:rPr>
        <w:t>non délibérés</w:t>
      </w:r>
      <w:r>
        <w:rPr>
          <w:rFonts w:ascii="Calibri" w:eastAsia="Calibri" w:hAnsi="Calibri" w:cs="Calibri"/>
          <w:color w:val="1A1A1A"/>
        </w:rPr>
        <w:t xml:space="preserve"> en conseil des ministres, c’est la seule signature du Premier ministre qui leur donne pleine validité.</w:t>
      </w:r>
    </w:p>
    <w:p w14:paraId="1ED24C46" w14:textId="77777777" w:rsidR="00E6057C" w:rsidRPr="00533892" w:rsidRDefault="00000000">
      <w:pPr>
        <w:pStyle w:val="Paragraphedeliste"/>
        <w:numPr>
          <w:ilvl w:val="0"/>
          <w:numId w:val="2"/>
        </w:numPr>
        <w:spacing w:after="70" w:line="264" w:lineRule="auto"/>
        <w:jc w:val="both"/>
        <w:rPr>
          <w:highlight w:val="yellow"/>
        </w:rPr>
      </w:pPr>
      <w:r>
        <w:rPr>
          <w:rFonts w:ascii="Calibri" w:eastAsia="Calibri" w:hAnsi="Calibri" w:cs="Calibri"/>
          <w:color w:val="E91E63"/>
        </w:rPr>
        <w:t>CE, 27 avril 1994, Allamigeon et Pageaux, n° 147203</w:t>
      </w:r>
      <w:r>
        <w:rPr>
          <w:rFonts w:ascii="Calibri" w:eastAsia="Calibri" w:hAnsi="Calibri" w:cs="Calibri"/>
          <w:color w:val="1A1A1A"/>
        </w:rPr>
        <w:t xml:space="preserve"> : un décret signé par le président de la République, </w:t>
      </w:r>
      <w:r>
        <w:rPr>
          <w:rFonts w:ascii="Calibri" w:eastAsia="Calibri" w:hAnsi="Calibri" w:cs="Calibri"/>
          <w:b/>
          <w:bCs/>
          <w:color w:val="1A1A1A"/>
        </w:rPr>
        <w:t>y compris lorsque cela n’était pas nécessaire</w:t>
      </w:r>
      <w:r>
        <w:rPr>
          <w:rFonts w:ascii="Calibri" w:eastAsia="Calibri" w:hAnsi="Calibri" w:cs="Calibri"/>
          <w:color w:val="1A1A1A"/>
        </w:rPr>
        <w:t xml:space="preserve">, ne peut être modifié que par un autre décret pris selon les mêmes formes — </w:t>
      </w:r>
      <w:r w:rsidRPr="00533892">
        <w:rPr>
          <w:rFonts w:ascii="Calibri" w:eastAsia="Calibri" w:hAnsi="Calibri" w:cs="Calibri"/>
          <w:b/>
          <w:bCs/>
          <w:color w:val="1A1A1A"/>
          <w:highlight w:val="yellow"/>
        </w:rPr>
        <w:t>parallélisme des formes</w:t>
      </w:r>
      <w:r w:rsidRPr="00533892">
        <w:rPr>
          <w:rFonts w:ascii="Calibri" w:eastAsia="Calibri" w:hAnsi="Calibri" w:cs="Calibri"/>
          <w:color w:val="1A1A1A"/>
          <w:highlight w:val="yellow"/>
        </w:rPr>
        <w:t>.</w:t>
      </w:r>
    </w:p>
    <w:p w14:paraId="04C4EA22"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CE, 9 juillet 1965, Pouzenc, n° 58778</w:t>
      </w:r>
      <w:r>
        <w:rPr>
          <w:rFonts w:ascii="Calibri" w:eastAsia="Calibri" w:hAnsi="Calibri" w:cs="Calibri"/>
          <w:color w:val="1A1A1A"/>
        </w:rPr>
        <w:t xml:space="preserve"> : les collectivités territoriales peuvent prendre par voie réglementaire des mesures liées à l’organisation de leur service public en l’absence de disposition législative. </w:t>
      </w:r>
      <w:r>
        <w:rPr>
          <w:rFonts w:ascii="Calibri" w:eastAsia="Calibri" w:hAnsi="Calibri" w:cs="Calibri"/>
          <w:color w:val="E91E63"/>
        </w:rPr>
        <w:t>Cons. const., 17 janvier 2002, n° 2001-454 DC, Loi relative à la Corse</w:t>
      </w:r>
      <w:r>
        <w:rPr>
          <w:rFonts w:ascii="Calibri" w:eastAsia="Calibri" w:hAnsi="Calibri" w:cs="Calibri"/>
          <w:color w:val="1A1A1A"/>
        </w:rPr>
        <w:t xml:space="preserve"> : leur pouvoir réglementaire n’a pas pour fondement le pouvoir réglementaire national des </w:t>
      </w:r>
      <w:r>
        <w:rPr>
          <w:rFonts w:ascii="Calibri" w:eastAsia="Calibri" w:hAnsi="Calibri" w:cs="Calibri"/>
          <w:color w:val="1E88E5"/>
        </w:rPr>
        <w:t>art. 13 et 21 C.</w:t>
      </w:r>
      <w:r>
        <w:rPr>
          <w:rFonts w:ascii="Calibri" w:eastAsia="Calibri" w:hAnsi="Calibri" w:cs="Calibri"/>
          <w:color w:val="1A1A1A"/>
        </w:rPr>
        <w:t xml:space="preserve">, mais la </w:t>
      </w:r>
      <w:r>
        <w:rPr>
          <w:rFonts w:ascii="Calibri" w:eastAsia="Calibri" w:hAnsi="Calibri" w:cs="Calibri"/>
          <w:b/>
          <w:bCs/>
          <w:color w:val="1A1A1A"/>
        </w:rPr>
        <w:t>libre administration</w:t>
      </w:r>
      <w:r>
        <w:rPr>
          <w:rFonts w:ascii="Calibri" w:eastAsia="Calibri" w:hAnsi="Calibri" w:cs="Calibri"/>
          <w:color w:val="1A1A1A"/>
        </w:rPr>
        <w:t xml:space="preserve"> de l’</w:t>
      </w:r>
      <w:r>
        <w:rPr>
          <w:rFonts w:ascii="Calibri" w:eastAsia="Calibri" w:hAnsi="Calibri" w:cs="Calibri"/>
          <w:color w:val="1E88E5"/>
        </w:rPr>
        <w:t>art. 72 al. 2</w:t>
      </w:r>
      <w:r>
        <w:rPr>
          <w:rFonts w:ascii="Calibri" w:eastAsia="Calibri" w:hAnsi="Calibri" w:cs="Calibri"/>
          <w:color w:val="1A1A1A"/>
        </w:rPr>
        <w:t>.</w:t>
      </w:r>
    </w:p>
    <w:p w14:paraId="1156BF85"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sidRPr="00533892">
        <w:rPr>
          <w:rFonts w:ascii="Calibri" w:eastAsia="Calibri" w:hAnsi="Calibri" w:cs="Calibri"/>
          <w:b/>
          <w:bCs/>
          <w:color w:val="1A1A1A"/>
          <w:highlight w:val="yellow"/>
        </w:rPr>
        <w:t>Actualité</w:t>
      </w:r>
      <w:r>
        <w:rPr>
          <w:rFonts w:ascii="Calibri" w:eastAsia="Calibri" w:hAnsi="Calibri" w:cs="Calibri"/>
          <w:color w:val="1A1A1A"/>
        </w:rPr>
        <w:t xml:space="preserve"> — </w:t>
      </w:r>
      <w:r>
        <w:rPr>
          <w:rFonts w:ascii="Calibri" w:eastAsia="Calibri" w:hAnsi="Calibri" w:cs="Calibri"/>
          <w:color w:val="E91E63"/>
        </w:rPr>
        <w:t>CE, 27 juin 2025, Association Juristes pour l’enfance et autres, n° 501820 et 503152</w:t>
      </w:r>
      <w:r>
        <w:rPr>
          <w:rFonts w:ascii="Calibri" w:eastAsia="Calibri" w:hAnsi="Calibri" w:cs="Calibri"/>
          <w:color w:val="1A1A1A"/>
        </w:rPr>
        <w:t xml:space="preserve"> : à propos du programme d’éducation à la vie affective, relationnelle et à la sexualité applicable à compter de l’année scolaire 2025-2026. Si les ministres ne disposent pas, en principe, d’un pouvoir réglementaire général, la loi ou le règlement peuvent leur attribuer une </w:t>
      </w:r>
      <w:r>
        <w:rPr>
          <w:rFonts w:ascii="Calibri" w:eastAsia="Calibri" w:hAnsi="Calibri" w:cs="Calibri"/>
          <w:b/>
          <w:bCs/>
          <w:color w:val="1A1A1A"/>
        </w:rPr>
        <w:t>compétence réglementaire spéciale</w:t>
      </w:r>
      <w:r>
        <w:rPr>
          <w:rFonts w:ascii="Calibri" w:eastAsia="Calibri" w:hAnsi="Calibri" w:cs="Calibri"/>
          <w:color w:val="1A1A1A"/>
        </w:rPr>
        <w:t xml:space="preserve"> dans un domaine déterminé — ici, le Code de l’éducation confie à l’État la fixation des programmes nationaux et prévoit que le contenu des formations est déterminé par arrêté du ministre. Le Conseil d’État vérifie ensuite que l’exercice de cette compétence respecte les droits et libertés en cause : </w:t>
      </w:r>
      <w:r>
        <w:rPr>
          <w:rFonts w:ascii="Calibri" w:eastAsia="Calibri" w:hAnsi="Calibri" w:cs="Calibri"/>
          <w:b/>
          <w:bCs/>
          <w:color w:val="1A1A1A"/>
        </w:rPr>
        <w:t>autorité parentale</w:t>
      </w:r>
      <w:r>
        <w:rPr>
          <w:rFonts w:ascii="Calibri" w:eastAsia="Calibri" w:hAnsi="Calibri" w:cs="Calibri"/>
          <w:color w:val="1A1A1A"/>
        </w:rPr>
        <w:t xml:space="preserve">, </w:t>
      </w:r>
      <w:r>
        <w:rPr>
          <w:rFonts w:ascii="Calibri" w:eastAsia="Calibri" w:hAnsi="Calibri" w:cs="Calibri"/>
          <w:b/>
          <w:bCs/>
          <w:color w:val="1A1A1A"/>
        </w:rPr>
        <w:t>vie privée des élèves</w:t>
      </w:r>
      <w:r>
        <w:rPr>
          <w:rFonts w:ascii="Calibri" w:eastAsia="Calibri" w:hAnsi="Calibri" w:cs="Calibri"/>
          <w:color w:val="1A1A1A"/>
        </w:rPr>
        <w:t xml:space="preserve">, </w:t>
      </w:r>
      <w:r>
        <w:rPr>
          <w:rFonts w:ascii="Calibri" w:eastAsia="Calibri" w:hAnsi="Calibri" w:cs="Calibri"/>
          <w:b/>
          <w:bCs/>
          <w:color w:val="1A1A1A"/>
        </w:rPr>
        <w:t>droit à l’éducation</w:t>
      </w:r>
      <w:r>
        <w:rPr>
          <w:rFonts w:ascii="Calibri" w:eastAsia="Calibri" w:hAnsi="Calibri" w:cs="Calibri"/>
          <w:color w:val="1A1A1A"/>
        </w:rPr>
        <w:t xml:space="preserve">, </w:t>
      </w:r>
      <w:r>
        <w:rPr>
          <w:rFonts w:ascii="Calibri" w:eastAsia="Calibri" w:hAnsi="Calibri" w:cs="Calibri"/>
          <w:b/>
          <w:bCs/>
          <w:color w:val="1A1A1A"/>
        </w:rPr>
        <w:t>principe de neutralité du service public</w:t>
      </w:r>
      <w:r>
        <w:rPr>
          <w:rFonts w:ascii="Calibri" w:eastAsia="Calibri" w:hAnsi="Calibri" w:cs="Calibri"/>
          <w:color w:val="1A1A1A"/>
        </w:rPr>
        <w:t xml:space="preserve"> — les notions enseignées devant être présentées de manière </w:t>
      </w:r>
      <w:r>
        <w:rPr>
          <w:rFonts w:ascii="Calibri" w:eastAsia="Calibri" w:hAnsi="Calibri" w:cs="Calibri"/>
          <w:b/>
          <w:bCs/>
          <w:color w:val="1A1A1A"/>
        </w:rPr>
        <w:t>neutre et objective</w:t>
      </w:r>
      <w:r>
        <w:rPr>
          <w:rFonts w:ascii="Calibri" w:eastAsia="Calibri" w:hAnsi="Calibri" w:cs="Calibri"/>
          <w:color w:val="1A1A1A"/>
        </w:rPr>
        <w:t>, en fonction de l’âge des élèves et sans les inciter à adopter un comportement déterminé.</w:t>
      </w:r>
    </w:p>
    <w:p w14:paraId="47FE0863" w14:textId="77777777" w:rsidR="00E6057C" w:rsidRDefault="00000000">
      <w:pPr>
        <w:pStyle w:val="Titre3"/>
        <w:spacing w:before="200" w:after="90"/>
      </w:pPr>
      <w:r>
        <w:rPr>
          <w:rFonts w:ascii="Calibri" w:eastAsia="Calibri" w:hAnsi="Calibri" w:cs="Calibri"/>
          <w:b/>
          <w:bCs/>
          <w:i/>
          <w:iCs/>
          <w:color w:val="5A5A5A"/>
          <w:sz w:val="21"/>
          <w:szCs w:val="21"/>
        </w:rPr>
        <w:t>2.2. Suppléer et appliquer la loi</w:t>
      </w:r>
    </w:p>
    <w:p w14:paraId="7794AB35"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8 août 1919, Labonne, n° 56377</w:t>
      </w:r>
      <w:r>
        <w:rPr>
          <w:rFonts w:ascii="Calibri" w:eastAsia="Calibri" w:hAnsi="Calibri" w:cs="Calibri"/>
          <w:color w:val="1A1A1A"/>
        </w:rPr>
        <w:t xml:space="preserve"> : le chef de l’Exécutif peut prendre des mesures réglementaires de police administrative </w:t>
      </w:r>
      <w:r>
        <w:rPr>
          <w:rFonts w:ascii="Calibri" w:eastAsia="Calibri" w:hAnsi="Calibri" w:cs="Calibri"/>
          <w:b/>
          <w:bCs/>
          <w:color w:val="1A1A1A"/>
        </w:rPr>
        <w:t>même sans délégation de la loi</w:t>
      </w:r>
      <w:r>
        <w:rPr>
          <w:rFonts w:ascii="Calibri" w:eastAsia="Calibri" w:hAnsi="Calibri" w:cs="Calibri"/>
          <w:color w:val="1A1A1A"/>
        </w:rPr>
        <w:t xml:space="preserve">, en vertu de ses pouvoirs propres. Le pouvoir réglementaire intervient ainsi dans le </w:t>
      </w:r>
      <w:r>
        <w:rPr>
          <w:rFonts w:ascii="Calibri" w:eastAsia="Calibri" w:hAnsi="Calibri" w:cs="Calibri"/>
          <w:b/>
          <w:bCs/>
          <w:color w:val="1A1A1A"/>
        </w:rPr>
        <w:t>silence de la loi</w:t>
      </w:r>
      <w:r>
        <w:rPr>
          <w:rFonts w:ascii="Calibri" w:eastAsia="Calibri" w:hAnsi="Calibri" w:cs="Calibri"/>
          <w:color w:val="1A1A1A"/>
        </w:rPr>
        <w:t xml:space="preserve"> pour réglementer les libertés ; cette compétence propre s’épanouit dans le domaine particulier de la police administrative, sa seule justification étant la nécessité d’assurer l’ordre public.</w:t>
      </w:r>
    </w:p>
    <w:p w14:paraId="1D790A04" w14:textId="29B9F373"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90-283 DC, 8 janvier 1991, Loi relative à la lutte contre le tabagisme et l’alcoolisme</w:t>
      </w:r>
      <w:r>
        <w:rPr>
          <w:rFonts w:ascii="Calibri" w:eastAsia="Calibri" w:hAnsi="Calibri" w:cs="Calibri"/>
          <w:color w:val="1A1A1A"/>
        </w:rPr>
        <w:t xml:space="preserve"> : « </w:t>
      </w:r>
      <w:r>
        <w:rPr>
          <w:rFonts w:ascii="Calibri" w:eastAsia="Calibri" w:hAnsi="Calibri" w:cs="Calibri"/>
          <w:i/>
          <w:iCs/>
          <w:color w:val="1A1A1A"/>
        </w:rPr>
        <w:t>Il revient cependant au pouvoir réglementaire de mettre en œuvre, s’il y a lieu, les dispositions de la loi à la condition de ne pas en altérer la portée.</w:t>
      </w:r>
      <w:r>
        <w:rPr>
          <w:rFonts w:ascii="Calibri" w:eastAsia="Calibri" w:hAnsi="Calibri" w:cs="Calibri"/>
          <w:color w:val="1A1A1A"/>
        </w:rPr>
        <w:t xml:space="preserve"> » Et : « </w:t>
      </w:r>
      <w:r>
        <w:rPr>
          <w:rFonts w:ascii="Calibri" w:eastAsia="Calibri" w:hAnsi="Calibri" w:cs="Calibri"/>
          <w:i/>
          <w:iCs/>
          <w:color w:val="1A1A1A"/>
        </w:rPr>
        <w:t xml:space="preserve">Il incombera </w:t>
      </w:r>
      <w:r w:rsidR="009B1E1A">
        <w:rPr>
          <w:rFonts w:ascii="Calibri" w:eastAsia="Calibri" w:hAnsi="Calibri" w:cs="Calibri"/>
          <w:i/>
          <w:iCs/>
          <w:color w:val="1A1A1A"/>
        </w:rPr>
        <w:t>en</w:t>
      </w:r>
      <w:r>
        <w:rPr>
          <w:rFonts w:ascii="Calibri" w:eastAsia="Calibri" w:hAnsi="Calibri" w:cs="Calibri"/>
          <w:i/>
          <w:iCs/>
          <w:color w:val="1A1A1A"/>
        </w:rPr>
        <w:t xml:space="preserve">suite au pouvoir réglementaire d’assurer la mise en œuvre de la loi compte </w:t>
      </w:r>
      <w:r>
        <w:rPr>
          <w:rFonts w:ascii="Calibri" w:eastAsia="Calibri" w:hAnsi="Calibri" w:cs="Calibri"/>
          <w:i/>
          <w:iCs/>
          <w:color w:val="1A1A1A"/>
        </w:rPr>
        <w:lastRenderedPageBreak/>
        <w:t>tenu de cet objectif […] d’assurer la mise en œuvre de la loi en fonction de données objectives applicables à l’ensemble des boissons alcooliques.</w:t>
      </w:r>
      <w:r>
        <w:rPr>
          <w:rFonts w:ascii="Calibri" w:eastAsia="Calibri" w:hAnsi="Calibri" w:cs="Calibri"/>
          <w:color w:val="1A1A1A"/>
        </w:rPr>
        <w:t xml:space="preserve"> » La mise en œuvre doit être </w:t>
      </w:r>
      <w:r>
        <w:rPr>
          <w:rFonts w:ascii="Calibri" w:eastAsia="Calibri" w:hAnsi="Calibri" w:cs="Calibri"/>
          <w:b/>
          <w:bCs/>
          <w:color w:val="1A1A1A"/>
        </w:rPr>
        <w:t>conforme aux objectifs de la loi</w:t>
      </w:r>
      <w:r>
        <w:rPr>
          <w:rFonts w:ascii="Calibri" w:eastAsia="Calibri" w:hAnsi="Calibri" w:cs="Calibri"/>
          <w:color w:val="1A1A1A"/>
        </w:rPr>
        <w:t xml:space="preserve"> et </w:t>
      </w:r>
      <w:r>
        <w:rPr>
          <w:rFonts w:ascii="Calibri" w:eastAsia="Calibri" w:hAnsi="Calibri" w:cs="Calibri"/>
          <w:b/>
          <w:bCs/>
          <w:color w:val="1A1A1A"/>
        </w:rPr>
        <w:t>proportionnée</w:t>
      </w:r>
      <w:r>
        <w:rPr>
          <w:rFonts w:ascii="Calibri" w:eastAsia="Calibri" w:hAnsi="Calibri" w:cs="Calibri"/>
          <w:color w:val="1A1A1A"/>
        </w:rPr>
        <w:t xml:space="preserve"> à ces objectifs.</w:t>
      </w:r>
    </w:p>
    <w:p w14:paraId="4781F55F"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Cons. const., déc. n° 98-401 DC, 10 juin 1998, Loi d’orientation et d’incitation relative à la réduction du temps de travail</w:t>
      </w:r>
      <w:r>
        <w:rPr>
          <w:rFonts w:ascii="Calibri" w:eastAsia="Calibri" w:hAnsi="Calibri" w:cs="Calibri"/>
          <w:color w:val="1A1A1A"/>
        </w:rPr>
        <w:t xml:space="preserve"> : le règlement d’application doit respecter non seulement la loi qu’il applique, mais </w:t>
      </w:r>
      <w:r>
        <w:rPr>
          <w:rFonts w:ascii="Calibri" w:eastAsia="Calibri" w:hAnsi="Calibri" w:cs="Calibri"/>
          <w:b/>
          <w:bCs/>
          <w:color w:val="1A1A1A"/>
        </w:rPr>
        <w:t>toutes les garanties prévues par la Constitution</w:t>
      </w:r>
      <w:r>
        <w:rPr>
          <w:rFonts w:ascii="Calibri" w:eastAsia="Calibri" w:hAnsi="Calibri" w:cs="Calibri"/>
          <w:color w:val="1A1A1A"/>
        </w:rPr>
        <w:t>, tels les droits de la défense.</w:t>
      </w:r>
    </w:p>
    <w:p w14:paraId="5FAF2702" w14:textId="77777777" w:rsidR="00E6057C" w:rsidRDefault="00000000">
      <w:pPr>
        <w:pStyle w:val="Titre3"/>
        <w:spacing w:before="200" w:after="90"/>
      </w:pPr>
      <w:r>
        <w:rPr>
          <w:rFonts w:ascii="Calibri" w:eastAsia="Calibri" w:hAnsi="Calibri" w:cs="Calibri"/>
          <w:b/>
          <w:bCs/>
          <w:i/>
          <w:iCs/>
          <w:color w:val="5A5A5A"/>
          <w:sz w:val="21"/>
          <w:szCs w:val="21"/>
        </w:rPr>
        <w:t>2.3. Les situations de crise</w:t>
      </w:r>
    </w:p>
    <w:p w14:paraId="5D786E56"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CE, 28 juin 1919, Heyriès, n° 63412</w:t>
      </w:r>
      <w:r>
        <w:rPr>
          <w:rFonts w:ascii="Calibri" w:eastAsia="Calibri" w:hAnsi="Calibri" w:cs="Calibri"/>
          <w:color w:val="1A1A1A"/>
        </w:rPr>
        <w:t xml:space="preserve"> : théorie des circonstances exceptionnelles, permettant à l’autorité administrative de se </w:t>
      </w:r>
      <w:r>
        <w:rPr>
          <w:rFonts w:ascii="Calibri" w:eastAsia="Calibri" w:hAnsi="Calibri" w:cs="Calibri"/>
          <w:b/>
          <w:bCs/>
          <w:color w:val="1A1A1A"/>
        </w:rPr>
        <w:t>substituer temporairement au Parlement</w:t>
      </w:r>
      <w:r>
        <w:rPr>
          <w:rFonts w:ascii="Calibri" w:eastAsia="Calibri" w:hAnsi="Calibri" w:cs="Calibri"/>
          <w:color w:val="1A1A1A"/>
        </w:rPr>
        <w:t>.</w:t>
      </w:r>
    </w:p>
    <w:p w14:paraId="702DC7AF"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CE, 19 octobre 1962, Canal, n° 58502</w:t>
      </w:r>
      <w:r>
        <w:rPr>
          <w:rFonts w:ascii="Calibri" w:eastAsia="Calibri" w:hAnsi="Calibri" w:cs="Calibri"/>
          <w:color w:val="1A1A1A"/>
        </w:rPr>
        <w:t xml:space="preserve"> : le Conseil d’État reconnaît sa compétence pour contrôler les actes relevant du domaine du pouvoir réglementaire adoptés par le président de la République sur le fondement de l’</w:t>
      </w:r>
      <w:r>
        <w:rPr>
          <w:rFonts w:ascii="Calibri" w:eastAsia="Calibri" w:hAnsi="Calibri" w:cs="Calibri"/>
          <w:color w:val="1E88E5"/>
        </w:rPr>
        <w:t>art. 16 C.</w:t>
      </w:r>
      <w:r>
        <w:rPr>
          <w:rFonts w:ascii="Calibri" w:eastAsia="Calibri" w:hAnsi="Calibri" w:cs="Calibri"/>
          <w:color w:val="1A1A1A"/>
        </w:rPr>
        <w:t xml:space="preserve">. </w:t>
      </w:r>
      <w:r w:rsidRPr="00AE19CC">
        <w:rPr>
          <w:rFonts w:ascii="Calibri" w:eastAsia="Calibri" w:hAnsi="Calibri" w:cs="Calibri"/>
          <w:color w:val="1A1A1A"/>
          <w:highlight w:val="yellow"/>
        </w:rPr>
        <w:t>Raisonnement à retenir</w:t>
      </w:r>
      <w:r>
        <w:rPr>
          <w:rFonts w:ascii="Calibri" w:eastAsia="Calibri" w:hAnsi="Calibri" w:cs="Calibri"/>
          <w:color w:val="1A1A1A"/>
        </w:rPr>
        <w:t xml:space="preserve"> : si le président peut empiéter sur le pouvoir législatif, </w:t>
      </w:r>
      <w:r>
        <w:rPr>
          <w:rFonts w:ascii="Calibri" w:eastAsia="Calibri" w:hAnsi="Calibri" w:cs="Calibri"/>
          <w:b/>
          <w:bCs/>
          <w:color w:val="1A1A1A"/>
        </w:rPr>
        <w:t>il n’y a pas pour autant confusion des normes</w:t>
      </w:r>
      <w:r>
        <w:rPr>
          <w:rFonts w:ascii="Calibri" w:eastAsia="Calibri" w:hAnsi="Calibri" w:cs="Calibri"/>
          <w:color w:val="1A1A1A"/>
        </w:rPr>
        <w:t xml:space="preserve"> — la loi ne devient pas un règlement.</w:t>
      </w:r>
    </w:p>
    <w:p w14:paraId="27527ABD" w14:textId="07BF179A" w:rsidR="00E6057C" w:rsidRDefault="00000000" w:rsidP="00AE19CC">
      <w:pPr>
        <w:pStyle w:val="Paragraphedeliste"/>
        <w:numPr>
          <w:ilvl w:val="0"/>
          <w:numId w:val="2"/>
        </w:numPr>
        <w:spacing w:after="70" w:line="264" w:lineRule="auto"/>
        <w:jc w:val="both"/>
      </w:pPr>
      <w:r>
        <w:rPr>
          <w:rFonts w:ascii="Calibri" w:eastAsia="Calibri" w:hAnsi="Calibri" w:cs="Calibri"/>
          <w:color w:val="E91E63"/>
        </w:rPr>
        <w:t>CE, 23 octobre 1953, Huckel, n° 91261</w:t>
      </w:r>
      <w:r>
        <w:rPr>
          <w:rFonts w:ascii="Calibri" w:eastAsia="Calibri" w:hAnsi="Calibri" w:cs="Calibri"/>
          <w:color w:val="1A1A1A"/>
        </w:rPr>
        <w:t xml:space="preserve"> : l’état de siège étant décrété en conseil des ministres (</w:t>
      </w:r>
      <w:r>
        <w:rPr>
          <w:rFonts w:ascii="Calibri" w:eastAsia="Calibri" w:hAnsi="Calibri" w:cs="Calibri"/>
          <w:color w:val="1E88E5"/>
        </w:rPr>
        <w:t>art. 36 C.</w:t>
      </w:r>
      <w:r>
        <w:rPr>
          <w:rFonts w:ascii="Calibri" w:eastAsia="Calibri" w:hAnsi="Calibri" w:cs="Calibri"/>
          <w:color w:val="1A1A1A"/>
        </w:rPr>
        <w:t>), il est établi par un décret et constitue une manifestation du pouvoir réglementaire, sous le contrôle du juge administratif. Dans l’état de siège, la norme rég</w:t>
      </w:r>
      <w:r w:rsidRPr="00AE19CC">
        <w:rPr>
          <w:rFonts w:ascii="Calibri" w:eastAsia="Calibri" w:hAnsi="Calibri" w:cs="Calibri"/>
          <w:color w:val="1A1A1A"/>
        </w:rPr>
        <w:t xml:space="preserve">lementaire devient un </w:t>
      </w:r>
      <w:r w:rsidRPr="00AE19CC">
        <w:rPr>
          <w:rFonts w:ascii="Calibri" w:eastAsia="Calibri" w:hAnsi="Calibri" w:cs="Calibri"/>
          <w:b/>
          <w:bCs/>
          <w:color w:val="1A1A1A"/>
        </w:rPr>
        <w:t>instrument de restriction massive</w:t>
      </w:r>
      <w:r w:rsidRPr="00AE19CC">
        <w:rPr>
          <w:rFonts w:ascii="Calibri" w:eastAsia="Calibri" w:hAnsi="Calibri" w:cs="Calibri"/>
          <w:color w:val="1A1A1A"/>
        </w:rPr>
        <w:t xml:space="preserve"> des libertés individuelles : perquisitions à domicile de jour comme de nuit, éloignement des condamnés, interdiction de publications et de réunions.</w:t>
      </w:r>
    </w:p>
    <w:p w14:paraId="223B695F" w14:textId="77777777" w:rsidR="00E6057C" w:rsidRDefault="00000000">
      <w:pPr>
        <w:pStyle w:val="Paragraphedeliste"/>
        <w:numPr>
          <w:ilvl w:val="0"/>
          <w:numId w:val="2"/>
        </w:numPr>
        <w:spacing w:after="70" w:line="264" w:lineRule="auto"/>
        <w:jc w:val="both"/>
      </w:pPr>
      <w:r>
        <w:rPr>
          <w:rFonts w:ascii="Calibri" w:eastAsia="Calibri" w:hAnsi="Calibri" w:cs="Calibri"/>
          <w:color w:val="1E88E5"/>
        </w:rPr>
        <w:t>Décret n° 2015-1475 du 14 novembre 2015</w:t>
      </w:r>
      <w:r>
        <w:rPr>
          <w:rFonts w:ascii="Calibri" w:eastAsia="Calibri" w:hAnsi="Calibri" w:cs="Calibri"/>
          <w:color w:val="1A1A1A"/>
        </w:rPr>
        <w:t xml:space="preserve"> portant application de la </w:t>
      </w:r>
      <w:r>
        <w:rPr>
          <w:rFonts w:ascii="Calibri" w:eastAsia="Calibri" w:hAnsi="Calibri" w:cs="Calibri"/>
          <w:color w:val="1E88E5"/>
        </w:rPr>
        <w:t>loi n° 55-385 du 3 avril 1955</w:t>
      </w:r>
      <w:r>
        <w:rPr>
          <w:rFonts w:ascii="Calibri" w:eastAsia="Calibri" w:hAnsi="Calibri" w:cs="Calibri"/>
          <w:color w:val="1A1A1A"/>
        </w:rPr>
        <w:t xml:space="preserve"> : déclaration de l’état d’urgence à compter du 14 novembre 2015, à la suite des attentats du 13 novembre. </w:t>
      </w:r>
      <w:r>
        <w:rPr>
          <w:rFonts w:ascii="Calibri" w:eastAsia="Calibri" w:hAnsi="Calibri" w:cs="Calibri"/>
          <w:color w:val="1E88E5"/>
        </w:rPr>
        <w:t>Décret n° 2020-260 du 16 mars 2020</w:t>
      </w:r>
      <w:r>
        <w:rPr>
          <w:rFonts w:ascii="Calibri" w:eastAsia="Calibri" w:hAnsi="Calibri" w:cs="Calibri"/>
          <w:color w:val="1A1A1A"/>
        </w:rPr>
        <w:t xml:space="preserve"> (interdiction de tout déplacement hors du domicile : atteinte à la liberté d’aller et venir) ; </w:t>
      </w:r>
      <w:r>
        <w:rPr>
          <w:rFonts w:ascii="Calibri" w:eastAsia="Calibri" w:hAnsi="Calibri" w:cs="Calibri"/>
          <w:color w:val="1E88E5"/>
        </w:rPr>
        <w:t>décret n° 2020-293 du 23 mars 2020</w:t>
      </w:r>
      <w:r>
        <w:rPr>
          <w:rFonts w:ascii="Calibri" w:eastAsia="Calibri" w:hAnsi="Calibri" w:cs="Calibri"/>
          <w:color w:val="1A1A1A"/>
        </w:rPr>
        <w:t xml:space="preserve"> (interdiction de certains rassemblements, réunions ou activités : atteinte à la liberté de réunion).</w:t>
      </w:r>
    </w:p>
    <w:p w14:paraId="5C462AA4" w14:textId="77777777" w:rsidR="00E6057C" w:rsidRDefault="00000000">
      <w:pPr>
        <w:pStyle w:val="Titre3"/>
        <w:spacing w:before="200" w:after="90"/>
      </w:pPr>
      <w:r>
        <w:rPr>
          <w:rFonts w:ascii="Calibri" w:eastAsia="Calibri" w:hAnsi="Calibri" w:cs="Calibri"/>
          <w:b/>
          <w:bCs/>
          <w:i/>
          <w:iCs/>
          <w:color w:val="5A5A5A"/>
          <w:sz w:val="21"/>
          <w:szCs w:val="21"/>
        </w:rPr>
        <w:t>2.4. Le pouvoir réglementaire et la police administrative</w:t>
      </w:r>
    </w:p>
    <w:p w14:paraId="0ADEBA36"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17 février 1978, Association Comité pour léguer l’esprit de la Résistance, n° 02633</w:t>
      </w:r>
      <w:r>
        <w:rPr>
          <w:rFonts w:ascii="Calibri" w:eastAsia="Calibri" w:hAnsi="Calibri" w:cs="Calibri"/>
          <w:color w:val="1A1A1A"/>
        </w:rPr>
        <w:t xml:space="preserve"> : « </w:t>
      </w:r>
      <w:r>
        <w:rPr>
          <w:rFonts w:ascii="Calibri" w:eastAsia="Calibri" w:hAnsi="Calibri" w:cs="Calibri"/>
          <w:i/>
          <w:iCs/>
          <w:color w:val="1A1A1A"/>
        </w:rPr>
        <w:t>Considérant, d’une part, qu’en donnant compétence au législateur pour fixer “les règles concernant… les garanties fondamentales accordées aux citoyens pour l’exercice des libertés publiques”, l’article 34 de la constitution n’a pas retiré au chef du gouvernement les attributions de police générale qu’il exerçait antérieurement ; qu’il appartient dès lors au Premier ministre de pourvoir, par des précautions convenables, à la sécurité des usagers des voies publiques sur l’ensemble du territoire.</w:t>
      </w:r>
      <w:r>
        <w:rPr>
          <w:rFonts w:ascii="Calibri" w:eastAsia="Calibri" w:hAnsi="Calibri" w:cs="Calibri"/>
          <w:color w:val="1A1A1A"/>
        </w:rPr>
        <w:t xml:space="preserve"> »</w:t>
      </w:r>
    </w:p>
    <w:p w14:paraId="1D9A5AEC"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Distinction police administrative / police judiciaire</w:t>
      </w:r>
      <w:r>
        <w:rPr>
          <w:rFonts w:ascii="Calibri" w:eastAsia="Calibri" w:hAnsi="Calibri" w:cs="Calibri"/>
          <w:color w:val="1A1A1A"/>
        </w:rPr>
        <w:t xml:space="preserve"> : la première tend à </w:t>
      </w:r>
      <w:r>
        <w:rPr>
          <w:rFonts w:ascii="Calibri" w:eastAsia="Calibri" w:hAnsi="Calibri" w:cs="Calibri"/>
          <w:b/>
          <w:bCs/>
          <w:color w:val="1A1A1A"/>
        </w:rPr>
        <w:t>prévenir</w:t>
      </w:r>
      <w:r>
        <w:rPr>
          <w:rFonts w:ascii="Calibri" w:eastAsia="Calibri" w:hAnsi="Calibri" w:cs="Calibri"/>
          <w:color w:val="1A1A1A"/>
        </w:rPr>
        <w:t xml:space="preserve"> les infractions et à maintenir l’ordre public, sans rechercher une infraction déjà commise ni l’arrestation de son auteur — contentieux du </w:t>
      </w:r>
      <w:r>
        <w:rPr>
          <w:rFonts w:ascii="Calibri" w:eastAsia="Calibri" w:hAnsi="Calibri" w:cs="Calibri"/>
          <w:b/>
          <w:bCs/>
          <w:color w:val="1A1A1A"/>
        </w:rPr>
        <w:t>juge administratif</w:t>
      </w:r>
      <w:r>
        <w:rPr>
          <w:rFonts w:ascii="Calibri" w:eastAsia="Calibri" w:hAnsi="Calibri" w:cs="Calibri"/>
          <w:color w:val="1A1A1A"/>
        </w:rPr>
        <w:t xml:space="preserve"> ; la seconde vise la </w:t>
      </w:r>
      <w:r>
        <w:rPr>
          <w:rFonts w:ascii="Calibri" w:eastAsia="Calibri" w:hAnsi="Calibri" w:cs="Calibri"/>
          <w:b/>
          <w:bCs/>
          <w:color w:val="1A1A1A"/>
        </w:rPr>
        <w:t>répression</w:t>
      </w:r>
      <w:r>
        <w:rPr>
          <w:rFonts w:ascii="Calibri" w:eastAsia="Calibri" w:hAnsi="Calibri" w:cs="Calibri"/>
          <w:color w:val="1A1A1A"/>
        </w:rPr>
        <w:t xml:space="preserve"> — compétence de l’</w:t>
      </w:r>
      <w:r>
        <w:rPr>
          <w:rFonts w:ascii="Calibri" w:eastAsia="Calibri" w:hAnsi="Calibri" w:cs="Calibri"/>
          <w:b/>
          <w:bCs/>
          <w:color w:val="1A1A1A"/>
        </w:rPr>
        <w:t>autorité judiciaire</w:t>
      </w:r>
      <w:r>
        <w:rPr>
          <w:rFonts w:ascii="Calibri" w:eastAsia="Calibri" w:hAnsi="Calibri" w:cs="Calibri"/>
          <w:color w:val="1A1A1A"/>
        </w:rPr>
        <w:t>. Une même autorité peut intervenir successivement au titre des deux polices : un contrôle d’identité peut servir aussi bien la prévention que la répression.</w:t>
      </w:r>
    </w:p>
    <w:p w14:paraId="459ED724"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Distinction police générale / police spéciale</w:t>
      </w:r>
      <w:r>
        <w:rPr>
          <w:rFonts w:ascii="Calibri" w:eastAsia="Calibri" w:hAnsi="Calibri" w:cs="Calibri"/>
          <w:color w:val="1A1A1A"/>
        </w:rPr>
        <w:t xml:space="preserve"> : la première encadre toutes activités afin de maintenir l’ordre public ; la seconde ne concerne que certaines activités dans des domaines précis — police de la circulation et du stationnement pour la liberté de déplacement, police de l’audiovisuel et de la cinématographie pour la liberté de communication.</w:t>
      </w:r>
    </w:p>
    <w:p w14:paraId="79B05DE3"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CE, 28 décembre 2017, Association nationale d’assistance aux frontières pour les étrangers, n° 415291</w:t>
      </w:r>
      <w:r>
        <w:rPr>
          <w:rFonts w:ascii="Calibri" w:eastAsia="Calibri" w:hAnsi="Calibri" w:cs="Calibri"/>
          <w:color w:val="1A1A1A"/>
        </w:rPr>
        <w:t xml:space="preserve"> : la réintroduction du contrôle aux frontières intérieures de l’espace Schengen relève de la compétence du pouvoir réglementaire, malgré son impact évident sur la liberté de circulation.</w:t>
      </w:r>
    </w:p>
    <w:p w14:paraId="7E0EB72F"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CE, Ass., 27 octobre 1995, Commune de Morsang-sur-Orge, n° 136727</w:t>
      </w:r>
      <w:r>
        <w:rPr>
          <w:rFonts w:ascii="Calibri" w:eastAsia="Calibri" w:hAnsi="Calibri" w:cs="Calibri"/>
          <w:color w:val="1A1A1A"/>
        </w:rPr>
        <w:t xml:space="preserve"> et </w:t>
      </w:r>
      <w:r>
        <w:rPr>
          <w:rFonts w:ascii="Calibri" w:eastAsia="Calibri" w:hAnsi="Calibri" w:cs="Calibri"/>
          <w:color w:val="E91E63"/>
        </w:rPr>
        <w:t>CE, ord., 9 janvier 2014, Dieudonné M’Bala M’Bala et les productions de la plume, n° 374508</w:t>
      </w:r>
      <w:r>
        <w:rPr>
          <w:rFonts w:ascii="Calibri" w:eastAsia="Calibri" w:hAnsi="Calibri" w:cs="Calibri"/>
          <w:color w:val="1A1A1A"/>
        </w:rPr>
        <w:t xml:space="preserve"> : </w:t>
      </w:r>
      <w:r w:rsidRPr="00AE19CC">
        <w:rPr>
          <w:rFonts w:ascii="Calibri" w:eastAsia="Calibri" w:hAnsi="Calibri" w:cs="Calibri"/>
          <w:b/>
          <w:bCs/>
          <w:color w:val="1A1A1A"/>
        </w:rPr>
        <w:t>mise en balance</w:t>
      </w:r>
      <w:r>
        <w:rPr>
          <w:rFonts w:ascii="Calibri" w:eastAsia="Calibri" w:hAnsi="Calibri" w:cs="Calibri"/>
          <w:color w:val="1A1A1A"/>
        </w:rPr>
        <w:t xml:space="preserve"> ; la protection de la dignité comme composante de l’ordre public prime sur la liberté du travail, la liberté du commerce et de l’industrie, la liberté d’expression et de réunion.</w:t>
      </w:r>
    </w:p>
    <w:p w14:paraId="159691AB" w14:textId="77777777" w:rsidR="00E6057C" w:rsidRDefault="00000000">
      <w:pPr>
        <w:pStyle w:val="Titre3"/>
        <w:spacing w:before="200" w:after="90"/>
      </w:pPr>
      <w:r>
        <w:rPr>
          <w:rFonts w:ascii="Calibri" w:eastAsia="Calibri" w:hAnsi="Calibri" w:cs="Calibri"/>
          <w:b/>
          <w:bCs/>
          <w:i/>
          <w:iCs/>
          <w:color w:val="5A5A5A"/>
          <w:sz w:val="21"/>
          <w:szCs w:val="21"/>
        </w:rPr>
        <w:t>2.5. Le pouvoir réglementaire contraventionnel du Premier ministre</w:t>
      </w:r>
    </w:p>
    <w:p w14:paraId="4C5F0FE2"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CE, 13 septembre 1995, Association Collectif pour la défense du droit et des libertés, n° 139446</w:t>
      </w:r>
      <w:r>
        <w:rPr>
          <w:rFonts w:ascii="Calibri" w:eastAsia="Calibri" w:hAnsi="Calibri" w:cs="Calibri"/>
          <w:color w:val="1A1A1A"/>
        </w:rPr>
        <w:t xml:space="preserve"> : « </w:t>
      </w:r>
      <w:r>
        <w:rPr>
          <w:rFonts w:ascii="Calibri" w:eastAsia="Calibri" w:hAnsi="Calibri" w:cs="Calibri"/>
          <w:i/>
          <w:iCs/>
          <w:color w:val="1A1A1A"/>
        </w:rPr>
        <w:t xml:space="preserve">Considérant que, d’après l’article 37, alinéa 1er, de la Constitution, “les matières autres que celles qui sont du domaine de la loi ont un caractère règlementaire” ; que, si l’article 34 réserve à la loi le soin de fixer “les règles concernant la détermination </w:t>
      </w:r>
      <w:r>
        <w:rPr>
          <w:rFonts w:ascii="Calibri" w:eastAsia="Calibri" w:hAnsi="Calibri" w:cs="Calibri"/>
          <w:i/>
          <w:iCs/>
          <w:color w:val="1A1A1A"/>
        </w:rPr>
        <w:lastRenderedPageBreak/>
        <w:t>des crimes et délits, ainsi que les peines qui leur sont applicables”, cet article ne mentionne pas les règles concernant la détermination des infractions punies de peines de police.</w:t>
      </w:r>
      <w:r>
        <w:rPr>
          <w:rFonts w:ascii="Calibri" w:eastAsia="Calibri" w:hAnsi="Calibri" w:cs="Calibri"/>
          <w:color w:val="1A1A1A"/>
        </w:rPr>
        <w:t xml:space="preserve"> »</w:t>
      </w:r>
    </w:p>
    <w:p w14:paraId="75F124DE"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19 juillet 2011, Ligue des droits de l’Homme, n° 343430</w:t>
      </w:r>
      <w:r>
        <w:rPr>
          <w:rFonts w:ascii="Calibri" w:eastAsia="Calibri" w:hAnsi="Calibri" w:cs="Calibri"/>
          <w:color w:val="1A1A1A"/>
        </w:rPr>
        <w:t xml:space="preserve"> — </w:t>
      </w:r>
      <w:r>
        <w:rPr>
          <w:rFonts w:ascii="Calibri" w:eastAsia="Calibri" w:hAnsi="Calibri" w:cs="Calibri"/>
          <w:b/>
          <w:bCs/>
          <w:color w:val="1A1A1A"/>
        </w:rPr>
        <w:t>décret incriminant l’outrage au drapeau</w:t>
      </w:r>
      <w:r>
        <w:rPr>
          <w:rFonts w:ascii="Calibri" w:eastAsia="Calibri" w:hAnsi="Calibri" w:cs="Calibri"/>
          <w:color w:val="1A1A1A"/>
        </w:rPr>
        <w:t>. Raisonnement en deux temps : (i) l’</w:t>
      </w:r>
      <w:r>
        <w:rPr>
          <w:rFonts w:ascii="Calibri" w:eastAsia="Calibri" w:hAnsi="Calibri" w:cs="Calibri"/>
          <w:color w:val="1E88E5"/>
        </w:rPr>
        <w:t>art. 34</w:t>
      </w:r>
      <w:r>
        <w:rPr>
          <w:rFonts w:ascii="Calibri" w:eastAsia="Calibri" w:hAnsi="Calibri" w:cs="Calibri"/>
          <w:color w:val="1A1A1A"/>
        </w:rPr>
        <w:t xml:space="preserve"> ne réserve à la loi que les crimes et délits, non les contraventions ; (ii) dès lors qu’il ne s’agit pas de réglementer l’exercice d’une liberté mais d’y apporter des </w:t>
      </w:r>
      <w:r>
        <w:rPr>
          <w:rFonts w:ascii="Calibri" w:eastAsia="Calibri" w:hAnsi="Calibri" w:cs="Calibri"/>
          <w:b/>
          <w:bCs/>
          <w:color w:val="1A1A1A"/>
        </w:rPr>
        <w:t>limitations</w:t>
      </w:r>
      <w:r>
        <w:rPr>
          <w:rFonts w:ascii="Calibri" w:eastAsia="Calibri" w:hAnsi="Calibri" w:cs="Calibri"/>
          <w:color w:val="1A1A1A"/>
        </w:rPr>
        <w:t xml:space="preserve"> pour la sauvegarde de l’ordre public, la création d’une incrimination n’appartient pas au pouvoir législatif : « </w:t>
      </w:r>
      <w:r>
        <w:rPr>
          <w:rFonts w:ascii="Calibri" w:eastAsia="Calibri" w:hAnsi="Calibri" w:cs="Calibri"/>
          <w:i/>
          <w:iCs/>
          <w:color w:val="1A1A1A"/>
        </w:rPr>
        <w:t>La circonstance que l’incrimination d’un acte a pour effet de limiter l’exercice d’une liberté publique garantie par des dispositions constitutionnelles ne saurait, par elle-même, avoir pour conséquence de réserver au pouvoir législatif la compétence pour édicter ces contraventions.</w:t>
      </w:r>
      <w:r>
        <w:rPr>
          <w:rFonts w:ascii="Calibri" w:eastAsia="Calibri" w:hAnsi="Calibri" w:cs="Calibri"/>
          <w:color w:val="1A1A1A"/>
        </w:rPr>
        <w:t xml:space="preserve"> »</w:t>
      </w:r>
    </w:p>
    <w:p w14:paraId="3F205BB3"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23 février 2011, Syndicat national des enseignants du second degré, n° 329477</w:t>
      </w:r>
      <w:r>
        <w:rPr>
          <w:rFonts w:ascii="Calibri" w:eastAsia="Calibri" w:hAnsi="Calibri" w:cs="Calibri"/>
          <w:color w:val="1A1A1A"/>
        </w:rPr>
        <w:t xml:space="preserve"> — </w:t>
      </w:r>
      <w:r>
        <w:rPr>
          <w:rFonts w:ascii="Calibri" w:eastAsia="Calibri" w:hAnsi="Calibri" w:cs="Calibri"/>
          <w:b/>
          <w:bCs/>
          <w:color w:val="1A1A1A"/>
        </w:rPr>
        <w:t>dissimulation du visage lors d’une manifestation</w:t>
      </w:r>
      <w:r>
        <w:rPr>
          <w:rFonts w:ascii="Calibri" w:eastAsia="Calibri" w:hAnsi="Calibri" w:cs="Calibri"/>
          <w:color w:val="1A1A1A"/>
        </w:rPr>
        <w:t xml:space="preserve">. Distinction décisive entre la </w:t>
      </w:r>
      <w:r>
        <w:rPr>
          <w:rFonts w:ascii="Calibri" w:eastAsia="Calibri" w:hAnsi="Calibri" w:cs="Calibri"/>
          <w:b/>
          <w:bCs/>
          <w:color w:val="1A1A1A"/>
        </w:rPr>
        <w:t>norme visant à la réglementation</w:t>
      </w:r>
      <w:r>
        <w:rPr>
          <w:rFonts w:ascii="Calibri" w:eastAsia="Calibri" w:hAnsi="Calibri" w:cs="Calibri"/>
          <w:color w:val="1A1A1A"/>
        </w:rPr>
        <w:t xml:space="preserve"> d’une liberté (compétence du législateur) et la </w:t>
      </w:r>
      <w:r>
        <w:rPr>
          <w:rFonts w:ascii="Calibri" w:eastAsia="Calibri" w:hAnsi="Calibri" w:cs="Calibri"/>
          <w:b/>
          <w:bCs/>
          <w:color w:val="1A1A1A"/>
        </w:rPr>
        <w:t>norme de limitation</w:t>
      </w:r>
      <w:r>
        <w:rPr>
          <w:rFonts w:ascii="Calibri" w:eastAsia="Calibri" w:hAnsi="Calibri" w:cs="Calibri"/>
          <w:color w:val="1A1A1A"/>
        </w:rPr>
        <w:t xml:space="preserve"> visant à protéger l’ordre public (compétence du pouvoir réglementaire) : « </w:t>
      </w:r>
      <w:r>
        <w:rPr>
          <w:rFonts w:ascii="Calibri" w:eastAsia="Calibri" w:hAnsi="Calibri" w:cs="Calibri"/>
          <w:i/>
          <w:iCs/>
          <w:color w:val="1A1A1A"/>
        </w:rPr>
        <w:t>Dans la mesure d’une part où le décret attaqué n’avait pas pour objet d’interdire la liberté de manifestation, et notamment pas d’interdire de manifester en dissimulant son visage, ni d’autre part, pour effet d’y porter atteinte, dès lors que ses dispositions ne peuvent régir le comportement des manifestants participant dans le respect de l’ordre public à une manifestation.</w:t>
      </w:r>
      <w:r>
        <w:rPr>
          <w:rFonts w:ascii="Calibri" w:eastAsia="Calibri" w:hAnsi="Calibri" w:cs="Calibri"/>
          <w:color w:val="1A1A1A"/>
        </w:rPr>
        <w:t xml:space="preserve"> » Le Conseil d’État distingue ainsi l’</w:t>
      </w:r>
      <w:r>
        <w:rPr>
          <w:rFonts w:ascii="Calibri" w:eastAsia="Calibri" w:hAnsi="Calibri" w:cs="Calibri"/>
          <w:b/>
          <w:bCs/>
          <w:color w:val="1A1A1A"/>
        </w:rPr>
        <w:t>objet</w:t>
      </w:r>
      <w:r>
        <w:rPr>
          <w:rFonts w:ascii="Calibri" w:eastAsia="Calibri" w:hAnsi="Calibri" w:cs="Calibri"/>
          <w:color w:val="1A1A1A"/>
        </w:rPr>
        <w:t xml:space="preserve"> de la norme réglementaire (assurer l’ordre public) et l’</w:t>
      </w:r>
      <w:r>
        <w:rPr>
          <w:rFonts w:ascii="Calibri" w:eastAsia="Calibri" w:hAnsi="Calibri" w:cs="Calibri"/>
          <w:b/>
          <w:bCs/>
          <w:color w:val="1A1A1A"/>
        </w:rPr>
        <w:t>effet</w:t>
      </w:r>
      <w:r>
        <w:rPr>
          <w:rFonts w:ascii="Calibri" w:eastAsia="Calibri" w:hAnsi="Calibri" w:cs="Calibri"/>
          <w:color w:val="1A1A1A"/>
        </w:rPr>
        <w:t xml:space="preserve"> de la mesure (restreindre une certaine liberté).</w:t>
      </w:r>
    </w:p>
    <w:p w14:paraId="576AB007" w14:textId="77777777" w:rsidR="00E6057C" w:rsidRDefault="00000000">
      <w:pPr>
        <w:pStyle w:val="Titre3"/>
        <w:spacing w:before="200" w:after="90"/>
      </w:pPr>
      <w:r>
        <w:rPr>
          <w:rFonts w:ascii="Calibri" w:eastAsia="Calibri" w:hAnsi="Calibri" w:cs="Calibri"/>
          <w:b/>
          <w:bCs/>
          <w:i/>
          <w:iCs/>
          <w:color w:val="5A5A5A"/>
          <w:sz w:val="21"/>
          <w:szCs w:val="21"/>
        </w:rPr>
        <w:t>2.6. Le contrôle du juge</w:t>
      </w:r>
    </w:p>
    <w:p w14:paraId="32EFD9C1"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2E7D32"/>
        </w:rPr>
        <w:t>Corneille, concl. sur CE, 10 août 1917, Baldy, n° 59855</w:t>
      </w:r>
      <w:r>
        <w:rPr>
          <w:rFonts w:ascii="Calibri" w:eastAsia="Calibri" w:hAnsi="Calibri" w:cs="Calibri"/>
          <w:color w:val="1A1A1A"/>
        </w:rPr>
        <w:t xml:space="preserve"> : « La liberté est la règle, la restriction de police l’exception. »</w:t>
      </w:r>
    </w:p>
    <w:p w14:paraId="36819974"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19 mai 1933, Benjamin, n° 17413</w:t>
      </w:r>
      <w:r>
        <w:rPr>
          <w:rFonts w:ascii="Calibri" w:eastAsia="Calibri" w:hAnsi="Calibri" w:cs="Calibri"/>
          <w:color w:val="1A1A1A"/>
        </w:rPr>
        <w:t xml:space="preserve"> : « </w:t>
      </w:r>
      <w:r>
        <w:rPr>
          <w:rFonts w:ascii="Calibri" w:eastAsia="Calibri" w:hAnsi="Calibri" w:cs="Calibri"/>
          <w:i/>
          <w:iCs/>
          <w:color w:val="1A1A1A"/>
        </w:rPr>
        <w:t>Considérant que, s’il incombe au maire, en vertu de l’article 97 de la loi du 5 avril 1884, de prendre les mesures qu’exige le maintien de l’ordre, il doit concilier l’exercice de ses pouvoirs avec le respect de la liberté de réunion garantie par les lois des 30 juin 1881 et 28 mars 1907.</w:t>
      </w:r>
      <w:r>
        <w:rPr>
          <w:rFonts w:ascii="Calibri" w:eastAsia="Calibri" w:hAnsi="Calibri" w:cs="Calibri"/>
          <w:color w:val="1A1A1A"/>
        </w:rPr>
        <w:t xml:space="preserve"> » Le juge apprécie la </w:t>
      </w:r>
      <w:r>
        <w:rPr>
          <w:rFonts w:ascii="Calibri" w:eastAsia="Calibri" w:hAnsi="Calibri" w:cs="Calibri"/>
          <w:b/>
          <w:bCs/>
          <w:color w:val="1A1A1A"/>
        </w:rPr>
        <w:t>nécessité</w:t>
      </w:r>
      <w:r>
        <w:rPr>
          <w:rFonts w:ascii="Calibri" w:eastAsia="Calibri" w:hAnsi="Calibri" w:cs="Calibri"/>
          <w:color w:val="1A1A1A"/>
        </w:rPr>
        <w:t xml:space="preserve"> de la mesure de police et son </w:t>
      </w:r>
      <w:r>
        <w:rPr>
          <w:rFonts w:ascii="Calibri" w:eastAsia="Calibri" w:hAnsi="Calibri" w:cs="Calibri"/>
          <w:b/>
          <w:bCs/>
          <w:color w:val="1A1A1A"/>
        </w:rPr>
        <w:t>adéquation</w:t>
      </w:r>
      <w:r>
        <w:rPr>
          <w:rFonts w:ascii="Calibri" w:eastAsia="Calibri" w:hAnsi="Calibri" w:cs="Calibri"/>
          <w:color w:val="1A1A1A"/>
        </w:rPr>
        <w:t xml:space="preserve"> au but recherché, en tenant compte des circonstances de lieu, de temps et des conditions sociales.</w:t>
      </w:r>
    </w:p>
    <w:p w14:paraId="24E8D6E7" w14:textId="77777777" w:rsidR="00E6057C" w:rsidRDefault="00000000">
      <w:pPr>
        <w:pStyle w:val="Paragraphedeliste"/>
        <w:numPr>
          <w:ilvl w:val="0"/>
          <w:numId w:val="2"/>
        </w:numPr>
        <w:spacing w:after="70" w:line="264" w:lineRule="auto"/>
        <w:jc w:val="both"/>
      </w:pPr>
      <w:r>
        <w:rPr>
          <w:rFonts w:ascii="Calibri" w:eastAsia="Calibri" w:hAnsi="Calibri" w:cs="Calibri"/>
          <w:color w:val="E91E63"/>
        </w:rPr>
        <w:t>CE, 2 décembre 1983, Ville de Lille c. Ackermann, n° 13205</w:t>
      </w:r>
      <w:r>
        <w:rPr>
          <w:rFonts w:ascii="Calibri" w:eastAsia="Calibri" w:hAnsi="Calibri" w:cs="Calibri"/>
          <w:color w:val="1A1A1A"/>
        </w:rPr>
        <w:t xml:space="preserve"> : la liberté de circulation peut être restreinte pour des motifs d’ordre public, notamment de sécurité ou de tranquillité publique, mais </w:t>
      </w:r>
      <w:r>
        <w:rPr>
          <w:rFonts w:ascii="Calibri" w:eastAsia="Calibri" w:hAnsi="Calibri" w:cs="Calibri"/>
          <w:b/>
          <w:bCs/>
          <w:color w:val="1A1A1A"/>
        </w:rPr>
        <w:t>une interdiction totale de circuler ne saurait être justifiée</w:t>
      </w:r>
      <w:r>
        <w:rPr>
          <w:rFonts w:ascii="Calibri" w:eastAsia="Calibri" w:hAnsi="Calibri" w:cs="Calibri"/>
          <w:color w:val="1A1A1A"/>
        </w:rPr>
        <w:t>.</w:t>
      </w:r>
    </w:p>
    <w:p w14:paraId="138914A4"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sidRPr="00C477D8">
        <w:rPr>
          <w:rFonts w:ascii="Calibri" w:eastAsia="Calibri" w:hAnsi="Calibri" w:cs="Calibri"/>
          <w:b/>
          <w:bCs/>
          <w:color w:val="1A1A1A"/>
          <w:highlight w:val="yellow"/>
        </w:rPr>
        <w:t>Actualité</w:t>
      </w:r>
      <w:r>
        <w:rPr>
          <w:rFonts w:ascii="Calibri" w:eastAsia="Calibri" w:hAnsi="Calibri" w:cs="Calibri"/>
          <w:color w:val="1A1A1A"/>
        </w:rPr>
        <w:t xml:space="preserve"> — </w:t>
      </w:r>
      <w:r>
        <w:rPr>
          <w:rFonts w:ascii="Calibri" w:eastAsia="Calibri" w:hAnsi="Calibri" w:cs="Calibri"/>
          <w:color w:val="E91E63"/>
        </w:rPr>
        <w:t>CE, 13 juillet 2026, Société Dean et Simmons France et autre, n° 509446</w:t>
      </w:r>
      <w:r>
        <w:rPr>
          <w:rFonts w:ascii="Calibri" w:eastAsia="Calibri" w:hAnsi="Calibri" w:cs="Calibri"/>
          <w:color w:val="1A1A1A"/>
        </w:rPr>
        <w:t xml:space="preserve"> : décret interdisant en France les produits à usage oral contenant de la nicotine, pris sur le fondement de l’</w:t>
      </w:r>
      <w:r>
        <w:rPr>
          <w:rFonts w:ascii="Calibri" w:eastAsia="Calibri" w:hAnsi="Calibri" w:cs="Calibri"/>
          <w:color w:val="1E88E5"/>
        </w:rPr>
        <w:t>art. L. 5132-8 du Code de la santé publique</w:t>
      </w:r>
      <w:r>
        <w:rPr>
          <w:rFonts w:ascii="Calibri" w:eastAsia="Calibri" w:hAnsi="Calibri" w:cs="Calibri"/>
          <w:color w:val="1A1A1A"/>
        </w:rPr>
        <w:t xml:space="preserve"> (offre, cession, acquisition et utilisation). Le Conseil d’État rappelle que les mesures prises par le pouvoir réglementaire doivent être </w:t>
      </w:r>
      <w:r>
        <w:rPr>
          <w:rFonts w:ascii="Calibri" w:eastAsia="Calibri" w:hAnsi="Calibri" w:cs="Calibri"/>
          <w:b/>
          <w:bCs/>
          <w:color w:val="1A1A1A"/>
        </w:rPr>
        <w:t>justifiées par l’objectif de santé publique poursuivi et proportionnées aux risques constatés</w:t>
      </w:r>
      <w:r>
        <w:rPr>
          <w:rFonts w:ascii="Calibri" w:eastAsia="Calibri" w:hAnsi="Calibri" w:cs="Calibri"/>
          <w:color w:val="1A1A1A"/>
        </w:rPr>
        <w:t xml:space="preserve">. Compte tenu du caractère addictif de la nicotine, des risques particuliers pour les jeunes et de l’augmentation des intoxications, l’interdiction est jugée propre à atteindre l’objectif et n’excédant pas ce qui est nécessaire : l’atteinte portée à la liberté d’entreprendre, à la liberté du commerce et de l’industrie et, à supposer qu’elle soit en cause, à la vie privée est donc admise. Le Conseil d’État a toutefois saisi la Cour de justice de l’Union européenne d’un </w:t>
      </w:r>
      <w:r>
        <w:rPr>
          <w:rFonts w:ascii="Calibri" w:eastAsia="Calibri" w:hAnsi="Calibri" w:cs="Calibri"/>
          <w:b/>
          <w:bCs/>
          <w:color w:val="1A1A1A"/>
        </w:rPr>
        <w:t>renvoi préjudiciel</w:t>
      </w:r>
      <w:r>
        <w:rPr>
          <w:rFonts w:ascii="Calibri" w:eastAsia="Calibri" w:hAnsi="Calibri" w:cs="Calibri"/>
          <w:color w:val="1A1A1A"/>
        </w:rPr>
        <w:t xml:space="preserve"> sur l’extension de l’interdiction, au regard des libertés de circulation, à la production, au transport ou à l’exportation de produits destinés exclusivement à être commercialisés dans un autre État membre. </w:t>
      </w:r>
      <w:r w:rsidRPr="00C477D8">
        <w:rPr>
          <w:rFonts w:ascii="Calibri" w:eastAsia="Calibri" w:hAnsi="Calibri" w:cs="Calibri"/>
          <w:b/>
          <w:bCs/>
          <w:color w:val="1A1A1A"/>
          <w:highlight w:val="yellow"/>
        </w:rPr>
        <w:t>À retenir</w:t>
      </w:r>
      <w:r>
        <w:rPr>
          <w:rFonts w:ascii="Calibri" w:eastAsia="Calibri" w:hAnsi="Calibri" w:cs="Calibri"/>
          <w:color w:val="1A1A1A"/>
        </w:rPr>
        <w:t xml:space="preserve"> : la compétence du pouvoir réglementaire ne dispense jamais d’un contrôle de proportionnalité ; une interdiction générale peut être admise lorsqu’elle repose sur un risque suffisamment établi et qu’aucune mesure moins restrictive ne permet d’assurer avec la même efficacité l’objectif poursuivi.</w:t>
      </w:r>
    </w:p>
    <w:p w14:paraId="0CE99E50" w14:textId="77777777" w:rsidR="00E6057C" w:rsidRDefault="00000000">
      <w:pPr>
        <w:pStyle w:val="Titre2"/>
        <w:spacing w:before="280" w:after="120"/>
      </w:pPr>
      <w:r>
        <w:rPr>
          <w:rFonts w:ascii="Calibri" w:eastAsia="Calibri" w:hAnsi="Calibri" w:cs="Calibri"/>
          <w:b/>
          <w:bCs/>
          <w:color w:val="1A1A1A"/>
          <w:sz w:val="24"/>
          <w:szCs w:val="24"/>
        </w:rPr>
        <w:t>3. Débats doctrinaux &amp; critiques</w:t>
      </w:r>
    </w:p>
    <w:p w14:paraId="796B2885"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Thèse du pouvoir réglementaire protecteur</w:t>
      </w:r>
      <w:r>
        <w:rPr>
          <w:rFonts w:ascii="Calibri" w:eastAsia="Calibri" w:hAnsi="Calibri" w:cs="Calibri"/>
          <w:color w:val="1A1A1A"/>
        </w:rPr>
        <w:t xml:space="preserve"> : juridiquement subordonné à la loi (</w:t>
      </w:r>
      <w:r>
        <w:rPr>
          <w:rFonts w:ascii="Calibri" w:eastAsia="Calibri" w:hAnsi="Calibri" w:cs="Calibri"/>
          <w:color w:val="1E88E5"/>
        </w:rPr>
        <w:t>art. 34 et 37 C.</w:t>
      </w:r>
      <w:r>
        <w:rPr>
          <w:rFonts w:ascii="Calibri" w:eastAsia="Calibri" w:hAnsi="Calibri" w:cs="Calibri"/>
          <w:color w:val="1A1A1A"/>
        </w:rPr>
        <w:t>), il dispose néanmoins d’une autonomie propre (</w:t>
      </w:r>
      <w:r>
        <w:rPr>
          <w:rFonts w:ascii="Calibri" w:eastAsia="Calibri" w:hAnsi="Calibri" w:cs="Calibri"/>
          <w:color w:val="E91E63"/>
        </w:rPr>
        <w:t>Labonne</w:t>
      </w:r>
      <w:r>
        <w:rPr>
          <w:rFonts w:ascii="Calibri" w:eastAsia="Calibri" w:hAnsi="Calibri" w:cs="Calibri"/>
          <w:color w:val="1A1A1A"/>
        </w:rPr>
        <w:t>) ; il pose les règles nécessaires à l’exercice concret des libertés ; il est le support des règlements de police générale, qui préviennent les troubles à l’ordre public — condition nécessaire de l’exercice des libertés ; certaines autorités administratives indépendantes dotées d’un pouvoir réglementaire ont précisément pour mission de protéger des libertés spécifiques (</w:t>
      </w:r>
      <w:r>
        <w:rPr>
          <w:rFonts w:ascii="Calibri" w:eastAsia="Calibri" w:hAnsi="Calibri" w:cs="Calibri"/>
          <w:b/>
          <w:bCs/>
          <w:color w:val="1A1A1A"/>
        </w:rPr>
        <w:t>CNIL</w:t>
      </w:r>
      <w:r>
        <w:rPr>
          <w:rFonts w:ascii="Calibri" w:eastAsia="Calibri" w:hAnsi="Calibri" w:cs="Calibri"/>
          <w:color w:val="1A1A1A"/>
        </w:rPr>
        <w:t xml:space="preserve"> pour la vie privée, </w:t>
      </w:r>
      <w:r>
        <w:rPr>
          <w:rFonts w:ascii="Calibri" w:eastAsia="Calibri" w:hAnsi="Calibri" w:cs="Calibri"/>
          <w:b/>
          <w:bCs/>
          <w:color w:val="1A1A1A"/>
        </w:rPr>
        <w:t>ARCOM</w:t>
      </w:r>
      <w:r>
        <w:rPr>
          <w:rFonts w:ascii="Calibri" w:eastAsia="Calibri" w:hAnsi="Calibri" w:cs="Calibri"/>
          <w:color w:val="1A1A1A"/>
        </w:rPr>
        <w:t xml:space="preserve"> pour la liberté de communication).</w:t>
      </w:r>
    </w:p>
    <w:p w14:paraId="1EFE5EC5"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Thèse du pouvoir réglementaire suspect</w:t>
      </w:r>
      <w:r>
        <w:rPr>
          <w:rFonts w:ascii="Calibri" w:eastAsia="Calibri" w:hAnsi="Calibri" w:cs="Calibri"/>
          <w:color w:val="1A1A1A"/>
        </w:rPr>
        <w:t xml:space="preserve"> : exercé par le gouvernement, il est historiquement associé à l’</w:t>
      </w:r>
      <w:r>
        <w:rPr>
          <w:rFonts w:ascii="Calibri" w:eastAsia="Calibri" w:hAnsi="Calibri" w:cs="Calibri"/>
          <w:b/>
          <w:bCs/>
          <w:color w:val="1A1A1A"/>
        </w:rPr>
        <w:t>arbitraire</w:t>
      </w:r>
      <w:r>
        <w:rPr>
          <w:rFonts w:ascii="Calibri" w:eastAsia="Calibri" w:hAnsi="Calibri" w:cs="Calibri"/>
          <w:color w:val="1A1A1A"/>
        </w:rPr>
        <w:t xml:space="preserve">, en particulier sous l’Ancien Régime. La tradition libérale place la loi, expression de la volonté générale, comme </w:t>
      </w:r>
      <w:r>
        <w:rPr>
          <w:rFonts w:ascii="Calibri" w:eastAsia="Calibri" w:hAnsi="Calibri" w:cs="Calibri"/>
          <w:b/>
          <w:bCs/>
          <w:color w:val="1A1A1A"/>
        </w:rPr>
        <w:t xml:space="preserve">seule </w:t>
      </w:r>
      <w:r>
        <w:rPr>
          <w:rFonts w:ascii="Calibri" w:eastAsia="Calibri" w:hAnsi="Calibri" w:cs="Calibri"/>
          <w:b/>
          <w:bCs/>
          <w:color w:val="1A1A1A"/>
        </w:rPr>
        <w:lastRenderedPageBreak/>
        <w:t>source légitime</w:t>
      </w:r>
      <w:r>
        <w:rPr>
          <w:rFonts w:ascii="Calibri" w:eastAsia="Calibri" w:hAnsi="Calibri" w:cs="Calibri"/>
          <w:color w:val="1A1A1A"/>
        </w:rPr>
        <w:t xml:space="preserve"> des restrictions aux libertés (</w:t>
      </w:r>
      <w:r>
        <w:rPr>
          <w:rFonts w:ascii="Calibri" w:eastAsia="Calibri" w:hAnsi="Calibri" w:cs="Calibri"/>
          <w:color w:val="1E88E5"/>
        </w:rPr>
        <w:t>art. 34 C.</w:t>
      </w:r>
      <w:r>
        <w:rPr>
          <w:rFonts w:ascii="Calibri" w:eastAsia="Calibri" w:hAnsi="Calibri" w:cs="Calibri"/>
          <w:color w:val="1A1A1A"/>
        </w:rPr>
        <w:t xml:space="preserve"> ; </w:t>
      </w:r>
      <w:r>
        <w:rPr>
          <w:rFonts w:ascii="Calibri" w:eastAsia="Calibri" w:hAnsi="Calibri" w:cs="Calibri"/>
          <w:color w:val="1E88E5"/>
        </w:rPr>
        <w:t>art. 8 DDHC</w:t>
      </w:r>
      <w:r>
        <w:rPr>
          <w:rFonts w:ascii="Calibri" w:eastAsia="Calibri" w:hAnsi="Calibri" w:cs="Calibri"/>
          <w:color w:val="1A1A1A"/>
        </w:rPr>
        <w:t xml:space="preserve">). L’exécutif peut être tenté d’utiliser le règlement pour restreindre abusivement les libertés, notamment en période de crise ; il est le </w:t>
      </w:r>
      <w:r>
        <w:rPr>
          <w:rFonts w:ascii="Calibri" w:eastAsia="Calibri" w:hAnsi="Calibri" w:cs="Calibri"/>
          <w:b/>
          <w:bCs/>
          <w:color w:val="1A1A1A"/>
        </w:rPr>
        <w:t>vecteur normatif des régimes de crise</w:t>
      </w:r>
      <w:r>
        <w:rPr>
          <w:rFonts w:ascii="Calibri" w:eastAsia="Calibri" w:hAnsi="Calibri" w:cs="Calibri"/>
          <w:color w:val="1A1A1A"/>
        </w:rPr>
        <w:t xml:space="preserve"> (état d’urgence, état de siège).</w:t>
      </w:r>
    </w:p>
    <w:p w14:paraId="1F8666FD"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Position de synthèse à défendre</w:t>
      </w:r>
      <w:r>
        <w:rPr>
          <w:rFonts w:ascii="Calibri" w:eastAsia="Calibri" w:hAnsi="Calibri" w:cs="Calibri"/>
          <w:color w:val="1A1A1A"/>
        </w:rPr>
        <w:t xml:space="preserve"> : la garantie des libertés repose </w:t>
      </w:r>
      <w:r>
        <w:rPr>
          <w:rFonts w:ascii="Calibri" w:eastAsia="Calibri" w:hAnsi="Calibri" w:cs="Calibri"/>
          <w:b/>
          <w:bCs/>
          <w:color w:val="1A1A1A"/>
        </w:rPr>
        <w:t>davantage sur le juge que sur le pouvoir réglementaire lui-même</w:t>
      </w:r>
      <w:r>
        <w:rPr>
          <w:rFonts w:ascii="Calibri" w:eastAsia="Calibri" w:hAnsi="Calibri" w:cs="Calibri"/>
          <w:color w:val="1A1A1A"/>
        </w:rPr>
        <w:t xml:space="preserve">. Le règlement peut être suspendu ou annulé s’il méconnaît une liberté fondamentale, notamment par la voie du référé-liberté. La confiance placée dans le pouvoir réglementaire comme gardien des libertés suppose donc un </w:t>
      </w:r>
      <w:r>
        <w:rPr>
          <w:rFonts w:ascii="Calibri" w:eastAsia="Calibri" w:hAnsi="Calibri" w:cs="Calibri"/>
          <w:b/>
          <w:bCs/>
          <w:color w:val="1A1A1A"/>
        </w:rPr>
        <w:t>encadrement juridictionnel fort</w:t>
      </w:r>
      <w:r>
        <w:rPr>
          <w:rFonts w:ascii="Calibri" w:eastAsia="Calibri" w:hAnsi="Calibri" w:cs="Calibri"/>
          <w:color w:val="1A1A1A"/>
        </w:rPr>
        <w:t xml:space="preserve">, ce qui témoigne de sa </w:t>
      </w:r>
      <w:r>
        <w:rPr>
          <w:rFonts w:ascii="Calibri" w:eastAsia="Calibri" w:hAnsi="Calibri" w:cs="Calibri"/>
          <w:b/>
          <w:bCs/>
          <w:color w:val="1A1A1A"/>
        </w:rPr>
        <w:t>fragilité</w:t>
      </w:r>
      <w:r>
        <w:rPr>
          <w:rFonts w:ascii="Calibri" w:eastAsia="Calibri" w:hAnsi="Calibri" w:cs="Calibri"/>
          <w:color w:val="1A1A1A"/>
        </w:rPr>
        <w:t xml:space="preserve"> dans ce rôle.</w:t>
      </w:r>
    </w:p>
    <w:p w14:paraId="0229ACF7"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Critique du pouvoir contraventionnel</w:t>
      </w:r>
      <w:r>
        <w:rPr>
          <w:rFonts w:ascii="Calibri" w:eastAsia="Calibri" w:hAnsi="Calibri" w:cs="Calibri"/>
          <w:color w:val="1A1A1A"/>
        </w:rPr>
        <w:t xml:space="preserve"> : le Premier ministre peut édicter des incriminations et déterminer les peines qui les sanctionnent, parfois au détriment de l’exercice de certaines libertés. </w:t>
      </w:r>
      <w:r w:rsidRPr="008235BE">
        <w:rPr>
          <w:rFonts w:ascii="Calibri" w:eastAsia="Calibri" w:hAnsi="Calibri" w:cs="Calibri"/>
          <w:b/>
          <w:bCs/>
          <w:color w:val="1A1A1A"/>
          <w:highlight w:val="yellow"/>
        </w:rPr>
        <w:t>Actualité foisonnante</w:t>
      </w:r>
      <w:r>
        <w:rPr>
          <w:rFonts w:ascii="Calibri" w:eastAsia="Calibri" w:hAnsi="Calibri" w:cs="Calibri"/>
          <w:color w:val="1A1A1A"/>
        </w:rPr>
        <w:t xml:space="preserve"> : décrets incriminant l’</w:t>
      </w:r>
      <w:r>
        <w:rPr>
          <w:rFonts w:ascii="Calibri" w:eastAsia="Calibri" w:hAnsi="Calibri" w:cs="Calibri"/>
          <w:b/>
          <w:bCs/>
          <w:color w:val="1A1A1A"/>
        </w:rPr>
        <w:t>outrage au drapeau</w:t>
      </w:r>
      <w:r>
        <w:rPr>
          <w:rFonts w:ascii="Calibri" w:eastAsia="Calibri" w:hAnsi="Calibri" w:cs="Calibri"/>
          <w:color w:val="1A1A1A"/>
        </w:rPr>
        <w:t xml:space="preserve"> ou la </w:t>
      </w:r>
      <w:r>
        <w:rPr>
          <w:rFonts w:ascii="Calibri" w:eastAsia="Calibri" w:hAnsi="Calibri" w:cs="Calibri"/>
          <w:b/>
          <w:bCs/>
          <w:color w:val="1A1A1A"/>
        </w:rPr>
        <w:t>dissimulation du visage</w:t>
      </w:r>
      <w:r>
        <w:rPr>
          <w:rFonts w:ascii="Calibri" w:eastAsia="Calibri" w:hAnsi="Calibri" w:cs="Calibri"/>
          <w:color w:val="1A1A1A"/>
        </w:rPr>
        <w:t xml:space="preserve"> à l’occasion de manifestations. La distinction </w:t>
      </w:r>
      <w:r>
        <w:rPr>
          <w:rFonts w:ascii="Calibri" w:eastAsia="Calibri" w:hAnsi="Calibri" w:cs="Calibri"/>
          <w:b/>
          <w:bCs/>
          <w:color w:val="1A1A1A"/>
        </w:rPr>
        <w:t>objet / effet</w:t>
      </w:r>
      <w:r>
        <w:rPr>
          <w:rFonts w:ascii="Calibri" w:eastAsia="Calibri" w:hAnsi="Calibri" w:cs="Calibri"/>
          <w:color w:val="1A1A1A"/>
        </w:rPr>
        <w:t xml:space="preserve"> retenue par le Conseil d’État est commode pour l’administration, mais elle permet de restreindre par voie réglementaire l’exercice effectif de libertés constitutionnellement garanties.</w:t>
      </w:r>
    </w:p>
    <w:p w14:paraId="13DD23ED" w14:textId="77777777" w:rsidR="00E6057C" w:rsidRDefault="00000000">
      <w:pPr>
        <w:pStyle w:val="Titre2"/>
        <w:spacing w:before="280" w:after="120"/>
      </w:pPr>
      <w:r>
        <w:rPr>
          <w:rFonts w:ascii="Calibri" w:eastAsia="Calibri" w:hAnsi="Calibri" w:cs="Calibri"/>
          <w:b/>
          <w:bCs/>
          <w:color w:val="1A1A1A"/>
          <w:sz w:val="24"/>
          <w:szCs w:val="24"/>
        </w:rPr>
        <w:t>4. Dispositif « Grand Oral »</w:t>
      </w:r>
    </w:p>
    <w:p w14:paraId="25B7E450" w14:textId="77777777" w:rsidR="00E6057C" w:rsidRDefault="00000000">
      <w:pPr>
        <w:pStyle w:val="Titre3"/>
        <w:spacing w:before="200" w:after="90"/>
      </w:pPr>
      <w:r>
        <w:rPr>
          <w:rFonts w:ascii="Calibri" w:eastAsia="Calibri" w:hAnsi="Calibri" w:cs="Calibri"/>
          <w:b/>
          <w:bCs/>
          <w:i/>
          <w:iCs/>
          <w:color w:val="5A5A5A"/>
          <w:sz w:val="21"/>
          <w:szCs w:val="21"/>
        </w:rPr>
        <w:t>4.1. Trois relances / questions pièges</w:t>
      </w:r>
    </w:p>
    <w:p w14:paraId="1ABE97CC"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 Sur quel fondement le Premier ministre exerce-t-il son pouvoir de police générale ? »</w:t>
      </w:r>
      <w:r>
        <w:rPr>
          <w:rFonts w:ascii="Calibri" w:eastAsia="Calibri" w:hAnsi="Calibri" w:cs="Calibri"/>
          <w:color w:val="1A1A1A"/>
        </w:rPr>
        <w:t xml:space="preserve"> — Ni sur l’</w:t>
      </w:r>
      <w:r>
        <w:rPr>
          <w:rFonts w:ascii="Calibri" w:eastAsia="Calibri" w:hAnsi="Calibri" w:cs="Calibri"/>
          <w:color w:val="1E88E5"/>
        </w:rPr>
        <w:t>art. 34</w:t>
      </w:r>
      <w:r>
        <w:rPr>
          <w:rFonts w:ascii="Calibri" w:eastAsia="Calibri" w:hAnsi="Calibri" w:cs="Calibri"/>
          <w:color w:val="1A1A1A"/>
        </w:rPr>
        <w:t>, ni sur l’</w:t>
      </w:r>
      <w:r>
        <w:rPr>
          <w:rFonts w:ascii="Calibri" w:eastAsia="Calibri" w:hAnsi="Calibri" w:cs="Calibri"/>
          <w:color w:val="1E88E5"/>
        </w:rPr>
        <w:t>art. 37</w:t>
      </w:r>
      <w:r>
        <w:rPr>
          <w:rFonts w:ascii="Calibri" w:eastAsia="Calibri" w:hAnsi="Calibri" w:cs="Calibri"/>
          <w:color w:val="1A1A1A"/>
        </w:rPr>
        <w:t xml:space="preserve"> : sur une </w:t>
      </w:r>
      <w:r>
        <w:rPr>
          <w:rFonts w:ascii="Calibri" w:eastAsia="Calibri" w:hAnsi="Calibri" w:cs="Calibri"/>
          <w:b/>
          <w:bCs/>
          <w:color w:val="1A1A1A"/>
        </w:rPr>
        <w:t>compétence propre</w:t>
      </w:r>
      <w:r>
        <w:rPr>
          <w:rFonts w:ascii="Calibri" w:eastAsia="Calibri" w:hAnsi="Calibri" w:cs="Calibri"/>
          <w:color w:val="1A1A1A"/>
        </w:rPr>
        <w:t xml:space="preserve"> reconnue par </w:t>
      </w:r>
      <w:r>
        <w:rPr>
          <w:rFonts w:ascii="Calibri" w:eastAsia="Calibri" w:hAnsi="Calibri" w:cs="Calibri"/>
          <w:color w:val="E91E63"/>
        </w:rPr>
        <w:t>Labonne</w:t>
      </w:r>
      <w:r>
        <w:rPr>
          <w:rFonts w:ascii="Calibri" w:eastAsia="Calibri" w:hAnsi="Calibri" w:cs="Calibri"/>
          <w:color w:val="1A1A1A"/>
        </w:rPr>
        <w:t xml:space="preserve"> </w:t>
      </w:r>
      <w:r w:rsidRPr="008235BE">
        <w:rPr>
          <w:rFonts w:ascii="Calibri" w:eastAsia="Calibri" w:hAnsi="Calibri" w:cs="Calibri"/>
          <w:color w:val="FF1393"/>
        </w:rPr>
        <w:t xml:space="preserve">(1919) </w:t>
      </w:r>
      <w:r>
        <w:rPr>
          <w:rFonts w:ascii="Calibri" w:eastAsia="Calibri" w:hAnsi="Calibri" w:cs="Calibri"/>
          <w:color w:val="1A1A1A"/>
        </w:rPr>
        <w:t xml:space="preserve">et confirmée par </w:t>
      </w:r>
      <w:r>
        <w:rPr>
          <w:rFonts w:ascii="Calibri" w:eastAsia="Calibri" w:hAnsi="Calibri" w:cs="Calibri"/>
          <w:color w:val="E91E63"/>
        </w:rPr>
        <w:t>CE, 17 février 1978</w:t>
      </w:r>
      <w:r>
        <w:rPr>
          <w:rFonts w:ascii="Calibri" w:eastAsia="Calibri" w:hAnsi="Calibri" w:cs="Calibri"/>
          <w:color w:val="1A1A1A"/>
        </w:rPr>
        <w:t>. Conséquence à énoncer : il n’y a pas de question de répartition des compétences entre la loi et le règlement en matière de police générale.</w:t>
      </w:r>
    </w:p>
    <w:p w14:paraId="1CD23292"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 Un décret peut-il créer une infraction restreignant une liberté publique ? »</w:t>
      </w:r>
      <w:r>
        <w:rPr>
          <w:rFonts w:ascii="Calibri" w:eastAsia="Calibri" w:hAnsi="Calibri" w:cs="Calibri"/>
          <w:color w:val="1A1A1A"/>
        </w:rPr>
        <w:t xml:space="preserve"> — Oui pour les </w:t>
      </w:r>
      <w:r>
        <w:rPr>
          <w:rFonts w:ascii="Calibri" w:eastAsia="Calibri" w:hAnsi="Calibri" w:cs="Calibri"/>
          <w:b/>
          <w:bCs/>
          <w:color w:val="1A1A1A"/>
        </w:rPr>
        <w:t>contraventions</w:t>
      </w:r>
      <w:r>
        <w:rPr>
          <w:rFonts w:ascii="Calibri" w:eastAsia="Calibri" w:hAnsi="Calibri" w:cs="Calibri"/>
          <w:color w:val="1A1A1A"/>
        </w:rPr>
        <w:t xml:space="preserve"> (</w:t>
      </w:r>
      <w:r>
        <w:rPr>
          <w:rFonts w:ascii="Calibri" w:eastAsia="Calibri" w:hAnsi="Calibri" w:cs="Calibri"/>
          <w:color w:val="1E88E5"/>
        </w:rPr>
        <w:t>art. 34</w:t>
      </w:r>
      <w:r>
        <w:rPr>
          <w:rFonts w:ascii="Calibri" w:eastAsia="Calibri" w:hAnsi="Calibri" w:cs="Calibri"/>
          <w:color w:val="1A1A1A"/>
        </w:rPr>
        <w:t xml:space="preserve"> ne réserve à la loi que les crimes et délits), dès lors que la norme a pour </w:t>
      </w:r>
      <w:r>
        <w:rPr>
          <w:rFonts w:ascii="Calibri" w:eastAsia="Calibri" w:hAnsi="Calibri" w:cs="Calibri"/>
          <w:b/>
          <w:bCs/>
          <w:color w:val="1A1A1A"/>
        </w:rPr>
        <w:t>objet</w:t>
      </w:r>
      <w:r>
        <w:rPr>
          <w:rFonts w:ascii="Calibri" w:eastAsia="Calibri" w:hAnsi="Calibri" w:cs="Calibri"/>
          <w:color w:val="1A1A1A"/>
        </w:rPr>
        <w:t xml:space="preserve"> la sauvegarde de l’ordre public et non la réglementation de la liberté elle-même (</w:t>
      </w:r>
      <w:r>
        <w:rPr>
          <w:rFonts w:ascii="Calibri" w:eastAsia="Calibri" w:hAnsi="Calibri" w:cs="Calibri"/>
          <w:color w:val="E91E63"/>
        </w:rPr>
        <w:t>CE, 19 juillet 2011</w:t>
      </w:r>
      <w:r>
        <w:rPr>
          <w:rFonts w:ascii="Calibri" w:eastAsia="Calibri" w:hAnsi="Calibri" w:cs="Calibri"/>
          <w:color w:val="1A1A1A"/>
        </w:rPr>
        <w:t xml:space="preserve"> ; </w:t>
      </w:r>
      <w:r>
        <w:rPr>
          <w:rFonts w:ascii="Calibri" w:eastAsia="Calibri" w:hAnsi="Calibri" w:cs="Calibri"/>
          <w:color w:val="E91E63"/>
        </w:rPr>
        <w:t>CE, 23 février 2011</w:t>
      </w:r>
      <w:r>
        <w:rPr>
          <w:rFonts w:ascii="Calibri" w:eastAsia="Calibri" w:hAnsi="Calibri" w:cs="Calibri"/>
          <w:color w:val="1A1A1A"/>
        </w:rPr>
        <w:t>). Ajouter la critique : la distinction objet / effet permet en pratique de restreindre par décret.</w:t>
      </w:r>
    </w:p>
    <w:p w14:paraId="46EACD20" w14:textId="77777777" w:rsidR="00E6057C" w:rsidRPr="008235BE" w:rsidRDefault="00000000">
      <w:pPr>
        <w:pStyle w:val="Paragraphedeliste"/>
        <w:numPr>
          <w:ilvl w:val="0"/>
          <w:numId w:val="2"/>
        </w:numPr>
        <w:spacing w:after="70" w:line="264" w:lineRule="auto"/>
        <w:jc w:val="both"/>
        <w:rPr>
          <w:highlight w:val="yellow"/>
        </w:rPr>
      </w:pPr>
      <w:r>
        <w:rPr>
          <w:rFonts w:ascii="Calibri" w:eastAsia="Calibri" w:hAnsi="Calibri" w:cs="Calibri"/>
          <w:b/>
          <w:bCs/>
          <w:color w:val="1A1A1A"/>
        </w:rPr>
        <w:t>« Un ministre a-t-il un pouvoir réglementaire ? »</w:t>
      </w:r>
      <w:r>
        <w:rPr>
          <w:rFonts w:ascii="Calibri" w:eastAsia="Calibri" w:hAnsi="Calibri" w:cs="Calibri"/>
          <w:color w:val="1A1A1A"/>
        </w:rPr>
        <w:t xml:space="preserve"> — Pas de pouvoir réglementaire </w:t>
      </w:r>
      <w:r>
        <w:rPr>
          <w:rFonts w:ascii="Calibri" w:eastAsia="Calibri" w:hAnsi="Calibri" w:cs="Calibri"/>
          <w:b/>
          <w:bCs/>
          <w:color w:val="1A1A1A"/>
        </w:rPr>
        <w:t>général</w:t>
      </w:r>
      <w:r>
        <w:rPr>
          <w:rFonts w:ascii="Calibri" w:eastAsia="Calibri" w:hAnsi="Calibri" w:cs="Calibri"/>
          <w:color w:val="1A1A1A"/>
        </w:rPr>
        <w:t xml:space="preserve"> (</w:t>
      </w:r>
      <w:r>
        <w:rPr>
          <w:rFonts w:ascii="Calibri" w:eastAsia="Calibri" w:hAnsi="Calibri" w:cs="Calibri"/>
          <w:color w:val="E91E63"/>
        </w:rPr>
        <w:t>Jamart</w:t>
      </w:r>
      <w:r>
        <w:rPr>
          <w:rFonts w:ascii="Calibri" w:eastAsia="Calibri" w:hAnsi="Calibri" w:cs="Calibri"/>
          <w:color w:val="1A1A1A"/>
        </w:rPr>
        <w:t xml:space="preserve">), mais (i) un pouvoir d’organisation de son service et (ii) un pouvoir réglementaire </w:t>
      </w:r>
      <w:r>
        <w:rPr>
          <w:rFonts w:ascii="Calibri" w:eastAsia="Calibri" w:hAnsi="Calibri" w:cs="Calibri"/>
          <w:b/>
          <w:bCs/>
          <w:color w:val="1A1A1A"/>
        </w:rPr>
        <w:t>spécial</w:t>
      </w:r>
      <w:r>
        <w:rPr>
          <w:rFonts w:ascii="Calibri" w:eastAsia="Calibri" w:hAnsi="Calibri" w:cs="Calibri"/>
          <w:color w:val="1A1A1A"/>
        </w:rPr>
        <w:t xml:space="preserve"> lorsqu’un texte le lui attribue expressément (</w:t>
      </w:r>
      <w:r>
        <w:rPr>
          <w:rFonts w:ascii="Calibri" w:eastAsia="Calibri" w:hAnsi="Calibri" w:cs="Calibri"/>
          <w:color w:val="E91E63"/>
        </w:rPr>
        <w:t>CE, 27 juin 2025, Association Juristes pour l’enfance</w:t>
      </w:r>
      <w:r>
        <w:rPr>
          <w:rFonts w:ascii="Calibri" w:eastAsia="Calibri" w:hAnsi="Calibri" w:cs="Calibri"/>
          <w:color w:val="1A1A1A"/>
        </w:rPr>
        <w:t xml:space="preserve">). </w:t>
      </w:r>
      <w:r w:rsidRPr="008235BE">
        <w:rPr>
          <w:rFonts w:ascii="Calibri" w:eastAsia="Calibri" w:hAnsi="Calibri" w:cs="Calibri"/>
          <w:color w:val="1A1A1A"/>
          <w:highlight w:val="yellow"/>
        </w:rPr>
        <w:t xml:space="preserve">Ne pas s’arrêter à </w:t>
      </w:r>
      <w:r w:rsidRPr="008235BE">
        <w:rPr>
          <w:rFonts w:ascii="Calibri" w:eastAsia="Calibri" w:hAnsi="Calibri" w:cs="Calibri"/>
          <w:i/>
          <w:iCs/>
          <w:color w:val="1A1A1A"/>
          <w:highlight w:val="yellow"/>
        </w:rPr>
        <w:t>Jamart</w:t>
      </w:r>
      <w:r w:rsidRPr="008235BE">
        <w:rPr>
          <w:rFonts w:ascii="Calibri" w:eastAsia="Calibri" w:hAnsi="Calibri" w:cs="Calibri"/>
          <w:color w:val="1A1A1A"/>
          <w:highlight w:val="yellow"/>
        </w:rPr>
        <w:t xml:space="preserve"> : la jurisprudence récente nuance.</w:t>
      </w:r>
    </w:p>
    <w:p w14:paraId="38CC2668" w14:textId="77777777" w:rsidR="00E6057C" w:rsidRDefault="00000000">
      <w:pPr>
        <w:pStyle w:val="Titre3"/>
        <w:spacing w:before="200" w:after="90"/>
      </w:pPr>
      <w:r>
        <w:rPr>
          <w:rFonts w:ascii="Calibri" w:eastAsia="Calibri" w:hAnsi="Calibri" w:cs="Calibri"/>
          <w:b/>
          <w:bCs/>
          <w:i/>
          <w:iCs/>
          <w:color w:val="5A5A5A"/>
          <w:sz w:val="21"/>
          <w:szCs w:val="21"/>
        </w:rPr>
        <w:t>4.2. Sujets d’exposé rattachables</w:t>
      </w:r>
    </w:p>
    <w:p w14:paraId="0AEA3F33"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Le pouvoir réglementaire est-il gardien des libertés ? » (sujet de dissertation expressément proposé par le fascicule).</w:t>
      </w:r>
    </w:p>
    <w:p w14:paraId="57872BB7"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Loi et règlement dans la protection des libertés » ; « Le pouvoir réglementaire autonome ».</w:t>
      </w:r>
    </w:p>
    <w:p w14:paraId="77A5016A"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La police administrative et les libertés » ; « Le pouvoir réglementaire contraventionnel ».</w:t>
      </w:r>
    </w:p>
    <w:p w14:paraId="10343BF8" w14:textId="77777777" w:rsidR="00E6057C" w:rsidRDefault="00000000">
      <w:pPr>
        <w:pStyle w:val="Paragraphedeliste"/>
        <w:numPr>
          <w:ilvl w:val="0"/>
          <w:numId w:val="2"/>
        </w:numPr>
        <w:spacing w:after="70" w:line="264" w:lineRule="auto"/>
        <w:jc w:val="both"/>
      </w:pPr>
      <w:r>
        <w:rPr>
          <w:rFonts w:ascii="Calibri" w:eastAsia="Calibri" w:hAnsi="Calibri" w:cs="Calibri"/>
          <w:color w:val="1A1A1A"/>
        </w:rPr>
        <w:t>« Le juge administratif, gardien des libertés » ; « Les autorités administratives indépendantes et les libertés ».</w:t>
      </w:r>
    </w:p>
    <w:p w14:paraId="3EED4155" w14:textId="77777777" w:rsidR="00E6057C" w:rsidRDefault="00000000">
      <w:pPr>
        <w:pStyle w:val="Titre3"/>
        <w:spacing w:before="200" w:after="90"/>
      </w:pPr>
      <w:r>
        <w:rPr>
          <w:rFonts w:ascii="Calibri" w:eastAsia="Calibri" w:hAnsi="Calibri" w:cs="Calibri"/>
          <w:b/>
          <w:bCs/>
          <w:i/>
          <w:iCs/>
          <w:color w:val="5A5A5A"/>
          <w:sz w:val="21"/>
          <w:szCs w:val="21"/>
        </w:rPr>
        <w:t>4.3. Angles morts — en question / réponse</w:t>
      </w:r>
    </w:p>
    <w:p w14:paraId="2EF0221C"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Le pouvoir de police générale relève-t-il de l’article 37 ?</w:t>
      </w:r>
      <w:r>
        <w:rPr>
          <w:rFonts w:ascii="Calibri" w:eastAsia="Calibri" w:hAnsi="Calibri" w:cs="Calibri"/>
          <w:color w:val="1A1A1A"/>
        </w:rPr>
        <w:t xml:space="preserve"> — Non. Compétence propre du chef de l’Exécutif (</w:t>
      </w:r>
      <w:r>
        <w:rPr>
          <w:rFonts w:ascii="Calibri" w:eastAsia="Calibri" w:hAnsi="Calibri" w:cs="Calibri"/>
          <w:color w:val="E91E63"/>
        </w:rPr>
        <w:t>Labonne</w:t>
      </w:r>
      <w:r>
        <w:rPr>
          <w:rFonts w:ascii="Calibri" w:eastAsia="Calibri" w:hAnsi="Calibri" w:cs="Calibri"/>
          <w:color w:val="1A1A1A"/>
        </w:rPr>
        <w:t>), non tributaire de la répartition des articles 34 et 37 ; elle peut viser n’importe quel droit, y compris consacré au niveau constitutionnel ou supranational.</w:t>
      </w:r>
    </w:p>
    <w:p w14:paraId="4D5969E8"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Un décret signé inutilement par le président de la République peut-il être modifié par un décret du seul Premier ministre ?</w:t>
      </w:r>
      <w:r>
        <w:rPr>
          <w:rFonts w:ascii="Calibri" w:eastAsia="Calibri" w:hAnsi="Calibri" w:cs="Calibri"/>
          <w:color w:val="1A1A1A"/>
        </w:rPr>
        <w:t xml:space="preserve"> — Non : parallélisme des formes (</w:t>
      </w:r>
      <w:r>
        <w:rPr>
          <w:rFonts w:ascii="Calibri" w:eastAsia="Calibri" w:hAnsi="Calibri" w:cs="Calibri"/>
          <w:color w:val="E91E63"/>
        </w:rPr>
        <w:t xml:space="preserve">Allamigeon et </w:t>
      </w:r>
      <w:r w:rsidRPr="008235BE">
        <w:rPr>
          <w:rFonts w:ascii="Calibri" w:eastAsia="Calibri" w:hAnsi="Calibri" w:cs="Calibri"/>
          <w:color w:val="FF1393"/>
        </w:rPr>
        <w:t>Pageaux, 1994</w:t>
      </w:r>
      <w:r>
        <w:rPr>
          <w:rFonts w:ascii="Calibri" w:eastAsia="Calibri" w:hAnsi="Calibri" w:cs="Calibri"/>
          <w:color w:val="1A1A1A"/>
        </w:rPr>
        <w:t>). Piège classique en cas pratique.</w:t>
      </w:r>
    </w:p>
    <w:p w14:paraId="7A40CC09"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Le pouvoir réglementaire local découle-t-il des articles 13 et 21 ?</w:t>
      </w:r>
      <w:r>
        <w:rPr>
          <w:rFonts w:ascii="Calibri" w:eastAsia="Calibri" w:hAnsi="Calibri" w:cs="Calibri"/>
          <w:color w:val="1A1A1A"/>
        </w:rPr>
        <w:t xml:space="preserve"> — Non : de la libre administration de l’</w:t>
      </w:r>
      <w:r>
        <w:rPr>
          <w:rFonts w:ascii="Calibri" w:eastAsia="Calibri" w:hAnsi="Calibri" w:cs="Calibri"/>
          <w:color w:val="1E88E5"/>
        </w:rPr>
        <w:t>art. 72 al. 2 C.</w:t>
      </w:r>
      <w:r>
        <w:rPr>
          <w:rFonts w:ascii="Calibri" w:eastAsia="Calibri" w:hAnsi="Calibri" w:cs="Calibri"/>
          <w:color w:val="1A1A1A"/>
        </w:rPr>
        <w:t xml:space="preserve"> (</w:t>
      </w:r>
      <w:r>
        <w:rPr>
          <w:rFonts w:ascii="Calibri" w:eastAsia="Calibri" w:hAnsi="Calibri" w:cs="Calibri"/>
          <w:color w:val="E91E63"/>
        </w:rPr>
        <w:t>2001-454 DC</w:t>
      </w:r>
      <w:r>
        <w:rPr>
          <w:rFonts w:ascii="Calibri" w:eastAsia="Calibri" w:hAnsi="Calibri" w:cs="Calibri"/>
          <w:color w:val="1A1A1A"/>
        </w:rPr>
        <w:t>).</w:t>
      </w:r>
    </w:p>
    <w:p w14:paraId="22E05E8C"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Comment distinguer police administrative et police judiciaire ?</w:t>
      </w:r>
      <w:r>
        <w:rPr>
          <w:rFonts w:ascii="Calibri" w:eastAsia="Calibri" w:hAnsi="Calibri" w:cs="Calibri"/>
          <w:color w:val="1A1A1A"/>
        </w:rPr>
        <w:t xml:space="preserve"> — Par le critère </w:t>
      </w:r>
      <w:r>
        <w:rPr>
          <w:rFonts w:ascii="Calibri" w:eastAsia="Calibri" w:hAnsi="Calibri" w:cs="Calibri"/>
          <w:b/>
          <w:bCs/>
          <w:color w:val="1A1A1A"/>
        </w:rPr>
        <w:t>finaliste</w:t>
      </w:r>
      <w:r>
        <w:rPr>
          <w:rFonts w:ascii="Calibri" w:eastAsia="Calibri" w:hAnsi="Calibri" w:cs="Calibri"/>
          <w:color w:val="1A1A1A"/>
        </w:rPr>
        <w:t xml:space="preserve"> : prévention et maintien de l’ordre public d’un côté, répression d’une infraction déjà commise de l’autre. Conséquence contentieuse : juge administratif / autorité judiciaire. Une même autorité peut relever successivement des deux.</w:t>
      </w:r>
    </w:p>
    <w:p w14:paraId="1497DC48"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Q. L’état de siège est-il institué par la loi ?</w:t>
      </w:r>
      <w:r>
        <w:rPr>
          <w:rFonts w:ascii="Calibri" w:eastAsia="Calibri" w:hAnsi="Calibri" w:cs="Calibri"/>
          <w:color w:val="1A1A1A"/>
        </w:rPr>
        <w:t xml:space="preserve"> — Il est prévu par l’</w:t>
      </w:r>
      <w:r>
        <w:rPr>
          <w:rFonts w:ascii="Calibri" w:eastAsia="Calibri" w:hAnsi="Calibri" w:cs="Calibri"/>
          <w:color w:val="1E88E5"/>
        </w:rPr>
        <w:t>art. 36 C.</w:t>
      </w:r>
      <w:r>
        <w:rPr>
          <w:rFonts w:ascii="Calibri" w:eastAsia="Calibri" w:hAnsi="Calibri" w:cs="Calibri"/>
          <w:color w:val="1A1A1A"/>
        </w:rPr>
        <w:t xml:space="preserve"> et </w:t>
      </w:r>
      <w:r>
        <w:rPr>
          <w:rFonts w:ascii="Calibri" w:eastAsia="Calibri" w:hAnsi="Calibri" w:cs="Calibri"/>
          <w:b/>
          <w:bCs/>
          <w:color w:val="1A1A1A"/>
        </w:rPr>
        <w:t>décrété en conseil des ministres</w:t>
      </w:r>
      <w:r>
        <w:rPr>
          <w:rFonts w:ascii="Calibri" w:eastAsia="Calibri" w:hAnsi="Calibri" w:cs="Calibri"/>
          <w:color w:val="1A1A1A"/>
        </w:rPr>
        <w:t xml:space="preserve"> : c’est donc un </w:t>
      </w:r>
      <w:r>
        <w:rPr>
          <w:rFonts w:ascii="Calibri" w:eastAsia="Calibri" w:hAnsi="Calibri" w:cs="Calibri"/>
          <w:b/>
          <w:bCs/>
          <w:color w:val="1A1A1A"/>
        </w:rPr>
        <w:t>acte réglementaire</w:t>
      </w:r>
      <w:r>
        <w:rPr>
          <w:rFonts w:ascii="Calibri" w:eastAsia="Calibri" w:hAnsi="Calibri" w:cs="Calibri"/>
          <w:color w:val="1A1A1A"/>
        </w:rPr>
        <w:t>, contrôlé par le juge administratif (</w:t>
      </w:r>
      <w:r>
        <w:rPr>
          <w:rFonts w:ascii="Calibri" w:eastAsia="Calibri" w:hAnsi="Calibri" w:cs="Calibri"/>
          <w:color w:val="E91E63"/>
        </w:rPr>
        <w:t>Huckel</w:t>
      </w:r>
      <w:r w:rsidRPr="008235BE">
        <w:rPr>
          <w:rFonts w:ascii="Calibri" w:eastAsia="Calibri" w:hAnsi="Calibri" w:cs="Calibri"/>
          <w:color w:val="FF1393"/>
        </w:rPr>
        <w:t>, 1953</w:t>
      </w:r>
      <w:r>
        <w:rPr>
          <w:rFonts w:ascii="Calibri" w:eastAsia="Calibri" w:hAnsi="Calibri" w:cs="Calibri"/>
          <w:color w:val="1A1A1A"/>
        </w:rPr>
        <w:t>), sa prorogation au-delà de douze jours relevant du Parlement.</w:t>
      </w:r>
    </w:p>
    <w:p w14:paraId="20EA6B35" w14:textId="77777777" w:rsidR="00E6057C" w:rsidRPr="008235BE" w:rsidRDefault="00000000">
      <w:pPr>
        <w:pStyle w:val="Paragraphedeliste"/>
        <w:numPr>
          <w:ilvl w:val="0"/>
          <w:numId w:val="2"/>
        </w:numPr>
        <w:spacing w:after="70" w:line="264" w:lineRule="auto"/>
        <w:jc w:val="both"/>
        <w:rPr>
          <w:highlight w:val="yellow"/>
        </w:rPr>
      </w:pPr>
      <w:r>
        <w:rPr>
          <w:rFonts w:ascii="Calibri" w:eastAsia="Calibri" w:hAnsi="Calibri" w:cs="Calibri"/>
          <w:b/>
          <w:bCs/>
          <w:color w:val="1A1A1A"/>
        </w:rPr>
        <w:lastRenderedPageBreak/>
        <w:t>Q. Le contrôle du juge sur les mesures réglementaires de police est-il restreint ?</w:t>
      </w:r>
      <w:r>
        <w:rPr>
          <w:rFonts w:ascii="Calibri" w:eastAsia="Calibri" w:hAnsi="Calibri" w:cs="Calibri"/>
          <w:color w:val="1A1A1A"/>
        </w:rPr>
        <w:t xml:space="preserve"> — Non : contrôle de </w:t>
      </w:r>
      <w:r>
        <w:rPr>
          <w:rFonts w:ascii="Calibri" w:eastAsia="Calibri" w:hAnsi="Calibri" w:cs="Calibri"/>
          <w:b/>
          <w:bCs/>
          <w:color w:val="1A1A1A"/>
        </w:rPr>
        <w:t>nécessité, d’adéquation et de proportionnalité</w:t>
      </w:r>
      <w:r>
        <w:rPr>
          <w:rFonts w:ascii="Calibri" w:eastAsia="Calibri" w:hAnsi="Calibri" w:cs="Calibri"/>
          <w:color w:val="1A1A1A"/>
        </w:rPr>
        <w:t xml:space="preserve"> (</w:t>
      </w:r>
      <w:r>
        <w:rPr>
          <w:rFonts w:ascii="Calibri" w:eastAsia="Calibri" w:hAnsi="Calibri" w:cs="Calibri"/>
          <w:color w:val="E91E63"/>
        </w:rPr>
        <w:t>Benjamin</w:t>
      </w:r>
      <w:r>
        <w:rPr>
          <w:rFonts w:ascii="Calibri" w:eastAsia="Calibri" w:hAnsi="Calibri" w:cs="Calibri"/>
          <w:color w:val="1A1A1A"/>
        </w:rPr>
        <w:t xml:space="preserve"> ; </w:t>
      </w:r>
      <w:r>
        <w:rPr>
          <w:rFonts w:ascii="Calibri" w:eastAsia="Calibri" w:hAnsi="Calibri" w:cs="Calibri"/>
          <w:color w:val="E91E63"/>
        </w:rPr>
        <w:t>CE, 13 juillet 2026, Dean et Simmons</w:t>
      </w:r>
      <w:r>
        <w:rPr>
          <w:rFonts w:ascii="Calibri" w:eastAsia="Calibri" w:hAnsi="Calibri" w:cs="Calibri"/>
          <w:color w:val="1A1A1A"/>
        </w:rPr>
        <w:t xml:space="preserve">). </w:t>
      </w:r>
      <w:r w:rsidRPr="008235BE">
        <w:rPr>
          <w:rFonts w:ascii="Calibri" w:eastAsia="Calibri" w:hAnsi="Calibri" w:cs="Calibri"/>
          <w:color w:val="1A1A1A"/>
          <w:highlight w:val="yellow"/>
        </w:rPr>
        <w:t>Une interdiction générale n’est admise que si aucune mesure moins restrictive n’atteint le même objectif avec la même efficacité.</w:t>
      </w:r>
    </w:p>
    <w:p w14:paraId="5C1F9ACE" w14:textId="77777777" w:rsidR="00E6057C" w:rsidRDefault="00000000">
      <w:r>
        <w:br w:type="page"/>
      </w:r>
    </w:p>
    <w:p w14:paraId="4382C6C6" w14:textId="77777777" w:rsidR="00E6057C"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ANNEXE I — CHRONOLOGIE TRANSVERSALE (Parties I et II)</w:t>
      </w:r>
    </w:p>
    <w:p w14:paraId="0B107007"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1215</w:t>
      </w:r>
      <w:r>
        <w:rPr>
          <w:rFonts w:ascii="Calibri" w:eastAsia="Calibri" w:hAnsi="Calibri" w:cs="Calibri"/>
          <w:color w:val="1A1A1A"/>
        </w:rPr>
        <w:t xml:space="preserve"> </w:t>
      </w:r>
      <w:r>
        <w:rPr>
          <w:rFonts w:ascii="Calibri" w:eastAsia="Calibri" w:hAnsi="Calibri" w:cs="Calibri"/>
          <w:color w:val="1E88E5"/>
        </w:rPr>
        <w:t>Magna Carta</w:t>
      </w:r>
      <w:r>
        <w:rPr>
          <w:rFonts w:ascii="Calibri" w:eastAsia="Calibri" w:hAnsi="Calibri" w:cs="Calibri"/>
          <w:color w:val="1A1A1A"/>
        </w:rPr>
        <w:t xml:space="preserve">, art. 39 — </w:t>
      </w:r>
      <w:r>
        <w:rPr>
          <w:rFonts w:ascii="Calibri" w:eastAsia="Calibri" w:hAnsi="Calibri" w:cs="Calibri"/>
          <w:b/>
          <w:bCs/>
          <w:color w:val="1A1A1A"/>
        </w:rPr>
        <w:t>1628</w:t>
      </w:r>
      <w:r>
        <w:rPr>
          <w:rFonts w:ascii="Calibri" w:eastAsia="Calibri" w:hAnsi="Calibri" w:cs="Calibri"/>
          <w:color w:val="1A1A1A"/>
        </w:rPr>
        <w:t xml:space="preserve"> </w:t>
      </w:r>
      <w:r>
        <w:rPr>
          <w:rFonts w:ascii="Calibri" w:eastAsia="Calibri" w:hAnsi="Calibri" w:cs="Calibri"/>
          <w:color w:val="1E88E5"/>
        </w:rPr>
        <w:t>Pétition des droits</w:t>
      </w:r>
      <w:r>
        <w:rPr>
          <w:rFonts w:ascii="Calibri" w:eastAsia="Calibri" w:hAnsi="Calibri" w:cs="Calibri"/>
          <w:color w:val="1A1A1A"/>
        </w:rPr>
        <w:t xml:space="preserve"> — </w:t>
      </w:r>
      <w:r>
        <w:rPr>
          <w:rFonts w:ascii="Calibri" w:eastAsia="Calibri" w:hAnsi="Calibri" w:cs="Calibri"/>
          <w:b/>
          <w:bCs/>
          <w:color w:val="1A1A1A"/>
        </w:rPr>
        <w:t>1679</w:t>
      </w:r>
      <w:r>
        <w:rPr>
          <w:rFonts w:ascii="Calibri" w:eastAsia="Calibri" w:hAnsi="Calibri" w:cs="Calibri"/>
          <w:color w:val="1A1A1A"/>
        </w:rPr>
        <w:t xml:space="preserve"> </w:t>
      </w:r>
      <w:r>
        <w:rPr>
          <w:rFonts w:ascii="Calibri" w:eastAsia="Calibri" w:hAnsi="Calibri" w:cs="Calibri"/>
          <w:color w:val="1E88E5"/>
        </w:rPr>
        <w:t>Habeas Corpus Act</w:t>
      </w:r>
      <w:r>
        <w:rPr>
          <w:rFonts w:ascii="Calibri" w:eastAsia="Calibri" w:hAnsi="Calibri" w:cs="Calibri"/>
          <w:color w:val="1A1A1A"/>
        </w:rPr>
        <w:t xml:space="preserve"> — </w:t>
      </w:r>
      <w:r>
        <w:rPr>
          <w:rFonts w:ascii="Calibri" w:eastAsia="Calibri" w:hAnsi="Calibri" w:cs="Calibri"/>
          <w:b/>
          <w:bCs/>
          <w:color w:val="1A1A1A"/>
        </w:rPr>
        <w:t>1689</w:t>
      </w:r>
      <w:r>
        <w:rPr>
          <w:rFonts w:ascii="Calibri" w:eastAsia="Calibri" w:hAnsi="Calibri" w:cs="Calibri"/>
          <w:color w:val="1A1A1A"/>
        </w:rPr>
        <w:t xml:space="preserve"> </w:t>
      </w:r>
      <w:r>
        <w:rPr>
          <w:rFonts w:ascii="Calibri" w:eastAsia="Calibri" w:hAnsi="Calibri" w:cs="Calibri"/>
          <w:color w:val="1E88E5"/>
        </w:rPr>
        <w:t>Bill of Rights</w:t>
      </w:r>
      <w:r>
        <w:rPr>
          <w:rFonts w:ascii="Calibri" w:eastAsia="Calibri" w:hAnsi="Calibri" w:cs="Calibri"/>
          <w:color w:val="1A1A1A"/>
        </w:rPr>
        <w:t xml:space="preserve"> anglais.</w:t>
      </w:r>
    </w:p>
    <w:p w14:paraId="10A664B5"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1776</w:t>
      </w:r>
      <w:r>
        <w:rPr>
          <w:rFonts w:ascii="Calibri" w:eastAsia="Calibri" w:hAnsi="Calibri" w:cs="Calibri"/>
          <w:color w:val="1A1A1A"/>
        </w:rPr>
        <w:t xml:space="preserve"> </w:t>
      </w:r>
      <w:r>
        <w:rPr>
          <w:rFonts w:ascii="Calibri" w:eastAsia="Calibri" w:hAnsi="Calibri" w:cs="Calibri"/>
          <w:color w:val="1E88E5"/>
        </w:rPr>
        <w:t>Constitution de Virginie</w:t>
      </w:r>
      <w:r>
        <w:rPr>
          <w:rFonts w:ascii="Calibri" w:eastAsia="Calibri" w:hAnsi="Calibri" w:cs="Calibri"/>
          <w:color w:val="1A1A1A"/>
        </w:rPr>
        <w:t xml:space="preserve"> (12 juin) et </w:t>
      </w:r>
      <w:r>
        <w:rPr>
          <w:rFonts w:ascii="Calibri" w:eastAsia="Calibri" w:hAnsi="Calibri" w:cs="Calibri"/>
          <w:color w:val="1E88E5"/>
        </w:rPr>
        <w:t>Déclaration d’indépendance</w:t>
      </w:r>
      <w:r>
        <w:rPr>
          <w:rFonts w:ascii="Calibri" w:eastAsia="Calibri" w:hAnsi="Calibri" w:cs="Calibri"/>
          <w:color w:val="1A1A1A"/>
        </w:rPr>
        <w:t xml:space="preserve"> (4 juillet) — </w:t>
      </w:r>
      <w:r>
        <w:rPr>
          <w:rFonts w:ascii="Calibri" w:eastAsia="Calibri" w:hAnsi="Calibri" w:cs="Calibri"/>
          <w:b/>
          <w:bCs/>
          <w:color w:val="1A1A1A"/>
        </w:rPr>
        <w:t>1787</w:t>
      </w:r>
      <w:r>
        <w:rPr>
          <w:rFonts w:ascii="Calibri" w:eastAsia="Calibri" w:hAnsi="Calibri" w:cs="Calibri"/>
          <w:color w:val="1A1A1A"/>
        </w:rPr>
        <w:t xml:space="preserve"> </w:t>
      </w:r>
      <w:r>
        <w:rPr>
          <w:rFonts w:ascii="Calibri" w:eastAsia="Calibri" w:hAnsi="Calibri" w:cs="Calibri"/>
          <w:color w:val="1E88E5"/>
        </w:rPr>
        <w:t>Constitution américaine</w:t>
      </w:r>
      <w:r>
        <w:rPr>
          <w:rFonts w:ascii="Calibri" w:eastAsia="Calibri" w:hAnsi="Calibri" w:cs="Calibri"/>
          <w:color w:val="1A1A1A"/>
        </w:rPr>
        <w:t xml:space="preserve"> — </w:t>
      </w:r>
      <w:r>
        <w:rPr>
          <w:rFonts w:ascii="Calibri" w:eastAsia="Calibri" w:hAnsi="Calibri" w:cs="Calibri"/>
          <w:b/>
          <w:bCs/>
          <w:color w:val="1A1A1A"/>
        </w:rPr>
        <w:t>1789</w:t>
      </w:r>
      <w:r>
        <w:rPr>
          <w:rFonts w:ascii="Calibri" w:eastAsia="Calibri" w:hAnsi="Calibri" w:cs="Calibri"/>
          <w:color w:val="1A1A1A"/>
        </w:rPr>
        <w:t xml:space="preserve"> </w:t>
      </w:r>
      <w:r>
        <w:rPr>
          <w:rFonts w:ascii="Calibri" w:eastAsia="Calibri" w:hAnsi="Calibri" w:cs="Calibri"/>
          <w:color w:val="1E88E5"/>
        </w:rPr>
        <w:t>DDHC</w:t>
      </w:r>
      <w:r>
        <w:rPr>
          <w:rFonts w:ascii="Calibri" w:eastAsia="Calibri" w:hAnsi="Calibri" w:cs="Calibri"/>
          <w:color w:val="1A1A1A"/>
        </w:rPr>
        <w:t xml:space="preserve"> (26 août) — </w:t>
      </w:r>
      <w:r>
        <w:rPr>
          <w:rFonts w:ascii="Calibri" w:eastAsia="Calibri" w:hAnsi="Calibri" w:cs="Calibri"/>
          <w:b/>
          <w:bCs/>
          <w:color w:val="1A1A1A"/>
        </w:rPr>
        <w:t>1791</w:t>
      </w:r>
      <w:r>
        <w:rPr>
          <w:rFonts w:ascii="Calibri" w:eastAsia="Calibri" w:hAnsi="Calibri" w:cs="Calibri"/>
          <w:color w:val="1A1A1A"/>
        </w:rPr>
        <w:t xml:space="preserve"> </w:t>
      </w:r>
      <w:r>
        <w:rPr>
          <w:rFonts w:ascii="Calibri" w:eastAsia="Calibri" w:hAnsi="Calibri" w:cs="Calibri"/>
          <w:color w:val="1E88E5"/>
        </w:rPr>
        <w:t>Bill of Rights</w:t>
      </w:r>
      <w:r>
        <w:rPr>
          <w:rFonts w:ascii="Calibri" w:eastAsia="Calibri" w:hAnsi="Calibri" w:cs="Calibri"/>
          <w:color w:val="1A1A1A"/>
        </w:rPr>
        <w:t xml:space="preserve"> américain ; </w:t>
      </w:r>
      <w:r>
        <w:rPr>
          <w:rFonts w:ascii="Calibri" w:eastAsia="Calibri" w:hAnsi="Calibri" w:cs="Calibri"/>
          <w:color w:val="1E88E5"/>
        </w:rPr>
        <w:t>Déclaration des droits de la femme et de la citoyenne</w:t>
      </w:r>
      <w:r>
        <w:rPr>
          <w:rFonts w:ascii="Calibri" w:eastAsia="Calibri" w:hAnsi="Calibri" w:cs="Calibri"/>
          <w:color w:val="1A1A1A"/>
        </w:rPr>
        <w:t xml:space="preserve"> ; </w:t>
      </w:r>
      <w:r>
        <w:rPr>
          <w:rFonts w:ascii="Calibri" w:eastAsia="Calibri" w:hAnsi="Calibri" w:cs="Calibri"/>
          <w:color w:val="1E88E5"/>
        </w:rPr>
        <w:t>décret d’Allarde</w:t>
      </w:r>
      <w:r>
        <w:rPr>
          <w:rFonts w:ascii="Calibri" w:eastAsia="Calibri" w:hAnsi="Calibri" w:cs="Calibri"/>
          <w:color w:val="1A1A1A"/>
        </w:rPr>
        <w:t xml:space="preserve"> — </w:t>
      </w:r>
      <w:r>
        <w:rPr>
          <w:rFonts w:ascii="Calibri" w:eastAsia="Calibri" w:hAnsi="Calibri" w:cs="Calibri"/>
          <w:b/>
          <w:bCs/>
          <w:color w:val="1A1A1A"/>
        </w:rPr>
        <w:t>1793</w:t>
      </w:r>
      <w:r>
        <w:rPr>
          <w:rFonts w:ascii="Calibri" w:eastAsia="Calibri" w:hAnsi="Calibri" w:cs="Calibri"/>
          <w:color w:val="1A1A1A"/>
        </w:rPr>
        <w:t xml:space="preserve"> </w:t>
      </w:r>
      <w:r>
        <w:rPr>
          <w:rFonts w:ascii="Calibri" w:eastAsia="Calibri" w:hAnsi="Calibri" w:cs="Calibri"/>
          <w:color w:val="1E88E5"/>
        </w:rPr>
        <w:t>Constitution du 24 juin</w:t>
      </w:r>
      <w:r>
        <w:rPr>
          <w:rFonts w:ascii="Calibri" w:eastAsia="Calibri" w:hAnsi="Calibri" w:cs="Calibri"/>
          <w:color w:val="1A1A1A"/>
        </w:rPr>
        <w:t>, art. 21 et 22.</w:t>
      </w:r>
    </w:p>
    <w:p w14:paraId="5A723504"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1848</w:t>
      </w:r>
      <w:r>
        <w:rPr>
          <w:rFonts w:ascii="Calibri" w:eastAsia="Calibri" w:hAnsi="Calibri" w:cs="Calibri"/>
          <w:color w:val="1A1A1A"/>
        </w:rPr>
        <w:t xml:space="preserve"> décret d’abolition de l’esclavage (27 avril) — </w:t>
      </w:r>
      <w:r>
        <w:rPr>
          <w:rFonts w:ascii="Calibri" w:eastAsia="Calibri" w:hAnsi="Calibri" w:cs="Calibri"/>
          <w:b/>
          <w:bCs/>
          <w:color w:val="1A1A1A"/>
        </w:rPr>
        <w:t>1868</w:t>
      </w:r>
      <w:r>
        <w:rPr>
          <w:rFonts w:ascii="Calibri" w:eastAsia="Calibri" w:hAnsi="Calibri" w:cs="Calibri"/>
          <w:color w:val="1A1A1A"/>
        </w:rPr>
        <w:t xml:space="preserve"> </w:t>
      </w:r>
      <w:r>
        <w:rPr>
          <w:rFonts w:ascii="Calibri" w:eastAsia="Calibri" w:hAnsi="Calibri" w:cs="Calibri"/>
          <w:color w:val="1E88E5"/>
        </w:rPr>
        <w:t>XIVe amendement</w:t>
      </w:r>
      <w:r>
        <w:rPr>
          <w:rFonts w:ascii="Calibri" w:eastAsia="Calibri" w:hAnsi="Calibri" w:cs="Calibri"/>
          <w:color w:val="1A1A1A"/>
        </w:rPr>
        <w:t xml:space="preserve"> — </w:t>
      </w:r>
      <w:r>
        <w:rPr>
          <w:rFonts w:ascii="Calibri" w:eastAsia="Calibri" w:hAnsi="Calibri" w:cs="Calibri"/>
          <w:b/>
          <w:bCs/>
          <w:color w:val="1A1A1A"/>
        </w:rPr>
        <w:t>1879</w:t>
      </w:r>
      <w:r>
        <w:rPr>
          <w:rFonts w:ascii="Calibri" w:eastAsia="Calibri" w:hAnsi="Calibri" w:cs="Calibri"/>
          <w:color w:val="1A1A1A"/>
        </w:rPr>
        <w:t xml:space="preserve"> « Constitution Grévy » — </w:t>
      </w:r>
      <w:r>
        <w:rPr>
          <w:rFonts w:ascii="Calibri" w:eastAsia="Calibri" w:hAnsi="Calibri" w:cs="Calibri"/>
          <w:b/>
          <w:bCs/>
          <w:color w:val="1A1A1A"/>
        </w:rPr>
        <w:t>1881</w:t>
      </w:r>
      <w:r>
        <w:rPr>
          <w:rFonts w:ascii="Calibri" w:eastAsia="Calibri" w:hAnsi="Calibri" w:cs="Calibri"/>
          <w:color w:val="1A1A1A"/>
        </w:rPr>
        <w:t xml:space="preserve"> presse — </w:t>
      </w:r>
      <w:r>
        <w:rPr>
          <w:rFonts w:ascii="Calibri" w:eastAsia="Calibri" w:hAnsi="Calibri" w:cs="Calibri"/>
          <w:b/>
          <w:bCs/>
          <w:color w:val="1A1A1A"/>
        </w:rPr>
        <w:t>1884</w:t>
      </w:r>
      <w:r>
        <w:rPr>
          <w:rFonts w:ascii="Calibri" w:eastAsia="Calibri" w:hAnsi="Calibri" w:cs="Calibri"/>
          <w:color w:val="1A1A1A"/>
        </w:rPr>
        <w:t xml:space="preserve"> syndicats — </w:t>
      </w:r>
      <w:r>
        <w:rPr>
          <w:rFonts w:ascii="Calibri" w:eastAsia="Calibri" w:hAnsi="Calibri" w:cs="Calibri"/>
          <w:b/>
          <w:bCs/>
          <w:color w:val="1A1A1A"/>
        </w:rPr>
        <w:t>1901</w:t>
      </w:r>
      <w:r>
        <w:rPr>
          <w:rFonts w:ascii="Calibri" w:eastAsia="Calibri" w:hAnsi="Calibri" w:cs="Calibri"/>
          <w:color w:val="1A1A1A"/>
        </w:rPr>
        <w:t xml:space="preserve"> associations — </w:t>
      </w:r>
      <w:r>
        <w:rPr>
          <w:rFonts w:ascii="Calibri" w:eastAsia="Calibri" w:hAnsi="Calibri" w:cs="Calibri"/>
          <w:b/>
          <w:bCs/>
          <w:color w:val="1A1A1A"/>
        </w:rPr>
        <w:t>1905</w:t>
      </w:r>
      <w:r>
        <w:rPr>
          <w:rFonts w:ascii="Calibri" w:eastAsia="Calibri" w:hAnsi="Calibri" w:cs="Calibri"/>
          <w:color w:val="1A1A1A"/>
        </w:rPr>
        <w:t xml:space="preserve"> séparation.</w:t>
      </w:r>
    </w:p>
    <w:p w14:paraId="6A68BC4F"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1917</w:t>
      </w:r>
      <w:r>
        <w:rPr>
          <w:rFonts w:ascii="Calibri" w:eastAsia="Calibri" w:hAnsi="Calibri" w:cs="Calibri"/>
          <w:color w:val="1A1A1A"/>
        </w:rPr>
        <w:t xml:space="preserve"> </w:t>
      </w:r>
      <w:r>
        <w:rPr>
          <w:rFonts w:ascii="Calibri" w:eastAsia="Calibri" w:hAnsi="Calibri" w:cs="Calibri"/>
          <w:color w:val="E91E63"/>
        </w:rPr>
        <w:t>CE, Baldy</w:t>
      </w:r>
      <w:r>
        <w:rPr>
          <w:rFonts w:ascii="Calibri" w:eastAsia="Calibri" w:hAnsi="Calibri" w:cs="Calibri"/>
          <w:color w:val="1A1A1A"/>
        </w:rPr>
        <w:t xml:space="preserve"> (concl. Corneille) — </w:t>
      </w:r>
      <w:r>
        <w:rPr>
          <w:rFonts w:ascii="Calibri" w:eastAsia="Calibri" w:hAnsi="Calibri" w:cs="Calibri"/>
          <w:b/>
          <w:bCs/>
          <w:color w:val="1A1A1A"/>
        </w:rPr>
        <w:t>1918</w:t>
      </w:r>
      <w:r>
        <w:rPr>
          <w:rFonts w:ascii="Calibri" w:eastAsia="Calibri" w:hAnsi="Calibri" w:cs="Calibri"/>
          <w:color w:val="1A1A1A"/>
        </w:rPr>
        <w:t xml:space="preserve"> </w:t>
      </w:r>
      <w:r>
        <w:rPr>
          <w:rFonts w:ascii="Calibri" w:eastAsia="Calibri" w:hAnsi="Calibri" w:cs="Calibri"/>
          <w:color w:val="E91E63"/>
        </w:rPr>
        <w:t>CE, Heyriès</w:t>
      </w:r>
      <w:r>
        <w:rPr>
          <w:rFonts w:ascii="Calibri" w:eastAsia="Calibri" w:hAnsi="Calibri" w:cs="Calibri"/>
          <w:color w:val="1A1A1A"/>
        </w:rPr>
        <w:t xml:space="preserve"> — </w:t>
      </w:r>
      <w:r>
        <w:rPr>
          <w:rFonts w:ascii="Calibri" w:eastAsia="Calibri" w:hAnsi="Calibri" w:cs="Calibri"/>
          <w:b/>
          <w:bCs/>
          <w:color w:val="1A1A1A"/>
        </w:rPr>
        <w:t>1919</w:t>
      </w:r>
      <w:r>
        <w:rPr>
          <w:rFonts w:ascii="Calibri" w:eastAsia="Calibri" w:hAnsi="Calibri" w:cs="Calibri"/>
          <w:color w:val="1A1A1A"/>
        </w:rPr>
        <w:t xml:space="preserve"> </w:t>
      </w:r>
      <w:r>
        <w:rPr>
          <w:rFonts w:ascii="Calibri" w:eastAsia="Calibri" w:hAnsi="Calibri" w:cs="Calibri"/>
          <w:color w:val="E91E63"/>
        </w:rPr>
        <w:t>CE, Dames Dol et Laurent</w:t>
      </w:r>
      <w:r>
        <w:rPr>
          <w:rFonts w:ascii="Calibri" w:eastAsia="Calibri" w:hAnsi="Calibri" w:cs="Calibri"/>
          <w:color w:val="1A1A1A"/>
        </w:rPr>
        <w:t xml:space="preserve"> ; </w:t>
      </w:r>
      <w:r>
        <w:rPr>
          <w:rFonts w:ascii="Calibri" w:eastAsia="Calibri" w:hAnsi="Calibri" w:cs="Calibri"/>
          <w:color w:val="E91E63"/>
        </w:rPr>
        <w:t>CE, Labonne</w:t>
      </w:r>
      <w:r>
        <w:rPr>
          <w:rFonts w:ascii="Calibri" w:eastAsia="Calibri" w:hAnsi="Calibri" w:cs="Calibri"/>
          <w:color w:val="1A1A1A"/>
        </w:rPr>
        <w:t xml:space="preserve"> — </w:t>
      </w:r>
      <w:r>
        <w:rPr>
          <w:rFonts w:ascii="Calibri" w:eastAsia="Calibri" w:hAnsi="Calibri" w:cs="Calibri"/>
          <w:b/>
          <w:bCs/>
          <w:color w:val="1A1A1A"/>
        </w:rPr>
        <w:t>1933</w:t>
      </w:r>
      <w:r>
        <w:rPr>
          <w:rFonts w:ascii="Calibri" w:eastAsia="Calibri" w:hAnsi="Calibri" w:cs="Calibri"/>
          <w:color w:val="1A1A1A"/>
        </w:rPr>
        <w:t xml:space="preserve"> </w:t>
      </w:r>
      <w:r>
        <w:rPr>
          <w:rFonts w:ascii="Calibri" w:eastAsia="Calibri" w:hAnsi="Calibri" w:cs="Calibri"/>
          <w:color w:val="E91E63"/>
        </w:rPr>
        <w:t>CE, Benjamin</w:t>
      </w:r>
      <w:r>
        <w:rPr>
          <w:rFonts w:ascii="Calibri" w:eastAsia="Calibri" w:hAnsi="Calibri" w:cs="Calibri"/>
          <w:color w:val="1A1A1A"/>
        </w:rPr>
        <w:t xml:space="preserve"> — </w:t>
      </w:r>
      <w:r>
        <w:rPr>
          <w:rFonts w:ascii="Calibri" w:eastAsia="Calibri" w:hAnsi="Calibri" w:cs="Calibri"/>
          <w:b/>
          <w:bCs/>
          <w:color w:val="1A1A1A"/>
        </w:rPr>
        <w:t>1936</w:t>
      </w:r>
      <w:r>
        <w:rPr>
          <w:rFonts w:ascii="Calibri" w:eastAsia="Calibri" w:hAnsi="Calibri" w:cs="Calibri"/>
          <w:color w:val="1A1A1A"/>
        </w:rPr>
        <w:t xml:space="preserve"> </w:t>
      </w:r>
      <w:r>
        <w:rPr>
          <w:rFonts w:ascii="Calibri" w:eastAsia="Calibri" w:hAnsi="Calibri" w:cs="Calibri"/>
          <w:color w:val="E91E63"/>
        </w:rPr>
        <w:t>CE, Jamart</w:t>
      </w:r>
      <w:r>
        <w:rPr>
          <w:rFonts w:ascii="Calibri" w:eastAsia="Calibri" w:hAnsi="Calibri" w:cs="Calibri"/>
          <w:color w:val="1A1A1A"/>
        </w:rPr>
        <w:t xml:space="preserve"> — </w:t>
      </w:r>
      <w:r>
        <w:rPr>
          <w:rFonts w:ascii="Calibri" w:eastAsia="Calibri" w:hAnsi="Calibri" w:cs="Calibri"/>
          <w:b/>
          <w:bCs/>
          <w:color w:val="1A1A1A"/>
        </w:rPr>
        <w:t>1944</w:t>
      </w:r>
      <w:r>
        <w:rPr>
          <w:rFonts w:ascii="Calibri" w:eastAsia="Calibri" w:hAnsi="Calibri" w:cs="Calibri"/>
          <w:color w:val="1A1A1A"/>
        </w:rPr>
        <w:t xml:space="preserve"> </w:t>
      </w:r>
      <w:r>
        <w:rPr>
          <w:rFonts w:ascii="Calibri" w:eastAsia="Calibri" w:hAnsi="Calibri" w:cs="Calibri"/>
          <w:color w:val="E91E63"/>
        </w:rPr>
        <w:t>CE, Dame Veuve Trompier Gravier</w:t>
      </w:r>
      <w:r>
        <w:rPr>
          <w:rFonts w:ascii="Calibri" w:eastAsia="Calibri" w:hAnsi="Calibri" w:cs="Calibri"/>
          <w:color w:val="1A1A1A"/>
        </w:rPr>
        <w:t xml:space="preserve"> — </w:t>
      </w:r>
      <w:r>
        <w:rPr>
          <w:rFonts w:ascii="Calibri" w:eastAsia="Calibri" w:hAnsi="Calibri" w:cs="Calibri"/>
          <w:b/>
          <w:bCs/>
          <w:color w:val="1A1A1A"/>
        </w:rPr>
        <w:t>1945</w:t>
      </w:r>
      <w:r>
        <w:rPr>
          <w:rFonts w:ascii="Calibri" w:eastAsia="Calibri" w:hAnsi="Calibri" w:cs="Calibri"/>
          <w:color w:val="1A1A1A"/>
        </w:rPr>
        <w:t xml:space="preserve"> </w:t>
      </w:r>
      <w:r>
        <w:rPr>
          <w:rFonts w:ascii="Calibri" w:eastAsia="Calibri" w:hAnsi="Calibri" w:cs="Calibri"/>
          <w:color w:val="E91E63"/>
        </w:rPr>
        <w:t>CE, Aramu</w:t>
      </w:r>
      <w:r>
        <w:rPr>
          <w:rFonts w:ascii="Calibri" w:eastAsia="Calibri" w:hAnsi="Calibri" w:cs="Calibri"/>
          <w:color w:val="1A1A1A"/>
        </w:rPr>
        <w:t xml:space="preserve"> — </w:t>
      </w:r>
      <w:r>
        <w:rPr>
          <w:rFonts w:ascii="Calibri" w:eastAsia="Calibri" w:hAnsi="Calibri" w:cs="Calibri"/>
          <w:b/>
          <w:bCs/>
          <w:color w:val="1A1A1A"/>
        </w:rPr>
        <w:t>1946</w:t>
      </w:r>
      <w:r>
        <w:rPr>
          <w:rFonts w:ascii="Calibri" w:eastAsia="Calibri" w:hAnsi="Calibri" w:cs="Calibri"/>
          <w:color w:val="1A1A1A"/>
        </w:rPr>
        <w:t xml:space="preserve"> </w:t>
      </w:r>
      <w:r>
        <w:rPr>
          <w:rFonts w:ascii="Calibri" w:eastAsia="Calibri" w:hAnsi="Calibri" w:cs="Calibri"/>
          <w:color w:val="1E88E5"/>
        </w:rPr>
        <w:t>Préambule du 27 octobre</w:t>
      </w:r>
      <w:r>
        <w:rPr>
          <w:rFonts w:ascii="Calibri" w:eastAsia="Calibri" w:hAnsi="Calibri" w:cs="Calibri"/>
          <w:color w:val="1A1A1A"/>
        </w:rPr>
        <w:t xml:space="preserve"> — </w:t>
      </w:r>
      <w:r>
        <w:rPr>
          <w:rFonts w:ascii="Calibri" w:eastAsia="Calibri" w:hAnsi="Calibri" w:cs="Calibri"/>
          <w:b/>
          <w:bCs/>
          <w:color w:val="1A1A1A"/>
        </w:rPr>
        <w:t>1947</w:t>
      </w:r>
      <w:r>
        <w:rPr>
          <w:rFonts w:ascii="Calibri" w:eastAsia="Calibri" w:hAnsi="Calibri" w:cs="Calibri"/>
          <w:color w:val="1A1A1A"/>
        </w:rPr>
        <w:t xml:space="preserve"> </w:t>
      </w:r>
      <w:r>
        <w:rPr>
          <w:rFonts w:ascii="Calibri" w:eastAsia="Calibri" w:hAnsi="Calibri" w:cs="Calibri"/>
          <w:color w:val="E91E63"/>
        </w:rPr>
        <w:t>CE, avis du 13 août</w:t>
      </w:r>
      <w:r>
        <w:rPr>
          <w:rFonts w:ascii="Calibri" w:eastAsia="Calibri" w:hAnsi="Calibri" w:cs="Calibri"/>
          <w:color w:val="1A1A1A"/>
        </w:rPr>
        <w:t xml:space="preserve"> — </w:t>
      </w:r>
      <w:r>
        <w:rPr>
          <w:rFonts w:ascii="Calibri" w:eastAsia="Calibri" w:hAnsi="Calibri" w:cs="Calibri"/>
          <w:b/>
          <w:bCs/>
          <w:color w:val="1A1A1A"/>
        </w:rPr>
        <w:t>1950</w:t>
      </w:r>
      <w:r>
        <w:rPr>
          <w:rFonts w:ascii="Calibri" w:eastAsia="Calibri" w:hAnsi="Calibri" w:cs="Calibri"/>
          <w:color w:val="1A1A1A"/>
        </w:rPr>
        <w:t xml:space="preserve"> </w:t>
      </w:r>
      <w:r>
        <w:rPr>
          <w:rFonts w:ascii="Calibri" w:eastAsia="Calibri" w:hAnsi="Calibri" w:cs="Calibri"/>
          <w:color w:val="E91E63"/>
        </w:rPr>
        <w:t>CE, Dame Lamotte</w:t>
      </w:r>
      <w:r>
        <w:rPr>
          <w:rFonts w:ascii="Calibri" w:eastAsia="Calibri" w:hAnsi="Calibri" w:cs="Calibri"/>
          <w:color w:val="1A1A1A"/>
        </w:rPr>
        <w:t xml:space="preserve"> ; </w:t>
      </w:r>
      <w:r>
        <w:rPr>
          <w:rFonts w:ascii="Calibri" w:eastAsia="Calibri" w:hAnsi="Calibri" w:cs="Calibri"/>
          <w:color w:val="1E88E5"/>
        </w:rPr>
        <w:t>CEDH</w:t>
      </w:r>
      <w:r>
        <w:rPr>
          <w:rFonts w:ascii="Calibri" w:eastAsia="Calibri" w:hAnsi="Calibri" w:cs="Calibri"/>
          <w:color w:val="1A1A1A"/>
        </w:rPr>
        <w:t xml:space="preserve"> — </w:t>
      </w:r>
      <w:r>
        <w:rPr>
          <w:rFonts w:ascii="Calibri" w:eastAsia="Calibri" w:hAnsi="Calibri" w:cs="Calibri"/>
          <w:b/>
          <w:bCs/>
          <w:color w:val="1A1A1A"/>
        </w:rPr>
        <w:t>1951</w:t>
      </w:r>
      <w:r>
        <w:rPr>
          <w:rFonts w:ascii="Calibri" w:eastAsia="Calibri" w:hAnsi="Calibri" w:cs="Calibri"/>
          <w:color w:val="1A1A1A"/>
        </w:rPr>
        <w:t xml:space="preserve"> </w:t>
      </w:r>
      <w:r>
        <w:rPr>
          <w:rFonts w:ascii="Calibri" w:eastAsia="Calibri" w:hAnsi="Calibri" w:cs="Calibri"/>
          <w:color w:val="E91E63"/>
        </w:rPr>
        <w:t>CE, Daudignac</w:t>
      </w:r>
      <w:r>
        <w:rPr>
          <w:rFonts w:ascii="Calibri" w:eastAsia="Calibri" w:hAnsi="Calibri" w:cs="Calibri"/>
          <w:color w:val="1A1A1A"/>
        </w:rPr>
        <w:t xml:space="preserve"> — </w:t>
      </w:r>
      <w:r>
        <w:rPr>
          <w:rFonts w:ascii="Calibri" w:eastAsia="Calibri" w:hAnsi="Calibri" w:cs="Calibri"/>
          <w:b/>
          <w:bCs/>
          <w:color w:val="1A1A1A"/>
        </w:rPr>
        <w:t>1953</w:t>
      </w:r>
      <w:r>
        <w:rPr>
          <w:rFonts w:ascii="Calibri" w:eastAsia="Calibri" w:hAnsi="Calibri" w:cs="Calibri"/>
          <w:color w:val="1A1A1A"/>
        </w:rPr>
        <w:t xml:space="preserve"> </w:t>
      </w:r>
      <w:r>
        <w:rPr>
          <w:rFonts w:ascii="Calibri" w:eastAsia="Calibri" w:hAnsi="Calibri" w:cs="Calibri"/>
          <w:color w:val="E91E63"/>
        </w:rPr>
        <w:t>CE, Huckel</w:t>
      </w:r>
      <w:r>
        <w:rPr>
          <w:rFonts w:ascii="Calibri" w:eastAsia="Calibri" w:hAnsi="Calibri" w:cs="Calibri"/>
          <w:color w:val="1A1A1A"/>
        </w:rPr>
        <w:t xml:space="preserve"> — </w:t>
      </w:r>
      <w:r>
        <w:rPr>
          <w:rFonts w:ascii="Calibri" w:eastAsia="Calibri" w:hAnsi="Calibri" w:cs="Calibri"/>
          <w:b/>
          <w:bCs/>
          <w:color w:val="1A1A1A"/>
        </w:rPr>
        <w:t>1956</w:t>
      </w:r>
      <w:r>
        <w:rPr>
          <w:rFonts w:ascii="Calibri" w:eastAsia="Calibri" w:hAnsi="Calibri" w:cs="Calibri"/>
          <w:color w:val="1A1A1A"/>
        </w:rPr>
        <w:t xml:space="preserve"> </w:t>
      </w:r>
      <w:r>
        <w:rPr>
          <w:rFonts w:ascii="Calibri" w:eastAsia="Calibri" w:hAnsi="Calibri" w:cs="Calibri"/>
          <w:color w:val="E91E63"/>
        </w:rPr>
        <w:t>CE, Amicale des Annamites de Paris</w:t>
      </w:r>
      <w:r>
        <w:rPr>
          <w:rFonts w:ascii="Calibri" w:eastAsia="Calibri" w:hAnsi="Calibri" w:cs="Calibri"/>
          <w:color w:val="1A1A1A"/>
        </w:rPr>
        <w:t xml:space="preserve"> — </w:t>
      </w:r>
      <w:r>
        <w:rPr>
          <w:rFonts w:ascii="Calibri" w:eastAsia="Calibri" w:hAnsi="Calibri" w:cs="Calibri"/>
          <w:b/>
          <w:bCs/>
          <w:color w:val="1A1A1A"/>
        </w:rPr>
        <w:t>1958</w:t>
      </w:r>
      <w:r>
        <w:rPr>
          <w:rFonts w:ascii="Calibri" w:eastAsia="Calibri" w:hAnsi="Calibri" w:cs="Calibri"/>
          <w:color w:val="1A1A1A"/>
        </w:rPr>
        <w:t xml:space="preserve"> </w:t>
      </w:r>
      <w:r>
        <w:rPr>
          <w:rFonts w:ascii="Calibri" w:eastAsia="Calibri" w:hAnsi="Calibri" w:cs="Calibri"/>
          <w:color w:val="1E88E5"/>
        </w:rPr>
        <w:t>Constitution du 4 octobre</w:t>
      </w:r>
      <w:r>
        <w:rPr>
          <w:rFonts w:ascii="Calibri" w:eastAsia="Calibri" w:hAnsi="Calibri" w:cs="Calibri"/>
          <w:color w:val="1A1A1A"/>
        </w:rPr>
        <w:t xml:space="preserve"> — </w:t>
      </w:r>
      <w:r>
        <w:rPr>
          <w:rFonts w:ascii="Calibri" w:eastAsia="Calibri" w:hAnsi="Calibri" w:cs="Calibri"/>
          <w:b/>
          <w:bCs/>
          <w:color w:val="1A1A1A"/>
        </w:rPr>
        <w:t>1959</w:t>
      </w:r>
      <w:r>
        <w:rPr>
          <w:rFonts w:ascii="Calibri" w:eastAsia="Calibri" w:hAnsi="Calibri" w:cs="Calibri"/>
          <w:color w:val="1A1A1A"/>
        </w:rPr>
        <w:t xml:space="preserve"> </w:t>
      </w:r>
      <w:r>
        <w:rPr>
          <w:rFonts w:ascii="Calibri" w:eastAsia="Calibri" w:hAnsi="Calibri" w:cs="Calibri"/>
          <w:color w:val="E91E63"/>
        </w:rPr>
        <w:t>CE, Société Les films Lutetia</w:t>
      </w:r>
      <w:r>
        <w:rPr>
          <w:rFonts w:ascii="Calibri" w:eastAsia="Calibri" w:hAnsi="Calibri" w:cs="Calibri"/>
          <w:color w:val="1A1A1A"/>
        </w:rPr>
        <w:t>.</w:t>
      </w:r>
    </w:p>
    <w:p w14:paraId="4F0D0514"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1962</w:t>
      </w:r>
      <w:r>
        <w:rPr>
          <w:rFonts w:ascii="Calibri" w:eastAsia="Calibri" w:hAnsi="Calibri" w:cs="Calibri"/>
          <w:color w:val="1A1A1A"/>
        </w:rPr>
        <w:t xml:space="preserve"> </w:t>
      </w:r>
      <w:r>
        <w:rPr>
          <w:rFonts w:ascii="Calibri" w:eastAsia="Calibri" w:hAnsi="Calibri" w:cs="Calibri"/>
          <w:color w:val="E91E63"/>
        </w:rPr>
        <w:t>CE, Rubin de Servens</w:t>
      </w:r>
      <w:r>
        <w:rPr>
          <w:rFonts w:ascii="Calibri" w:eastAsia="Calibri" w:hAnsi="Calibri" w:cs="Calibri"/>
          <w:color w:val="1A1A1A"/>
        </w:rPr>
        <w:t xml:space="preserve"> ; </w:t>
      </w:r>
      <w:r>
        <w:rPr>
          <w:rFonts w:ascii="Calibri" w:eastAsia="Calibri" w:hAnsi="Calibri" w:cs="Calibri"/>
          <w:color w:val="E91E63"/>
        </w:rPr>
        <w:t>CE, Canal</w:t>
      </w:r>
      <w:r>
        <w:rPr>
          <w:rFonts w:ascii="Calibri" w:eastAsia="Calibri" w:hAnsi="Calibri" w:cs="Calibri"/>
          <w:color w:val="1A1A1A"/>
        </w:rPr>
        <w:t xml:space="preserve"> ; </w:t>
      </w:r>
      <w:r>
        <w:rPr>
          <w:rFonts w:ascii="Calibri" w:eastAsia="Calibri" w:hAnsi="Calibri" w:cs="Calibri"/>
          <w:color w:val="E91E63"/>
        </w:rPr>
        <w:t>Cons. const., 62-20 DC</w:t>
      </w:r>
      <w:r>
        <w:rPr>
          <w:rFonts w:ascii="Calibri" w:eastAsia="Calibri" w:hAnsi="Calibri" w:cs="Calibri"/>
          <w:color w:val="1A1A1A"/>
        </w:rPr>
        <w:t xml:space="preserve"> — </w:t>
      </w:r>
      <w:r>
        <w:rPr>
          <w:rFonts w:ascii="Calibri" w:eastAsia="Calibri" w:hAnsi="Calibri" w:cs="Calibri"/>
          <w:b/>
          <w:bCs/>
          <w:color w:val="1A1A1A"/>
        </w:rPr>
        <w:t>1964</w:t>
      </w:r>
      <w:r>
        <w:rPr>
          <w:rFonts w:ascii="Calibri" w:eastAsia="Calibri" w:hAnsi="Calibri" w:cs="Calibri"/>
          <w:color w:val="1A1A1A"/>
        </w:rPr>
        <w:t xml:space="preserve"> </w:t>
      </w:r>
      <w:r>
        <w:rPr>
          <w:rFonts w:ascii="Calibri" w:eastAsia="Calibri" w:hAnsi="Calibri" w:cs="Calibri"/>
          <w:color w:val="E91E63"/>
        </w:rPr>
        <w:t>CJUE, Costa c. Enel</w:t>
      </w:r>
      <w:r>
        <w:rPr>
          <w:rFonts w:ascii="Calibri" w:eastAsia="Calibri" w:hAnsi="Calibri" w:cs="Calibri"/>
          <w:color w:val="1A1A1A"/>
        </w:rPr>
        <w:t xml:space="preserve"> — </w:t>
      </w:r>
      <w:r>
        <w:rPr>
          <w:rFonts w:ascii="Calibri" w:eastAsia="Calibri" w:hAnsi="Calibri" w:cs="Calibri"/>
          <w:b/>
          <w:bCs/>
          <w:color w:val="1A1A1A"/>
        </w:rPr>
        <w:t>1966</w:t>
      </w:r>
      <w:r>
        <w:rPr>
          <w:rFonts w:ascii="Calibri" w:eastAsia="Calibri" w:hAnsi="Calibri" w:cs="Calibri"/>
          <w:color w:val="1A1A1A"/>
        </w:rPr>
        <w:t xml:space="preserve"> </w:t>
      </w:r>
      <w:r>
        <w:rPr>
          <w:rFonts w:ascii="Calibri" w:eastAsia="Calibri" w:hAnsi="Calibri" w:cs="Calibri"/>
          <w:color w:val="1E88E5"/>
        </w:rPr>
        <w:t>PIDCP</w:t>
      </w:r>
      <w:r>
        <w:rPr>
          <w:rFonts w:ascii="Calibri" w:eastAsia="Calibri" w:hAnsi="Calibri" w:cs="Calibri"/>
          <w:color w:val="1A1A1A"/>
        </w:rPr>
        <w:t xml:space="preserve"> et </w:t>
      </w:r>
      <w:r>
        <w:rPr>
          <w:rFonts w:ascii="Calibri" w:eastAsia="Calibri" w:hAnsi="Calibri" w:cs="Calibri"/>
          <w:color w:val="1E88E5"/>
        </w:rPr>
        <w:t>PIDESC</w:t>
      </w:r>
      <w:r>
        <w:rPr>
          <w:rFonts w:ascii="Calibri" w:eastAsia="Calibri" w:hAnsi="Calibri" w:cs="Calibri"/>
          <w:color w:val="1A1A1A"/>
        </w:rPr>
        <w:t xml:space="preserve"> — </w:t>
      </w:r>
      <w:r>
        <w:rPr>
          <w:rFonts w:ascii="Calibri" w:eastAsia="Calibri" w:hAnsi="Calibri" w:cs="Calibri"/>
          <w:b/>
          <w:bCs/>
          <w:color w:val="1A1A1A"/>
        </w:rPr>
        <w:t>1970</w:t>
      </w:r>
      <w:r>
        <w:rPr>
          <w:rFonts w:ascii="Calibri" w:eastAsia="Calibri" w:hAnsi="Calibri" w:cs="Calibri"/>
          <w:color w:val="1A1A1A"/>
        </w:rPr>
        <w:t xml:space="preserve"> </w:t>
      </w:r>
      <w:r>
        <w:rPr>
          <w:rFonts w:ascii="Calibri" w:eastAsia="Calibri" w:hAnsi="Calibri" w:cs="Calibri"/>
          <w:color w:val="E91E63"/>
        </w:rPr>
        <w:t>Cons. const., 70-39 DC</w:t>
      </w:r>
      <w:r>
        <w:rPr>
          <w:rFonts w:ascii="Calibri" w:eastAsia="Calibri" w:hAnsi="Calibri" w:cs="Calibri"/>
          <w:color w:val="1A1A1A"/>
        </w:rPr>
        <w:t xml:space="preserve"> et </w:t>
      </w:r>
      <w:r>
        <w:rPr>
          <w:rFonts w:ascii="Calibri" w:eastAsia="Calibri" w:hAnsi="Calibri" w:cs="Calibri"/>
          <w:color w:val="E91E63"/>
        </w:rPr>
        <w:t>70-40 DC</w:t>
      </w:r>
      <w:r>
        <w:rPr>
          <w:rFonts w:ascii="Calibri" w:eastAsia="Calibri" w:hAnsi="Calibri" w:cs="Calibri"/>
          <w:color w:val="1A1A1A"/>
        </w:rPr>
        <w:t xml:space="preserve"> — </w:t>
      </w:r>
      <w:r>
        <w:rPr>
          <w:rFonts w:ascii="Calibri" w:eastAsia="Calibri" w:hAnsi="Calibri" w:cs="Calibri"/>
          <w:b/>
          <w:bCs/>
          <w:color w:val="1A1A1A"/>
        </w:rPr>
        <w:t>1971</w:t>
      </w:r>
      <w:r>
        <w:rPr>
          <w:rFonts w:ascii="Calibri" w:eastAsia="Calibri" w:hAnsi="Calibri" w:cs="Calibri"/>
          <w:color w:val="1A1A1A"/>
        </w:rPr>
        <w:t xml:space="preserve"> </w:t>
      </w:r>
      <w:r>
        <w:rPr>
          <w:rFonts w:ascii="Calibri" w:eastAsia="Calibri" w:hAnsi="Calibri" w:cs="Calibri"/>
          <w:color w:val="E91E63"/>
        </w:rPr>
        <w:t>Cons. const., 71-44 DC, Liberté d’association</w:t>
      </w:r>
      <w:r>
        <w:rPr>
          <w:rFonts w:ascii="Calibri" w:eastAsia="Calibri" w:hAnsi="Calibri" w:cs="Calibri"/>
          <w:color w:val="1A1A1A"/>
        </w:rPr>
        <w:t xml:space="preserve"> — </w:t>
      </w:r>
      <w:r>
        <w:rPr>
          <w:rFonts w:ascii="Calibri" w:eastAsia="Calibri" w:hAnsi="Calibri" w:cs="Calibri"/>
          <w:b/>
          <w:bCs/>
          <w:color w:val="1A1A1A"/>
        </w:rPr>
        <w:t>1973</w:t>
      </w:r>
      <w:r>
        <w:rPr>
          <w:rFonts w:ascii="Calibri" w:eastAsia="Calibri" w:hAnsi="Calibri" w:cs="Calibri"/>
          <w:color w:val="1A1A1A"/>
        </w:rPr>
        <w:t xml:space="preserve"> </w:t>
      </w:r>
      <w:r>
        <w:rPr>
          <w:rFonts w:ascii="Calibri" w:eastAsia="Calibri" w:hAnsi="Calibri" w:cs="Calibri"/>
          <w:color w:val="E91E63"/>
        </w:rPr>
        <w:t>Cons. const., 73-51 DC, Taxation d’office</w:t>
      </w:r>
      <w:r>
        <w:rPr>
          <w:rFonts w:ascii="Calibri" w:eastAsia="Calibri" w:hAnsi="Calibri" w:cs="Calibri"/>
          <w:color w:val="1A1A1A"/>
        </w:rPr>
        <w:t xml:space="preserve"> — </w:t>
      </w:r>
      <w:r>
        <w:rPr>
          <w:rFonts w:ascii="Calibri" w:eastAsia="Calibri" w:hAnsi="Calibri" w:cs="Calibri"/>
          <w:b/>
          <w:bCs/>
          <w:color w:val="1A1A1A"/>
        </w:rPr>
        <w:t>1974</w:t>
      </w:r>
      <w:r>
        <w:rPr>
          <w:rFonts w:ascii="Calibri" w:eastAsia="Calibri" w:hAnsi="Calibri" w:cs="Calibri"/>
          <w:color w:val="1A1A1A"/>
        </w:rPr>
        <w:t xml:space="preserve"> </w:t>
      </w:r>
      <w:r>
        <w:rPr>
          <w:rFonts w:ascii="Calibri" w:eastAsia="Calibri" w:hAnsi="Calibri" w:cs="Calibri"/>
          <w:color w:val="1E88E5"/>
        </w:rPr>
        <w:t>loi constitutionnelle du 29 octobre</w:t>
      </w:r>
      <w:r>
        <w:rPr>
          <w:rFonts w:ascii="Calibri" w:eastAsia="Calibri" w:hAnsi="Calibri" w:cs="Calibri"/>
          <w:color w:val="1A1A1A"/>
        </w:rPr>
        <w:t xml:space="preserve"> — </w:t>
      </w:r>
      <w:r>
        <w:rPr>
          <w:rFonts w:ascii="Calibri" w:eastAsia="Calibri" w:hAnsi="Calibri" w:cs="Calibri"/>
          <w:b/>
          <w:bCs/>
          <w:color w:val="1A1A1A"/>
        </w:rPr>
        <w:t>1975</w:t>
      </w:r>
      <w:r>
        <w:rPr>
          <w:rFonts w:ascii="Calibri" w:eastAsia="Calibri" w:hAnsi="Calibri" w:cs="Calibri"/>
          <w:color w:val="1A1A1A"/>
        </w:rPr>
        <w:t xml:space="preserve"> </w:t>
      </w:r>
      <w:r>
        <w:rPr>
          <w:rFonts w:ascii="Calibri" w:eastAsia="Calibri" w:hAnsi="Calibri" w:cs="Calibri"/>
          <w:color w:val="E91E63"/>
        </w:rPr>
        <w:t>Cons. const., 74-54 DC, IVG</w:t>
      </w:r>
      <w:r>
        <w:rPr>
          <w:rFonts w:ascii="Calibri" w:eastAsia="Calibri" w:hAnsi="Calibri" w:cs="Calibri"/>
          <w:color w:val="1A1A1A"/>
        </w:rPr>
        <w:t xml:space="preserve"> ; </w:t>
      </w:r>
      <w:r>
        <w:rPr>
          <w:rFonts w:ascii="Calibri" w:eastAsia="Calibri" w:hAnsi="Calibri" w:cs="Calibri"/>
          <w:color w:val="E91E63"/>
        </w:rPr>
        <w:t>Cass., Jacques Vabre</w:t>
      </w:r>
      <w:r>
        <w:rPr>
          <w:rFonts w:ascii="Calibri" w:eastAsia="Calibri" w:hAnsi="Calibri" w:cs="Calibri"/>
          <w:color w:val="1A1A1A"/>
        </w:rPr>
        <w:t xml:space="preserve"> ; </w:t>
      </w:r>
      <w:r>
        <w:rPr>
          <w:rFonts w:ascii="Calibri" w:eastAsia="Calibri" w:hAnsi="Calibri" w:cs="Calibri"/>
          <w:color w:val="1E88E5"/>
        </w:rPr>
        <w:t>loi Veil</w:t>
      </w:r>
      <w:r>
        <w:rPr>
          <w:rFonts w:ascii="Calibri" w:eastAsia="Calibri" w:hAnsi="Calibri" w:cs="Calibri"/>
          <w:color w:val="1A1A1A"/>
        </w:rPr>
        <w:t xml:space="preserve"> — </w:t>
      </w:r>
      <w:r>
        <w:rPr>
          <w:rFonts w:ascii="Calibri" w:eastAsia="Calibri" w:hAnsi="Calibri" w:cs="Calibri"/>
          <w:b/>
          <w:bCs/>
          <w:color w:val="1A1A1A"/>
        </w:rPr>
        <w:t>1978</w:t>
      </w:r>
      <w:r>
        <w:rPr>
          <w:rFonts w:ascii="Calibri" w:eastAsia="Calibri" w:hAnsi="Calibri" w:cs="Calibri"/>
          <w:color w:val="1A1A1A"/>
        </w:rPr>
        <w:t xml:space="preserve"> </w:t>
      </w:r>
      <w:r>
        <w:rPr>
          <w:rFonts w:ascii="Calibri" w:eastAsia="Calibri" w:hAnsi="Calibri" w:cs="Calibri"/>
          <w:color w:val="E91E63"/>
        </w:rPr>
        <w:t>CEDH, Irlande c. Royaume-Uni</w:t>
      </w:r>
      <w:r>
        <w:rPr>
          <w:rFonts w:ascii="Calibri" w:eastAsia="Calibri" w:hAnsi="Calibri" w:cs="Calibri"/>
          <w:color w:val="1A1A1A"/>
        </w:rPr>
        <w:t xml:space="preserve"> ; </w:t>
      </w:r>
      <w:r>
        <w:rPr>
          <w:rFonts w:ascii="Calibri" w:eastAsia="Calibri" w:hAnsi="Calibri" w:cs="Calibri"/>
          <w:color w:val="E91E63"/>
        </w:rPr>
        <w:t>CE, GISTI</w:t>
      </w:r>
      <w:r>
        <w:rPr>
          <w:rFonts w:ascii="Calibri" w:eastAsia="Calibri" w:hAnsi="Calibri" w:cs="Calibri"/>
          <w:color w:val="1A1A1A"/>
        </w:rPr>
        <w:t xml:space="preserve"> ; </w:t>
      </w:r>
      <w:r>
        <w:rPr>
          <w:rFonts w:ascii="Calibri" w:eastAsia="Calibri" w:hAnsi="Calibri" w:cs="Calibri"/>
          <w:color w:val="E91E63"/>
        </w:rPr>
        <w:t>CE, Comité pour léguer l’esprit de la Résistance</w:t>
      </w:r>
      <w:r>
        <w:rPr>
          <w:rFonts w:ascii="Calibri" w:eastAsia="Calibri" w:hAnsi="Calibri" w:cs="Calibri"/>
          <w:color w:val="1A1A1A"/>
        </w:rPr>
        <w:t xml:space="preserve"> — </w:t>
      </w:r>
      <w:r>
        <w:rPr>
          <w:rFonts w:ascii="Calibri" w:eastAsia="Calibri" w:hAnsi="Calibri" w:cs="Calibri"/>
          <w:b/>
          <w:bCs/>
          <w:color w:val="1A1A1A"/>
        </w:rPr>
        <w:t>1979</w:t>
      </w:r>
      <w:r>
        <w:rPr>
          <w:rFonts w:ascii="Calibri" w:eastAsia="Calibri" w:hAnsi="Calibri" w:cs="Calibri"/>
          <w:color w:val="1A1A1A"/>
        </w:rPr>
        <w:t xml:space="preserve"> </w:t>
      </w:r>
      <w:r>
        <w:rPr>
          <w:rFonts w:ascii="Calibri" w:eastAsia="Calibri" w:hAnsi="Calibri" w:cs="Calibri"/>
          <w:color w:val="E91E63"/>
        </w:rPr>
        <w:t>CEDH, Airey c. Irlande</w:t>
      </w:r>
      <w:r>
        <w:rPr>
          <w:rFonts w:ascii="Calibri" w:eastAsia="Calibri" w:hAnsi="Calibri" w:cs="Calibri"/>
          <w:color w:val="1A1A1A"/>
        </w:rPr>
        <w:t>.</w:t>
      </w:r>
    </w:p>
    <w:p w14:paraId="4188BD10"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1982</w:t>
      </w:r>
      <w:r>
        <w:rPr>
          <w:rFonts w:ascii="Calibri" w:eastAsia="Calibri" w:hAnsi="Calibri" w:cs="Calibri"/>
          <w:color w:val="1A1A1A"/>
        </w:rPr>
        <w:t xml:space="preserve"> </w:t>
      </w:r>
      <w:r>
        <w:rPr>
          <w:rFonts w:ascii="Calibri" w:eastAsia="Calibri" w:hAnsi="Calibri" w:cs="Calibri"/>
          <w:color w:val="E91E63"/>
        </w:rPr>
        <w:t>Cons. const., 82-141 DC</w:t>
      </w:r>
      <w:r>
        <w:rPr>
          <w:rFonts w:ascii="Calibri" w:eastAsia="Calibri" w:hAnsi="Calibri" w:cs="Calibri"/>
          <w:color w:val="1A1A1A"/>
        </w:rPr>
        <w:t xml:space="preserve"> (OVC) — </w:t>
      </w:r>
      <w:r>
        <w:rPr>
          <w:rFonts w:ascii="Calibri" w:eastAsia="Calibri" w:hAnsi="Calibri" w:cs="Calibri"/>
          <w:b/>
          <w:bCs/>
          <w:color w:val="1A1A1A"/>
        </w:rPr>
        <w:t>1984</w:t>
      </w:r>
      <w:r>
        <w:rPr>
          <w:rFonts w:ascii="Calibri" w:eastAsia="Calibri" w:hAnsi="Calibri" w:cs="Calibri"/>
          <w:color w:val="1A1A1A"/>
        </w:rPr>
        <w:t xml:space="preserve"> </w:t>
      </w:r>
      <w:r>
        <w:rPr>
          <w:rFonts w:ascii="Calibri" w:eastAsia="Calibri" w:hAnsi="Calibri" w:cs="Calibri"/>
          <w:color w:val="E91E63"/>
        </w:rPr>
        <w:t>Cons. const., 84-181 DC</w:t>
      </w:r>
      <w:r>
        <w:rPr>
          <w:rFonts w:ascii="Calibri" w:eastAsia="Calibri" w:hAnsi="Calibri" w:cs="Calibri"/>
          <w:color w:val="1A1A1A"/>
        </w:rPr>
        <w:t xml:space="preserve"> (libertés fondamentales) — </w:t>
      </w:r>
      <w:r>
        <w:rPr>
          <w:rFonts w:ascii="Calibri" w:eastAsia="Calibri" w:hAnsi="Calibri" w:cs="Calibri"/>
          <w:b/>
          <w:bCs/>
          <w:color w:val="1A1A1A"/>
        </w:rPr>
        <w:t>1985</w:t>
      </w:r>
      <w:r>
        <w:rPr>
          <w:rFonts w:ascii="Calibri" w:eastAsia="Calibri" w:hAnsi="Calibri" w:cs="Calibri"/>
          <w:color w:val="1A1A1A"/>
        </w:rPr>
        <w:t xml:space="preserve"> </w:t>
      </w:r>
      <w:r>
        <w:rPr>
          <w:rFonts w:ascii="Calibri" w:eastAsia="Calibri" w:hAnsi="Calibri" w:cs="Calibri"/>
          <w:color w:val="E91E63"/>
        </w:rPr>
        <w:t>Cons. const., 85-187 DC</w:t>
      </w:r>
      <w:r>
        <w:rPr>
          <w:rFonts w:ascii="Calibri" w:eastAsia="Calibri" w:hAnsi="Calibri" w:cs="Calibri"/>
          <w:color w:val="1A1A1A"/>
        </w:rPr>
        <w:t xml:space="preserve"> ; </w:t>
      </w:r>
      <w:r>
        <w:rPr>
          <w:rFonts w:ascii="Calibri" w:eastAsia="Calibri" w:hAnsi="Calibri" w:cs="Calibri"/>
          <w:color w:val="E91E63"/>
        </w:rPr>
        <w:t>Cons. const., 85-197 DC</w:t>
      </w:r>
      <w:r>
        <w:rPr>
          <w:rFonts w:ascii="Calibri" w:eastAsia="Calibri" w:hAnsi="Calibri" w:cs="Calibri"/>
          <w:color w:val="1A1A1A"/>
        </w:rPr>
        <w:t xml:space="preserve"> — </w:t>
      </w:r>
      <w:r>
        <w:rPr>
          <w:rFonts w:ascii="Calibri" w:eastAsia="Calibri" w:hAnsi="Calibri" w:cs="Calibri"/>
          <w:b/>
          <w:bCs/>
          <w:color w:val="1A1A1A"/>
        </w:rPr>
        <w:t>1986</w:t>
      </w:r>
      <w:r>
        <w:rPr>
          <w:rFonts w:ascii="Calibri" w:eastAsia="Calibri" w:hAnsi="Calibri" w:cs="Calibri"/>
          <w:color w:val="1A1A1A"/>
        </w:rPr>
        <w:t xml:space="preserve"> </w:t>
      </w:r>
      <w:r>
        <w:rPr>
          <w:rFonts w:ascii="Calibri" w:eastAsia="Calibri" w:hAnsi="Calibri" w:cs="Calibri"/>
          <w:color w:val="E91E63"/>
        </w:rPr>
        <w:t>Cons. const., 86-217 DC</w:t>
      </w:r>
      <w:r>
        <w:rPr>
          <w:rFonts w:ascii="Calibri" w:eastAsia="Calibri" w:hAnsi="Calibri" w:cs="Calibri"/>
          <w:color w:val="1A1A1A"/>
        </w:rPr>
        <w:t xml:space="preserve"> (effet cliquet) — </w:t>
      </w:r>
      <w:r>
        <w:rPr>
          <w:rFonts w:ascii="Calibri" w:eastAsia="Calibri" w:hAnsi="Calibri" w:cs="Calibri"/>
          <w:b/>
          <w:bCs/>
          <w:color w:val="1A1A1A"/>
        </w:rPr>
        <w:t>1987</w:t>
      </w:r>
      <w:r>
        <w:rPr>
          <w:rFonts w:ascii="Calibri" w:eastAsia="Calibri" w:hAnsi="Calibri" w:cs="Calibri"/>
          <w:color w:val="1A1A1A"/>
        </w:rPr>
        <w:t xml:space="preserve"> </w:t>
      </w:r>
      <w:r>
        <w:rPr>
          <w:rFonts w:ascii="Calibri" w:eastAsia="Calibri" w:hAnsi="Calibri" w:cs="Calibri"/>
          <w:color w:val="E91E63"/>
        </w:rPr>
        <w:t>Cons. const., 86-224 DC</w:t>
      </w:r>
      <w:r>
        <w:rPr>
          <w:rFonts w:ascii="Calibri" w:eastAsia="Calibri" w:hAnsi="Calibri" w:cs="Calibri"/>
          <w:color w:val="1A1A1A"/>
        </w:rPr>
        <w:t xml:space="preserve"> — </w:t>
      </w:r>
      <w:r>
        <w:rPr>
          <w:rFonts w:ascii="Calibri" w:eastAsia="Calibri" w:hAnsi="Calibri" w:cs="Calibri"/>
          <w:b/>
          <w:bCs/>
          <w:color w:val="1A1A1A"/>
        </w:rPr>
        <w:t>1988</w:t>
      </w:r>
      <w:r>
        <w:rPr>
          <w:rFonts w:ascii="Calibri" w:eastAsia="Calibri" w:hAnsi="Calibri" w:cs="Calibri"/>
          <w:color w:val="1A1A1A"/>
        </w:rPr>
        <w:t xml:space="preserve"> </w:t>
      </w:r>
      <w:r>
        <w:rPr>
          <w:rFonts w:ascii="Calibri" w:eastAsia="Calibri" w:hAnsi="Calibri" w:cs="Calibri"/>
          <w:color w:val="E91E63"/>
        </w:rPr>
        <w:t>CE, Bereciartua-Echarri</w:t>
      </w:r>
      <w:r>
        <w:rPr>
          <w:rFonts w:ascii="Calibri" w:eastAsia="Calibri" w:hAnsi="Calibri" w:cs="Calibri"/>
          <w:color w:val="1A1A1A"/>
        </w:rPr>
        <w:t xml:space="preserve"> ; </w:t>
      </w:r>
      <w:r>
        <w:rPr>
          <w:rFonts w:ascii="Calibri" w:eastAsia="Calibri" w:hAnsi="Calibri" w:cs="Calibri"/>
          <w:color w:val="E91E63"/>
        </w:rPr>
        <w:t>Cons. const., 88-224 DC</w:t>
      </w:r>
      <w:r>
        <w:rPr>
          <w:rFonts w:ascii="Calibri" w:eastAsia="Calibri" w:hAnsi="Calibri" w:cs="Calibri"/>
          <w:color w:val="1A1A1A"/>
        </w:rPr>
        <w:t xml:space="preserve"> — </w:t>
      </w:r>
      <w:r>
        <w:rPr>
          <w:rFonts w:ascii="Calibri" w:eastAsia="Calibri" w:hAnsi="Calibri" w:cs="Calibri"/>
          <w:b/>
          <w:bCs/>
          <w:color w:val="1A1A1A"/>
        </w:rPr>
        <w:t>1989</w:t>
      </w:r>
      <w:r>
        <w:rPr>
          <w:rFonts w:ascii="Calibri" w:eastAsia="Calibri" w:hAnsi="Calibri" w:cs="Calibri"/>
          <w:color w:val="1A1A1A"/>
        </w:rPr>
        <w:t xml:space="preserve"> </w:t>
      </w:r>
      <w:r>
        <w:rPr>
          <w:rFonts w:ascii="Calibri" w:eastAsia="Calibri" w:hAnsi="Calibri" w:cs="Calibri"/>
          <w:color w:val="E91E63"/>
        </w:rPr>
        <w:t>CE, Nicolo</w:t>
      </w:r>
      <w:r>
        <w:rPr>
          <w:rFonts w:ascii="Calibri" w:eastAsia="Calibri" w:hAnsi="Calibri" w:cs="Calibri"/>
          <w:color w:val="1A1A1A"/>
        </w:rPr>
        <w:t xml:space="preserve"> ; </w:t>
      </w:r>
      <w:r>
        <w:rPr>
          <w:rFonts w:ascii="Calibri" w:eastAsia="Calibri" w:hAnsi="Calibri" w:cs="Calibri"/>
          <w:color w:val="E91E63"/>
        </w:rPr>
        <w:t>Cons. const., 89-256 DC</w:t>
      </w:r>
      <w:r>
        <w:rPr>
          <w:rFonts w:ascii="Calibri" w:eastAsia="Calibri" w:hAnsi="Calibri" w:cs="Calibri"/>
          <w:color w:val="1A1A1A"/>
        </w:rPr>
        <w:t xml:space="preserve"> et </w:t>
      </w:r>
      <w:r>
        <w:rPr>
          <w:rFonts w:ascii="Calibri" w:eastAsia="Calibri" w:hAnsi="Calibri" w:cs="Calibri"/>
          <w:color w:val="E91E63"/>
        </w:rPr>
        <w:t>89-257 DC</w:t>
      </w:r>
      <w:r>
        <w:rPr>
          <w:rFonts w:ascii="Calibri" w:eastAsia="Calibri" w:hAnsi="Calibri" w:cs="Calibri"/>
          <w:color w:val="1A1A1A"/>
        </w:rPr>
        <w:t xml:space="preserve"> — </w:t>
      </w:r>
      <w:r>
        <w:rPr>
          <w:rFonts w:ascii="Calibri" w:eastAsia="Calibri" w:hAnsi="Calibri" w:cs="Calibri"/>
          <w:b/>
          <w:bCs/>
          <w:color w:val="1A1A1A"/>
        </w:rPr>
        <w:t>1991</w:t>
      </w:r>
      <w:r>
        <w:rPr>
          <w:rFonts w:ascii="Calibri" w:eastAsia="Calibri" w:hAnsi="Calibri" w:cs="Calibri"/>
          <w:color w:val="1A1A1A"/>
        </w:rPr>
        <w:t xml:space="preserve"> </w:t>
      </w:r>
      <w:r>
        <w:rPr>
          <w:rFonts w:ascii="Calibri" w:eastAsia="Calibri" w:hAnsi="Calibri" w:cs="Calibri"/>
          <w:color w:val="E91E63"/>
        </w:rPr>
        <w:t>Cons. const., 90-283 DC</w:t>
      </w:r>
      <w:r>
        <w:rPr>
          <w:rFonts w:ascii="Calibri" w:eastAsia="Calibri" w:hAnsi="Calibri" w:cs="Calibri"/>
          <w:color w:val="1A1A1A"/>
        </w:rPr>
        <w:t xml:space="preserve"> ; </w:t>
      </w:r>
      <w:r>
        <w:rPr>
          <w:rFonts w:ascii="Calibri" w:eastAsia="Calibri" w:hAnsi="Calibri" w:cs="Calibri"/>
          <w:color w:val="E91E63"/>
        </w:rPr>
        <w:t>Cons. const., 91-167 L</w:t>
      </w:r>
      <w:r>
        <w:rPr>
          <w:rFonts w:ascii="Calibri" w:eastAsia="Calibri" w:hAnsi="Calibri" w:cs="Calibri"/>
          <w:color w:val="1A1A1A"/>
        </w:rPr>
        <w:t xml:space="preserve"> ; </w:t>
      </w:r>
      <w:r>
        <w:rPr>
          <w:rFonts w:ascii="Calibri" w:eastAsia="Calibri" w:hAnsi="Calibri" w:cs="Calibri"/>
          <w:color w:val="2E7D32"/>
        </w:rPr>
        <w:t>CE, Rapport public</w:t>
      </w:r>
      <w:r>
        <w:rPr>
          <w:rFonts w:ascii="Calibri" w:eastAsia="Calibri" w:hAnsi="Calibri" w:cs="Calibri"/>
          <w:color w:val="1A1A1A"/>
        </w:rPr>
        <w:t xml:space="preserve"> — </w:t>
      </w:r>
      <w:r>
        <w:rPr>
          <w:rFonts w:ascii="Calibri" w:eastAsia="Calibri" w:hAnsi="Calibri" w:cs="Calibri"/>
          <w:b/>
          <w:bCs/>
          <w:color w:val="1A1A1A"/>
        </w:rPr>
        <w:t>1994</w:t>
      </w:r>
      <w:r>
        <w:rPr>
          <w:rFonts w:ascii="Calibri" w:eastAsia="Calibri" w:hAnsi="Calibri" w:cs="Calibri"/>
          <w:color w:val="1A1A1A"/>
        </w:rPr>
        <w:t xml:space="preserve"> </w:t>
      </w:r>
      <w:r>
        <w:rPr>
          <w:rFonts w:ascii="Calibri" w:eastAsia="Calibri" w:hAnsi="Calibri" w:cs="Calibri"/>
          <w:color w:val="E91E63"/>
        </w:rPr>
        <w:t>Cons. const., 94-343/344 DC</w:t>
      </w:r>
      <w:r>
        <w:rPr>
          <w:rFonts w:ascii="Calibri" w:eastAsia="Calibri" w:hAnsi="Calibri" w:cs="Calibri"/>
          <w:color w:val="1A1A1A"/>
        </w:rPr>
        <w:t xml:space="preserve"> (dignité) — </w:t>
      </w:r>
      <w:r>
        <w:rPr>
          <w:rFonts w:ascii="Calibri" w:eastAsia="Calibri" w:hAnsi="Calibri" w:cs="Calibri"/>
          <w:b/>
          <w:bCs/>
          <w:color w:val="1A1A1A"/>
        </w:rPr>
        <w:t>1995</w:t>
      </w:r>
      <w:r>
        <w:rPr>
          <w:rFonts w:ascii="Calibri" w:eastAsia="Calibri" w:hAnsi="Calibri" w:cs="Calibri"/>
          <w:color w:val="1A1A1A"/>
        </w:rPr>
        <w:t xml:space="preserve"> </w:t>
      </w:r>
      <w:r>
        <w:rPr>
          <w:rFonts w:ascii="Calibri" w:eastAsia="Calibri" w:hAnsi="Calibri" w:cs="Calibri"/>
          <w:color w:val="E91E63"/>
        </w:rPr>
        <w:t>CE, Morsang-sur-Orge</w:t>
      </w:r>
      <w:r>
        <w:rPr>
          <w:rFonts w:ascii="Calibri" w:eastAsia="Calibri" w:hAnsi="Calibri" w:cs="Calibri"/>
          <w:color w:val="1A1A1A"/>
        </w:rPr>
        <w:t xml:space="preserve"> ; </w:t>
      </w:r>
      <w:r>
        <w:rPr>
          <w:rFonts w:ascii="Calibri" w:eastAsia="Calibri" w:hAnsi="Calibri" w:cs="Calibri"/>
          <w:color w:val="E91E63"/>
        </w:rPr>
        <w:t>CE, Madame Vedel</w:t>
      </w:r>
      <w:r>
        <w:rPr>
          <w:rFonts w:ascii="Calibri" w:eastAsia="Calibri" w:hAnsi="Calibri" w:cs="Calibri"/>
          <w:color w:val="1A1A1A"/>
        </w:rPr>
        <w:t xml:space="preserve"> — </w:t>
      </w:r>
      <w:r>
        <w:rPr>
          <w:rFonts w:ascii="Calibri" w:eastAsia="Calibri" w:hAnsi="Calibri" w:cs="Calibri"/>
          <w:b/>
          <w:bCs/>
          <w:color w:val="1A1A1A"/>
        </w:rPr>
        <w:t>1996</w:t>
      </w:r>
      <w:r>
        <w:rPr>
          <w:rFonts w:ascii="Calibri" w:eastAsia="Calibri" w:hAnsi="Calibri" w:cs="Calibri"/>
          <w:color w:val="1A1A1A"/>
        </w:rPr>
        <w:t xml:space="preserve"> </w:t>
      </w:r>
      <w:r>
        <w:rPr>
          <w:rFonts w:ascii="Calibri" w:eastAsia="Calibri" w:hAnsi="Calibri" w:cs="Calibri"/>
          <w:color w:val="E91E63"/>
        </w:rPr>
        <w:t>CE, Koné</w:t>
      </w:r>
      <w:r>
        <w:rPr>
          <w:rFonts w:ascii="Calibri" w:eastAsia="Calibri" w:hAnsi="Calibri" w:cs="Calibri"/>
          <w:color w:val="1A1A1A"/>
        </w:rPr>
        <w:t xml:space="preserve"> ; </w:t>
      </w:r>
      <w:r>
        <w:rPr>
          <w:rFonts w:ascii="Calibri" w:eastAsia="Calibri" w:hAnsi="Calibri" w:cs="Calibri"/>
          <w:color w:val="E91E63"/>
        </w:rPr>
        <w:t>CJCE, P. c. S.</w:t>
      </w:r>
      <w:r>
        <w:rPr>
          <w:rFonts w:ascii="Calibri" w:eastAsia="Calibri" w:hAnsi="Calibri" w:cs="Calibri"/>
          <w:color w:val="1A1A1A"/>
        </w:rPr>
        <w:t xml:space="preserve"> — </w:t>
      </w:r>
      <w:r>
        <w:rPr>
          <w:rFonts w:ascii="Calibri" w:eastAsia="Calibri" w:hAnsi="Calibri" w:cs="Calibri"/>
          <w:b/>
          <w:bCs/>
          <w:color w:val="1A1A1A"/>
        </w:rPr>
        <w:t>1998</w:t>
      </w:r>
      <w:r>
        <w:rPr>
          <w:rFonts w:ascii="Calibri" w:eastAsia="Calibri" w:hAnsi="Calibri" w:cs="Calibri"/>
          <w:color w:val="1A1A1A"/>
        </w:rPr>
        <w:t xml:space="preserve"> </w:t>
      </w:r>
      <w:r>
        <w:rPr>
          <w:rFonts w:ascii="Calibri" w:eastAsia="Calibri" w:hAnsi="Calibri" w:cs="Calibri"/>
          <w:color w:val="E91E63"/>
        </w:rPr>
        <w:t>CE, Sarran et Levacher</w:t>
      </w:r>
      <w:r>
        <w:rPr>
          <w:rFonts w:ascii="Calibri" w:eastAsia="Calibri" w:hAnsi="Calibri" w:cs="Calibri"/>
          <w:color w:val="1A1A1A"/>
        </w:rPr>
        <w:t xml:space="preserve"> — </w:t>
      </w:r>
      <w:r>
        <w:rPr>
          <w:rFonts w:ascii="Calibri" w:eastAsia="Calibri" w:hAnsi="Calibri" w:cs="Calibri"/>
          <w:b/>
          <w:bCs/>
          <w:color w:val="1A1A1A"/>
        </w:rPr>
        <w:t>1999</w:t>
      </w:r>
      <w:r>
        <w:rPr>
          <w:rFonts w:ascii="Calibri" w:eastAsia="Calibri" w:hAnsi="Calibri" w:cs="Calibri"/>
          <w:color w:val="1A1A1A"/>
        </w:rPr>
        <w:t xml:space="preserve"> </w:t>
      </w:r>
      <w:r>
        <w:rPr>
          <w:rFonts w:ascii="Calibri" w:eastAsia="Calibri" w:hAnsi="Calibri" w:cs="Calibri"/>
          <w:color w:val="E91E63"/>
        </w:rPr>
        <w:t>Cons. const., 98-407 DC</w:t>
      </w:r>
      <w:r>
        <w:rPr>
          <w:rFonts w:ascii="Calibri" w:eastAsia="Calibri" w:hAnsi="Calibri" w:cs="Calibri"/>
          <w:color w:val="1A1A1A"/>
        </w:rPr>
        <w:t xml:space="preserve"> ; </w:t>
      </w:r>
      <w:r>
        <w:rPr>
          <w:rFonts w:ascii="Calibri" w:eastAsia="Calibri" w:hAnsi="Calibri" w:cs="Calibri"/>
          <w:color w:val="E91E63"/>
        </w:rPr>
        <w:t>99-421 DC</w:t>
      </w:r>
      <w:r>
        <w:rPr>
          <w:rFonts w:ascii="Calibri" w:eastAsia="Calibri" w:hAnsi="Calibri" w:cs="Calibri"/>
          <w:color w:val="1A1A1A"/>
        </w:rPr>
        <w:t xml:space="preserve"> ; </w:t>
      </w:r>
      <w:r>
        <w:rPr>
          <w:rFonts w:ascii="Calibri" w:eastAsia="Calibri" w:hAnsi="Calibri" w:cs="Calibri"/>
          <w:color w:val="E91E63"/>
        </w:rPr>
        <w:t>99-424 DC</w:t>
      </w:r>
      <w:r>
        <w:rPr>
          <w:rFonts w:ascii="Calibri" w:eastAsia="Calibri" w:hAnsi="Calibri" w:cs="Calibri"/>
          <w:color w:val="1A1A1A"/>
        </w:rPr>
        <w:t>.</w:t>
      </w:r>
    </w:p>
    <w:p w14:paraId="35C9DEC3"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2000</w:t>
      </w:r>
      <w:r>
        <w:rPr>
          <w:rFonts w:ascii="Calibri" w:eastAsia="Calibri" w:hAnsi="Calibri" w:cs="Calibri"/>
          <w:color w:val="1A1A1A"/>
        </w:rPr>
        <w:t xml:space="preserve"> </w:t>
      </w:r>
      <w:r>
        <w:rPr>
          <w:rFonts w:ascii="Calibri" w:eastAsia="Calibri" w:hAnsi="Calibri" w:cs="Calibri"/>
          <w:color w:val="E91E63"/>
        </w:rPr>
        <w:t xml:space="preserve">Cass., ass. plén., </w:t>
      </w:r>
      <w:proofErr w:type="spellStart"/>
      <w:r>
        <w:rPr>
          <w:rFonts w:ascii="Calibri" w:eastAsia="Calibri" w:hAnsi="Calibri" w:cs="Calibri"/>
          <w:color w:val="E91E63"/>
        </w:rPr>
        <w:t>Fraisse</w:t>
      </w:r>
      <w:proofErr w:type="spellEnd"/>
      <w:r>
        <w:rPr>
          <w:rFonts w:ascii="Calibri" w:eastAsia="Calibri" w:hAnsi="Calibri" w:cs="Calibri"/>
          <w:color w:val="1A1A1A"/>
        </w:rPr>
        <w:t xml:space="preserve"> — </w:t>
      </w:r>
      <w:r>
        <w:rPr>
          <w:rFonts w:ascii="Calibri" w:eastAsia="Calibri" w:hAnsi="Calibri" w:cs="Calibri"/>
          <w:b/>
          <w:bCs/>
          <w:color w:val="1A1A1A"/>
        </w:rPr>
        <w:t>2001</w:t>
      </w:r>
      <w:r>
        <w:rPr>
          <w:rFonts w:ascii="Calibri" w:eastAsia="Calibri" w:hAnsi="Calibri" w:cs="Calibri"/>
          <w:color w:val="1A1A1A"/>
        </w:rPr>
        <w:t xml:space="preserve"> </w:t>
      </w:r>
      <w:r>
        <w:rPr>
          <w:rFonts w:ascii="Calibri" w:eastAsia="Calibri" w:hAnsi="Calibri" w:cs="Calibri"/>
          <w:color w:val="E91E63"/>
        </w:rPr>
        <w:t>CE, SNES</w:t>
      </w:r>
      <w:r>
        <w:rPr>
          <w:rFonts w:ascii="Calibri" w:eastAsia="Calibri" w:hAnsi="Calibri" w:cs="Calibri"/>
          <w:color w:val="1A1A1A"/>
        </w:rPr>
        <w:t xml:space="preserve"> (laïcité) ; </w:t>
      </w:r>
      <w:r>
        <w:rPr>
          <w:rFonts w:ascii="Calibri" w:eastAsia="Calibri" w:hAnsi="Calibri" w:cs="Calibri"/>
          <w:color w:val="E91E63"/>
        </w:rPr>
        <w:t>Cons. const., 2001-446 DC</w:t>
      </w:r>
      <w:r>
        <w:rPr>
          <w:rFonts w:ascii="Calibri" w:eastAsia="Calibri" w:hAnsi="Calibri" w:cs="Calibri"/>
          <w:color w:val="1A1A1A"/>
        </w:rPr>
        <w:t xml:space="preserve"> — </w:t>
      </w:r>
      <w:r>
        <w:rPr>
          <w:rFonts w:ascii="Calibri" w:eastAsia="Calibri" w:hAnsi="Calibri" w:cs="Calibri"/>
          <w:b/>
          <w:bCs/>
          <w:color w:val="1A1A1A"/>
        </w:rPr>
        <w:t>2002</w:t>
      </w:r>
      <w:r>
        <w:rPr>
          <w:rFonts w:ascii="Calibri" w:eastAsia="Calibri" w:hAnsi="Calibri" w:cs="Calibri"/>
          <w:color w:val="1A1A1A"/>
        </w:rPr>
        <w:t xml:space="preserve"> </w:t>
      </w:r>
      <w:r>
        <w:rPr>
          <w:rFonts w:ascii="Calibri" w:eastAsia="Calibri" w:hAnsi="Calibri" w:cs="Calibri"/>
          <w:color w:val="E91E63"/>
        </w:rPr>
        <w:t>Cons. const., 2001-454 DC</w:t>
      </w:r>
      <w:r>
        <w:rPr>
          <w:rFonts w:ascii="Calibri" w:eastAsia="Calibri" w:hAnsi="Calibri" w:cs="Calibri"/>
          <w:color w:val="1A1A1A"/>
        </w:rPr>
        <w:t xml:space="preserve"> (Corse) ; </w:t>
      </w:r>
      <w:r>
        <w:rPr>
          <w:rFonts w:ascii="Calibri" w:eastAsia="Calibri" w:hAnsi="Calibri" w:cs="Calibri"/>
          <w:color w:val="E91E63"/>
        </w:rPr>
        <w:t>2002-461 DC</w:t>
      </w:r>
      <w:r>
        <w:rPr>
          <w:rFonts w:ascii="Calibri" w:eastAsia="Calibri" w:hAnsi="Calibri" w:cs="Calibri"/>
          <w:color w:val="1A1A1A"/>
        </w:rPr>
        <w:t xml:space="preserve"> — </w:t>
      </w:r>
      <w:r>
        <w:rPr>
          <w:rFonts w:ascii="Calibri" w:eastAsia="Calibri" w:hAnsi="Calibri" w:cs="Calibri"/>
          <w:b/>
          <w:bCs/>
          <w:color w:val="1A1A1A"/>
        </w:rPr>
        <w:t>2004</w:t>
      </w:r>
      <w:r>
        <w:rPr>
          <w:rFonts w:ascii="Calibri" w:eastAsia="Calibri" w:hAnsi="Calibri" w:cs="Calibri"/>
          <w:color w:val="1A1A1A"/>
        </w:rPr>
        <w:t xml:space="preserve"> </w:t>
      </w:r>
      <w:r>
        <w:rPr>
          <w:rFonts w:ascii="Calibri" w:eastAsia="Calibri" w:hAnsi="Calibri" w:cs="Calibri"/>
          <w:color w:val="1E88E5"/>
        </w:rPr>
        <w:t>Charte de l’environnement</w:t>
      </w:r>
      <w:r>
        <w:rPr>
          <w:rFonts w:ascii="Calibri" w:eastAsia="Calibri" w:hAnsi="Calibri" w:cs="Calibri"/>
          <w:color w:val="1A1A1A"/>
        </w:rPr>
        <w:t xml:space="preserve"> — </w:t>
      </w:r>
      <w:r>
        <w:rPr>
          <w:rFonts w:ascii="Calibri" w:eastAsia="Calibri" w:hAnsi="Calibri" w:cs="Calibri"/>
          <w:b/>
          <w:bCs/>
          <w:color w:val="1A1A1A"/>
        </w:rPr>
        <w:t>2005</w:t>
      </w:r>
      <w:r>
        <w:rPr>
          <w:rFonts w:ascii="Calibri" w:eastAsia="Calibri" w:hAnsi="Calibri" w:cs="Calibri"/>
          <w:color w:val="1A1A1A"/>
        </w:rPr>
        <w:t xml:space="preserve"> </w:t>
      </w:r>
      <w:r>
        <w:rPr>
          <w:rFonts w:ascii="Calibri" w:eastAsia="Calibri" w:hAnsi="Calibri" w:cs="Calibri"/>
          <w:color w:val="1E88E5"/>
        </w:rPr>
        <w:t>révision constitutionnelle du 1er mars</w:t>
      </w:r>
      <w:r>
        <w:rPr>
          <w:rFonts w:ascii="Calibri" w:eastAsia="Calibri" w:hAnsi="Calibri" w:cs="Calibri"/>
          <w:color w:val="1A1A1A"/>
        </w:rPr>
        <w:t xml:space="preserve"> ; </w:t>
      </w:r>
      <w:r>
        <w:rPr>
          <w:rFonts w:ascii="Calibri" w:eastAsia="Calibri" w:hAnsi="Calibri" w:cs="Calibri"/>
          <w:color w:val="E91E63"/>
        </w:rPr>
        <w:t>Cons. const., 2005-514 DC</w:t>
      </w:r>
      <w:r>
        <w:rPr>
          <w:rFonts w:ascii="Calibri" w:eastAsia="Calibri" w:hAnsi="Calibri" w:cs="Calibri"/>
          <w:color w:val="1A1A1A"/>
        </w:rPr>
        <w:t xml:space="preserve"> — </w:t>
      </w:r>
      <w:r>
        <w:rPr>
          <w:rFonts w:ascii="Calibri" w:eastAsia="Calibri" w:hAnsi="Calibri" w:cs="Calibri"/>
          <w:b/>
          <w:bCs/>
          <w:color w:val="1A1A1A"/>
        </w:rPr>
        <w:t>2008</w:t>
      </w:r>
      <w:r>
        <w:rPr>
          <w:rFonts w:ascii="Calibri" w:eastAsia="Calibri" w:hAnsi="Calibri" w:cs="Calibri"/>
          <w:color w:val="1A1A1A"/>
        </w:rPr>
        <w:t xml:space="preserve"> </w:t>
      </w:r>
      <w:r>
        <w:rPr>
          <w:rFonts w:ascii="Calibri" w:eastAsia="Calibri" w:hAnsi="Calibri" w:cs="Calibri"/>
          <w:color w:val="1E88E5"/>
        </w:rPr>
        <w:t>loi constitutionnelle du 23 juillet</w:t>
      </w:r>
      <w:r>
        <w:rPr>
          <w:rFonts w:ascii="Calibri" w:eastAsia="Calibri" w:hAnsi="Calibri" w:cs="Calibri"/>
          <w:color w:val="1A1A1A"/>
        </w:rPr>
        <w:t xml:space="preserve"> (QPC) — </w:t>
      </w:r>
      <w:r>
        <w:rPr>
          <w:rFonts w:ascii="Calibri" w:eastAsia="Calibri" w:hAnsi="Calibri" w:cs="Calibri"/>
          <w:b/>
          <w:bCs/>
          <w:color w:val="1A1A1A"/>
        </w:rPr>
        <w:t>2010</w:t>
      </w:r>
      <w:r>
        <w:rPr>
          <w:rFonts w:ascii="Calibri" w:eastAsia="Calibri" w:hAnsi="Calibri" w:cs="Calibri"/>
          <w:color w:val="1A1A1A"/>
        </w:rPr>
        <w:t xml:space="preserve"> </w:t>
      </w:r>
      <w:r>
        <w:rPr>
          <w:rFonts w:ascii="Calibri" w:eastAsia="Calibri" w:hAnsi="Calibri" w:cs="Calibri"/>
          <w:color w:val="E91E63"/>
        </w:rPr>
        <w:t>Cons. const., 2010-14/22 QPC</w:t>
      </w:r>
      <w:r>
        <w:rPr>
          <w:rFonts w:ascii="Calibri" w:eastAsia="Calibri" w:hAnsi="Calibri" w:cs="Calibri"/>
          <w:color w:val="1A1A1A"/>
        </w:rPr>
        <w:t xml:space="preserve"> ; </w:t>
      </w:r>
      <w:r>
        <w:rPr>
          <w:rFonts w:ascii="Calibri" w:eastAsia="Calibri" w:hAnsi="Calibri" w:cs="Calibri"/>
          <w:color w:val="E91E63"/>
        </w:rPr>
        <w:t>2010-613 DC</w:t>
      </w:r>
      <w:r>
        <w:rPr>
          <w:rFonts w:ascii="Calibri" w:eastAsia="Calibri" w:hAnsi="Calibri" w:cs="Calibri"/>
          <w:color w:val="1A1A1A"/>
        </w:rPr>
        <w:t xml:space="preserve"> ; </w:t>
      </w:r>
      <w:r>
        <w:rPr>
          <w:rFonts w:ascii="Calibri" w:eastAsia="Calibri" w:hAnsi="Calibri" w:cs="Calibri"/>
          <w:color w:val="E91E63"/>
        </w:rPr>
        <w:t>CEDH, Schalk et Kopf</w:t>
      </w:r>
      <w:r>
        <w:rPr>
          <w:rFonts w:ascii="Calibri" w:eastAsia="Calibri" w:hAnsi="Calibri" w:cs="Calibri"/>
          <w:color w:val="1A1A1A"/>
        </w:rPr>
        <w:t xml:space="preserve"> — </w:t>
      </w:r>
      <w:r>
        <w:rPr>
          <w:rFonts w:ascii="Calibri" w:eastAsia="Calibri" w:hAnsi="Calibri" w:cs="Calibri"/>
          <w:b/>
          <w:bCs/>
          <w:color w:val="1A1A1A"/>
        </w:rPr>
        <w:t>2011</w:t>
      </w:r>
      <w:r>
        <w:rPr>
          <w:rFonts w:ascii="Calibri" w:eastAsia="Calibri" w:hAnsi="Calibri" w:cs="Calibri"/>
          <w:color w:val="1A1A1A"/>
        </w:rPr>
        <w:t xml:space="preserve"> </w:t>
      </w:r>
      <w:r>
        <w:rPr>
          <w:rFonts w:ascii="Calibri" w:eastAsia="Calibri" w:hAnsi="Calibri" w:cs="Calibri"/>
          <w:color w:val="E91E63"/>
        </w:rPr>
        <w:t>CE, SNES</w:t>
      </w:r>
      <w:r>
        <w:rPr>
          <w:rFonts w:ascii="Calibri" w:eastAsia="Calibri" w:hAnsi="Calibri" w:cs="Calibri"/>
          <w:color w:val="1A1A1A"/>
        </w:rPr>
        <w:t xml:space="preserve"> (dissimulation du visage) ; </w:t>
      </w:r>
      <w:r>
        <w:rPr>
          <w:rFonts w:ascii="Calibri" w:eastAsia="Calibri" w:hAnsi="Calibri" w:cs="Calibri"/>
          <w:color w:val="E91E63"/>
        </w:rPr>
        <w:t>CE, LDH</w:t>
      </w:r>
      <w:r>
        <w:rPr>
          <w:rFonts w:ascii="Calibri" w:eastAsia="Calibri" w:hAnsi="Calibri" w:cs="Calibri"/>
          <w:color w:val="1A1A1A"/>
        </w:rPr>
        <w:t xml:space="preserve"> (outrage au drapeau) ; </w:t>
      </w:r>
      <w:r>
        <w:rPr>
          <w:rFonts w:ascii="Calibri" w:eastAsia="Calibri" w:hAnsi="Calibri" w:cs="Calibri"/>
          <w:color w:val="E91E63"/>
        </w:rPr>
        <w:t>CE, Ass., Association pour la promotion de l’image</w:t>
      </w:r>
      <w:r>
        <w:rPr>
          <w:rFonts w:ascii="Calibri" w:eastAsia="Calibri" w:hAnsi="Calibri" w:cs="Calibri"/>
          <w:color w:val="1A1A1A"/>
        </w:rPr>
        <w:t xml:space="preserve"> ; </w:t>
      </w:r>
      <w:r>
        <w:rPr>
          <w:rFonts w:ascii="Calibri" w:eastAsia="Calibri" w:hAnsi="Calibri" w:cs="Calibri"/>
          <w:color w:val="E91E63"/>
        </w:rPr>
        <w:t>Cons. const., 2011-157 QPC</w:t>
      </w:r>
      <w:r>
        <w:rPr>
          <w:rFonts w:ascii="Calibri" w:eastAsia="Calibri" w:hAnsi="Calibri" w:cs="Calibri"/>
          <w:color w:val="1A1A1A"/>
        </w:rPr>
        <w:t xml:space="preserve"> — </w:t>
      </w:r>
      <w:r>
        <w:rPr>
          <w:rFonts w:ascii="Calibri" w:eastAsia="Calibri" w:hAnsi="Calibri" w:cs="Calibri"/>
          <w:b/>
          <w:bCs/>
          <w:color w:val="1A1A1A"/>
        </w:rPr>
        <w:t>2013</w:t>
      </w:r>
      <w:r>
        <w:rPr>
          <w:rFonts w:ascii="Calibri" w:eastAsia="Calibri" w:hAnsi="Calibri" w:cs="Calibri"/>
          <w:color w:val="1A1A1A"/>
        </w:rPr>
        <w:t xml:space="preserve"> </w:t>
      </w:r>
      <w:r>
        <w:rPr>
          <w:rFonts w:ascii="Calibri" w:eastAsia="Calibri" w:hAnsi="Calibri" w:cs="Calibri"/>
          <w:color w:val="E91E63"/>
        </w:rPr>
        <w:t>CJUE, Melloni</w:t>
      </w:r>
      <w:r>
        <w:rPr>
          <w:rFonts w:ascii="Calibri" w:eastAsia="Calibri" w:hAnsi="Calibri" w:cs="Calibri"/>
          <w:color w:val="1A1A1A"/>
        </w:rPr>
        <w:t xml:space="preserve"> ; </w:t>
      </w:r>
      <w:r>
        <w:rPr>
          <w:rFonts w:ascii="Calibri" w:eastAsia="Calibri" w:hAnsi="Calibri" w:cs="Calibri"/>
          <w:color w:val="E91E63"/>
        </w:rPr>
        <w:t>Cons. const., 2013-669 DC</w:t>
      </w:r>
      <w:r>
        <w:rPr>
          <w:rFonts w:ascii="Calibri" w:eastAsia="Calibri" w:hAnsi="Calibri" w:cs="Calibri"/>
          <w:color w:val="1A1A1A"/>
        </w:rPr>
        <w:t xml:space="preserve"> — </w:t>
      </w:r>
      <w:r>
        <w:rPr>
          <w:rFonts w:ascii="Calibri" w:eastAsia="Calibri" w:hAnsi="Calibri" w:cs="Calibri"/>
          <w:b/>
          <w:bCs/>
          <w:color w:val="1A1A1A"/>
        </w:rPr>
        <w:t>2014</w:t>
      </w:r>
      <w:r>
        <w:rPr>
          <w:rFonts w:ascii="Calibri" w:eastAsia="Calibri" w:hAnsi="Calibri" w:cs="Calibri"/>
          <w:color w:val="1A1A1A"/>
        </w:rPr>
        <w:t xml:space="preserve"> </w:t>
      </w:r>
      <w:r>
        <w:rPr>
          <w:rFonts w:ascii="Calibri" w:eastAsia="Calibri" w:hAnsi="Calibri" w:cs="Calibri"/>
          <w:color w:val="E91E63"/>
        </w:rPr>
        <w:t>CE, ord., Dieudonné M’Bala M’Bala</w:t>
      </w:r>
      <w:r>
        <w:rPr>
          <w:rFonts w:ascii="Calibri" w:eastAsia="Calibri" w:hAnsi="Calibri" w:cs="Calibri"/>
          <w:color w:val="1A1A1A"/>
        </w:rPr>
        <w:t xml:space="preserve"> ; </w:t>
      </w:r>
      <w:r>
        <w:rPr>
          <w:rFonts w:ascii="Calibri" w:eastAsia="Calibri" w:hAnsi="Calibri" w:cs="Calibri"/>
          <w:color w:val="E91E63"/>
        </w:rPr>
        <w:t>Cons. const., 2014-373 QPC</w:t>
      </w:r>
      <w:r>
        <w:rPr>
          <w:rFonts w:ascii="Calibri" w:eastAsia="Calibri" w:hAnsi="Calibri" w:cs="Calibri"/>
          <w:color w:val="1A1A1A"/>
        </w:rPr>
        <w:t>.</w:t>
      </w:r>
    </w:p>
    <w:p w14:paraId="1C73B16A"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2015</w:t>
      </w:r>
      <w:r>
        <w:rPr>
          <w:rFonts w:ascii="Calibri" w:eastAsia="Calibri" w:hAnsi="Calibri" w:cs="Calibri"/>
          <w:color w:val="1A1A1A"/>
        </w:rPr>
        <w:t xml:space="preserve"> </w:t>
      </w:r>
      <w:r>
        <w:rPr>
          <w:rFonts w:ascii="Calibri" w:eastAsia="Calibri" w:hAnsi="Calibri" w:cs="Calibri"/>
          <w:color w:val="E91E63"/>
        </w:rPr>
        <w:t>Cons. const., 2015-527 QPC</w:t>
      </w:r>
      <w:r>
        <w:rPr>
          <w:rFonts w:ascii="Calibri" w:eastAsia="Calibri" w:hAnsi="Calibri" w:cs="Calibri"/>
          <w:color w:val="1A1A1A"/>
        </w:rPr>
        <w:t xml:space="preserve"> ; </w:t>
      </w:r>
      <w:r>
        <w:rPr>
          <w:rFonts w:ascii="Calibri" w:eastAsia="Calibri" w:hAnsi="Calibri" w:cs="Calibri"/>
          <w:color w:val="1E88E5"/>
        </w:rPr>
        <w:t>décret du 14 novembre</w:t>
      </w:r>
      <w:r>
        <w:rPr>
          <w:rFonts w:ascii="Calibri" w:eastAsia="Calibri" w:hAnsi="Calibri" w:cs="Calibri"/>
          <w:color w:val="1A1A1A"/>
        </w:rPr>
        <w:t xml:space="preserve"> — </w:t>
      </w:r>
      <w:r>
        <w:rPr>
          <w:rFonts w:ascii="Calibri" w:eastAsia="Calibri" w:hAnsi="Calibri" w:cs="Calibri"/>
          <w:b/>
          <w:bCs/>
          <w:color w:val="1A1A1A"/>
        </w:rPr>
        <w:t>2016</w:t>
      </w:r>
      <w:r>
        <w:rPr>
          <w:rFonts w:ascii="Calibri" w:eastAsia="Calibri" w:hAnsi="Calibri" w:cs="Calibri"/>
          <w:color w:val="1A1A1A"/>
        </w:rPr>
        <w:t xml:space="preserve"> </w:t>
      </w:r>
      <w:r>
        <w:rPr>
          <w:rFonts w:ascii="Calibri" w:eastAsia="Calibri" w:hAnsi="Calibri" w:cs="Calibri"/>
          <w:color w:val="E91E63"/>
        </w:rPr>
        <w:t>CE, Gonzalez Gomez</w:t>
      </w:r>
      <w:r>
        <w:rPr>
          <w:rFonts w:ascii="Calibri" w:eastAsia="Calibri" w:hAnsi="Calibri" w:cs="Calibri"/>
          <w:color w:val="1A1A1A"/>
        </w:rPr>
        <w:t xml:space="preserve"> ; </w:t>
      </w:r>
      <w:r>
        <w:rPr>
          <w:rFonts w:ascii="Calibri" w:eastAsia="Calibri" w:hAnsi="Calibri" w:cs="Calibri"/>
          <w:color w:val="E91E63"/>
        </w:rPr>
        <w:t>CEDH, F.G. c. Suède</w:t>
      </w:r>
      <w:r>
        <w:rPr>
          <w:rFonts w:ascii="Calibri" w:eastAsia="Calibri" w:hAnsi="Calibri" w:cs="Calibri"/>
          <w:color w:val="1A1A1A"/>
        </w:rPr>
        <w:t xml:space="preserve"> ; </w:t>
      </w:r>
      <w:r>
        <w:rPr>
          <w:rFonts w:ascii="Calibri" w:eastAsia="Calibri" w:hAnsi="Calibri" w:cs="Calibri"/>
          <w:color w:val="1E88E5"/>
        </w:rPr>
        <w:t>loi du 13 avril</w:t>
      </w:r>
      <w:r>
        <w:rPr>
          <w:rFonts w:ascii="Calibri" w:eastAsia="Calibri" w:hAnsi="Calibri" w:cs="Calibri"/>
          <w:color w:val="1A1A1A"/>
        </w:rPr>
        <w:t xml:space="preserve"> — </w:t>
      </w:r>
      <w:r>
        <w:rPr>
          <w:rFonts w:ascii="Calibri" w:eastAsia="Calibri" w:hAnsi="Calibri" w:cs="Calibri"/>
          <w:b/>
          <w:bCs/>
          <w:color w:val="1A1A1A"/>
        </w:rPr>
        <w:t>2017</w:t>
      </w:r>
      <w:r>
        <w:rPr>
          <w:rFonts w:ascii="Calibri" w:eastAsia="Calibri" w:hAnsi="Calibri" w:cs="Calibri"/>
          <w:color w:val="1A1A1A"/>
        </w:rPr>
        <w:t xml:space="preserve"> </w:t>
      </w:r>
      <w:r>
        <w:rPr>
          <w:rFonts w:ascii="Calibri" w:eastAsia="Calibri" w:hAnsi="Calibri" w:cs="Calibri"/>
          <w:color w:val="E91E63"/>
        </w:rPr>
        <w:t>Cons. const., 2017-750 DC</w:t>
      </w:r>
      <w:r>
        <w:rPr>
          <w:rFonts w:ascii="Calibri" w:eastAsia="Calibri" w:hAnsi="Calibri" w:cs="Calibri"/>
          <w:color w:val="1A1A1A"/>
        </w:rPr>
        <w:t xml:space="preserve"> ; </w:t>
      </w:r>
      <w:r>
        <w:rPr>
          <w:rFonts w:ascii="Calibri" w:eastAsia="Calibri" w:hAnsi="Calibri" w:cs="Calibri"/>
          <w:color w:val="E91E63"/>
        </w:rPr>
        <w:t>2017-677 QPC</w:t>
      </w:r>
      <w:r>
        <w:rPr>
          <w:rFonts w:ascii="Calibri" w:eastAsia="Calibri" w:hAnsi="Calibri" w:cs="Calibri"/>
          <w:color w:val="1A1A1A"/>
        </w:rPr>
        <w:t xml:space="preserve"> ; </w:t>
      </w:r>
      <w:r>
        <w:rPr>
          <w:rFonts w:ascii="Calibri" w:eastAsia="Calibri" w:hAnsi="Calibri" w:cs="Calibri"/>
          <w:color w:val="E91E63"/>
        </w:rPr>
        <w:t>2017-632 QPC</w:t>
      </w:r>
      <w:r>
        <w:rPr>
          <w:rFonts w:ascii="Calibri" w:eastAsia="Calibri" w:hAnsi="Calibri" w:cs="Calibri"/>
          <w:color w:val="1A1A1A"/>
        </w:rPr>
        <w:t xml:space="preserve"> ; </w:t>
      </w:r>
      <w:r>
        <w:rPr>
          <w:rFonts w:ascii="Calibri" w:eastAsia="Calibri" w:hAnsi="Calibri" w:cs="Calibri"/>
          <w:color w:val="E91E63"/>
        </w:rPr>
        <w:t>CE, ANAFE</w:t>
      </w:r>
      <w:r>
        <w:rPr>
          <w:rFonts w:ascii="Calibri" w:eastAsia="Calibri" w:hAnsi="Calibri" w:cs="Calibri"/>
          <w:color w:val="1A1A1A"/>
        </w:rPr>
        <w:t xml:space="preserve"> — </w:t>
      </w:r>
      <w:r>
        <w:rPr>
          <w:rFonts w:ascii="Calibri" w:eastAsia="Calibri" w:hAnsi="Calibri" w:cs="Calibri"/>
          <w:b/>
          <w:bCs/>
          <w:color w:val="1A1A1A"/>
        </w:rPr>
        <w:t>2018</w:t>
      </w:r>
      <w:r>
        <w:rPr>
          <w:rFonts w:ascii="Calibri" w:eastAsia="Calibri" w:hAnsi="Calibri" w:cs="Calibri"/>
          <w:color w:val="1A1A1A"/>
        </w:rPr>
        <w:t xml:space="preserve"> </w:t>
      </w:r>
      <w:r>
        <w:rPr>
          <w:rFonts w:ascii="Calibri" w:eastAsia="Calibri" w:hAnsi="Calibri" w:cs="Calibri"/>
          <w:color w:val="E91E63"/>
        </w:rPr>
        <w:t>Cons. const., 2018-717/718 QPC</w:t>
      </w:r>
      <w:r>
        <w:rPr>
          <w:rFonts w:ascii="Calibri" w:eastAsia="Calibri" w:hAnsi="Calibri" w:cs="Calibri"/>
          <w:color w:val="1A1A1A"/>
        </w:rPr>
        <w:t xml:space="preserve"> (fraternité) — </w:t>
      </w:r>
      <w:r>
        <w:rPr>
          <w:rFonts w:ascii="Calibri" w:eastAsia="Calibri" w:hAnsi="Calibri" w:cs="Calibri"/>
          <w:b/>
          <w:bCs/>
          <w:color w:val="1A1A1A"/>
        </w:rPr>
        <w:t>2019</w:t>
      </w:r>
      <w:r>
        <w:rPr>
          <w:rFonts w:ascii="Calibri" w:eastAsia="Calibri" w:hAnsi="Calibri" w:cs="Calibri"/>
          <w:color w:val="1A1A1A"/>
        </w:rPr>
        <w:t xml:space="preserve"> </w:t>
      </w:r>
      <w:r>
        <w:rPr>
          <w:rFonts w:ascii="Calibri" w:eastAsia="Calibri" w:hAnsi="Calibri" w:cs="Calibri"/>
          <w:color w:val="E91E63"/>
        </w:rPr>
        <w:t>CE, Ligue nationale pour la liberté des vaccinations</w:t>
      </w:r>
      <w:r>
        <w:rPr>
          <w:rFonts w:ascii="Calibri" w:eastAsia="Calibri" w:hAnsi="Calibri" w:cs="Calibri"/>
          <w:color w:val="1A1A1A"/>
        </w:rPr>
        <w:t xml:space="preserve"> ; </w:t>
      </w:r>
      <w:r>
        <w:rPr>
          <w:rFonts w:ascii="Calibri" w:eastAsia="Calibri" w:hAnsi="Calibri" w:cs="Calibri"/>
          <w:color w:val="E91E63"/>
        </w:rPr>
        <w:t>Cons. const., 2019-778 DC</w:t>
      </w:r>
      <w:r>
        <w:rPr>
          <w:rFonts w:ascii="Calibri" w:eastAsia="Calibri" w:hAnsi="Calibri" w:cs="Calibri"/>
          <w:color w:val="1A1A1A"/>
        </w:rPr>
        <w:t xml:space="preserve"> ; </w:t>
      </w:r>
      <w:r>
        <w:rPr>
          <w:rFonts w:ascii="Calibri" w:eastAsia="Calibri" w:hAnsi="Calibri" w:cs="Calibri"/>
          <w:color w:val="E91E63"/>
        </w:rPr>
        <w:t>2019-780 DC</w:t>
      </w:r>
      <w:r>
        <w:rPr>
          <w:rFonts w:ascii="Calibri" w:eastAsia="Calibri" w:hAnsi="Calibri" w:cs="Calibri"/>
          <w:color w:val="1A1A1A"/>
        </w:rPr>
        <w:t xml:space="preserve"> — </w:t>
      </w:r>
      <w:r>
        <w:rPr>
          <w:rFonts w:ascii="Calibri" w:eastAsia="Calibri" w:hAnsi="Calibri" w:cs="Calibri"/>
          <w:b/>
          <w:bCs/>
          <w:color w:val="1A1A1A"/>
        </w:rPr>
        <w:t>2020</w:t>
      </w:r>
      <w:r>
        <w:rPr>
          <w:rFonts w:ascii="Calibri" w:eastAsia="Calibri" w:hAnsi="Calibri" w:cs="Calibri"/>
          <w:color w:val="1A1A1A"/>
        </w:rPr>
        <w:t xml:space="preserve"> </w:t>
      </w:r>
      <w:r>
        <w:rPr>
          <w:rFonts w:ascii="Calibri" w:eastAsia="Calibri" w:hAnsi="Calibri" w:cs="Calibri"/>
          <w:color w:val="E91E63"/>
        </w:rPr>
        <w:t>Cons. const., 2020-800 DC</w:t>
      </w:r>
      <w:r>
        <w:rPr>
          <w:rFonts w:ascii="Calibri" w:eastAsia="Calibri" w:hAnsi="Calibri" w:cs="Calibri"/>
          <w:color w:val="1A1A1A"/>
        </w:rPr>
        <w:t xml:space="preserve"> ; </w:t>
      </w:r>
      <w:r>
        <w:rPr>
          <w:rFonts w:ascii="Calibri" w:eastAsia="Calibri" w:hAnsi="Calibri" w:cs="Calibri"/>
          <w:color w:val="E91E63"/>
        </w:rPr>
        <w:t>2020-843 QPC</w:t>
      </w:r>
      <w:r>
        <w:rPr>
          <w:rFonts w:ascii="Calibri" w:eastAsia="Calibri" w:hAnsi="Calibri" w:cs="Calibri"/>
          <w:color w:val="1A1A1A"/>
        </w:rPr>
        <w:t xml:space="preserve"> ; </w:t>
      </w:r>
      <w:r>
        <w:rPr>
          <w:rFonts w:ascii="Calibri" w:eastAsia="Calibri" w:hAnsi="Calibri" w:cs="Calibri"/>
          <w:color w:val="E91E63"/>
        </w:rPr>
        <w:t>2020-851/852 QPC</w:t>
      </w:r>
      <w:r>
        <w:rPr>
          <w:rFonts w:ascii="Calibri" w:eastAsia="Calibri" w:hAnsi="Calibri" w:cs="Calibri"/>
          <w:color w:val="1A1A1A"/>
        </w:rPr>
        <w:t xml:space="preserve"> ; </w:t>
      </w:r>
      <w:r>
        <w:rPr>
          <w:rFonts w:ascii="Calibri" w:eastAsia="Calibri" w:hAnsi="Calibri" w:cs="Calibri"/>
          <w:color w:val="E91E63"/>
        </w:rPr>
        <w:t>CE, ord., LDH et CGT-Travail</w:t>
      </w:r>
      <w:r>
        <w:rPr>
          <w:rFonts w:ascii="Calibri" w:eastAsia="Calibri" w:hAnsi="Calibri" w:cs="Calibri"/>
          <w:color w:val="1A1A1A"/>
        </w:rPr>
        <w:t xml:space="preserve"> ; </w:t>
      </w:r>
      <w:r>
        <w:rPr>
          <w:rFonts w:ascii="Calibri" w:eastAsia="Calibri" w:hAnsi="Calibri" w:cs="Calibri"/>
          <w:color w:val="E91E63"/>
        </w:rPr>
        <w:t>CE, 22 décembre 2020</w:t>
      </w:r>
      <w:r>
        <w:rPr>
          <w:rFonts w:ascii="Calibri" w:eastAsia="Calibri" w:hAnsi="Calibri" w:cs="Calibri"/>
          <w:color w:val="1A1A1A"/>
        </w:rPr>
        <w:t xml:space="preserve"> — </w:t>
      </w:r>
      <w:r>
        <w:rPr>
          <w:rFonts w:ascii="Calibri" w:eastAsia="Calibri" w:hAnsi="Calibri" w:cs="Calibri"/>
          <w:b/>
          <w:bCs/>
          <w:color w:val="1A1A1A"/>
        </w:rPr>
        <w:t>2021</w:t>
      </w:r>
      <w:r>
        <w:rPr>
          <w:rFonts w:ascii="Calibri" w:eastAsia="Calibri" w:hAnsi="Calibri" w:cs="Calibri"/>
          <w:color w:val="1A1A1A"/>
        </w:rPr>
        <w:t xml:space="preserve"> </w:t>
      </w:r>
      <w:r>
        <w:rPr>
          <w:rFonts w:ascii="Calibri" w:eastAsia="Calibri" w:hAnsi="Calibri" w:cs="Calibri"/>
          <w:color w:val="E91E63"/>
        </w:rPr>
        <w:t>CEDH, Dareskizb</w:t>
      </w:r>
      <w:r>
        <w:rPr>
          <w:rFonts w:ascii="Calibri" w:eastAsia="Calibri" w:hAnsi="Calibri" w:cs="Calibri"/>
          <w:color w:val="1A1A1A"/>
        </w:rPr>
        <w:t xml:space="preserve"> — </w:t>
      </w:r>
      <w:r>
        <w:rPr>
          <w:rFonts w:ascii="Calibri" w:eastAsia="Calibri" w:hAnsi="Calibri" w:cs="Calibri"/>
          <w:b/>
          <w:bCs/>
          <w:color w:val="1A1A1A"/>
        </w:rPr>
        <w:t>2022</w:t>
      </w:r>
      <w:r>
        <w:rPr>
          <w:rFonts w:ascii="Calibri" w:eastAsia="Calibri" w:hAnsi="Calibri" w:cs="Calibri"/>
          <w:color w:val="1A1A1A"/>
        </w:rPr>
        <w:t xml:space="preserve"> </w:t>
      </w:r>
      <w:r>
        <w:rPr>
          <w:rFonts w:ascii="Calibri" w:eastAsia="Calibri" w:hAnsi="Calibri" w:cs="Calibri"/>
          <w:color w:val="E91E63"/>
        </w:rPr>
        <w:t>Cour suprême US, Dobbs</w:t>
      </w:r>
      <w:r>
        <w:rPr>
          <w:rFonts w:ascii="Calibri" w:eastAsia="Calibri" w:hAnsi="Calibri" w:cs="Calibri"/>
          <w:color w:val="1A1A1A"/>
        </w:rPr>
        <w:t xml:space="preserve"> ; </w:t>
      </w:r>
      <w:r>
        <w:rPr>
          <w:rFonts w:ascii="Calibri" w:eastAsia="Calibri" w:hAnsi="Calibri" w:cs="Calibri"/>
          <w:color w:val="E91E63"/>
        </w:rPr>
        <w:t>CE, ord., 20 septembre</w:t>
      </w:r>
      <w:r>
        <w:rPr>
          <w:rFonts w:ascii="Calibri" w:eastAsia="Calibri" w:hAnsi="Calibri" w:cs="Calibri"/>
          <w:color w:val="1A1A1A"/>
        </w:rPr>
        <w:t xml:space="preserve"> ; </w:t>
      </w:r>
      <w:r>
        <w:rPr>
          <w:rFonts w:ascii="Calibri" w:eastAsia="Calibri" w:hAnsi="Calibri" w:cs="Calibri"/>
          <w:color w:val="1E88E5"/>
        </w:rPr>
        <w:t>loi du 30 juillet</w:t>
      </w:r>
      <w:r>
        <w:rPr>
          <w:rFonts w:ascii="Calibri" w:eastAsia="Calibri" w:hAnsi="Calibri" w:cs="Calibri"/>
          <w:color w:val="1A1A1A"/>
        </w:rPr>
        <w:t>.</w:t>
      </w:r>
    </w:p>
    <w:p w14:paraId="1D69E96E"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2023</w:t>
      </w:r>
      <w:r>
        <w:rPr>
          <w:rFonts w:ascii="Calibri" w:eastAsia="Calibri" w:hAnsi="Calibri" w:cs="Calibri"/>
          <w:color w:val="1A1A1A"/>
        </w:rPr>
        <w:t xml:space="preserve"> </w:t>
      </w:r>
      <w:r>
        <w:rPr>
          <w:rFonts w:ascii="Calibri" w:eastAsia="Calibri" w:hAnsi="Calibri" w:cs="Calibri"/>
          <w:color w:val="E91E63"/>
        </w:rPr>
        <w:t>CJUE, SCHUFA Holding</w:t>
      </w:r>
      <w:r>
        <w:rPr>
          <w:rFonts w:ascii="Calibri" w:eastAsia="Calibri" w:hAnsi="Calibri" w:cs="Calibri"/>
          <w:color w:val="1A1A1A"/>
        </w:rPr>
        <w:t xml:space="preserve"> — </w:t>
      </w:r>
      <w:r>
        <w:rPr>
          <w:rFonts w:ascii="Calibri" w:eastAsia="Calibri" w:hAnsi="Calibri" w:cs="Calibri"/>
          <w:b/>
          <w:bCs/>
          <w:color w:val="1A1A1A"/>
        </w:rPr>
        <w:t>2024</w:t>
      </w:r>
      <w:r>
        <w:rPr>
          <w:rFonts w:ascii="Calibri" w:eastAsia="Calibri" w:hAnsi="Calibri" w:cs="Calibri"/>
          <w:color w:val="1A1A1A"/>
        </w:rPr>
        <w:t xml:space="preserve"> </w:t>
      </w:r>
      <w:r>
        <w:rPr>
          <w:rFonts w:ascii="Calibri" w:eastAsia="Calibri" w:hAnsi="Calibri" w:cs="Calibri"/>
          <w:color w:val="1E88E5"/>
        </w:rPr>
        <w:t>loi constitutionnelle du 8 mars</w:t>
      </w:r>
      <w:r>
        <w:rPr>
          <w:rFonts w:ascii="Calibri" w:eastAsia="Calibri" w:hAnsi="Calibri" w:cs="Calibri"/>
          <w:color w:val="1A1A1A"/>
        </w:rPr>
        <w:t xml:space="preserve"> (IVG) ; </w:t>
      </w:r>
      <w:r>
        <w:rPr>
          <w:rFonts w:ascii="Calibri" w:eastAsia="Calibri" w:hAnsi="Calibri" w:cs="Calibri"/>
          <w:color w:val="1E88E5"/>
        </w:rPr>
        <w:t>règlement (UE) 2024/1689</w:t>
      </w:r>
      <w:r>
        <w:rPr>
          <w:rFonts w:ascii="Calibri" w:eastAsia="Calibri" w:hAnsi="Calibri" w:cs="Calibri"/>
          <w:color w:val="1A1A1A"/>
        </w:rPr>
        <w:t xml:space="preserve"> (IA Act) ; </w:t>
      </w:r>
      <w:r>
        <w:rPr>
          <w:rFonts w:ascii="Calibri" w:eastAsia="Calibri" w:hAnsi="Calibri" w:cs="Calibri"/>
          <w:color w:val="E91E63"/>
        </w:rPr>
        <w:t>CEDH, Shlosberg</w:t>
      </w:r>
      <w:r>
        <w:rPr>
          <w:rFonts w:ascii="Calibri" w:eastAsia="Calibri" w:hAnsi="Calibri" w:cs="Calibri"/>
          <w:color w:val="1A1A1A"/>
        </w:rPr>
        <w:t xml:space="preserve"> ; </w:t>
      </w:r>
      <w:r>
        <w:rPr>
          <w:rFonts w:ascii="Calibri" w:eastAsia="Calibri" w:hAnsi="Calibri" w:cs="Calibri"/>
          <w:color w:val="E91E63"/>
        </w:rPr>
        <w:t>CEDH, Pasquinelli</w:t>
      </w:r>
      <w:r>
        <w:rPr>
          <w:rFonts w:ascii="Calibri" w:eastAsia="Calibri" w:hAnsi="Calibri" w:cs="Calibri"/>
          <w:color w:val="1A1A1A"/>
        </w:rPr>
        <w:t xml:space="preserve"> ; état d’urgence en Nouvelle-Calédonie — </w:t>
      </w:r>
      <w:r>
        <w:rPr>
          <w:rFonts w:ascii="Calibri" w:eastAsia="Calibri" w:hAnsi="Calibri" w:cs="Calibri"/>
          <w:b/>
          <w:bCs/>
          <w:color w:val="1A1A1A"/>
        </w:rPr>
        <w:t>2025</w:t>
      </w:r>
      <w:r>
        <w:rPr>
          <w:rFonts w:ascii="Calibri" w:eastAsia="Calibri" w:hAnsi="Calibri" w:cs="Calibri"/>
          <w:color w:val="1A1A1A"/>
        </w:rPr>
        <w:t xml:space="preserve"> </w:t>
      </w:r>
      <w:r>
        <w:rPr>
          <w:rFonts w:ascii="Calibri" w:eastAsia="Calibri" w:hAnsi="Calibri" w:cs="Calibri"/>
          <w:color w:val="E91E63"/>
        </w:rPr>
        <w:t>CEDH, A.R.E. c. Grèce</w:t>
      </w:r>
      <w:r>
        <w:rPr>
          <w:rFonts w:ascii="Calibri" w:eastAsia="Calibri" w:hAnsi="Calibri" w:cs="Calibri"/>
          <w:color w:val="1A1A1A"/>
        </w:rPr>
        <w:t xml:space="preserve"> ; </w:t>
      </w:r>
      <w:r>
        <w:rPr>
          <w:rFonts w:ascii="Calibri" w:eastAsia="Calibri" w:hAnsi="Calibri" w:cs="Calibri"/>
          <w:color w:val="E91E63"/>
        </w:rPr>
        <w:t>CE, 20 mars, Association pour la défense du droit au recours</w:t>
      </w:r>
      <w:r>
        <w:rPr>
          <w:rFonts w:ascii="Calibri" w:eastAsia="Calibri" w:hAnsi="Calibri" w:cs="Calibri"/>
          <w:color w:val="1A1A1A"/>
        </w:rPr>
        <w:t xml:space="preserve"> ; </w:t>
      </w:r>
      <w:r>
        <w:rPr>
          <w:rFonts w:ascii="Calibri" w:eastAsia="Calibri" w:hAnsi="Calibri" w:cs="Calibri"/>
          <w:color w:val="E91E63"/>
        </w:rPr>
        <w:t>CE, 1er avril</w:t>
      </w:r>
      <w:r>
        <w:rPr>
          <w:rFonts w:ascii="Calibri" w:eastAsia="Calibri" w:hAnsi="Calibri" w:cs="Calibri"/>
          <w:color w:val="1A1A1A"/>
        </w:rPr>
        <w:t xml:space="preserve"> (TikTok) ; </w:t>
      </w:r>
      <w:r>
        <w:rPr>
          <w:rFonts w:ascii="Calibri" w:eastAsia="Calibri" w:hAnsi="Calibri" w:cs="Calibri"/>
          <w:color w:val="E91E63"/>
        </w:rPr>
        <w:t>Cons. const., 2025-1143 QPC</w:t>
      </w:r>
      <w:r>
        <w:rPr>
          <w:rFonts w:ascii="Calibri" w:eastAsia="Calibri" w:hAnsi="Calibri" w:cs="Calibri"/>
          <w:color w:val="1A1A1A"/>
        </w:rPr>
        <w:t xml:space="preserve"> ; </w:t>
      </w:r>
      <w:r>
        <w:rPr>
          <w:rFonts w:ascii="Calibri" w:eastAsia="Calibri" w:hAnsi="Calibri" w:cs="Calibri"/>
          <w:color w:val="E91E63"/>
        </w:rPr>
        <w:t>CE, 27 juin, Juristes pour l’enfance</w:t>
      </w:r>
      <w:r>
        <w:rPr>
          <w:rFonts w:ascii="Calibri" w:eastAsia="Calibri" w:hAnsi="Calibri" w:cs="Calibri"/>
          <w:color w:val="1A1A1A"/>
        </w:rPr>
        <w:t xml:space="preserve"> ; </w:t>
      </w:r>
      <w:r>
        <w:rPr>
          <w:rFonts w:ascii="Calibri" w:eastAsia="Calibri" w:hAnsi="Calibri" w:cs="Calibri"/>
          <w:color w:val="2E7D32"/>
        </w:rPr>
        <w:t>Commission de Venise, CDL-AD(2025)002</w:t>
      </w:r>
      <w:r>
        <w:rPr>
          <w:rFonts w:ascii="Calibri" w:eastAsia="Calibri" w:hAnsi="Calibri" w:cs="Calibri"/>
          <w:color w:val="1A1A1A"/>
        </w:rPr>
        <w:t xml:space="preserve"> ; </w:t>
      </w:r>
      <w:r>
        <w:rPr>
          <w:rFonts w:ascii="Calibri" w:eastAsia="Calibri" w:hAnsi="Calibri" w:cs="Calibri"/>
          <w:color w:val="E91E63"/>
        </w:rPr>
        <w:t>CJUE, 18 décembre, Commission c. Pologne, C-448/23</w:t>
      </w:r>
      <w:r>
        <w:rPr>
          <w:rFonts w:ascii="Calibri" w:eastAsia="Calibri" w:hAnsi="Calibri" w:cs="Calibri"/>
          <w:color w:val="1A1A1A"/>
        </w:rPr>
        <w:t xml:space="preserve"> — </w:t>
      </w:r>
      <w:r>
        <w:rPr>
          <w:rFonts w:ascii="Calibri" w:eastAsia="Calibri" w:hAnsi="Calibri" w:cs="Calibri"/>
          <w:b/>
          <w:bCs/>
          <w:color w:val="1A1A1A"/>
        </w:rPr>
        <w:t>2026</w:t>
      </w:r>
      <w:r>
        <w:rPr>
          <w:rFonts w:ascii="Calibri" w:eastAsia="Calibri" w:hAnsi="Calibri" w:cs="Calibri"/>
          <w:color w:val="1A1A1A"/>
        </w:rPr>
        <w:t xml:space="preserve"> </w:t>
      </w:r>
      <w:r>
        <w:rPr>
          <w:rFonts w:ascii="Calibri" w:eastAsia="Calibri" w:hAnsi="Calibri" w:cs="Calibri"/>
          <w:color w:val="1E88E5"/>
        </w:rPr>
        <w:t>loi n° 2026-791 du 16 août</w:t>
      </w:r>
      <w:r>
        <w:rPr>
          <w:rFonts w:ascii="Calibri" w:eastAsia="Calibri" w:hAnsi="Calibri" w:cs="Calibri"/>
          <w:color w:val="1A1A1A"/>
        </w:rPr>
        <w:t xml:space="preserve"> (état d’alerte) ; </w:t>
      </w:r>
      <w:r>
        <w:rPr>
          <w:rFonts w:ascii="Calibri" w:eastAsia="Calibri" w:hAnsi="Calibri" w:cs="Calibri"/>
          <w:color w:val="E91E63"/>
        </w:rPr>
        <w:t>Cons. const., 2026-907 DC</w:t>
      </w:r>
      <w:r>
        <w:rPr>
          <w:rFonts w:ascii="Calibri" w:eastAsia="Calibri" w:hAnsi="Calibri" w:cs="Calibri"/>
          <w:color w:val="1A1A1A"/>
        </w:rPr>
        <w:t xml:space="preserve"> ; </w:t>
      </w:r>
      <w:r>
        <w:rPr>
          <w:rFonts w:ascii="Calibri" w:eastAsia="Calibri" w:hAnsi="Calibri" w:cs="Calibri"/>
          <w:color w:val="1E88E5"/>
        </w:rPr>
        <w:t>loi n° 2026-794 du 18 août</w:t>
      </w:r>
      <w:r>
        <w:rPr>
          <w:rFonts w:ascii="Calibri" w:eastAsia="Calibri" w:hAnsi="Calibri" w:cs="Calibri"/>
          <w:color w:val="1A1A1A"/>
        </w:rPr>
        <w:t xml:space="preserve"> (aide à mourir) ; </w:t>
      </w:r>
      <w:r>
        <w:rPr>
          <w:rFonts w:ascii="Calibri" w:eastAsia="Calibri" w:hAnsi="Calibri" w:cs="Calibri"/>
          <w:color w:val="E91E63"/>
        </w:rPr>
        <w:t>CE, ord., 20 juin</w:t>
      </w:r>
      <w:r>
        <w:rPr>
          <w:rFonts w:ascii="Calibri" w:eastAsia="Calibri" w:hAnsi="Calibri" w:cs="Calibri"/>
          <w:color w:val="1A1A1A"/>
        </w:rPr>
        <w:t xml:space="preserve"> (manifestation) ; </w:t>
      </w:r>
      <w:r>
        <w:rPr>
          <w:rFonts w:ascii="Calibri" w:eastAsia="Calibri" w:hAnsi="Calibri" w:cs="Calibri"/>
          <w:color w:val="E91E63"/>
        </w:rPr>
        <w:t>CE, 13 juillet, Dean et Simmons</w:t>
      </w:r>
      <w:r>
        <w:rPr>
          <w:rFonts w:ascii="Calibri" w:eastAsia="Calibri" w:hAnsi="Calibri" w:cs="Calibri"/>
          <w:color w:val="1A1A1A"/>
        </w:rPr>
        <w:t xml:space="preserve"> ; abrogation du Code noir votée en première lecture le 28 mai.</w:t>
      </w:r>
    </w:p>
    <w:p w14:paraId="032CE41A" w14:textId="77777777" w:rsidR="00E6057C" w:rsidRDefault="00000000">
      <w:r>
        <w:br w:type="page"/>
      </w:r>
    </w:p>
    <w:p w14:paraId="6C376354" w14:textId="77777777" w:rsidR="00E6057C"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ANNEXE II — INDEX TRANSVERSAL (fiches 1 à 11)</w:t>
      </w:r>
    </w:p>
    <w:p w14:paraId="23EA7BF7"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Dignité</w:t>
      </w:r>
      <w:r>
        <w:rPr>
          <w:rFonts w:ascii="Calibri" w:eastAsia="Calibri" w:hAnsi="Calibri" w:cs="Calibri"/>
          <w:color w:val="1A1A1A"/>
        </w:rPr>
        <w:t xml:space="preserve"> → fiches 1 (principe matriciel, Morsang), 5 (consécration, portée, droits couverts), 6 (composante de l’ordre public), 9 (PVC, 94-343/344 DC).</w:t>
      </w:r>
    </w:p>
    <w:p w14:paraId="75A27317"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Ordre public</w:t>
      </w:r>
      <w:r>
        <w:rPr>
          <w:rFonts w:ascii="Calibri" w:eastAsia="Calibri" w:hAnsi="Calibri" w:cs="Calibri"/>
          <w:color w:val="1A1A1A"/>
        </w:rPr>
        <w:t xml:space="preserve"> → fiches 6 (matériel / immatériel, triple test), 7 (régimes d’exception), 9 (OVC, 82-141 DC), 10 (conciliation législative, 2003-467 DC), 11 (police administrative).</w:t>
      </w:r>
    </w:p>
    <w:p w14:paraId="74263AAE"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Proportionnalité</w:t>
      </w:r>
      <w:r>
        <w:rPr>
          <w:rFonts w:ascii="Calibri" w:eastAsia="Calibri" w:hAnsi="Calibri" w:cs="Calibri"/>
          <w:color w:val="1A1A1A"/>
        </w:rPr>
        <w:t xml:space="preserve"> → fiches 4 (classification et intensité du contrôle), 6 (</w:t>
      </w:r>
      <w:r>
        <w:rPr>
          <w:rFonts w:ascii="Calibri" w:eastAsia="Calibri" w:hAnsi="Calibri" w:cs="Calibri"/>
          <w:color w:val="E91E63"/>
        </w:rPr>
        <w:t>Benjamin</w:t>
      </w:r>
      <w:r>
        <w:rPr>
          <w:rFonts w:ascii="Calibri" w:eastAsia="Calibri" w:hAnsi="Calibri" w:cs="Calibri"/>
          <w:color w:val="1A1A1A"/>
        </w:rPr>
        <w:t>, triple test 2011), 7 (2015-527 QPC, contrôle des mesures d’exception), 11 (</w:t>
      </w:r>
      <w:r>
        <w:rPr>
          <w:rFonts w:ascii="Calibri" w:eastAsia="Calibri" w:hAnsi="Calibri" w:cs="Calibri"/>
          <w:color w:val="E91E63"/>
        </w:rPr>
        <w:t>Dean et Simmons</w:t>
      </w:r>
      <w:r>
        <w:rPr>
          <w:rFonts w:ascii="Calibri" w:eastAsia="Calibri" w:hAnsi="Calibri" w:cs="Calibri"/>
          <w:color w:val="1A1A1A"/>
        </w:rPr>
        <w:t>, 2026).</w:t>
      </w:r>
    </w:p>
    <w:p w14:paraId="79A612AE"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Liberté d’association</w:t>
      </w:r>
      <w:r>
        <w:rPr>
          <w:rFonts w:ascii="Calibri" w:eastAsia="Calibri" w:hAnsi="Calibri" w:cs="Calibri"/>
          <w:color w:val="1A1A1A"/>
        </w:rPr>
        <w:t xml:space="preserve"> → fiches 1 et 9 (</w:t>
      </w:r>
      <w:r>
        <w:rPr>
          <w:rFonts w:ascii="Calibri" w:eastAsia="Calibri" w:hAnsi="Calibri" w:cs="Calibri"/>
          <w:color w:val="E91E63"/>
        </w:rPr>
        <w:t>71-44 DC</w:t>
      </w:r>
      <w:r>
        <w:rPr>
          <w:rFonts w:ascii="Calibri" w:eastAsia="Calibri" w:hAnsi="Calibri" w:cs="Calibri"/>
          <w:color w:val="1A1A1A"/>
        </w:rPr>
        <w:t>), 4 (</w:t>
      </w:r>
      <w:r>
        <w:rPr>
          <w:rFonts w:ascii="Calibri" w:eastAsia="Calibri" w:hAnsi="Calibri" w:cs="Calibri"/>
          <w:color w:val="E91E63"/>
        </w:rPr>
        <w:t>84-181 DC</w:t>
      </w:r>
      <w:r>
        <w:rPr>
          <w:rFonts w:ascii="Calibri" w:eastAsia="Calibri" w:hAnsi="Calibri" w:cs="Calibri"/>
          <w:color w:val="1A1A1A"/>
        </w:rPr>
        <w:t>), 6 (régime déclaratif, loi de 1901), 10 (grandes lois de la IIIe République).</w:t>
      </w:r>
    </w:p>
    <w:p w14:paraId="73278595"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Liberté de manifester</w:t>
      </w:r>
      <w:r>
        <w:rPr>
          <w:rFonts w:ascii="Calibri" w:eastAsia="Calibri" w:hAnsi="Calibri" w:cs="Calibri"/>
          <w:color w:val="1A1A1A"/>
        </w:rPr>
        <w:t xml:space="preserve"> → fiches 4 (régime déclaratif), 6 (</w:t>
      </w:r>
      <w:r>
        <w:rPr>
          <w:rFonts w:ascii="Calibri" w:eastAsia="Calibri" w:hAnsi="Calibri" w:cs="Calibri"/>
          <w:color w:val="1E88E5"/>
        </w:rPr>
        <w:t>art. L. 211-1 CSI</w:t>
      </w:r>
      <w:r>
        <w:rPr>
          <w:rFonts w:ascii="Calibri" w:eastAsia="Calibri" w:hAnsi="Calibri" w:cs="Calibri"/>
          <w:color w:val="1A1A1A"/>
        </w:rPr>
        <w:t xml:space="preserve">, </w:t>
      </w:r>
      <w:r>
        <w:rPr>
          <w:rFonts w:ascii="Calibri" w:eastAsia="Calibri" w:hAnsi="Calibri" w:cs="Calibri"/>
          <w:color w:val="E91E63"/>
        </w:rPr>
        <w:t>CE ord. 20 juin 2026</w:t>
      </w:r>
      <w:r>
        <w:rPr>
          <w:rFonts w:ascii="Calibri" w:eastAsia="Calibri" w:hAnsi="Calibri" w:cs="Calibri"/>
          <w:color w:val="1A1A1A"/>
        </w:rPr>
        <w:t>), 11 (pouvoir contraventionnel, dissimulation du visage).</w:t>
      </w:r>
    </w:p>
    <w:p w14:paraId="4E3CA661"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Régimes d’exception</w:t>
      </w:r>
      <w:r>
        <w:rPr>
          <w:rFonts w:ascii="Calibri" w:eastAsia="Calibri" w:hAnsi="Calibri" w:cs="Calibri"/>
          <w:color w:val="1A1A1A"/>
        </w:rPr>
        <w:t xml:space="preserve"> → fiches 6 (basculement de régime), 7 (art. 16, art. 36, loi de 1955, état d’alerte 2026), 11 (le règlement comme vecteur des régimes de crise).</w:t>
      </w:r>
    </w:p>
    <w:p w14:paraId="07C7BDD2"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Hiérarchie des normes</w:t>
      </w:r>
      <w:r>
        <w:rPr>
          <w:rFonts w:ascii="Calibri" w:eastAsia="Calibri" w:hAnsi="Calibri" w:cs="Calibri"/>
          <w:color w:val="1A1A1A"/>
        </w:rPr>
        <w:t xml:space="preserve"> → fiches 1 (</w:t>
      </w:r>
      <w:r>
        <w:rPr>
          <w:rFonts w:ascii="Calibri" w:eastAsia="Calibri" w:hAnsi="Calibri" w:cs="Calibri"/>
          <w:color w:val="E91E63"/>
        </w:rPr>
        <w:t>Sarran</w:t>
      </w:r>
      <w:r>
        <w:rPr>
          <w:rFonts w:ascii="Calibri" w:eastAsia="Calibri" w:hAnsi="Calibri" w:cs="Calibri"/>
          <w:color w:val="1A1A1A"/>
        </w:rPr>
        <w:t xml:space="preserve">, </w:t>
      </w:r>
      <w:proofErr w:type="spellStart"/>
      <w:r>
        <w:rPr>
          <w:rFonts w:ascii="Calibri" w:eastAsia="Calibri" w:hAnsi="Calibri" w:cs="Calibri"/>
          <w:color w:val="E91E63"/>
        </w:rPr>
        <w:t>Fraisse</w:t>
      </w:r>
      <w:proofErr w:type="spellEnd"/>
      <w:r>
        <w:rPr>
          <w:rFonts w:ascii="Calibri" w:eastAsia="Calibri" w:hAnsi="Calibri" w:cs="Calibri"/>
          <w:color w:val="1A1A1A"/>
        </w:rPr>
        <w:t xml:space="preserve">, </w:t>
      </w:r>
      <w:r>
        <w:rPr>
          <w:rFonts w:ascii="Calibri" w:eastAsia="Calibri" w:hAnsi="Calibri" w:cs="Calibri"/>
          <w:color w:val="E91E63"/>
        </w:rPr>
        <w:t>Melloni</w:t>
      </w:r>
      <w:r>
        <w:rPr>
          <w:rFonts w:ascii="Calibri" w:eastAsia="Calibri" w:hAnsi="Calibri" w:cs="Calibri"/>
          <w:color w:val="1A1A1A"/>
        </w:rPr>
        <w:t>), 9 (Kelsen, suprématie du bloc), 10 (position intermédiaire du bloc de légalité, contrôle de conventionnalité).</w:t>
      </w:r>
    </w:p>
    <w:p w14:paraId="14C9C7F4"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IVG</w:t>
      </w:r>
      <w:r>
        <w:rPr>
          <w:rFonts w:ascii="Calibri" w:eastAsia="Calibri" w:hAnsi="Calibri" w:cs="Calibri"/>
          <w:color w:val="1A1A1A"/>
        </w:rPr>
        <w:t xml:space="preserve"> → fiches 1 (</w:t>
      </w:r>
      <w:r>
        <w:rPr>
          <w:rFonts w:ascii="Calibri" w:eastAsia="Calibri" w:hAnsi="Calibri" w:cs="Calibri"/>
          <w:color w:val="E91E63"/>
        </w:rPr>
        <w:t>74-54 DC</w:t>
      </w:r>
      <w:r>
        <w:rPr>
          <w:rFonts w:ascii="Calibri" w:eastAsia="Calibri" w:hAnsi="Calibri" w:cs="Calibri"/>
          <w:color w:val="1A1A1A"/>
        </w:rPr>
        <w:t>), 5 (</w:t>
      </w:r>
      <w:r>
        <w:rPr>
          <w:rFonts w:ascii="Calibri" w:eastAsia="Calibri" w:hAnsi="Calibri" w:cs="Calibri"/>
          <w:color w:val="E91E63"/>
        </w:rPr>
        <w:t>2001-446 DC</w:t>
      </w:r>
      <w:r>
        <w:rPr>
          <w:rFonts w:ascii="Calibri" w:eastAsia="Calibri" w:hAnsi="Calibri" w:cs="Calibri"/>
          <w:color w:val="1A1A1A"/>
        </w:rPr>
        <w:t>, équilibre dignité / liberté de la femme), 8 (</w:t>
      </w:r>
      <w:r>
        <w:rPr>
          <w:rFonts w:ascii="Calibri" w:eastAsia="Calibri" w:hAnsi="Calibri" w:cs="Calibri"/>
          <w:color w:val="E91E63"/>
        </w:rPr>
        <w:t>Dobbs</w:t>
      </w:r>
      <w:r>
        <w:rPr>
          <w:rFonts w:ascii="Calibri" w:eastAsia="Calibri" w:hAnsi="Calibri" w:cs="Calibri"/>
          <w:color w:val="1A1A1A"/>
        </w:rPr>
        <w:t>, Pologne), 10 (loi constitutionnelle du 8 mars 2024), 11 (clause de conscience).</w:t>
      </w:r>
    </w:p>
    <w:p w14:paraId="1C08AAFE"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Clause de conscience et désobéissance</w:t>
      </w:r>
      <w:r>
        <w:rPr>
          <w:rFonts w:ascii="Calibri" w:eastAsia="Calibri" w:hAnsi="Calibri" w:cs="Calibri"/>
          <w:color w:val="1A1A1A"/>
        </w:rPr>
        <w:t xml:space="preserve"> → fiches 10 (Thoreau, clauses du CSP, aide à mourir 2026), 11 (obéissance hiérarchique).</w:t>
      </w:r>
    </w:p>
    <w:p w14:paraId="13949377"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Environnement</w:t>
      </w:r>
      <w:r>
        <w:rPr>
          <w:rFonts w:ascii="Calibri" w:eastAsia="Calibri" w:hAnsi="Calibri" w:cs="Calibri"/>
          <w:color w:val="1A1A1A"/>
        </w:rPr>
        <w:t xml:space="preserve"> → fiches 4 (3e génération, </w:t>
      </w:r>
      <w:r>
        <w:rPr>
          <w:rFonts w:ascii="Calibri" w:eastAsia="Calibri" w:hAnsi="Calibri" w:cs="Calibri"/>
          <w:color w:val="E91E63"/>
        </w:rPr>
        <w:t>CE ord. 20 septembre 2022</w:t>
      </w:r>
      <w:r>
        <w:rPr>
          <w:rFonts w:ascii="Calibri" w:eastAsia="Calibri" w:hAnsi="Calibri" w:cs="Calibri"/>
          <w:color w:val="1A1A1A"/>
        </w:rPr>
        <w:t>), 9 (Charte, art. 6 et QPC, OVC de 2020).</w:t>
      </w:r>
    </w:p>
    <w:p w14:paraId="45E9F0C1" w14:textId="77777777" w:rsidR="00E6057C" w:rsidRDefault="00000000">
      <w:pPr>
        <w:pStyle w:val="Paragraphedeliste"/>
        <w:numPr>
          <w:ilvl w:val="0"/>
          <w:numId w:val="2"/>
        </w:numPr>
        <w:spacing w:after="70" w:line="264" w:lineRule="auto"/>
        <w:jc w:val="both"/>
      </w:pPr>
      <w:r>
        <w:rPr>
          <w:rFonts w:ascii="Calibri" w:eastAsia="Calibri" w:hAnsi="Calibri" w:cs="Calibri"/>
          <w:b/>
          <w:bCs/>
          <w:color w:val="1A1A1A"/>
        </w:rPr>
        <w:t>Données personnelles et intelligence artificielle</w:t>
      </w:r>
      <w:r>
        <w:rPr>
          <w:rFonts w:ascii="Calibri" w:eastAsia="Calibri" w:hAnsi="Calibri" w:cs="Calibri"/>
          <w:color w:val="1A1A1A"/>
        </w:rPr>
        <w:t xml:space="preserve"> → fiches 1 (</w:t>
      </w:r>
      <w:proofErr w:type="spellStart"/>
      <w:r>
        <w:rPr>
          <w:rFonts w:ascii="Calibri" w:eastAsia="Calibri" w:hAnsi="Calibri" w:cs="Calibri"/>
          <w:color w:val="1A1A1A"/>
        </w:rPr>
        <w:t>neurodroits</w:t>
      </w:r>
      <w:proofErr w:type="spellEnd"/>
      <w:r>
        <w:rPr>
          <w:rFonts w:ascii="Calibri" w:eastAsia="Calibri" w:hAnsi="Calibri" w:cs="Calibri"/>
          <w:color w:val="1A1A1A"/>
        </w:rPr>
        <w:t xml:space="preserve">), 4 (4e génération, </w:t>
      </w:r>
      <w:r>
        <w:rPr>
          <w:rFonts w:ascii="Calibri" w:eastAsia="Calibri" w:hAnsi="Calibri" w:cs="Calibri"/>
          <w:color w:val="E91E63"/>
        </w:rPr>
        <w:t>SCHUFA</w:t>
      </w:r>
      <w:r>
        <w:rPr>
          <w:rFonts w:ascii="Calibri" w:eastAsia="Calibri" w:hAnsi="Calibri" w:cs="Calibri"/>
          <w:color w:val="1A1A1A"/>
        </w:rPr>
        <w:t>, IA Act), 8 (critères actualisés de l’État de droit).</w:t>
      </w:r>
    </w:p>
    <w:sectPr w:rsidR="00E6057C">
      <w:footerReference w:type="default" r:id="rId7"/>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C321A6" w14:textId="77777777" w:rsidR="008F5316" w:rsidRDefault="008F5316">
      <w:r>
        <w:separator/>
      </w:r>
    </w:p>
  </w:endnote>
  <w:endnote w:type="continuationSeparator" w:id="0">
    <w:p w14:paraId="18D0AA5E" w14:textId="77777777" w:rsidR="008F5316" w:rsidRDefault="008F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664928" w14:textId="77777777" w:rsidR="00E6057C" w:rsidRDefault="00000000">
    <w:pPr>
      <w:jc w:val="center"/>
    </w:pPr>
    <w:r>
      <w:rPr>
        <w:rFonts w:ascii="Calibri" w:eastAsia="Calibri" w:hAnsi="Calibri" w:cs="Calibri"/>
        <w:color w:val="5A5A5A"/>
        <w:sz w:val="15"/>
        <w:szCs w:val="15"/>
      </w:rPr>
      <w:t xml:space="preserve">Grand Oral CRFPA — Libertés publiques et droits fondamentaux — Partie II   |   </w:t>
    </w:r>
    <w:r>
      <w:rPr>
        <w:rFonts w:ascii="Calibri" w:eastAsia="Calibri" w:hAnsi="Calibri" w:cs="Calibri"/>
        <w:color w:val="5A5A5A"/>
        <w:sz w:val="15"/>
        <w:szCs w:val="15"/>
      </w:rPr>
      <w:fldChar w:fldCharType="begin"/>
    </w:r>
    <w:r>
      <w:rPr>
        <w:rFonts w:ascii="Calibri" w:eastAsia="Calibri" w:hAnsi="Calibri" w:cs="Calibri"/>
        <w:color w:val="5A5A5A"/>
        <w:sz w:val="15"/>
        <w:szCs w:val="15"/>
      </w:rPr>
      <w:instrText>PAGE</w:instrText>
    </w:r>
    <w:r>
      <w:rPr>
        <w:rFonts w:ascii="Calibri" w:eastAsia="Calibri" w:hAnsi="Calibri" w:cs="Calibri"/>
        <w:color w:val="5A5A5A"/>
        <w:sz w:val="15"/>
        <w:szCs w:val="15"/>
      </w:rPr>
      <w:fldChar w:fldCharType="separate"/>
    </w:r>
    <w:r w:rsidR="00B13C21">
      <w:rPr>
        <w:rFonts w:ascii="Calibri" w:eastAsia="Calibri" w:hAnsi="Calibri" w:cs="Calibri"/>
        <w:noProof/>
        <w:color w:val="5A5A5A"/>
        <w:sz w:val="15"/>
        <w:szCs w:val="15"/>
      </w:rPr>
      <w:t>1</w:t>
    </w:r>
    <w:r>
      <w:rPr>
        <w:rFonts w:ascii="Calibri" w:eastAsia="Calibri" w:hAnsi="Calibri" w:cs="Calibri"/>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69D77F" w14:textId="77777777" w:rsidR="008F5316" w:rsidRDefault="008F5316">
      <w:r>
        <w:separator/>
      </w:r>
    </w:p>
  </w:footnote>
  <w:footnote w:type="continuationSeparator" w:id="0">
    <w:p w14:paraId="05FA0E6F" w14:textId="77777777" w:rsidR="008F5316" w:rsidRDefault="008F53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5F09C9"/>
    <w:multiLevelType w:val="hybridMultilevel"/>
    <w:tmpl w:val="27DA395C"/>
    <w:lvl w:ilvl="0" w:tplc="FF168252">
      <w:start w:val="1"/>
      <w:numFmt w:val="decimal"/>
      <w:lvlText w:val="%1."/>
      <w:lvlJc w:val="left"/>
      <w:pPr>
        <w:ind w:left="700" w:hanging="360"/>
      </w:pPr>
      <w:rPr>
        <w:rFonts w:ascii="Calibri" w:eastAsia="Calibri" w:hAnsi="Calibri" w:cs="Calibri" w:hint="default"/>
        <w:color w:val="1A1A1A"/>
      </w:rPr>
    </w:lvl>
    <w:lvl w:ilvl="1" w:tplc="040C0019" w:tentative="1">
      <w:start w:val="1"/>
      <w:numFmt w:val="lowerLetter"/>
      <w:lvlText w:val="%2."/>
      <w:lvlJc w:val="left"/>
      <w:pPr>
        <w:ind w:left="1420" w:hanging="360"/>
      </w:pPr>
    </w:lvl>
    <w:lvl w:ilvl="2" w:tplc="040C001B" w:tentative="1">
      <w:start w:val="1"/>
      <w:numFmt w:val="lowerRoman"/>
      <w:lvlText w:val="%3."/>
      <w:lvlJc w:val="right"/>
      <w:pPr>
        <w:ind w:left="2140" w:hanging="180"/>
      </w:pPr>
    </w:lvl>
    <w:lvl w:ilvl="3" w:tplc="040C000F" w:tentative="1">
      <w:start w:val="1"/>
      <w:numFmt w:val="decimal"/>
      <w:lvlText w:val="%4."/>
      <w:lvlJc w:val="left"/>
      <w:pPr>
        <w:ind w:left="2860" w:hanging="360"/>
      </w:pPr>
    </w:lvl>
    <w:lvl w:ilvl="4" w:tplc="040C0019" w:tentative="1">
      <w:start w:val="1"/>
      <w:numFmt w:val="lowerLetter"/>
      <w:lvlText w:val="%5."/>
      <w:lvlJc w:val="left"/>
      <w:pPr>
        <w:ind w:left="3580" w:hanging="360"/>
      </w:pPr>
    </w:lvl>
    <w:lvl w:ilvl="5" w:tplc="040C001B" w:tentative="1">
      <w:start w:val="1"/>
      <w:numFmt w:val="lowerRoman"/>
      <w:lvlText w:val="%6."/>
      <w:lvlJc w:val="right"/>
      <w:pPr>
        <w:ind w:left="4300" w:hanging="180"/>
      </w:pPr>
    </w:lvl>
    <w:lvl w:ilvl="6" w:tplc="040C000F" w:tentative="1">
      <w:start w:val="1"/>
      <w:numFmt w:val="decimal"/>
      <w:lvlText w:val="%7."/>
      <w:lvlJc w:val="left"/>
      <w:pPr>
        <w:ind w:left="5020" w:hanging="360"/>
      </w:pPr>
    </w:lvl>
    <w:lvl w:ilvl="7" w:tplc="040C0019" w:tentative="1">
      <w:start w:val="1"/>
      <w:numFmt w:val="lowerLetter"/>
      <w:lvlText w:val="%8."/>
      <w:lvlJc w:val="left"/>
      <w:pPr>
        <w:ind w:left="5740" w:hanging="360"/>
      </w:pPr>
    </w:lvl>
    <w:lvl w:ilvl="8" w:tplc="040C001B" w:tentative="1">
      <w:start w:val="1"/>
      <w:numFmt w:val="lowerRoman"/>
      <w:lvlText w:val="%9."/>
      <w:lvlJc w:val="right"/>
      <w:pPr>
        <w:ind w:left="6460" w:hanging="180"/>
      </w:pPr>
    </w:lvl>
  </w:abstractNum>
  <w:abstractNum w:abstractNumId="1" w15:restartNumberingAfterBreak="0">
    <w:nsid w:val="461731AD"/>
    <w:multiLevelType w:val="hybridMultilevel"/>
    <w:tmpl w:val="1272E922"/>
    <w:lvl w:ilvl="0" w:tplc="5A307F60">
      <w:start w:val="1"/>
      <w:numFmt w:val="bullet"/>
      <w:lvlText w:val="▪"/>
      <w:lvlJc w:val="left"/>
      <w:pPr>
        <w:ind w:left="340" w:hanging="200"/>
      </w:pPr>
    </w:lvl>
    <w:lvl w:ilvl="1" w:tplc="11065102">
      <w:start w:val="1"/>
      <w:numFmt w:val="bullet"/>
      <w:lvlText w:val="–"/>
      <w:lvlJc w:val="left"/>
      <w:pPr>
        <w:ind w:left="700" w:hanging="200"/>
      </w:pPr>
    </w:lvl>
    <w:lvl w:ilvl="2" w:tplc="20142378">
      <w:start w:val="1"/>
      <w:numFmt w:val="bullet"/>
      <w:lvlText w:val="·"/>
      <w:lvlJc w:val="left"/>
      <w:pPr>
        <w:ind w:left="1060" w:hanging="200"/>
      </w:pPr>
    </w:lvl>
    <w:lvl w:ilvl="3" w:tplc="FAA0836E">
      <w:numFmt w:val="decimal"/>
      <w:lvlText w:val=""/>
      <w:lvlJc w:val="left"/>
    </w:lvl>
    <w:lvl w:ilvl="4" w:tplc="B6268460">
      <w:numFmt w:val="decimal"/>
      <w:lvlText w:val=""/>
      <w:lvlJc w:val="left"/>
    </w:lvl>
    <w:lvl w:ilvl="5" w:tplc="E8AA58C2">
      <w:numFmt w:val="decimal"/>
      <w:lvlText w:val=""/>
      <w:lvlJc w:val="left"/>
    </w:lvl>
    <w:lvl w:ilvl="6" w:tplc="5F6AFD5A">
      <w:numFmt w:val="decimal"/>
      <w:lvlText w:val=""/>
      <w:lvlJc w:val="left"/>
    </w:lvl>
    <w:lvl w:ilvl="7" w:tplc="2E5C0344">
      <w:numFmt w:val="decimal"/>
      <w:lvlText w:val=""/>
      <w:lvlJc w:val="left"/>
    </w:lvl>
    <w:lvl w:ilvl="8" w:tplc="C6146528">
      <w:numFmt w:val="decimal"/>
      <w:lvlText w:val=""/>
      <w:lvlJc w:val="left"/>
    </w:lvl>
  </w:abstractNum>
  <w:abstractNum w:abstractNumId="2" w15:restartNumberingAfterBreak="0">
    <w:nsid w:val="47610AE3"/>
    <w:multiLevelType w:val="hybridMultilevel"/>
    <w:tmpl w:val="9A1CD214"/>
    <w:lvl w:ilvl="0" w:tplc="D208FEF4">
      <w:start w:val="1"/>
      <w:numFmt w:val="bullet"/>
      <w:lvlText w:val="●"/>
      <w:lvlJc w:val="left"/>
      <w:pPr>
        <w:ind w:left="720" w:hanging="360"/>
      </w:pPr>
    </w:lvl>
    <w:lvl w:ilvl="1" w:tplc="8B282636">
      <w:start w:val="1"/>
      <w:numFmt w:val="bullet"/>
      <w:lvlText w:val="○"/>
      <w:lvlJc w:val="left"/>
      <w:pPr>
        <w:ind w:left="1440" w:hanging="360"/>
      </w:pPr>
    </w:lvl>
    <w:lvl w:ilvl="2" w:tplc="65029502">
      <w:start w:val="1"/>
      <w:numFmt w:val="bullet"/>
      <w:lvlText w:val="■"/>
      <w:lvlJc w:val="left"/>
      <w:pPr>
        <w:ind w:left="2160" w:hanging="360"/>
      </w:pPr>
    </w:lvl>
    <w:lvl w:ilvl="3" w:tplc="02EEB2EE">
      <w:start w:val="1"/>
      <w:numFmt w:val="bullet"/>
      <w:lvlText w:val="●"/>
      <w:lvlJc w:val="left"/>
      <w:pPr>
        <w:ind w:left="2880" w:hanging="360"/>
      </w:pPr>
    </w:lvl>
    <w:lvl w:ilvl="4" w:tplc="090A2BB4">
      <w:start w:val="1"/>
      <w:numFmt w:val="bullet"/>
      <w:lvlText w:val="○"/>
      <w:lvlJc w:val="left"/>
      <w:pPr>
        <w:ind w:left="3600" w:hanging="360"/>
      </w:pPr>
    </w:lvl>
    <w:lvl w:ilvl="5" w:tplc="E4F40982">
      <w:start w:val="1"/>
      <w:numFmt w:val="bullet"/>
      <w:lvlText w:val="■"/>
      <w:lvlJc w:val="left"/>
      <w:pPr>
        <w:ind w:left="4320" w:hanging="360"/>
      </w:pPr>
    </w:lvl>
    <w:lvl w:ilvl="6" w:tplc="3A30A3B4">
      <w:start w:val="1"/>
      <w:numFmt w:val="bullet"/>
      <w:lvlText w:val="●"/>
      <w:lvlJc w:val="left"/>
      <w:pPr>
        <w:ind w:left="5040" w:hanging="360"/>
      </w:pPr>
    </w:lvl>
    <w:lvl w:ilvl="7" w:tplc="D358740E">
      <w:start w:val="1"/>
      <w:numFmt w:val="bullet"/>
      <w:lvlText w:val="●"/>
      <w:lvlJc w:val="left"/>
      <w:pPr>
        <w:ind w:left="5760" w:hanging="360"/>
      </w:pPr>
    </w:lvl>
    <w:lvl w:ilvl="8" w:tplc="99CEE736">
      <w:start w:val="1"/>
      <w:numFmt w:val="bullet"/>
      <w:lvlText w:val="●"/>
      <w:lvlJc w:val="left"/>
      <w:pPr>
        <w:ind w:left="6480" w:hanging="360"/>
      </w:pPr>
    </w:lvl>
  </w:abstractNum>
  <w:num w:numId="1" w16cid:durableId="719137933">
    <w:abstractNumId w:val="2"/>
    <w:lvlOverride w:ilvl="0">
      <w:startOverride w:val="1"/>
    </w:lvlOverride>
  </w:num>
  <w:num w:numId="2" w16cid:durableId="1607270676">
    <w:abstractNumId w:val="1"/>
    <w:lvlOverride w:ilvl="0">
      <w:startOverride w:val="1"/>
    </w:lvlOverride>
  </w:num>
  <w:num w:numId="3" w16cid:durableId="14376704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57C"/>
    <w:rsid w:val="000C1D89"/>
    <w:rsid w:val="00152B3B"/>
    <w:rsid w:val="003705D7"/>
    <w:rsid w:val="00533892"/>
    <w:rsid w:val="00664673"/>
    <w:rsid w:val="007B73EF"/>
    <w:rsid w:val="008235BE"/>
    <w:rsid w:val="008F5316"/>
    <w:rsid w:val="008F59D0"/>
    <w:rsid w:val="009B1E1A"/>
    <w:rsid w:val="00AE19CC"/>
    <w:rsid w:val="00B13C21"/>
    <w:rsid w:val="00B93C06"/>
    <w:rsid w:val="00C477D8"/>
    <w:rsid w:val="00D81DF2"/>
    <w:rsid w:val="00E6057C"/>
    <w:rsid w:val="00F415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7438B29"/>
  <w15:docId w15:val="{EA4D379B-1A63-F344-B55A-D3D3A9A3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19</Pages>
  <Words>10970</Words>
  <Characters>60340</Characters>
  <Application>Microsoft Office Word</Application>
  <DocSecurity>0</DocSecurity>
  <Lines>502</Lines>
  <Paragraphs>142</Paragraphs>
  <ScaleCrop>false</ScaleCrop>
  <HeadingPairs>
    <vt:vector size="2" baseType="variant">
      <vt:variant>
        <vt:lpstr>Titre</vt:lpstr>
      </vt:variant>
      <vt:variant>
        <vt:i4>1</vt:i4>
      </vt:variant>
    </vt:vector>
  </HeadingPairs>
  <TitlesOfParts>
    <vt:vector size="1" baseType="lpstr">
      <vt:lpstr>Grand Oral CRFPA — Libertés publiques et droits fondamentaux — Partie II</vt:lpstr>
    </vt:vector>
  </TitlesOfParts>
  <Company/>
  <LinksUpToDate>false</LinksUpToDate>
  <CharactersWithSpaces>71168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Libertés publiques et droits fondamentaux — Partie II</dc:title>
  <dc:creator>Simon</dc:creator>
  <dc:description>Fiches de révision n° 1 à 8</dc:description>
  <cp:lastModifiedBy>Simon BERNINES</cp:lastModifiedBy>
  <cp:revision>3</cp:revision>
  <dcterms:created xsi:type="dcterms:W3CDTF">2026-09-14T17:29:00Z</dcterms:created>
  <dcterms:modified xsi:type="dcterms:W3CDTF">2026-10-03T20:14:00Z</dcterms:modified>
</cp:coreProperties>
</file>