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4FA46C" w14:textId="77777777" w:rsidR="00E0256F" w:rsidRDefault="00000000">
      <w:pPr>
        <w:spacing w:before="1400" w:after="120"/>
        <w:jc w:val="center"/>
      </w:pPr>
      <w:r>
        <w:rPr>
          <w:rFonts w:ascii="Calibri" w:eastAsia="Calibri" w:hAnsi="Calibri" w:cs="Calibri"/>
          <w:b/>
          <w:bCs/>
          <w:color w:val="5A5A5A"/>
          <w:spacing w:val="60"/>
          <w:sz w:val="26"/>
          <w:szCs w:val="26"/>
        </w:rPr>
        <w:t>GRAND ORAL DU CRFPA</w:t>
      </w:r>
    </w:p>
    <w:p w14:paraId="1F638E04" w14:textId="77777777" w:rsidR="00E0256F" w:rsidRDefault="00000000">
      <w:pPr>
        <w:spacing w:after="100"/>
        <w:jc w:val="center"/>
      </w:pPr>
      <w:r>
        <w:rPr>
          <w:rFonts w:ascii="Calibri" w:eastAsia="Calibri" w:hAnsi="Calibri" w:cs="Calibri"/>
          <w:b/>
          <w:bCs/>
          <w:color w:val="8C1C2B"/>
          <w:sz w:val="44"/>
          <w:szCs w:val="44"/>
        </w:rPr>
        <w:t>LIBERTÉS PUBLIQUES ET DROITS FONDAMENTAUX</w:t>
      </w:r>
    </w:p>
    <w:p w14:paraId="494BED92" w14:textId="77777777" w:rsidR="00E0256F" w:rsidRDefault="00000000">
      <w:pPr>
        <w:spacing w:after="600"/>
        <w:jc w:val="center"/>
      </w:pPr>
      <w:r>
        <w:rPr>
          <w:rFonts w:ascii="Calibri" w:eastAsia="Calibri" w:hAnsi="Calibri" w:cs="Calibri"/>
          <w:color w:val="1A1A1A"/>
          <w:sz w:val="26"/>
          <w:szCs w:val="26"/>
        </w:rPr>
        <w:t>Partie III — Les sources externes (fiches n° 12 à 15)</w:t>
      </w:r>
    </w:p>
    <w:p w14:paraId="00E5C3C6" w14:textId="77777777" w:rsidR="00E0256F" w:rsidRDefault="00000000">
      <w:pPr>
        <w:spacing w:after="100"/>
        <w:jc w:val="center"/>
      </w:pPr>
      <w:r>
        <w:rPr>
          <w:rFonts w:ascii="Calibri" w:eastAsia="Calibri" w:hAnsi="Calibri" w:cs="Calibri"/>
          <w:i/>
          <w:iCs/>
          <w:color w:val="5A5A5A"/>
        </w:rPr>
        <w:t>Fiches de révision exhaustives — exposé de 15 minutes et entretien avec le jury</w:t>
      </w:r>
    </w:p>
    <w:p w14:paraId="09942C38" w14:textId="77777777" w:rsidR="00E0256F" w:rsidRDefault="00000000">
      <w:pPr>
        <w:spacing w:after="700"/>
        <w:jc w:val="center"/>
      </w:pPr>
      <w:r>
        <w:rPr>
          <w:rFonts w:ascii="Calibri" w:eastAsia="Calibri" w:hAnsi="Calibri" w:cs="Calibri"/>
          <w:i/>
          <w:iCs/>
          <w:color w:val="5A5A5A"/>
          <w:sz w:val="18"/>
          <w:szCs w:val="18"/>
        </w:rPr>
        <w:t>D’après le fascicule Objectif Barreau 2026</w:t>
      </w:r>
    </w:p>
    <w:p w14:paraId="1471170C" w14:textId="77777777" w:rsidR="00E0256F" w:rsidRDefault="00000000">
      <w:pPr>
        <w:spacing w:before="200" w:after="120"/>
      </w:pPr>
      <w:r>
        <w:rPr>
          <w:rFonts w:ascii="Calibri" w:eastAsia="Calibri" w:hAnsi="Calibri" w:cs="Calibri"/>
          <w:b/>
          <w:bCs/>
          <w:color w:val="1A1A1A"/>
          <w:sz w:val="22"/>
          <w:szCs w:val="22"/>
        </w:rPr>
        <w:t>CODE COULEUR</w:t>
      </w:r>
    </w:p>
    <w:p w14:paraId="518DD6E7" w14:textId="77777777" w:rsidR="00E0256F" w:rsidRDefault="00000000">
      <w:pPr>
        <w:pStyle w:val="Paragraphedeliste"/>
        <w:numPr>
          <w:ilvl w:val="0"/>
          <w:numId w:val="2"/>
        </w:numPr>
        <w:spacing w:after="60"/>
      </w:pPr>
      <w:r>
        <w:rPr>
          <w:rFonts w:ascii="Calibri" w:eastAsia="Calibri" w:hAnsi="Calibri" w:cs="Calibri"/>
          <w:color w:val="1E88E5"/>
        </w:rPr>
        <w:t>Textes normatifs</w:t>
      </w:r>
      <w:r>
        <w:rPr>
          <w:rFonts w:ascii="Calibri" w:eastAsia="Calibri" w:hAnsi="Calibri" w:cs="Calibri"/>
          <w:color w:val="1A1A1A"/>
        </w:rPr>
        <w:t xml:space="preserve"> — traités, conventions, Constitution, codes, lois, règlements.</w:t>
      </w:r>
    </w:p>
    <w:p w14:paraId="497A2C34" w14:textId="77777777" w:rsidR="00E0256F" w:rsidRDefault="00000000">
      <w:pPr>
        <w:pStyle w:val="Paragraphedeliste"/>
        <w:numPr>
          <w:ilvl w:val="0"/>
          <w:numId w:val="2"/>
        </w:numPr>
        <w:spacing w:after="60"/>
      </w:pPr>
      <w:r>
        <w:rPr>
          <w:rFonts w:ascii="Calibri" w:eastAsia="Calibri" w:hAnsi="Calibri" w:cs="Calibri"/>
          <w:color w:val="E91E63"/>
        </w:rPr>
        <w:t>Jurisprudence</w:t>
      </w:r>
      <w:r>
        <w:rPr>
          <w:rFonts w:ascii="Calibri" w:eastAsia="Calibri" w:hAnsi="Calibri" w:cs="Calibri"/>
          <w:color w:val="1A1A1A"/>
        </w:rPr>
        <w:t xml:space="preserve"> — Cass., CE, Cons. const., CEDH, CJUE, décisions QPC.</w:t>
      </w:r>
    </w:p>
    <w:p w14:paraId="6EFEA5AC" w14:textId="77777777" w:rsidR="00E0256F" w:rsidRDefault="00000000">
      <w:pPr>
        <w:pStyle w:val="Paragraphedeliste"/>
        <w:numPr>
          <w:ilvl w:val="0"/>
          <w:numId w:val="2"/>
        </w:numPr>
        <w:spacing w:after="60"/>
      </w:pPr>
      <w:r>
        <w:rPr>
          <w:rFonts w:ascii="Calibri" w:eastAsia="Calibri" w:hAnsi="Calibri" w:cs="Calibri"/>
          <w:color w:val="2E7D32"/>
        </w:rPr>
        <w:t>Doctrine</w:t>
      </w:r>
      <w:r>
        <w:rPr>
          <w:rFonts w:ascii="Calibri" w:eastAsia="Calibri" w:hAnsi="Calibri" w:cs="Calibri"/>
          <w:color w:val="1A1A1A"/>
        </w:rPr>
        <w:t xml:space="preserve"> — auteurs, thèses, controverses universitaires, avis institutionnels.</w:t>
      </w:r>
    </w:p>
    <w:p w14:paraId="3A26AF12" w14:textId="77777777" w:rsidR="00E0256F" w:rsidRDefault="00000000">
      <w:pPr>
        <w:pStyle w:val="Paragraphedeliste"/>
        <w:numPr>
          <w:ilvl w:val="0"/>
          <w:numId w:val="2"/>
        </w:numPr>
        <w:spacing w:after="60"/>
      </w:pPr>
      <w:r>
        <w:rPr>
          <w:rFonts w:ascii="Calibri" w:eastAsia="Calibri" w:hAnsi="Calibri" w:cs="Calibri"/>
          <w:b/>
          <w:bCs/>
          <w:color w:val="1A1A1A"/>
        </w:rPr>
        <w:t>Gras</w:t>
      </w:r>
      <w:r>
        <w:rPr>
          <w:rFonts w:ascii="Calibri" w:eastAsia="Calibri" w:hAnsi="Calibri" w:cs="Calibri"/>
          <w:color w:val="1A1A1A"/>
        </w:rPr>
        <w:t xml:space="preserve"> — réservé au seul apport à mémoriser. La couleur dit d’où vient la règle, le gras dit ce qu’il faut réciter.</w:t>
      </w:r>
    </w:p>
    <w:p w14:paraId="79171B7B" w14:textId="77777777" w:rsidR="00E0256F" w:rsidRDefault="00000000">
      <w:pPr>
        <w:pStyle w:val="Paragraphedeliste"/>
        <w:numPr>
          <w:ilvl w:val="0"/>
          <w:numId w:val="2"/>
        </w:numPr>
        <w:spacing w:after="300"/>
      </w:pPr>
      <w:r>
        <w:rPr>
          <w:rFonts w:ascii="Calibri" w:eastAsia="Calibri" w:hAnsi="Calibri" w:cs="Calibri"/>
          <w:color w:val="1A1A1A"/>
        </w:rPr>
        <w:t>★ — référence incontournable, à citer de mémoire le jour J.</w:t>
      </w:r>
    </w:p>
    <w:p w14:paraId="068624A4" w14:textId="77777777" w:rsidR="00E0256F" w:rsidRDefault="00000000">
      <w:pPr>
        <w:spacing w:before="200" w:after="120"/>
      </w:pPr>
      <w:r>
        <w:rPr>
          <w:rFonts w:ascii="Calibri" w:eastAsia="Calibri" w:hAnsi="Calibri" w:cs="Calibri"/>
          <w:b/>
          <w:bCs/>
          <w:color w:val="1A1A1A"/>
          <w:sz w:val="22"/>
          <w:szCs w:val="22"/>
        </w:rPr>
        <w:t>SOMMAIRE</w:t>
      </w:r>
    </w:p>
    <w:p w14:paraId="63384AB8" w14:textId="77777777" w:rsidR="00E0256F" w:rsidRDefault="00000000">
      <w:pPr>
        <w:pStyle w:val="Paragraphedeliste"/>
        <w:numPr>
          <w:ilvl w:val="0"/>
          <w:numId w:val="2"/>
        </w:numPr>
        <w:spacing w:after="40"/>
      </w:pPr>
      <w:r>
        <w:rPr>
          <w:rFonts w:ascii="Calibri" w:eastAsia="Calibri" w:hAnsi="Calibri" w:cs="Calibri"/>
          <w:color w:val="1A1A1A"/>
        </w:rPr>
        <w:t>Fiche n° 12 — L’internationalisation du droit des libertés</w:t>
      </w:r>
    </w:p>
    <w:p w14:paraId="019755F4" w14:textId="77777777" w:rsidR="00E0256F" w:rsidRDefault="00000000">
      <w:pPr>
        <w:pStyle w:val="Paragraphedeliste"/>
        <w:numPr>
          <w:ilvl w:val="0"/>
          <w:numId w:val="2"/>
        </w:numPr>
        <w:spacing w:after="40"/>
      </w:pPr>
      <w:r>
        <w:rPr>
          <w:rFonts w:ascii="Calibri" w:eastAsia="Calibri" w:hAnsi="Calibri" w:cs="Calibri"/>
          <w:color w:val="1A1A1A"/>
        </w:rPr>
        <w:t>Fiche n° 13 — Le droit onusien</w:t>
      </w:r>
    </w:p>
    <w:p w14:paraId="25C934B4" w14:textId="77777777" w:rsidR="00E0256F" w:rsidRDefault="00000000">
      <w:pPr>
        <w:pStyle w:val="Paragraphedeliste"/>
        <w:numPr>
          <w:ilvl w:val="0"/>
          <w:numId w:val="2"/>
        </w:numPr>
        <w:spacing w:after="40"/>
      </w:pPr>
      <w:r>
        <w:rPr>
          <w:rFonts w:ascii="Calibri" w:eastAsia="Calibri" w:hAnsi="Calibri" w:cs="Calibri"/>
          <w:color w:val="1A1A1A"/>
        </w:rPr>
        <w:t>Fiche n° 14 — Le Conseil de l’Europe et la Convention européenne des droits de l’homme</w:t>
      </w:r>
    </w:p>
    <w:p w14:paraId="32F7A6AC" w14:textId="77777777" w:rsidR="00E0256F" w:rsidRDefault="00000000">
      <w:pPr>
        <w:pStyle w:val="Paragraphedeliste"/>
        <w:numPr>
          <w:ilvl w:val="0"/>
          <w:numId w:val="2"/>
        </w:numPr>
        <w:spacing w:after="40"/>
      </w:pPr>
      <w:r>
        <w:rPr>
          <w:rFonts w:ascii="Calibri" w:eastAsia="Calibri" w:hAnsi="Calibri" w:cs="Calibri"/>
          <w:color w:val="1A1A1A"/>
        </w:rPr>
        <w:t>Fiche n° 15 — Le droit de l’Union européenne</w:t>
      </w:r>
    </w:p>
    <w:p w14:paraId="61C1EC30" w14:textId="77777777" w:rsidR="00E0256F" w:rsidRDefault="00000000">
      <w:pPr>
        <w:pStyle w:val="Paragraphedeliste"/>
        <w:numPr>
          <w:ilvl w:val="0"/>
          <w:numId w:val="2"/>
        </w:numPr>
        <w:spacing w:after="40"/>
      </w:pPr>
      <w:r>
        <w:rPr>
          <w:rFonts w:ascii="Calibri" w:eastAsia="Calibri" w:hAnsi="Calibri" w:cs="Calibri"/>
          <w:color w:val="1A1A1A"/>
        </w:rPr>
        <w:t>Annexe — Compléments à la chronologie et à l’index (parties I à III)</w:t>
      </w:r>
    </w:p>
    <w:p w14:paraId="678ECB82" w14:textId="77777777" w:rsidR="00E0256F" w:rsidRDefault="00000000">
      <w:pPr>
        <w:spacing w:before="300" w:after="80"/>
      </w:pPr>
      <w:r>
        <w:rPr>
          <w:rFonts w:ascii="Calibri" w:eastAsia="Calibri" w:hAnsi="Calibri" w:cs="Calibri"/>
          <w:i/>
          <w:iCs/>
          <w:color w:val="5A5A5A"/>
          <w:sz w:val="18"/>
          <w:szCs w:val="18"/>
        </w:rPr>
        <w:t>Chaque fiche s’ouvre sur une FICHE-MÉMOIRE d’une page — accroche, définition en trois lignes, cinq références incontournables, deux matrices de plan, trois pièges. C’est elle que l’on relit ; les pages suivantes forment le dossier de consultation.</w:t>
      </w:r>
    </w:p>
    <w:p w14:paraId="6C222931" w14:textId="77777777" w:rsidR="00E0256F" w:rsidRDefault="00000000">
      <w:r>
        <w:rPr>
          <w:rFonts w:ascii="Calibri" w:eastAsia="Calibri" w:hAnsi="Calibri" w:cs="Calibri"/>
          <w:i/>
          <w:iCs/>
          <w:color w:val="5A5A5A"/>
          <w:sz w:val="18"/>
          <w:szCs w:val="18"/>
        </w:rPr>
        <w:t>Dossier : architecture textuelle — ligne prétorienne et évolutions — débats doctrinaux et critiques — dispositif « Grand Oral » (relances du jury, sujets d’exposé, angles morts formulés en question / réponse pour le rappel actif).</w:t>
      </w:r>
    </w:p>
    <w:p w14:paraId="75933D60" w14:textId="77777777" w:rsidR="00E0256F" w:rsidRDefault="00000000">
      <w:r>
        <w:br w:type="page"/>
      </w:r>
    </w:p>
    <w:p w14:paraId="2CA68064" w14:textId="77777777" w:rsidR="00E0256F"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FICHE N° 12 — L’INTERNATIONALISATION DU DROIT DES LIBERTÉS</w:t>
      </w:r>
    </w:p>
    <w:p w14:paraId="0A984131" w14:textId="77777777" w:rsidR="00E0256F" w:rsidRDefault="00000000">
      <w:pPr>
        <w:pStyle w:val="Titre2"/>
        <w:spacing w:before="280" w:after="120"/>
      </w:pPr>
      <w:r>
        <w:rPr>
          <w:rFonts w:ascii="Calibri" w:eastAsia="Calibri" w:hAnsi="Calibri" w:cs="Calibri"/>
          <w:b/>
          <w:bCs/>
          <w:color w:val="1A1A1A"/>
          <w:sz w:val="24"/>
          <w:szCs w:val="24"/>
        </w:rPr>
        <w:t>◆ FICHE-MÉMOIRE — à réviser en trois minutes</w:t>
      </w:r>
    </w:p>
    <w:p w14:paraId="0E09A582" w14:textId="77777777" w:rsidR="00E0256F" w:rsidRDefault="00000000">
      <w:pPr>
        <w:pStyle w:val="Titre3"/>
        <w:spacing w:before="200" w:after="90"/>
      </w:pPr>
      <w:r>
        <w:rPr>
          <w:rFonts w:ascii="Calibri" w:eastAsia="Calibri" w:hAnsi="Calibri" w:cs="Calibri"/>
          <w:b/>
          <w:bCs/>
          <w:i/>
          <w:iCs/>
          <w:color w:val="5A5A5A"/>
          <w:sz w:val="21"/>
          <w:szCs w:val="21"/>
        </w:rPr>
        <w:t>Accroche</w:t>
      </w:r>
    </w:p>
    <w:p w14:paraId="231F2241"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Désormais, l’humanité a des droits sur l’État. » En 1948, le paradigme de </w:t>
      </w:r>
      <w:r>
        <w:rPr>
          <w:rFonts w:ascii="Calibri" w:eastAsia="Calibri" w:hAnsi="Calibri" w:cs="Calibri"/>
          <w:b/>
          <w:bCs/>
          <w:color w:val="1A1A1A"/>
        </w:rPr>
        <w:t>Westphalie</w:t>
      </w:r>
      <w:r>
        <w:rPr>
          <w:rFonts w:ascii="Calibri" w:eastAsia="Calibri" w:hAnsi="Calibri" w:cs="Calibri"/>
          <w:color w:val="1A1A1A"/>
        </w:rPr>
        <w:t xml:space="preserve"> — la souveraineté étatique au cœur du droit international classique — cesse d’être un absolu : l’individu quitte le statut d’objet du droit international pour en devenir un </w:t>
      </w:r>
      <w:r>
        <w:rPr>
          <w:rFonts w:ascii="Calibri" w:eastAsia="Calibri" w:hAnsi="Calibri" w:cs="Calibri"/>
          <w:b/>
          <w:bCs/>
          <w:color w:val="1A1A1A"/>
        </w:rPr>
        <w:t>sujet</w:t>
      </w:r>
      <w:r>
        <w:rPr>
          <w:rFonts w:ascii="Calibri" w:eastAsia="Calibri" w:hAnsi="Calibri" w:cs="Calibri"/>
          <w:color w:val="1A1A1A"/>
        </w:rPr>
        <w:t>.</w:t>
      </w:r>
    </w:p>
    <w:p w14:paraId="7C71C9A9"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Accroche alternative : lorsque deux ordres juridiques prétendent chacun à la primauté, ce n’est pas le traité qui tranche, c’est le juge — </w:t>
      </w:r>
      <w:r>
        <w:rPr>
          <w:rFonts w:ascii="Calibri" w:eastAsia="Calibri" w:hAnsi="Calibri" w:cs="Calibri"/>
          <w:color w:val="E91E63"/>
        </w:rPr>
        <w:t>Kadi</w:t>
      </w:r>
      <w:r>
        <w:rPr>
          <w:rFonts w:ascii="Calibri" w:eastAsia="Calibri" w:hAnsi="Calibri" w:cs="Calibri"/>
          <w:color w:val="1A1A1A"/>
        </w:rPr>
        <w:t xml:space="preserve"> à Luxembourg, </w:t>
      </w:r>
      <w:r>
        <w:rPr>
          <w:rFonts w:ascii="Calibri" w:eastAsia="Calibri" w:hAnsi="Calibri" w:cs="Calibri"/>
          <w:color w:val="E91E63"/>
        </w:rPr>
        <w:t>Nada</w:t>
      </w:r>
      <w:r>
        <w:rPr>
          <w:rFonts w:ascii="Calibri" w:eastAsia="Calibri" w:hAnsi="Calibri" w:cs="Calibri"/>
          <w:color w:val="1A1A1A"/>
        </w:rPr>
        <w:t xml:space="preserve"> à Strasbourg, </w:t>
      </w:r>
      <w:r>
        <w:rPr>
          <w:rFonts w:ascii="Calibri" w:eastAsia="Calibri" w:hAnsi="Calibri" w:cs="Calibri"/>
          <w:color w:val="E91E63"/>
        </w:rPr>
        <w:t>Sarran</w:t>
      </w:r>
      <w:r>
        <w:rPr>
          <w:rFonts w:ascii="Calibri" w:eastAsia="Calibri" w:hAnsi="Calibri" w:cs="Calibri"/>
          <w:color w:val="1A1A1A"/>
        </w:rPr>
        <w:t xml:space="preserve"> au Palais-Royal.</w:t>
      </w:r>
    </w:p>
    <w:p w14:paraId="3452657C" w14:textId="77777777" w:rsidR="00E0256F" w:rsidRDefault="00000000">
      <w:pPr>
        <w:pStyle w:val="Titre3"/>
        <w:spacing w:before="200" w:after="90"/>
      </w:pPr>
      <w:r>
        <w:rPr>
          <w:rFonts w:ascii="Calibri" w:eastAsia="Calibri" w:hAnsi="Calibri" w:cs="Calibri"/>
          <w:b/>
          <w:bCs/>
          <w:i/>
          <w:iCs/>
          <w:color w:val="5A5A5A"/>
          <w:sz w:val="21"/>
          <w:szCs w:val="21"/>
        </w:rPr>
        <w:t>Définition en trois lignes</w:t>
      </w:r>
    </w:p>
    <w:p w14:paraId="580C2115"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Internationalisation du droit des libertés</w:t>
      </w:r>
      <w:r>
        <w:rPr>
          <w:rFonts w:ascii="Calibri" w:eastAsia="Calibri" w:hAnsi="Calibri" w:cs="Calibri"/>
          <w:color w:val="1A1A1A"/>
        </w:rPr>
        <w:t xml:space="preserve"> : processus par lequel les droits fondamentaux, initialement consacrés dans les ordres juridiques internes, sont progressivement affirmés, protégés et garantis à l’échelle </w:t>
      </w:r>
      <w:r>
        <w:rPr>
          <w:rFonts w:ascii="Calibri" w:eastAsia="Calibri" w:hAnsi="Calibri" w:cs="Calibri"/>
          <w:b/>
          <w:bCs/>
          <w:color w:val="1A1A1A"/>
        </w:rPr>
        <w:t>internationale et régionale</w:t>
      </w:r>
      <w:r>
        <w:rPr>
          <w:rFonts w:ascii="Calibri" w:eastAsia="Calibri" w:hAnsi="Calibri" w:cs="Calibri"/>
          <w:color w:val="1A1A1A"/>
        </w:rPr>
        <w:t xml:space="preserve">. Avec la constitutionnalisation, elle forme les deux versants d’un même mouvement de </w:t>
      </w:r>
      <w:r>
        <w:rPr>
          <w:rFonts w:ascii="Calibri" w:eastAsia="Calibri" w:hAnsi="Calibri" w:cs="Calibri"/>
          <w:b/>
          <w:bCs/>
          <w:color w:val="1A1A1A"/>
        </w:rPr>
        <w:t>fondamentalisation</w:t>
      </w:r>
      <w:r>
        <w:rPr>
          <w:rFonts w:ascii="Calibri" w:eastAsia="Calibri" w:hAnsi="Calibri" w:cs="Calibri"/>
          <w:color w:val="1A1A1A"/>
        </w:rPr>
        <w:t>.</w:t>
      </w:r>
    </w:p>
    <w:p w14:paraId="645E1711"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Souveraineté</w:t>
      </w:r>
      <w:r>
        <w:rPr>
          <w:rFonts w:ascii="Calibri" w:eastAsia="Calibri" w:hAnsi="Calibri" w:cs="Calibri"/>
          <w:color w:val="1A1A1A"/>
        </w:rPr>
        <w:t xml:space="preserve"> — distinction à poser en introduction : souveraineté </w:t>
      </w:r>
      <w:r>
        <w:rPr>
          <w:rFonts w:ascii="Calibri" w:eastAsia="Calibri" w:hAnsi="Calibri" w:cs="Calibri"/>
          <w:b/>
          <w:bCs/>
          <w:color w:val="1A1A1A"/>
        </w:rPr>
        <w:t>étatique</w:t>
      </w:r>
      <w:r>
        <w:rPr>
          <w:rFonts w:ascii="Calibri" w:eastAsia="Calibri" w:hAnsi="Calibri" w:cs="Calibri"/>
          <w:color w:val="1A1A1A"/>
        </w:rPr>
        <w:t xml:space="preserve"> (externe) = autonomie de l’État dans la conduite de ses affaires, à l’abri de toute ingérence (logique de liberté) ; souveraineté </w:t>
      </w:r>
      <w:r>
        <w:rPr>
          <w:rFonts w:ascii="Calibri" w:eastAsia="Calibri" w:hAnsi="Calibri" w:cs="Calibri"/>
          <w:b/>
          <w:bCs/>
          <w:color w:val="1A1A1A"/>
        </w:rPr>
        <w:t>démocratique</w:t>
      </w:r>
      <w:r>
        <w:rPr>
          <w:rFonts w:ascii="Calibri" w:eastAsia="Calibri" w:hAnsi="Calibri" w:cs="Calibri"/>
          <w:color w:val="1A1A1A"/>
        </w:rPr>
        <w:t xml:space="preserve"> (interne) = source du pouvoir dans le peuple, qui l’exerce directement ou par ses représentants (logique de pouvoir, compétence de la compétence).</w:t>
      </w:r>
    </w:p>
    <w:p w14:paraId="08A7CB5C" w14:textId="77777777" w:rsidR="00E0256F" w:rsidRDefault="00000000">
      <w:pPr>
        <w:pStyle w:val="Titre3"/>
        <w:spacing w:before="200" w:after="90"/>
      </w:pPr>
      <w:r>
        <w:rPr>
          <w:rFonts w:ascii="Calibri" w:eastAsia="Calibri" w:hAnsi="Calibri" w:cs="Calibri"/>
          <w:b/>
          <w:bCs/>
          <w:i/>
          <w:iCs/>
          <w:color w:val="5A5A5A"/>
          <w:sz w:val="21"/>
          <w:szCs w:val="21"/>
        </w:rPr>
        <w:t>Les cinq références incontournables</w:t>
      </w:r>
    </w:p>
    <w:p w14:paraId="28313648"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CPJI, 4 février 1932, Traitement des nationaux polonais à Dantzig</w:t>
      </w:r>
      <w:r>
        <w:rPr>
          <w:rFonts w:ascii="Calibri" w:eastAsia="Calibri" w:hAnsi="Calibri" w:cs="Calibri"/>
          <w:color w:val="1A1A1A"/>
        </w:rPr>
        <w:t xml:space="preserve"> : du point de vue du droit international, les normes internes, </w:t>
      </w:r>
      <w:r>
        <w:rPr>
          <w:rFonts w:ascii="Calibri" w:eastAsia="Calibri" w:hAnsi="Calibri" w:cs="Calibri"/>
          <w:b/>
          <w:bCs/>
          <w:color w:val="1A1A1A"/>
        </w:rPr>
        <w:t>même constitutionnelles</w:t>
      </w:r>
      <w:r>
        <w:rPr>
          <w:rFonts w:ascii="Calibri" w:eastAsia="Calibri" w:hAnsi="Calibri" w:cs="Calibri"/>
          <w:color w:val="1A1A1A"/>
        </w:rPr>
        <w:t>, sont subordonnées.</w:t>
      </w:r>
    </w:p>
    <w:p w14:paraId="02FC21EE"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Ass., 30 octobre 1998, Sarran et Levacher</w:t>
      </w:r>
      <w:r>
        <w:rPr>
          <w:rFonts w:ascii="Calibri" w:eastAsia="Calibri" w:hAnsi="Calibri" w:cs="Calibri"/>
          <w:color w:val="1A1A1A"/>
        </w:rPr>
        <w:t xml:space="preserve"> et </w:t>
      </w:r>
      <w:r>
        <w:rPr>
          <w:rFonts w:ascii="Calibri" w:eastAsia="Calibri" w:hAnsi="Calibri" w:cs="Calibri"/>
          <w:color w:val="E91E63"/>
        </w:rPr>
        <w:t>Cass., ass. plén., 2 juin 2000, Fraisse</w:t>
      </w:r>
      <w:r>
        <w:rPr>
          <w:rFonts w:ascii="Calibri" w:eastAsia="Calibri" w:hAnsi="Calibri" w:cs="Calibri"/>
          <w:color w:val="1A1A1A"/>
        </w:rPr>
        <w:t xml:space="preserve"> : </w:t>
      </w:r>
      <w:r>
        <w:rPr>
          <w:rFonts w:ascii="Calibri" w:eastAsia="Calibri" w:hAnsi="Calibri" w:cs="Calibri"/>
          <w:b/>
          <w:bCs/>
          <w:color w:val="1A1A1A"/>
        </w:rPr>
        <w:t>point de vue inverse</w:t>
      </w:r>
      <w:r>
        <w:rPr>
          <w:rFonts w:ascii="Calibri" w:eastAsia="Calibri" w:hAnsi="Calibri" w:cs="Calibri"/>
          <w:color w:val="1A1A1A"/>
        </w:rPr>
        <w:t xml:space="preserve"> — la suprématie de l’</w:t>
      </w:r>
      <w:r>
        <w:rPr>
          <w:rFonts w:ascii="Calibri" w:eastAsia="Calibri" w:hAnsi="Calibri" w:cs="Calibri"/>
          <w:color w:val="1E88E5"/>
        </w:rPr>
        <w:t>art. 55 C.</w:t>
      </w:r>
      <w:r>
        <w:rPr>
          <w:rFonts w:ascii="Calibri" w:eastAsia="Calibri" w:hAnsi="Calibri" w:cs="Calibri"/>
          <w:color w:val="1A1A1A"/>
        </w:rPr>
        <w:t xml:space="preserve"> ne s’étend pas aux dispositions constitutionnelles.</w:t>
      </w:r>
    </w:p>
    <w:p w14:paraId="1DAE5CAA"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CJUE, 3 septembre 2008, Kadi c. Conseil et Commission</w:t>
      </w:r>
      <w:r>
        <w:rPr>
          <w:rFonts w:ascii="Calibri" w:eastAsia="Calibri" w:hAnsi="Calibri" w:cs="Calibri"/>
          <w:color w:val="1A1A1A"/>
        </w:rPr>
        <w:t xml:space="preserve"> : la Cour se reconnaît compétente pour apprécier la légalité d’un </w:t>
      </w:r>
      <w:r>
        <w:rPr>
          <w:rFonts w:ascii="Calibri" w:eastAsia="Calibri" w:hAnsi="Calibri" w:cs="Calibri"/>
          <w:b/>
          <w:bCs/>
          <w:color w:val="1A1A1A"/>
        </w:rPr>
        <w:t>règlement européen pris en application d’une résolution du Conseil de sécurité</w:t>
      </w:r>
      <w:r>
        <w:rPr>
          <w:rFonts w:ascii="Calibri" w:eastAsia="Calibri" w:hAnsi="Calibri" w:cs="Calibri"/>
          <w:color w:val="1A1A1A"/>
        </w:rPr>
        <w:t xml:space="preserve"> et le juge contraire aux droits fondamentaux.</w:t>
      </w:r>
    </w:p>
    <w:p w14:paraId="452597E3"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12 septembre 2012, Nada c. Suisse, n° 10593/08</w:t>
      </w:r>
      <w:r>
        <w:rPr>
          <w:rFonts w:ascii="Calibri" w:eastAsia="Calibri" w:hAnsi="Calibri" w:cs="Calibri"/>
          <w:color w:val="1A1A1A"/>
        </w:rPr>
        <w:t xml:space="preserve"> : la Convention, « </w:t>
      </w:r>
      <w:r>
        <w:rPr>
          <w:rFonts w:ascii="Calibri" w:eastAsia="Calibri" w:hAnsi="Calibri" w:cs="Calibri"/>
          <w:i/>
          <w:iCs/>
          <w:color w:val="1A1A1A"/>
        </w:rPr>
        <w:t>traité de garantie collective des droits de l’homme et des libertés fondamentales</w:t>
      </w:r>
      <w:r>
        <w:rPr>
          <w:rFonts w:ascii="Calibri" w:eastAsia="Calibri" w:hAnsi="Calibri" w:cs="Calibri"/>
          <w:color w:val="1A1A1A"/>
        </w:rPr>
        <w:t xml:space="preserve"> », interdit aux États de </w:t>
      </w:r>
      <w:r>
        <w:rPr>
          <w:rFonts w:ascii="Calibri" w:eastAsia="Calibri" w:hAnsi="Calibri" w:cs="Calibri"/>
          <w:b/>
          <w:bCs/>
          <w:color w:val="1A1A1A"/>
        </w:rPr>
        <w:t>s’abriter derrière le caractère contraignant des résolutions du Conseil de sécurité</w:t>
      </w:r>
      <w:r>
        <w:rPr>
          <w:rFonts w:ascii="Calibri" w:eastAsia="Calibri" w:hAnsi="Calibri" w:cs="Calibri"/>
          <w:color w:val="1A1A1A"/>
        </w:rPr>
        <w:t>.</w:t>
      </w:r>
    </w:p>
    <w:p w14:paraId="4E40BDCD"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CJUE, Gde ch., 29 avril 2025, Commission c. Malte, C-181/23</w:t>
      </w:r>
      <w:r>
        <w:rPr>
          <w:rFonts w:ascii="Calibri" w:eastAsia="Calibri" w:hAnsi="Calibri" w:cs="Calibri"/>
          <w:color w:val="1A1A1A"/>
        </w:rPr>
        <w:t xml:space="preserve"> : le programme de « passeports dorés » est contraire au droit de l’Union ; la </w:t>
      </w:r>
      <w:r>
        <w:rPr>
          <w:rFonts w:ascii="Calibri" w:eastAsia="Calibri" w:hAnsi="Calibri" w:cs="Calibri"/>
          <w:b/>
          <w:bCs/>
          <w:color w:val="1A1A1A"/>
        </w:rPr>
        <w:t>commercialisation de l’accès à la citoyenneté européenne</w:t>
      </w:r>
      <w:r>
        <w:rPr>
          <w:rFonts w:ascii="Calibri" w:eastAsia="Calibri" w:hAnsi="Calibri" w:cs="Calibri"/>
          <w:color w:val="1A1A1A"/>
        </w:rPr>
        <w:t xml:space="preserve"> méconnaît la nature du lien de solidarité et de loyauté unissant un État à ses ressortissants.</w:t>
      </w:r>
    </w:p>
    <w:p w14:paraId="24BE2F40" w14:textId="77777777" w:rsidR="00E0256F" w:rsidRDefault="00000000">
      <w:pPr>
        <w:pStyle w:val="Titre3"/>
        <w:spacing w:before="200" w:after="90"/>
      </w:pPr>
      <w:r>
        <w:rPr>
          <w:rFonts w:ascii="Calibri" w:eastAsia="Calibri" w:hAnsi="Calibri" w:cs="Calibri"/>
          <w:b/>
          <w:bCs/>
          <w:i/>
          <w:iCs/>
          <w:color w:val="5A5A5A"/>
          <w:sz w:val="21"/>
          <w:szCs w:val="21"/>
        </w:rPr>
        <w:t>Deux matrices de plan</w:t>
      </w:r>
    </w:p>
    <w:p w14:paraId="2F27728F"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Sujet « Internationalisation du droit des libertés et souveraineté des États »</w:t>
      </w:r>
      <w:r>
        <w:rPr>
          <w:rFonts w:ascii="Calibri" w:eastAsia="Calibri" w:hAnsi="Calibri" w:cs="Calibri"/>
          <w:color w:val="1A1A1A"/>
        </w:rPr>
        <w:t xml:space="preserve"> — </w:t>
      </w:r>
      <w:r>
        <w:rPr>
          <w:rFonts w:ascii="Calibri" w:eastAsia="Calibri" w:hAnsi="Calibri" w:cs="Calibri"/>
          <w:b/>
          <w:bCs/>
          <w:color w:val="1A1A1A"/>
        </w:rPr>
        <w:t>I. Une limitation de la souveraineté classique au profit des droits humains</w:t>
      </w:r>
      <w:r>
        <w:rPr>
          <w:rFonts w:ascii="Calibri" w:eastAsia="Calibri" w:hAnsi="Calibri" w:cs="Calibri"/>
          <w:color w:val="1A1A1A"/>
        </w:rPr>
        <w:t xml:space="preserve"> (A. Le tournant de 1948 : mise en cause des États et reconnaissance des droits humains ; B. L’européanisation et la remise en cause de la souveraineté étatique) / </w:t>
      </w:r>
      <w:r>
        <w:rPr>
          <w:rFonts w:ascii="Calibri" w:eastAsia="Calibri" w:hAnsi="Calibri" w:cs="Calibri"/>
          <w:b/>
          <w:bCs/>
          <w:color w:val="1A1A1A"/>
        </w:rPr>
        <w:t>II. Un renforcement de la démocratie et des droits humains</w:t>
      </w:r>
      <w:r>
        <w:rPr>
          <w:rFonts w:ascii="Calibri" w:eastAsia="Calibri" w:hAnsi="Calibri" w:cs="Calibri"/>
          <w:color w:val="1A1A1A"/>
        </w:rPr>
        <w:t xml:space="preserve"> (A. Sur la scène interne : l’Union, acteur de la protection de l’État de droit ; B. Un droit à la démocratie : cercle vertueux entre démocratisation et internationalisation).</w:t>
      </w:r>
    </w:p>
    <w:p w14:paraId="1762964B"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Sujet « Les conflits de normes internationales »</w:t>
      </w:r>
      <w:r>
        <w:rPr>
          <w:rFonts w:ascii="Calibri" w:eastAsia="Calibri" w:hAnsi="Calibri" w:cs="Calibri"/>
          <w:color w:val="1A1A1A"/>
        </w:rPr>
        <w:t xml:space="preserve"> — </w:t>
      </w:r>
      <w:r>
        <w:rPr>
          <w:rFonts w:ascii="Calibri" w:eastAsia="Calibri" w:hAnsi="Calibri" w:cs="Calibri"/>
          <w:b/>
          <w:bCs/>
          <w:color w:val="1A1A1A"/>
        </w:rPr>
        <w:t>I. Des ordres juridiques prétendant chacun à la primauté</w:t>
      </w:r>
      <w:r>
        <w:rPr>
          <w:rFonts w:ascii="Calibri" w:eastAsia="Calibri" w:hAnsi="Calibri" w:cs="Calibri"/>
          <w:color w:val="1A1A1A"/>
        </w:rPr>
        <w:t xml:space="preserve"> (A. Le point de vue international : </w:t>
      </w:r>
      <w:r>
        <w:rPr>
          <w:rFonts w:ascii="Calibri" w:eastAsia="Calibri" w:hAnsi="Calibri" w:cs="Calibri"/>
          <w:color w:val="E91E63"/>
        </w:rPr>
        <w:t>CPJI 1932</w:t>
      </w:r>
      <w:r>
        <w:rPr>
          <w:rFonts w:ascii="Calibri" w:eastAsia="Calibri" w:hAnsi="Calibri" w:cs="Calibri"/>
          <w:color w:val="1A1A1A"/>
        </w:rPr>
        <w:t xml:space="preserve">, </w:t>
      </w:r>
      <w:r>
        <w:rPr>
          <w:rFonts w:ascii="Calibri" w:eastAsia="Calibri" w:hAnsi="Calibri" w:cs="Calibri"/>
          <w:color w:val="E91E63"/>
        </w:rPr>
        <w:t>Costa c. ENEL</w:t>
      </w:r>
      <w:r>
        <w:rPr>
          <w:rFonts w:ascii="Calibri" w:eastAsia="Calibri" w:hAnsi="Calibri" w:cs="Calibri"/>
          <w:color w:val="1A1A1A"/>
        </w:rPr>
        <w:t xml:space="preserve">, </w:t>
      </w:r>
      <w:r>
        <w:rPr>
          <w:rFonts w:ascii="Calibri" w:eastAsia="Calibri" w:hAnsi="Calibri" w:cs="Calibri"/>
          <w:color w:val="E91E63"/>
        </w:rPr>
        <w:t>Parti communiste unifié de Turquie</w:t>
      </w:r>
      <w:r>
        <w:rPr>
          <w:rFonts w:ascii="Calibri" w:eastAsia="Calibri" w:hAnsi="Calibri" w:cs="Calibri"/>
          <w:color w:val="1A1A1A"/>
        </w:rPr>
        <w:t xml:space="preserve"> ; B. Le point de vue interne : </w:t>
      </w:r>
      <w:r>
        <w:rPr>
          <w:rFonts w:ascii="Calibri" w:eastAsia="Calibri" w:hAnsi="Calibri" w:cs="Calibri"/>
          <w:color w:val="E91E63"/>
        </w:rPr>
        <w:t>Sarran</w:t>
      </w:r>
      <w:r>
        <w:rPr>
          <w:rFonts w:ascii="Calibri" w:eastAsia="Calibri" w:hAnsi="Calibri" w:cs="Calibri"/>
          <w:color w:val="1A1A1A"/>
        </w:rPr>
        <w:t xml:space="preserve">, </w:t>
      </w:r>
      <w:r>
        <w:rPr>
          <w:rFonts w:ascii="Calibri" w:eastAsia="Calibri" w:hAnsi="Calibri" w:cs="Calibri"/>
          <w:color w:val="E91E63"/>
        </w:rPr>
        <w:t>Fraisse</w:t>
      </w:r>
      <w:r>
        <w:rPr>
          <w:rFonts w:ascii="Calibri" w:eastAsia="Calibri" w:hAnsi="Calibri" w:cs="Calibri"/>
          <w:color w:val="1A1A1A"/>
        </w:rPr>
        <w:t xml:space="preserve">) / </w:t>
      </w:r>
      <w:r>
        <w:rPr>
          <w:rFonts w:ascii="Calibri" w:eastAsia="Calibri" w:hAnsi="Calibri" w:cs="Calibri"/>
          <w:b/>
          <w:bCs/>
          <w:color w:val="1A1A1A"/>
        </w:rPr>
        <w:t>II. Un arbitrage prétorien opéré au nom des droits fondamentaux</w:t>
      </w:r>
      <w:r>
        <w:rPr>
          <w:rFonts w:ascii="Calibri" w:eastAsia="Calibri" w:hAnsi="Calibri" w:cs="Calibri"/>
          <w:color w:val="1A1A1A"/>
        </w:rPr>
        <w:t xml:space="preserve"> (A. Le contrôle des actes de mise en œuvre : </w:t>
      </w:r>
      <w:r>
        <w:rPr>
          <w:rFonts w:ascii="Calibri" w:eastAsia="Calibri" w:hAnsi="Calibri" w:cs="Calibri"/>
          <w:color w:val="E91E63"/>
        </w:rPr>
        <w:t>Kadi</w:t>
      </w:r>
      <w:r>
        <w:rPr>
          <w:rFonts w:ascii="Calibri" w:eastAsia="Calibri" w:hAnsi="Calibri" w:cs="Calibri"/>
          <w:color w:val="1A1A1A"/>
        </w:rPr>
        <w:t xml:space="preserve">, </w:t>
      </w:r>
      <w:r>
        <w:rPr>
          <w:rFonts w:ascii="Calibri" w:eastAsia="Calibri" w:hAnsi="Calibri" w:cs="Calibri"/>
          <w:color w:val="E91E63"/>
        </w:rPr>
        <w:t>Nada</w:t>
      </w:r>
      <w:r>
        <w:rPr>
          <w:rFonts w:ascii="Calibri" w:eastAsia="Calibri" w:hAnsi="Calibri" w:cs="Calibri"/>
          <w:color w:val="1A1A1A"/>
        </w:rPr>
        <w:t xml:space="preserve"> ; B. La préférence donnée au traité le plus protecteur : </w:t>
      </w:r>
      <w:r>
        <w:rPr>
          <w:rFonts w:ascii="Calibri" w:eastAsia="Calibri" w:hAnsi="Calibri" w:cs="Calibri"/>
          <w:color w:val="E91E63"/>
        </w:rPr>
        <w:t xml:space="preserve">CE, 22 mai 1992, </w:t>
      </w:r>
      <w:proofErr w:type="spellStart"/>
      <w:r>
        <w:rPr>
          <w:rFonts w:ascii="Calibri" w:eastAsia="Calibri" w:hAnsi="Calibri" w:cs="Calibri"/>
          <w:color w:val="E91E63"/>
        </w:rPr>
        <w:t>Larachi</w:t>
      </w:r>
      <w:proofErr w:type="spellEnd"/>
      <w:r>
        <w:rPr>
          <w:rFonts w:ascii="Calibri" w:eastAsia="Calibri" w:hAnsi="Calibri" w:cs="Calibri"/>
          <w:color w:val="1A1A1A"/>
        </w:rPr>
        <w:t>).</w:t>
      </w:r>
    </w:p>
    <w:p w14:paraId="3C2C7385" w14:textId="77777777" w:rsidR="00E0256F" w:rsidRDefault="00000000">
      <w:pPr>
        <w:pStyle w:val="Titre3"/>
        <w:spacing w:before="200" w:after="90"/>
      </w:pPr>
      <w:r>
        <w:rPr>
          <w:rFonts w:ascii="Calibri" w:eastAsia="Calibri" w:hAnsi="Calibri" w:cs="Calibri"/>
          <w:b/>
          <w:bCs/>
          <w:i/>
          <w:iCs/>
          <w:color w:val="5A5A5A"/>
          <w:sz w:val="21"/>
          <w:szCs w:val="21"/>
        </w:rPr>
        <w:t>Trois pièges</w:t>
      </w:r>
    </w:p>
    <w:p w14:paraId="1058789B"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E91E63"/>
        </w:rPr>
        <w:t>Kadi</w:t>
      </w:r>
      <w:r>
        <w:rPr>
          <w:rFonts w:ascii="Calibri" w:eastAsia="Calibri" w:hAnsi="Calibri" w:cs="Calibri"/>
          <w:b/>
          <w:bCs/>
          <w:color w:val="1A1A1A"/>
        </w:rPr>
        <w:t xml:space="preserve"> et </w:t>
      </w:r>
      <w:r>
        <w:rPr>
          <w:rFonts w:ascii="Calibri" w:eastAsia="Calibri" w:hAnsi="Calibri" w:cs="Calibri"/>
          <w:b/>
          <w:bCs/>
          <w:color w:val="E91E63"/>
        </w:rPr>
        <w:t>Nada</w:t>
      </w:r>
      <w:r>
        <w:rPr>
          <w:rFonts w:ascii="Calibri" w:eastAsia="Calibri" w:hAnsi="Calibri" w:cs="Calibri"/>
          <w:b/>
          <w:bCs/>
          <w:color w:val="1A1A1A"/>
        </w:rPr>
        <w:t xml:space="preserve"> ne sont pas rendus par la même juridiction</w:t>
      </w:r>
      <w:r>
        <w:rPr>
          <w:rFonts w:ascii="Calibri" w:eastAsia="Calibri" w:hAnsi="Calibri" w:cs="Calibri"/>
          <w:color w:val="1A1A1A"/>
        </w:rPr>
        <w:t xml:space="preserve"> : le premier est un arrêt de la Cour de justice, portant sur un </w:t>
      </w:r>
      <w:r>
        <w:rPr>
          <w:rFonts w:ascii="Calibri" w:eastAsia="Calibri" w:hAnsi="Calibri" w:cs="Calibri"/>
          <w:b/>
          <w:bCs/>
          <w:color w:val="1A1A1A"/>
        </w:rPr>
        <w:t>règlement européen</w:t>
      </w:r>
      <w:r>
        <w:rPr>
          <w:rFonts w:ascii="Calibri" w:eastAsia="Calibri" w:hAnsi="Calibri" w:cs="Calibri"/>
          <w:color w:val="1A1A1A"/>
        </w:rPr>
        <w:t xml:space="preserve"> ; le second un arrêt de la Cour de Strasbourg, portant sur une </w:t>
      </w:r>
      <w:r>
        <w:rPr>
          <w:rFonts w:ascii="Calibri" w:eastAsia="Calibri" w:hAnsi="Calibri" w:cs="Calibri"/>
          <w:b/>
          <w:bCs/>
          <w:color w:val="1A1A1A"/>
        </w:rPr>
        <w:t>mesure nationale</w:t>
      </w:r>
      <w:r>
        <w:rPr>
          <w:rFonts w:ascii="Calibri" w:eastAsia="Calibri" w:hAnsi="Calibri" w:cs="Calibri"/>
          <w:color w:val="1A1A1A"/>
        </w:rPr>
        <w:t>. Même problème — la subordination aux résolutions onusiennes — deux fondements distincts.</w:t>
      </w:r>
    </w:p>
    <w:p w14:paraId="2D178A22"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Ne pas présenter la France comme un système intégralement moniste</w:t>
      </w:r>
      <w:r>
        <w:rPr>
          <w:rFonts w:ascii="Calibri" w:eastAsia="Calibri" w:hAnsi="Calibri" w:cs="Calibri"/>
          <w:color w:val="1A1A1A"/>
        </w:rPr>
        <w:t xml:space="preserve"> : l’</w:t>
      </w:r>
      <w:r>
        <w:rPr>
          <w:rFonts w:ascii="Calibri" w:eastAsia="Calibri" w:hAnsi="Calibri" w:cs="Calibri"/>
          <w:color w:val="1E88E5"/>
        </w:rPr>
        <w:t>art. 55 C.</w:t>
      </w:r>
      <w:r>
        <w:rPr>
          <w:rFonts w:ascii="Calibri" w:eastAsia="Calibri" w:hAnsi="Calibri" w:cs="Calibri"/>
          <w:color w:val="1A1A1A"/>
        </w:rPr>
        <w:t xml:space="preserve"> subordonne la supériorité des traités à une condition de réciprocité (écartée pour les conventions de droits de l’homme, par nature objectives), et la Constitution prime </w:t>
      </w:r>
      <w:r>
        <w:rPr>
          <w:rFonts w:ascii="Calibri" w:eastAsia="Calibri" w:hAnsi="Calibri" w:cs="Calibri"/>
          <w:b/>
          <w:bCs/>
          <w:color w:val="1A1A1A"/>
        </w:rPr>
        <w:t>dans l’ordre interne</w:t>
      </w:r>
      <w:r>
        <w:rPr>
          <w:rFonts w:ascii="Calibri" w:eastAsia="Calibri" w:hAnsi="Calibri" w:cs="Calibri"/>
          <w:color w:val="1A1A1A"/>
        </w:rPr>
        <w:t xml:space="preserve"> (</w:t>
      </w:r>
      <w:r>
        <w:rPr>
          <w:rFonts w:ascii="Calibri" w:eastAsia="Calibri" w:hAnsi="Calibri" w:cs="Calibri"/>
          <w:color w:val="E91E63"/>
        </w:rPr>
        <w:t>Sarran</w:t>
      </w:r>
      <w:r>
        <w:rPr>
          <w:rFonts w:ascii="Calibri" w:eastAsia="Calibri" w:hAnsi="Calibri" w:cs="Calibri"/>
          <w:color w:val="1A1A1A"/>
        </w:rPr>
        <w:t>).</w:t>
      </w:r>
    </w:p>
    <w:p w14:paraId="7B1AFA30"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E91E63"/>
        </w:rPr>
        <w:t>Viking</w:t>
      </w:r>
      <w:r>
        <w:rPr>
          <w:rFonts w:ascii="Calibri" w:eastAsia="Calibri" w:hAnsi="Calibri" w:cs="Calibri"/>
          <w:b/>
          <w:bCs/>
          <w:color w:val="1A1A1A"/>
        </w:rPr>
        <w:t xml:space="preserve"> ne protège pas le droit de grève</w:t>
      </w:r>
      <w:r>
        <w:rPr>
          <w:rFonts w:ascii="Calibri" w:eastAsia="Calibri" w:hAnsi="Calibri" w:cs="Calibri"/>
          <w:color w:val="1A1A1A"/>
        </w:rPr>
        <w:t xml:space="preserve"> : la Cour de justice y admet au contraire que l’action syndicale, y compris la grève et l’action collective, puisse constituer une </w:t>
      </w:r>
      <w:r>
        <w:rPr>
          <w:rFonts w:ascii="Calibri" w:eastAsia="Calibri" w:hAnsi="Calibri" w:cs="Calibri"/>
          <w:b/>
          <w:bCs/>
          <w:color w:val="1A1A1A"/>
        </w:rPr>
        <w:t>entrave</w:t>
      </w:r>
      <w:r>
        <w:rPr>
          <w:rFonts w:ascii="Calibri" w:eastAsia="Calibri" w:hAnsi="Calibri" w:cs="Calibri"/>
          <w:color w:val="1A1A1A"/>
        </w:rPr>
        <w:t xml:space="preserve"> à une liberté économique.</w:t>
      </w:r>
    </w:p>
    <w:p w14:paraId="54FCFA59" w14:textId="77777777" w:rsidR="00E0256F" w:rsidRDefault="00000000">
      <w:r>
        <w:br w:type="page"/>
      </w:r>
    </w:p>
    <w:p w14:paraId="081D0C5D" w14:textId="77777777" w:rsidR="00E0256F" w:rsidRDefault="00000000">
      <w:pPr>
        <w:pStyle w:val="Titre2"/>
        <w:spacing w:before="280" w:after="120"/>
      </w:pPr>
      <w:r>
        <w:rPr>
          <w:rFonts w:ascii="Calibri" w:eastAsia="Calibri" w:hAnsi="Calibri" w:cs="Calibri"/>
          <w:b/>
          <w:bCs/>
          <w:color w:val="1A1A1A"/>
          <w:sz w:val="24"/>
          <w:szCs w:val="24"/>
        </w:rPr>
        <w:lastRenderedPageBreak/>
        <w:t>1. Architecture textuelle</w:t>
      </w:r>
    </w:p>
    <w:p w14:paraId="5D701211" w14:textId="77777777" w:rsidR="00E0256F" w:rsidRDefault="00000000">
      <w:pPr>
        <w:pStyle w:val="Paragraphedeliste"/>
        <w:numPr>
          <w:ilvl w:val="0"/>
          <w:numId w:val="2"/>
        </w:numPr>
        <w:spacing w:after="70" w:line="264" w:lineRule="auto"/>
        <w:jc w:val="both"/>
      </w:pPr>
      <w:r>
        <w:rPr>
          <w:rFonts w:ascii="Calibri" w:eastAsia="Calibri" w:hAnsi="Calibri" w:cs="Calibri"/>
          <w:color w:val="1E88E5"/>
        </w:rPr>
        <w:t>Charte des Nations unies, signée à San Francisco le 26 juin 1945</w:t>
      </w:r>
      <w:r>
        <w:rPr>
          <w:rFonts w:ascii="Calibri" w:eastAsia="Calibri" w:hAnsi="Calibri" w:cs="Calibri"/>
          <w:color w:val="1A1A1A"/>
        </w:rPr>
        <w:t xml:space="preserve">. </w:t>
      </w:r>
      <w:r>
        <w:rPr>
          <w:rFonts w:ascii="Calibri" w:eastAsia="Calibri" w:hAnsi="Calibri" w:cs="Calibri"/>
          <w:color w:val="1E88E5"/>
        </w:rPr>
        <w:t>Art. 1er, point 3</w:t>
      </w:r>
      <w:r>
        <w:rPr>
          <w:rFonts w:ascii="Calibri" w:eastAsia="Calibri" w:hAnsi="Calibri" w:cs="Calibri"/>
          <w:color w:val="1A1A1A"/>
        </w:rPr>
        <w:t xml:space="preserve"> : « </w:t>
      </w:r>
      <w:r>
        <w:rPr>
          <w:rFonts w:ascii="Calibri" w:eastAsia="Calibri" w:hAnsi="Calibri" w:cs="Calibri"/>
          <w:i/>
          <w:iCs/>
          <w:color w:val="1A1A1A"/>
        </w:rPr>
        <w:t>Réaliser la coopération internationale en résolvant les problèmes internationaux d’ordre économique, social, intellectuel ou humanitaire, en développant et en encourageant le respect des droits de l’homme et des libertés fondamentales pour tous sans distinction de race, de sexe, de langue ou de religion.</w:t>
      </w:r>
      <w:r>
        <w:rPr>
          <w:rFonts w:ascii="Calibri" w:eastAsia="Calibri" w:hAnsi="Calibri" w:cs="Calibri"/>
          <w:color w:val="1A1A1A"/>
        </w:rPr>
        <w:t xml:space="preserve"> » Elle établit un lien étroit entre le maintien de la paix et la promotion des droits humains.</w:t>
      </w:r>
    </w:p>
    <w:p w14:paraId="2F71FE8D" w14:textId="77777777" w:rsidR="00E0256F" w:rsidRDefault="00000000">
      <w:pPr>
        <w:pStyle w:val="Paragraphedeliste"/>
        <w:numPr>
          <w:ilvl w:val="0"/>
          <w:numId w:val="2"/>
        </w:numPr>
        <w:spacing w:after="70" w:line="264" w:lineRule="auto"/>
        <w:jc w:val="both"/>
      </w:pPr>
      <w:r>
        <w:rPr>
          <w:rFonts w:ascii="Calibri" w:eastAsia="Calibri" w:hAnsi="Calibri" w:cs="Calibri"/>
          <w:color w:val="1E88E5"/>
        </w:rPr>
        <w:t>Déclaration universelle des droits de l’homme, 10 décembre 1948</w:t>
      </w:r>
      <w:r>
        <w:rPr>
          <w:rFonts w:ascii="Calibri" w:eastAsia="Calibri" w:hAnsi="Calibri" w:cs="Calibri"/>
          <w:color w:val="1A1A1A"/>
        </w:rPr>
        <w:t xml:space="preserve"> ; </w:t>
      </w:r>
      <w:r>
        <w:rPr>
          <w:rFonts w:ascii="Calibri" w:eastAsia="Calibri" w:hAnsi="Calibri" w:cs="Calibri"/>
          <w:color w:val="1E88E5"/>
        </w:rPr>
        <w:t>Pacte international relatif aux droits civils et politiques</w:t>
      </w:r>
      <w:r>
        <w:rPr>
          <w:rFonts w:ascii="Calibri" w:eastAsia="Calibri" w:hAnsi="Calibri" w:cs="Calibri"/>
          <w:color w:val="1A1A1A"/>
        </w:rPr>
        <w:t xml:space="preserve"> et </w:t>
      </w:r>
      <w:r>
        <w:rPr>
          <w:rFonts w:ascii="Calibri" w:eastAsia="Calibri" w:hAnsi="Calibri" w:cs="Calibri"/>
          <w:color w:val="1E88E5"/>
        </w:rPr>
        <w:t>Pacte international relatif aux droits économiques, sociaux et culturels, 16 décembre 1966</w:t>
      </w:r>
      <w:r>
        <w:rPr>
          <w:rFonts w:ascii="Calibri" w:eastAsia="Calibri" w:hAnsi="Calibri" w:cs="Calibri"/>
          <w:color w:val="1A1A1A"/>
        </w:rPr>
        <w:t>.</w:t>
      </w:r>
    </w:p>
    <w:p w14:paraId="433F4209" w14:textId="77777777" w:rsidR="00E0256F" w:rsidRDefault="00000000">
      <w:pPr>
        <w:pStyle w:val="Paragraphedeliste"/>
        <w:numPr>
          <w:ilvl w:val="0"/>
          <w:numId w:val="2"/>
        </w:numPr>
        <w:spacing w:after="70" w:line="264" w:lineRule="auto"/>
        <w:jc w:val="both"/>
      </w:pPr>
      <w:r>
        <w:rPr>
          <w:rFonts w:ascii="Calibri" w:eastAsia="Calibri" w:hAnsi="Calibri" w:cs="Calibri"/>
          <w:color w:val="1E88E5"/>
        </w:rPr>
        <w:t>Convention européenne de sauvegarde des droits de l’homme et des libertés fondamentales</w:t>
      </w:r>
      <w:r>
        <w:rPr>
          <w:rFonts w:ascii="Calibri" w:eastAsia="Calibri" w:hAnsi="Calibri" w:cs="Calibri"/>
          <w:color w:val="1A1A1A"/>
        </w:rPr>
        <w:t xml:space="preserve"> ; </w:t>
      </w:r>
      <w:r>
        <w:rPr>
          <w:rFonts w:ascii="Calibri" w:eastAsia="Calibri" w:hAnsi="Calibri" w:cs="Calibri"/>
          <w:color w:val="1E88E5"/>
        </w:rPr>
        <w:t>Charte des droits fondamentaux de l’Union européenne</w:t>
      </w:r>
      <w:r>
        <w:rPr>
          <w:rFonts w:ascii="Calibri" w:eastAsia="Calibri" w:hAnsi="Calibri" w:cs="Calibri"/>
          <w:color w:val="1A1A1A"/>
        </w:rPr>
        <w:t xml:space="preserve"> ; </w:t>
      </w:r>
      <w:r>
        <w:rPr>
          <w:rFonts w:ascii="Calibri" w:eastAsia="Calibri" w:hAnsi="Calibri" w:cs="Calibri"/>
          <w:color w:val="1E88E5"/>
        </w:rPr>
        <w:t>art. 6 et 7 du Traité sur l’Union européenne</w:t>
      </w:r>
      <w:r>
        <w:rPr>
          <w:rFonts w:ascii="Calibri" w:eastAsia="Calibri" w:hAnsi="Calibri" w:cs="Calibri"/>
          <w:color w:val="1A1A1A"/>
        </w:rPr>
        <w:t xml:space="preserve"> ; </w:t>
      </w:r>
      <w:r>
        <w:rPr>
          <w:rFonts w:ascii="Calibri" w:eastAsia="Calibri" w:hAnsi="Calibri" w:cs="Calibri"/>
          <w:color w:val="1E88E5"/>
        </w:rPr>
        <w:t>art. 55 de la Constitution</w:t>
      </w:r>
      <w:r>
        <w:rPr>
          <w:rFonts w:ascii="Calibri" w:eastAsia="Calibri" w:hAnsi="Calibri" w:cs="Calibri"/>
          <w:color w:val="1A1A1A"/>
        </w:rPr>
        <w:t>.</w:t>
      </w:r>
    </w:p>
    <w:p w14:paraId="6CD532CD"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Antécédents</w:t>
      </w:r>
      <w:r>
        <w:rPr>
          <w:rFonts w:ascii="Calibri" w:eastAsia="Calibri" w:hAnsi="Calibri" w:cs="Calibri"/>
          <w:color w:val="1A1A1A"/>
        </w:rPr>
        <w:t xml:space="preserve"> : </w:t>
      </w:r>
      <w:r>
        <w:rPr>
          <w:rFonts w:ascii="Calibri" w:eastAsia="Calibri" w:hAnsi="Calibri" w:cs="Calibri"/>
          <w:color w:val="1E88E5"/>
        </w:rPr>
        <w:t>Convention de Genève de 1864</w:t>
      </w:r>
      <w:r>
        <w:rPr>
          <w:rFonts w:ascii="Calibri" w:eastAsia="Calibri" w:hAnsi="Calibri" w:cs="Calibri"/>
          <w:color w:val="1A1A1A"/>
        </w:rPr>
        <w:t xml:space="preserve"> (droit humanitaire) ; </w:t>
      </w:r>
      <w:r>
        <w:rPr>
          <w:rFonts w:ascii="Calibri" w:eastAsia="Calibri" w:hAnsi="Calibri" w:cs="Calibri"/>
          <w:color w:val="1E88E5"/>
        </w:rPr>
        <w:t>traité de Versailles, 1919</w:t>
      </w:r>
      <w:r>
        <w:rPr>
          <w:rFonts w:ascii="Calibri" w:eastAsia="Calibri" w:hAnsi="Calibri" w:cs="Calibri"/>
          <w:color w:val="1A1A1A"/>
        </w:rPr>
        <w:t xml:space="preserve"> — Société des Nations et Organisation internationale du travail, premiers mécanismes de garantie internationale des droits sociaux.</w:t>
      </w:r>
    </w:p>
    <w:p w14:paraId="4A0AD304"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Systèmes régionaux</w:t>
      </w:r>
      <w:r>
        <w:rPr>
          <w:rFonts w:ascii="Calibri" w:eastAsia="Calibri" w:hAnsi="Calibri" w:cs="Calibri"/>
          <w:color w:val="1A1A1A"/>
        </w:rPr>
        <w:t xml:space="preserve"> : </w:t>
      </w:r>
      <w:r>
        <w:rPr>
          <w:rFonts w:ascii="Calibri" w:eastAsia="Calibri" w:hAnsi="Calibri" w:cs="Calibri"/>
          <w:color w:val="1E88E5"/>
        </w:rPr>
        <w:t>Convention américaine relative aux droits de l’homme, 22 novembre 1969</w:t>
      </w:r>
      <w:r>
        <w:rPr>
          <w:rFonts w:ascii="Calibri" w:eastAsia="Calibri" w:hAnsi="Calibri" w:cs="Calibri"/>
          <w:color w:val="1A1A1A"/>
        </w:rPr>
        <w:t xml:space="preserve"> (Organisation des États américains ; Cour interaméricaine dotée en outre d’une </w:t>
      </w:r>
      <w:r>
        <w:rPr>
          <w:rFonts w:ascii="Calibri" w:eastAsia="Calibri" w:hAnsi="Calibri" w:cs="Calibri"/>
          <w:b/>
          <w:bCs/>
          <w:color w:val="1A1A1A"/>
        </w:rPr>
        <w:t>compétence consultative</w:t>
      </w:r>
      <w:r>
        <w:rPr>
          <w:rFonts w:ascii="Calibri" w:eastAsia="Calibri" w:hAnsi="Calibri" w:cs="Calibri"/>
          <w:color w:val="1A1A1A"/>
        </w:rPr>
        <w:t xml:space="preserve">) ; </w:t>
      </w:r>
      <w:r>
        <w:rPr>
          <w:rFonts w:ascii="Calibri" w:eastAsia="Calibri" w:hAnsi="Calibri" w:cs="Calibri"/>
          <w:color w:val="1E88E5"/>
        </w:rPr>
        <w:t>Charte africaine des droits de l’homme et des peuples, 1981</w:t>
      </w:r>
      <w:r>
        <w:rPr>
          <w:rFonts w:ascii="Calibri" w:eastAsia="Calibri" w:hAnsi="Calibri" w:cs="Calibri"/>
          <w:color w:val="1A1A1A"/>
        </w:rPr>
        <w:t xml:space="preserve"> (Organisation de l’Unité africaine, devenue Union africaine ; Cour africaine des droits de l’homme et des peuples) ; </w:t>
      </w:r>
      <w:r>
        <w:rPr>
          <w:rFonts w:ascii="Calibri" w:eastAsia="Calibri" w:hAnsi="Calibri" w:cs="Calibri"/>
          <w:color w:val="1E88E5"/>
        </w:rPr>
        <w:t>Charte de l’ASEAN, 2007</w:t>
      </w:r>
      <w:r>
        <w:rPr>
          <w:rFonts w:ascii="Calibri" w:eastAsia="Calibri" w:hAnsi="Calibri" w:cs="Calibri"/>
          <w:color w:val="1A1A1A"/>
        </w:rPr>
        <w:t xml:space="preserve"> ; </w:t>
      </w:r>
      <w:r>
        <w:rPr>
          <w:rFonts w:ascii="Calibri" w:eastAsia="Calibri" w:hAnsi="Calibri" w:cs="Calibri"/>
          <w:color w:val="1E88E5"/>
        </w:rPr>
        <w:t>Charte arabe des droits de l’homme, 1994, profondément révisée en 2004</w:t>
      </w:r>
      <w:r>
        <w:rPr>
          <w:rFonts w:ascii="Calibri" w:eastAsia="Calibri" w:hAnsi="Calibri" w:cs="Calibri"/>
          <w:color w:val="1A1A1A"/>
        </w:rPr>
        <w:t xml:space="preserve"> (Ligue arabe) ; </w:t>
      </w:r>
      <w:r>
        <w:rPr>
          <w:rFonts w:ascii="Calibri" w:eastAsia="Calibri" w:hAnsi="Calibri" w:cs="Calibri"/>
          <w:color w:val="1E88E5"/>
        </w:rPr>
        <w:t>Déclaration islamique universelle des droits de l’homme, 1981</w:t>
      </w:r>
      <w:r>
        <w:rPr>
          <w:rFonts w:ascii="Calibri" w:eastAsia="Calibri" w:hAnsi="Calibri" w:cs="Calibri"/>
          <w:color w:val="1A1A1A"/>
        </w:rPr>
        <w:t>.</w:t>
      </w:r>
    </w:p>
    <w:p w14:paraId="1C4E138D" w14:textId="77777777" w:rsidR="00E0256F" w:rsidRDefault="00000000">
      <w:pPr>
        <w:pStyle w:val="Titre2"/>
        <w:spacing w:before="280" w:after="120"/>
      </w:pPr>
      <w:r>
        <w:rPr>
          <w:rFonts w:ascii="Calibri" w:eastAsia="Calibri" w:hAnsi="Calibri" w:cs="Calibri"/>
          <w:b/>
          <w:bCs/>
          <w:color w:val="1A1A1A"/>
          <w:sz w:val="24"/>
          <w:szCs w:val="24"/>
        </w:rPr>
        <w:t>2. Ligne prétorienne &amp; évolutions</w:t>
      </w:r>
    </w:p>
    <w:p w14:paraId="7A50CC8E" w14:textId="77777777" w:rsidR="00E0256F" w:rsidRDefault="00000000">
      <w:pPr>
        <w:pStyle w:val="Titre3"/>
        <w:spacing w:before="200" w:after="90"/>
      </w:pPr>
      <w:r>
        <w:rPr>
          <w:rFonts w:ascii="Calibri" w:eastAsia="Calibri" w:hAnsi="Calibri" w:cs="Calibri"/>
          <w:b/>
          <w:bCs/>
          <w:i/>
          <w:iCs/>
          <w:color w:val="5A5A5A"/>
          <w:sz w:val="21"/>
          <w:szCs w:val="21"/>
        </w:rPr>
        <w:t>2.1. Le conflit de points de vue sur la hiérarchie des normes</w:t>
      </w:r>
    </w:p>
    <w:p w14:paraId="08C4569B"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CPJI, 4 février 1932, Affaire du traitement des nationaux polonais à Dantzig</w:t>
      </w:r>
      <w:r>
        <w:rPr>
          <w:rFonts w:ascii="Calibri" w:eastAsia="Calibri" w:hAnsi="Calibri" w:cs="Calibri"/>
          <w:color w:val="1A1A1A"/>
        </w:rPr>
        <w:t xml:space="preserve"> : affirmation, dès 1932, de la subordination des normes internes, même constitutionnelles, au droit international — position reprise par les deux Cours européennes.</w:t>
      </w:r>
    </w:p>
    <w:p w14:paraId="6F3B24E3" w14:textId="77777777" w:rsidR="00E0256F" w:rsidRDefault="00000000">
      <w:pPr>
        <w:pStyle w:val="Paragraphedeliste"/>
        <w:numPr>
          <w:ilvl w:val="0"/>
          <w:numId w:val="2"/>
        </w:numPr>
        <w:spacing w:after="70" w:line="264" w:lineRule="auto"/>
        <w:jc w:val="both"/>
      </w:pPr>
      <w:r>
        <w:rPr>
          <w:rFonts w:ascii="Calibri" w:eastAsia="Calibri" w:hAnsi="Calibri" w:cs="Calibri"/>
          <w:color w:val="E91E63"/>
        </w:rPr>
        <w:t xml:space="preserve">CJUE, 15 juillet 1964, Costa c. ENEL, </w:t>
      </w:r>
      <w:proofErr w:type="spellStart"/>
      <w:r>
        <w:rPr>
          <w:rFonts w:ascii="Calibri" w:eastAsia="Calibri" w:hAnsi="Calibri" w:cs="Calibri"/>
          <w:color w:val="E91E63"/>
        </w:rPr>
        <w:t>aff.</w:t>
      </w:r>
      <w:proofErr w:type="spellEnd"/>
      <w:r>
        <w:rPr>
          <w:rFonts w:ascii="Calibri" w:eastAsia="Calibri" w:hAnsi="Calibri" w:cs="Calibri"/>
          <w:color w:val="E91E63"/>
        </w:rPr>
        <w:t xml:space="preserve"> 6/64</w:t>
      </w:r>
      <w:r>
        <w:rPr>
          <w:rFonts w:ascii="Calibri" w:eastAsia="Calibri" w:hAnsi="Calibri" w:cs="Calibri"/>
          <w:color w:val="1A1A1A"/>
        </w:rPr>
        <w:t xml:space="preserve"> ; </w:t>
      </w:r>
      <w:r>
        <w:rPr>
          <w:rFonts w:ascii="Calibri" w:eastAsia="Calibri" w:hAnsi="Calibri" w:cs="Calibri"/>
          <w:color w:val="E91E63"/>
        </w:rPr>
        <w:t>CEDH, 30 janvier 1998, Parti communiste unifié de Turquie c. Turquie, n° 19392/92</w:t>
      </w:r>
      <w:r>
        <w:rPr>
          <w:rFonts w:ascii="Calibri" w:eastAsia="Calibri" w:hAnsi="Calibri" w:cs="Calibri"/>
          <w:color w:val="1A1A1A"/>
        </w:rPr>
        <w:t>.</w:t>
      </w:r>
    </w:p>
    <w:p w14:paraId="4B031B97" w14:textId="77777777" w:rsidR="00E0256F" w:rsidRPr="002715F4" w:rsidRDefault="00000000">
      <w:pPr>
        <w:pStyle w:val="Paragraphedeliste"/>
        <w:numPr>
          <w:ilvl w:val="0"/>
          <w:numId w:val="2"/>
        </w:numPr>
        <w:spacing w:after="70" w:line="264" w:lineRule="auto"/>
        <w:jc w:val="both"/>
        <w:rPr>
          <w:highlight w:val="yellow"/>
        </w:rPr>
      </w:pPr>
      <w:r>
        <w:rPr>
          <w:rFonts w:ascii="Calibri" w:eastAsia="Calibri" w:hAnsi="Calibri" w:cs="Calibri"/>
          <w:color w:val="1A1A1A"/>
        </w:rPr>
        <w:t xml:space="preserve">★ </w:t>
      </w:r>
      <w:r>
        <w:rPr>
          <w:rFonts w:ascii="Calibri" w:eastAsia="Calibri" w:hAnsi="Calibri" w:cs="Calibri"/>
          <w:color w:val="E91E63"/>
        </w:rPr>
        <w:t>CE, Ass., 30 octobre 1998, Sarran, Levacher et autres</w:t>
      </w:r>
      <w:r>
        <w:rPr>
          <w:rFonts w:ascii="Calibri" w:eastAsia="Calibri" w:hAnsi="Calibri" w:cs="Calibri"/>
          <w:color w:val="1A1A1A"/>
        </w:rPr>
        <w:t xml:space="preserve"> ; ★ </w:t>
      </w:r>
      <w:r>
        <w:rPr>
          <w:rFonts w:ascii="Calibri" w:eastAsia="Calibri" w:hAnsi="Calibri" w:cs="Calibri"/>
          <w:color w:val="E91E63"/>
        </w:rPr>
        <w:t>Cass., ass. plén., 2 juin 2000, Melle Fraisse</w:t>
      </w:r>
      <w:r>
        <w:rPr>
          <w:rFonts w:ascii="Calibri" w:eastAsia="Calibri" w:hAnsi="Calibri" w:cs="Calibri"/>
          <w:color w:val="1A1A1A"/>
        </w:rPr>
        <w:t xml:space="preserve"> : à l’inverse, la suprématie conférée par l’</w:t>
      </w:r>
      <w:r>
        <w:rPr>
          <w:rFonts w:ascii="Calibri" w:eastAsia="Calibri" w:hAnsi="Calibri" w:cs="Calibri"/>
          <w:color w:val="1E88E5"/>
        </w:rPr>
        <w:t>art. 55 C.</w:t>
      </w:r>
      <w:r>
        <w:rPr>
          <w:rFonts w:ascii="Calibri" w:eastAsia="Calibri" w:hAnsi="Calibri" w:cs="Calibri"/>
          <w:color w:val="1A1A1A"/>
        </w:rPr>
        <w:t xml:space="preserve"> aux engagements internationaux </w:t>
      </w:r>
      <w:r w:rsidRPr="002715F4">
        <w:rPr>
          <w:rFonts w:ascii="Calibri" w:eastAsia="Calibri" w:hAnsi="Calibri" w:cs="Calibri"/>
          <w:b/>
          <w:bCs/>
          <w:color w:val="1A1A1A"/>
          <w:highlight w:val="yellow"/>
        </w:rPr>
        <w:t>ne s’étend pas, dans l’ordre interne, aux dispositions de nature constitutionnelle</w:t>
      </w:r>
      <w:r w:rsidRPr="002715F4">
        <w:rPr>
          <w:rFonts w:ascii="Calibri" w:eastAsia="Calibri" w:hAnsi="Calibri" w:cs="Calibri"/>
          <w:color w:val="1A1A1A"/>
          <w:highlight w:val="yellow"/>
        </w:rPr>
        <w:t>.</w:t>
      </w:r>
    </w:p>
    <w:p w14:paraId="514644C0"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xml:space="preserve">Formule de synthèse </w:t>
      </w:r>
      <w:r w:rsidRPr="002715F4">
        <w:rPr>
          <w:rFonts w:ascii="Calibri" w:eastAsia="Calibri" w:hAnsi="Calibri" w:cs="Calibri"/>
          <w:b/>
          <w:bCs/>
          <w:color w:val="1A1A1A"/>
          <w:highlight w:val="yellow"/>
        </w:rPr>
        <w:t>à retenir</w:t>
      </w:r>
      <w:r>
        <w:rPr>
          <w:rFonts w:ascii="Calibri" w:eastAsia="Calibri" w:hAnsi="Calibri" w:cs="Calibri"/>
          <w:color w:val="1A1A1A"/>
        </w:rPr>
        <w:t xml:space="preserve"> : l’enchevêtrement des normes internationales et constitutionnelles engendre des configurations </w:t>
      </w:r>
      <w:r>
        <w:rPr>
          <w:rFonts w:ascii="Calibri" w:eastAsia="Calibri" w:hAnsi="Calibri" w:cs="Calibri"/>
          <w:b/>
          <w:bCs/>
          <w:color w:val="1A1A1A"/>
        </w:rPr>
        <w:t>complexes et mouvantes</w:t>
      </w:r>
      <w:r>
        <w:rPr>
          <w:rFonts w:ascii="Calibri" w:eastAsia="Calibri" w:hAnsi="Calibri" w:cs="Calibri"/>
          <w:color w:val="1A1A1A"/>
        </w:rPr>
        <w:t>, difficilement réductibles à des schémas simplificateurs ou rigides. Le jury attend cette prudence, non une hiérarchie tranchée.</w:t>
      </w:r>
    </w:p>
    <w:p w14:paraId="0FC84BE0" w14:textId="77777777" w:rsidR="00E0256F" w:rsidRDefault="00000000">
      <w:pPr>
        <w:pStyle w:val="Titre3"/>
        <w:spacing w:before="200" w:after="90"/>
      </w:pPr>
      <w:r>
        <w:rPr>
          <w:rFonts w:ascii="Calibri" w:eastAsia="Calibri" w:hAnsi="Calibri" w:cs="Calibri"/>
          <w:b/>
          <w:bCs/>
          <w:i/>
          <w:iCs/>
          <w:color w:val="5A5A5A"/>
          <w:sz w:val="21"/>
          <w:szCs w:val="21"/>
        </w:rPr>
        <w:t>2.2. Les conflits entre engagements internationaux concurrents</w:t>
      </w:r>
    </w:p>
    <w:p w14:paraId="121386DA"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CJUE, 3 septembre 2008, Kadi c. Conseil et Commission</w:t>
      </w:r>
      <w:r>
        <w:rPr>
          <w:rFonts w:ascii="Calibri" w:eastAsia="Calibri" w:hAnsi="Calibri" w:cs="Calibri"/>
          <w:color w:val="1A1A1A"/>
        </w:rPr>
        <w:t xml:space="preserve"> : compétence pour apprécier la légalité d’un règlement européen pris en application d’une résolution du Conseil de sécurité ; règlement jugé contraire aux droits fondamentaux en raison d’une </w:t>
      </w:r>
      <w:r>
        <w:rPr>
          <w:rFonts w:ascii="Calibri" w:eastAsia="Calibri" w:hAnsi="Calibri" w:cs="Calibri"/>
          <w:b/>
          <w:bCs/>
          <w:color w:val="1A1A1A"/>
        </w:rPr>
        <w:t>atteinte disproportionnée</w:t>
      </w:r>
      <w:r>
        <w:rPr>
          <w:rFonts w:ascii="Calibri" w:eastAsia="Calibri" w:hAnsi="Calibri" w:cs="Calibri"/>
          <w:color w:val="1A1A1A"/>
        </w:rPr>
        <w:t>.</w:t>
      </w:r>
    </w:p>
    <w:p w14:paraId="12290EB2"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12 septembre 2012, Nada c. Suisse, n° 10593/08</w:t>
      </w:r>
      <w:r>
        <w:rPr>
          <w:rFonts w:ascii="Calibri" w:eastAsia="Calibri" w:hAnsi="Calibri" w:cs="Calibri"/>
          <w:color w:val="1A1A1A"/>
        </w:rPr>
        <w:t xml:space="preserve"> : la Suisse a violé le droit au respect de la vie privée en maintenant à tort une personne sur une liste de suspects liés à Al-Qaïda ; la spécificité de la Convention, « traité de garantie collective des droits de l’homme et des libertés fondamentales », </w:t>
      </w:r>
      <w:r>
        <w:rPr>
          <w:rFonts w:ascii="Calibri" w:eastAsia="Calibri" w:hAnsi="Calibri" w:cs="Calibri"/>
          <w:b/>
          <w:bCs/>
          <w:color w:val="1A1A1A"/>
        </w:rPr>
        <w:t>interdit aux États de s’abriter derrière le caractère contraignant des résolutions du Conseil de sécurité</w:t>
      </w:r>
      <w:r>
        <w:rPr>
          <w:rFonts w:ascii="Calibri" w:eastAsia="Calibri" w:hAnsi="Calibri" w:cs="Calibri"/>
          <w:color w:val="1A1A1A"/>
        </w:rPr>
        <w:t>.</w:t>
      </w:r>
    </w:p>
    <w:p w14:paraId="4C2590AA" w14:textId="77777777" w:rsidR="00E0256F" w:rsidRDefault="00000000">
      <w:pPr>
        <w:pStyle w:val="Paragraphedeliste"/>
        <w:numPr>
          <w:ilvl w:val="0"/>
          <w:numId w:val="2"/>
        </w:numPr>
        <w:spacing w:after="70" w:line="264" w:lineRule="auto"/>
        <w:jc w:val="both"/>
      </w:pPr>
      <w:r>
        <w:rPr>
          <w:rFonts w:ascii="Calibri" w:eastAsia="Calibri" w:hAnsi="Calibri" w:cs="Calibri"/>
          <w:color w:val="E91E63"/>
        </w:rPr>
        <w:t xml:space="preserve">CE, 22 mai 1992, </w:t>
      </w:r>
      <w:proofErr w:type="spellStart"/>
      <w:r>
        <w:rPr>
          <w:rFonts w:ascii="Calibri" w:eastAsia="Calibri" w:hAnsi="Calibri" w:cs="Calibri"/>
          <w:color w:val="E91E63"/>
        </w:rPr>
        <w:t>Larachi</w:t>
      </w:r>
      <w:proofErr w:type="spellEnd"/>
      <w:r>
        <w:rPr>
          <w:rFonts w:ascii="Calibri" w:eastAsia="Calibri" w:hAnsi="Calibri" w:cs="Calibri"/>
          <w:color w:val="1A1A1A"/>
        </w:rPr>
        <w:t xml:space="preserve"> : saisi d’une contestation fondée sur une incompatibilité entre la Convention européenne et d’autres engagements internationaux, le juge administratif français affirme sa </w:t>
      </w:r>
      <w:r>
        <w:rPr>
          <w:rFonts w:ascii="Calibri" w:eastAsia="Calibri" w:hAnsi="Calibri" w:cs="Calibri"/>
          <w:b/>
          <w:bCs/>
          <w:color w:val="1A1A1A"/>
        </w:rPr>
        <w:t>préférence pour la Convention de Strasbourg</w:t>
      </w:r>
      <w:r>
        <w:rPr>
          <w:rFonts w:ascii="Calibri" w:eastAsia="Calibri" w:hAnsi="Calibri" w:cs="Calibri"/>
          <w:color w:val="1A1A1A"/>
        </w:rPr>
        <w:t>.</w:t>
      </w:r>
    </w:p>
    <w:p w14:paraId="582BA6F8"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Cause profonde</w:t>
      </w:r>
      <w:r>
        <w:rPr>
          <w:rFonts w:ascii="Calibri" w:eastAsia="Calibri" w:hAnsi="Calibri" w:cs="Calibri"/>
          <w:color w:val="1A1A1A"/>
        </w:rPr>
        <w:t xml:space="preserve"> : chaque régime conventionnel tend à affirmer la primauté de l’ordre juridique qu’il instaure sur les obligations émanant d’autres systèmes concurrents — la prolifération des instruments internationaux engendre donc mécaniquement des conflits de normes.</w:t>
      </w:r>
    </w:p>
    <w:p w14:paraId="1DB15070" w14:textId="77777777" w:rsidR="00E0256F" w:rsidRDefault="00000000">
      <w:pPr>
        <w:pStyle w:val="Titre3"/>
        <w:spacing w:before="200" w:after="90"/>
      </w:pPr>
      <w:r>
        <w:rPr>
          <w:rFonts w:ascii="Calibri" w:eastAsia="Calibri" w:hAnsi="Calibri" w:cs="Calibri"/>
          <w:b/>
          <w:bCs/>
          <w:i/>
          <w:iCs/>
          <w:color w:val="5A5A5A"/>
          <w:sz w:val="21"/>
          <w:szCs w:val="21"/>
        </w:rPr>
        <w:t>2.3. L’européanisation et ses tensions</w:t>
      </w:r>
    </w:p>
    <w:p w14:paraId="36679215" w14:textId="77777777" w:rsidR="00E0256F" w:rsidRDefault="00000000">
      <w:pPr>
        <w:pStyle w:val="Paragraphedeliste"/>
        <w:numPr>
          <w:ilvl w:val="0"/>
          <w:numId w:val="2"/>
        </w:numPr>
        <w:spacing w:after="70" w:line="264" w:lineRule="auto"/>
        <w:jc w:val="both"/>
      </w:pPr>
      <w:r>
        <w:rPr>
          <w:rFonts w:ascii="Calibri" w:eastAsia="Calibri" w:hAnsi="Calibri" w:cs="Calibri"/>
          <w:color w:val="E91E63"/>
        </w:rPr>
        <w:t xml:space="preserve">CJUE, 26 février 2013, Åkerberg Fransson, </w:t>
      </w:r>
      <w:proofErr w:type="spellStart"/>
      <w:r>
        <w:rPr>
          <w:rFonts w:ascii="Calibri" w:eastAsia="Calibri" w:hAnsi="Calibri" w:cs="Calibri"/>
          <w:color w:val="E91E63"/>
        </w:rPr>
        <w:t>aff.</w:t>
      </w:r>
      <w:proofErr w:type="spellEnd"/>
      <w:r>
        <w:rPr>
          <w:rFonts w:ascii="Calibri" w:eastAsia="Calibri" w:hAnsi="Calibri" w:cs="Calibri"/>
          <w:color w:val="E91E63"/>
        </w:rPr>
        <w:t xml:space="preserve"> C-617/10</w:t>
      </w:r>
      <w:r>
        <w:rPr>
          <w:rFonts w:ascii="Calibri" w:eastAsia="Calibri" w:hAnsi="Calibri" w:cs="Calibri"/>
          <w:color w:val="1A1A1A"/>
        </w:rPr>
        <w:t xml:space="preserve"> : l’</w:t>
      </w:r>
      <w:r>
        <w:rPr>
          <w:rFonts w:ascii="Calibri" w:eastAsia="Calibri" w:hAnsi="Calibri" w:cs="Calibri"/>
          <w:b/>
          <w:bCs/>
          <w:color w:val="1A1A1A"/>
        </w:rPr>
        <w:t>applicabilité du droit de l’Union implique celle des droits fondamentaux</w:t>
      </w:r>
      <w:r>
        <w:rPr>
          <w:rFonts w:ascii="Calibri" w:eastAsia="Calibri" w:hAnsi="Calibri" w:cs="Calibri"/>
          <w:color w:val="1A1A1A"/>
        </w:rPr>
        <w:t xml:space="preserve"> garantis par la Charte.</w:t>
      </w:r>
    </w:p>
    <w:p w14:paraId="3E5C0EB7" w14:textId="77777777" w:rsidR="00E0256F" w:rsidRDefault="00000000">
      <w:pPr>
        <w:pStyle w:val="Paragraphedeliste"/>
        <w:numPr>
          <w:ilvl w:val="0"/>
          <w:numId w:val="2"/>
        </w:numPr>
        <w:spacing w:after="70" w:line="264" w:lineRule="auto"/>
        <w:jc w:val="both"/>
      </w:pPr>
      <w:r>
        <w:rPr>
          <w:rFonts w:ascii="Calibri" w:eastAsia="Calibri" w:hAnsi="Calibri" w:cs="Calibri"/>
          <w:color w:val="E91E63"/>
        </w:rPr>
        <w:lastRenderedPageBreak/>
        <w:t>CEDH, 17 février 2005, K.A. et A.D. c. Belgique</w:t>
      </w:r>
      <w:r>
        <w:rPr>
          <w:rFonts w:ascii="Calibri" w:eastAsia="Calibri" w:hAnsi="Calibri" w:cs="Calibri"/>
          <w:color w:val="1A1A1A"/>
        </w:rPr>
        <w:t xml:space="preserve"> : consécration de l’</w:t>
      </w:r>
      <w:r>
        <w:rPr>
          <w:rFonts w:ascii="Calibri" w:eastAsia="Calibri" w:hAnsi="Calibri" w:cs="Calibri"/>
          <w:b/>
          <w:bCs/>
          <w:color w:val="1A1A1A"/>
        </w:rPr>
        <w:t>autonomie personnelle</w:t>
      </w:r>
      <w:r>
        <w:rPr>
          <w:rFonts w:ascii="Calibri" w:eastAsia="Calibri" w:hAnsi="Calibri" w:cs="Calibri"/>
          <w:color w:val="1A1A1A"/>
        </w:rPr>
        <w:t xml:space="preserve"> — la liberté de « mener sa vie comme on l’entend », au risque de heurter certaines conceptions nationales de la morale. Illustration du libéralisme d’inspiration anglo-saxonne que porte le droit européen.</w:t>
      </w:r>
    </w:p>
    <w:p w14:paraId="6CAD4936" w14:textId="77777777" w:rsidR="00E0256F" w:rsidRDefault="00000000">
      <w:pPr>
        <w:pStyle w:val="Paragraphedeliste"/>
        <w:numPr>
          <w:ilvl w:val="0"/>
          <w:numId w:val="2"/>
        </w:numPr>
        <w:spacing w:after="70" w:line="264" w:lineRule="auto"/>
        <w:jc w:val="both"/>
      </w:pPr>
      <w:r>
        <w:rPr>
          <w:rFonts w:ascii="Calibri" w:eastAsia="Calibri" w:hAnsi="Calibri" w:cs="Calibri"/>
          <w:color w:val="E91E63"/>
        </w:rPr>
        <w:t>CJUE, 11 décembre 2007, Viking, C-438/05</w:t>
      </w:r>
      <w:r>
        <w:rPr>
          <w:rFonts w:ascii="Calibri" w:eastAsia="Calibri" w:hAnsi="Calibri" w:cs="Calibri"/>
          <w:color w:val="1A1A1A"/>
        </w:rPr>
        <w:t xml:space="preserve"> : l’action syndicale, en ce compris le droit de grève et d’action collective, peut constituer une </w:t>
      </w:r>
      <w:r>
        <w:rPr>
          <w:rFonts w:ascii="Calibri" w:eastAsia="Calibri" w:hAnsi="Calibri" w:cs="Calibri"/>
          <w:b/>
          <w:bCs/>
          <w:color w:val="1A1A1A"/>
        </w:rPr>
        <w:t>entrave à une liberté économique</w:t>
      </w:r>
      <w:r>
        <w:rPr>
          <w:rFonts w:ascii="Calibri" w:eastAsia="Calibri" w:hAnsi="Calibri" w:cs="Calibri"/>
          <w:color w:val="1A1A1A"/>
        </w:rPr>
        <w:t xml:space="preserve"> — argument central de la critique du libéralisme économique de l’Union, jugé préjudiciable aux droits sociaux.</w:t>
      </w:r>
    </w:p>
    <w:p w14:paraId="4EDE8870"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sidRPr="00246F43">
        <w:rPr>
          <w:rFonts w:ascii="Calibri" w:eastAsia="Calibri" w:hAnsi="Calibri" w:cs="Calibri"/>
          <w:b/>
          <w:bCs/>
          <w:color w:val="1A1A1A"/>
          <w:highlight w:val="yellow"/>
        </w:rPr>
        <w:t>Actualité</w:t>
      </w:r>
      <w:r>
        <w:rPr>
          <w:rFonts w:ascii="Calibri" w:eastAsia="Calibri" w:hAnsi="Calibri" w:cs="Calibri"/>
          <w:color w:val="1A1A1A"/>
        </w:rPr>
        <w:t xml:space="preserve"> — </w:t>
      </w:r>
      <w:r>
        <w:rPr>
          <w:rFonts w:ascii="Calibri" w:eastAsia="Calibri" w:hAnsi="Calibri" w:cs="Calibri"/>
          <w:color w:val="E91E63"/>
        </w:rPr>
        <w:t>CJUE, Gde ch., 29 avril 2025, Commission c. Malte, C-181/23</w:t>
      </w:r>
      <w:r>
        <w:rPr>
          <w:rFonts w:ascii="Calibri" w:eastAsia="Calibri" w:hAnsi="Calibri" w:cs="Calibri"/>
          <w:color w:val="1A1A1A"/>
        </w:rPr>
        <w:t xml:space="preserve"> : la nationalité demeure en principe une compétence des États, mais lorsque son exercice produit des effets sur le statut de citoyen de l’Union, il doit respecter le droit de l’Union. Le programme maltais permettant l’acquisition de la nationalité en contrepartie d’investissements prédéterminés est jugé contraire au droit de l’Union. </w:t>
      </w:r>
      <w:r w:rsidRPr="00246F43">
        <w:rPr>
          <w:rFonts w:ascii="Calibri" w:eastAsia="Calibri" w:hAnsi="Calibri" w:cs="Calibri"/>
          <w:b/>
          <w:bCs/>
          <w:color w:val="1A1A1A"/>
          <w:highlight w:val="yellow"/>
        </w:rPr>
        <w:t>À retenir</w:t>
      </w:r>
      <w:r>
        <w:rPr>
          <w:rFonts w:ascii="Calibri" w:eastAsia="Calibri" w:hAnsi="Calibri" w:cs="Calibri"/>
          <w:color w:val="1A1A1A"/>
        </w:rPr>
        <w:t xml:space="preserve"> : l’internationalisation et l’européanisation réduisent la possibilité pour les États d’exercer de manière totalement autonome des compétences pourtant traditionnellement regardées comme </w:t>
      </w:r>
      <w:r>
        <w:rPr>
          <w:rFonts w:ascii="Calibri" w:eastAsia="Calibri" w:hAnsi="Calibri" w:cs="Calibri"/>
          <w:b/>
          <w:bCs/>
          <w:color w:val="1A1A1A"/>
        </w:rPr>
        <w:t>régaliennes</w:t>
      </w:r>
      <w:r>
        <w:rPr>
          <w:rFonts w:ascii="Calibri" w:eastAsia="Calibri" w:hAnsi="Calibri" w:cs="Calibri"/>
          <w:color w:val="1A1A1A"/>
        </w:rPr>
        <w:t>.</w:t>
      </w:r>
    </w:p>
    <w:p w14:paraId="4A251936" w14:textId="77777777" w:rsidR="00E0256F" w:rsidRDefault="00000000">
      <w:pPr>
        <w:pStyle w:val="Paragraphedeliste"/>
        <w:numPr>
          <w:ilvl w:val="0"/>
          <w:numId w:val="2"/>
        </w:numPr>
        <w:spacing w:after="70" w:line="264" w:lineRule="auto"/>
        <w:jc w:val="both"/>
      </w:pPr>
      <w:r>
        <w:rPr>
          <w:rFonts w:ascii="Calibri" w:eastAsia="Calibri" w:hAnsi="Calibri" w:cs="Calibri"/>
          <w:color w:val="E91E63"/>
        </w:rPr>
        <w:t xml:space="preserve">CJUE, 15 juillet 2021, Commission c. Pologne, </w:t>
      </w:r>
      <w:proofErr w:type="spellStart"/>
      <w:r>
        <w:rPr>
          <w:rFonts w:ascii="Calibri" w:eastAsia="Calibri" w:hAnsi="Calibri" w:cs="Calibri"/>
          <w:color w:val="E91E63"/>
        </w:rPr>
        <w:t>aff.</w:t>
      </w:r>
      <w:proofErr w:type="spellEnd"/>
      <w:r>
        <w:rPr>
          <w:rFonts w:ascii="Calibri" w:eastAsia="Calibri" w:hAnsi="Calibri" w:cs="Calibri"/>
          <w:color w:val="E91E63"/>
        </w:rPr>
        <w:t xml:space="preserve"> C-791/19</w:t>
      </w:r>
      <w:r>
        <w:rPr>
          <w:rFonts w:ascii="Calibri" w:eastAsia="Calibri" w:hAnsi="Calibri" w:cs="Calibri"/>
          <w:color w:val="1A1A1A"/>
        </w:rPr>
        <w:t xml:space="preserve"> : condamnation de la Pologne à la suite des réformes menaçant l’indépendance judiciaire ; à rapprocher de l’activation de l’</w:t>
      </w:r>
      <w:r>
        <w:rPr>
          <w:rFonts w:ascii="Calibri" w:eastAsia="Calibri" w:hAnsi="Calibri" w:cs="Calibri"/>
          <w:color w:val="1E88E5"/>
        </w:rPr>
        <w:t>art. 7 TUE</w:t>
      </w:r>
      <w:r>
        <w:rPr>
          <w:rFonts w:ascii="Calibri" w:eastAsia="Calibri" w:hAnsi="Calibri" w:cs="Calibri"/>
          <w:color w:val="1A1A1A"/>
        </w:rPr>
        <w:t xml:space="preserve"> et du mécanisme de conditionnalité budgétaire.</w:t>
      </w:r>
    </w:p>
    <w:p w14:paraId="0C45155F" w14:textId="77777777" w:rsidR="00E0256F" w:rsidRDefault="00000000">
      <w:pPr>
        <w:pStyle w:val="Titre3"/>
        <w:spacing w:before="200" w:after="90"/>
      </w:pPr>
      <w:r>
        <w:rPr>
          <w:rFonts w:ascii="Calibri" w:eastAsia="Calibri" w:hAnsi="Calibri" w:cs="Calibri"/>
          <w:b/>
          <w:bCs/>
          <w:i/>
          <w:iCs/>
          <w:color w:val="5A5A5A"/>
          <w:sz w:val="21"/>
          <w:szCs w:val="21"/>
        </w:rPr>
        <w:t>2.4. Les systèmes régionaux</w:t>
      </w:r>
    </w:p>
    <w:p w14:paraId="51518E70" w14:textId="77777777" w:rsidR="00E0256F" w:rsidRDefault="00000000">
      <w:pPr>
        <w:pStyle w:val="Paragraphedeliste"/>
        <w:numPr>
          <w:ilvl w:val="0"/>
          <w:numId w:val="2"/>
        </w:numPr>
        <w:spacing w:after="70" w:line="264" w:lineRule="auto"/>
        <w:jc w:val="both"/>
      </w:pPr>
      <w:r>
        <w:rPr>
          <w:rFonts w:ascii="Calibri" w:eastAsia="Calibri" w:hAnsi="Calibri" w:cs="Calibri"/>
          <w:color w:val="E91E63"/>
        </w:rPr>
        <w:t>Commission africaine des droits de l’homme et des peuples c. Kenya, 26 mai 2017</w:t>
      </w:r>
      <w:r>
        <w:rPr>
          <w:rFonts w:ascii="Calibri" w:eastAsia="Calibri" w:hAnsi="Calibri" w:cs="Calibri"/>
          <w:color w:val="1A1A1A"/>
        </w:rPr>
        <w:t xml:space="preserve"> : la Cour africaine produit une jurisprudence en constante expansion, reprenant largement les principes établis au niveau international tout en les adaptant aux réalités des sociétés africaines, notamment en matière de libertés religieuses.</w:t>
      </w:r>
    </w:p>
    <w:p w14:paraId="40D24FFB" w14:textId="77777777" w:rsidR="00E0256F" w:rsidRDefault="00000000">
      <w:pPr>
        <w:pStyle w:val="Paragraphedeliste"/>
        <w:numPr>
          <w:ilvl w:val="0"/>
          <w:numId w:val="2"/>
        </w:numPr>
        <w:spacing w:after="70" w:line="264" w:lineRule="auto"/>
        <w:jc w:val="both"/>
      </w:pPr>
      <w:r>
        <w:rPr>
          <w:rFonts w:ascii="Calibri" w:eastAsia="Calibri" w:hAnsi="Calibri" w:cs="Calibri"/>
          <w:color w:val="E91E63"/>
        </w:rPr>
        <w:t>CEDH, 13 février 2003, Refah Partisi c. Turquie, n° 41340/98</w:t>
      </w:r>
      <w:r>
        <w:rPr>
          <w:rFonts w:ascii="Calibri" w:eastAsia="Calibri" w:hAnsi="Calibri" w:cs="Calibri"/>
          <w:color w:val="1A1A1A"/>
        </w:rPr>
        <w:t xml:space="preserve"> : il est </w:t>
      </w:r>
      <w:r>
        <w:rPr>
          <w:rFonts w:ascii="Calibri" w:eastAsia="Calibri" w:hAnsi="Calibri" w:cs="Calibri"/>
          <w:b/>
          <w:bCs/>
          <w:color w:val="1A1A1A"/>
        </w:rPr>
        <w:t>difficile de se déclarer respectueux des droits de l’homme et de soutenir un régime fondé sur la loi islamique</w:t>
      </w:r>
      <w:r>
        <w:rPr>
          <w:rFonts w:ascii="Calibri" w:eastAsia="Calibri" w:hAnsi="Calibri" w:cs="Calibri"/>
          <w:color w:val="1A1A1A"/>
        </w:rPr>
        <w:t>, qui se démarque nettement des valeurs de la Convention.</w:t>
      </w:r>
    </w:p>
    <w:p w14:paraId="5F531C3C" w14:textId="77777777" w:rsidR="00E0256F" w:rsidRDefault="00000000">
      <w:pPr>
        <w:pStyle w:val="Paragraphedeliste"/>
        <w:numPr>
          <w:ilvl w:val="0"/>
          <w:numId w:val="2"/>
        </w:numPr>
        <w:spacing w:after="70" w:line="264" w:lineRule="auto"/>
        <w:jc w:val="both"/>
      </w:pPr>
      <w:r>
        <w:rPr>
          <w:rFonts w:ascii="Calibri" w:eastAsia="Calibri" w:hAnsi="Calibri" w:cs="Calibri"/>
          <w:color w:val="E91E63"/>
        </w:rPr>
        <w:t>CEDH, Belilos c. Suisse, 1988</w:t>
      </w:r>
      <w:r>
        <w:rPr>
          <w:rFonts w:ascii="Calibri" w:eastAsia="Calibri" w:hAnsi="Calibri" w:cs="Calibri"/>
          <w:color w:val="1A1A1A"/>
        </w:rPr>
        <w:t xml:space="preserve"> : les organes de contrôle se prononcent sur la </w:t>
      </w:r>
      <w:r>
        <w:rPr>
          <w:rFonts w:ascii="Calibri" w:eastAsia="Calibri" w:hAnsi="Calibri" w:cs="Calibri"/>
          <w:b/>
          <w:bCs/>
          <w:color w:val="1A1A1A"/>
        </w:rPr>
        <w:t>validité des réserves</w:t>
      </w:r>
      <w:r>
        <w:rPr>
          <w:rFonts w:ascii="Calibri" w:eastAsia="Calibri" w:hAnsi="Calibri" w:cs="Calibri"/>
          <w:color w:val="1A1A1A"/>
        </w:rPr>
        <w:t xml:space="preserve"> formulées par les États — parade indispensable contre les réserves qui altèrent la substance des engagements.</w:t>
      </w:r>
    </w:p>
    <w:p w14:paraId="126F11A7"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L’Asie</w:t>
      </w:r>
      <w:r>
        <w:rPr>
          <w:rFonts w:ascii="Calibri" w:eastAsia="Calibri" w:hAnsi="Calibri" w:cs="Calibri"/>
          <w:color w:val="1A1A1A"/>
        </w:rPr>
        <w:t xml:space="preserve"> : ni charte des droits humains véritable, ni institution régionale chargée d’en garantir le respect. L’</w:t>
      </w:r>
      <w:r>
        <w:rPr>
          <w:rFonts w:ascii="Calibri" w:eastAsia="Calibri" w:hAnsi="Calibri" w:cs="Calibri"/>
          <w:b/>
          <w:bCs/>
          <w:color w:val="1A1A1A"/>
        </w:rPr>
        <w:t>ASEAN</w:t>
      </w:r>
      <w:r>
        <w:rPr>
          <w:rFonts w:ascii="Calibri" w:eastAsia="Calibri" w:hAnsi="Calibri" w:cs="Calibri"/>
          <w:color w:val="1A1A1A"/>
        </w:rPr>
        <w:t xml:space="preserve">, principalement orientée vers les questions économiques et politiques, s’est révélée à plusieurs reprises incapable de faire face aux crises régionales ; sa </w:t>
      </w:r>
      <w:r>
        <w:rPr>
          <w:rFonts w:ascii="Calibri" w:eastAsia="Calibri" w:hAnsi="Calibri" w:cs="Calibri"/>
          <w:color w:val="1E88E5"/>
        </w:rPr>
        <w:t>Charte de 2007</w:t>
      </w:r>
      <w:r>
        <w:rPr>
          <w:rFonts w:ascii="Calibri" w:eastAsia="Calibri" w:hAnsi="Calibri" w:cs="Calibri"/>
          <w:color w:val="1A1A1A"/>
        </w:rPr>
        <w:t xml:space="preserve"> affirme la promotion des droits humains mais en </w:t>
      </w:r>
      <w:r>
        <w:rPr>
          <w:rFonts w:ascii="Calibri" w:eastAsia="Calibri" w:hAnsi="Calibri" w:cs="Calibri"/>
          <w:b/>
          <w:bCs/>
          <w:color w:val="1A1A1A"/>
        </w:rPr>
        <w:t>subordonne la protection au respect de la souveraineté</w:t>
      </w:r>
      <w:r>
        <w:rPr>
          <w:rFonts w:ascii="Calibri" w:eastAsia="Calibri" w:hAnsi="Calibri" w:cs="Calibri"/>
          <w:color w:val="1A1A1A"/>
        </w:rPr>
        <w:t xml:space="preserve"> des États membres. Un régionalisme asiatique émerge néanmoins : proclamations constitutionnelles, institutions nationales des droits de l’homme, participation à l’examen périodique universel, mobilisations transnationales de la société civile.</w:t>
      </w:r>
    </w:p>
    <w:p w14:paraId="4A04DDB4"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Le monde arabo-musulman</w:t>
      </w:r>
      <w:r>
        <w:rPr>
          <w:rFonts w:ascii="Calibri" w:eastAsia="Calibri" w:hAnsi="Calibri" w:cs="Calibri"/>
          <w:color w:val="1A1A1A"/>
        </w:rPr>
        <w:t xml:space="preserve"> : la </w:t>
      </w:r>
      <w:r>
        <w:rPr>
          <w:rFonts w:ascii="Calibri" w:eastAsia="Calibri" w:hAnsi="Calibri" w:cs="Calibri"/>
          <w:color w:val="1E88E5"/>
        </w:rPr>
        <w:t>Charte arabe</w:t>
      </w:r>
      <w:r>
        <w:rPr>
          <w:rFonts w:ascii="Calibri" w:eastAsia="Calibri" w:hAnsi="Calibri" w:cs="Calibri"/>
          <w:color w:val="1A1A1A"/>
        </w:rPr>
        <w:t xml:space="preserve"> met l’accent sur les droits collectifs, notamment le droit des nations à disposer d’elles-mêmes, et rejette fermement le sionisme, l’occupation et la domination étrangères. La version de </w:t>
      </w:r>
      <w:r>
        <w:rPr>
          <w:rFonts w:ascii="Calibri" w:eastAsia="Calibri" w:hAnsi="Calibri" w:cs="Calibri"/>
          <w:b/>
          <w:bCs/>
          <w:color w:val="1A1A1A"/>
        </w:rPr>
        <w:t>2004</w:t>
      </w:r>
      <w:r>
        <w:rPr>
          <w:rFonts w:ascii="Calibri" w:eastAsia="Calibri" w:hAnsi="Calibri" w:cs="Calibri"/>
          <w:color w:val="1A1A1A"/>
        </w:rPr>
        <w:t xml:space="preserve"> marque un progrès sensible sur l’égalité entre hommes et femmes par rapport à celle de 1994 : elle affirme l’égalité des sexes, interdit la discrimination et reconnaît des mesures positives en faveur des femmes. La mise en œuvre reste incertaine en raison des contraintes culturelles, religieuses et sociales.</w:t>
      </w:r>
    </w:p>
    <w:p w14:paraId="37BA1869" w14:textId="77777777" w:rsidR="00E0256F" w:rsidRDefault="00000000">
      <w:pPr>
        <w:pStyle w:val="Titre2"/>
        <w:spacing w:before="280" w:after="120"/>
      </w:pPr>
      <w:r>
        <w:rPr>
          <w:rFonts w:ascii="Calibri" w:eastAsia="Calibri" w:hAnsi="Calibri" w:cs="Calibri"/>
          <w:b/>
          <w:bCs/>
          <w:color w:val="1A1A1A"/>
          <w:sz w:val="24"/>
          <w:szCs w:val="24"/>
        </w:rPr>
        <w:t>3. Débats doctrinaux &amp; critiques</w:t>
      </w:r>
    </w:p>
    <w:p w14:paraId="79473BB3"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 filiation avec l’universalisme de 1789</w:t>
      </w:r>
      <w:r>
        <w:rPr>
          <w:rFonts w:ascii="Calibri" w:eastAsia="Calibri" w:hAnsi="Calibri" w:cs="Calibri"/>
          <w:color w:val="1A1A1A"/>
        </w:rPr>
        <w:t xml:space="preserve"> : pour les révolutionnaires, l’universalité des droits était une nécessité d’ordre </w:t>
      </w:r>
      <w:r>
        <w:rPr>
          <w:rFonts w:ascii="Calibri" w:eastAsia="Calibri" w:hAnsi="Calibri" w:cs="Calibri"/>
          <w:b/>
          <w:bCs/>
          <w:color w:val="1A1A1A"/>
        </w:rPr>
        <w:t>philosophique</w:t>
      </w:r>
      <w:r>
        <w:rPr>
          <w:rFonts w:ascii="Calibri" w:eastAsia="Calibri" w:hAnsi="Calibri" w:cs="Calibri"/>
          <w:color w:val="1A1A1A"/>
        </w:rPr>
        <w:t xml:space="preserve"> ; aujourd’hui elle est devenue une réalité, non au sens où ces droits seraient universellement reconnus et respectés, mais au sens où </w:t>
      </w:r>
      <w:r>
        <w:rPr>
          <w:rFonts w:ascii="Calibri" w:eastAsia="Calibri" w:hAnsi="Calibri" w:cs="Calibri"/>
          <w:b/>
          <w:bCs/>
          <w:color w:val="1A1A1A"/>
        </w:rPr>
        <w:t>la revendication de ces droits s’est étendue à l’ensemble de la planète</w:t>
      </w:r>
      <w:r>
        <w:rPr>
          <w:rFonts w:ascii="Calibri" w:eastAsia="Calibri" w:hAnsi="Calibri" w:cs="Calibri"/>
          <w:color w:val="1A1A1A"/>
        </w:rPr>
        <w:t>. Nuance capitale, à formuler exactement ainsi devant le jury.</w:t>
      </w:r>
    </w:p>
    <w:p w14:paraId="3CCA2DC6"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Le tournant de 1948</w:t>
      </w:r>
      <w:r>
        <w:rPr>
          <w:rFonts w:ascii="Calibri" w:eastAsia="Calibri" w:hAnsi="Calibri" w:cs="Calibri"/>
          <w:color w:val="1A1A1A"/>
        </w:rPr>
        <w:t xml:space="preserve"> : si les droits proclamés en 1789 traduisaient les valeurs et les intérêts de la bourgeoisie du XVIIIe siècle, la Déclaration universelle reflète l’</w:t>
      </w:r>
      <w:r>
        <w:rPr>
          <w:rFonts w:ascii="Calibri" w:eastAsia="Calibri" w:hAnsi="Calibri" w:cs="Calibri"/>
          <w:b/>
          <w:bCs/>
          <w:color w:val="1A1A1A"/>
        </w:rPr>
        <w:t>essor des idées socialistes</w:t>
      </w:r>
      <w:r>
        <w:rPr>
          <w:rFonts w:ascii="Calibri" w:eastAsia="Calibri" w:hAnsi="Calibri" w:cs="Calibri"/>
          <w:color w:val="1A1A1A"/>
        </w:rPr>
        <w:t>, nourri par l’entrée des classes laborieuses dans la vie politique et l’universalisation du suffrage. L’idéal n’est plus celui du citoyen abstrait de 1789 — « derrière lequel se profilait la figure de l’homme blanc » — mais celui de l’</w:t>
      </w:r>
      <w:r>
        <w:rPr>
          <w:rFonts w:ascii="Calibri" w:eastAsia="Calibri" w:hAnsi="Calibri" w:cs="Calibri"/>
          <w:b/>
          <w:bCs/>
          <w:color w:val="1A1A1A"/>
        </w:rPr>
        <w:t>être humain concret</w:t>
      </w:r>
      <w:r>
        <w:rPr>
          <w:rFonts w:ascii="Calibri" w:eastAsia="Calibri" w:hAnsi="Calibri" w:cs="Calibri"/>
          <w:color w:val="1A1A1A"/>
        </w:rPr>
        <w:t>, envisagé dans sa condition économique et sociale.</w:t>
      </w:r>
    </w:p>
    <w:p w14:paraId="334AE66A"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L’hégémonisme politique et culturel de l’Occident</w:t>
      </w:r>
      <w:r>
        <w:rPr>
          <w:rFonts w:ascii="Calibri" w:eastAsia="Calibri" w:hAnsi="Calibri" w:cs="Calibri"/>
          <w:color w:val="1A1A1A"/>
        </w:rPr>
        <w:t xml:space="preserve"> : la conception moderne des libertés repose sur une philosophie de l’individu née au sein des sociétés occidentales et diffusée par l’internationalisation. Deux limites : elle est </w:t>
      </w:r>
      <w:r>
        <w:rPr>
          <w:rFonts w:ascii="Calibri" w:eastAsia="Calibri" w:hAnsi="Calibri" w:cs="Calibri"/>
          <w:b/>
          <w:bCs/>
          <w:color w:val="1A1A1A"/>
        </w:rPr>
        <w:t>liée au développement économique</w:t>
      </w:r>
      <w:r>
        <w:rPr>
          <w:rFonts w:ascii="Calibri" w:eastAsia="Calibri" w:hAnsi="Calibri" w:cs="Calibri"/>
          <w:color w:val="1A1A1A"/>
        </w:rPr>
        <w:t xml:space="preserve"> des États qui la promeuvent, et elle </w:t>
      </w:r>
      <w:r>
        <w:rPr>
          <w:rFonts w:ascii="Calibri" w:eastAsia="Calibri" w:hAnsi="Calibri" w:cs="Calibri"/>
          <w:b/>
          <w:bCs/>
          <w:color w:val="1A1A1A"/>
        </w:rPr>
        <w:t>met en tension la diversité culturelle</w:t>
      </w:r>
      <w:r>
        <w:rPr>
          <w:rFonts w:ascii="Calibri" w:eastAsia="Calibri" w:hAnsi="Calibri" w:cs="Calibri"/>
          <w:color w:val="1A1A1A"/>
        </w:rPr>
        <w:t xml:space="preserve">. Contre-argument indispensable : cet argument sert aussi à justifier le maintien de systèmes oppressifs ou à favoriser les régimes illibéraux, </w:t>
      </w:r>
      <w:r>
        <w:rPr>
          <w:rFonts w:ascii="Calibri" w:eastAsia="Calibri" w:hAnsi="Calibri" w:cs="Calibri"/>
          <w:b/>
          <w:bCs/>
          <w:color w:val="1A1A1A"/>
        </w:rPr>
        <w:t>y compris en Europe</w:t>
      </w:r>
      <w:r>
        <w:rPr>
          <w:rFonts w:ascii="Calibri" w:eastAsia="Calibri" w:hAnsi="Calibri" w:cs="Calibri"/>
          <w:color w:val="1A1A1A"/>
        </w:rPr>
        <w:t>.</w:t>
      </w:r>
    </w:p>
    <w:p w14:paraId="5B76300C" w14:textId="77777777" w:rsidR="00E0256F" w:rsidRPr="00F247CB" w:rsidRDefault="00000000">
      <w:pPr>
        <w:pStyle w:val="Paragraphedeliste"/>
        <w:numPr>
          <w:ilvl w:val="0"/>
          <w:numId w:val="2"/>
        </w:numPr>
        <w:spacing w:after="70" w:line="264" w:lineRule="auto"/>
        <w:jc w:val="both"/>
        <w:rPr>
          <w:color w:val="EE0000"/>
        </w:rPr>
      </w:pPr>
      <w:r>
        <w:rPr>
          <w:rFonts w:ascii="Calibri" w:eastAsia="Calibri" w:hAnsi="Calibri" w:cs="Calibri"/>
          <w:b/>
          <w:bCs/>
          <w:color w:val="1A1A1A"/>
        </w:rPr>
        <w:lastRenderedPageBreak/>
        <w:t>Le système des réserves comme frein</w:t>
      </w:r>
      <w:r>
        <w:rPr>
          <w:rFonts w:ascii="Calibri" w:eastAsia="Calibri" w:hAnsi="Calibri" w:cs="Calibri"/>
          <w:color w:val="1A1A1A"/>
        </w:rPr>
        <w:t xml:space="preserve"> : réserve de l’Arabie saoudite à la Convention internationale des droits de l’enfant ; réserves de nombreux États islamiques à la Convention pour l’élimination de toutes les formes de discrimination à l’égard des femmes, la rendant grandement inopérante — ce qui explique l’interdiction des réserves dans le protocole facultatif attaché à cette convention. </w:t>
      </w:r>
      <w:r w:rsidRPr="00F247CB">
        <w:rPr>
          <w:rFonts w:ascii="Calibri" w:eastAsia="Calibri" w:hAnsi="Calibri" w:cs="Calibri"/>
          <w:i/>
          <w:iCs/>
          <w:color w:val="EE0000"/>
        </w:rPr>
        <w:t>Limite</w:t>
      </w:r>
      <w:r w:rsidRPr="00F247CB">
        <w:rPr>
          <w:rFonts w:ascii="Calibri" w:eastAsia="Calibri" w:hAnsi="Calibri" w:cs="Calibri"/>
          <w:color w:val="EE0000"/>
        </w:rPr>
        <w:t xml:space="preserve"> : la possibilité d’émettre des réserves n’est pas illimitée, elles doivent être </w:t>
      </w:r>
      <w:r w:rsidRPr="00F247CB">
        <w:rPr>
          <w:rFonts w:ascii="Calibri" w:eastAsia="Calibri" w:hAnsi="Calibri" w:cs="Calibri"/>
          <w:b/>
          <w:bCs/>
          <w:color w:val="EE0000"/>
        </w:rPr>
        <w:t>compatibles avec l’objet et le but du traité</w:t>
      </w:r>
      <w:r w:rsidRPr="00F247CB">
        <w:rPr>
          <w:rFonts w:ascii="Calibri" w:eastAsia="Calibri" w:hAnsi="Calibri" w:cs="Calibri"/>
          <w:color w:val="EE0000"/>
        </w:rPr>
        <w:t xml:space="preserve"> et peuvent être requalifiées par les organes de contrôle.</w:t>
      </w:r>
    </w:p>
    <w:p w14:paraId="601E1765"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L’objection démocratique</w:t>
      </w:r>
      <w:r>
        <w:rPr>
          <w:rFonts w:ascii="Calibri" w:eastAsia="Calibri" w:hAnsi="Calibri" w:cs="Calibri"/>
          <w:color w:val="1A1A1A"/>
        </w:rPr>
        <w:t xml:space="preserve"> : elle est régulièrement opposée aux décisions de justice fondées sur la primauté des droits européens. Réponse attendue : l’internationalisation du droit des libertés s’est accélérée avec les </w:t>
      </w:r>
      <w:r>
        <w:rPr>
          <w:rFonts w:ascii="Calibri" w:eastAsia="Calibri" w:hAnsi="Calibri" w:cs="Calibri"/>
          <w:b/>
          <w:bCs/>
          <w:color w:val="1A1A1A"/>
        </w:rPr>
        <w:t>vagues de démocratisation</w:t>
      </w:r>
      <w:r>
        <w:rPr>
          <w:rFonts w:ascii="Calibri" w:eastAsia="Calibri" w:hAnsi="Calibri" w:cs="Calibri"/>
          <w:color w:val="1A1A1A"/>
        </w:rPr>
        <w:t xml:space="preserve"> ; la fin des régimes autoritaires a favorisé l’adhésion des États aux traités et la reconnaissance d’un contrôle international — cercle vertueux entre démocratisation nationale et renforcement du droit international.</w:t>
      </w:r>
    </w:p>
    <w:p w14:paraId="7D747220" w14:textId="77777777" w:rsidR="00E0256F" w:rsidRDefault="00000000">
      <w:pPr>
        <w:pStyle w:val="Titre2"/>
        <w:spacing w:before="280" w:after="120"/>
      </w:pPr>
      <w:r>
        <w:rPr>
          <w:rFonts w:ascii="Calibri" w:eastAsia="Calibri" w:hAnsi="Calibri" w:cs="Calibri"/>
          <w:b/>
          <w:bCs/>
          <w:color w:val="1A1A1A"/>
          <w:sz w:val="24"/>
          <w:szCs w:val="24"/>
        </w:rPr>
        <w:t>4. Dispositif « Grand Oral »</w:t>
      </w:r>
    </w:p>
    <w:p w14:paraId="774B402A" w14:textId="77777777" w:rsidR="00E0256F" w:rsidRDefault="00000000">
      <w:pPr>
        <w:pStyle w:val="Titre3"/>
        <w:spacing w:before="200" w:after="90"/>
      </w:pPr>
      <w:r>
        <w:rPr>
          <w:rFonts w:ascii="Calibri" w:eastAsia="Calibri" w:hAnsi="Calibri" w:cs="Calibri"/>
          <w:b/>
          <w:bCs/>
          <w:i/>
          <w:iCs/>
          <w:color w:val="5A5A5A"/>
          <w:sz w:val="21"/>
          <w:szCs w:val="21"/>
        </w:rPr>
        <w:t>4.1. Trois relances / questions pièges</w:t>
      </w:r>
    </w:p>
    <w:p w14:paraId="1CE985EB"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Un État peut-il se retrancher derrière une résolution du Conseil de sécurité pour justifier une atteinte aux droits fondamentaux ? »</w:t>
      </w:r>
      <w:r>
        <w:rPr>
          <w:rFonts w:ascii="Calibri" w:eastAsia="Calibri" w:hAnsi="Calibri" w:cs="Calibri"/>
          <w:color w:val="1A1A1A"/>
        </w:rPr>
        <w:t xml:space="preserve"> — Non. Démonstration en deux temps : </w:t>
      </w:r>
      <w:r>
        <w:rPr>
          <w:rFonts w:ascii="Calibri" w:eastAsia="Calibri" w:hAnsi="Calibri" w:cs="Calibri"/>
          <w:color w:val="E91E63"/>
        </w:rPr>
        <w:t>Kadi</w:t>
      </w:r>
      <w:r>
        <w:rPr>
          <w:rFonts w:ascii="Calibri" w:eastAsia="Calibri" w:hAnsi="Calibri" w:cs="Calibri"/>
          <w:color w:val="1A1A1A"/>
        </w:rPr>
        <w:t xml:space="preserve"> (la Cour de justice contrôle le règlement de mise en œuvre) et </w:t>
      </w:r>
      <w:r>
        <w:rPr>
          <w:rFonts w:ascii="Calibri" w:eastAsia="Calibri" w:hAnsi="Calibri" w:cs="Calibri"/>
          <w:color w:val="E91E63"/>
        </w:rPr>
        <w:t>Nada</w:t>
      </w:r>
      <w:r>
        <w:rPr>
          <w:rFonts w:ascii="Calibri" w:eastAsia="Calibri" w:hAnsi="Calibri" w:cs="Calibri"/>
          <w:color w:val="1A1A1A"/>
        </w:rPr>
        <w:t xml:space="preserve"> (la Cour de Strasbourg refuse que le caractère contraignant de la résolution fasse écran). Formule : le contrôle porte sur l’</w:t>
      </w:r>
      <w:r>
        <w:rPr>
          <w:rFonts w:ascii="Calibri" w:eastAsia="Calibri" w:hAnsi="Calibri" w:cs="Calibri"/>
          <w:b/>
          <w:bCs/>
          <w:color w:val="1A1A1A"/>
        </w:rPr>
        <w:t>acte de mise en œuvre</w:t>
      </w:r>
      <w:r>
        <w:rPr>
          <w:rFonts w:ascii="Calibri" w:eastAsia="Calibri" w:hAnsi="Calibri" w:cs="Calibri"/>
          <w:color w:val="1A1A1A"/>
        </w:rPr>
        <w:t>, non sur la résolution elle-même — ce qui préserve formellement la hiérarchie tout en neutralisant son effet.</w:t>
      </w:r>
    </w:p>
    <w:p w14:paraId="45C3492F"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L’internationalisation affaiblit-elle la souveraineté démocratique ? »</w:t>
      </w:r>
      <w:r>
        <w:rPr>
          <w:rFonts w:ascii="Calibri" w:eastAsia="Calibri" w:hAnsi="Calibri" w:cs="Calibri"/>
          <w:color w:val="1A1A1A"/>
        </w:rPr>
        <w:t xml:space="preserve"> — Poser la distinction souveraineté étatique / souveraineté démocratique, puis démontrer que l’internationalisation limite la première mais renforce la seconde, dès lors que la souveraineté démocratique suppose un État de droit garantissant les libertés. C’est le plan même du sujet proposé par le fascicule.</w:t>
      </w:r>
    </w:p>
    <w:p w14:paraId="6FDB6E7B"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L’universalité implique-t-elle l’uniformité ? »</w:t>
      </w:r>
      <w:r>
        <w:rPr>
          <w:rFonts w:ascii="Calibri" w:eastAsia="Calibri" w:hAnsi="Calibri" w:cs="Calibri"/>
          <w:color w:val="1A1A1A"/>
        </w:rPr>
        <w:t xml:space="preserve"> — Non : la protection supranationale se manifeste de manière diverse selon les régions, ce qui permet de prendre en compte les spécificités de chaque culture juridique. Illustrer par l’absence d’institution régionale en Asie, la primauté de la charia affirmée par les textes arabo-musulmans (</w:t>
      </w:r>
      <w:r>
        <w:rPr>
          <w:rFonts w:ascii="Calibri" w:eastAsia="Calibri" w:hAnsi="Calibri" w:cs="Calibri"/>
          <w:color w:val="E91E63"/>
        </w:rPr>
        <w:t>Refah Partisi</w:t>
      </w:r>
      <w:r>
        <w:rPr>
          <w:rFonts w:ascii="Calibri" w:eastAsia="Calibri" w:hAnsi="Calibri" w:cs="Calibri"/>
          <w:color w:val="1A1A1A"/>
        </w:rPr>
        <w:t>), et la marge nationale d’appréciation européenne.</w:t>
      </w:r>
    </w:p>
    <w:p w14:paraId="502A5FCA" w14:textId="77777777" w:rsidR="00E0256F" w:rsidRDefault="00000000">
      <w:pPr>
        <w:pStyle w:val="Titre3"/>
        <w:spacing w:before="200" w:after="90"/>
      </w:pPr>
      <w:r>
        <w:rPr>
          <w:rFonts w:ascii="Calibri" w:eastAsia="Calibri" w:hAnsi="Calibri" w:cs="Calibri"/>
          <w:b/>
          <w:bCs/>
          <w:i/>
          <w:iCs/>
          <w:color w:val="5A5A5A"/>
          <w:sz w:val="21"/>
          <w:szCs w:val="21"/>
        </w:rPr>
        <w:t>4.2. Sujets d’exposé rattachables</w:t>
      </w:r>
    </w:p>
    <w:p w14:paraId="04A9B302"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Internationalisation du droit des libertés et souveraineté des États » (sujet de dissertation expressément proposé par le fascicule).</w:t>
      </w:r>
    </w:p>
    <w:p w14:paraId="7D451968"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Les conflits de conventions internationales » ; « Le juge national face aux ordres supranationaux ».</w:t>
      </w:r>
    </w:p>
    <w:p w14:paraId="5EECA822"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L’européanisation du droit des libertés » ; « Les droits humains sont-ils occidentaux ? ».</w:t>
      </w:r>
    </w:p>
    <w:p w14:paraId="37FB1C35"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Les réserves aux conventions de droits de l’homme » ; « Les systèmes régionaux de protection ».</w:t>
      </w:r>
    </w:p>
    <w:p w14:paraId="377600C2" w14:textId="77777777" w:rsidR="00E0256F" w:rsidRDefault="00000000">
      <w:pPr>
        <w:pStyle w:val="Titre3"/>
        <w:spacing w:before="200" w:after="90"/>
      </w:pPr>
      <w:r>
        <w:rPr>
          <w:rFonts w:ascii="Calibri" w:eastAsia="Calibri" w:hAnsi="Calibri" w:cs="Calibri"/>
          <w:b/>
          <w:bCs/>
          <w:i/>
          <w:iCs/>
          <w:color w:val="5A5A5A"/>
          <w:sz w:val="21"/>
          <w:szCs w:val="21"/>
        </w:rPr>
        <w:t>4.3. Angles morts — en question / réponse</w:t>
      </w:r>
    </w:p>
    <w:p w14:paraId="4507F4B5"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xml:space="preserve">Q. </w:t>
      </w:r>
      <w:r>
        <w:rPr>
          <w:rFonts w:ascii="Calibri" w:eastAsia="Calibri" w:hAnsi="Calibri" w:cs="Calibri"/>
          <w:b/>
          <w:bCs/>
          <w:color w:val="E91E63"/>
        </w:rPr>
        <w:t>Kadi</w:t>
      </w:r>
      <w:r>
        <w:rPr>
          <w:rFonts w:ascii="Calibri" w:eastAsia="Calibri" w:hAnsi="Calibri" w:cs="Calibri"/>
          <w:b/>
          <w:bCs/>
          <w:color w:val="1A1A1A"/>
        </w:rPr>
        <w:t xml:space="preserve"> et </w:t>
      </w:r>
      <w:r>
        <w:rPr>
          <w:rFonts w:ascii="Calibri" w:eastAsia="Calibri" w:hAnsi="Calibri" w:cs="Calibri"/>
          <w:b/>
          <w:bCs/>
          <w:color w:val="E91E63"/>
        </w:rPr>
        <w:t>Nada</w:t>
      </w:r>
      <w:r>
        <w:rPr>
          <w:rFonts w:ascii="Calibri" w:eastAsia="Calibri" w:hAnsi="Calibri" w:cs="Calibri"/>
          <w:b/>
          <w:bCs/>
          <w:color w:val="1A1A1A"/>
        </w:rPr>
        <w:t xml:space="preserve"> émanent-ils de la même juridiction ?</w:t>
      </w:r>
      <w:r>
        <w:rPr>
          <w:rFonts w:ascii="Calibri" w:eastAsia="Calibri" w:hAnsi="Calibri" w:cs="Calibri"/>
          <w:color w:val="1A1A1A"/>
        </w:rPr>
        <w:t xml:space="preserve"> — Non : </w:t>
      </w:r>
      <w:r>
        <w:rPr>
          <w:rFonts w:ascii="Calibri" w:eastAsia="Calibri" w:hAnsi="Calibri" w:cs="Calibri"/>
          <w:color w:val="E91E63"/>
        </w:rPr>
        <w:t>Kadi</w:t>
      </w:r>
      <w:r>
        <w:rPr>
          <w:rFonts w:ascii="Calibri" w:eastAsia="Calibri" w:hAnsi="Calibri" w:cs="Calibri"/>
          <w:color w:val="1A1A1A"/>
        </w:rPr>
        <w:t xml:space="preserve"> est rendu par la </w:t>
      </w:r>
      <w:r>
        <w:rPr>
          <w:rFonts w:ascii="Calibri" w:eastAsia="Calibri" w:hAnsi="Calibri" w:cs="Calibri"/>
          <w:b/>
          <w:bCs/>
          <w:color w:val="1A1A1A"/>
        </w:rPr>
        <w:t>Cour de justice</w:t>
      </w:r>
      <w:r>
        <w:rPr>
          <w:rFonts w:ascii="Calibri" w:eastAsia="Calibri" w:hAnsi="Calibri" w:cs="Calibri"/>
          <w:color w:val="1A1A1A"/>
        </w:rPr>
        <w:t xml:space="preserve"> (contrôle d’un règlement de l’Union) ; </w:t>
      </w:r>
      <w:r>
        <w:rPr>
          <w:rFonts w:ascii="Calibri" w:eastAsia="Calibri" w:hAnsi="Calibri" w:cs="Calibri"/>
          <w:color w:val="E91E63"/>
        </w:rPr>
        <w:t>Nada</w:t>
      </w:r>
      <w:r>
        <w:rPr>
          <w:rFonts w:ascii="Calibri" w:eastAsia="Calibri" w:hAnsi="Calibri" w:cs="Calibri"/>
          <w:color w:val="1A1A1A"/>
        </w:rPr>
        <w:t xml:space="preserve"> par la </w:t>
      </w:r>
      <w:r>
        <w:rPr>
          <w:rFonts w:ascii="Calibri" w:eastAsia="Calibri" w:hAnsi="Calibri" w:cs="Calibri"/>
          <w:b/>
          <w:bCs/>
          <w:color w:val="1A1A1A"/>
        </w:rPr>
        <w:t>Cour européenne des droits de l’homme</w:t>
      </w:r>
      <w:r>
        <w:rPr>
          <w:rFonts w:ascii="Calibri" w:eastAsia="Calibri" w:hAnsi="Calibri" w:cs="Calibri"/>
          <w:color w:val="1A1A1A"/>
        </w:rPr>
        <w:t xml:space="preserve"> (contrôle d’une mesure nationale).</w:t>
      </w:r>
    </w:p>
    <w:p w14:paraId="5D43A29D"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Q. La Charte de l’ASEAN garantit-elle les droits humains ?</w:t>
      </w:r>
      <w:r>
        <w:rPr>
          <w:rFonts w:ascii="Calibri" w:eastAsia="Calibri" w:hAnsi="Calibri" w:cs="Calibri"/>
          <w:color w:val="1A1A1A"/>
        </w:rPr>
        <w:t xml:space="preserve"> — Elle en affirme la </w:t>
      </w:r>
      <w:r>
        <w:rPr>
          <w:rFonts w:ascii="Calibri" w:eastAsia="Calibri" w:hAnsi="Calibri" w:cs="Calibri"/>
          <w:b/>
          <w:bCs/>
          <w:color w:val="1A1A1A"/>
        </w:rPr>
        <w:t>promotion</w:t>
      </w:r>
      <w:r>
        <w:rPr>
          <w:rFonts w:ascii="Calibri" w:eastAsia="Calibri" w:hAnsi="Calibri" w:cs="Calibri"/>
          <w:color w:val="1A1A1A"/>
        </w:rPr>
        <w:t>, mais subordonne leur protection au respect de la souveraineté des États membres, et l’Asie ne dispose d’aucune juridiction régionale.</w:t>
      </w:r>
    </w:p>
    <w:p w14:paraId="06C2393B"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xml:space="preserve">Q. </w:t>
      </w:r>
      <w:r>
        <w:rPr>
          <w:rFonts w:ascii="Calibri" w:eastAsia="Calibri" w:hAnsi="Calibri" w:cs="Calibri"/>
          <w:b/>
          <w:bCs/>
          <w:color w:val="E91E63"/>
        </w:rPr>
        <w:t>Sarran</w:t>
      </w:r>
      <w:r>
        <w:rPr>
          <w:rFonts w:ascii="Calibri" w:eastAsia="Calibri" w:hAnsi="Calibri" w:cs="Calibri"/>
          <w:b/>
          <w:bCs/>
          <w:color w:val="1A1A1A"/>
        </w:rPr>
        <w:t xml:space="preserve"> vaut-il aussi du point de vue de la Cour de justice ?</w:t>
      </w:r>
      <w:r>
        <w:rPr>
          <w:rFonts w:ascii="Calibri" w:eastAsia="Calibri" w:hAnsi="Calibri" w:cs="Calibri"/>
          <w:color w:val="1A1A1A"/>
        </w:rPr>
        <w:t xml:space="preserve"> — Non : la solution est interne. Pour la Cour de justice, la primauté joue y compris à l’égard des normes constitutionnelles (</w:t>
      </w:r>
      <w:r>
        <w:rPr>
          <w:rFonts w:ascii="Calibri" w:eastAsia="Calibri" w:hAnsi="Calibri" w:cs="Calibri"/>
          <w:color w:val="E91E63"/>
        </w:rPr>
        <w:t>Costa c. ENEL</w:t>
      </w:r>
      <w:r>
        <w:rPr>
          <w:rFonts w:ascii="Calibri" w:eastAsia="Calibri" w:hAnsi="Calibri" w:cs="Calibri"/>
          <w:color w:val="1A1A1A"/>
        </w:rPr>
        <w:t xml:space="preserve"> ; </w:t>
      </w:r>
      <w:r>
        <w:rPr>
          <w:rFonts w:ascii="Calibri" w:eastAsia="Calibri" w:hAnsi="Calibri" w:cs="Calibri"/>
          <w:color w:val="E91E63"/>
        </w:rPr>
        <w:t>Simmenthal</w:t>
      </w:r>
      <w:r>
        <w:rPr>
          <w:rFonts w:ascii="Calibri" w:eastAsia="Calibri" w:hAnsi="Calibri" w:cs="Calibri"/>
          <w:color w:val="1A1A1A"/>
        </w:rPr>
        <w:t xml:space="preserve"> ; </w:t>
      </w:r>
      <w:r>
        <w:rPr>
          <w:rFonts w:ascii="Calibri" w:eastAsia="Calibri" w:hAnsi="Calibri" w:cs="Calibri"/>
          <w:color w:val="E91E63"/>
        </w:rPr>
        <w:t>Melloni</w:t>
      </w:r>
      <w:r>
        <w:rPr>
          <w:rFonts w:ascii="Calibri" w:eastAsia="Calibri" w:hAnsi="Calibri" w:cs="Calibri"/>
          <w:color w:val="1A1A1A"/>
        </w:rPr>
        <w:t>).</w:t>
      </w:r>
    </w:p>
    <w:p w14:paraId="641A37E4"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Q. L’internationalisation est-elle un phénomène du seul XXe siècle ?</w:t>
      </w:r>
      <w:r>
        <w:rPr>
          <w:rFonts w:ascii="Calibri" w:eastAsia="Calibri" w:hAnsi="Calibri" w:cs="Calibri"/>
          <w:color w:val="1A1A1A"/>
        </w:rPr>
        <w:t xml:space="preserve"> — Non : ses prémices remontent au XIXe siècle, avec la lutte contre l’esclavage et la </w:t>
      </w:r>
      <w:r>
        <w:rPr>
          <w:rFonts w:ascii="Calibri" w:eastAsia="Calibri" w:hAnsi="Calibri" w:cs="Calibri"/>
          <w:color w:val="1E88E5"/>
        </w:rPr>
        <w:t>Convention de Genève de 1864</w:t>
      </w:r>
      <w:r>
        <w:rPr>
          <w:rFonts w:ascii="Calibri" w:eastAsia="Calibri" w:hAnsi="Calibri" w:cs="Calibri"/>
          <w:color w:val="1A1A1A"/>
        </w:rPr>
        <w:t>, puis la SDN et l’OIT en 1919.</w:t>
      </w:r>
    </w:p>
    <w:p w14:paraId="5CDF0D27"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Q. La nationalité relève-t-elle de la seule compétence des États ?</w:t>
      </w:r>
      <w:r>
        <w:rPr>
          <w:rFonts w:ascii="Calibri" w:eastAsia="Calibri" w:hAnsi="Calibri" w:cs="Calibri"/>
          <w:color w:val="1A1A1A"/>
        </w:rPr>
        <w:t xml:space="preserve"> — En principe oui, mais son exercice doit respecter le droit de l’Union dès lors qu’il produit des effets sur le statut de citoyen européen (</w:t>
      </w:r>
      <w:r w:rsidRPr="00EF0182">
        <w:rPr>
          <w:rFonts w:ascii="Calibri" w:eastAsia="Calibri" w:hAnsi="Calibri" w:cs="Calibri"/>
          <w:color w:val="E91D62"/>
        </w:rPr>
        <w:t>Commission c. Malte, 2025</w:t>
      </w:r>
      <w:r>
        <w:rPr>
          <w:rFonts w:ascii="Calibri" w:eastAsia="Calibri" w:hAnsi="Calibri" w:cs="Calibri"/>
          <w:color w:val="1A1A1A"/>
        </w:rPr>
        <w:t>).</w:t>
      </w:r>
    </w:p>
    <w:p w14:paraId="74087D83" w14:textId="77777777" w:rsidR="00E0256F" w:rsidRDefault="00000000">
      <w:r>
        <w:br w:type="page"/>
      </w:r>
    </w:p>
    <w:p w14:paraId="04C3FD75" w14:textId="77777777" w:rsidR="00E0256F"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FICHE N° 13 — LE DROIT ONUSIEN</w:t>
      </w:r>
    </w:p>
    <w:p w14:paraId="6DDF3683" w14:textId="77777777" w:rsidR="00E0256F" w:rsidRDefault="00000000">
      <w:pPr>
        <w:pStyle w:val="Titre2"/>
        <w:spacing w:before="280" w:after="120"/>
      </w:pPr>
      <w:r>
        <w:rPr>
          <w:rFonts w:ascii="Calibri" w:eastAsia="Calibri" w:hAnsi="Calibri" w:cs="Calibri"/>
          <w:b/>
          <w:bCs/>
          <w:color w:val="1A1A1A"/>
          <w:sz w:val="24"/>
          <w:szCs w:val="24"/>
        </w:rPr>
        <w:t>◆ FICHE-MÉMOIRE — à réviser en trois minutes</w:t>
      </w:r>
    </w:p>
    <w:p w14:paraId="273B2498" w14:textId="77777777" w:rsidR="00E0256F" w:rsidRDefault="00000000">
      <w:pPr>
        <w:pStyle w:val="Titre3"/>
        <w:spacing w:before="200" w:after="90"/>
      </w:pPr>
      <w:r>
        <w:rPr>
          <w:rFonts w:ascii="Calibri" w:eastAsia="Calibri" w:hAnsi="Calibri" w:cs="Calibri"/>
          <w:b/>
          <w:bCs/>
          <w:i/>
          <w:iCs/>
          <w:color w:val="5A5A5A"/>
          <w:sz w:val="21"/>
          <w:szCs w:val="21"/>
        </w:rPr>
        <w:t>Accroche</w:t>
      </w:r>
    </w:p>
    <w:p w14:paraId="22F7AF5E"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La « Charte internationale des droits de l’homme » n’est pas un texte mais un </w:t>
      </w:r>
      <w:r>
        <w:rPr>
          <w:rFonts w:ascii="Calibri" w:eastAsia="Calibri" w:hAnsi="Calibri" w:cs="Calibri"/>
          <w:b/>
          <w:bCs/>
          <w:color w:val="1A1A1A"/>
        </w:rPr>
        <w:t>triptyque</w:t>
      </w:r>
      <w:r>
        <w:rPr>
          <w:rFonts w:ascii="Calibri" w:eastAsia="Calibri" w:hAnsi="Calibri" w:cs="Calibri"/>
          <w:color w:val="1A1A1A"/>
        </w:rPr>
        <w:t xml:space="preserve"> : la Déclaration universelle de 1948 et les deux Pactes de 1966. Leur regroupement sous une appellation commune tend à appuyer l’idée d’un </w:t>
      </w:r>
      <w:r>
        <w:rPr>
          <w:rFonts w:ascii="Calibri" w:eastAsia="Calibri" w:hAnsi="Calibri" w:cs="Calibri"/>
          <w:b/>
          <w:bCs/>
          <w:color w:val="1A1A1A"/>
        </w:rPr>
        <w:t>idéal commun de protection</w:t>
      </w:r>
      <w:r>
        <w:rPr>
          <w:rFonts w:ascii="Calibri" w:eastAsia="Calibri" w:hAnsi="Calibri" w:cs="Calibri"/>
          <w:color w:val="1A1A1A"/>
        </w:rPr>
        <w:t xml:space="preserve"> — mais la dualité même des Pactes porte la trace du clivage idéologique de la guerre froide.</w:t>
      </w:r>
    </w:p>
    <w:p w14:paraId="130F5BF4"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Accroche alternative : </w:t>
      </w:r>
      <w:r>
        <w:rPr>
          <w:rFonts w:ascii="Calibri" w:eastAsia="Calibri" w:hAnsi="Calibri" w:cs="Calibri"/>
          <w:color w:val="E91E63"/>
        </w:rPr>
        <w:t>CE, 18 avril 1951, Élections de Nolay, n° 94.389</w:t>
      </w:r>
      <w:r>
        <w:rPr>
          <w:rFonts w:ascii="Calibri" w:eastAsia="Calibri" w:hAnsi="Calibri" w:cs="Calibri"/>
          <w:color w:val="1A1A1A"/>
        </w:rPr>
        <w:t xml:space="preserve"> — l’universel proclamé à Paris en 1948 n’est pas invocable devant le juge français.</w:t>
      </w:r>
    </w:p>
    <w:p w14:paraId="4F4758F6" w14:textId="77777777" w:rsidR="00E0256F" w:rsidRDefault="00000000">
      <w:pPr>
        <w:pStyle w:val="Titre3"/>
        <w:spacing w:before="200" w:after="90"/>
      </w:pPr>
      <w:r>
        <w:rPr>
          <w:rFonts w:ascii="Calibri" w:eastAsia="Calibri" w:hAnsi="Calibri" w:cs="Calibri"/>
          <w:b/>
          <w:bCs/>
          <w:i/>
          <w:iCs/>
          <w:color w:val="5A5A5A"/>
          <w:sz w:val="21"/>
          <w:szCs w:val="21"/>
        </w:rPr>
        <w:t>Définition en trois lignes</w:t>
      </w:r>
    </w:p>
    <w:p w14:paraId="7F2CAD7B"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Le système onusien de protection repose sur la </w:t>
      </w:r>
      <w:r>
        <w:rPr>
          <w:rFonts w:ascii="Calibri" w:eastAsia="Calibri" w:hAnsi="Calibri" w:cs="Calibri"/>
          <w:color w:val="1E88E5"/>
        </w:rPr>
        <w:t>Charte des Nations unies du 26 juin 1945</w:t>
      </w:r>
      <w:r>
        <w:rPr>
          <w:rFonts w:ascii="Calibri" w:eastAsia="Calibri" w:hAnsi="Calibri" w:cs="Calibri"/>
          <w:color w:val="1A1A1A"/>
        </w:rPr>
        <w:t xml:space="preserve">, la Charte internationale des droits de l’homme et un ensemble de </w:t>
      </w:r>
      <w:r>
        <w:rPr>
          <w:rFonts w:ascii="Calibri" w:eastAsia="Calibri" w:hAnsi="Calibri" w:cs="Calibri"/>
          <w:b/>
          <w:bCs/>
          <w:color w:val="1A1A1A"/>
        </w:rPr>
        <w:t>traités spécialisés</w:t>
      </w:r>
      <w:r>
        <w:rPr>
          <w:rFonts w:ascii="Calibri" w:eastAsia="Calibri" w:hAnsi="Calibri" w:cs="Calibri"/>
          <w:color w:val="1A1A1A"/>
        </w:rPr>
        <w:t xml:space="preserve"> offrant une protection catégorielle. Le caractère contraignant et l’</w:t>
      </w:r>
      <w:r>
        <w:rPr>
          <w:rFonts w:ascii="Calibri" w:eastAsia="Calibri" w:hAnsi="Calibri" w:cs="Calibri"/>
          <w:b/>
          <w:bCs/>
          <w:color w:val="1A1A1A"/>
        </w:rPr>
        <w:t>opposabilité</w:t>
      </w:r>
      <w:r>
        <w:rPr>
          <w:rFonts w:ascii="Calibri" w:eastAsia="Calibri" w:hAnsi="Calibri" w:cs="Calibri"/>
          <w:color w:val="1A1A1A"/>
        </w:rPr>
        <w:t xml:space="preserve"> de ces dispositions sont subordonnés au </w:t>
      </w:r>
      <w:r>
        <w:rPr>
          <w:rFonts w:ascii="Calibri" w:eastAsia="Calibri" w:hAnsi="Calibri" w:cs="Calibri"/>
          <w:b/>
          <w:bCs/>
          <w:color w:val="1A1A1A"/>
        </w:rPr>
        <w:t>consentement étatique</w:t>
      </w:r>
      <w:r>
        <w:rPr>
          <w:rFonts w:ascii="Calibri" w:eastAsia="Calibri" w:hAnsi="Calibri" w:cs="Calibri"/>
          <w:color w:val="1A1A1A"/>
        </w:rPr>
        <w:t>, par la procédure de signature puis de ratification de chaque instrument.</w:t>
      </w:r>
    </w:p>
    <w:p w14:paraId="700838E6" w14:textId="77777777" w:rsidR="00E0256F" w:rsidRDefault="00000000">
      <w:pPr>
        <w:pStyle w:val="Titre3"/>
        <w:spacing w:before="200" w:after="90"/>
      </w:pPr>
      <w:r>
        <w:rPr>
          <w:rFonts w:ascii="Calibri" w:eastAsia="Calibri" w:hAnsi="Calibri" w:cs="Calibri"/>
          <w:b/>
          <w:bCs/>
          <w:i/>
          <w:iCs/>
          <w:color w:val="5A5A5A"/>
          <w:sz w:val="21"/>
          <w:szCs w:val="21"/>
        </w:rPr>
        <w:t>Les cinq références incontournables</w:t>
      </w:r>
    </w:p>
    <w:p w14:paraId="067BBB15"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18 avril 1951, Élections de Nolay, n° 94.389</w:t>
      </w:r>
      <w:r>
        <w:rPr>
          <w:rFonts w:ascii="Calibri" w:eastAsia="Calibri" w:hAnsi="Calibri" w:cs="Calibri"/>
          <w:color w:val="1A1A1A"/>
        </w:rPr>
        <w:t xml:space="preserve"> : la Déclaration universelle </w:t>
      </w:r>
      <w:r>
        <w:rPr>
          <w:rFonts w:ascii="Calibri" w:eastAsia="Calibri" w:hAnsi="Calibri" w:cs="Calibri"/>
          <w:b/>
          <w:bCs/>
          <w:color w:val="1A1A1A"/>
        </w:rPr>
        <w:t>n’a pas d’effet juridique contraignant</w:t>
      </w:r>
      <w:r>
        <w:rPr>
          <w:rFonts w:ascii="Calibri" w:eastAsia="Calibri" w:hAnsi="Calibri" w:cs="Calibri"/>
          <w:color w:val="1A1A1A"/>
        </w:rPr>
        <w:t xml:space="preserve"> en droit interne français, ce qui empêche d’en contrôler l’application.</w:t>
      </w:r>
    </w:p>
    <w:p w14:paraId="53C4BAEB"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CIJ, 24 mai 1980, États-Unis c. Iran (personnel diplomatique et consulaire à Téhéran), Rec. 1980, p. 3</w:t>
      </w:r>
      <w:r>
        <w:rPr>
          <w:rFonts w:ascii="Calibri" w:eastAsia="Calibri" w:hAnsi="Calibri" w:cs="Calibri"/>
          <w:color w:val="1A1A1A"/>
        </w:rPr>
        <w:t xml:space="preserve"> : la Cour internationale de Justice se réfère explicitement à la Déclaration comme </w:t>
      </w:r>
      <w:r>
        <w:rPr>
          <w:rFonts w:ascii="Calibri" w:eastAsia="Calibri" w:hAnsi="Calibri" w:cs="Calibri"/>
          <w:b/>
          <w:bCs/>
          <w:color w:val="1A1A1A"/>
        </w:rPr>
        <w:t>source autonome</w:t>
      </w:r>
      <w:r>
        <w:rPr>
          <w:rFonts w:ascii="Calibri" w:eastAsia="Calibri" w:hAnsi="Calibri" w:cs="Calibri"/>
          <w:color w:val="1A1A1A"/>
        </w:rPr>
        <w:t xml:space="preserve"> des droits humains.</w:t>
      </w:r>
    </w:p>
    <w:p w14:paraId="3D439C3E"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Cour africaine des droits de l’homme et des peuples, 22 mars 2018, Ochieng Anudo c. République-Unie de Tanzanie, n° 012/2015</w:t>
      </w:r>
      <w:r>
        <w:rPr>
          <w:rFonts w:ascii="Calibri" w:eastAsia="Calibri" w:hAnsi="Calibri" w:cs="Calibri"/>
          <w:color w:val="1A1A1A"/>
        </w:rPr>
        <w:t xml:space="preserve"> : la Déclaration y est utilisée comme </w:t>
      </w:r>
      <w:r>
        <w:rPr>
          <w:rFonts w:ascii="Calibri" w:eastAsia="Calibri" w:hAnsi="Calibri" w:cs="Calibri"/>
          <w:b/>
          <w:bCs/>
          <w:color w:val="1A1A1A"/>
        </w:rPr>
        <w:t>instrument contraignant à part entière</w:t>
      </w:r>
      <w:r>
        <w:rPr>
          <w:rFonts w:ascii="Calibri" w:eastAsia="Calibri" w:hAnsi="Calibri" w:cs="Calibri"/>
          <w:color w:val="1A1A1A"/>
        </w:rPr>
        <w:t xml:space="preserve"> — exception notable par rapport aux autres systèmes.</w:t>
      </w:r>
    </w:p>
    <w:p w14:paraId="65CDCC50"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[GC], 8 novembre 2016, Magyar Helsinki Bizottság c. Hongrie, n° 18030/11</w:t>
      </w:r>
      <w:r>
        <w:rPr>
          <w:rFonts w:ascii="Calibri" w:eastAsia="Calibri" w:hAnsi="Calibri" w:cs="Calibri"/>
          <w:color w:val="1A1A1A"/>
        </w:rPr>
        <w:t xml:space="preserve"> : la Déclaration comme </w:t>
      </w:r>
      <w:r>
        <w:rPr>
          <w:rFonts w:ascii="Calibri" w:eastAsia="Calibri" w:hAnsi="Calibri" w:cs="Calibri"/>
          <w:b/>
          <w:bCs/>
          <w:color w:val="1A1A1A"/>
        </w:rPr>
        <w:t>source d’inspiration</w:t>
      </w:r>
      <w:r>
        <w:rPr>
          <w:rFonts w:ascii="Calibri" w:eastAsia="Calibri" w:hAnsi="Calibri" w:cs="Calibri"/>
          <w:color w:val="1A1A1A"/>
        </w:rPr>
        <w:t xml:space="preserve"> pour l’interprétation de la Convention.</w:t>
      </w:r>
    </w:p>
    <w:p w14:paraId="23241871"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CDH, 20 septembre 2019, Cáceres c. Paraguay, n° 2751/2016</w:t>
      </w:r>
      <w:r>
        <w:rPr>
          <w:rFonts w:ascii="Calibri" w:eastAsia="Calibri" w:hAnsi="Calibri" w:cs="Calibri"/>
          <w:color w:val="1A1A1A"/>
        </w:rPr>
        <w:t xml:space="preserve"> : le Comité des droits de l’homme consacre le </w:t>
      </w:r>
      <w:r>
        <w:rPr>
          <w:rFonts w:ascii="Calibri" w:eastAsia="Calibri" w:hAnsi="Calibri" w:cs="Calibri"/>
          <w:b/>
          <w:bCs/>
          <w:color w:val="1A1A1A"/>
        </w:rPr>
        <w:t>volet économique et social du droit à la vie</w:t>
      </w:r>
      <w:r>
        <w:rPr>
          <w:rFonts w:ascii="Calibri" w:eastAsia="Calibri" w:hAnsi="Calibri" w:cs="Calibri"/>
          <w:color w:val="1A1A1A"/>
        </w:rPr>
        <w:t xml:space="preserve"> dans le cadre des droits civils et politiques — démenti prétorien du cloisonnement entre les deux Pactes.</w:t>
      </w:r>
    </w:p>
    <w:p w14:paraId="3ACA78CC" w14:textId="77777777" w:rsidR="00E0256F" w:rsidRDefault="00000000">
      <w:pPr>
        <w:pStyle w:val="Titre3"/>
        <w:spacing w:before="200" w:after="90"/>
      </w:pPr>
      <w:r>
        <w:rPr>
          <w:rFonts w:ascii="Calibri" w:eastAsia="Calibri" w:hAnsi="Calibri" w:cs="Calibri"/>
          <w:b/>
          <w:bCs/>
          <w:i/>
          <w:iCs/>
          <w:color w:val="5A5A5A"/>
          <w:sz w:val="21"/>
          <w:szCs w:val="21"/>
        </w:rPr>
        <w:t>Deux matrices de plan</w:t>
      </w:r>
    </w:p>
    <w:p w14:paraId="04890A79"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Sujet « La Déclaration universelle contribue-t-elle à la protection des droits malgré son caractère non contraignant ? »</w:t>
      </w:r>
      <w:r>
        <w:rPr>
          <w:rFonts w:ascii="Calibri" w:eastAsia="Calibri" w:hAnsi="Calibri" w:cs="Calibri"/>
          <w:color w:val="1A1A1A"/>
        </w:rPr>
        <w:t xml:space="preserve"> — </w:t>
      </w:r>
      <w:r>
        <w:rPr>
          <w:rFonts w:ascii="Calibri" w:eastAsia="Calibri" w:hAnsi="Calibri" w:cs="Calibri"/>
          <w:b/>
          <w:bCs/>
          <w:color w:val="1A1A1A"/>
        </w:rPr>
        <w:t>I. Un fondement de la protection internationale</w:t>
      </w:r>
      <w:r>
        <w:rPr>
          <w:rFonts w:ascii="Calibri" w:eastAsia="Calibri" w:hAnsi="Calibri" w:cs="Calibri"/>
          <w:color w:val="1A1A1A"/>
        </w:rPr>
        <w:t xml:space="preserve"> (A. Une source d’inspiration : inspirée d’un texte contraignant, la DDHC, et inspirant la CEDH, la Convention américaine et la Charte africaine ; B. La clé de voûte du système onusien : les Pactes de 1966 la rendent substantiellement effective) / </w:t>
      </w:r>
      <w:r>
        <w:rPr>
          <w:rFonts w:ascii="Calibri" w:eastAsia="Calibri" w:hAnsi="Calibri" w:cs="Calibri"/>
          <w:b/>
          <w:bCs/>
          <w:color w:val="1A1A1A"/>
        </w:rPr>
        <w:t>II. Une absence de caractère contraignant discutable</w:t>
      </w:r>
      <w:r>
        <w:rPr>
          <w:rFonts w:ascii="Calibri" w:eastAsia="Calibri" w:hAnsi="Calibri" w:cs="Calibri"/>
          <w:color w:val="1A1A1A"/>
        </w:rPr>
        <w:t xml:space="preserve"> (A. Un caractère contraignant variable selon les systèmes : Espagne, Portugal, Roumanie, Andorre, Cour africaine ; B. Une valeur symbolique : instrument conférant directement des droits aux individus, vecteur des principes directeurs).</w:t>
      </w:r>
    </w:p>
    <w:p w14:paraId="186367B3"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Sujet « Les deux Pactes de 1966 »</w:t>
      </w:r>
      <w:r>
        <w:rPr>
          <w:rFonts w:ascii="Calibri" w:eastAsia="Calibri" w:hAnsi="Calibri" w:cs="Calibri"/>
          <w:color w:val="1A1A1A"/>
        </w:rPr>
        <w:t xml:space="preserve"> — </w:t>
      </w:r>
      <w:r>
        <w:rPr>
          <w:rFonts w:ascii="Calibri" w:eastAsia="Calibri" w:hAnsi="Calibri" w:cs="Calibri"/>
          <w:b/>
          <w:bCs/>
          <w:color w:val="1A1A1A"/>
        </w:rPr>
        <w:t>I. Une dualité née du clivage idéologique</w:t>
      </w:r>
      <w:r>
        <w:rPr>
          <w:rFonts w:ascii="Calibri" w:eastAsia="Calibri" w:hAnsi="Calibri" w:cs="Calibri"/>
          <w:color w:val="1A1A1A"/>
        </w:rPr>
        <w:t xml:space="preserve"> (A. Deux générations de droits, deux blocs : civils et politiques / économiques, sociaux et culturels ; B. Deux régimes d’obligation : obligation de résultat / obligation de moyens) / </w:t>
      </w:r>
      <w:r>
        <w:rPr>
          <w:rFonts w:ascii="Calibri" w:eastAsia="Calibri" w:hAnsi="Calibri" w:cs="Calibri"/>
          <w:b/>
          <w:bCs/>
          <w:color w:val="1A1A1A"/>
        </w:rPr>
        <w:t>II. Un décloisonnement prétorien</w:t>
      </w:r>
      <w:r>
        <w:rPr>
          <w:rFonts w:ascii="Calibri" w:eastAsia="Calibri" w:hAnsi="Calibri" w:cs="Calibri"/>
          <w:color w:val="1A1A1A"/>
        </w:rPr>
        <w:t xml:space="preserve"> (A. L’interprétation croisée des Comités ; B. La consécration du volet social des droits civils : </w:t>
      </w:r>
      <w:r>
        <w:rPr>
          <w:rFonts w:ascii="Calibri" w:eastAsia="Calibri" w:hAnsi="Calibri" w:cs="Calibri"/>
          <w:color w:val="E91E63"/>
        </w:rPr>
        <w:t>Cáceres c. Paraguay</w:t>
      </w:r>
      <w:r>
        <w:rPr>
          <w:rFonts w:ascii="Calibri" w:eastAsia="Calibri" w:hAnsi="Calibri" w:cs="Calibri"/>
          <w:color w:val="1A1A1A"/>
        </w:rPr>
        <w:t>).</w:t>
      </w:r>
    </w:p>
    <w:p w14:paraId="388E0A28" w14:textId="77777777" w:rsidR="00E0256F" w:rsidRDefault="00000000">
      <w:pPr>
        <w:pStyle w:val="Titre3"/>
        <w:spacing w:before="200" w:after="90"/>
      </w:pPr>
      <w:r>
        <w:rPr>
          <w:rFonts w:ascii="Calibri" w:eastAsia="Calibri" w:hAnsi="Calibri" w:cs="Calibri"/>
          <w:b/>
          <w:bCs/>
          <w:i/>
          <w:iCs/>
          <w:color w:val="5A5A5A"/>
          <w:sz w:val="21"/>
          <w:szCs w:val="21"/>
        </w:rPr>
        <w:t>Trois pièges</w:t>
      </w:r>
    </w:p>
    <w:p w14:paraId="3C2868FD"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 Déclaration universelle est une résolution de l’Assemblée générale</w:t>
      </w:r>
      <w:r>
        <w:rPr>
          <w:rFonts w:ascii="Calibri" w:eastAsia="Calibri" w:hAnsi="Calibri" w:cs="Calibri"/>
          <w:color w:val="1A1A1A"/>
        </w:rPr>
        <w:t xml:space="preserve"> (</w:t>
      </w:r>
      <w:r>
        <w:rPr>
          <w:rFonts w:ascii="Calibri" w:eastAsia="Calibri" w:hAnsi="Calibri" w:cs="Calibri"/>
          <w:color w:val="1E88E5"/>
        </w:rPr>
        <w:t>résolution 217 (III) A du 10 décembre 1948</w:t>
      </w:r>
      <w:r>
        <w:rPr>
          <w:rFonts w:ascii="Calibri" w:eastAsia="Calibri" w:hAnsi="Calibri" w:cs="Calibri"/>
          <w:color w:val="1A1A1A"/>
        </w:rPr>
        <w:t xml:space="preserve">), non une convention : elle ne contraint pas les États, ne prévoit aucune sanction et n’institue </w:t>
      </w:r>
      <w:r>
        <w:rPr>
          <w:rFonts w:ascii="Calibri" w:eastAsia="Calibri" w:hAnsi="Calibri" w:cs="Calibri"/>
          <w:b/>
          <w:bCs/>
          <w:color w:val="1A1A1A"/>
        </w:rPr>
        <w:t>aucun mécanisme de contrôle</w:t>
      </w:r>
      <w:r>
        <w:rPr>
          <w:rFonts w:ascii="Calibri" w:eastAsia="Calibri" w:hAnsi="Calibri" w:cs="Calibri"/>
          <w:color w:val="1A1A1A"/>
        </w:rPr>
        <w:t xml:space="preserve"> de ses dispositions.</w:t>
      </w:r>
    </w:p>
    <w:p w14:paraId="75507E2F"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Les deux Pactes n’imposent pas la même intensité d’obligation</w:t>
      </w:r>
      <w:r>
        <w:rPr>
          <w:rFonts w:ascii="Calibri" w:eastAsia="Calibri" w:hAnsi="Calibri" w:cs="Calibri"/>
          <w:color w:val="1A1A1A"/>
        </w:rPr>
        <w:t xml:space="preserve"> : le </w:t>
      </w:r>
      <w:r>
        <w:rPr>
          <w:rFonts w:ascii="Calibri" w:eastAsia="Calibri" w:hAnsi="Calibri" w:cs="Calibri"/>
          <w:color w:val="1E88E5"/>
        </w:rPr>
        <w:t>PIDCP</w:t>
      </w:r>
      <w:r>
        <w:rPr>
          <w:rFonts w:ascii="Calibri" w:eastAsia="Calibri" w:hAnsi="Calibri" w:cs="Calibri"/>
          <w:color w:val="1A1A1A"/>
        </w:rPr>
        <w:t xml:space="preserve"> impose une </w:t>
      </w:r>
      <w:r>
        <w:rPr>
          <w:rFonts w:ascii="Calibri" w:eastAsia="Calibri" w:hAnsi="Calibri" w:cs="Calibri"/>
          <w:b/>
          <w:bCs/>
          <w:color w:val="1A1A1A"/>
        </w:rPr>
        <w:t>obligation de résultat</w:t>
      </w:r>
      <w:r>
        <w:rPr>
          <w:rFonts w:ascii="Calibri" w:eastAsia="Calibri" w:hAnsi="Calibri" w:cs="Calibri"/>
          <w:color w:val="1A1A1A"/>
        </w:rPr>
        <w:t xml:space="preserve">, engageant la responsabilité de l’État quant au respect effectif des droits reconnus ; le </w:t>
      </w:r>
      <w:r>
        <w:rPr>
          <w:rFonts w:ascii="Calibri" w:eastAsia="Calibri" w:hAnsi="Calibri" w:cs="Calibri"/>
          <w:color w:val="1E88E5"/>
        </w:rPr>
        <w:t>PIDESC</w:t>
      </w:r>
      <w:r>
        <w:rPr>
          <w:rFonts w:ascii="Calibri" w:eastAsia="Calibri" w:hAnsi="Calibri" w:cs="Calibri"/>
          <w:color w:val="1A1A1A"/>
        </w:rPr>
        <w:t xml:space="preserve"> n’impose qu’une </w:t>
      </w:r>
      <w:r>
        <w:rPr>
          <w:rFonts w:ascii="Calibri" w:eastAsia="Calibri" w:hAnsi="Calibri" w:cs="Calibri"/>
          <w:b/>
          <w:bCs/>
          <w:color w:val="1A1A1A"/>
        </w:rPr>
        <w:t>obligation de moyens</w:t>
      </w:r>
      <w:r>
        <w:rPr>
          <w:rFonts w:ascii="Calibri" w:eastAsia="Calibri" w:hAnsi="Calibri" w:cs="Calibri"/>
          <w:color w:val="1A1A1A"/>
        </w:rPr>
        <w:t>.</w:t>
      </w:r>
    </w:p>
    <w:p w14:paraId="2C05CDD5"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La France a émis une réserve à l’</w:t>
      </w:r>
      <w:r>
        <w:rPr>
          <w:rFonts w:ascii="Calibri" w:eastAsia="Calibri" w:hAnsi="Calibri" w:cs="Calibri"/>
          <w:b/>
          <w:bCs/>
          <w:color w:val="1E88E5"/>
        </w:rPr>
        <w:t>art. 27 du PIDCP</w:t>
      </w:r>
      <w:r>
        <w:rPr>
          <w:rFonts w:ascii="Calibri" w:eastAsia="Calibri" w:hAnsi="Calibri" w:cs="Calibri"/>
          <w:color w:val="1A1A1A"/>
        </w:rPr>
        <w:t xml:space="preserve"> (droits des minorités), jugé contraire à l’</w:t>
      </w:r>
      <w:r>
        <w:rPr>
          <w:rFonts w:ascii="Calibri" w:eastAsia="Calibri" w:hAnsi="Calibri" w:cs="Calibri"/>
          <w:color w:val="1E88E5"/>
        </w:rPr>
        <w:t>art. 2 de la Constitution</w:t>
      </w:r>
      <w:r>
        <w:rPr>
          <w:rFonts w:ascii="Calibri" w:eastAsia="Calibri" w:hAnsi="Calibri" w:cs="Calibri"/>
          <w:color w:val="1A1A1A"/>
        </w:rPr>
        <w:t xml:space="preserve"> qui ne reconnaît que le français comme langue nationale — même motif que son refus d’adhérer à la Charte européenne des langues régionales ou minoritaires.</w:t>
      </w:r>
    </w:p>
    <w:p w14:paraId="75B6287C" w14:textId="77777777" w:rsidR="00E0256F" w:rsidRDefault="00000000">
      <w:r>
        <w:br w:type="page"/>
      </w:r>
    </w:p>
    <w:p w14:paraId="683C2185" w14:textId="77777777" w:rsidR="00E0256F" w:rsidRDefault="00000000">
      <w:pPr>
        <w:pStyle w:val="Titre2"/>
        <w:spacing w:before="280" w:after="120"/>
      </w:pPr>
      <w:r>
        <w:rPr>
          <w:rFonts w:ascii="Calibri" w:eastAsia="Calibri" w:hAnsi="Calibri" w:cs="Calibri"/>
          <w:b/>
          <w:bCs/>
          <w:color w:val="1A1A1A"/>
          <w:sz w:val="24"/>
          <w:szCs w:val="24"/>
        </w:rPr>
        <w:lastRenderedPageBreak/>
        <w:t>1. Architecture textuelle</w:t>
      </w:r>
    </w:p>
    <w:p w14:paraId="65DECA8C" w14:textId="77777777" w:rsidR="00E0256F" w:rsidRDefault="00000000">
      <w:pPr>
        <w:pStyle w:val="Titre3"/>
        <w:spacing w:before="200" w:after="90"/>
      </w:pPr>
      <w:r>
        <w:rPr>
          <w:rFonts w:ascii="Calibri" w:eastAsia="Calibri" w:hAnsi="Calibri" w:cs="Calibri"/>
          <w:b/>
          <w:bCs/>
          <w:i/>
          <w:iCs/>
          <w:color w:val="5A5A5A"/>
          <w:sz w:val="21"/>
          <w:szCs w:val="21"/>
        </w:rPr>
        <w:t>1.1. La Charte internationale des droits de l’homme</w:t>
      </w:r>
    </w:p>
    <w:p w14:paraId="2F0D57E5" w14:textId="77777777" w:rsidR="00E0256F" w:rsidRDefault="00000000">
      <w:pPr>
        <w:pStyle w:val="Paragraphedeliste"/>
        <w:numPr>
          <w:ilvl w:val="0"/>
          <w:numId w:val="2"/>
        </w:numPr>
        <w:spacing w:after="70" w:line="264" w:lineRule="auto"/>
        <w:jc w:val="both"/>
      </w:pPr>
      <w:r>
        <w:rPr>
          <w:rFonts w:ascii="Calibri" w:eastAsia="Calibri" w:hAnsi="Calibri" w:cs="Calibri"/>
          <w:color w:val="1E88E5"/>
        </w:rPr>
        <w:t>Déclaration universelle des droits de l’homme, art. 1er à 30</w:t>
      </w:r>
      <w:r>
        <w:rPr>
          <w:rFonts w:ascii="Calibri" w:eastAsia="Calibri" w:hAnsi="Calibri" w:cs="Calibri"/>
          <w:color w:val="1A1A1A"/>
        </w:rPr>
        <w:t xml:space="preserve"> ; </w:t>
      </w:r>
      <w:r>
        <w:rPr>
          <w:rFonts w:ascii="Calibri" w:eastAsia="Calibri" w:hAnsi="Calibri" w:cs="Calibri"/>
          <w:color w:val="1E88E5"/>
        </w:rPr>
        <w:t>Pacte international relatif aux droits civils et politiques, art. 1er à 27</w:t>
      </w:r>
      <w:r>
        <w:rPr>
          <w:rFonts w:ascii="Calibri" w:eastAsia="Calibri" w:hAnsi="Calibri" w:cs="Calibri"/>
          <w:color w:val="1A1A1A"/>
        </w:rPr>
        <w:t xml:space="preserve"> ; </w:t>
      </w:r>
      <w:r>
        <w:rPr>
          <w:rFonts w:ascii="Calibri" w:eastAsia="Calibri" w:hAnsi="Calibri" w:cs="Calibri"/>
          <w:color w:val="1E88E5"/>
        </w:rPr>
        <w:t>Pacte international relatif aux droits économiques, sociaux et culturels, art. 1er à 15</w:t>
      </w:r>
      <w:r>
        <w:rPr>
          <w:rFonts w:ascii="Calibri" w:eastAsia="Calibri" w:hAnsi="Calibri" w:cs="Calibri"/>
          <w:color w:val="1A1A1A"/>
        </w:rPr>
        <w:t>.</w:t>
      </w:r>
    </w:p>
    <w:p w14:paraId="2DF1A969"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Contexte de rédaction</w:t>
      </w:r>
      <w:r>
        <w:rPr>
          <w:rFonts w:ascii="Calibri" w:eastAsia="Calibri" w:hAnsi="Calibri" w:cs="Calibri"/>
          <w:color w:val="1A1A1A"/>
        </w:rPr>
        <w:t xml:space="preserve"> : le nombre d’États membres des Nations unies a </w:t>
      </w:r>
      <w:r>
        <w:rPr>
          <w:rFonts w:ascii="Calibri" w:eastAsia="Calibri" w:hAnsi="Calibri" w:cs="Calibri"/>
          <w:b/>
          <w:bCs/>
          <w:color w:val="1A1A1A"/>
        </w:rPr>
        <w:t>plus que doublé</w:t>
      </w:r>
      <w:r>
        <w:rPr>
          <w:rFonts w:ascii="Calibri" w:eastAsia="Calibri" w:hAnsi="Calibri" w:cs="Calibri"/>
          <w:color w:val="1A1A1A"/>
        </w:rPr>
        <w:t xml:space="preserve"> entre 1948 et 1966 sous l’effet de la décolonisation. La Déclaration </w:t>
      </w:r>
      <w:r>
        <w:rPr>
          <w:rFonts w:ascii="Calibri" w:eastAsia="Calibri" w:hAnsi="Calibri" w:cs="Calibri"/>
          <w:b/>
          <w:bCs/>
          <w:color w:val="1A1A1A"/>
        </w:rPr>
        <w:t>concilie</w:t>
      </w:r>
      <w:r>
        <w:rPr>
          <w:rFonts w:ascii="Calibri" w:eastAsia="Calibri" w:hAnsi="Calibri" w:cs="Calibri"/>
          <w:color w:val="1A1A1A"/>
        </w:rPr>
        <w:t xml:space="preserve"> les aspirations libérales et marxistes ; les Pactes les </w:t>
      </w:r>
      <w:r>
        <w:rPr>
          <w:rFonts w:ascii="Calibri" w:eastAsia="Calibri" w:hAnsi="Calibri" w:cs="Calibri"/>
          <w:b/>
          <w:bCs/>
          <w:color w:val="1A1A1A"/>
        </w:rPr>
        <w:t>opposent</w:t>
      </w:r>
      <w:r>
        <w:rPr>
          <w:rFonts w:ascii="Calibri" w:eastAsia="Calibri" w:hAnsi="Calibri" w:cs="Calibri"/>
          <w:color w:val="1A1A1A"/>
        </w:rPr>
        <w:t>.</w:t>
      </w:r>
    </w:p>
    <w:p w14:paraId="2AFCE3FB" w14:textId="77777777" w:rsidR="00E0256F" w:rsidRDefault="00000000">
      <w:pPr>
        <w:pStyle w:val="Titre3"/>
        <w:spacing w:before="200" w:after="90"/>
      </w:pPr>
      <w:r>
        <w:rPr>
          <w:rFonts w:ascii="Calibri" w:eastAsia="Calibri" w:hAnsi="Calibri" w:cs="Calibri"/>
          <w:b/>
          <w:bCs/>
          <w:i/>
          <w:iCs/>
          <w:color w:val="5A5A5A"/>
          <w:sz w:val="21"/>
          <w:szCs w:val="21"/>
        </w:rPr>
        <w:t>1.2. La Déclaration universelle des droits de l’homme</w:t>
      </w:r>
    </w:p>
    <w:p w14:paraId="42C2EEEC"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Adoption</w:t>
      </w:r>
      <w:r>
        <w:rPr>
          <w:rFonts w:ascii="Calibri" w:eastAsia="Calibri" w:hAnsi="Calibri" w:cs="Calibri"/>
          <w:color w:val="1A1A1A"/>
        </w:rPr>
        <w:t xml:space="preserve"> : 10 décembre 1948, Palais de Chaillot à Paris, par la </w:t>
      </w:r>
      <w:r>
        <w:rPr>
          <w:rFonts w:ascii="Calibri" w:eastAsia="Calibri" w:hAnsi="Calibri" w:cs="Calibri"/>
          <w:color w:val="1E88E5"/>
        </w:rPr>
        <w:t>résolution 217 (III) A de l’Assemblée générale</w:t>
      </w:r>
      <w:r>
        <w:rPr>
          <w:rFonts w:ascii="Calibri" w:eastAsia="Calibri" w:hAnsi="Calibri" w:cs="Calibri"/>
          <w:color w:val="1A1A1A"/>
        </w:rPr>
        <w:t>, avec l’</w:t>
      </w:r>
      <w:r>
        <w:rPr>
          <w:rFonts w:ascii="Calibri" w:eastAsia="Calibri" w:hAnsi="Calibri" w:cs="Calibri"/>
          <w:b/>
          <w:bCs/>
          <w:color w:val="1A1A1A"/>
        </w:rPr>
        <w:t>abstention de l’URSS, des États de l’Est et de certains États du Sud</w:t>
      </w:r>
      <w:r>
        <w:rPr>
          <w:rFonts w:ascii="Calibri" w:eastAsia="Calibri" w:hAnsi="Calibri" w:cs="Calibri"/>
          <w:color w:val="1A1A1A"/>
        </w:rPr>
        <w:t>, en raison de sa forte inspiration libérale.</w:t>
      </w:r>
    </w:p>
    <w:p w14:paraId="4B54AC4D"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Rédaction</w:t>
      </w:r>
      <w:r>
        <w:rPr>
          <w:rFonts w:ascii="Calibri" w:eastAsia="Calibri" w:hAnsi="Calibri" w:cs="Calibri"/>
          <w:color w:val="1A1A1A"/>
        </w:rPr>
        <w:t xml:space="preserve"> : comité présidé par </w:t>
      </w:r>
      <w:r>
        <w:rPr>
          <w:rFonts w:ascii="Calibri" w:eastAsia="Calibri" w:hAnsi="Calibri" w:cs="Calibri"/>
          <w:color w:val="2E7D32"/>
        </w:rPr>
        <w:t>Eleanor Roosevelt</w:t>
      </w:r>
      <w:r>
        <w:rPr>
          <w:rFonts w:ascii="Calibri" w:eastAsia="Calibri" w:hAnsi="Calibri" w:cs="Calibri"/>
          <w:color w:val="1A1A1A"/>
        </w:rPr>
        <w:t xml:space="preserve">, connue pour son engagement en faveur du droit des femmes ; </w:t>
      </w:r>
      <w:r>
        <w:rPr>
          <w:rFonts w:ascii="Calibri" w:eastAsia="Calibri" w:hAnsi="Calibri" w:cs="Calibri"/>
          <w:color w:val="2E7D32"/>
        </w:rPr>
        <w:t>René Cassin</w:t>
      </w:r>
      <w:r>
        <w:rPr>
          <w:rFonts w:ascii="Calibri" w:eastAsia="Calibri" w:hAnsi="Calibri" w:cs="Calibri"/>
          <w:color w:val="1A1A1A"/>
        </w:rPr>
        <w:t>, rapporteur du projet, prix Nobel de la paix en 1968, premier juge français à la Cour européenne des droits de l’homme de 1959 à 1976, dont il fut le président de 1965 à 1968.</w:t>
      </w:r>
    </w:p>
    <w:p w14:paraId="0A62D447"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Contenu et esprit</w:t>
      </w:r>
      <w:r>
        <w:rPr>
          <w:rFonts w:ascii="Calibri" w:eastAsia="Calibri" w:hAnsi="Calibri" w:cs="Calibri"/>
          <w:color w:val="1A1A1A"/>
        </w:rPr>
        <w:t xml:space="preserve"> : premier instrument </w:t>
      </w:r>
      <w:r>
        <w:rPr>
          <w:rFonts w:ascii="Calibri" w:eastAsia="Calibri" w:hAnsi="Calibri" w:cs="Calibri"/>
          <w:b/>
          <w:bCs/>
          <w:color w:val="1A1A1A"/>
        </w:rPr>
        <w:t>universel</w:t>
      </w:r>
      <w:r>
        <w:rPr>
          <w:rFonts w:ascii="Calibri" w:eastAsia="Calibri" w:hAnsi="Calibri" w:cs="Calibri"/>
          <w:color w:val="1A1A1A"/>
        </w:rPr>
        <w:t xml:space="preserve"> de protection ; s’adresse </w:t>
      </w:r>
      <w:r>
        <w:rPr>
          <w:rFonts w:ascii="Calibri" w:eastAsia="Calibri" w:hAnsi="Calibri" w:cs="Calibri"/>
          <w:b/>
          <w:bCs/>
          <w:color w:val="1A1A1A"/>
        </w:rPr>
        <w:t>directement à l’individu</w:t>
      </w:r>
      <w:r>
        <w:rPr>
          <w:rFonts w:ascii="Calibri" w:eastAsia="Calibri" w:hAnsi="Calibri" w:cs="Calibri"/>
          <w:color w:val="1A1A1A"/>
        </w:rPr>
        <w:t xml:space="preserve"> pour lui conférer des droits essentiels, et à l’État pour l’engager vers leur concrétisation ; inspirée de la </w:t>
      </w:r>
      <w:r>
        <w:rPr>
          <w:rFonts w:ascii="Calibri" w:eastAsia="Calibri" w:hAnsi="Calibri" w:cs="Calibri"/>
          <w:color w:val="1E88E5"/>
        </w:rPr>
        <w:t>DDHC de 1789</w:t>
      </w:r>
      <w:r>
        <w:rPr>
          <w:rFonts w:ascii="Calibri" w:eastAsia="Calibri" w:hAnsi="Calibri" w:cs="Calibri"/>
          <w:color w:val="1A1A1A"/>
        </w:rPr>
        <w:t xml:space="preserve"> et du </w:t>
      </w:r>
      <w:r>
        <w:rPr>
          <w:rFonts w:ascii="Calibri" w:eastAsia="Calibri" w:hAnsi="Calibri" w:cs="Calibri"/>
          <w:color w:val="1E88E5"/>
        </w:rPr>
        <w:t>Bill of Rights américain</w:t>
      </w:r>
      <w:r>
        <w:rPr>
          <w:rFonts w:ascii="Calibri" w:eastAsia="Calibri" w:hAnsi="Calibri" w:cs="Calibri"/>
          <w:color w:val="1A1A1A"/>
        </w:rPr>
        <w:t xml:space="preserve"> ; affirme l’universalité, l’interdépendance et l’indivisibilité des droits, l’inaliénabilité de la personne humaine et le caractère central de la dignité ; vise à protéger les individus contre « la tyrannie et l’oppression ». Elle </w:t>
      </w:r>
      <w:r>
        <w:rPr>
          <w:rFonts w:ascii="Calibri" w:eastAsia="Calibri" w:hAnsi="Calibri" w:cs="Calibri"/>
          <w:b/>
          <w:bCs/>
          <w:color w:val="1A1A1A"/>
        </w:rPr>
        <w:t>limite la référence aux devoirs de l’individu</w:t>
      </w:r>
      <w:r>
        <w:rPr>
          <w:rFonts w:ascii="Calibri" w:eastAsia="Calibri" w:hAnsi="Calibri" w:cs="Calibri"/>
          <w:color w:val="1A1A1A"/>
        </w:rPr>
        <w:t xml:space="preserve"> envers la société, ce qui lui confère un esprit individualiste souvent critiqué.</w:t>
      </w:r>
    </w:p>
    <w:p w14:paraId="0C765427" w14:textId="77777777" w:rsidR="00E0256F" w:rsidRPr="008A29E1" w:rsidRDefault="00000000">
      <w:pPr>
        <w:pStyle w:val="Paragraphedeliste"/>
        <w:numPr>
          <w:ilvl w:val="0"/>
          <w:numId w:val="2"/>
        </w:numPr>
        <w:spacing w:after="70" w:line="264" w:lineRule="auto"/>
        <w:jc w:val="both"/>
        <w:rPr>
          <w:highlight w:val="yellow"/>
        </w:rPr>
      </w:pPr>
      <w:r>
        <w:rPr>
          <w:rFonts w:ascii="Calibri" w:eastAsia="Calibri" w:hAnsi="Calibri" w:cs="Calibri"/>
          <w:b/>
          <w:bCs/>
          <w:color w:val="1A1A1A"/>
        </w:rPr>
        <w:t>Valeur juridique</w:t>
      </w:r>
      <w:r>
        <w:rPr>
          <w:rFonts w:ascii="Calibri" w:eastAsia="Calibri" w:hAnsi="Calibri" w:cs="Calibri"/>
          <w:color w:val="1A1A1A"/>
        </w:rPr>
        <w:t xml:space="preserve"> : n’a pas la même valeur que les traités et conventions ; il ne s’agit pas d’un instrument juridiquement contraignant mais d’une </w:t>
      </w:r>
      <w:r w:rsidRPr="008A29E1">
        <w:rPr>
          <w:rFonts w:ascii="Calibri" w:eastAsia="Calibri" w:hAnsi="Calibri" w:cs="Calibri"/>
          <w:b/>
          <w:bCs/>
          <w:color w:val="1A1A1A"/>
          <w:highlight w:val="yellow"/>
        </w:rPr>
        <w:t>proclamation de droits</w:t>
      </w:r>
      <w:r>
        <w:rPr>
          <w:rFonts w:ascii="Calibri" w:eastAsia="Calibri" w:hAnsi="Calibri" w:cs="Calibri"/>
          <w:color w:val="1A1A1A"/>
        </w:rPr>
        <w:t xml:space="preserve"> — d’où la critique récurrente de l’ineffectivité. Elle n’est pas pour autant dénuée d’effet : </w:t>
      </w:r>
      <w:r w:rsidRPr="008A29E1">
        <w:rPr>
          <w:rFonts w:ascii="Calibri" w:eastAsia="Calibri" w:hAnsi="Calibri" w:cs="Calibri"/>
          <w:color w:val="1A1A1A"/>
          <w:highlight w:val="yellow"/>
        </w:rPr>
        <w:t>les États peuvent lui conférer un caractère contraignant en l’intégrant dans leur ordre juridique interne.</w:t>
      </w:r>
    </w:p>
    <w:p w14:paraId="32872406"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Réceptions constitutionnelles</w:t>
      </w:r>
      <w:r>
        <w:rPr>
          <w:rFonts w:ascii="Calibri" w:eastAsia="Calibri" w:hAnsi="Calibri" w:cs="Calibri"/>
          <w:color w:val="1A1A1A"/>
        </w:rPr>
        <w:t xml:space="preserve"> : </w:t>
      </w:r>
      <w:r>
        <w:rPr>
          <w:rFonts w:ascii="Calibri" w:eastAsia="Calibri" w:hAnsi="Calibri" w:cs="Calibri"/>
          <w:color w:val="1E88E5"/>
        </w:rPr>
        <w:t>art. 10.2 de la Constitution espagnole</w:t>
      </w:r>
      <w:r>
        <w:rPr>
          <w:rFonts w:ascii="Calibri" w:eastAsia="Calibri" w:hAnsi="Calibri" w:cs="Calibri"/>
          <w:color w:val="1A1A1A"/>
        </w:rPr>
        <w:t xml:space="preserve"> et </w:t>
      </w:r>
      <w:r>
        <w:rPr>
          <w:rFonts w:ascii="Calibri" w:eastAsia="Calibri" w:hAnsi="Calibri" w:cs="Calibri"/>
          <w:color w:val="1E88E5"/>
        </w:rPr>
        <w:t>art. 16 de la Constitution portugaise de 1976</w:t>
      </w:r>
      <w:r>
        <w:rPr>
          <w:rFonts w:ascii="Calibri" w:eastAsia="Calibri" w:hAnsi="Calibri" w:cs="Calibri"/>
          <w:color w:val="1A1A1A"/>
        </w:rPr>
        <w:t xml:space="preserve"> (interprétation des libertés internes en conformité avec la Déclaration) ; </w:t>
      </w:r>
      <w:r>
        <w:rPr>
          <w:rFonts w:ascii="Calibri" w:eastAsia="Calibri" w:hAnsi="Calibri" w:cs="Calibri"/>
          <w:color w:val="1E88E5"/>
        </w:rPr>
        <w:t>art. 20 de la Constitution roumaine de 1991</w:t>
      </w:r>
      <w:r>
        <w:rPr>
          <w:rFonts w:ascii="Calibri" w:eastAsia="Calibri" w:hAnsi="Calibri" w:cs="Calibri"/>
          <w:color w:val="1A1A1A"/>
        </w:rPr>
        <w:t xml:space="preserve"> ; </w:t>
      </w:r>
      <w:r>
        <w:rPr>
          <w:rFonts w:ascii="Calibri" w:eastAsia="Calibri" w:hAnsi="Calibri" w:cs="Calibri"/>
          <w:color w:val="1E88E5"/>
        </w:rPr>
        <w:t>art. 5 de la Constitution d’Andorre</w:t>
      </w:r>
      <w:r>
        <w:rPr>
          <w:rFonts w:ascii="Calibri" w:eastAsia="Calibri" w:hAnsi="Calibri" w:cs="Calibri"/>
          <w:color w:val="1A1A1A"/>
        </w:rPr>
        <w:t xml:space="preserve"> : « </w:t>
      </w:r>
      <w:r>
        <w:rPr>
          <w:rFonts w:ascii="Calibri" w:eastAsia="Calibri" w:hAnsi="Calibri" w:cs="Calibri"/>
          <w:i/>
          <w:iCs/>
          <w:color w:val="1A1A1A"/>
        </w:rPr>
        <w:t>la Déclaration universelle des droits de l’homme est en vigueur en Andorre</w:t>
      </w:r>
      <w:r>
        <w:rPr>
          <w:rFonts w:ascii="Calibri" w:eastAsia="Calibri" w:hAnsi="Calibri" w:cs="Calibri"/>
          <w:color w:val="1A1A1A"/>
        </w:rPr>
        <w:t xml:space="preserve"> » — caractère contraignant direct.</w:t>
      </w:r>
    </w:p>
    <w:p w14:paraId="057DDB71" w14:textId="77777777" w:rsidR="00E0256F" w:rsidRDefault="00000000">
      <w:pPr>
        <w:pStyle w:val="Titre3"/>
        <w:spacing w:before="200" w:after="90"/>
      </w:pPr>
      <w:r>
        <w:rPr>
          <w:rFonts w:ascii="Calibri" w:eastAsia="Calibri" w:hAnsi="Calibri" w:cs="Calibri"/>
          <w:b/>
          <w:bCs/>
          <w:i/>
          <w:iCs/>
          <w:color w:val="5A5A5A"/>
          <w:sz w:val="21"/>
          <w:szCs w:val="21"/>
        </w:rPr>
        <w:t>1.3. Le Pacte international relatif aux droits civils et politiques</w:t>
      </w:r>
    </w:p>
    <w:p w14:paraId="485828AF"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Rédigé par la Commission des droits de l’homme ; adopté le </w:t>
      </w:r>
      <w:r>
        <w:rPr>
          <w:rFonts w:ascii="Calibri" w:eastAsia="Calibri" w:hAnsi="Calibri" w:cs="Calibri"/>
          <w:b/>
          <w:bCs/>
          <w:color w:val="1A1A1A"/>
        </w:rPr>
        <w:t>16 décembre 1966</w:t>
      </w:r>
      <w:r>
        <w:rPr>
          <w:rFonts w:ascii="Calibri" w:eastAsia="Calibri" w:hAnsi="Calibri" w:cs="Calibri"/>
          <w:color w:val="1A1A1A"/>
        </w:rPr>
        <w:t xml:space="preserve"> par la </w:t>
      </w:r>
      <w:r>
        <w:rPr>
          <w:rFonts w:ascii="Calibri" w:eastAsia="Calibri" w:hAnsi="Calibri" w:cs="Calibri"/>
          <w:color w:val="1E88E5"/>
        </w:rPr>
        <w:t>résolution 2200A (XXI)</w:t>
      </w:r>
      <w:r>
        <w:rPr>
          <w:rFonts w:ascii="Calibri" w:eastAsia="Calibri" w:hAnsi="Calibri" w:cs="Calibri"/>
          <w:color w:val="1A1A1A"/>
        </w:rPr>
        <w:t xml:space="preserve"> ; entré en vigueur le </w:t>
      </w:r>
      <w:r>
        <w:rPr>
          <w:rFonts w:ascii="Calibri" w:eastAsia="Calibri" w:hAnsi="Calibri" w:cs="Calibri"/>
          <w:b/>
          <w:bCs/>
          <w:color w:val="1A1A1A"/>
        </w:rPr>
        <w:t>23 mars 1976</w:t>
      </w:r>
      <w:r>
        <w:rPr>
          <w:rFonts w:ascii="Calibri" w:eastAsia="Calibri" w:hAnsi="Calibri" w:cs="Calibri"/>
          <w:color w:val="1A1A1A"/>
        </w:rPr>
        <w:t xml:space="preserve"> après le dépôt du 35e instrument de ratification ; ratifié par la France le </w:t>
      </w:r>
      <w:r>
        <w:rPr>
          <w:rFonts w:ascii="Calibri" w:eastAsia="Calibri" w:hAnsi="Calibri" w:cs="Calibri"/>
          <w:b/>
          <w:bCs/>
          <w:color w:val="1A1A1A"/>
        </w:rPr>
        <w:t>4 novembre 1980</w:t>
      </w:r>
      <w:r>
        <w:rPr>
          <w:rFonts w:ascii="Calibri" w:eastAsia="Calibri" w:hAnsi="Calibri" w:cs="Calibri"/>
          <w:color w:val="1A1A1A"/>
        </w:rPr>
        <w:t xml:space="preserve">. </w:t>
      </w:r>
      <w:r w:rsidRPr="008A29E1">
        <w:rPr>
          <w:rFonts w:ascii="Calibri" w:eastAsia="Calibri" w:hAnsi="Calibri" w:cs="Calibri"/>
          <w:b/>
          <w:bCs/>
          <w:color w:val="1A1A1A"/>
          <w:highlight w:val="yellow"/>
        </w:rPr>
        <w:t>Valeur juridique contraignante et effet direct</w:t>
      </w:r>
      <w:r>
        <w:rPr>
          <w:rFonts w:ascii="Calibri" w:eastAsia="Calibri" w:hAnsi="Calibri" w:cs="Calibri"/>
          <w:color w:val="1A1A1A"/>
        </w:rPr>
        <w:t xml:space="preserve"> permettant aux individus d’en invoquer la violation devant les juridictions internes françaises.</w:t>
      </w:r>
    </w:p>
    <w:p w14:paraId="791DA8F9"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Deux types de dispositions</w:t>
      </w:r>
      <w:r>
        <w:rPr>
          <w:rFonts w:ascii="Calibri" w:eastAsia="Calibri" w:hAnsi="Calibri" w:cs="Calibri"/>
          <w:color w:val="1A1A1A"/>
        </w:rPr>
        <w:t xml:space="preserve"> : </w:t>
      </w:r>
      <w:r>
        <w:rPr>
          <w:rFonts w:ascii="Calibri" w:eastAsia="Calibri" w:hAnsi="Calibri" w:cs="Calibri"/>
          <w:b/>
          <w:bCs/>
          <w:color w:val="1A1A1A"/>
        </w:rPr>
        <w:t>substantielles</w:t>
      </w:r>
      <w:r>
        <w:rPr>
          <w:rFonts w:ascii="Calibri" w:eastAsia="Calibri" w:hAnsi="Calibri" w:cs="Calibri"/>
          <w:color w:val="1A1A1A"/>
        </w:rPr>
        <w:t xml:space="preserve"> (liste de droits et libertés inhérents à la personne, et obligations positives et négatives incombant à l’État) et </w:t>
      </w:r>
      <w:r>
        <w:rPr>
          <w:rFonts w:ascii="Calibri" w:eastAsia="Calibri" w:hAnsi="Calibri" w:cs="Calibri"/>
          <w:b/>
          <w:bCs/>
          <w:color w:val="1A1A1A"/>
        </w:rPr>
        <w:t>organiques</w:t>
      </w:r>
      <w:r>
        <w:rPr>
          <w:rFonts w:ascii="Calibri" w:eastAsia="Calibri" w:hAnsi="Calibri" w:cs="Calibri"/>
          <w:color w:val="1A1A1A"/>
        </w:rPr>
        <w:t xml:space="preserve"> (institution du Comité des droits de l’homme).</w:t>
      </w:r>
    </w:p>
    <w:p w14:paraId="01E84BC7"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Droits protégés</w:t>
      </w:r>
      <w:r>
        <w:rPr>
          <w:rFonts w:ascii="Calibri" w:eastAsia="Calibri" w:hAnsi="Calibri" w:cs="Calibri"/>
          <w:color w:val="1A1A1A"/>
        </w:rPr>
        <w:t xml:space="preserve"> : droit des peuples à disposer d’eux-mêmes, interdiction de la discrimination, libertés physiques (vie, interdiction de la torture et des traitements inhumains ou dégradants, interdiction de l’esclavage, liberté et sûreté, interdiction de l’emprisonnement pour dette), droits procéduraux (procès équitable, non-rétroactivité des délits et des peines), reconnaissance de la personnalité juridique, vie privée et familiale, liberté de pensée, de conscience et de religion, liberté d’expression, réunion et association, mariage, protection de l’enfant, participation politique, égalité devant la loi, droits des minorités.</w:t>
      </w:r>
    </w:p>
    <w:p w14:paraId="47AFB363"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Deux articles hors catalogue</w:t>
      </w:r>
      <w:r>
        <w:rPr>
          <w:rFonts w:ascii="Calibri" w:eastAsia="Calibri" w:hAnsi="Calibri" w:cs="Calibri"/>
          <w:color w:val="1A1A1A"/>
        </w:rPr>
        <w:t xml:space="preserve"> : </w:t>
      </w:r>
      <w:r>
        <w:rPr>
          <w:rFonts w:ascii="Calibri" w:eastAsia="Calibri" w:hAnsi="Calibri" w:cs="Calibri"/>
          <w:color w:val="1E88E5"/>
        </w:rPr>
        <w:t>art. 4</w:t>
      </w:r>
      <w:r>
        <w:rPr>
          <w:rFonts w:ascii="Calibri" w:eastAsia="Calibri" w:hAnsi="Calibri" w:cs="Calibri"/>
          <w:color w:val="1A1A1A"/>
        </w:rPr>
        <w:t xml:space="preserve"> — processus de dérogation, subordonné à la </w:t>
      </w:r>
      <w:r>
        <w:rPr>
          <w:rFonts w:ascii="Calibri" w:eastAsia="Calibri" w:hAnsi="Calibri" w:cs="Calibri"/>
          <w:b/>
          <w:bCs/>
          <w:color w:val="1A1A1A"/>
        </w:rPr>
        <w:t>notification au Secrétaire général de l’ONU</w:t>
      </w:r>
      <w:r>
        <w:rPr>
          <w:rFonts w:ascii="Calibri" w:eastAsia="Calibri" w:hAnsi="Calibri" w:cs="Calibri"/>
          <w:color w:val="1A1A1A"/>
        </w:rPr>
        <w:t xml:space="preserve"> de l’existence d’un danger public exceptionnel menaçant l’existence de la nation, des dispositions auxquelles il est dérogé et de la levée des dérogations ; </w:t>
      </w:r>
      <w:r>
        <w:rPr>
          <w:rFonts w:ascii="Calibri" w:eastAsia="Calibri" w:hAnsi="Calibri" w:cs="Calibri"/>
          <w:color w:val="1E88E5"/>
        </w:rPr>
        <w:t>art. 46</w:t>
      </w:r>
      <w:r>
        <w:rPr>
          <w:rFonts w:ascii="Calibri" w:eastAsia="Calibri" w:hAnsi="Calibri" w:cs="Calibri"/>
          <w:color w:val="1A1A1A"/>
        </w:rPr>
        <w:t xml:space="preserve"> — clause de </w:t>
      </w:r>
      <w:r>
        <w:rPr>
          <w:rFonts w:ascii="Calibri" w:eastAsia="Calibri" w:hAnsi="Calibri" w:cs="Calibri"/>
          <w:b/>
          <w:bCs/>
          <w:color w:val="1A1A1A"/>
        </w:rPr>
        <w:t>compatibilité institutionnelle</w:t>
      </w:r>
      <w:r>
        <w:rPr>
          <w:rFonts w:ascii="Calibri" w:eastAsia="Calibri" w:hAnsi="Calibri" w:cs="Calibri"/>
          <w:color w:val="1A1A1A"/>
        </w:rPr>
        <w:t>, aucune disposition du Pacte ne portant atteinte au droit de la Charte des Nations unies.</w:t>
      </w:r>
    </w:p>
    <w:p w14:paraId="3A81A93F" w14:textId="77777777" w:rsidR="00E0256F" w:rsidRPr="008A29E1" w:rsidRDefault="00000000">
      <w:pPr>
        <w:pStyle w:val="Paragraphedeliste"/>
        <w:numPr>
          <w:ilvl w:val="0"/>
          <w:numId w:val="2"/>
        </w:numPr>
        <w:spacing w:after="70" w:line="264" w:lineRule="auto"/>
        <w:jc w:val="both"/>
      </w:pPr>
      <w:r>
        <w:rPr>
          <w:rFonts w:ascii="Calibri" w:eastAsia="Calibri" w:hAnsi="Calibri" w:cs="Calibri"/>
          <w:b/>
          <w:bCs/>
          <w:color w:val="1A1A1A"/>
        </w:rPr>
        <w:t>Deux protocoles facultatifs</w:t>
      </w:r>
      <w:r>
        <w:rPr>
          <w:rFonts w:ascii="Calibri" w:eastAsia="Calibri" w:hAnsi="Calibri" w:cs="Calibri"/>
          <w:color w:val="1A1A1A"/>
        </w:rPr>
        <w:t xml:space="preserve"> : le </w:t>
      </w:r>
      <w:r>
        <w:rPr>
          <w:rFonts w:ascii="Calibri" w:eastAsia="Calibri" w:hAnsi="Calibri" w:cs="Calibri"/>
          <w:color w:val="1E88E5"/>
        </w:rPr>
        <w:t>Protocole facultatif adopté par la résolution 2200A (XXI) du 16 décembre 1966</w:t>
      </w:r>
      <w:r>
        <w:rPr>
          <w:rFonts w:ascii="Calibri" w:eastAsia="Calibri" w:hAnsi="Calibri" w:cs="Calibri"/>
          <w:color w:val="1A1A1A"/>
        </w:rPr>
        <w:t xml:space="preserve">, instituant un mécanisme de </w:t>
      </w:r>
      <w:r>
        <w:rPr>
          <w:rFonts w:ascii="Calibri" w:eastAsia="Calibri" w:hAnsi="Calibri" w:cs="Calibri"/>
          <w:b/>
          <w:bCs/>
          <w:color w:val="1A1A1A"/>
        </w:rPr>
        <w:t>communications individuelles</w:t>
      </w:r>
      <w:r>
        <w:rPr>
          <w:rFonts w:ascii="Calibri" w:eastAsia="Calibri" w:hAnsi="Calibri" w:cs="Calibri"/>
          <w:color w:val="1A1A1A"/>
        </w:rPr>
        <w:t xml:space="preserve"> et habilitant le Comité des droits de l’homme à recevoir et examiner les plaintes — la France y a adhéré le </w:t>
      </w:r>
      <w:r>
        <w:rPr>
          <w:rFonts w:ascii="Calibri" w:eastAsia="Calibri" w:hAnsi="Calibri" w:cs="Calibri"/>
          <w:b/>
          <w:bCs/>
          <w:color w:val="1A1A1A"/>
        </w:rPr>
        <w:t>17 février 1984</w:t>
      </w:r>
      <w:r>
        <w:rPr>
          <w:rFonts w:ascii="Calibri" w:eastAsia="Calibri" w:hAnsi="Calibri" w:cs="Calibri"/>
          <w:color w:val="1A1A1A"/>
        </w:rPr>
        <w:t xml:space="preserve"> ; le </w:t>
      </w:r>
      <w:r>
        <w:rPr>
          <w:rFonts w:ascii="Calibri" w:eastAsia="Calibri" w:hAnsi="Calibri" w:cs="Calibri"/>
          <w:color w:val="1E88E5"/>
        </w:rPr>
        <w:t>Deuxième Protocole facultatif, résolution 44/128</w:t>
      </w:r>
      <w:r>
        <w:rPr>
          <w:rFonts w:ascii="Calibri" w:eastAsia="Calibri" w:hAnsi="Calibri" w:cs="Calibri"/>
          <w:color w:val="1A1A1A"/>
        </w:rPr>
        <w:t xml:space="preserve">, visant à abolir la peine de mort — la France y a adhéré le </w:t>
      </w:r>
      <w:r>
        <w:rPr>
          <w:rFonts w:ascii="Calibri" w:eastAsia="Calibri" w:hAnsi="Calibri" w:cs="Calibri"/>
          <w:b/>
          <w:bCs/>
          <w:color w:val="1A1A1A"/>
        </w:rPr>
        <w:t>2 octobre 2007</w:t>
      </w:r>
      <w:r>
        <w:rPr>
          <w:rFonts w:ascii="Calibri" w:eastAsia="Calibri" w:hAnsi="Calibri" w:cs="Calibri"/>
          <w:color w:val="1A1A1A"/>
        </w:rPr>
        <w:t>.</w:t>
      </w:r>
    </w:p>
    <w:p w14:paraId="2215D253" w14:textId="77777777" w:rsidR="008A29E1" w:rsidRDefault="008A29E1" w:rsidP="008A29E1">
      <w:pPr>
        <w:pStyle w:val="Paragraphedeliste"/>
        <w:spacing w:after="70" w:line="264" w:lineRule="auto"/>
        <w:ind w:left="340"/>
        <w:jc w:val="both"/>
      </w:pPr>
    </w:p>
    <w:p w14:paraId="1B469CEC" w14:textId="77777777" w:rsidR="00E0256F" w:rsidRDefault="00000000">
      <w:pPr>
        <w:pStyle w:val="Titre3"/>
        <w:spacing w:before="200" w:after="90"/>
      </w:pPr>
      <w:r>
        <w:rPr>
          <w:rFonts w:ascii="Calibri" w:eastAsia="Calibri" w:hAnsi="Calibri" w:cs="Calibri"/>
          <w:b/>
          <w:bCs/>
          <w:i/>
          <w:iCs/>
          <w:color w:val="5A5A5A"/>
          <w:sz w:val="21"/>
          <w:szCs w:val="21"/>
        </w:rPr>
        <w:lastRenderedPageBreak/>
        <w:t>1.4. Le Pacte international relatif aux droits économiques, sociaux et culturels</w:t>
      </w:r>
    </w:p>
    <w:p w14:paraId="7EFEC4B3"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Adopté le </w:t>
      </w:r>
      <w:r>
        <w:rPr>
          <w:rFonts w:ascii="Calibri" w:eastAsia="Calibri" w:hAnsi="Calibri" w:cs="Calibri"/>
          <w:b/>
          <w:bCs/>
          <w:color w:val="1A1A1A"/>
        </w:rPr>
        <w:t>16 décembre 1966</w:t>
      </w:r>
      <w:r>
        <w:rPr>
          <w:rFonts w:ascii="Calibri" w:eastAsia="Calibri" w:hAnsi="Calibri" w:cs="Calibri"/>
          <w:color w:val="1A1A1A"/>
        </w:rPr>
        <w:t xml:space="preserve"> par la </w:t>
      </w:r>
      <w:r>
        <w:rPr>
          <w:rFonts w:ascii="Calibri" w:eastAsia="Calibri" w:hAnsi="Calibri" w:cs="Calibri"/>
          <w:color w:val="1E88E5"/>
        </w:rPr>
        <w:t>résolution 2200A (XXI)</w:t>
      </w:r>
      <w:r>
        <w:rPr>
          <w:rFonts w:ascii="Calibri" w:eastAsia="Calibri" w:hAnsi="Calibri" w:cs="Calibri"/>
          <w:color w:val="1A1A1A"/>
        </w:rPr>
        <w:t xml:space="preserve"> ; entré en vigueur le </w:t>
      </w:r>
      <w:r>
        <w:rPr>
          <w:rFonts w:ascii="Calibri" w:eastAsia="Calibri" w:hAnsi="Calibri" w:cs="Calibri"/>
          <w:b/>
          <w:bCs/>
          <w:color w:val="1A1A1A"/>
        </w:rPr>
        <w:t>3 janvier 1976</w:t>
      </w:r>
      <w:r>
        <w:rPr>
          <w:rFonts w:ascii="Calibri" w:eastAsia="Calibri" w:hAnsi="Calibri" w:cs="Calibri"/>
          <w:color w:val="1A1A1A"/>
        </w:rPr>
        <w:t xml:space="preserve"> ; ratifié par la France le </w:t>
      </w:r>
      <w:r>
        <w:rPr>
          <w:rFonts w:ascii="Calibri" w:eastAsia="Calibri" w:hAnsi="Calibri" w:cs="Calibri"/>
          <w:b/>
          <w:bCs/>
          <w:color w:val="1A1A1A"/>
        </w:rPr>
        <w:t>4 novembre 1980</w:t>
      </w:r>
      <w:r>
        <w:rPr>
          <w:rFonts w:ascii="Calibri" w:eastAsia="Calibri" w:hAnsi="Calibri" w:cs="Calibri"/>
          <w:color w:val="1A1A1A"/>
        </w:rPr>
        <w:t>. Valeur contraignante et effet direct.</w:t>
      </w:r>
    </w:p>
    <w:p w14:paraId="0ECD055C"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Droits protégés</w:t>
      </w:r>
      <w:r>
        <w:rPr>
          <w:rFonts w:ascii="Calibri" w:eastAsia="Calibri" w:hAnsi="Calibri" w:cs="Calibri"/>
          <w:color w:val="1A1A1A"/>
        </w:rPr>
        <w:t xml:space="preserve"> : droit des peuples à disposer d’eux-mêmes (</w:t>
      </w:r>
      <w:r>
        <w:rPr>
          <w:rFonts w:ascii="Calibri" w:eastAsia="Calibri" w:hAnsi="Calibri" w:cs="Calibri"/>
          <w:color w:val="1E88E5"/>
        </w:rPr>
        <w:t>art. 1er identique</w:t>
      </w:r>
      <w:r>
        <w:rPr>
          <w:rFonts w:ascii="Calibri" w:eastAsia="Calibri" w:hAnsi="Calibri" w:cs="Calibri"/>
          <w:color w:val="1A1A1A"/>
        </w:rPr>
        <w:t xml:space="preserve"> à celui du PIDCP), interdiction de la discrimination, droit au travail dans des conditions dignes, droit de former un syndicat, droit à la sécurité sociale, protection et assistance aux familles, droit à un niveau de vie suffisant et à être à l’abri de la faim, droit à la santé, droit à l’éducation.</w:t>
      </w:r>
    </w:p>
    <w:p w14:paraId="6A535756"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Droits programmatoires »</w:t>
      </w:r>
      <w:r>
        <w:rPr>
          <w:rFonts w:ascii="Calibri" w:eastAsia="Calibri" w:hAnsi="Calibri" w:cs="Calibri"/>
          <w:color w:val="1A1A1A"/>
        </w:rPr>
        <w:t xml:space="preserve"> : ils nécessitent l’adoption par l’État de </w:t>
      </w:r>
      <w:r>
        <w:rPr>
          <w:rFonts w:ascii="Calibri" w:eastAsia="Calibri" w:hAnsi="Calibri" w:cs="Calibri"/>
          <w:b/>
          <w:bCs/>
          <w:color w:val="1A1A1A"/>
        </w:rPr>
        <w:t>politiques publiques spécifiques</w:t>
      </w:r>
      <w:r>
        <w:rPr>
          <w:rFonts w:ascii="Calibri" w:eastAsia="Calibri" w:hAnsi="Calibri" w:cs="Calibri"/>
          <w:color w:val="1A1A1A"/>
        </w:rPr>
        <w:t xml:space="preserve"> et sont ainsi des droits « à développer » ; leur effectivité dépend également du </w:t>
      </w:r>
      <w:r>
        <w:rPr>
          <w:rFonts w:ascii="Calibri" w:eastAsia="Calibri" w:hAnsi="Calibri" w:cs="Calibri"/>
          <w:b/>
          <w:bCs/>
          <w:color w:val="1A1A1A"/>
        </w:rPr>
        <w:t>contexte économique</w:t>
      </w:r>
      <w:r>
        <w:rPr>
          <w:rFonts w:ascii="Calibri" w:eastAsia="Calibri" w:hAnsi="Calibri" w:cs="Calibri"/>
          <w:color w:val="1A1A1A"/>
        </w:rPr>
        <w:t xml:space="preserve"> de l’État membre.</w:t>
      </w:r>
    </w:p>
    <w:p w14:paraId="1A4A71EF" w14:textId="77777777" w:rsidR="00E0256F" w:rsidRDefault="00000000">
      <w:pPr>
        <w:pStyle w:val="Paragraphedeliste"/>
        <w:numPr>
          <w:ilvl w:val="0"/>
          <w:numId w:val="2"/>
        </w:numPr>
        <w:spacing w:after="70" w:line="264" w:lineRule="auto"/>
        <w:jc w:val="both"/>
      </w:pPr>
      <w:r>
        <w:rPr>
          <w:rFonts w:ascii="Calibri" w:eastAsia="Calibri" w:hAnsi="Calibri" w:cs="Calibri"/>
          <w:color w:val="1E88E5"/>
        </w:rPr>
        <w:t>Protocole facultatif adopté le 10 décembre 2008</w:t>
      </w:r>
      <w:r>
        <w:rPr>
          <w:rFonts w:ascii="Calibri" w:eastAsia="Calibri" w:hAnsi="Calibri" w:cs="Calibri"/>
          <w:color w:val="1A1A1A"/>
        </w:rPr>
        <w:t xml:space="preserve">, ratifié par la France le </w:t>
      </w:r>
      <w:r>
        <w:rPr>
          <w:rFonts w:ascii="Calibri" w:eastAsia="Calibri" w:hAnsi="Calibri" w:cs="Calibri"/>
          <w:b/>
          <w:bCs/>
          <w:color w:val="1A1A1A"/>
        </w:rPr>
        <w:t>13 novembre 2014</w:t>
      </w:r>
      <w:r>
        <w:rPr>
          <w:rFonts w:ascii="Calibri" w:eastAsia="Calibri" w:hAnsi="Calibri" w:cs="Calibri"/>
          <w:color w:val="1A1A1A"/>
        </w:rPr>
        <w:t>, instituant le Comité des droits économiques et sociaux, compétent pour connaître de plaintes individuelles.</w:t>
      </w:r>
    </w:p>
    <w:p w14:paraId="3501A2AF" w14:textId="77777777" w:rsidR="00E0256F" w:rsidRDefault="00000000">
      <w:pPr>
        <w:pStyle w:val="Titre3"/>
        <w:spacing w:before="200" w:after="90"/>
      </w:pPr>
      <w:r>
        <w:rPr>
          <w:rFonts w:ascii="Calibri" w:eastAsia="Calibri" w:hAnsi="Calibri" w:cs="Calibri"/>
          <w:b/>
          <w:bCs/>
          <w:i/>
          <w:iCs/>
          <w:color w:val="5A5A5A"/>
          <w:sz w:val="21"/>
          <w:szCs w:val="21"/>
        </w:rPr>
        <w:t>1.5. Les traités spécialisés</w:t>
      </w:r>
    </w:p>
    <w:p w14:paraId="1ACAEAA5"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Sept conventions principales dotées d’un comité de suivi</w:t>
      </w:r>
      <w:r>
        <w:rPr>
          <w:rFonts w:ascii="Calibri" w:eastAsia="Calibri" w:hAnsi="Calibri" w:cs="Calibri"/>
          <w:color w:val="1A1A1A"/>
        </w:rPr>
        <w:t xml:space="preserve"> : </w:t>
      </w:r>
      <w:r>
        <w:rPr>
          <w:rFonts w:ascii="Calibri" w:eastAsia="Calibri" w:hAnsi="Calibri" w:cs="Calibri"/>
          <w:color w:val="1E88E5"/>
        </w:rPr>
        <w:t>Convention sur l’élimination de toutes les formes de discrimination raciale, 21 décembre 1965</w:t>
      </w:r>
      <w:r>
        <w:rPr>
          <w:rFonts w:ascii="Calibri" w:eastAsia="Calibri" w:hAnsi="Calibri" w:cs="Calibri"/>
          <w:color w:val="1A1A1A"/>
        </w:rPr>
        <w:t xml:space="preserve"> ; </w:t>
      </w:r>
      <w:r>
        <w:rPr>
          <w:rFonts w:ascii="Calibri" w:eastAsia="Calibri" w:hAnsi="Calibri" w:cs="Calibri"/>
          <w:color w:val="1E88E5"/>
        </w:rPr>
        <w:t>Convention sur l’élimination de la discrimination à l’égard des femmes, 18 décembre 1979</w:t>
      </w:r>
      <w:r>
        <w:rPr>
          <w:rFonts w:ascii="Calibri" w:eastAsia="Calibri" w:hAnsi="Calibri" w:cs="Calibri"/>
          <w:color w:val="1A1A1A"/>
        </w:rPr>
        <w:t xml:space="preserve"> ; </w:t>
      </w:r>
      <w:r>
        <w:rPr>
          <w:rFonts w:ascii="Calibri" w:eastAsia="Calibri" w:hAnsi="Calibri" w:cs="Calibri"/>
          <w:color w:val="1E88E5"/>
        </w:rPr>
        <w:t>Convention contre la torture et autres peines ou traitements cruels, inhumains ou dégradants, 10 décembre 1984</w:t>
      </w:r>
      <w:r>
        <w:rPr>
          <w:rFonts w:ascii="Calibri" w:eastAsia="Calibri" w:hAnsi="Calibri" w:cs="Calibri"/>
          <w:color w:val="1A1A1A"/>
        </w:rPr>
        <w:t xml:space="preserve"> ; </w:t>
      </w:r>
      <w:r>
        <w:rPr>
          <w:rFonts w:ascii="Calibri" w:eastAsia="Calibri" w:hAnsi="Calibri" w:cs="Calibri"/>
          <w:color w:val="1E88E5"/>
        </w:rPr>
        <w:t>Convention relative aux droits de l’enfant, 20 décembre 1989</w:t>
      </w:r>
      <w:r>
        <w:rPr>
          <w:rFonts w:ascii="Calibri" w:eastAsia="Calibri" w:hAnsi="Calibri" w:cs="Calibri"/>
          <w:color w:val="1A1A1A"/>
        </w:rPr>
        <w:t xml:space="preserve"> — quatre principes directeurs : non-discrimination, intérêt supérieur de l’enfant, droit de vivre, de survivre et de se développer, respect des opinions de l’enfant ; ratification universelle </w:t>
      </w:r>
      <w:r w:rsidRPr="008A29E1">
        <w:rPr>
          <w:rFonts w:ascii="Calibri" w:eastAsia="Calibri" w:hAnsi="Calibri" w:cs="Calibri"/>
          <w:b/>
          <w:bCs/>
          <w:color w:val="EE0000"/>
        </w:rPr>
        <w:t>à l’exception des États-Unis</w:t>
      </w:r>
      <w:r w:rsidRPr="008A29E1">
        <w:rPr>
          <w:rFonts w:ascii="Calibri" w:eastAsia="Calibri" w:hAnsi="Calibri" w:cs="Calibri"/>
          <w:color w:val="EE0000"/>
        </w:rPr>
        <w:t xml:space="preserve"> </w:t>
      </w:r>
      <w:r>
        <w:rPr>
          <w:rFonts w:ascii="Calibri" w:eastAsia="Calibri" w:hAnsi="Calibri" w:cs="Calibri"/>
          <w:color w:val="1A1A1A"/>
        </w:rPr>
        <w:t xml:space="preserve">; </w:t>
      </w:r>
      <w:r>
        <w:rPr>
          <w:rFonts w:ascii="Calibri" w:eastAsia="Calibri" w:hAnsi="Calibri" w:cs="Calibri"/>
          <w:color w:val="1E88E5"/>
        </w:rPr>
        <w:t>Convention internationale sur la protection des droits de tous les travailleurs migrants et des membres de leur famille, 18 décembre 1990</w:t>
      </w:r>
      <w:r>
        <w:rPr>
          <w:rFonts w:ascii="Calibri" w:eastAsia="Calibri" w:hAnsi="Calibri" w:cs="Calibri"/>
          <w:color w:val="1A1A1A"/>
        </w:rPr>
        <w:t xml:space="preserve"> ; </w:t>
      </w:r>
      <w:r>
        <w:rPr>
          <w:rFonts w:ascii="Calibri" w:eastAsia="Calibri" w:hAnsi="Calibri" w:cs="Calibri"/>
          <w:color w:val="1E88E5"/>
        </w:rPr>
        <w:t>Convention relative aux droits des personnes handicapées, 12 décembre 2006</w:t>
      </w:r>
      <w:r>
        <w:rPr>
          <w:rFonts w:ascii="Calibri" w:eastAsia="Calibri" w:hAnsi="Calibri" w:cs="Calibri"/>
          <w:color w:val="1A1A1A"/>
        </w:rPr>
        <w:t xml:space="preserve"> ; </w:t>
      </w:r>
      <w:r>
        <w:rPr>
          <w:rFonts w:ascii="Calibri" w:eastAsia="Calibri" w:hAnsi="Calibri" w:cs="Calibri"/>
          <w:color w:val="1E88E5"/>
        </w:rPr>
        <w:t>Convention internationale pour la protection de toutes les personnes contre les disparitions forcées, 20 décembre 2006</w:t>
      </w:r>
      <w:r>
        <w:rPr>
          <w:rFonts w:ascii="Calibri" w:eastAsia="Calibri" w:hAnsi="Calibri" w:cs="Calibri"/>
          <w:color w:val="1A1A1A"/>
        </w:rPr>
        <w:t>.</w:t>
      </w:r>
    </w:p>
    <w:p w14:paraId="759871F6"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Conventions sans comité d’experts</w:t>
      </w:r>
      <w:r>
        <w:rPr>
          <w:rFonts w:ascii="Calibri" w:eastAsia="Calibri" w:hAnsi="Calibri" w:cs="Calibri"/>
          <w:color w:val="1A1A1A"/>
        </w:rPr>
        <w:t xml:space="preserve"> : </w:t>
      </w:r>
      <w:r>
        <w:rPr>
          <w:rFonts w:ascii="Calibri" w:eastAsia="Calibri" w:hAnsi="Calibri" w:cs="Calibri"/>
          <w:color w:val="1E88E5"/>
        </w:rPr>
        <w:t>Convention relative au statut des apatrides, 28 septembre 1954</w:t>
      </w:r>
      <w:r>
        <w:rPr>
          <w:rFonts w:ascii="Calibri" w:eastAsia="Calibri" w:hAnsi="Calibri" w:cs="Calibri"/>
          <w:color w:val="1A1A1A"/>
        </w:rPr>
        <w:t xml:space="preserve"> ; </w:t>
      </w:r>
      <w:r>
        <w:rPr>
          <w:rFonts w:ascii="Calibri" w:eastAsia="Calibri" w:hAnsi="Calibri" w:cs="Calibri"/>
          <w:color w:val="1E88E5"/>
        </w:rPr>
        <w:t>Convention sur l’imprescriptibilité des crimes de guerre et des crimes contre l’humanité, 26 novembre 1968</w:t>
      </w:r>
      <w:r>
        <w:rPr>
          <w:rFonts w:ascii="Calibri" w:eastAsia="Calibri" w:hAnsi="Calibri" w:cs="Calibri"/>
          <w:color w:val="1A1A1A"/>
        </w:rPr>
        <w:t>.</w:t>
      </w:r>
    </w:p>
    <w:p w14:paraId="7458E925"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sidRPr="008A29E1">
        <w:rPr>
          <w:rFonts w:ascii="Calibri" w:eastAsia="Calibri" w:hAnsi="Calibri" w:cs="Calibri"/>
          <w:b/>
          <w:bCs/>
          <w:color w:val="1A1A1A"/>
          <w:highlight w:val="yellow"/>
        </w:rPr>
        <w:t>Actualité</w:t>
      </w:r>
      <w:r>
        <w:rPr>
          <w:rFonts w:ascii="Calibri" w:eastAsia="Calibri" w:hAnsi="Calibri" w:cs="Calibri"/>
          <w:b/>
          <w:bCs/>
          <w:color w:val="1A1A1A"/>
        </w:rPr>
        <w:t xml:space="preserve"> — vers une convention internationale sur les droits des personnes âgées</w:t>
      </w:r>
      <w:r>
        <w:rPr>
          <w:rFonts w:ascii="Calibri" w:eastAsia="Calibri" w:hAnsi="Calibri" w:cs="Calibri"/>
          <w:color w:val="1A1A1A"/>
        </w:rPr>
        <w:t xml:space="preserve"> : </w:t>
      </w:r>
      <w:r>
        <w:rPr>
          <w:rFonts w:ascii="Calibri" w:eastAsia="Calibri" w:hAnsi="Calibri" w:cs="Calibri"/>
          <w:color w:val="1E88E5"/>
        </w:rPr>
        <w:t>Conseil des droits de l’homme des Nations unies, résolution 58/13 du 3 avril 2025, A/HRC/RES/58/13</w:t>
      </w:r>
      <w:r>
        <w:rPr>
          <w:rFonts w:ascii="Calibri" w:eastAsia="Calibri" w:hAnsi="Calibri" w:cs="Calibri"/>
          <w:color w:val="1A1A1A"/>
        </w:rPr>
        <w:t xml:space="preserve">, créant un </w:t>
      </w:r>
      <w:r>
        <w:rPr>
          <w:rFonts w:ascii="Calibri" w:eastAsia="Calibri" w:hAnsi="Calibri" w:cs="Calibri"/>
          <w:b/>
          <w:bCs/>
          <w:color w:val="1A1A1A"/>
        </w:rPr>
        <w:t>groupe de travail intergouvernemental</w:t>
      </w:r>
      <w:r>
        <w:rPr>
          <w:rFonts w:ascii="Calibri" w:eastAsia="Calibri" w:hAnsi="Calibri" w:cs="Calibri"/>
          <w:color w:val="1A1A1A"/>
        </w:rPr>
        <w:t xml:space="preserve"> chargé d’élaborer un instrument international juridiquement contraignant relatif aux droits humains des personnes âgées. Constat fondateur : les conventions existantes ne permettent pas de prendre suffisamment en compte les difficultés propres au vieillissement — discriminations fondées sur l’âge, atteintes à l’autonomie, accès aux soins et à la protection sociale, violences, exclusion numérique. </w:t>
      </w:r>
      <w:r w:rsidRPr="008A29E1">
        <w:rPr>
          <w:rFonts w:ascii="Calibri" w:eastAsia="Calibri" w:hAnsi="Calibri" w:cs="Calibri"/>
          <w:b/>
          <w:bCs/>
          <w:color w:val="1A1A1A"/>
          <w:highlight w:val="yellow"/>
        </w:rPr>
        <w:t>À retenir</w:t>
      </w:r>
      <w:r>
        <w:rPr>
          <w:rFonts w:ascii="Calibri" w:eastAsia="Calibri" w:hAnsi="Calibri" w:cs="Calibri"/>
          <w:color w:val="1A1A1A"/>
        </w:rPr>
        <w:t xml:space="preserve"> : il n’existe pas encore de convention universelle spécifiquement consacrée aux personnes âgées ; la résolution de 2025 marque le passage d’une réflexion sur l’opportunité d’un instrument à un </w:t>
      </w:r>
      <w:r>
        <w:rPr>
          <w:rFonts w:ascii="Calibri" w:eastAsia="Calibri" w:hAnsi="Calibri" w:cs="Calibri"/>
          <w:b/>
          <w:bCs/>
          <w:color w:val="1A1A1A"/>
        </w:rPr>
        <w:t>processus formel d’élaboration</w:t>
      </w:r>
      <w:r>
        <w:rPr>
          <w:rFonts w:ascii="Calibri" w:eastAsia="Calibri" w:hAnsi="Calibri" w:cs="Calibri"/>
          <w:color w:val="1A1A1A"/>
        </w:rPr>
        <w:t>. Travaux poursuivis en 2026.</w:t>
      </w:r>
    </w:p>
    <w:p w14:paraId="11F5172C" w14:textId="77777777" w:rsidR="00E0256F" w:rsidRDefault="00000000">
      <w:pPr>
        <w:pStyle w:val="Titre2"/>
        <w:spacing w:before="280" w:after="120"/>
      </w:pPr>
      <w:r>
        <w:rPr>
          <w:rFonts w:ascii="Calibri" w:eastAsia="Calibri" w:hAnsi="Calibri" w:cs="Calibri"/>
          <w:b/>
          <w:bCs/>
          <w:color w:val="1A1A1A"/>
          <w:sz w:val="24"/>
          <w:szCs w:val="24"/>
        </w:rPr>
        <w:t>2. Débats doctrinaux &amp; critiques</w:t>
      </w:r>
    </w:p>
    <w:p w14:paraId="0286A7AA"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 critique de l’ineffectivité</w:t>
      </w:r>
      <w:r>
        <w:rPr>
          <w:rFonts w:ascii="Calibri" w:eastAsia="Calibri" w:hAnsi="Calibri" w:cs="Calibri"/>
          <w:color w:val="1A1A1A"/>
        </w:rPr>
        <w:t xml:space="preserve"> : absence de caractère contraignant de la Déclaration, absence de sanction, absence de mécanisme de contrôle. Réponse : la Déclaration est la </w:t>
      </w:r>
      <w:r>
        <w:rPr>
          <w:rFonts w:ascii="Calibri" w:eastAsia="Calibri" w:hAnsi="Calibri" w:cs="Calibri"/>
          <w:b/>
          <w:bCs/>
          <w:color w:val="1A1A1A"/>
        </w:rPr>
        <w:t>source d’inspiration</w:t>
      </w:r>
      <w:r>
        <w:rPr>
          <w:rFonts w:ascii="Calibri" w:eastAsia="Calibri" w:hAnsi="Calibri" w:cs="Calibri"/>
          <w:color w:val="1A1A1A"/>
        </w:rPr>
        <w:t xml:space="preserve"> du système onusien et des systèmes régionaux, et son caractère non contraignant permet paradoxalement aux États de s’y référer sans la crainte d’une répression internationale — c’est un </w:t>
      </w:r>
      <w:r>
        <w:rPr>
          <w:rFonts w:ascii="Calibri" w:eastAsia="Calibri" w:hAnsi="Calibri" w:cs="Calibri"/>
          <w:b/>
          <w:bCs/>
          <w:color w:val="1A1A1A"/>
        </w:rPr>
        <w:t>instrument d’application souple</w:t>
      </w:r>
      <w:r>
        <w:rPr>
          <w:rFonts w:ascii="Calibri" w:eastAsia="Calibri" w:hAnsi="Calibri" w:cs="Calibri"/>
          <w:color w:val="1A1A1A"/>
        </w:rPr>
        <w:t>.</w:t>
      </w:r>
    </w:p>
    <w:p w14:paraId="02DACC79"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 critique de l’individualisme</w:t>
      </w:r>
      <w:r>
        <w:rPr>
          <w:rFonts w:ascii="Calibri" w:eastAsia="Calibri" w:hAnsi="Calibri" w:cs="Calibri"/>
          <w:color w:val="1A1A1A"/>
        </w:rPr>
        <w:t xml:space="preserve"> : la Déclaration limite la référence aux devoirs de l’individu envers la société, ce qui lui confère un esprit individualiste contesté, notamment par les traditions communautaires.</w:t>
      </w:r>
    </w:p>
    <w:p w14:paraId="1EE2FBC7"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 critique de la fragmentation</w:t>
      </w:r>
      <w:r>
        <w:rPr>
          <w:rFonts w:ascii="Calibri" w:eastAsia="Calibri" w:hAnsi="Calibri" w:cs="Calibri"/>
          <w:color w:val="1A1A1A"/>
        </w:rPr>
        <w:t xml:space="preserve"> : l’existence de deux Pactes protégeant chacun une « génération » de droits correspond à deux visions de la protection humaine — les droits civils et politiques représentant davantage l’idéal libéral occidental, les droits économiques, sociaux et culturels se rapprochant des idéaux du bloc soviétique. Cette dualité pourrait faire penser à un </w:t>
      </w:r>
      <w:r>
        <w:rPr>
          <w:rFonts w:ascii="Calibri" w:eastAsia="Calibri" w:hAnsi="Calibri" w:cs="Calibri"/>
          <w:b/>
          <w:bCs/>
          <w:color w:val="1A1A1A"/>
        </w:rPr>
        <w:t>cloisonnement</w:t>
      </w:r>
      <w:r>
        <w:rPr>
          <w:rFonts w:ascii="Calibri" w:eastAsia="Calibri" w:hAnsi="Calibri" w:cs="Calibri"/>
          <w:color w:val="1A1A1A"/>
        </w:rPr>
        <w:t xml:space="preserve"> contraire à l’idéal d’interdépendance affirmé par la Déclaration.</w:t>
      </w:r>
    </w:p>
    <w:p w14:paraId="04E1C627"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Le démenti prétorien</w:t>
      </w:r>
      <w:r>
        <w:rPr>
          <w:rFonts w:ascii="Calibri" w:eastAsia="Calibri" w:hAnsi="Calibri" w:cs="Calibri"/>
          <w:color w:val="1A1A1A"/>
        </w:rPr>
        <w:t xml:space="preserve"> : le travail des Comités ne conforte pas ce sentiment. Ils vont au-delà, que ce soit dans leurs observations générales ou dans leur fonction quasi-contentieuse, en consacrant par exemple le </w:t>
      </w:r>
      <w:r>
        <w:rPr>
          <w:rFonts w:ascii="Calibri" w:eastAsia="Calibri" w:hAnsi="Calibri" w:cs="Calibri"/>
          <w:b/>
          <w:bCs/>
          <w:color w:val="1A1A1A"/>
        </w:rPr>
        <w:t>volet économique et social du droit à la vie</w:t>
      </w:r>
      <w:r>
        <w:rPr>
          <w:rFonts w:ascii="Calibri" w:eastAsia="Calibri" w:hAnsi="Calibri" w:cs="Calibri"/>
          <w:color w:val="1A1A1A"/>
        </w:rPr>
        <w:t xml:space="preserve"> dans le cadre des droits civils et politiques (</w:t>
      </w:r>
      <w:r>
        <w:rPr>
          <w:rFonts w:ascii="Calibri" w:eastAsia="Calibri" w:hAnsi="Calibri" w:cs="Calibri"/>
          <w:color w:val="E91E63"/>
        </w:rPr>
        <w:t>CDH, 20 septembre 2019, Cáceres c. Paraguay, n° 2751/2016</w:t>
      </w:r>
      <w:r>
        <w:rPr>
          <w:rFonts w:ascii="Calibri" w:eastAsia="Calibri" w:hAnsi="Calibri" w:cs="Calibri"/>
          <w:color w:val="1A1A1A"/>
        </w:rPr>
        <w:t>).</w:t>
      </w:r>
    </w:p>
    <w:p w14:paraId="647B6F3A"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La question des réserves</w:t>
      </w:r>
      <w:r>
        <w:rPr>
          <w:rFonts w:ascii="Calibri" w:eastAsia="Calibri" w:hAnsi="Calibri" w:cs="Calibri"/>
          <w:color w:val="1A1A1A"/>
        </w:rPr>
        <w:t xml:space="preserve"> : comme pour tout traité international, l’État peut en émettre au moment de la ratification. Elles constituent un </w:t>
      </w:r>
      <w:r>
        <w:rPr>
          <w:rFonts w:ascii="Calibri" w:eastAsia="Calibri" w:hAnsi="Calibri" w:cs="Calibri"/>
          <w:b/>
          <w:bCs/>
          <w:color w:val="1A1A1A"/>
        </w:rPr>
        <w:t>réel frein</w:t>
      </w:r>
      <w:r>
        <w:rPr>
          <w:rFonts w:ascii="Calibri" w:eastAsia="Calibri" w:hAnsi="Calibri" w:cs="Calibri"/>
          <w:color w:val="1A1A1A"/>
        </w:rPr>
        <w:t xml:space="preserve"> à la mise en œuvre des conventions onusiennes. </w:t>
      </w:r>
      <w:r w:rsidRPr="00F43485">
        <w:rPr>
          <w:rFonts w:ascii="Calibri" w:eastAsia="Calibri" w:hAnsi="Calibri" w:cs="Calibri"/>
          <w:b/>
          <w:bCs/>
          <w:color w:val="EE0000"/>
        </w:rPr>
        <w:t>Limite</w:t>
      </w:r>
      <w:r w:rsidRPr="00F43485">
        <w:rPr>
          <w:rFonts w:ascii="Calibri" w:eastAsia="Calibri" w:hAnsi="Calibri" w:cs="Calibri"/>
          <w:color w:val="EE0000"/>
        </w:rPr>
        <w:t xml:space="preserve"> : elles doivent être compatibles avec l’objet et le but du traité et peuvent être </w:t>
      </w:r>
      <w:r w:rsidRPr="00F43485">
        <w:rPr>
          <w:rFonts w:ascii="Calibri" w:eastAsia="Calibri" w:hAnsi="Calibri" w:cs="Calibri"/>
          <w:b/>
          <w:bCs/>
          <w:color w:val="EE0000"/>
        </w:rPr>
        <w:t>requalifiées</w:t>
      </w:r>
      <w:r w:rsidRPr="00F43485">
        <w:rPr>
          <w:rFonts w:ascii="Calibri" w:eastAsia="Calibri" w:hAnsi="Calibri" w:cs="Calibri"/>
          <w:color w:val="EE0000"/>
        </w:rPr>
        <w:t xml:space="preserve"> par les organes de contrôle.</w:t>
      </w:r>
    </w:p>
    <w:p w14:paraId="6E66F296" w14:textId="77777777" w:rsidR="00E0256F" w:rsidRDefault="00000000">
      <w:pPr>
        <w:pStyle w:val="Titre2"/>
        <w:spacing w:before="280" w:after="120"/>
      </w:pPr>
      <w:r>
        <w:rPr>
          <w:rFonts w:ascii="Calibri" w:eastAsia="Calibri" w:hAnsi="Calibri" w:cs="Calibri"/>
          <w:b/>
          <w:bCs/>
          <w:color w:val="1A1A1A"/>
          <w:sz w:val="24"/>
          <w:szCs w:val="24"/>
        </w:rPr>
        <w:t>3. Dispositif « Grand Oral »</w:t>
      </w:r>
    </w:p>
    <w:p w14:paraId="7E75619E" w14:textId="77777777" w:rsidR="00E0256F" w:rsidRDefault="00000000">
      <w:pPr>
        <w:pStyle w:val="Titre3"/>
        <w:spacing w:before="200" w:after="90"/>
      </w:pPr>
      <w:r>
        <w:rPr>
          <w:rFonts w:ascii="Calibri" w:eastAsia="Calibri" w:hAnsi="Calibri" w:cs="Calibri"/>
          <w:b/>
          <w:bCs/>
          <w:i/>
          <w:iCs/>
          <w:color w:val="5A5A5A"/>
          <w:sz w:val="21"/>
          <w:szCs w:val="21"/>
        </w:rPr>
        <w:t>3.1. Trois relances / questions pièges</w:t>
      </w:r>
    </w:p>
    <w:p w14:paraId="782EF7A3"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La Déclaration universelle a-t-elle une valeur juridique ? »</w:t>
      </w:r>
      <w:r>
        <w:rPr>
          <w:rFonts w:ascii="Calibri" w:eastAsia="Calibri" w:hAnsi="Calibri" w:cs="Calibri"/>
          <w:color w:val="1A1A1A"/>
        </w:rPr>
        <w:t xml:space="preserve"> — Réponse en trois niveaux : </w:t>
      </w:r>
      <w:r>
        <w:rPr>
          <w:rFonts w:ascii="Calibri" w:eastAsia="Calibri" w:hAnsi="Calibri" w:cs="Calibri"/>
          <w:b/>
          <w:bCs/>
          <w:color w:val="1A1A1A"/>
        </w:rPr>
        <w:t>en droit international</w:t>
      </w:r>
      <w:r>
        <w:rPr>
          <w:rFonts w:ascii="Calibri" w:eastAsia="Calibri" w:hAnsi="Calibri" w:cs="Calibri"/>
          <w:color w:val="1A1A1A"/>
        </w:rPr>
        <w:t xml:space="preserve">, non — c’est une résolution de l’Assemblée générale ; </w:t>
      </w:r>
      <w:r>
        <w:rPr>
          <w:rFonts w:ascii="Calibri" w:eastAsia="Calibri" w:hAnsi="Calibri" w:cs="Calibri"/>
          <w:b/>
          <w:bCs/>
          <w:color w:val="1A1A1A"/>
        </w:rPr>
        <w:t>en droit interne</w:t>
      </w:r>
      <w:r>
        <w:rPr>
          <w:rFonts w:ascii="Calibri" w:eastAsia="Calibri" w:hAnsi="Calibri" w:cs="Calibri"/>
          <w:color w:val="1A1A1A"/>
        </w:rPr>
        <w:t>, cela dépend du système — contraignante en Andorre, norme d’interprétation en Espagne, au Portugal et en Roumanie, dépourvue d’effet en France (</w:t>
      </w:r>
      <w:r>
        <w:rPr>
          <w:rFonts w:ascii="Calibri" w:eastAsia="Calibri" w:hAnsi="Calibri" w:cs="Calibri"/>
          <w:color w:val="E91E63"/>
        </w:rPr>
        <w:t>Élections de Nolay</w:t>
      </w:r>
      <w:r>
        <w:rPr>
          <w:rFonts w:ascii="Calibri" w:eastAsia="Calibri" w:hAnsi="Calibri" w:cs="Calibri"/>
          <w:color w:val="1A1A1A"/>
        </w:rPr>
        <w:t xml:space="preserve">) ; </w:t>
      </w:r>
      <w:r>
        <w:rPr>
          <w:rFonts w:ascii="Calibri" w:eastAsia="Calibri" w:hAnsi="Calibri" w:cs="Calibri"/>
          <w:b/>
          <w:bCs/>
          <w:color w:val="1A1A1A"/>
        </w:rPr>
        <w:t>devant les juridictions régionales</w:t>
      </w:r>
      <w:r>
        <w:rPr>
          <w:rFonts w:ascii="Calibri" w:eastAsia="Calibri" w:hAnsi="Calibri" w:cs="Calibri"/>
          <w:color w:val="1A1A1A"/>
        </w:rPr>
        <w:t>, source d’inspiration (</w:t>
      </w:r>
      <w:r>
        <w:rPr>
          <w:rFonts w:ascii="Calibri" w:eastAsia="Calibri" w:hAnsi="Calibri" w:cs="Calibri"/>
          <w:color w:val="E91E63"/>
        </w:rPr>
        <w:t>Magyar Helsinki Bizottság</w:t>
      </w:r>
      <w:r>
        <w:rPr>
          <w:rFonts w:ascii="Calibri" w:eastAsia="Calibri" w:hAnsi="Calibri" w:cs="Calibri"/>
          <w:color w:val="1A1A1A"/>
        </w:rPr>
        <w:t>) voire instrument contraignant (</w:t>
      </w:r>
      <w:r>
        <w:rPr>
          <w:rFonts w:ascii="Calibri" w:eastAsia="Calibri" w:hAnsi="Calibri" w:cs="Calibri"/>
          <w:color w:val="E91E63"/>
        </w:rPr>
        <w:t>Ochieng Anudo</w:t>
      </w:r>
      <w:r>
        <w:rPr>
          <w:rFonts w:ascii="Calibri" w:eastAsia="Calibri" w:hAnsi="Calibri" w:cs="Calibri"/>
          <w:color w:val="1A1A1A"/>
        </w:rPr>
        <w:t>).</w:t>
      </w:r>
    </w:p>
    <w:p w14:paraId="3CDF1131"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Pourquoi deux Pactes plutôt qu’un seul instrument ? »</w:t>
      </w:r>
      <w:r>
        <w:rPr>
          <w:rFonts w:ascii="Calibri" w:eastAsia="Calibri" w:hAnsi="Calibri" w:cs="Calibri"/>
          <w:color w:val="1A1A1A"/>
        </w:rPr>
        <w:t xml:space="preserve"> — En raison des clivages idéologiques de l’époque : l’Union soviétique et ses alliés mettant l’accent sur les droits économiques, le bloc occidental privilégiant les droits civils et politiques, l’adoption d’un instrument unique était impossible. Ajouter la différence de régime d’obligation — moyens / résultat — qui en découle.</w:t>
      </w:r>
    </w:p>
    <w:p w14:paraId="54A34AB5"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Les réserves vident-elles les conventions onusiennes de leur substance ? »</w:t>
      </w:r>
      <w:r>
        <w:rPr>
          <w:rFonts w:ascii="Calibri" w:eastAsia="Calibri" w:hAnsi="Calibri" w:cs="Calibri"/>
          <w:color w:val="1A1A1A"/>
        </w:rPr>
        <w:t xml:space="preserve"> — Argumenter dans les deux sens : oui en pratique (CEDAW, CIDE) ; non en droit (compatibilité avec l’objet et le but du traité, contrôle par les organes — </w:t>
      </w:r>
      <w:r>
        <w:rPr>
          <w:rFonts w:ascii="Calibri" w:eastAsia="Calibri" w:hAnsi="Calibri" w:cs="Calibri"/>
          <w:color w:val="E91E63"/>
        </w:rPr>
        <w:t>Belilos</w:t>
      </w:r>
      <w:r>
        <w:rPr>
          <w:rFonts w:ascii="Calibri" w:eastAsia="Calibri" w:hAnsi="Calibri" w:cs="Calibri"/>
          <w:color w:val="1A1A1A"/>
        </w:rPr>
        <w:t>, et interdiction pure et simple des réserves dans certains protocoles facultatifs).</w:t>
      </w:r>
    </w:p>
    <w:p w14:paraId="1775EDA7" w14:textId="77777777" w:rsidR="00E0256F" w:rsidRDefault="00000000">
      <w:pPr>
        <w:pStyle w:val="Titre3"/>
        <w:spacing w:before="200" w:after="90"/>
      </w:pPr>
      <w:r>
        <w:rPr>
          <w:rFonts w:ascii="Calibri" w:eastAsia="Calibri" w:hAnsi="Calibri" w:cs="Calibri"/>
          <w:b/>
          <w:bCs/>
          <w:i/>
          <w:iCs/>
          <w:color w:val="5A5A5A"/>
          <w:sz w:val="21"/>
          <w:szCs w:val="21"/>
        </w:rPr>
        <w:t>3.2. Sujets d’exposé rattachables</w:t>
      </w:r>
    </w:p>
    <w:p w14:paraId="222AE8BA"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Soutenez que la Déclaration universelle des droits de l’homme contribue à la protection des droits humains malgré son caractère non contraignant » (sujet d’argumentation expressément proposé par le fascicule).</w:t>
      </w:r>
    </w:p>
    <w:p w14:paraId="632EDEDE"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La Charte internationale des droits de l’homme » ; « Les Pactes de 1966 ».</w:t>
      </w:r>
    </w:p>
    <w:p w14:paraId="1828C670"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L’effectivité du droit international des droits humains » ; « Les réserves aux traités de droits humains ».</w:t>
      </w:r>
    </w:p>
    <w:p w14:paraId="6F517DB8"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La protection catégorielle des droits humains » ; « Les droits des personnes âgées ».</w:t>
      </w:r>
    </w:p>
    <w:p w14:paraId="2450DD2D" w14:textId="77777777" w:rsidR="00E0256F" w:rsidRDefault="00000000">
      <w:pPr>
        <w:pStyle w:val="Titre3"/>
        <w:spacing w:before="200" w:after="90"/>
      </w:pPr>
      <w:r>
        <w:rPr>
          <w:rFonts w:ascii="Calibri" w:eastAsia="Calibri" w:hAnsi="Calibri" w:cs="Calibri"/>
          <w:b/>
          <w:bCs/>
          <w:i/>
          <w:iCs/>
          <w:color w:val="5A5A5A"/>
          <w:sz w:val="21"/>
          <w:szCs w:val="21"/>
        </w:rPr>
        <w:t>3.3. Angles morts — en question / réponse</w:t>
      </w:r>
    </w:p>
    <w:p w14:paraId="4D41DF63"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Q. La DUDH est-elle un traité ?</w:t>
      </w:r>
      <w:r>
        <w:rPr>
          <w:rFonts w:ascii="Calibri" w:eastAsia="Calibri" w:hAnsi="Calibri" w:cs="Calibri"/>
          <w:color w:val="1A1A1A"/>
        </w:rPr>
        <w:t xml:space="preserve"> — Non : une </w:t>
      </w:r>
      <w:r>
        <w:rPr>
          <w:rFonts w:ascii="Calibri" w:eastAsia="Calibri" w:hAnsi="Calibri" w:cs="Calibri"/>
          <w:b/>
          <w:bCs/>
          <w:color w:val="1A1A1A"/>
        </w:rPr>
        <w:t>résolution</w:t>
      </w:r>
      <w:r>
        <w:rPr>
          <w:rFonts w:ascii="Calibri" w:eastAsia="Calibri" w:hAnsi="Calibri" w:cs="Calibri"/>
          <w:color w:val="1A1A1A"/>
        </w:rPr>
        <w:t xml:space="preserve"> de l’Assemblée générale (217 (III) A). Confondre les deux est l’erreur la plus sanctionnée sur cette fiche.</w:t>
      </w:r>
    </w:p>
    <w:p w14:paraId="7323C336"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Q. Les deux Pactes ont-ils été adoptés le même jour ?</w:t>
      </w:r>
      <w:r>
        <w:rPr>
          <w:rFonts w:ascii="Calibri" w:eastAsia="Calibri" w:hAnsi="Calibri" w:cs="Calibri"/>
          <w:color w:val="1A1A1A"/>
        </w:rPr>
        <w:t xml:space="preserve"> — Oui, le </w:t>
      </w:r>
      <w:r>
        <w:rPr>
          <w:rFonts w:ascii="Calibri" w:eastAsia="Calibri" w:hAnsi="Calibri" w:cs="Calibri"/>
          <w:b/>
          <w:bCs/>
          <w:color w:val="1A1A1A"/>
        </w:rPr>
        <w:t>16 décembre 1966</w:t>
      </w:r>
      <w:r>
        <w:rPr>
          <w:rFonts w:ascii="Calibri" w:eastAsia="Calibri" w:hAnsi="Calibri" w:cs="Calibri"/>
          <w:color w:val="1A1A1A"/>
        </w:rPr>
        <w:t>, par la même résolution 2200A (XXI) ; mais leurs entrées en vigueur diffèrent (3 janvier 1976 pour le PIDESC, 23 mars 1976 pour le PIDCP).</w:t>
      </w:r>
    </w:p>
    <w:p w14:paraId="3E04DE30"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Q. La Convention relative aux droits de l’enfant est-elle universellement ratifiée ?</w:t>
      </w:r>
      <w:r>
        <w:rPr>
          <w:rFonts w:ascii="Calibri" w:eastAsia="Calibri" w:hAnsi="Calibri" w:cs="Calibri"/>
          <w:color w:val="1A1A1A"/>
        </w:rPr>
        <w:t xml:space="preserve"> — Presque : </w:t>
      </w:r>
      <w:r>
        <w:rPr>
          <w:rFonts w:ascii="Calibri" w:eastAsia="Calibri" w:hAnsi="Calibri" w:cs="Calibri"/>
          <w:b/>
          <w:bCs/>
          <w:color w:val="1A1A1A"/>
        </w:rPr>
        <w:t>à l’exception des États-Unis</w:t>
      </w:r>
      <w:r>
        <w:rPr>
          <w:rFonts w:ascii="Calibri" w:eastAsia="Calibri" w:hAnsi="Calibri" w:cs="Calibri"/>
          <w:color w:val="1A1A1A"/>
        </w:rPr>
        <w:t>. C’est le seul exemple à citer.</w:t>
      </w:r>
    </w:p>
    <w:p w14:paraId="5BCC9CBF"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Q. La DUDH est-elle invocable devant le juge français ?</w:t>
      </w:r>
      <w:r>
        <w:rPr>
          <w:rFonts w:ascii="Calibri" w:eastAsia="Calibri" w:hAnsi="Calibri" w:cs="Calibri"/>
          <w:color w:val="1A1A1A"/>
        </w:rPr>
        <w:t xml:space="preserve"> — Non (</w:t>
      </w:r>
      <w:r>
        <w:rPr>
          <w:rFonts w:ascii="Calibri" w:eastAsia="Calibri" w:hAnsi="Calibri" w:cs="Calibri"/>
          <w:color w:val="E91E63"/>
        </w:rPr>
        <w:t>CE, 18 avril 1951, Élections de Nolay</w:t>
      </w:r>
      <w:r>
        <w:rPr>
          <w:rFonts w:ascii="Calibri" w:eastAsia="Calibri" w:hAnsi="Calibri" w:cs="Calibri"/>
          <w:color w:val="1A1A1A"/>
        </w:rPr>
        <w:t>). En revanche, les deux Pactes le sont, disposant d’un effet direct.</w:t>
      </w:r>
    </w:p>
    <w:p w14:paraId="53A625E6"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Q. Existe-t-il une convention onusienne sur les personnes âgées ?</w:t>
      </w:r>
      <w:r>
        <w:rPr>
          <w:rFonts w:ascii="Calibri" w:eastAsia="Calibri" w:hAnsi="Calibri" w:cs="Calibri"/>
          <w:color w:val="1A1A1A"/>
        </w:rPr>
        <w:t xml:space="preserve"> — Pas encore ; un groupe de travail intergouvernemental a été créé le 3 avril 2025 pour en élaborer une.</w:t>
      </w:r>
    </w:p>
    <w:p w14:paraId="2808D294" w14:textId="77777777" w:rsidR="00E0256F" w:rsidRDefault="00000000">
      <w:r>
        <w:br w:type="page"/>
      </w:r>
    </w:p>
    <w:p w14:paraId="7583526D" w14:textId="77777777" w:rsidR="00E0256F"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FICHE N° 14 — LE CONSEIL DE L’EUROPE ET LA CONVENTION EUROPÉENNE DES DROITS DE L’HOMME</w:t>
      </w:r>
    </w:p>
    <w:p w14:paraId="49FE178F" w14:textId="77777777" w:rsidR="00E0256F" w:rsidRDefault="00000000">
      <w:pPr>
        <w:pStyle w:val="Titre2"/>
        <w:spacing w:before="280" w:after="120"/>
      </w:pPr>
      <w:r>
        <w:rPr>
          <w:rFonts w:ascii="Calibri" w:eastAsia="Calibri" w:hAnsi="Calibri" w:cs="Calibri"/>
          <w:b/>
          <w:bCs/>
          <w:color w:val="1A1A1A"/>
          <w:sz w:val="24"/>
          <w:szCs w:val="24"/>
        </w:rPr>
        <w:t>◆ FICHE-MÉMOIRE — à réviser en trois minutes</w:t>
      </w:r>
    </w:p>
    <w:p w14:paraId="33DA9B72" w14:textId="77777777" w:rsidR="00E0256F" w:rsidRDefault="00000000">
      <w:pPr>
        <w:pStyle w:val="Titre3"/>
        <w:spacing w:before="200" w:after="90"/>
      </w:pPr>
      <w:r>
        <w:rPr>
          <w:rFonts w:ascii="Calibri" w:eastAsia="Calibri" w:hAnsi="Calibri" w:cs="Calibri"/>
          <w:b/>
          <w:bCs/>
          <w:i/>
          <w:iCs/>
          <w:color w:val="5A5A5A"/>
          <w:sz w:val="21"/>
          <w:szCs w:val="21"/>
        </w:rPr>
        <w:t>Accroche</w:t>
      </w:r>
    </w:p>
    <w:p w14:paraId="648A3DBA" w14:textId="77777777" w:rsidR="00E0256F" w:rsidRDefault="00000000">
      <w:pPr>
        <w:pStyle w:val="Paragraphedeliste"/>
        <w:numPr>
          <w:ilvl w:val="0"/>
          <w:numId w:val="2"/>
        </w:numPr>
        <w:spacing w:after="70" w:line="264" w:lineRule="auto"/>
        <w:jc w:val="both"/>
      </w:pPr>
      <w:r>
        <w:rPr>
          <w:rFonts w:ascii="Calibri" w:eastAsia="Calibri" w:hAnsi="Calibri" w:cs="Calibri"/>
          <w:color w:val="E91E63"/>
        </w:rPr>
        <w:t xml:space="preserve">CEDH, GC, 23 mars 1995, </w:t>
      </w:r>
      <w:proofErr w:type="spellStart"/>
      <w:r>
        <w:rPr>
          <w:rFonts w:ascii="Calibri" w:eastAsia="Calibri" w:hAnsi="Calibri" w:cs="Calibri"/>
          <w:color w:val="E91E63"/>
        </w:rPr>
        <w:t>Loizidou</w:t>
      </w:r>
      <w:proofErr w:type="spellEnd"/>
      <w:r>
        <w:rPr>
          <w:rFonts w:ascii="Calibri" w:eastAsia="Calibri" w:hAnsi="Calibri" w:cs="Calibri"/>
          <w:color w:val="E91E63"/>
        </w:rPr>
        <w:t xml:space="preserve"> c. Turquie (exceptions préliminaires), n° 15318/89</w:t>
      </w:r>
      <w:r>
        <w:rPr>
          <w:rFonts w:ascii="Calibri" w:eastAsia="Calibri" w:hAnsi="Calibri" w:cs="Calibri"/>
          <w:color w:val="1A1A1A"/>
        </w:rPr>
        <w:t xml:space="preserve"> : la Convention est « </w:t>
      </w:r>
      <w:r>
        <w:rPr>
          <w:rFonts w:ascii="Calibri" w:eastAsia="Calibri" w:hAnsi="Calibri" w:cs="Calibri"/>
          <w:i/>
          <w:iCs/>
          <w:color w:val="1A1A1A"/>
        </w:rPr>
        <w:t>l’instrument constitutionnel de l’ordre public européen</w:t>
      </w:r>
      <w:r>
        <w:rPr>
          <w:rFonts w:ascii="Calibri" w:eastAsia="Calibri" w:hAnsi="Calibri" w:cs="Calibri"/>
          <w:color w:val="1A1A1A"/>
        </w:rPr>
        <w:t xml:space="preserve"> ». Formule décisive : elle n’est pas un traité comme les autres, elle est la </w:t>
      </w:r>
      <w:r>
        <w:rPr>
          <w:rFonts w:ascii="Calibri" w:eastAsia="Calibri" w:hAnsi="Calibri" w:cs="Calibri"/>
          <w:b/>
          <w:bCs/>
          <w:color w:val="1A1A1A"/>
        </w:rPr>
        <w:t>constitution matérielle</w:t>
      </w:r>
      <w:r>
        <w:rPr>
          <w:rFonts w:ascii="Calibri" w:eastAsia="Calibri" w:hAnsi="Calibri" w:cs="Calibri"/>
          <w:color w:val="1A1A1A"/>
        </w:rPr>
        <w:t xml:space="preserve"> d’un espace juridique de quarante-six États.</w:t>
      </w:r>
    </w:p>
    <w:p w14:paraId="266EF631"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Accroche alternative : un </w:t>
      </w:r>
      <w:r>
        <w:rPr>
          <w:rFonts w:ascii="Calibri" w:eastAsia="Calibri" w:hAnsi="Calibri" w:cs="Calibri"/>
          <w:b/>
          <w:bCs/>
          <w:color w:val="1A1A1A"/>
        </w:rPr>
        <w:t>instrument vivant</w:t>
      </w:r>
      <w:r>
        <w:rPr>
          <w:rFonts w:ascii="Calibri" w:eastAsia="Calibri" w:hAnsi="Calibri" w:cs="Calibri"/>
          <w:color w:val="1A1A1A"/>
        </w:rPr>
        <w:t xml:space="preserve"> — ce qui vaut à la Cour, depuis mai 2025, les critiques ouvertes de neuf chefs de gouvernement du Conseil de l’Europe.</w:t>
      </w:r>
    </w:p>
    <w:p w14:paraId="09E785AE" w14:textId="77777777" w:rsidR="00E0256F" w:rsidRDefault="00000000">
      <w:pPr>
        <w:pStyle w:val="Titre3"/>
        <w:spacing w:before="200" w:after="90"/>
      </w:pPr>
      <w:r>
        <w:rPr>
          <w:rFonts w:ascii="Calibri" w:eastAsia="Calibri" w:hAnsi="Calibri" w:cs="Calibri"/>
          <w:b/>
          <w:bCs/>
          <w:i/>
          <w:iCs/>
          <w:color w:val="5A5A5A"/>
          <w:sz w:val="21"/>
          <w:szCs w:val="21"/>
        </w:rPr>
        <w:t>Définition en trois lignes</w:t>
      </w:r>
    </w:p>
    <w:p w14:paraId="12000974"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Le Conseil de l’Europe</w:t>
      </w:r>
      <w:r>
        <w:rPr>
          <w:rFonts w:ascii="Calibri" w:eastAsia="Calibri" w:hAnsi="Calibri" w:cs="Calibri"/>
          <w:color w:val="1A1A1A"/>
        </w:rPr>
        <w:t xml:space="preserve"> : organisation régionale créée par des statuts signés à </w:t>
      </w:r>
      <w:r>
        <w:rPr>
          <w:rFonts w:ascii="Calibri" w:eastAsia="Calibri" w:hAnsi="Calibri" w:cs="Calibri"/>
          <w:b/>
          <w:bCs/>
          <w:color w:val="1A1A1A"/>
        </w:rPr>
        <w:t>Londres le 5 mai 1949</w:t>
      </w:r>
      <w:r>
        <w:rPr>
          <w:rFonts w:ascii="Calibri" w:eastAsia="Calibri" w:hAnsi="Calibri" w:cs="Calibri"/>
          <w:color w:val="1A1A1A"/>
        </w:rPr>
        <w:t xml:space="preserve">, siégeant à Strasbourg, réunissant </w:t>
      </w:r>
      <w:r>
        <w:rPr>
          <w:rFonts w:ascii="Calibri" w:eastAsia="Calibri" w:hAnsi="Calibri" w:cs="Calibri"/>
          <w:b/>
          <w:bCs/>
          <w:color w:val="1A1A1A"/>
        </w:rPr>
        <w:t>46 États</w:t>
      </w:r>
      <w:r>
        <w:rPr>
          <w:rFonts w:ascii="Calibri" w:eastAsia="Calibri" w:hAnsi="Calibri" w:cs="Calibri"/>
          <w:color w:val="1A1A1A"/>
        </w:rPr>
        <w:t xml:space="preserve"> depuis le départ effectif de la Russie en septembre 2022. But : défendre et promouvoir les droits humains, la démocratie, l’État de droit et « réaliser une union plus étroite entre ses membres ».</w:t>
      </w:r>
    </w:p>
    <w:p w14:paraId="2677652F"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 Convention</w:t>
      </w:r>
      <w:r>
        <w:rPr>
          <w:rFonts w:ascii="Calibri" w:eastAsia="Calibri" w:hAnsi="Calibri" w:cs="Calibri"/>
          <w:color w:val="1A1A1A"/>
        </w:rPr>
        <w:t xml:space="preserve"> : signée à </w:t>
      </w:r>
      <w:r>
        <w:rPr>
          <w:rFonts w:ascii="Calibri" w:eastAsia="Calibri" w:hAnsi="Calibri" w:cs="Calibri"/>
          <w:b/>
          <w:bCs/>
          <w:color w:val="1A1A1A"/>
        </w:rPr>
        <w:t>Rome le 4 novembre 1950</w:t>
      </w:r>
      <w:r>
        <w:rPr>
          <w:rFonts w:ascii="Calibri" w:eastAsia="Calibri" w:hAnsi="Calibri" w:cs="Calibri"/>
          <w:color w:val="1A1A1A"/>
        </w:rPr>
        <w:t xml:space="preserve"> par douze États, entrée en vigueur le </w:t>
      </w:r>
      <w:r>
        <w:rPr>
          <w:rFonts w:ascii="Calibri" w:eastAsia="Calibri" w:hAnsi="Calibri" w:cs="Calibri"/>
          <w:b/>
          <w:bCs/>
          <w:color w:val="1A1A1A"/>
        </w:rPr>
        <w:t>3 septembre 1953</w:t>
      </w:r>
      <w:r>
        <w:rPr>
          <w:rFonts w:ascii="Calibri" w:eastAsia="Calibri" w:hAnsi="Calibri" w:cs="Calibri"/>
          <w:color w:val="1A1A1A"/>
        </w:rPr>
        <w:t xml:space="preserve">, ratifiée par la France le </w:t>
      </w:r>
      <w:r>
        <w:rPr>
          <w:rFonts w:ascii="Calibri" w:eastAsia="Calibri" w:hAnsi="Calibri" w:cs="Calibri"/>
          <w:b/>
          <w:bCs/>
          <w:color w:val="1A1A1A"/>
        </w:rPr>
        <w:t>3 mai 1974</w:t>
      </w:r>
      <w:r>
        <w:rPr>
          <w:rFonts w:ascii="Calibri" w:eastAsia="Calibri" w:hAnsi="Calibri" w:cs="Calibri"/>
          <w:color w:val="1A1A1A"/>
        </w:rPr>
        <w:t xml:space="preserve">. Recours individuel et compétence obligatoire de la Cour depuis le </w:t>
      </w:r>
      <w:r>
        <w:rPr>
          <w:rFonts w:ascii="Calibri" w:eastAsia="Calibri" w:hAnsi="Calibri" w:cs="Calibri"/>
          <w:color w:val="1E88E5"/>
        </w:rPr>
        <w:t>Protocole n° 11</w:t>
      </w:r>
      <w:r>
        <w:rPr>
          <w:rFonts w:ascii="Calibri" w:eastAsia="Calibri" w:hAnsi="Calibri" w:cs="Calibri"/>
          <w:color w:val="1A1A1A"/>
        </w:rPr>
        <w:t xml:space="preserve">, entré en vigueur en </w:t>
      </w:r>
      <w:r>
        <w:rPr>
          <w:rFonts w:ascii="Calibri" w:eastAsia="Calibri" w:hAnsi="Calibri" w:cs="Calibri"/>
          <w:b/>
          <w:bCs/>
          <w:color w:val="1A1A1A"/>
        </w:rPr>
        <w:t>novembre 1998</w:t>
      </w:r>
      <w:r>
        <w:rPr>
          <w:rFonts w:ascii="Calibri" w:eastAsia="Calibri" w:hAnsi="Calibri" w:cs="Calibri"/>
          <w:color w:val="1A1A1A"/>
        </w:rPr>
        <w:t>.</w:t>
      </w:r>
    </w:p>
    <w:p w14:paraId="4D717ED6" w14:textId="77777777" w:rsidR="00E0256F" w:rsidRDefault="00000000">
      <w:pPr>
        <w:pStyle w:val="Titre3"/>
        <w:spacing w:before="200" w:after="90"/>
      </w:pPr>
      <w:r>
        <w:rPr>
          <w:rFonts w:ascii="Calibri" w:eastAsia="Calibri" w:hAnsi="Calibri" w:cs="Calibri"/>
          <w:b/>
          <w:bCs/>
          <w:i/>
          <w:iCs/>
          <w:color w:val="5A5A5A"/>
          <w:sz w:val="21"/>
          <w:szCs w:val="21"/>
        </w:rPr>
        <w:t>Les cinq références incontournables</w:t>
      </w:r>
    </w:p>
    <w:p w14:paraId="161BAB84"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 xml:space="preserve">CEDH, GC, 23 mars 1995, </w:t>
      </w:r>
      <w:proofErr w:type="spellStart"/>
      <w:r>
        <w:rPr>
          <w:rFonts w:ascii="Calibri" w:eastAsia="Calibri" w:hAnsi="Calibri" w:cs="Calibri"/>
          <w:color w:val="E91E63"/>
        </w:rPr>
        <w:t>Loizidou</w:t>
      </w:r>
      <w:proofErr w:type="spellEnd"/>
      <w:r>
        <w:rPr>
          <w:rFonts w:ascii="Calibri" w:eastAsia="Calibri" w:hAnsi="Calibri" w:cs="Calibri"/>
          <w:color w:val="E91E63"/>
        </w:rPr>
        <w:t xml:space="preserve"> c. Turquie, n° 15318/89</w:t>
      </w:r>
      <w:r>
        <w:rPr>
          <w:rFonts w:ascii="Calibri" w:eastAsia="Calibri" w:hAnsi="Calibri" w:cs="Calibri"/>
          <w:color w:val="1A1A1A"/>
        </w:rPr>
        <w:t xml:space="preserve"> : « instrument constitutionnel de l’ordre public européen ».</w:t>
      </w:r>
    </w:p>
    <w:p w14:paraId="3E8F9D47"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déc., 11 janvier 1961, Autriche c. Italie, n° 788/60</w:t>
      </w:r>
      <w:r>
        <w:rPr>
          <w:rFonts w:ascii="Calibri" w:eastAsia="Calibri" w:hAnsi="Calibri" w:cs="Calibri"/>
          <w:color w:val="1A1A1A"/>
        </w:rPr>
        <w:t xml:space="preserve"> : la Convention consacre des </w:t>
      </w:r>
      <w:r>
        <w:rPr>
          <w:rFonts w:ascii="Calibri" w:eastAsia="Calibri" w:hAnsi="Calibri" w:cs="Calibri"/>
          <w:b/>
          <w:bCs/>
          <w:color w:val="1A1A1A"/>
        </w:rPr>
        <w:t>droits objectifs</w:t>
      </w:r>
      <w:r>
        <w:rPr>
          <w:rFonts w:ascii="Calibri" w:eastAsia="Calibri" w:hAnsi="Calibri" w:cs="Calibri"/>
          <w:color w:val="1A1A1A"/>
        </w:rPr>
        <w:t xml:space="preserve"> ; les États ne peuvent invoquer la </w:t>
      </w:r>
      <w:r>
        <w:rPr>
          <w:rFonts w:ascii="Calibri" w:eastAsia="Calibri" w:hAnsi="Calibri" w:cs="Calibri"/>
          <w:b/>
          <w:bCs/>
          <w:color w:val="1A1A1A"/>
        </w:rPr>
        <w:t>réciprocité</w:t>
      </w:r>
      <w:r>
        <w:rPr>
          <w:rFonts w:ascii="Calibri" w:eastAsia="Calibri" w:hAnsi="Calibri" w:cs="Calibri"/>
          <w:color w:val="1A1A1A"/>
        </w:rPr>
        <w:t xml:space="preserve"> pour se libérer de leurs obligations.</w:t>
      </w:r>
    </w:p>
    <w:p w14:paraId="26917AB8"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Cass. crim., 3 juin 1975, Respino, n° 75-90.687</w:t>
      </w:r>
      <w:r>
        <w:rPr>
          <w:rFonts w:ascii="Calibri" w:eastAsia="Calibri" w:hAnsi="Calibri" w:cs="Calibri"/>
          <w:color w:val="1A1A1A"/>
        </w:rPr>
        <w:t xml:space="preserve"> : </w:t>
      </w:r>
      <w:r>
        <w:rPr>
          <w:rFonts w:ascii="Calibri" w:eastAsia="Calibri" w:hAnsi="Calibri" w:cs="Calibri"/>
          <w:b/>
          <w:bCs/>
          <w:color w:val="1A1A1A"/>
        </w:rPr>
        <w:t>plein effet direct</w:t>
      </w:r>
      <w:r>
        <w:rPr>
          <w:rFonts w:ascii="Calibri" w:eastAsia="Calibri" w:hAnsi="Calibri" w:cs="Calibri"/>
          <w:color w:val="1A1A1A"/>
        </w:rPr>
        <w:t xml:space="preserve"> en droit interne, y compris — et c’est l’apport — dans les relations </w:t>
      </w:r>
      <w:r>
        <w:rPr>
          <w:rFonts w:ascii="Calibri" w:eastAsia="Calibri" w:hAnsi="Calibri" w:cs="Calibri"/>
          <w:b/>
          <w:bCs/>
          <w:color w:val="1A1A1A"/>
        </w:rPr>
        <w:t>interindividuelles</w:t>
      </w:r>
      <w:r>
        <w:rPr>
          <w:rFonts w:ascii="Calibri" w:eastAsia="Calibri" w:hAnsi="Calibri" w:cs="Calibri"/>
          <w:color w:val="1A1A1A"/>
        </w:rPr>
        <w:t>.</w:t>
      </w:r>
    </w:p>
    <w:p w14:paraId="361DBB16"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GC, 7 juillet 2011, Al-</w:t>
      </w:r>
      <w:proofErr w:type="spellStart"/>
      <w:r>
        <w:rPr>
          <w:rFonts w:ascii="Calibri" w:eastAsia="Calibri" w:hAnsi="Calibri" w:cs="Calibri"/>
          <w:color w:val="E91E63"/>
        </w:rPr>
        <w:t>Skeini</w:t>
      </w:r>
      <w:proofErr w:type="spellEnd"/>
      <w:r>
        <w:rPr>
          <w:rFonts w:ascii="Calibri" w:eastAsia="Calibri" w:hAnsi="Calibri" w:cs="Calibri"/>
          <w:color w:val="E91E63"/>
        </w:rPr>
        <w:t xml:space="preserve"> et a. c. Royaume-Uni, n° 55721/07</w:t>
      </w:r>
      <w:r>
        <w:rPr>
          <w:rFonts w:ascii="Calibri" w:eastAsia="Calibri" w:hAnsi="Calibri" w:cs="Calibri"/>
          <w:color w:val="1A1A1A"/>
        </w:rPr>
        <w:t xml:space="preserve"> : la </w:t>
      </w:r>
      <w:r>
        <w:rPr>
          <w:rFonts w:ascii="Calibri" w:eastAsia="Calibri" w:hAnsi="Calibri" w:cs="Calibri"/>
          <w:b/>
          <w:bCs/>
          <w:color w:val="1A1A1A"/>
        </w:rPr>
        <w:t>juridiction</w:t>
      </w:r>
      <w:r>
        <w:rPr>
          <w:rFonts w:ascii="Calibri" w:eastAsia="Calibri" w:hAnsi="Calibri" w:cs="Calibri"/>
          <w:color w:val="1A1A1A"/>
        </w:rPr>
        <w:t xml:space="preserve"> de l’</w:t>
      </w:r>
      <w:r>
        <w:rPr>
          <w:rFonts w:ascii="Calibri" w:eastAsia="Calibri" w:hAnsi="Calibri" w:cs="Calibri"/>
          <w:color w:val="1E88E5"/>
        </w:rPr>
        <w:t>art. 1er</w:t>
      </w:r>
      <w:r>
        <w:rPr>
          <w:rFonts w:ascii="Calibri" w:eastAsia="Calibri" w:hAnsi="Calibri" w:cs="Calibri"/>
          <w:color w:val="1A1A1A"/>
        </w:rPr>
        <w:t xml:space="preserve"> transcende le territoire national dès lors qu’un État exerce des prérogatives de puissance publique à l’étranger par le biais d’agents publics, fût-ce temporairement.</w:t>
      </w:r>
    </w:p>
    <w:p w14:paraId="2D9F1775"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 xml:space="preserve">CEDH, GC, 9 avril 2024, </w:t>
      </w:r>
      <w:proofErr w:type="spellStart"/>
      <w:r>
        <w:rPr>
          <w:rFonts w:ascii="Calibri" w:eastAsia="Calibri" w:hAnsi="Calibri" w:cs="Calibri"/>
          <w:color w:val="E91E63"/>
        </w:rPr>
        <w:t>Verein</w:t>
      </w:r>
      <w:proofErr w:type="spellEnd"/>
      <w:r>
        <w:rPr>
          <w:rFonts w:ascii="Calibri" w:eastAsia="Calibri" w:hAnsi="Calibri" w:cs="Calibri"/>
          <w:color w:val="E91E63"/>
        </w:rPr>
        <w:t xml:space="preserve"> KlimaSeniorinnen Schweiz et a. c. Suisse, n° 53600/20</w:t>
      </w:r>
      <w:r>
        <w:rPr>
          <w:rFonts w:ascii="Calibri" w:eastAsia="Calibri" w:hAnsi="Calibri" w:cs="Calibri"/>
          <w:color w:val="1A1A1A"/>
        </w:rPr>
        <w:t xml:space="preserve"> : l’</w:t>
      </w:r>
      <w:r>
        <w:rPr>
          <w:rFonts w:ascii="Calibri" w:eastAsia="Calibri" w:hAnsi="Calibri" w:cs="Calibri"/>
          <w:color w:val="1E88E5"/>
        </w:rPr>
        <w:t>art. 8</w:t>
      </w:r>
      <w:r>
        <w:rPr>
          <w:rFonts w:ascii="Calibri" w:eastAsia="Calibri" w:hAnsi="Calibri" w:cs="Calibri"/>
          <w:color w:val="1A1A1A"/>
        </w:rPr>
        <w:t xml:space="preserve"> comprend le droit de « </w:t>
      </w:r>
      <w:r>
        <w:rPr>
          <w:rFonts w:ascii="Calibri" w:eastAsia="Calibri" w:hAnsi="Calibri" w:cs="Calibri"/>
          <w:i/>
          <w:iCs/>
          <w:color w:val="1A1A1A"/>
        </w:rPr>
        <w:t>bénéficier de la protection effective des autorités de l’État contre les effets négatifs graves sur leur vie, leur santé, leur bien-être et leur qualité de vie qui résultent des conséquences et risques néfastes liés au changement climatique</w:t>
      </w:r>
      <w:r>
        <w:rPr>
          <w:rFonts w:ascii="Calibri" w:eastAsia="Calibri" w:hAnsi="Calibri" w:cs="Calibri"/>
          <w:color w:val="1A1A1A"/>
        </w:rPr>
        <w:t xml:space="preserve"> ».</w:t>
      </w:r>
    </w:p>
    <w:p w14:paraId="4B539C86" w14:textId="77777777" w:rsidR="00E0256F" w:rsidRDefault="00000000">
      <w:pPr>
        <w:pStyle w:val="Titre3"/>
        <w:spacing w:before="200" w:after="90"/>
      </w:pPr>
      <w:r>
        <w:rPr>
          <w:rFonts w:ascii="Calibri" w:eastAsia="Calibri" w:hAnsi="Calibri" w:cs="Calibri"/>
          <w:b/>
          <w:bCs/>
          <w:i/>
          <w:iCs/>
          <w:color w:val="5A5A5A"/>
          <w:sz w:val="21"/>
          <w:szCs w:val="21"/>
        </w:rPr>
        <w:t>Deux matrices de plan</w:t>
      </w:r>
    </w:p>
    <w:p w14:paraId="61A8A349"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Sujet « Existe-t-il un gouvernement des juges de la Cour européenne ? »</w:t>
      </w:r>
      <w:r>
        <w:rPr>
          <w:rFonts w:ascii="Calibri" w:eastAsia="Calibri" w:hAnsi="Calibri" w:cs="Calibri"/>
          <w:color w:val="1A1A1A"/>
        </w:rPr>
        <w:t xml:space="preserve"> — </w:t>
      </w:r>
      <w:r>
        <w:rPr>
          <w:rFonts w:ascii="Calibri" w:eastAsia="Calibri" w:hAnsi="Calibri" w:cs="Calibri"/>
          <w:b/>
          <w:bCs/>
          <w:color w:val="1A1A1A"/>
        </w:rPr>
        <w:t>I. Une interprétation dynamique freinée par les méthodes du droit international</w:t>
      </w:r>
      <w:r>
        <w:rPr>
          <w:rFonts w:ascii="Calibri" w:eastAsia="Calibri" w:hAnsi="Calibri" w:cs="Calibri"/>
          <w:color w:val="1A1A1A"/>
        </w:rPr>
        <w:t xml:space="preserve"> (A. L’interprétation téléologique : </w:t>
      </w:r>
      <w:r>
        <w:rPr>
          <w:rFonts w:ascii="Calibri" w:eastAsia="Calibri" w:hAnsi="Calibri" w:cs="Calibri"/>
          <w:color w:val="1E88E5"/>
        </w:rPr>
        <w:t>art. 31 à 33 Convention de Vienne</w:t>
      </w:r>
      <w:r>
        <w:rPr>
          <w:rFonts w:ascii="Calibri" w:eastAsia="Calibri" w:hAnsi="Calibri" w:cs="Calibri"/>
          <w:color w:val="1A1A1A"/>
        </w:rPr>
        <w:t xml:space="preserve">, </w:t>
      </w:r>
      <w:r>
        <w:rPr>
          <w:rFonts w:ascii="Calibri" w:eastAsia="Calibri" w:hAnsi="Calibri" w:cs="Calibri"/>
          <w:color w:val="E91E63"/>
        </w:rPr>
        <w:t>Wemhoff</w:t>
      </w:r>
      <w:r>
        <w:rPr>
          <w:rFonts w:ascii="Calibri" w:eastAsia="Calibri" w:hAnsi="Calibri" w:cs="Calibri"/>
          <w:color w:val="1A1A1A"/>
        </w:rPr>
        <w:t xml:space="preserve"> ; B. La souveraineté préservée : réserves, </w:t>
      </w:r>
      <w:r>
        <w:rPr>
          <w:rFonts w:ascii="Calibri" w:eastAsia="Calibri" w:hAnsi="Calibri" w:cs="Calibri"/>
          <w:color w:val="1E88E5"/>
        </w:rPr>
        <w:t>art. 15</w:t>
      </w:r>
      <w:r>
        <w:rPr>
          <w:rFonts w:ascii="Calibri" w:eastAsia="Calibri" w:hAnsi="Calibri" w:cs="Calibri"/>
          <w:color w:val="1A1A1A"/>
        </w:rPr>
        <w:t xml:space="preserve">, protocoles non ratifiés) / </w:t>
      </w:r>
      <w:r>
        <w:rPr>
          <w:rFonts w:ascii="Calibri" w:eastAsia="Calibri" w:hAnsi="Calibri" w:cs="Calibri"/>
          <w:b/>
          <w:bCs/>
          <w:color w:val="1A1A1A"/>
        </w:rPr>
        <w:t>II. Une interprétation freinée par la subsidiarité</w:t>
      </w:r>
      <w:r>
        <w:rPr>
          <w:rFonts w:ascii="Calibri" w:eastAsia="Calibri" w:hAnsi="Calibri" w:cs="Calibri"/>
          <w:color w:val="1A1A1A"/>
        </w:rPr>
        <w:t xml:space="preserve"> (A. Dans la construction du mécanisme : </w:t>
      </w:r>
      <w:r>
        <w:rPr>
          <w:rFonts w:ascii="Calibri" w:eastAsia="Calibri" w:hAnsi="Calibri" w:cs="Calibri"/>
          <w:color w:val="1E88E5"/>
        </w:rPr>
        <w:t>art. 35 § 1</w:t>
      </w:r>
      <w:r>
        <w:rPr>
          <w:rFonts w:ascii="Calibri" w:eastAsia="Calibri" w:hAnsi="Calibri" w:cs="Calibri"/>
          <w:color w:val="1A1A1A"/>
        </w:rPr>
        <w:t xml:space="preserve">, règlement amiable, avis consultatifs ; B. Dans le contrôle : pas de quatrième instance, marge d’appréciation, libre choix des mesures — </w:t>
      </w:r>
      <w:r>
        <w:rPr>
          <w:rFonts w:ascii="Calibri" w:eastAsia="Calibri" w:hAnsi="Calibri" w:cs="Calibri"/>
          <w:color w:val="E91E63"/>
        </w:rPr>
        <w:t>Belilos</w:t>
      </w:r>
      <w:r>
        <w:rPr>
          <w:rFonts w:ascii="Calibri" w:eastAsia="Calibri" w:hAnsi="Calibri" w:cs="Calibri"/>
          <w:color w:val="1A1A1A"/>
        </w:rPr>
        <w:t>).</w:t>
      </w:r>
    </w:p>
    <w:p w14:paraId="1D8D02DC"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Sujet « La Convention, instrument vivant »</w:t>
      </w:r>
      <w:r>
        <w:rPr>
          <w:rFonts w:ascii="Calibri" w:eastAsia="Calibri" w:hAnsi="Calibri" w:cs="Calibri"/>
          <w:color w:val="1A1A1A"/>
        </w:rPr>
        <w:t xml:space="preserve"> — </w:t>
      </w:r>
      <w:r>
        <w:rPr>
          <w:rFonts w:ascii="Calibri" w:eastAsia="Calibri" w:hAnsi="Calibri" w:cs="Calibri"/>
          <w:b/>
          <w:bCs/>
          <w:color w:val="1A1A1A"/>
        </w:rPr>
        <w:t>I. Une extension du champ d’application</w:t>
      </w:r>
      <w:r>
        <w:rPr>
          <w:rFonts w:ascii="Calibri" w:eastAsia="Calibri" w:hAnsi="Calibri" w:cs="Calibri"/>
          <w:color w:val="1A1A1A"/>
        </w:rPr>
        <w:t xml:space="preserve"> (A. </w:t>
      </w:r>
      <w:r>
        <w:rPr>
          <w:rFonts w:ascii="Calibri" w:eastAsia="Calibri" w:hAnsi="Calibri" w:cs="Calibri"/>
          <w:i/>
          <w:iCs/>
          <w:color w:val="1A1A1A"/>
        </w:rPr>
        <w:t>Ratione loci</w:t>
      </w:r>
      <w:r>
        <w:rPr>
          <w:rFonts w:ascii="Calibri" w:eastAsia="Calibri" w:hAnsi="Calibri" w:cs="Calibri"/>
          <w:color w:val="1A1A1A"/>
        </w:rPr>
        <w:t xml:space="preserve"> : </w:t>
      </w:r>
      <w:r>
        <w:rPr>
          <w:rFonts w:ascii="Calibri" w:eastAsia="Calibri" w:hAnsi="Calibri" w:cs="Calibri"/>
          <w:color w:val="E91E63"/>
        </w:rPr>
        <w:t>Ilascu</w:t>
      </w:r>
      <w:r>
        <w:rPr>
          <w:rFonts w:ascii="Calibri" w:eastAsia="Calibri" w:hAnsi="Calibri" w:cs="Calibri"/>
          <w:color w:val="1A1A1A"/>
        </w:rPr>
        <w:t xml:space="preserve">, </w:t>
      </w:r>
      <w:r>
        <w:rPr>
          <w:rFonts w:ascii="Calibri" w:eastAsia="Calibri" w:hAnsi="Calibri" w:cs="Calibri"/>
          <w:color w:val="E91E63"/>
        </w:rPr>
        <w:t>Al-</w:t>
      </w:r>
      <w:proofErr w:type="spellStart"/>
      <w:r>
        <w:rPr>
          <w:rFonts w:ascii="Calibri" w:eastAsia="Calibri" w:hAnsi="Calibri" w:cs="Calibri"/>
          <w:color w:val="E91E63"/>
        </w:rPr>
        <w:t>Skeini</w:t>
      </w:r>
      <w:proofErr w:type="spellEnd"/>
      <w:r>
        <w:rPr>
          <w:rFonts w:ascii="Calibri" w:eastAsia="Calibri" w:hAnsi="Calibri" w:cs="Calibri"/>
          <w:color w:val="1A1A1A"/>
        </w:rPr>
        <w:t xml:space="preserve"> ; B. </w:t>
      </w:r>
      <w:r>
        <w:rPr>
          <w:rFonts w:ascii="Calibri" w:eastAsia="Calibri" w:hAnsi="Calibri" w:cs="Calibri"/>
          <w:i/>
          <w:iCs/>
          <w:color w:val="1A1A1A"/>
        </w:rPr>
        <w:t>Ratione materiae</w:t>
      </w:r>
      <w:r>
        <w:rPr>
          <w:rFonts w:ascii="Calibri" w:eastAsia="Calibri" w:hAnsi="Calibri" w:cs="Calibri"/>
          <w:color w:val="1A1A1A"/>
        </w:rPr>
        <w:t xml:space="preserve"> : </w:t>
      </w:r>
      <w:r>
        <w:rPr>
          <w:rFonts w:ascii="Calibri" w:eastAsia="Calibri" w:hAnsi="Calibri" w:cs="Calibri"/>
          <w:color w:val="E91E63"/>
        </w:rPr>
        <w:t>Niemietz</w:t>
      </w:r>
      <w:r>
        <w:rPr>
          <w:rFonts w:ascii="Calibri" w:eastAsia="Calibri" w:hAnsi="Calibri" w:cs="Calibri"/>
          <w:color w:val="1A1A1A"/>
        </w:rPr>
        <w:t xml:space="preserve">, </w:t>
      </w:r>
      <w:proofErr w:type="spellStart"/>
      <w:r>
        <w:rPr>
          <w:rFonts w:ascii="Calibri" w:eastAsia="Calibri" w:hAnsi="Calibri" w:cs="Calibri"/>
          <w:color w:val="E91E63"/>
        </w:rPr>
        <w:t>KlimaSeniorinnen</w:t>
      </w:r>
      <w:proofErr w:type="spellEnd"/>
      <w:r>
        <w:rPr>
          <w:rFonts w:ascii="Calibri" w:eastAsia="Calibri" w:hAnsi="Calibri" w:cs="Calibri"/>
          <w:color w:val="1A1A1A"/>
        </w:rPr>
        <w:t xml:space="preserve">) / </w:t>
      </w:r>
      <w:r>
        <w:rPr>
          <w:rFonts w:ascii="Calibri" w:eastAsia="Calibri" w:hAnsi="Calibri" w:cs="Calibri"/>
          <w:b/>
          <w:bCs/>
          <w:color w:val="1A1A1A"/>
        </w:rPr>
        <w:t>II. Une extension corrélative des obligations étatiques</w:t>
      </w:r>
      <w:r>
        <w:rPr>
          <w:rFonts w:ascii="Calibri" w:eastAsia="Calibri" w:hAnsi="Calibri" w:cs="Calibri"/>
          <w:color w:val="1A1A1A"/>
        </w:rPr>
        <w:t xml:space="preserve"> (A. Des obligations négatives aux obligations positives : </w:t>
      </w:r>
      <w:r>
        <w:rPr>
          <w:rFonts w:ascii="Calibri" w:eastAsia="Calibri" w:hAnsi="Calibri" w:cs="Calibri"/>
          <w:color w:val="E91E63"/>
        </w:rPr>
        <w:t>Lopez Ostra</w:t>
      </w:r>
      <w:r>
        <w:rPr>
          <w:rFonts w:ascii="Calibri" w:eastAsia="Calibri" w:hAnsi="Calibri" w:cs="Calibri"/>
          <w:color w:val="1A1A1A"/>
        </w:rPr>
        <w:t xml:space="preserve"> ; B. Une hiérarchie fonctionnelle des droits garantis : droits absolus, droits relatifs, triple test de l’ingérence).</w:t>
      </w:r>
    </w:p>
    <w:p w14:paraId="45B37582" w14:textId="77777777" w:rsidR="00E0256F" w:rsidRDefault="00000000">
      <w:pPr>
        <w:pStyle w:val="Titre3"/>
        <w:spacing w:before="200" w:after="90"/>
      </w:pPr>
      <w:r>
        <w:rPr>
          <w:rFonts w:ascii="Calibri" w:eastAsia="Calibri" w:hAnsi="Calibri" w:cs="Calibri"/>
          <w:b/>
          <w:bCs/>
          <w:i/>
          <w:iCs/>
          <w:color w:val="5A5A5A"/>
          <w:sz w:val="21"/>
          <w:szCs w:val="21"/>
        </w:rPr>
        <w:t>Trois pièges</w:t>
      </w:r>
    </w:p>
    <w:p w14:paraId="10AFCFED"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Le Conseil de l’Europe n’est pas l’Union européenne</w:t>
      </w:r>
      <w:r>
        <w:rPr>
          <w:rFonts w:ascii="Calibri" w:eastAsia="Calibri" w:hAnsi="Calibri" w:cs="Calibri"/>
          <w:color w:val="1A1A1A"/>
        </w:rPr>
        <w:t xml:space="preserve"> : 46 États, siège à Strasbourg, créé en 1949, aucune compétence normative contraignante hors traités. Confusion immédiatement sanctionnée.</w:t>
      </w:r>
    </w:p>
    <w:p w14:paraId="43C86674"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Protocoles additionnels ≠ protocoles d’amendement</w:t>
      </w:r>
      <w:r>
        <w:rPr>
          <w:rFonts w:ascii="Calibri" w:eastAsia="Calibri" w:hAnsi="Calibri" w:cs="Calibri"/>
          <w:color w:val="1A1A1A"/>
        </w:rPr>
        <w:t xml:space="preserve"> : les premiers </w:t>
      </w:r>
      <w:r>
        <w:rPr>
          <w:rFonts w:ascii="Calibri" w:eastAsia="Calibri" w:hAnsi="Calibri" w:cs="Calibri"/>
          <w:b/>
          <w:bCs/>
          <w:color w:val="1A1A1A"/>
        </w:rPr>
        <w:t>ajoutent</w:t>
      </w:r>
      <w:r>
        <w:rPr>
          <w:rFonts w:ascii="Calibri" w:eastAsia="Calibri" w:hAnsi="Calibri" w:cs="Calibri"/>
          <w:color w:val="1A1A1A"/>
        </w:rPr>
        <w:t xml:space="preserve"> des droits et ne lient que les États les ayant ratifiés ; les seconds </w:t>
      </w:r>
      <w:r>
        <w:rPr>
          <w:rFonts w:ascii="Calibri" w:eastAsia="Calibri" w:hAnsi="Calibri" w:cs="Calibri"/>
          <w:b/>
          <w:bCs/>
          <w:color w:val="1A1A1A"/>
        </w:rPr>
        <w:t>modifient le texte</w:t>
      </w:r>
      <w:r>
        <w:rPr>
          <w:rFonts w:ascii="Calibri" w:eastAsia="Calibri" w:hAnsi="Calibri" w:cs="Calibri"/>
          <w:color w:val="1A1A1A"/>
        </w:rPr>
        <w:t xml:space="preserve"> et exigent la ratification de </w:t>
      </w:r>
      <w:r>
        <w:rPr>
          <w:rFonts w:ascii="Calibri" w:eastAsia="Calibri" w:hAnsi="Calibri" w:cs="Calibri"/>
          <w:b/>
          <w:bCs/>
          <w:color w:val="1A1A1A"/>
        </w:rPr>
        <w:t>toutes</w:t>
      </w:r>
      <w:r>
        <w:rPr>
          <w:rFonts w:ascii="Calibri" w:eastAsia="Calibri" w:hAnsi="Calibri" w:cs="Calibri"/>
          <w:color w:val="1A1A1A"/>
        </w:rPr>
        <w:t xml:space="preserve"> les Hautes Parties contractantes.</w:t>
      </w:r>
    </w:p>
    <w:p w14:paraId="7A0F422F"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xml:space="preserve">La France n’a pas signé le </w:t>
      </w:r>
      <w:r>
        <w:rPr>
          <w:rFonts w:ascii="Calibri" w:eastAsia="Calibri" w:hAnsi="Calibri" w:cs="Calibri"/>
          <w:b/>
          <w:bCs/>
          <w:color w:val="1E88E5"/>
        </w:rPr>
        <w:t>Protocole n° 12</w:t>
      </w:r>
      <w:r>
        <w:rPr>
          <w:rFonts w:ascii="Calibri" w:eastAsia="Calibri" w:hAnsi="Calibri" w:cs="Calibri"/>
          <w:color w:val="1A1A1A"/>
        </w:rPr>
        <w:t xml:space="preserve"> (interdiction générale de la discrimination, vingt ratifications) ; elle a ratifié le </w:t>
      </w:r>
      <w:r>
        <w:rPr>
          <w:rFonts w:ascii="Calibri" w:eastAsia="Calibri" w:hAnsi="Calibri" w:cs="Calibri"/>
          <w:color w:val="1E88E5"/>
        </w:rPr>
        <w:t>Protocole n° 16</w:t>
      </w:r>
      <w:r>
        <w:rPr>
          <w:rFonts w:ascii="Calibri" w:eastAsia="Calibri" w:hAnsi="Calibri" w:cs="Calibri"/>
          <w:color w:val="1A1A1A"/>
        </w:rPr>
        <w:t xml:space="preserve"> (avis consultatifs, en vigueur le 1er août 2018).</w:t>
      </w:r>
    </w:p>
    <w:p w14:paraId="366B014E" w14:textId="77777777" w:rsidR="00E0256F" w:rsidRDefault="00000000">
      <w:r>
        <w:br w:type="page"/>
      </w:r>
    </w:p>
    <w:p w14:paraId="421DED52" w14:textId="77777777" w:rsidR="00E0256F" w:rsidRDefault="00000000">
      <w:pPr>
        <w:pStyle w:val="Titre2"/>
        <w:spacing w:before="280" w:after="120"/>
      </w:pPr>
      <w:r>
        <w:rPr>
          <w:rFonts w:ascii="Calibri" w:eastAsia="Calibri" w:hAnsi="Calibri" w:cs="Calibri"/>
          <w:b/>
          <w:bCs/>
          <w:color w:val="1A1A1A"/>
          <w:sz w:val="24"/>
          <w:szCs w:val="24"/>
        </w:rPr>
        <w:lastRenderedPageBreak/>
        <w:t>1. Le Conseil de l’Europe</w:t>
      </w:r>
    </w:p>
    <w:p w14:paraId="1126306B" w14:textId="77777777" w:rsidR="00E0256F" w:rsidRDefault="00000000">
      <w:pPr>
        <w:pStyle w:val="Titre3"/>
        <w:spacing w:before="200" w:after="90"/>
      </w:pPr>
      <w:r>
        <w:rPr>
          <w:rFonts w:ascii="Calibri" w:eastAsia="Calibri" w:hAnsi="Calibri" w:cs="Calibri"/>
          <w:b/>
          <w:bCs/>
          <w:i/>
          <w:iCs/>
          <w:color w:val="5A5A5A"/>
          <w:sz w:val="21"/>
          <w:szCs w:val="21"/>
        </w:rPr>
        <w:t>1.1. Genèse et organes</w:t>
      </w:r>
    </w:p>
    <w:p w14:paraId="011C333F"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Genèse</w:t>
      </w:r>
      <w:r>
        <w:rPr>
          <w:rFonts w:ascii="Calibri" w:eastAsia="Calibri" w:hAnsi="Calibri" w:cs="Calibri"/>
          <w:color w:val="1A1A1A"/>
        </w:rPr>
        <w:t xml:space="preserve"> : au sortir de la Seconde Guerre mondiale et dans un contexte de guerre froide, de nombreux politiques et juristes soulignent la nécessité d’assurer le maintien des démocraties libérales et de la paix par une coopération des États européens — </w:t>
      </w:r>
      <w:r>
        <w:rPr>
          <w:rFonts w:ascii="Calibri" w:eastAsia="Calibri" w:hAnsi="Calibri" w:cs="Calibri"/>
          <w:color w:val="2E7D32"/>
        </w:rPr>
        <w:t>W. Churchill</w:t>
      </w:r>
      <w:r w:rsidRPr="005F6D51">
        <w:rPr>
          <w:rFonts w:ascii="Calibri" w:eastAsia="Calibri" w:hAnsi="Calibri" w:cs="Calibri"/>
          <w:color w:val="3A7C22" w:themeColor="accent6" w:themeShade="BF"/>
        </w:rPr>
        <w:t xml:space="preserve">, discours de Zürich du </w:t>
      </w:r>
      <w:r w:rsidRPr="005F6D51">
        <w:rPr>
          <w:rFonts w:ascii="Calibri" w:eastAsia="Calibri" w:hAnsi="Calibri" w:cs="Calibri"/>
          <w:b/>
          <w:bCs/>
          <w:color w:val="3A7C22" w:themeColor="accent6" w:themeShade="BF"/>
        </w:rPr>
        <w:t>19 septembre 1946</w:t>
      </w:r>
      <w:r w:rsidRPr="005F6D51">
        <w:rPr>
          <w:rFonts w:ascii="Calibri" w:eastAsia="Calibri" w:hAnsi="Calibri" w:cs="Calibri"/>
          <w:color w:val="3A7C22" w:themeColor="accent6" w:themeShade="BF"/>
        </w:rPr>
        <w:t xml:space="preserve"> </w:t>
      </w:r>
      <w:r>
        <w:rPr>
          <w:rFonts w:ascii="Calibri" w:eastAsia="Calibri" w:hAnsi="Calibri" w:cs="Calibri"/>
          <w:color w:val="1A1A1A"/>
        </w:rPr>
        <w:t xml:space="preserve">; </w:t>
      </w:r>
      <w:r w:rsidRPr="005F6D51">
        <w:rPr>
          <w:rFonts w:ascii="Calibri" w:eastAsia="Calibri" w:hAnsi="Calibri" w:cs="Calibri"/>
          <w:color w:val="3A7C22" w:themeColor="accent6" w:themeShade="BF"/>
        </w:rPr>
        <w:t xml:space="preserve">R. Schuman, discours du Quai d’Orsay du </w:t>
      </w:r>
      <w:r w:rsidRPr="005F6D51">
        <w:rPr>
          <w:rFonts w:ascii="Calibri" w:eastAsia="Calibri" w:hAnsi="Calibri" w:cs="Calibri"/>
          <w:b/>
          <w:bCs/>
          <w:color w:val="3A7C22" w:themeColor="accent6" w:themeShade="BF"/>
        </w:rPr>
        <w:t>9 mai 1950</w:t>
      </w:r>
      <w:r>
        <w:rPr>
          <w:rFonts w:ascii="Calibri" w:eastAsia="Calibri" w:hAnsi="Calibri" w:cs="Calibri"/>
          <w:color w:val="1A1A1A"/>
        </w:rPr>
        <w:t xml:space="preserve">. Les mouvements favorables à une coopération se réunissent au sein du </w:t>
      </w:r>
      <w:r>
        <w:rPr>
          <w:rFonts w:ascii="Calibri" w:eastAsia="Calibri" w:hAnsi="Calibri" w:cs="Calibri"/>
          <w:b/>
          <w:bCs/>
          <w:color w:val="1A1A1A"/>
        </w:rPr>
        <w:t>Comité international de coordination des mouvements pour l’unité européenne (CICME)</w:t>
      </w:r>
      <w:r>
        <w:rPr>
          <w:rFonts w:ascii="Calibri" w:eastAsia="Calibri" w:hAnsi="Calibri" w:cs="Calibri"/>
          <w:color w:val="1A1A1A"/>
        </w:rPr>
        <w:t xml:space="preserve">, qui organise le </w:t>
      </w:r>
      <w:r>
        <w:rPr>
          <w:rFonts w:ascii="Calibri" w:eastAsia="Calibri" w:hAnsi="Calibri" w:cs="Calibri"/>
          <w:b/>
          <w:bCs/>
          <w:color w:val="1A1A1A"/>
        </w:rPr>
        <w:t>Congrès de l’Europe, tenu à La Haye du 7 au 10 mai 1948</w:t>
      </w:r>
      <w:r>
        <w:rPr>
          <w:rFonts w:ascii="Calibri" w:eastAsia="Calibri" w:hAnsi="Calibri" w:cs="Calibri"/>
          <w:color w:val="1A1A1A"/>
        </w:rPr>
        <w:t xml:space="preserve">. Une résolution y est adoptée, appelant à la création d’une Assemblée européenne, d’une union politique et économique, d’une </w:t>
      </w:r>
      <w:r>
        <w:rPr>
          <w:rFonts w:ascii="Calibri" w:eastAsia="Calibri" w:hAnsi="Calibri" w:cs="Calibri"/>
          <w:b/>
          <w:bCs/>
          <w:color w:val="1A1A1A"/>
        </w:rPr>
        <w:t>Cour suprême européenne</w:t>
      </w:r>
      <w:r>
        <w:rPr>
          <w:rFonts w:ascii="Calibri" w:eastAsia="Calibri" w:hAnsi="Calibri" w:cs="Calibri"/>
          <w:color w:val="1A1A1A"/>
        </w:rPr>
        <w:t xml:space="preserve"> et d’une </w:t>
      </w:r>
      <w:r>
        <w:rPr>
          <w:rFonts w:ascii="Calibri" w:eastAsia="Calibri" w:hAnsi="Calibri" w:cs="Calibri"/>
          <w:b/>
          <w:bCs/>
          <w:color w:val="1A1A1A"/>
        </w:rPr>
        <w:t>Charte des droits humains</w:t>
      </w:r>
      <w:r>
        <w:rPr>
          <w:rFonts w:ascii="Calibri" w:eastAsia="Calibri" w:hAnsi="Calibri" w:cs="Calibri"/>
          <w:color w:val="1A1A1A"/>
        </w:rPr>
        <w:t xml:space="preserve">. Les négociations aboutissent à un </w:t>
      </w:r>
      <w:r w:rsidRPr="009D5F76">
        <w:rPr>
          <w:rFonts w:ascii="Calibri" w:eastAsia="Calibri" w:hAnsi="Calibri" w:cs="Calibri"/>
          <w:b/>
          <w:bCs/>
          <w:color w:val="1A1A1A"/>
          <w:highlight w:val="yellow"/>
        </w:rPr>
        <w:t>compromis entre visions fédéralistes et unionistes</w:t>
      </w:r>
      <w:r>
        <w:rPr>
          <w:rFonts w:ascii="Calibri" w:eastAsia="Calibri" w:hAnsi="Calibri" w:cs="Calibri"/>
          <w:color w:val="1A1A1A"/>
        </w:rPr>
        <w:t xml:space="preserve"> ; les statuts, sous forme de traité international, sont signés à </w:t>
      </w:r>
      <w:r>
        <w:rPr>
          <w:rFonts w:ascii="Calibri" w:eastAsia="Calibri" w:hAnsi="Calibri" w:cs="Calibri"/>
          <w:b/>
          <w:bCs/>
          <w:color w:val="1A1A1A"/>
        </w:rPr>
        <w:t>Londres le 5 mai 1949</w:t>
      </w:r>
      <w:r>
        <w:rPr>
          <w:rFonts w:ascii="Calibri" w:eastAsia="Calibri" w:hAnsi="Calibri" w:cs="Calibri"/>
          <w:color w:val="1A1A1A"/>
        </w:rPr>
        <w:t>.</w:t>
      </w:r>
    </w:p>
    <w:p w14:paraId="31E6981B"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Composition</w:t>
      </w:r>
      <w:r>
        <w:rPr>
          <w:rFonts w:ascii="Calibri" w:eastAsia="Calibri" w:hAnsi="Calibri" w:cs="Calibri"/>
          <w:color w:val="1A1A1A"/>
        </w:rPr>
        <w:t xml:space="preserve"> : initialement 12 membres, l’organisation n’est plus limitée au seul périmètre de l’Europe occidentale ; elle compte </w:t>
      </w:r>
      <w:r>
        <w:rPr>
          <w:rFonts w:ascii="Calibri" w:eastAsia="Calibri" w:hAnsi="Calibri" w:cs="Calibri"/>
          <w:b/>
          <w:bCs/>
          <w:color w:val="1A1A1A"/>
        </w:rPr>
        <w:t>46 États parties</w:t>
      </w:r>
      <w:r>
        <w:rPr>
          <w:rFonts w:ascii="Calibri" w:eastAsia="Calibri" w:hAnsi="Calibri" w:cs="Calibri"/>
          <w:color w:val="1A1A1A"/>
        </w:rPr>
        <w:t xml:space="preserve"> depuis le départ effectif de la Fédération de Russie en septembre 2022.</w:t>
      </w:r>
    </w:p>
    <w:p w14:paraId="766621B1"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Le Secrétaire général</w:t>
      </w:r>
      <w:r>
        <w:rPr>
          <w:rFonts w:ascii="Calibri" w:eastAsia="Calibri" w:hAnsi="Calibri" w:cs="Calibri"/>
          <w:color w:val="1A1A1A"/>
        </w:rPr>
        <w:t xml:space="preserve"> : élu pour cinq ans par l’Assemblée parlementaire ; planification stratégique, orientation du programme d’activité et du budget ; représente l’organisation.</w:t>
      </w:r>
    </w:p>
    <w:p w14:paraId="47277F7F"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Le Comité des ministres</w:t>
      </w:r>
      <w:r>
        <w:rPr>
          <w:rFonts w:ascii="Calibri" w:eastAsia="Calibri" w:hAnsi="Calibri" w:cs="Calibri"/>
          <w:color w:val="1A1A1A"/>
        </w:rPr>
        <w:t xml:space="preserve"> : composé des ministres des affaires étrangères des 46 États ; oriente la politique de l’institution, valide le budget et </w:t>
      </w:r>
      <w:r>
        <w:rPr>
          <w:rFonts w:ascii="Calibri" w:eastAsia="Calibri" w:hAnsi="Calibri" w:cs="Calibri"/>
          <w:b/>
          <w:bCs/>
          <w:color w:val="1A1A1A"/>
        </w:rPr>
        <w:t>contrôle l’exécution par les États des arrêts rendus par la Cour</w:t>
      </w:r>
      <w:r>
        <w:rPr>
          <w:rFonts w:ascii="Calibri" w:eastAsia="Calibri" w:hAnsi="Calibri" w:cs="Calibri"/>
          <w:color w:val="1A1A1A"/>
        </w:rPr>
        <w:t>.</w:t>
      </w:r>
    </w:p>
    <w:p w14:paraId="5152F47E"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L’Assemblée parlementaire</w:t>
      </w:r>
      <w:r>
        <w:rPr>
          <w:rFonts w:ascii="Calibri" w:eastAsia="Calibri" w:hAnsi="Calibri" w:cs="Calibri"/>
          <w:color w:val="1A1A1A"/>
        </w:rPr>
        <w:t xml:space="preserve"> : organe délibérant, </w:t>
      </w:r>
      <w:r>
        <w:rPr>
          <w:rFonts w:ascii="Calibri" w:eastAsia="Calibri" w:hAnsi="Calibri" w:cs="Calibri"/>
          <w:b/>
          <w:bCs/>
          <w:color w:val="1A1A1A"/>
        </w:rPr>
        <w:t>306 membres</w:t>
      </w:r>
      <w:r>
        <w:rPr>
          <w:rFonts w:ascii="Calibri" w:eastAsia="Calibri" w:hAnsi="Calibri" w:cs="Calibri"/>
          <w:color w:val="1A1A1A"/>
        </w:rPr>
        <w:t xml:space="preserve"> issus des 46 États ; adopte des recommandations à destination du Comité des ministres et peut, sur demande de ce dernier, émettre des avis ; procède à l’</w:t>
      </w:r>
      <w:r>
        <w:rPr>
          <w:rFonts w:ascii="Calibri" w:eastAsia="Calibri" w:hAnsi="Calibri" w:cs="Calibri"/>
          <w:b/>
          <w:bCs/>
          <w:color w:val="1A1A1A"/>
        </w:rPr>
        <w:t>élection</w:t>
      </w:r>
      <w:r>
        <w:rPr>
          <w:rFonts w:ascii="Calibri" w:eastAsia="Calibri" w:hAnsi="Calibri" w:cs="Calibri"/>
          <w:color w:val="1A1A1A"/>
        </w:rPr>
        <w:t xml:space="preserve"> du Secrétaire général et du Secrétaire général adjoint, du Commissaire aux droits de l’homme et des juges de la Cour.</w:t>
      </w:r>
    </w:p>
    <w:p w14:paraId="767A58F1"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Le Congrès des pouvoirs locaux et régionaux</w:t>
      </w:r>
      <w:r>
        <w:rPr>
          <w:rFonts w:ascii="Calibri" w:eastAsia="Calibri" w:hAnsi="Calibri" w:cs="Calibri"/>
          <w:color w:val="1A1A1A"/>
        </w:rPr>
        <w:t xml:space="preserve"> : 306 membres élus pour cinq ans, issus des 46 États ; représente les pouvoirs locaux et régionaux et promeut la démocratie locale et régionale.</w:t>
      </w:r>
    </w:p>
    <w:p w14:paraId="4EB30737"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Le Commissaire aux droits de l’homme</w:t>
      </w:r>
      <w:r>
        <w:rPr>
          <w:rFonts w:ascii="Calibri" w:eastAsia="Calibri" w:hAnsi="Calibri" w:cs="Calibri"/>
          <w:color w:val="1A1A1A"/>
        </w:rPr>
        <w:t xml:space="preserve"> : organe </w:t>
      </w:r>
      <w:r>
        <w:rPr>
          <w:rFonts w:ascii="Calibri" w:eastAsia="Calibri" w:hAnsi="Calibri" w:cs="Calibri"/>
          <w:b/>
          <w:bCs/>
          <w:color w:val="1A1A1A"/>
        </w:rPr>
        <w:t>indépendant et non judiciaire</w:t>
      </w:r>
      <w:r>
        <w:rPr>
          <w:rFonts w:ascii="Calibri" w:eastAsia="Calibri" w:hAnsi="Calibri" w:cs="Calibri"/>
          <w:color w:val="1A1A1A"/>
        </w:rPr>
        <w:t xml:space="preserve">, institué par le Comité des ministres le </w:t>
      </w:r>
      <w:r>
        <w:rPr>
          <w:rFonts w:ascii="Calibri" w:eastAsia="Calibri" w:hAnsi="Calibri" w:cs="Calibri"/>
          <w:b/>
          <w:bCs/>
          <w:color w:val="1A1A1A"/>
        </w:rPr>
        <w:t>7 mai 1999</w:t>
      </w:r>
      <w:r>
        <w:rPr>
          <w:rFonts w:ascii="Calibri" w:eastAsia="Calibri" w:hAnsi="Calibri" w:cs="Calibri"/>
          <w:color w:val="1A1A1A"/>
        </w:rPr>
        <w:t xml:space="preserve"> ; visites dans les États, dialogue avec les gouvernements et la société civile, sensibilisation et prévention, rapports, avis et conseils ; peut participer à une affaire devant la Cour en qualité de </w:t>
      </w:r>
      <w:r>
        <w:rPr>
          <w:rFonts w:ascii="Calibri" w:eastAsia="Calibri" w:hAnsi="Calibri" w:cs="Calibri"/>
          <w:b/>
          <w:bCs/>
          <w:color w:val="1A1A1A"/>
        </w:rPr>
        <w:t>tiers intervenant</w:t>
      </w:r>
      <w:r>
        <w:rPr>
          <w:rFonts w:ascii="Calibri" w:eastAsia="Calibri" w:hAnsi="Calibri" w:cs="Calibri"/>
          <w:color w:val="1A1A1A"/>
        </w:rPr>
        <w:t xml:space="preserve"> (</w:t>
      </w:r>
      <w:r>
        <w:rPr>
          <w:rFonts w:ascii="Calibri" w:eastAsia="Calibri" w:hAnsi="Calibri" w:cs="Calibri"/>
          <w:color w:val="1E88E5"/>
        </w:rPr>
        <w:t>art. 36 de la Convention</w:t>
      </w:r>
      <w:r>
        <w:rPr>
          <w:rFonts w:ascii="Calibri" w:eastAsia="Calibri" w:hAnsi="Calibri" w:cs="Calibri"/>
          <w:color w:val="1A1A1A"/>
        </w:rPr>
        <w:t>).</w:t>
      </w:r>
    </w:p>
    <w:p w14:paraId="4528B7F3" w14:textId="77777777" w:rsidR="00E0256F" w:rsidRDefault="00000000">
      <w:pPr>
        <w:pStyle w:val="Titre3"/>
        <w:spacing w:before="200" w:after="90"/>
      </w:pPr>
      <w:r>
        <w:rPr>
          <w:rFonts w:ascii="Calibri" w:eastAsia="Calibri" w:hAnsi="Calibri" w:cs="Calibri"/>
          <w:b/>
          <w:bCs/>
          <w:i/>
          <w:iCs/>
          <w:color w:val="5A5A5A"/>
          <w:sz w:val="21"/>
          <w:szCs w:val="21"/>
        </w:rPr>
        <w:t>1.2. La diversité des normes adoptées</w:t>
      </w:r>
    </w:p>
    <w:p w14:paraId="4625BF7E"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En 2025, </w:t>
      </w:r>
      <w:r>
        <w:rPr>
          <w:rFonts w:ascii="Calibri" w:eastAsia="Calibri" w:hAnsi="Calibri" w:cs="Calibri"/>
          <w:b/>
          <w:bCs/>
          <w:color w:val="1A1A1A"/>
        </w:rPr>
        <w:t>226 traités internationaux et accords</w:t>
      </w:r>
      <w:r>
        <w:rPr>
          <w:rFonts w:ascii="Calibri" w:eastAsia="Calibri" w:hAnsi="Calibri" w:cs="Calibri"/>
          <w:color w:val="1A1A1A"/>
        </w:rPr>
        <w:t xml:space="preserve"> — traités, protocoles et révisions — ont été élaborés sous l’égide du Conseil de l’Europe. Exemple récent : la </w:t>
      </w:r>
      <w:r>
        <w:rPr>
          <w:rFonts w:ascii="Calibri" w:eastAsia="Calibri" w:hAnsi="Calibri" w:cs="Calibri"/>
          <w:color w:val="1E88E5"/>
        </w:rPr>
        <w:t>Convention sur la protection du métier d’avocat</w:t>
      </w:r>
      <w:r>
        <w:rPr>
          <w:rFonts w:ascii="Calibri" w:eastAsia="Calibri" w:hAnsi="Calibri" w:cs="Calibri"/>
          <w:color w:val="1A1A1A"/>
        </w:rPr>
        <w:t xml:space="preserve">, ouverte à la signature depuis le </w:t>
      </w:r>
      <w:r>
        <w:rPr>
          <w:rFonts w:ascii="Calibri" w:eastAsia="Calibri" w:hAnsi="Calibri" w:cs="Calibri"/>
          <w:b/>
          <w:bCs/>
          <w:color w:val="1A1A1A"/>
        </w:rPr>
        <w:t>13 mai 2025</w:t>
      </w:r>
      <w:r>
        <w:rPr>
          <w:rFonts w:ascii="Calibri" w:eastAsia="Calibri" w:hAnsi="Calibri" w:cs="Calibri"/>
          <w:color w:val="1A1A1A"/>
        </w:rPr>
        <w:t>.</w:t>
      </w:r>
    </w:p>
    <w:p w14:paraId="313012ED"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Normes non contraignantes</w:t>
      </w:r>
      <w:r>
        <w:rPr>
          <w:rFonts w:ascii="Calibri" w:eastAsia="Calibri" w:hAnsi="Calibri" w:cs="Calibri"/>
          <w:color w:val="1A1A1A"/>
        </w:rPr>
        <w:t xml:space="preserve"> : le Comité des ministres peut adopter des recommandations, déclarations ou résolutions sur des thématiques relevant des compétences de l’organisation (</w:t>
      </w:r>
      <w:r>
        <w:rPr>
          <w:rFonts w:ascii="Calibri" w:eastAsia="Calibri" w:hAnsi="Calibri" w:cs="Calibri"/>
          <w:color w:val="1E88E5"/>
        </w:rPr>
        <w:t>art. 15 du Statut du Conseil de l’Europe</w:t>
      </w:r>
      <w:r>
        <w:rPr>
          <w:rFonts w:ascii="Calibri" w:eastAsia="Calibri" w:hAnsi="Calibri" w:cs="Calibri"/>
          <w:color w:val="1A1A1A"/>
        </w:rPr>
        <w:t xml:space="preserve">). Exemple : la </w:t>
      </w:r>
      <w:r>
        <w:rPr>
          <w:rFonts w:ascii="Calibri" w:eastAsia="Calibri" w:hAnsi="Calibri" w:cs="Calibri"/>
          <w:color w:val="1E88E5"/>
        </w:rPr>
        <w:t>Charte européenne du Sport, recommandation CM/Rec(2021)5 du 13 octobre 2021</w:t>
      </w:r>
      <w:r>
        <w:rPr>
          <w:rFonts w:ascii="Calibri" w:eastAsia="Calibri" w:hAnsi="Calibri" w:cs="Calibri"/>
          <w:color w:val="1A1A1A"/>
        </w:rPr>
        <w:t>.</w:t>
      </w:r>
    </w:p>
    <w:p w14:paraId="1C52D2E2"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 Charte sociale européenne</w:t>
      </w:r>
      <w:r>
        <w:rPr>
          <w:rFonts w:ascii="Calibri" w:eastAsia="Calibri" w:hAnsi="Calibri" w:cs="Calibri"/>
          <w:color w:val="1A1A1A"/>
        </w:rPr>
        <w:t xml:space="preserve"> : adoptée à </w:t>
      </w:r>
      <w:r>
        <w:rPr>
          <w:rFonts w:ascii="Calibri" w:eastAsia="Calibri" w:hAnsi="Calibri" w:cs="Calibri"/>
          <w:b/>
          <w:bCs/>
          <w:color w:val="1A1A1A"/>
        </w:rPr>
        <w:t>Turin le 18 octobre 1961</w:t>
      </w:r>
      <w:r>
        <w:rPr>
          <w:rFonts w:ascii="Calibri" w:eastAsia="Calibri" w:hAnsi="Calibri" w:cs="Calibri"/>
          <w:color w:val="1A1A1A"/>
        </w:rPr>
        <w:t xml:space="preserve">, entrée en vigueur le 26 février 1965, révisée en profondeur le </w:t>
      </w:r>
      <w:r>
        <w:rPr>
          <w:rFonts w:ascii="Calibri" w:eastAsia="Calibri" w:hAnsi="Calibri" w:cs="Calibri"/>
          <w:b/>
          <w:bCs/>
          <w:color w:val="1A1A1A"/>
        </w:rPr>
        <w:t>3 mai 1996</w:t>
      </w:r>
      <w:r>
        <w:rPr>
          <w:rFonts w:ascii="Calibri" w:eastAsia="Calibri" w:hAnsi="Calibri" w:cs="Calibri"/>
          <w:color w:val="1A1A1A"/>
        </w:rPr>
        <w:t xml:space="preserve"> (entrée en vigueur en 1999), 46 signatures. Pendant des droits économiques et sociaux de la Convention, mais fonctionnement et contenu très différents : </w:t>
      </w:r>
      <w:r>
        <w:rPr>
          <w:rFonts w:ascii="Calibri" w:eastAsia="Calibri" w:hAnsi="Calibri" w:cs="Calibri"/>
          <w:b/>
          <w:bCs/>
          <w:color w:val="1A1A1A"/>
        </w:rPr>
        <w:t>système de ratification « à la carte »</w:t>
      </w:r>
      <w:r>
        <w:rPr>
          <w:rFonts w:ascii="Calibri" w:eastAsia="Calibri" w:hAnsi="Calibri" w:cs="Calibri"/>
          <w:color w:val="1A1A1A"/>
        </w:rPr>
        <w:t>, les États parties étant libres de choisir les stipulations leur étant obligatoires, sous réserve d’un nombre minimal (</w:t>
      </w:r>
      <w:r>
        <w:rPr>
          <w:rFonts w:ascii="Calibri" w:eastAsia="Calibri" w:hAnsi="Calibri" w:cs="Calibri"/>
          <w:color w:val="1E88E5"/>
        </w:rPr>
        <w:t>Partie III, art. A 1) de la Charte révisée</w:t>
      </w:r>
      <w:r>
        <w:rPr>
          <w:rFonts w:ascii="Calibri" w:eastAsia="Calibri" w:hAnsi="Calibri" w:cs="Calibri"/>
          <w:color w:val="1A1A1A"/>
        </w:rPr>
        <w:t xml:space="preserve">). Obligation de rapports </w:t>
      </w:r>
      <w:r>
        <w:rPr>
          <w:rFonts w:ascii="Calibri" w:eastAsia="Calibri" w:hAnsi="Calibri" w:cs="Calibri"/>
          <w:b/>
          <w:bCs/>
          <w:color w:val="1A1A1A"/>
        </w:rPr>
        <w:t>biannuels</w:t>
      </w:r>
      <w:r>
        <w:rPr>
          <w:rFonts w:ascii="Calibri" w:eastAsia="Calibri" w:hAnsi="Calibri" w:cs="Calibri"/>
          <w:color w:val="1A1A1A"/>
        </w:rPr>
        <w:t xml:space="preserve">, examinés par le </w:t>
      </w:r>
      <w:r>
        <w:rPr>
          <w:rFonts w:ascii="Calibri" w:eastAsia="Calibri" w:hAnsi="Calibri" w:cs="Calibri"/>
          <w:b/>
          <w:bCs/>
          <w:color w:val="1A1A1A"/>
        </w:rPr>
        <w:t>Comité européen des droits sociaux</w:t>
      </w:r>
      <w:r>
        <w:rPr>
          <w:rFonts w:ascii="Calibri" w:eastAsia="Calibri" w:hAnsi="Calibri" w:cs="Calibri"/>
          <w:color w:val="1A1A1A"/>
        </w:rPr>
        <w:t xml:space="preserve"> ; en cas de non-conformité, le Comité des ministres peut adopter une recommandation. Mécanisme complété en </w:t>
      </w:r>
      <w:r>
        <w:rPr>
          <w:rFonts w:ascii="Calibri" w:eastAsia="Calibri" w:hAnsi="Calibri" w:cs="Calibri"/>
          <w:b/>
          <w:bCs/>
          <w:color w:val="1A1A1A"/>
        </w:rPr>
        <w:t>1995</w:t>
      </w:r>
      <w:r>
        <w:rPr>
          <w:rFonts w:ascii="Calibri" w:eastAsia="Calibri" w:hAnsi="Calibri" w:cs="Calibri"/>
          <w:color w:val="1A1A1A"/>
        </w:rPr>
        <w:t xml:space="preserve"> par un protocole d’amendement instituant un système de </w:t>
      </w:r>
      <w:r>
        <w:rPr>
          <w:rFonts w:ascii="Calibri" w:eastAsia="Calibri" w:hAnsi="Calibri" w:cs="Calibri"/>
          <w:b/>
          <w:bCs/>
          <w:color w:val="1A1A1A"/>
        </w:rPr>
        <w:t>réclamations collectives</w:t>
      </w:r>
      <w:r>
        <w:rPr>
          <w:rFonts w:ascii="Calibri" w:eastAsia="Calibri" w:hAnsi="Calibri" w:cs="Calibri"/>
          <w:color w:val="1A1A1A"/>
        </w:rPr>
        <w:t xml:space="preserve"> pour les États l’ayant accepté.</w:t>
      </w:r>
    </w:p>
    <w:p w14:paraId="3070F834"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 Convention pour la protection des personnes à l’égard du traitement automatisé des données à caractère personnel</w:t>
      </w:r>
      <w:r>
        <w:rPr>
          <w:rFonts w:ascii="Calibri" w:eastAsia="Calibri" w:hAnsi="Calibri" w:cs="Calibri"/>
          <w:color w:val="1A1A1A"/>
        </w:rPr>
        <w:t xml:space="preserve"> : entrée en vigueur en </w:t>
      </w:r>
      <w:r>
        <w:rPr>
          <w:rFonts w:ascii="Calibri" w:eastAsia="Calibri" w:hAnsi="Calibri" w:cs="Calibri"/>
          <w:b/>
          <w:bCs/>
          <w:color w:val="1A1A1A"/>
        </w:rPr>
        <w:t>1985</w:t>
      </w:r>
      <w:r>
        <w:rPr>
          <w:rFonts w:ascii="Calibri" w:eastAsia="Calibri" w:hAnsi="Calibri" w:cs="Calibri"/>
          <w:color w:val="1A1A1A"/>
        </w:rPr>
        <w:t xml:space="preserve">, </w:t>
      </w:r>
      <w:r>
        <w:rPr>
          <w:rFonts w:ascii="Calibri" w:eastAsia="Calibri" w:hAnsi="Calibri" w:cs="Calibri"/>
          <w:b/>
          <w:bCs/>
          <w:color w:val="1A1A1A"/>
        </w:rPr>
        <w:t>premier texte international en la matière</w:t>
      </w:r>
      <w:r>
        <w:rPr>
          <w:rFonts w:ascii="Calibri" w:eastAsia="Calibri" w:hAnsi="Calibri" w:cs="Calibri"/>
          <w:color w:val="1A1A1A"/>
        </w:rPr>
        <w:t xml:space="preserve">. Pas d’organe juridictionnel permanent mais un </w:t>
      </w:r>
      <w:r>
        <w:rPr>
          <w:rFonts w:ascii="Calibri" w:eastAsia="Calibri" w:hAnsi="Calibri" w:cs="Calibri"/>
          <w:b/>
          <w:bCs/>
          <w:color w:val="1A1A1A"/>
        </w:rPr>
        <w:t>Comité consultatif</w:t>
      </w:r>
      <w:r>
        <w:rPr>
          <w:rFonts w:ascii="Calibri" w:eastAsia="Calibri" w:hAnsi="Calibri" w:cs="Calibri"/>
          <w:color w:val="1A1A1A"/>
        </w:rPr>
        <w:t xml:space="preserve"> chargé d’interpréter le texte et d’en assurer le suivi. Mobilisée par la Cour européenne à titre de droit international pertinent : </w:t>
      </w:r>
      <w:r>
        <w:rPr>
          <w:rFonts w:ascii="Calibri" w:eastAsia="Calibri" w:hAnsi="Calibri" w:cs="Calibri"/>
          <w:color w:val="E91E63"/>
        </w:rPr>
        <w:t>CEDH, GC, 4 mai 2000, Rotaru c. Roumanie, n° 28341/95</w:t>
      </w:r>
      <w:r>
        <w:rPr>
          <w:rFonts w:ascii="Calibri" w:eastAsia="Calibri" w:hAnsi="Calibri" w:cs="Calibri"/>
          <w:color w:val="1A1A1A"/>
        </w:rPr>
        <w:t>. Protocole d’amendement ouvert à la signature en 2018 afin de la moderniser.</w:t>
      </w:r>
    </w:p>
    <w:p w14:paraId="78EE9D08"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Les accords partiels</w:t>
      </w:r>
      <w:r>
        <w:rPr>
          <w:rFonts w:ascii="Calibri" w:eastAsia="Calibri" w:hAnsi="Calibri" w:cs="Calibri"/>
          <w:color w:val="1A1A1A"/>
        </w:rPr>
        <w:t xml:space="preserve"> : ce ne sont </w:t>
      </w:r>
      <w:r>
        <w:rPr>
          <w:rFonts w:ascii="Calibri" w:eastAsia="Calibri" w:hAnsi="Calibri" w:cs="Calibri"/>
          <w:b/>
          <w:bCs/>
          <w:color w:val="1A1A1A"/>
        </w:rPr>
        <w:t>pas des traités internationaux</w:t>
      </w:r>
      <w:r>
        <w:rPr>
          <w:rFonts w:ascii="Calibri" w:eastAsia="Calibri" w:hAnsi="Calibri" w:cs="Calibri"/>
          <w:color w:val="1A1A1A"/>
        </w:rPr>
        <w:t xml:space="preserve">. Ils permettent à des États membres de s’abstenir de participer à des plans d’action préconisés par d’autres, ou de s’associer à des États tiers pour mener à bien des activités communes. Ils doivent être autorisés préalablement par le Comité des ministres et faire l’objet d’une résolution de ce dernier, et comporter </w:t>
      </w:r>
      <w:proofErr w:type="gramStart"/>
      <w:r>
        <w:rPr>
          <w:rFonts w:ascii="Calibri" w:eastAsia="Calibri" w:hAnsi="Calibri" w:cs="Calibri"/>
          <w:i/>
          <w:iCs/>
          <w:color w:val="1A1A1A"/>
        </w:rPr>
        <w:t>a</w:t>
      </w:r>
      <w:proofErr w:type="gramEnd"/>
      <w:r>
        <w:rPr>
          <w:rFonts w:ascii="Calibri" w:eastAsia="Calibri" w:hAnsi="Calibri" w:cs="Calibri"/>
          <w:i/>
          <w:iCs/>
          <w:color w:val="1A1A1A"/>
        </w:rPr>
        <w:t xml:space="preserve"> minima</w:t>
      </w:r>
      <w:r>
        <w:rPr>
          <w:rFonts w:ascii="Calibri" w:eastAsia="Calibri" w:hAnsi="Calibri" w:cs="Calibri"/>
          <w:color w:val="1A1A1A"/>
        </w:rPr>
        <w:t xml:space="preserve"> </w:t>
      </w:r>
      <w:r>
        <w:rPr>
          <w:rFonts w:ascii="Calibri" w:eastAsia="Calibri" w:hAnsi="Calibri" w:cs="Calibri"/>
          <w:b/>
          <w:bCs/>
          <w:color w:val="1A1A1A"/>
        </w:rPr>
        <w:t>un tiers</w:t>
      </w:r>
      <w:r>
        <w:rPr>
          <w:rFonts w:ascii="Calibri" w:eastAsia="Calibri" w:hAnsi="Calibri" w:cs="Calibri"/>
          <w:color w:val="1A1A1A"/>
        </w:rPr>
        <w:t xml:space="preserve"> des États membres (</w:t>
      </w:r>
      <w:r>
        <w:rPr>
          <w:rFonts w:ascii="Calibri" w:eastAsia="Calibri" w:hAnsi="Calibri" w:cs="Calibri"/>
          <w:color w:val="1E88E5"/>
        </w:rPr>
        <w:t>résolution statutaire 93(28) du 14 mai 1993</w:t>
      </w:r>
      <w:r>
        <w:rPr>
          <w:rFonts w:ascii="Calibri" w:eastAsia="Calibri" w:hAnsi="Calibri" w:cs="Calibri"/>
          <w:color w:val="1A1A1A"/>
        </w:rPr>
        <w:t xml:space="preserve"> et </w:t>
      </w:r>
      <w:r>
        <w:rPr>
          <w:rFonts w:ascii="Calibri" w:eastAsia="Calibri" w:hAnsi="Calibri" w:cs="Calibri"/>
          <w:color w:val="1E88E5"/>
        </w:rPr>
        <w:t>résolution 96(36) du 17 octobre 1996</w:t>
      </w:r>
      <w:r>
        <w:rPr>
          <w:rFonts w:ascii="Calibri" w:eastAsia="Calibri" w:hAnsi="Calibri" w:cs="Calibri"/>
          <w:color w:val="1A1A1A"/>
        </w:rPr>
        <w:t xml:space="preserve">). Typologie : accord </w:t>
      </w:r>
      <w:r>
        <w:rPr>
          <w:rFonts w:ascii="Calibri" w:eastAsia="Calibri" w:hAnsi="Calibri" w:cs="Calibri"/>
          <w:b/>
          <w:bCs/>
          <w:color w:val="1A1A1A"/>
        </w:rPr>
        <w:t>partiel</w:t>
      </w:r>
      <w:r>
        <w:rPr>
          <w:rFonts w:ascii="Calibri" w:eastAsia="Calibri" w:hAnsi="Calibri" w:cs="Calibri"/>
          <w:color w:val="1A1A1A"/>
        </w:rPr>
        <w:t xml:space="preserve"> (une partie des États membres), </w:t>
      </w:r>
      <w:r>
        <w:rPr>
          <w:rFonts w:ascii="Calibri" w:eastAsia="Calibri" w:hAnsi="Calibri" w:cs="Calibri"/>
          <w:b/>
          <w:bCs/>
          <w:color w:val="1A1A1A"/>
        </w:rPr>
        <w:t>élargi</w:t>
      </w:r>
      <w:r>
        <w:rPr>
          <w:rFonts w:ascii="Calibri" w:eastAsia="Calibri" w:hAnsi="Calibri" w:cs="Calibri"/>
          <w:color w:val="1A1A1A"/>
        </w:rPr>
        <w:t xml:space="preserve"> (tous </w:t>
      </w:r>
      <w:r>
        <w:rPr>
          <w:rFonts w:ascii="Calibri" w:eastAsia="Calibri" w:hAnsi="Calibri" w:cs="Calibri"/>
          <w:color w:val="1A1A1A"/>
        </w:rPr>
        <w:lastRenderedPageBreak/>
        <w:t xml:space="preserve">les États membres et des États tiers), </w:t>
      </w:r>
      <w:r>
        <w:rPr>
          <w:rFonts w:ascii="Calibri" w:eastAsia="Calibri" w:hAnsi="Calibri" w:cs="Calibri"/>
          <w:b/>
          <w:bCs/>
          <w:color w:val="1A1A1A"/>
        </w:rPr>
        <w:t>partiel élargi</w:t>
      </w:r>
      <w:r>
        <w:rPr>
          <w:rFonts w:ascii="Calibri" w:eastAsia="Calibri" w:hAnsi="Calibri" w:cs="Calibri"/>
          <w:color w:val="1A1A1A"/>
        </w:rPr>
        <w:t xml:space="preserve"> (une partie des membres et des États tiers). Exemple : l’</w:t>
      </w:r>
      <w:r>
        <w:rPr>
          <w:rFonts w:ascii="Calibri" w:eastAsia="Calibri" w:hAnsi="Calibri" w:cs="Calibri"/>
          <w:color w:val="1E88E5"/>
        </w:rPr>
        <w:t>Accord partiel élargi sur le sport (APES), résolution CM/Res(2007)8 du 11 mai 2007</w:t>
      </w:r>
      <w:r>
        <w:rPr>
          <w:rFonts w:ascii="Calibri" w:eastAsia="Calibri" w:hAnsi="Calibri" w:cs="Calibri"/>
          <w:color w:val="1A1A1A"/>
        </w:rPr>
        <w:t>.</w:t>
      </w:r>
    </w:p>
    <w:p w14:paraId="750B3A4F"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sidRPr="00E457F7">
        <w:rPr>
          <w:rFonts w:ascii="Calibri" w:eastAsia="Calibri" w:hAnsi="Calibri" w:cs="Calibri"/>
          <w:b/>
          <w:bCs/>
          <w:color w:val="1A1A1A"/>
          <w:highlight w:val="yellow"/>
        </w:rPr>
        <w:t>Actualité</w:t>
      </w:r>
      <w:r>
        <w:rPr>
          <w:rFonts w:ascii="Calibri" w:eastAsia="Calibri" w:hAnsi="Calibri" w:cs="Calibri"/>
          <w:b/>
          <w:bCs/>
          <w:color w:val="1A1A1A"/>
        </w:rPr>
        <w:t xml:space="preserve"> — le premier traité international contraignant consacré à l’intelligence artificielle</w:t>
      </w:r>
      <w:r>
        <w:rPr>
          <w:rFonts w:ascii="Calibri" w:eastAsia="Calibri" w:hAnsi="Calibri" w:cs="Calibri"/>
          <w:color w:val="1A1A1A"/>
        </w:rPr>
        <w:t xml:space="preserve"> : </w:t>
      </w:r>
      <w:r>
        <w:rPr>
          <w:rFonts w:ascii="Calibri" w:eastAsia="Calibri" w:hAnsi="Calibri" w:cs="Calibri"/>
          <w:color w:val="1E88E5"/>
        </w:rPr>
        <w:t>Convention-cadre du Conseil de l’Europe sur l’intelligence artificielle et les droits de l’homme, la démocratie et l’État de droit, STCE n° 225</w:t>
      </w:r>
      <w:r>
        <w:rPr>
          <w:rFonts w:ascii="Calibri" w:eastAsia="Calibri" w:hAnsi="Calibri" w:cs="Calibri"/>
          <w:color w:val="1A1A1A"/>
        </w:rPr>
        <w:t xml:space="preserve">, ouverte à la signature le </w:t>
      </w:r>
      <w:r>
        <w:rPr>
          <w:rFonts w:ascii="Calibri" w:eastAsia="Calibri" w:hAnsi="Calibri" w:cs="Calibri"/>
          <w:b/>
          <w:bCs/>
          <w:color w:val="1A1A1A"/>
        </w:rPr>
        <w:t>5 septembre 2024</w:t>
      </w:r>
      <w:r>
        <w:rPr>
          <w:rFonts w:ascii="Calibri" w:eastAsia="Calibri" w:hAnsi="Calibri" w:cs="Calibri"/>
          <w:color w:val="1A1A1A"/>
        </w:rPr>
        <w:t xml:space="preserve">. Premier traité international — </w:t>
      </w:r>
      <w:r w:rsidRPr="00E457F7">
        <w:rPr>
          <w:rFonts w:ascii="Calibri" w:eastAsia="Calibri" w:hAnsi="Calibri" w:cs="Calibri"/>
          <w:color w:val="EE0000"/>
        </w:rPr>
        <w:t xml:space="preserve">à l’exception des textes européens </w:t>
      </w:r>
      <w:r>
        <w:rPr>
          <w:rFonts w:ascii="Calibri" w:eastAsia="Calibri" w:hAnsi="Calibri" w:cs="Calibri"/>
          <w:color w:val="1A1A1A"/>
        </w:rPr>
        <w:t xml:space="preserve">— juridiquement contraignant spécialement consacré à l’intelligence artificielle. Elle vise à garantir que les activités menées au cours du cycle de vie des systèmes d’IA demeurent compatibles avec les droits humains, la démocratie et l’État de droit : prise en compte des risques et incidences, exigences de transparence et de responsabilité, mécanismes de prévention et d’atténuation, possibilité pour les États d’envisager l’interdiction ou le moratoire de certaines utilisations particulièrement dangereuses. L’Union européenne l’a ratifiée le </w:t>
      </w:r>
      <w:r>
        <w:rPr>
          <w:rFonts w:ascii="Calibri" w:eastAsia="Calibri" w:hAnsi="Calibri" w:cs="Calibri"/>
          <w:b/>
          <w:bCs/>
          <w:color w:val="1A1A1A"/>
        </w:rPr>
        <w:t>15 mai 2026</w:t>
      </w:r>
      <w:r>
        <w:rPr>
          <w:rFonts w:ascii="Calibri" w:eastAsia="Calibri" w:hAnsi="Calibri" w:cs="Calibri"/>
          <w:color w:val="1A1A1A"/>
        </w:rPr>
        <w:t xml:space="preserve">, en précisant que, pour les acteurs privés, elle mettrait en œuvre ses obligations par l’intermédiaire du règlement européen sur l’intelligence artificielle. </w:t>
      </w:r>
      <w:r w:rsidRPr="00E457F7">
        <w:rPr>
          <w:rFonts w:ascii="Calibri" w:eastAsia="Calibri" w:hAnsi="Calibri" w:cs="Calibri"/>
          <w:b/>
          <w:bCs/>
          <w:color w:val="EE0000"/>
        </w:rPr>
        <w:t>Au mois d’août 2026, la Convention n’est pas encore entrée en vigueur</w:t>
      </w:r>
      <w:r w:rsidRPr="00E457F7">
        <w:rPr>
          <w:rFonts w:ascii="Calibri" w:eastAsia="Calibri" w:hAnsi="Calibri" w:cs="Calibri"/>
          <w:b/>
          <w:bCs/>
          <w:color w:val="1A1A1A"/>
        </w:rPr>
        <w:t>.</w:t>
      </w:r>
      <w:r w:rsidRPr="00E457F7">
        <w:rPr>
          <w:rFonts w:ascii="Calibri" w:eastAsia="Calibri" w:hAnsi="Calibri" w:cs="Calibri"/>
          <w:color w:val="1A1A1A"/>
          <w:highlight w:val="yellow"/>
        </w:rPr>
        <w:t xml:space="preserve"> </w:t>
      </w:r>
      <w:r w:rsidRPr="00E457F7">
        <w:rPr>
          <w:rFonts w:ascii="Calibri" w:eastAsia="Calibri" w:hAnsi="Calibri" w:cs="Calibri"/>
          <w:b/>
          <w:bCs/>
          <w:color w:val="1A1A1A"/>
          <w:highlight w:val="yellow"/>
        </w:rPr>
        <w:t>À retenir</w:t>
      </w:r>
      <w:r>
        <w:rPr>
          <w:rFonts w:ascii="Calibri" w:eastAsia="Calibri" w:hAnsi="Calibri" w:cs="Calibri"/>
          <w:color w:val="1A1A1A"/>
        </w:rPr>
        <w:t xml:space="preserve"> : la protection européenne des droits fondamentaux face à l’IA ne repose plus seulement sur le droit de l’Union ; le Conseil de l’Europe développe un cadre conventionnel susceptible d’avoir une portée géographique </w:t>
      </w:r>
      <w:r>
        <w:rPr>
          <w:rFonts w:ascii="Calibri" w:eastAsia="Calibri" w:hAnsi="Calibri" w:cs="Calibri"/>
          <w:b/>
          <w:bCs/>
          <w:color w:val="1A1A1A"/>
        </w:rPr>
        <w:t>plus large</w:t>
      </w:r>
      <w:r>
        <w:rPr>
          <w:rFonts w:ascii="Calibri" w:eastAsia="Calibri" w:hAnsi="Calibri" w:cs="Calibri"/>
          <w:color w:val="1A1A1A"/>
        </w:rPr>
        <w:t>.</w:t>
      </w:r>
    </w:p>
    <w:p w14:paraId="4AC8D306" w14:textId="77777777" w:rsidR="00E0256F" w:rsidRDefault="00000000">
      <w:pPr>
        <w:pStyle w:val="Titre2"/>
        <w:spacing w:before="280" w:after="120"/>
      </w:pPr>
      <w:r>
        <w:rPr>
          <w:rFonts w:ascii="Calibri" w:eastAsia="Calibri" w:hAnsi="Calibri" w:cs="Calibri"/>
          <w:b/>
          <w:bCs/>
          <w:color w:val="1A1A1A"/>
          <w:sz w:val="24"/>
          <w:szCs w:val="24"/>
        </w:rPr>
        <w:t>2. La Convention de sauvegarde des droits de l’homme et des libertés fondamentales</w:t>
      </w:r>
    </w:p>
    <w:p w14:paraId="15545D6E" w14:textId="77777777" w:rsidR="00E0256F" w:rsidRDefault="00000000">
      <w:pPr>
        <w:pStyle w:val="Titre3"/>
        <w:spacing w:before="200" w:after="90"/>
      </w:pPr>
      <w:r>
        <w:rPr>
          <w:rFonts w:ascii="Calibri" w:eastAsia="Calibri" w:hAnsi="Calibri" w:cs="Calibri"/>
          <w:b/>
          <w:bCs/>
          <w:i/>
          <w:iCs/>
          <w:color w:val="5A5A5A"/>
          <w:sz w:val="21"/>
          <w:szCs w:val="21"/>
        </w:rPr>
        <w:t>2.1. Les protocoles</w:t>
      </w:r>
    </w:p>
    <w:p w14:paraId="60910D0A"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La Convention a fait l’objet à ce jour de </w:t>
      </w:r>
      <w:r>
        <w:rPr>
          <w:rFonts w:ascii="Calibri" w:eastAsia="Calibri" w:hAnsi="Calibri" w:cs="Calibri"/>
          <w:b/>
          <w:bCs/>
          <w:color w:val="1A1A1A"/>
        </w:rPr>
        <w:t>seize protocoles</w:t>
      </w:r>
      <w:r>
        <w:rPr>
          <w:rFonts w:ascii="Calibri" w:eastAsia="Calibri" w:hAnsi="Calibri" w:cs="Calibri"/>
          <w:color w:val="1A1A1A"/>
        </w:rPr>
        <w:t xml:space="preserve">, véritables traités, de deux ordres. Les </w:t>
      </w:r>
      <w:r>
        <w:rPr>
          <w:rFonts w:ascii="Calibri" w:eastAsia="Calibri" w:hAnsi="Calibri" w:cs="Calibri"/>
          <w:b/>
          <w:bCs/>
          <w:color w:val="1A1A1A"/>
        </w:rPr>
        <w:t>protocoles additionnels</w:t>
      </w:r>
      <w:r>
        <w:rPr>
          <w:rFonts w:ascii="Calibri" w:eastAsia="Calibri" w:hAnsi="Calibri" w:cs="Calibri"/>
          <w:color w:val="1A1A1A"/>
        </w:rPr>
        <w:t xml:space="preserve"> ajoutent de nouveaux droits ; leur entrée en vigueur n’est pas conditionnée par la ratification de l’ensemble des parties contractantes, mais par un </w:t>
      </w:r>
      <w:r>
        <w:rPr>
          <w:rFonts w:ascii="Calibri" w:eastAsia="Calibri" w:hAnsi="Calibri" w:cs="Calibri"/>
          <w:b/>
          <w:bCs/>
          <w:color w:val="1A1A1A"/>
        </w:rPr>
        <w:t>nombre prédéterminé</w:t>
      </w:r>
      <w:r>
        <w:rPr>
          <w:rFonts w:ascii="Calibri" w:eastAsia="Calibri" w:hAnsi="Calibri" w:cs="Calibri"/>
          <w:color w:val="1A1A1A"/>
        </w:rPr>
        <w:t xml:space="preserve">, et ils ne produisent d’effet qu’à l’égard des États les ayant ratifiés. Les </w:t>
      </w:r>
      <w:r>
        <w:rPr>
          <w:rFonts w:ascii="Calibri" w:eastAsia="Calibri" w:hAnsi="Calibri" w:cs="Calibri"/>
          <w:b/>
          <w:bCs/>
          <w:color w:val="1A1A1A"/>
        </w:rPr>
        <w:t>protocoles d’amendement</w:t>
      </w:r>
      <w:r>
        <w:rPr>
          <w:rFonts w:ascii="Calibri" w:eastAsia="Calibri" w:hAnsi="Calibri" w:cs="Calibri"/>
          <w:color w:val="1A1A1A"/>
        </w:rPr>
        <w:t xml:space="preserve"> modifient le texte initial et requièrent la ratification par l’</w:t>
      </w:r>
      <w:r>
        <w:rPr>
          <w:rFonts w:ascii="Calibri" w:eastAsia="Calibri" w:hAnsi="Calibri" w:cs="Calibri"/>
          <w:b/>
          <w:bCs/>
          <w:color w:val="1A1A1A"/>
        </w:rPr>
        <w:t>intégralité</w:t>
      </w:r>
      <w:r>
        <w:rPr>
          <w:rFonts w:ascii="Calibri" w:eastAsia="Calibri" w:hAnsi="Calibri" w:cs="Calibri"/>
          <w:color w:val="1A1A1A"/>
        </w:rPr>
        <w:t xml:space="preserve"> des Hautes Parties contractantes — ainsi le quinzième protocole, adopté le 24 juin 2013, n’est-il entré en vigueur que le </w:t>
      </w:r>
      <w:r>
        <w:rPr>
          <w:rFonts w:ascii="Calibri" w:eastAsia="Calibri" w:hAnsi="Calibri" w:cs="Calibri"/>
          <w:b/>
          <w:bCs/>
          <w:color w:val="1A1A1A"/>
        </w:rPr>
        <w:t>1er août 2021</w:t>
      </w:r>
      <w:r>
        <w:rPr>
          <w:rFonts w:ascii="Calibri" w:eastAsia="Calibri" w:hAnsi="Calibri" w:cs="Calibri"/>
          <w:color w:val="1A1A1A"/>
        </w:rPr>
        <w:t>.</w:t>
      </w:r>
    </w:p>
    <w:p w14:paraId="37AE2ECC" w14:textId="77777777" w:rsidR="00E0256F" w:rsidRDefault="00000000">
      <w:pPr>
        <w:pStyle w:val="Paragraphedeliste"/>
        <w:numPr>
          <w:ilvl w:val="0"/>
          <w:numId w:val="2"/>
        </w:numPr>
        <w:spacing w:after="70" w:line="264" w:lineRule="auto"/>
        <w:jc w:val="both"/>
      </w:pPr>
      <w:r>
        <w:rPr>
          <w:rFonts w:ascii="Calibri" w:eastAsia="Calibri" w:hAnsi="Calibri" w:cs="Calibri"/>
          <w:color w:val="1E88E5"/>
        </w:rPr>
        <w:t>Protocole n° 16</w:t>
      </w:r>
      <w:r>
        <w:rPr>
          <w:rFonts w:ascii="Calibri" w:eastAsia="Calibri" w:hAnsi="Calibri" w:cs="Calibri"/>
          <w:color w:val="1A1A1A"/>
        </w:rPr>
        <w:t xml:space="preserve"> : possibilité pour les hautes juridictions des États signataires de saisir la Cour pour </w:t>
      </w:r>
      <w:r>
        <w:rPr>
          <w:rFonts w:ascii="Calibri" w:eastAsia="Calibri" w:hAnsi="Calibri" w:cs="Calibri"/>
          <w:b/>
          <w:bCs/>
          <w:color w:val="1A1A1A"/>
        </w:rPr>
        <w:t>avis consultatif</w:t>
      </w:r>
      <w:r>
        <w:rPr>
          <w:rFonts w:ascii="Calibri" w:eastAsia="Calibri" w:hAnsi="Calibri" w:cs="Calibri"/>
          <w:color w:val="1A1A1A"/>
        </w:rPr>
        <w:t xml:space="preserve"> ; entré en vigueur le </w:t>
      </w:r>
      <w:r>
        <w:rPr>
          <w:rFonts w:ascii="Calibri" w:eastAsia="Calibri" w:hAnsi="Calibri" w:cs="Calibri"/>
          <w:b/>
          <w:bCs/>
          <w:color w:val="1A1A1A"/>
        </w:rPr>
        <w:t>1er août 2018</w:t>
      </w:r>
      <w:r>
        <w:rPr>
          <w:rFonts w:ascii="Calibri" w:eastAsia="Calibri" w:hAnsi="Calibri" w:cs="Calibri"/>
          <w:color w:val="1A1A1A"/>
        </w:rPr>
        <w:t xml:space="preserve"> à la suite de sa ratification par la France. </w:t>
      </w:r>
      <w:r>
        <w:rPr>
          <w:rFonts w:ascii="Calibri" w:eastAsia="Calibri" w:hAnsi="Calibri" w:cs="Calibri"/>
          <w:color w:val="1E88E5"/>
        </w:rPr>
        <w:t>Protocole n° 13</w:t>
      </w:r>
      <w:r>
        <w:rPr>
          <w:rFonts w:ascii="Calibri" w:eastAsia="Calibri" w:hAnsi="Calibri" w:cs="Calibri"/>
          <w:color w:val="1A1A1A"/>
        </w:rPr>
        <w:t xml:space="preserve"> : abolition de la peine de mort, entré en vigueur le </w:t>
      </w:r>
      <w:r>
        <w:rPr>
          <w:rFonts w:ascii="Calibri" w:eastAsia="Calibri" w:hAnsi="Calibri" w:cs="Calibri"/>
          <w:b/>
          <w:bCs/>
          <w:color w:val="1A1A1A"/>
        </w:rPr>
        <w:t>1er juillet 2003</w:t>
      </w:r>
      <w:r>
        <w:rPr>
          <w:rFonts w:ascii="Calibri" w:eastAsia="Calibri" w:hAnsi="Calibri" w:cs="Calibri"/>
          <w:color w:val="1A1A1A"/>
        </w:rPr>
        <w:t xml:space="preserve">. </w:t>
      </w:r>
      <w:r>
        <w:rPr>
          <w:rFonts w:ascii="Calibri" w:eastAsia="Calibri" w:hAnsi="Calibri" w:cs="Calibri"/>
          <w:color w:val="1E88E5"/>
        </w:rPr>
        <w:t>Protocole n° 12</w:t>
      </w:r>
      <w:r>
        <w:rPr>
          <w:rFonts w:ascii="Calibri" w:eastAsia="Calibri" w:hAnsi="Calibri" w:cs="Calibri"/>
          <w:color w:val="1A1A1A"/>
        </w:rPr>
        <w:t xml:space="preserve"> : interdiction </w:t>
      </w:r>
      <w:r>
        <w:rPr>
          <w:rFonts w:ascii="Calibri" w:eastAsia="Calibri" w:hAnsi="Calibri" w:cs="Calibri"/>
          <w:b/>
          <w:bCs/>
          <w:color w:val="1A1A1A"/>
        </w:rPr>
        <w:t>générale et autonome</w:t>
      </w:r>
      <w:r>
        <w:rPr>
          <w:rFonts w:ascii="Calibri" w:eastAsia="Calibri" w:hAnsi="Calibri" w:cs="Calibri"/>
          <w:color w:val="1A1A1A"/>
        </w:rPr>
        <w:t xml:space="preserve"> de la discrimination en son </w:t>
      </w:r>
      <w:r>
        <w:rPr>
          <w:rFonts w:ascii="Calibri" w:eastAsia="Calibri" w:hAnsi="Calibri" w:cs="Calibri"/>
          <w:color w:val="1E88E5"/>
        </w:rPr>
        <w:t>art. 1er</w:t>
      </w:r>
      <w:r>
        <w:rPr>
          <w:rFonts w:ascii="Calibri" w:eastAsia="Calibri" w:hAnsi="Calibri" w:cs="Calibri"/>
          <w:color w:val="1A1A1A"/>
        </w:rPr>
        <w:t xml:space="preserve"> ; entré en vigueur le 1er avril 2005 ; </w:t>
      </w:r>
      <w:r>
        <w:rPr>
          <w:rFonts w:ascii="Calibri" w:eastAsia="Calibri" w:hAnsi="Calibri" w:cs="Calibri"/>
          <w:b/>
          <w:bCs/>
          <w:color w:val="1A1A1A"/>
        </w:rPr>
        <w:t>non signé par la France</w:t>
      </w:r>
      <w:r>
        <w:rPr>
          <w:rFonts w:ascii="Calibri" w:eastAsia="Calibri" w:hAnsi="Calibri" w:cs="Calibri"/>
          <w:color w:val="1A1A1A"/>
        </w:rPr>
        <w:t>, ratifié par vingt États seulement.</w:t>
      </w:r>
    </w:p>
    <w:p w14:paraId="30460CBF" w14:textId="77777777" w:rsidR="00E0256F" w:rsidRDefault="00000000">
      <w:pPr>
        <w:pStyle w:val="Titre3"/>
        <w:spacing w:before="200" w:after="90"/>
      </w:pPr>
      <w:r>
        <w:rPr>
          <w:rFonts w:ascii="Calibri" w:eastAsia="Calibri" w:hAnsi="Calibri" w:cs="Calibri"/>
          <w:b/>
          <w:bCs/>
          <w:i/>
          <w:iCs/>
          <w:color w:val="5A5A5A"/>
          <w:sz w:val="21"/>
          <w:szCs w:val="21"/>
        </w:rPr>
        <w:t>2.2. Primauté et effet direct</w:t>
      </w:r>
    </w:p>
    <w:p w14:paraId="0A63BD8D" w14:textId="77777777" w:rsidR="00E0256F" w:rsidRDefault="00000000">
      <w:pPr>
        <w:pStyle w:val="Paragraphedeliste"/>
        <w:numPr>
          <w:ilvl w:val="0"/>
          <w:numId w:val="2"/>
        </w:numPr>
        <w:spacing w:after="70" w:line="264" w:lineRule="auto"/>
        <w:jc w:val="both"/>
      </w:pPr>
      <w:r>
        <w:rPr>
          <w:rFonts w:ascii="Calibri" w:eastAsia="Calibri" w:hAnsi="Calibri" w:cs="Calibri"/>
          <w:color w:val="1E88E5"/>
        </w:rPr>
        <w:t>Art. 1er de la Convention</w:t>
      </w:r>
      <w:r>
        <w:rPr>
          <w:rFonts w:ascii="Calibri" w:eastAsia="Calibri" w:hAnsi="Calibri" w:cs="Calibri"/>
          <w:color w:val="1A1A1A"/>
        </w:rPr>
        <w:t xml:space="preserve"> : en tant que traité international, elle oblige en premier lieu les États signataires, mais le mécanisme va au-delà puisqu’elle consacre des </w:t>
      </w:r>
      <w:r>
        <w:rPr>
          <w:rFonts w:ascii="Calibri" w:eastAsia="Calibri" w:hAnsi="Calibri" w:cs="Calibri"/>
          <w:b/>
          <w:bCs/>
          <w:color w:val="1A1A1A"/>
        </w:rPr>
        <w:t>droits objectifs</w:t>
      </w:r>
      <w:r>
        <w:rPr>
          <w:rFonts w:ascii="Calibri" w:eastAsia="Calibri" w:hAnsi="Calibri" w:cs="Calibri"/>
          <w:color w:val="1A1A1A"/>
        </w:rPr>
        <w:t xml:space="preserve"> dont les États sont tenus de garantir le respect. Conséquence : les États ne peuvent invoquer le principe de </w:t>
      </w:r>
      <w:r>
        <w:rPr>
          <w:rFonts w:ascii="Calibri" w:eastAsia="Calibri" w:hAnsi="Calibri" w:cs="Calibri"/>
          <w:b/>
          <w:bCs/>
          <w:color w:val="1A1A1A"/>
        </w:rPr>
        <w:t>réciprocité</w:t>
      </w:r>
      <w:r>
        <w:rPr>
          <w:rFonts w:ascii="Calibri" w:eastAsia="Calibri" w:hAnsi="Calibri" w:cs="Calibri"/>
          <w:color w:val="1A1A1A"/>
        </w:rPr>
        <w:t xml:space="preserve"> pour se libérer de leurs obligations, comme ils le pourraient en vertu d’autres traités — ★ </w:t>
      </w:r>
      <w:r>
        <w:rPr>
          <w:rFonts w:ascii="Calibri" w:eastAsia="Calibri" w:hAnsi="Calibri" w:cs="Calibri"/>
          <w:color w:val="E91E63"/>
        </w:rPr>
        <w:t>CEDH, déc., 11 janvier 1961, Autriche c. Italie, n° 788/60</w:t>
      </w:r>
      <w:r>
        <w:rPr>
          <w:rFonts w:ascii="Calibri" w:eastAsia="Calibri" w:hAnsi="Calibri" w:cs="Calibri"/>
          <w:color w:val="1A1A1A"/>
        </w:rPr>
        <w:t>.</w:t>
      </w:r>
    </w:p>
    <w:p w14:paraId="2F6B8C9C" w14:textId="77777777" w:rsidR="00E0256F" w:rsidRDefault="00000000">
      <w:pPr>
        <w:pStyle w:val="Paragraphedeliste"/>
        <w:numPr>
          <w:ilvl w:val="0"/>
          <w:numId w:val="2"/>
        </w:numPr>
        <w:spacing w:after="70" w:line="264" w:lineRule="auto"/>
        <w:jc w:val="both"/>
      </w:pPr>
      <w:r>
        <w:rPr>
          <w:rFonts w:ascii="Calibri" w:eastAsia="Calibri" w:hAnsi="Calibri" w:cs="Calibri"/>
          <w:color w:val="E91E63"/>
        </w:rPr>
        <w:t>CEDH, GC, 30 janvier 1998, Parti communiste unifié de Turquie et a. c. Turquie, n° 19392/92</w:t>
      </w:r>
      <w:r>
        <w:rPr>
          <w:rFonts w:ascii="Calibri" w:eastAsia="Calibri" w:hAnsi="Calibri" w:cs="Calibri"/>
          <w:color w:val="1A1A1A"/>
        </w:rPr>
        <w:t xml:space="preserve"> et </w:t>
      </w:r>
      <w:r>
        <w:rPr>
          <w:rFonts w:ascii="Calibri" w:eastAsia="Calibri" w:hAnsi="Calibri" w:cs="Calibri"/>
          <w:color w:val="E91E63"/>
        </w:rPr>
        <w:t>CEDH, 28 octobre 1999, Zielinski et Pradal et Gonzalez et a. c. France, n° 24846/94 et 34165/96 à 34173/96</w:t>
      </w:r>
      <w:r>
        <w:rPr>
          <w:rFonts w:ascii="Calibri" w:eastAsia="Calibri" w:hAnsi="Calibri" w:cs="Calibri"/>
          <w:color w:val="1A1A1A"/>
        </w:rPr>
        <w:t xml:space="preserve"> : </w:t>
      </w:r>
      <w:r w:rsidRPr="00590759">
        <w:rPr>
          <w:rFonts w:ascii="Calibri" w:eastAsia="Calibri" w:hAnsi="Calibri" w:cs="Calibri"/>
          <w:color w:val="000000" w:themeColor="text1"/>
          <w:highlight w:val="yellow"/>
        </w:rPr>
        <w:t>la Convention jouit d’une primauté sur l’ensemble du droit interne des États parties</w:t>
      </w:r>
      <w:r>
        <w:rPr>
          <w:rFonts w:ascii="Calibri" w:eastAsia="Calibri" w:hAnsi="Calibri" w:cs="Calibri"/>
          <w:color w:val="1A1A1A"/>
        </w:rPr>
        <w:t xml:space="preserve">, </w:t>
      </w:r>
      <w:r>
        <w:rPr>
          <w:rFonts w:ascii="Calibri" w:eastAsia="Calibri" w:hAnsi="Calibri" w:cs="Calibri"/>
          <w:b/>
          <w:bCs/>
          <w:color w:val="1A1A1A"/>
        </w:rPr>
        <w:t>qu’il s’agisse de dispositions législatives ou constitutionnelles</w:t>
      </w:r>
      <w:r>
        <w:rPr>
          <w:rFonts w:ascii="Calibri" w:eastAsia="Calibri" w:hAnsi="Calibri" w:cs="Calibri"/>
          <w:color w:val="1A1A1A"/>
        </w:rPr>
        <w:t>.</w:t>
      </w:r>
    </w:p>
    <w:p w14:paraId="4BFE13F7"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Mise en œuvre interne</w:t>
      </w:r>
      <w:r>
        <w:rPr>
          <w:rFonts w:ascii="Calibri" w:eastAsia="Calibri" w:hAnsi="Calibri" w:cs="Calibri"/>
          <w:color w:val="1A1A1A"/>
        </w:rPr>
        <w:t xml:space="preserve"> : le </w:t>
      </w:r>
      <w:r w:rsidRPr="00590759">
        <w:rPr>
          <w:rFonts w:ascii="Calibri" w:eastAsia="Calibri" w:hAnsi="Calibri" w:cs="Calibri"/>
          <w:color w:val="1A1A1A"/>
          <w:highlight w:val="yellow"/>
        </w:rPr>
        <w:t>contrôle de conventionnalité</w:t>
      </w:r>
      <w:r>
        <w:rPr>
          <w:rFonts w:ascii="Calibri" w:eastAsia="Calibri" w:hAnsi="Calibri" w:cs="Calibri"/>
          <w:color w:val="1A1A1A"/>
        </w:rPr>
        <w:t xml:space="preserve"> — </w:t>
      </w:r>
      <w:r>
        <w:rPr>
          <w:rFonts w:ascii="Calibri" w:eastAsia="Calibri" w:hAnsi="Calibri" w:cs="Calibri"/>
          <w:color w:val="E91E63"/>
        </w:rPr>
        <w:t>Cass., ch. mixte, 24 mai 1975, Société des Cafés Jacques Vabre, n° 73-13.556</w:t>
      </w:r>
      <w:r>
        <w:rPr>
          <w:rFonts w:ascii="Calibri" w:eastAsia="Calibri" w:hAnsi="Calibri" w:cs="Calibri"/>
          <w:color w:val="1A1A1A"/>
        </w:rPr>
        <w:t xml:space="preserve"> ; </w:t>
      </w:r>
      <w:r>
        <w:rPr>
          <w:rFonts w:ascii="Calibri" w:eastAsia="Calibri" w:hAnsi="Calibri" w:cs="Calibri"/>
          <w:color w:val="E91E63"/>
        </w:rPr>
        <w:t>CE, Ass., 20 octobre 1989, Nicolo, n° 108243</w:t>
      </w:r>
      <w:r>
        <w:rPr>
          <w:rFonts w:ascii="Calibri" w:eastAsia="Calibri" w:hAnsi="Calibri" w:cs="Calibri"/>
          <w:color w:val="1A1A1A"/>
        </w:rPr>
        <w:t>. Lorsque la norme interne s’avère contraire ou incompatible, le juge doit l’</w:t>
      </w:r>
      <w:r>
        <w:rPr>
          <w:rFonts w:ascii="Calibri" w:eastAsia="Calibri" w:hAnsi="Calibri" w:cs="Calibri"/>
          <w:b/>
          <w:bCs/>
          <w:color w:val="1A1A1A"/>
        </w:rPr>
        <w:t>écarter</w:t>
      </w:r>
      <w:r>
        <w:rPr>
          <w:rFonts w:ascii="Calibri" w:eastAsia="Calibri" w:hAnsi="Calibri" w:cs="Calibri"/>
          <w:color w:val="1A1A1A"/>
        </w:rPr>
        <w:t xml:space="preserve"> au profit de la norme issue du traité.</w:t>
      </w:r>
    </w:p>
    <w:p w14:paraId="6D50B5A8"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Cass. crim., 3 juin 1975, Respino, n° 75-90.687</w:t>
      </w:r>
      <w:r>
        <w:rPr>
          <w:rFonts w:ascii="Calibri" w:eastAsia="Calibri" w:hAnsi="Calibri" w:cs="Calibri"/>
          <w:color w:val="1A1A1A"/>
        </w:rPr>
        <w:t xml:space="preserve"> : effet direct reconnu non seulement dans les litiges opposant un particulier à l’État, mais également au sein des </w:t>
      </w:r>
      <w:r>
        <w:rPr>
          <w:rFonts w:ascii="Calibri" w:eastAsia="Calibri" w:hAnsi="Calibri" w:cs="Calibri"/>
          <w:b/>
          <w:bCs/>
          <w:color w:val="1A1A1A"/>
        </w:rPr>
        <w:t>relations interindividuelles</w:t>
      </w:r>
      <w:r>
        <w:rPr>
          <w:rFonts w:ascii="Calibri" w:eastAsia="Calibri" w:hAnsi="Calibri" w:cs="Calibri"/>
          <w:color w:val="1A1A1A"/>
        </w:rPr>
        <w:t xml:space="preserve">. Application horizontale directe en matière contractuelle : </w:t>
      </w:r>
      <w:r>
        <w:rPr>
          <w:rFonts w:ascii="Calibri" w:eastAsia="Calibri" w:hAnsi="Calibri" w:cs="Calibri"/>
          <w:color w:val="E91E63"/>
        </w:rPr>
        <w:t>Cass. civ. 3e, 6 mars 1996, Mel Yedei, n° 93-11.113</w:t>
      </w:r>
      <w:r>
        <w:rPr>
          <w:rFonts w:ascii="Calibri" w:eastAsia="Calibri" w:hAnsi="Calibri" w:cs="Calibri"/>
          <w:color w:val="1A1A1A"/>
        </w:rPr>
        <w:t xml:space="preserve"> ; voir également </w:t>
      </w:r>
      <w:r>
        <w:rPr>
          <w:rFonts w:ascii="Calibri" w:eastAsia="Calibri" w:hAnsi="Calibri" w:cs="Calibri"/>
          <w:color w:val="E91E63"/>
        </w:rPr>
        <w:t>Cass. soc., 14 janvier 2014, n° 12-27.284</w:t>
      </w:r>
      <w:r>
        <w:rPr>
          <w:rFonts w:ascii="Calibri" w:eastAsia="Calibri" w:hAnsi="Calibri" w:cs="Calibri"/>
          <w:color w:val="1A1A1A"/>
        </w:rPr>
        <w:t>.</w:t>
      </w:r>
    </w:p>
    <w:p w14:paraId="4C55E072" w14:textId="77777777" w:rsidR="00E0256F" w:rsidRDefault="00000000">
      <w:pPr>
        <w:pStyle w:val="Titre3"/>
        <w:spacing w:before="200" w:after="90"/>
      </w:pPr>
      <w:r>
        <w:rPr>
          <w:rFonts w:ascii="Calibri" w:eastAsia="Calibri" w:hAnsi="Calibri" w:cs="Calibri"/>
          <w:b/>
          <w:bCs/>
          <w:i/>
          <w:iCs/>
          <w:color w:val="5A5A5A"/>
          <w:sz w:val="21"/>
          <w:szCs w:val="21"/>
        </w:rPr>
        <w:t>2.3. La subsidiarité</w:t>
      </w:r>
    </w:p>
    <w:p w14:paraId="15905D58" w14:textId="77777777" w:rsidR="00E0256F" w:rsidRDefault="00000000">
      <w:pPr>
        <w:pStyle w:val="Paragraphedeliste"/>
        <w:numPr>
          <w:ilvl w:val="0"/>
          <w:numId w:val="2"/>
        </w:numPr>
        <w:spacing w:after="70" w:line="264" w:lineRule="auto"/>
        <w:jc w:val="both"/>
      </w:pPr>
      <w:r>
        <w:rPr>
          <w:rFonts w:ascii="Calibri" w:eastAsia="Calibri" w:hAnsi="Calibri" w:cs="Calibri"/>
          <w:color w:val="E91E63"/>
        </w:rPr>
        <w:t>CEDH, 23 juillet 1968, Affaire relative à certains aspects du régime linguistique de l’enseignement en Belgique c. Belgique, n° 1474/62, 1677/62, 1691/62, 1769/63, 1994/63 et 2126/64</w:t>
      </w:r>
      <w:r>
        <w:rPr>
          <w:rFonts w:ascii="Calibri" w:eastAsia="Calibri" w:hAnsi="Calibri" w:cs="Calibri"/>
          <w:color w:val="1A1A1A"/>
        </w:rPr>
        <w:t xml:space="preserve"> : première reconnaissance du principe de subsidiarité par le juge strasbourgeois.</w:t>
      </w:r>
    </w:p>
    <w:p w14:paraId="5E59A9F8"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Consécration textuelle par le </w:t>
      </w:r>
      <w:r>
        <w:rPr>
          <w:rFonts w:ascii="Calibri" w:eastAsia="Calibri" w:hAnsi="Calibri" w:cs="Calibri"/>
          <w:color w:val="1E88E5"/>
        </w:rPr>
        <w:t>Protocole additionnel n° 15</w:t>
      </w:r>
      <w:r>
        <w:rPr>
          <w:rFonts w:ascii="Calibri" w:eastAsia="Calibri" w:hAnsi="Calibri" w:cs="Calibri"/>
          <w:color w:val="1A1A1A"/>
        </w:rPr>
        <w:t xml:space="preserve">, adopté en 2013 et entré en vigueur le 1er août 2021 : </w:t>
      </w:r>
      <w:r>
        <w:rPr>
          <w:rFonts w:ascii="Calibri" w:eastAsia="Calibri" w:hAnsi="Calibri" w:cs="Calibri"/>
          <w:b/>
          <w:bCs/>
          <w:color w:val="1A1A1A"/>
        </w:rPr>
        <w:t>principe modérateur</w:t>
      </w:r>
      <w:r>
        <w:rPr>
          <w:rFonts w:ascii="Calibri" w:eastAsia="Calibri" w:hAnsi="Calibri" w:cs="Calibri"/>
          <w:color w:val="1A1A1A"/>
        </w:rPr>
        <w:t xml:space="preserve"> laissant une plus ample marge de manœuvre aux États ; il consacre également textuellement la </w:t>
      </w:r>
      <w:r>
        <w:rPr>
          <w:rFonts w:ascii="Calibri" w:eastAsia="Calibri" w:hAnsi="Calibri" w:cs="Calibri"/>
          <w:b/>
          <w:bCs/>
          <w:color w:val="1A1A1A"/>
        </w:rPr>
        <w:t>marge nationale d’appréciation</w:t>
      </w:r>
      <w:r>
        <w:rPr>
          <w:rFonts w:ascii="Calibri" w:eastAsia="Calibri" w:hAnsi="Calibri" w:cs="Calibri"/>
          <w:color w:val="1A1A1A"/>
        </w:rPr>
        <w:t xml:space="preserve"> en l’introduisant dans le </w:t>
      </w:r>
      <w:r>
        <w:rPr>
          <w:rFonts w:ascii="Calibri" w:eastAsia="Calibri" w:hAnsi="Calibri" w:cs="Calibri"/>
          <w:b/>
          <w:bCs/>
          <w:color w:val="1A1A1A"/>
        </w:rPr>
        <w:t>préambule</w:t>
      </w:r>
      <w:r>
        <w:rPr>
          <w:rFonts w:ascii="Calibri" w:eastAsia="Calibri" w:hAnsi="Calibri" w:cs="Calibri"/>
          <w:color w:val="1A1A1A"/>
        </w:rPr>
        <w:t xml:space="preserve"> de la Convention.</w:t>
      </w:r>
    </w:p>
    <w:p w14:paraId="30DA875B"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lastRenderedPageBreak/>
        <w:t xml:space="preserve">Le principe joue </w:t>
      </w:r>
      <w:r>
        <w:rPr>
          <w:rFonts w:ascii="Calibri" w:eastAsia="Calibri" w:hAnsi="Calibri" w:cs="Calibri"/>
          <w:b/>
          <w:bCs/>
          <w:color w:val="1A1A1A"/>
        </w:rPr>
        <w:t>en amont</w:t>
      </w:r>
      <w:r>
        <w:rPr>
          <w:rFonts w:ascii="Calibri" w:eastAsia="Calibri" w:hAnsi="Calibri" w:cs="Calibri"/>
          <w:color w:val="1A1A1A"/>
        </w:rPr>
        <w:t xml:space="preserve"> — le juge national est le </w:t>
      </w:r>
      <w:r>
        <w:rPr>
          <w:rFonts w:ascii="Calibri" w:eastAsia="Calibri" w:hAnsi="Calibri" w:cs="Calibri"/>
          <w:b/>
          <w:bCs/>
          <w:color w:val="1A1A1A"/>
        </w:rPr>
        <w:t>premier juge de la Convention</w:t>
      </w:r>
      <w:r>
        <w:rPr>
          <w:rFonts w:ascii="Calibri" w:eastAsia="Calibri" w:hAnsi="Calibri" w:cs="Calibri"/>
          <w:color w:val="1A1A1A"/>
        </w:rPr>
        <w:t xml:space="preserve"> — et </w:t>
      </w:r>
      <w:r>
        <w:rPr>
          <w:rFonts w:ascii="Calibri" w:eastAsia="Calibri" w:hAnsi="Calibri" w:cs="Calibri"/>
          <w:b/>
          <w:bCs/>
          <w:color w:val="1A1A1A"/>
        </w:rPr>
        <w:t>en aval</w:t>
      </w:r>
      <w:r>
        <w:rPr>
          <w:rFonts w:ascii="Calibri" w:eastAsia="Calibri" w:hAnsi="Calibri" w:cs="Calibri"/>
          <w:color w:val="1A1A1A"/>
        </w:rPr>
        <w:t xml:space="preserve"> de la saisine. Les juges nationaux ne sont pas contraints d’appliquer les stipulations de la Convention pour autant qu’il existe en droit interne des dispositions similaires ou équivalentes, ou que le droit national soit interprété de manière à assurer le respect des droits garantis : </w:t>
      </w:r>
      <w:r>
        <w:rPr>
          <w:rFonts w:ascii="Calibri" w:eastAsia="Calibri" w:hAnsi="Calibri" w:cs="Calibri"/>
          <w:color w:val="E91E63"/>
        </w:rPr>
        <w:t>CEDH, GC, 1er décembre 2020, Guðmundur Andri Ástráðsson c. Islande, n° 26374/18</w:t>
      </w:r>
      <w:r>
        <w:rPr>
          <w:rFonts w:ascii="Calibri" w:eastAsia="Calibri" w:hAnsi="Calibri" w:cs="Calibri"/>
          <w:color w:val="1A1A1A"/>
        </w:rPr>
        <w:t xml:space="preserve">. L’invocation </w:t>
      </w:r>
      <w:r>
        <w:rPr>
          <w:rFonts w:ascii="Calibri" w:eastAsia="Calibri" w:hAnsi="Calibri" w:cs="Calibri"/>
          <w:b/>
          <w:bCs/>
          <w:color w:val="1A1A1A"/>
        </w:rPr>
        <w:t>en substance</w:t>
      </w:r>
      <w:r>
        <w:rPr>
          <w:rFonts w:ascii="Calibri" w:eastAsia="Calibri" w:hAnsi="Calibri" w:cs="Calibri"/>
          <w:color w:val="1A1A1A"/>
        </w:rPr>
        <w:t xml:space="preserve"> conditionne la recevabilité des recours ultérieurs (</w:t>
      </w:r>
      <w:r>
        <w:rPr>
          <w:rFonts w:ascii="Calibri" w:eastAsia="Calibri" w:hAnsi="Calibri" w:cs="Calibri"/>
          <w:color w:val="1E88E5"/>
        </w:rPr>
        <w:t>art. 35 § 1</w:t>
      </w:r>
      <w:r>
        <w:rPr>
          <w:rFonts w:ascii="Calibri" w:eastAsia="Calibri" w:hAnsi="Calibri" w:cs="Calibri"/>
          <w:color w:val="1A1A1A"/>
        </w:rPr>
        <w:t>), mais ce principe est apprécié avec tempérament : les requérants peuvent invoquer des dispositions internes similaires ou équivalentes (</w:t>
      </w:r>
      <w:r>
        <w:rPr>
          <w:rFonts w:ascii="Calibri" w:eastAsia="Calibri" w:hAnsi="Calibri" w:cs="Calibri"/>
          <w:color w:val="E91E63"/>
        </w:rPr>
        <w:t xml:space="preserve">CEDH, GC, 1er juin 2010, </w:t>
      </w:r>
      <w:proofErr w:type="spellStart"/>
      <w:r>
        <w:rPr>
          <w:rFonts w:ascii="Calibri" w:eastAsia="Calibri" w:hAnsi="Calibri" w:cs="Calibri"/>
          <w:color w:val="E91E63"/>
        </w:rPr>
        <w:t>Gäfgen</w:t>
      </w:r>
      <w:proofErr w:type="spellEnd"/>
      <w:r>
        <w:rPr>
          <w:rFonts w:ascii="Calibri" w:eastAsia="Calibri" w:hAnsi="Calibri" w:cs="Calibri"/>
          <w:color w:val="E91E63"/>
        </w:rPr>
        <w:t xml:space="preserve"> c. Allemagne, n° 22978/05</w:t>
      </w:r>
      <w:r>
        <w:rPr>
          <w:rFonts w:ascii="Calibri" w:eastAsia="Calibri" w:hAnsi="Calibri" w:cs="Calibri"/>
          <w:color w:val="1A1A1A"/>
        </w:rPr>
        <w:t>).</w:t>
      </w:r>
    </w:p>
    <w:p w14:paraId="4A8775FD"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Autres traductions de la subsidiarité</w:t>
      </w:r>
      <w:r>
        <w:rPr>
          <w:rFonts w:ascii="Calibri" w:eastAsia="Calibri" w:hAnsi="Calibri" w:cs="Calibri"/>
          <w:color w:val="1A1A1A"/>
        </w:rPr>
        <w:t xml:space="preserve"> : épuisement des voies de recours internes (</w:t>
      </w:r>
      <w:r>
        <w:rPr>
          <w:rFonts w:ascii="Calibri" w:eastAsia="Calibri" w:hAnsi="Calibri" w:cs="Calibri"/>
          <w:color w:val="1E88E5"/>
        </w:rPr>
        <w:t>art. 35 § 1</w:t>
      </w:r>
      <w:r>
        <w:rPr>
          <w:rFonts w:ascii="Calibri" w:eastAsia="Calibri" w:hAnsi="Calibri" w:cs="Calibri"/>
          <w:color w:val="1A1A1A"/>
        </w:rPr>
        <w:t xml:space="preserve">) ; présence d’un juge de l’État concerné dans les affaires le concernant, en chambre de section ou en grande chambre ; </w:t>
      </w:r>
      <w:r>
        <w:rPr>
          <w:rFonts w:ascii="Calibri" w:eastAsia="Calibri" w:hAnsi="Calibri" w:cs="Calibri"/>
          <w:b/>
          <w:bCs/>
          <w:color w:val="1A1A1A"/>
        </w:rPr>
        <w:t>règlement amiable</w:t>
      </w:r>
      <w:r>
        <w:rPr>
          <w:rFonts w:ascii="Calibri" w:eastAsia="Calibri" w:hAnsi="Calibri" w:cs="Calibri"/>
          <w:color w:val="1A1A1A"/>
        </w:rPr>
        <w:t xml:space="preserve"> (</w:t>
      </w:r>
      <w:r>
        <w:rPr>
          <w:rFonts w:ascii="Calibri" w:eastAsia="Calibri" w:hAnsi="Calibri" w:cs="Calibri"/>
          <w:color w:val="1E88E5"/>
        </w:rPr>
        <w:t>art. 39 de la Convention</w:t>
      </w:r>
      <w:r>
        <w:rPr>
          <w:rFonts w:ascii="Calibri" w:eastAsia="Calibri" w:hAnsi="Calibri" w:cs="Calibri"/>
          <w:color w:val="1A1A1A"/>
        </w:rPr>
        <w:t xml:space="preserve"> ; </w:t>
      </w:r>
      <w:r>
        <w:rPr>
          <w:rFonts w:ascii="Calibri" w:eastAsia="Calibri" w:hAnsi="Calibri" w:cs="Calibri"/>
          <w:color w:val="1E88E5"/>
        </w:rPr>
        <w:t>art. 62 du règlement de procédure</w:t>
      </w:r>
      <w:r>
        <w:rPr>
          <w:rFonts w:ascii="Calibri" w:eastAsia="Calibri" w:hAnsi="Calibri" w:cs="Calibri"/>
          <w:color w:val="1A1A1A"/>
        </w:rPr>
        <w:t>) ; demandes d’avis des hautes autorités juridictionnelles (</w:t>
      </w:r>
      <w:r>
        <w:rPr>
          <w:rFonts w:ascii="Calibri" w:eastAsia="Calibri" w:hAnsi="Calibri" w:cs="Calibri"/>
          <w:color w:val="1E88E5"/>
        </w:rPr>
        <w:t>Protocole n° 16</w:t>
      </w:r>
      <w:r>
        <w:rPr>
          <w:rFonts w:ascii="Calibri" w:eastAsia="Calibri" w:hAnsi="Calibri" w:cs="Calibri"/>
          <w:color w:val="1A1A1A"/>
        </w:rPr>
        <w:t>).</w:t>
      </w:r>
    </w:p>
    <w:p w14:paraId="49C65323"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Dans le contrôle</w:t>
      </w:r>
      <w:r>
        <w:rPr>
          <w:rFonts w:ascii="Calibri" w:eastAsia="Calibri" w:hAnsi="Calibri" w:cs="Calibri"/>
          <w:color w:val="1A1A1A"/>
        </w:rPr>
        <w:t xml:space="preserve"> : la Cour n’est </w:t>
      </w:r>
      <w:r>
        <w:rPr>
          <w:rFonts w:ascii="Calibri" w:eastAsia="Calibri" w:hAnsi="Calibri" w:cs="Calibri"/>
          <w:b/>
          <w:bCs/>
          <w:color w:val="1A1A1A"/>
        </w:rPr>
        <w:t>pas une quatrième instance</w:t>
      </w:r>
      <w:r>
        <w:rPr>
          <w:rFonts w:ascii="Calibri" w:eastAsia="Calibri" w:hAnsi="Calibri" w:cs="Calibri"/>
          <w:color w:val="1A1A1A"/>
        </w:rPr>
        <w:t xml:space="preserve"> et ne peut en principe se substituer aux constats dressés par les juridictions nationales (</w:t>
      </w:r>
      <w:r>
        <w:rPr>
          <w:rFonts w:ascii="Calibri" w:eastAsia="Calibri" w:hAnsi="Calibri" w:cs="Calibri"/>
          <w:color w:val="E91E63"/>
        </w:rPr>
        <w:t xml:space="preserve">CEDH, 24 novembre 1994, </w:t>
      </w:r>
      <w:proofErr w:type="spellStart"/>
      <w:r>
        <w:rPr>
          <w:rFonts w:ascii="Calibri" w:eastAsia="Calibri" w:hAnsi="Calibri" w:cs="Calibri"/>
          <w:color w:val="E91E63"/>
        </w:rPr>
        <w:t>Kemmache</w:t>
      </w:r>
      <w:proofErr w:type="spellEnd"/>
      <w:r>
        <w:rPr>
          <w:rFonts w:ascii="Calibri" w:eastAsia="Calibri" w:hAnsi="Calibri" w:cs="Calibri"/>
          <w:color w:val="E91E63"/>
        </w:rPr>
        <w:t xml:space="preserve"> c. France (n° 3), n° 17621/91</w:t>
      </w:r>
      <w:r>
        <w:rPr>
          <w:rFonts w:ascii="Calibri" w:eastAsia="Calibri" w:hAnsi="Calibri" w:cs="Calibri"/>
          <w:color w:val="1A1A1A"/>
        </w:rPr>
        <w:t xml:space="preserve">). Elle prend en considération les particularités nationales afin de ne pas imposer un </w:t>
      </w:r>
      <w:r>
        <w:rPr>
          <w:rFonts w:ascii="Calibri" w:eastAsia="Calibri" w:hAnsi="Calibri" w:cs="Calibri"/>
          <w:b/>
          <w:bCs/>
          <w:color w:val="1A1A1A"/>
        </w:rPr>
        <w:t>fardeau excessif</w:t>
      </w:r>
      <w:r>
        <w:rPr>
          <w:rFonts w:ascii="Calibri" w:eastAsia="Calibri" w:hAnsi="Calibri" w:cs="Calibri"/>
          <w:color w:val="1A1A1A"/>
        </w:rPr>
        <w:t xml:space="preserve"> à l’État. Même après un constat de violation, elle peut proposer des mesures mais </w:t>
      </w:r>
      <w:r>
        <w:rPr>
          <w:rFonts w:ascii="Calibri" w:eastAsia="Calibri" w:hAnsi="Calibri" w:cs="Calibri"/>
          <w:b/>
          <w:bCs/>
          <w:color w:val="1A1A1A"/>
        </w:rPr>
        <w:t>ne les impose pas</w:t>
      </w:r>
      <w:r>
        <w:rPr>
          <w:rFonts w:ascii="Calibri" w:eastAsia="Calibri" w:hAnsi="Calibri" w:cs="Calibri"/>
          <w:color w:val="1A1A1A"/>
        </w:rPr>
        <w:t xml:space="preserve"> : c’est à l’État de déterminer les mesures adéquates pour mettre fin à la violation (</w:t>
      </w:r>
      <w:r>
        <w:rPr>
          <w:rFonts w:ascii="Calibri" w:eastAsia="Calibri" w:hAnsi="Calibri" w:cs="Calibri"/>
          <w:color w:val="E91E63"/>
        </w:rPr>
        <w:t>CEDH, AP, 29 avril 1988, Belilos c. Suisse, n° 10328/83</w:t>
      </w:r>
      <w:r>
        <w:rPr>
          <w:rFonts w:ascii="Calibri" w:eastAsia="Calibri" w:hAnsi="Calibri" w:cs="Calibri"/>
          <w:color w:val="1A1A1A"/>
        </w:rPr>
        <w:t>).</w:t>
      </w:r>
    </w:p>
    <w:p w14:paraId="58703297" w14:textId="77777777" w:rsidR="00E0256F" w:rsidRDefault="00000000">
      <w:pPr>
        <w:pStyle w:val="Titre3"/>
        <w:spacing w:before="200" w:after="90"/>
      </w:pPr>
      <w:r>
        <w:rPr>
          <w:rFonts w:ascii="Calibri" w:eastAsia="Calibri" w:hAnsi="Calibri" w:cs="Calibri"/>
          <w:b/>
          <w:bCs/>
          <w:i/>
          <w:iCs/>
          <w:color w:val="5A5A5A"/>
          <w:sz w:val="21"/>
          <w:szCs w:val="21"/>
        </w:rPr>
        <w:t>2.4. Une Convention vivante</w:t>
      </w:r>
    </w:p>
    <w:p w14:paraId="6351B2A1"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Hiérarchie fonctionnelle des droits garantis</w:t>
      </w:r>
      <w:r>
        <w:rPr>
          <w:rFonts w:ascii="Calibri" w:eastAsia="Calibri" w:hAnsi="Calibri" w:cs="Calibri"/>
          <w:color w:val="1A1A1A"/>
        </w:rPr>
        <w:t xml:space="preserve"> — </w:t>
      </w:r>
      <w:r>
        <w:rPr>
          <w:rFonts w:ascii="Calibri" w:eastAsia="Calibri" w:hAnsi="Calibri" w:cs="Calibri"/>
          <w:b/>
          <w:bCs/>
          <w:color w:val="1A1A1A"/>
        </w:rPr>
        <w:t>droits absolus ou intangibles</w:t>
      </w:r>
      <w:r>
        <w:rPr>
          <w:rFonts w:ascii="Calibri" w:eastAsia="Calibri" w:hAnsi="Calibri" w:cs="Calibri"/>
          <w:color w:val="1A1A1A"/>
        </w:rPr>
        <w:t xml:space="preserve">, ne pouvant faire l’objet de restrictions ou de dérogations : </w:t>
      </w:r>
      <w:r>
        <w:rPr>
          <w:rFonts w:ascii="Calibri" w:eastAsia="Calibri" w:hAnsi="Calibri" w:cs="Calibri"/>
          <w:color w:val="1E88E5"/>
        </w:rPr>
        <w:t>art. 2</w:t>
      </w:r>
      <w:r>
        <w:rPr>
          <w:rFonts w:ascii="Calibri" w:eastAsia="Calibri" w:hAnsi="Calibri" w:cs="Calibri"/>
          <w:color w:val="1A1A1A"/>
        </w:rPr>
        <w:t xml:space="preserve"> (droit à la vie), </w:t>
      </w:r>
      <w:r>
        <w:rPr>
          <w:rFonts w:ascii="Calibri" w:eastAsia="Calibri" w:hAnsi="Calibri" w:cs="Calibri"/>
          <w:color w:val="1E88E5"/>
        </w:rPr>
        <w:t>art. 3</w:t>
      </w:r>
      <w:r>
        <w:rPr>
          <w:rFonts w:ascii="Calibri" w:eastAsia="Calibri" w:hAnsi="Calibri" w:cs="Calibri"/>
          <w:color w:val="1A1A1A"/>
        </w:rPr>
        <w:t xml:space="preserve"> (interdiction de la torture et des peines ou traitements inhumains et dégradants), </w:t>
      </w:r>
      <w:r>
        <w:rPr>
          <w:rFonts w:ascii="Calibri" w:eastAsia="Calibri" w:hAnsi="Calibri" w:cs="Calibri"/>
          <w:color w:val="1E88E5"/>
        </w:rPr>
        <w:t>art. 4</w:t>
      </w:r>
      <w:r>
        <w:rPr>
          <w:rFonts w:ascii="Calibri" w:eastAsia="Calibri" w:hAnsi="Calibri" w:cs="Calibri"/>
          <w:color w:val="1A1A1A"/>
        </w:rPr>
        <w:t xml:space="preserve"> (interdiction de l’esclavage et du travail forcé), </w:t>
      </w:r>
      <w:r>
        <w:rPr>
          <w:rFonts w:ascii="Calibri" w:eastAsia="Calibri" w:hAnsi="Calibri" w:cs="Calibri"/>
          <w:color w:val="1E88E5"/>
        </w:rPr>
        <w:t>art. 7</w:t>
      </w:r>
      <w:r>
        <w:rPr>
          <w:rFonts w:ascii="Calibri" w:eastAsia="Calibri" w:hAnsi="Calibri" w:cs="Calibri"/>
          <w:color w:val="1A1A1A"/>
        </w:rPr>
        <w:t xml:space="preserve"> (non-rétroactivité de la loi pénale), interdiction de la peine de mort, et règle </w:t>
      </w:r>
      <w:r>
        <w:rPr>
          <w:rFonts w:ascii="Calibri" w:eastAsia="Calibri" w:hAnsi="Calibri" w:cs="Calibri"/>
          <w:i/>
          <w:iCs/>
          <w:color w:val="1A1A1A"/>
        </w:rPr>
        <w:t>non bis in idem</w:t>
      </w:r>
      <w:r>
        <w:rPr>
          <w:rFonts w:ascii="Calibri" w:eastAsia="Calibri" w:hAnsi="Calibri" w:cs="Calibri"/>
          <w:color w:val="1A1A1A"/>
        </w:rPr>
        <w:t xml:space="preserve"> de l’</w:t>
      </w:r>
      <w:r>
        <w:rPr>
          <w:rFonts w:ascii="Calibri" w:eastAsia="Calibri" w:hAnsi="Calibri" w:cs="Calibri"/>
          <w:color w:val="1E88E5"/>
        </w:rPr>
        <w:t>art. 4 du Protocole n° 7</w:t>
      </w:r>
      <w:r>
        <w:rPr>
          <w:rFonts w:ascii="Calibri" w:eastAsia="Calibri" w:hAnsi="Calibri" w:cs="Calibri"/>
          <w:color w:val="1A1A1A"/>
        </w:rPr>
        <w:t xml:space="preserve">. Ces droits peuvent toutefois prévoir des </w:t>
      </w:r>
      <w:r>
        <w:rPr>
          <w:rFonts w:ascii="Calibri" w:eastAsia="Calibri" w:hAnsi="Calibri" w:cs="Calibri"/>
          <w:b/>
          <w:bCs/>
          <w:color w:val="1A1A1A"/>
        </w:rPr>
        <w:t>clauses d’exclusion</w:t>
      </w:r>
      <w:r>
        <w:rPr>
          <w:rFonts w:ascii="Calibri" w:eastAsia="Calibri" w:hAnsi="Calibri" w:cs="Calibri"/>
          <w:color w:val="1A1A1A"/>
        </w:rPr>
        <w:t xml:space="preserve"> : l’</w:t>
      </w:r>
      <w:r>
        <w:rPr>
          <w:rFonts w:ascii="Calibri" w:eastAsia="Calibri" w:hAnsi="Calibri" w:cs="Calibri"/>
          <w:color w:val="1E88E5"/>
        </w:rPr>
        <w:t>art. 4 § 3</w:t>
      </w:r>
      <w:r>
        <w:rPr>
          <w:rFonts w:ascii="Calibri" w:eastAsia="Calibri" w:hAnsi="Calibri" w:cs="Calibri"/>
          <w:color w:val="1A1A1A"/>
        </w:rPr>
        <w:t xml:space="preserve"> énumère des hypothèses ne relevant pas des notions de travail forcé ou obligatoire.</w:t>
      </w:r>
    </w:p>
    <w:p w14:paraId="4F38176D" w14:textId="77777777" w:rsidR="00D52933" w:rsidRPr="00D52933" w:rsidRDefault="00000000">
      <w:pPr>
        <w:pStyle w:val="Paragraphedeliste"/>
        <w:numPr>
          <w:ilvl w:val="0"/>
          <w:numId w:val="2"/>
        </w:numPr>
        <w:spacing w:after="70" w:line="264" w:lineRule="auto"/>
        <w:jc w:val="both"/>
      </w:pPr>
      <w:r>
        <w:rPr>
          <w:rFonts w:ascii="Calibri" w:eastAsia="Calibri" w:hAnsi="Calibri" w:cs="Calibri"/>
          <w:b/>
          <w:bCs/>
          <w:color w:val="1A1A1A"/>
        </w:rPr>
        <w:t>Droits relatifs ou conditionnels</w:t>
      </w:r>
      <w:r>
        <w:rPr>
          <w:rFonts w:ascii="Calibri" w:eastAsia="Calibri" w:hAnsi="Calibri" w:cs="Calibri"/>
          <w:color w:val="1A1A1A"/>
        </w:rPr>
        <w:t xml:space="preserve"> : la Convention énonce d’abord le droit, puis prévoit des </w:t>
      </w:r>
      <w:r>
        <w:rPr>
          <w:rFonts w:ascii="Calibri" w:eastAsia="Calibri" w:hAnsi="Calibri" w:cs="Calibri"/>
          <w:b/>
          <w:bCs/>
          <w:color w:val="1A1A1A"/>
        </w:rPr>
        <w:t>restrictions spécifiques limitativement énumérées</w:t>
      </w:r>
      <w:r>
        <w:rPr>
          <w:rFonts w:ascii="Calibri" w:eastAsia="Calibri" w:hAnsi="Calibri" w:cs="Calibri"/>
          <w:color w:val="1A1A1A"/>
        </w:rPr>
        <w:t xml:space="preserve"> (</w:t>
      </w:r>
      <w:r>
        <w:rPr>
          <w:rFonts w:ascii="Calibri" w:eastAsia="Calibri" w:hAnsi="Calibri" w:cs="Calibri"/>
          <w:color w:val="1E88E5"/>
        </w:rPr>
        <w:t>art. 5</w:t>
      </w:r>
      <w:r>
        <w:rPr>
          <w:rFonts w:ascii="Calibri" w:eastAsia="Calibri" w:hAnsi="Calibri" w:cs="Calibri"/>
          <w:color w:val="1A1A1A"/>
        </w:rPr>
        <w:t xml:space="preserve">, droit à la sûreté) ou </w:t>
      </w:r>
      <w:r>
        <w:rPr>
          <w:rFonts w:ascii="Calibri" w:eastAsia="Calibri" w:hAnsi="Calibri" w:cs="Calibri"/>
          <w:b/>
          <w:bCs/>
          <w:color w:val="1A1A1A"/>
        </w:rPr>
        <w:t>générales</w:t>
      </w:r>
      <w:r>
        <w:rPr>
          <w:rFonts w:ascii="Calibri" w:eastAsia="Calibri" w:hAnsi="Calibri" w:cs="Calibri"/>
          <w:color w:val="1A1A1A"/>
        </w:rPr>
        <w:t xml:space="preserve"> (</w:t>
      </w:r>
      <w:r>
        <w:rPr>
          <w:rFonts w:ascii="Calibri" w:eastAsia="Calibri" w:hAnsi="Calibri" w:cs="Calibri"/>
          <w:color w:val="1E88E5"/>
        </w:rPr>
        <w:t>art. 8</w:t>
      </w:r>
      <w:r>
        <w:rPr>
          <w:rFonts w:ascii="Calibri" w:eastAsia="Calibri" w:hAnsi="Calibri" w:cs="Calibri"/>
          <w:color w:val="1A1A1A"/>
        </w:rPr>
        <w:t xml:space="preserve">, respect de l’ordre public notamment). En présence d’une clause de restriction générale, </w:t>
      </w:r>
      <w:r w:rsidRPr="00B3739D">
        <w:rPr>
          <w:rFonts w:ascii="Calibri" w:eastAsia="Calibri" w:hAnsi="Calibri" w:cs="Calibri"/>
          <w:color w:val="EE0000"/>
        </w:rPr>
        <w:t xml:space="preserve">l’atteinte est injustifiée si elle n’est pas </w:t>
      </w:r>
      <w:r w:rsidRPr="00B3739D">
        <w:rPr>
          <w:rFonts w:ascii="Calibri" w:eastAsia="Calibri" w:hAnsi="Calibri" w:cs="Calibri"/>
          <w:b/>
          <w:bCs/>
          <w:color w:val="EE0000"/>
        </w:rPr>
        <w:t>proportionnée</w:t>
      </w:r>
      <w:r w:rsidRPr="00B3739D">
        <w:rPr>
          <w:rFonts w:ascii="Calibri" w:eastAsia="Calibri" w:hAnsi="Calibri" w:cs="Calibri"/>
          <w:color w:val="EE0000"/>
        </w:rPr>
        <w:t xml:space="preserve"> </w:t>
      </w:r>
      <w:r>
        <w:rPr>
          <w:rFonts w:ascii="Calibri" w:eastAsia="Calibri" w:hAnsi="Calibri" w:cs="Calibri"/>
          <w:color w:val="1A1A1A"/>
        </w:rPr>
        <w:t xml:space="preserve">— </w:t>
      </w:r>
      <w:r w:rsidRPr="00B3739D">
        <w:rPr>
          <w:rFonts w:ascii="Calibri" w:eastAsia="Calibri" w:hAnsi="Calibri" w:cs="Calibri"/>
          <w:b/>
          <w:bCs/>
          <w:color w:val="1A1A1A"/>
          <w:highlight w:val="yellow"/>
        </w:rPr>
        <w:t>triple test</w:t>
      </w:r>
      <w:r>
        <w:rPr>
          <w:rFonts w:ascii="Calibri" w:eastAsia="Calibri" w:hAnsi="Calibri" w:cs="Calibri"/>
          <w:color w:val="1A1A1A"/>
        </w:rPr>
        <w:t xml:space="preserve"> : (i) </w:t>
      </w:r>
      <w:r w:rsidRPr="00D52933">
        <w:rPr>
          <w:rFonts w:ascii="Calibri" w:eastAsia="Calibri" w:hAnsi="Calibri" w:cs="Calibri"/>
          <w:b/>
          <w:bCs/>
          <w:color w:val="1A1A1A"/>
          <w:highlight w:val="yellow"/>
        </w:rPr>
        <w:t>prévue</w:t>
      </w:r>
      <w:r w:rsidRPr="00D52933">
        <w:rPr>
          <w:rFonts w:ascii="Calibri" w:eastAsia="Calibri" w:hAnsi="Calibri" w:cs="Calibri"/>
          <w:color w:val="1A1A1A"/>
          <w:highlight w:val="yellow"/>
        </w:rPr>
        <w:t xml:space="preserve"> par la loi</w:t>
      </w:r>
      <w:r>
        <w:rPr>
          <w:rFonts w:ascii="Calibri" w:eastAsia="Calibri" w:hAnsi="Calibri" w:cs="Calibri"/>
          <w:color w:val="1A1A1A"/>
        </w:rPr>
        <w:t xml:space="preserve">, ce qui englobe non seulement les dispositions législatives mais aussi le droit non écrit et donc la </w:t>
      </w:r>
      <w:r>
        <w:rPr>
          <w:rFonts w:ascii="Calibri" w:eastAsia="Calibri" w:hAnsi="Calibri" w:cs="Calibri"/>
          <w:b/>
          <w:bCs/>
          <w:color w:val="1A1A1A"/>
        </w:rPr>
        <w:t>jurisprudence</w:t>
      </w:r>
      <w:r>
        <w:rPr>
          <w:rFonts w:ascii="Calibri" w:eastAsia="Calibri" w:hAnsi="Calibri" w:cs="Calibri"/>
          <w:color w:val="1A1A1A"/>
        </w:rPr>
        <w:t xml:space="preserve">, cette « loi » devant être </w:t>
      </w:r>
      <w:r>
        <w:rPr>
          <w:rFonts w:ascii="Calibri" w:eastAsia="Calibri" w:hAnsi="Calibri" w:cs="Calibri"/>
          <w:b/>
          <w:bCs/>
          <w:color w:val="1A1A1A"/>
        </w:rPr>
        <w:t>accessible, précise et prévisible</w:t>
      </w:r>
      <w:r>
        <w:rPr>
          <w:rFonts w:ascii="Calibri" w:eastAsia="Calibri" w:hAnsi="Calibri" w:cs="Calibri"/>
          <w:color w:val="1A1A1A"/>
        </w:rPr>
        <w:t xml:space="preserve"> ; </w:t>
      </w:r>
    </w:p>
    <w:p w14:paraId="0487176D" w14:textId="77777777" w:rsidR="00D52933" w:rsidRDefault="00000000" w:rsidP="00D52933">
      <w:pPr>
        <w:pStyle w:val="Paragraphedeliste"/>
        <w:spacing w:after="70" w:line="264" w:lineRule="auto"/>
        <w:ind w:left="340"/>
        <w:jc w:val="both"/>
        <w:rPr>
          <w:rFonts w:ascii="Calibri" w:eastAsia="Calibri" w:hAnsi="Calibri" w:cs="Calibri"/>
          <w:color w:val="1A1A1A"/>
        </w:rPr>
      </w:pPr>
      <w:r w:rsidRPr="00D52933">
        <w:rPr>
          <w:rFonts w:ascii="Calibri" w:eastAsia="Calibri" w:hAnsi="Calibri" w:cs="Calibri"/>
          <w:color w:val="1A1A1A"/>
        </w:rPr>
        <w:t xml:space="preserve">(ii) </w:t>
      </w:r>
      <w:r w:rsidRPr="00D52933">
        <w:rPr>
          <w:rFonts w:ascii="Calibri" w:eastAsia="Calibri" w:hAnsi="Calibri" w:cs="Calibri"/>
          <w:color w:val="1A1A1A"/>
          <w:highlight w:val="yellow"/>
        </w:rPr>
        <w:t xml:space="preserve">viser un </w:t>
      </w:r>
      <w:r w:rsidRPr="00D52933">
        <w:rPr>
          <w:rFonts w:ascii="Calibri" w:eastAsia="Calibri" w:hAnsi="Calibri" w:cs="Calibri"/>
          <w:b/>
          <w:bCs/>
          <w:color w:val="1A1A1A"/>
          <w:highlight w:val="yellow"/>
        </w:rPr>
        <w:t>but légitime</w:t>
      </w:r>
      <w:r w:rsidRPr="00D52933">
        <w:rPr>
          <w:rFonts w:ascii="Calibri" w:eastAsia="Calibri" w:hAnsi="Calibri" w:cs="Calibri"/>
          <w:color w:val="1A1A1A"/>
        </w:rPr>
        <w:t xml:space="preserve"> (protection de la santé, respect de l’ordre public, protection des droits d’autrui) ; </w:t>
      </w:r>
    </w:p>
    <w:p w14:paraId="503EBA48" w14:textId="60F72659" w:rsidR="00E0256F" w:rsidRDefault="00000000" w:rsidP="00D52933">
      <w:pPr>
        <w:pStyle w:val="Paragraphedeliste"/>
        <w:spacing w:after="70" w:line="264" w:lineRule="auto"/>
        <w:ind w:left="340"/>
        <w:jc w:val="both"/>
      </w:pPr>
      <w:r w:rsidRPr="00D52933">
        <w:rPr>
          <w:rFonts w:ascii="Calibri" w:eastAsia="Calibri" w:hAnsi="Calibri" w:cs="Calibri"/>
          <w:color w:val="1A1A1A"/>
        </w:rPr>
        <w:t xml:space="preserve">(iii) </w:t>
      </w:r>
      <w:r w:rsidRPr="00D52933">
        <w:rPr>
          <w:rFonts w:ascii="Calibri" w:eastAsia="Calibri" w:hAnsi="Calibri" w:cs="Calibri"/>
          <w:color w:val="1A1A1A"/>
          <w:highlight w:val="yellow"/>
        </w:rPr>
        <w:t xml:space="preserve">être </w:t>
      </w:r>
      <w:r w:rsidRPr="00D52933">
        <w:rPr>
          <w:rFonts w:ascii="Calibri" w:eastAsia="Calibri" w:hAnsi="Calibri" w:cs="Calibri"/>
          <w:b/>
          <w:bCs/>
          <w:color w:val="1A1A1A"/>
          <w:highlight w:val="yellow"/>
        </w:rPr>
        <w:t>nécessaire au sein d’une société démocratique</w:t>
      </w:r>
      <w:r w:rsidRPr="00D52933">
        <w:rPr>
          <w:rFonts w:ascii="Calibri" w:eastAsia="Calibri" w:hAnsi="Calibri" w:cs="Calibri"/>
          <w:color w:val="1A1A1A"/>
        </w:rPr>
        <w:t>, critère par lequel la Cour contrôle l’adéquation et l’équilibre entre les moyens utilisés et l’atteinte portée.</w:t>
      </w:r>
    </w:p>
    <w:p w14:paraId="117D364C"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 dérogation de l’</w:t>
      </w:r>
      <w:r>
        <w:rPr>
          <w:rFonts w:ascii="Calibri" w:eastAsia="Calibri" w:hAnsi="Calibri" w:cs="Calibri"/>
          <w:b/>
          <w:bCs/>
          <w:color w:val="1E88E5"/>
        </w:rPr>
        <w:t>art. 15</w:t>
      </w:r>
      <w:r>
        <w:rPr>
          <w:rFonts w:ascii="Calibri" w:eastAsia="Calibri" w:hAnsi="Calibri" w:cs="Calibri"/>
          <w:color w:val="1A1A1A"/>
        </w:rPr>
        <w:t xml:space="preserve"> : appréciée strictement selon trois critères — un cas de guerre ou de danger menaçant la vie de la nation (</w:t>
      </w:r>
      <w:r>
        <w:rPr>
          <w:rFonts w:ascii="Calibri" w:eastAsia="Calibri" w:hAnsi="Calibri" w:cs="Calibri"/>
          <w:color w:val="E91E63"/>
        </w:rPr>
        <w:t>CEDH, 1er juillet 1961, Lawless c. Irlande (n° 3), n° 332/57</w:t>
      </w:r>
      <w:r>
        <w:rPr>
          <w:rFonts w:ascii="Calibri" w:eastAsia="Calibri" w:hAnsi="Calibri" w:cs="Calibri"/>
          <w:color w:val="1A1A1A"/>
        </w:rPr>
        <w:t>) ; des mesures strictement exigées par la situation, nonobstant la large marge nationale d’appréciation (</w:t>
      </w:r>
      <w:r>
        <w:rPr>
          <w:rFonts w:ascii="Calibri" w:eastAsia="Calibri" w:hAnsi="Calibri" w:cs="Calibri"/>
          <w:color w:val="E91E63"/>
        </w:rPr>
        <w:t>CEDH, 16 mai 2024, Domenjoud c. France, n° 34749/16 et 79607/17</w:t>
      </w:r>
      <w:r>
        <w:rPr>
          <w:rFonts w:ascii="Calibri" w:eastAsia="Calibri" w:hAnsi="Calibri" w:cs="Calibri"/>
          <w:color w:val="1A1A1A"/>
        </w:rPr>
        <w:t xml:space="preserve">) ; la compatibilité avec les autres obligations internationales de l’État. </w:t>
      </w:r>
      <w:r w:rsidRPr="00D52933">
        <w:rPr>
          <w:rFonts w:ascii="Calibri" w:eastAsia="Calibri" w:hAnsi="Calibri" w:cs="Calibri"/>
          <w:b/>
          <w:bCs/>
          <w:color w:val="EE0000"/>
        </w:rPr>
        <w:t>Ne peuvent faire l’objet de dérogation</w:t>
      </w:r>
      <w:r>
        <w:rPr>
          <w:rFonts w:ascii="Calibri" w:eastAsia="Calibri" w:hAnsi="Calibri" w:cs="Calibri"/>
          <w:color w:val="1A1A1A"/>
        </w:rPr>
        <w:t xml:space="preserve"> : les </w:t>
      </w:r>
      <w:r>
        <w:rPr>
          <w:rFonts w:ascii="Calibri" w:eastAsia="Calibri" w:hAnsi="Calibri" w:cs="Calibri"/>
          <w:color w:val="1E88E5"/>
        </w:rPr>
        <w:t>art. 2, 3, 4 § 1 et 4 § 3</w:t>
      </w:r>
      <w:r>
        <w:rPr>
          <w:rFonts w:ascii="Calibri" w:eastAsia="Calibri" w:hAnsi="Calibri" w:cs="Calibri"/>
          <w:color w:val="1A1A1A"/>
        </w:rPr>
        <w:t xml:space="preserve">, le </w:t>
      </w:r>
      <w:r>
        <w:rPr>
          <w:rFonts w:ascii="Calibri" w:eastAsia="Calibri" w:hAnsi="Calibri" w:cs="Calibri"/>
          <w:color w:val="1E88E5"/>
        </w:rPr>
        <w:t>Protocole n° 7</w:t>
      </w:r>
      <w:r>
        <w:rPr>
          <w:rFonts w:ascii="Calibri" w:eastAsia="Calibri" w:hAnsi="Calibri" w:cs="Calibri"/>
          <w:color w:val="1A1A1A"/>
        </w:rPr>
        <w:t xml:space="preserve">, le </w:t>
      </w:r>
      <w:r>
        <w:rPr>
          <w:rFonts w:ascii="Calibri" w:eastAsia="Calibri" w:hAnsi="Calibri" w:cs="Calibri"/>
          <w:color w:val="1E88E5"/>
        </w:rPr>
        <w:t>Protocole n° 6</w:t>
      </w:r>
      <w:r>
        <w:rPr>
          <w:rFonts w:ascii="Calibri" w:eastAsia="Calibri" w:hAnsi="Calibri" w:cs="Calibri"/>
          <w:color w:val="1A1A1A"/>
        </w:rPr>
        <w:t xml:space="preserve"> (abolition de la peine de mort en temps de paix) et le </w:t>
      </w:r>
      <w:r>
        <w:rPr>
          <w:rFonts w:ascii="Calibri" w:eastAsia="Calibri" w:hAnsi="Calibri" w:cs="Calibri"/>
          <w:color w:val="1E88E5"/>
        </w:rPr>
        <w:t>Protocole n° 13</w:t>
      </w:r>
      <w:r>
        <w:rPr>
          <w:rFonts w:ascii="Calibri" w:eastAsia="Calibri" w:hAnsi="Calibri" w:cs="Calibri"/>
          <w:color w:val="1A1A1A"/>
        </w:rPr>
        <w:t xml:space="preserve"> (abolition complète).</w:t>
      </w:r>
    </w:p>
    <w:p w14:paraId="0B98C8CB"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Obligations positives</w:t>
      </w:r>
      <w:r>
        <w:rPr>
          <w:rFonts w:ascii="Calibri" w:eastAsia="Calibri" w:hAnsi="Calibri" w:cs="Calibri"/>
          <w:color w:val="1A1A1A"/>
        </w:rPr>
        <w:t xml:space="preserve"> : l’État n’échappe pas au constat de violation par une simple abstention — ★ </w:t>
      </w:r>
      <w:r>
        <w:rPr>
          <w:rFonts w:ascii="Calibri" w:eastAsia="Calibri" w:hAnsi="Calibri" w:cs="Calibri"/>
          <w:color w:val="E91E63"/>
        </w:rPr>
        <w:t>CEDH, GC, 9 décembre 1994, Lopez Ostra c. Espagne, n° 16798/90</w:t>
      </w:r>
      <w:r>
        <w:rPr>
          <w:rFonts w:ascii="Calibri" w:eastAsia="Calibri" w:hAnsi="Calibri" w:cs="Calibri"/>
          <w:color w:val="1A1A1A"/>
        </w:rPr>
        <w:t xml:space="preserve">. En cas d’abstention, la Cour apprécie d’abord les motifs avancés par l’État pour justifier sa passivité ; en présence de mesures, elle en apprécie le </w:t>
      </w:r>
      <w:r>
        <w:rPr>
          <w:rFonts w:ascii="Calibri" w:eastAsia="Calibri" w:hAnsi="Calibri" w:cs="Calibri"/>
          <w:b/>
          <w:bCs/>
          <w:color w:val="1A1A1A"/>
        </w:rPr>
        <w:t>caractère adéquat</w:t>
      </w:r>
      <w:r>
        <w:rPr>
          <w:rFonts w:ascii="Calibri" w:eastAsia="Calibri" w:hAnsi="Calibri" w:cs="Calibri"/>
          <w:color w:val="1A1A1A"/>
        </w:rPr>
        <w:t xml:space="preserve"> au regard d’une multiplicité de critères, notamment le droit en cause et la marge d’appréciation disponible.</w:t>
      </w:r>
    </w:p>
    <w:p w14:paraId="7F5BDCA6"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xml:space="preserve">Extension </w:t>
      </w:r>
      <w:r>
        <w:rPr>
          <w:rFonts w:ascii="Calibri" w:eastAsia="Calibri" w:hAnsi="Calibri" w:cs="Calibri"/>
          <w:b/>
          <w:bCs/>
          <w:i/>
          <w:iCs/>
          <w:color w:val="1A1A1A"/>
        </w:rPr>
        <w:t>ratione loci</w:t>
      </w:r>
      <w:r>
        <w:rPr>
          <w:rFonts w:ascii="Calibri" w:eastAsia="Calibri" w:hAnsi="Calibri" w:cs="Calibri"/>
          <w:color w:val="1A1A1A"/>
        </w:rPr>
        <w:t xml:space="preserve"> : la Convention protège toute personne relevant de la </w:t>
      </w:r>
      <w:r>
        <w:rPr>
          <w:rFonts w:ascii="Calibri" w:eastAsia="Calibri" w:hAnsi="Calibri" w:cs="Calibri"/>
          <w:b/>
          <w:bCs/>
          <w:color w:val="1A1A1A"/>
        </w:rPr>
        <w:t>juridiction</w:t>
      </w:r>
      <w:r>
        <w:rPr>
          <w:rFonts w:ascii="Calibri" w:eastAsia="Calibri" w:hAnsi="Calibri" w:cs="Calibri"/>
          <w:color w:val="1A1A1A"/>
        </w:rPr>
        <w:t xml:space="preserve"> des Hautes Parties contractantes (</w:t>
      </w:r>
      <w:r>
        <w:rPr>
          <w:rFonts w:ascii="Calibri" w:eastAsia="Calibri" w:hAnsi="Calibri" w:cs="Calibri"/>
          <w:color w:val="1E88E5"/>
        </w:rPr>
        <w:t>art. 1er</w:t>
      </w:r>
      <w:r>
        <w:rPr>
          <w:rFonts w:ascii="Calibri" w:eastAsia="Calibri" w:hAnsi="Calibri" w:cs="Calibri"/>
          <w:color w:val="1A1A1A"/>
        </w:rPr>
        <w:t xml:space="preserve">), notion en principe conçue </w:t>
      </w:r>
      <w:r>
        <w:rPr>
          <w:rFonts w:ascii="Calibri" w:eastAsia="Calibri" w:hAnsi="Calibri" w:cs="Calibri"/>
          <w:b/>
          <w:bCs/>
          <w:color w:val="1A1A1A"/>
        </w:rPr>
        <w:t>territorialement</w:t>
      </w:r>
      <w:r>
        <w:rPr>
          <w:rFonts w:ascii="Calibri" w:eastAsia="Calibri" w:hAnsi="Calibri" w:cs="Calibri"/>
          <w:color w:val="1A1A1A"/>
        </w:rPr>
        <w:t xml:space="preserve"> (</w:t>
      </w:r>
      <w:r>
        <w:rPr>
          <w:rFonts w:ascii="Calibri" w:eastAsia="Calibri" w:hAnsi="Calibri" w:cs="Calibri"/>
          <w:color w:val="E91E63"/>
        </w:rPr>
        <w:t>CEDH, GC, 8 juillet 2004, Ilascu c. Moldavie et Russie, n° 48787/99</w:t>
      </w:r>
      <w:r>
        <w:rPr>
          <w:rFonts w:ascii="Calibri" w:eastAsia="Calibri" w:hAnsi="Calibri" w:cs="Calibri"/>
          <w:color w:val="1A1A1A"/>
        </w:rPr>
        <w:t xml:space="preserve">), mais susceptible de transcender la nationalité et le territoire dès lors qu’un </w:t>
      </w:r>
      <w:r>
        <w:rPr>
          <w:rFonts w:ascii="Calibri" w:eastAsia="Calibri" w:hAnsi="Calibri" w:cs="Calibri"/>
          <w:b/>
          <w:bCs/>
          <w:color w:val="1A1A1A"/>
        </w:rPr>
        <w:t>lien de rattachement</w:t>
      </w:r>
      <w:r>
        <w:rPr>
          <w:rFonts w:ascii="Calibri" w:eastAsia="Calibri" w:hAnsi="Calibri" w:cs="Calibri"/>
          <w:color w:val="1A1A1A"/>
        </w:rPr>
        <w:t xml:space="preserve"> avec la juridiction d’un État membre peut </w:t>
      </w:r>
      <w:r>
        <w:rPr>
          <w:rFonts w:ascii="Calibri" w:eastAsia="Calibri" w:hAnsi="Calibri" w:cs="Calibri"/>
          <w:i/>
          <w:iCs/>
          <w:color w:val="1A1A1A"/>
        </w:rPr>
        <w:t>a minima</w:t>
      </w:r>
      <w:r>
        <w:rPr>
          <w:rFonts w:ascii="Calibri" w:eastAsia="Calibri" w:hAnsi="Calibri" w:cs="Calibri"/>
          <w:color w:val="1A1A1A"/>
        </w:rPr>
        <w:t xml:space="preserve"> être établi — ★ </w:t>
      </w:r>
      <w:r>
        <w:rPr>
          <w:rFonts w:ascii="Calibri" w:eastAsia="Calibri" w:hAnsi="Calibri" w:cs="Calibri"/>
          <w:color w:val="E91E63"/>
        </w:rPr>
        <w:t>CEDH, GC, 7 juillet 2011, Al-</w:t>
      </w:r>
      <w:proofErr w:type="spellStart"/>
      <w:r>
        <w:rPr>
          <w:rFonts w:ascii="Calibri" w:eastAsia="Calibri" w:hAnsi="Calibri" w:cs="Calibri"/>
          <w:color w:val="E91E63"/>
        </w:rPr>
        <w:t>Skeini</w:t>
      </w:r>
      <w:proofErr w:type="spellEnd"/>
      <w:r>
        <w:rPr>
          <w:rFonts w:ascii="Calibri" w:eastAsia="Calibri" w:hAnsi="Calibri" w:cs="Calibri"/>
          <w:color w:val="E91E63"/>
        </w:rPr>
        <w:t xml:space="preserve"> et a. c. Royaume-Uni, n° 55721/07</w:t>
      </w:r>
      <w:r>
        <w:rPr>
          <w:rFonts w:ascii="Calibri" w:eastAsia="Calibri" w:hAnsi="Calibri" w:cs="Calibri"/>
          <w:color w:val="1A1A1A"/>
        </w:rPr>
        <w:t>.</w:t>
      </w:r>
    </w:p>
    <w:p w14:paraId="022CC265"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xml:space="preserve">Extension </w:t>
      </w:r>
      <w:r>
        <w:rPr>
          <w:rFonts w:ascii="Calibri" w:eastAsia="Calibri" w:hAnsi="Calibri" w:cs="Calibri"/>
          <w:b/>
          <w:bCs/>
          <w:i/>
          <w:iCs/>
          <w:color w:val="1A1A1A"/>
        </w:rPr>
        <w:t>ratione materiae</w:t>
      </w:r>
      <w:r>
        <w:rPr>
          <w:rFonts w:ascii="Calibri" w:eastAsia="Calibri" w:hAnsi="Calibri" w:cs="Calibri"/>
          <w:color w:val="1A1A1A"/>
        </w:rPr>
        <w:t xml:space="preserve"> : </w:t>
      </w:r>
      <w:r>
        <w:rPr>
          <w:rFonts w:ascii="Calibri" w:eastAsia="Calibri" w:hAnsi="Calibri" w:cs="Calibri"/>
          <w:color w:val="E91E63"/>
        </w:rPr>
        <w:t>CEDH, 16 décembre 1992, Niemietz c. Allemagne, n° 13710/88</w:t>
      </w:r>
      <w:r>
        <w:rPr>
          <w:rFonts w:ascii="Calibri" w:eastAsia="Calibri" w:hAnsi="Calibri" w:cs="Calibri"/>
          <w:color w:val="1A1A1A"/>
        </w:rPr>
        <w:t xml:space="preserve"> — la vie privée englobe un </w:t>
      </w:r>
      <w:r>
        <w:rPr>
          <w:rFonts w:ascii="Calibri" w:eastAsia="Calibri" w:hAnsi="Calibri" w:cs="Calibri"/>
          <w:b/>
          <w:bCs/>
          <w:color w:val="1A1A1A"/>
        </w:rPr>
        <w:t>volet social</w:t>
      </w:r>
      <w:r>
        <w:rPr>
          <w:rFonts w:ascii="Calibri" w:eastAsia="Calibri" w:hAnsi="Calibri" w:cs="Calibri"/>
          <w:color w:val="1A1A1A"/>
        </w:rPr>
        <w:t xml:space="preserve">, le droit de nouer et de développer des relations avec ses semblables au travail ; la notion recouvre également le domicile, les correspondances et l’intégrité physique et morale. ★ </w:t>
      </w:r>
      <w:r>
        <w:rPr>
          <w:rFonts w:ascii="Calibri" w:eastAsia="Calibri" w:hAnsi="Calibri" w:cs="Calibri"/>
          <w:color w:val="E91E63"/>
        </w:rPr>
        <w:t xml:space="preserve">CEDH, GC, 9 avril 2024, </w:t>
      </w:r>
      <w:proofErr w:type="spellStart"/>
      <w:r>
        <w:rPr>
          <w:rFonts w:ascii="Calibri" w:eastAsia="Calibri" w:hAnsi="Calibri" w:cs="Calibri"/>
          <w:color w:val="E91E63"/>
        </w:rPr>
        <w:t>Verein</w:t>
      </w:r>
      <w:proofErr w:type="spellEnd"/>
      <w:r>
        <w:rPr>
          <w:rFonts w:ascii="Calibri" w:eastAsia="Calibri" w:hAnsi="Calibri" w:cs="Calibri"/>
          <w:color w:val="E91E63"/>
        </w:rPr>
        <w:t xml:space="preserve"> KlimaSeniorinnen Schweiz et a. c. Suisse, n° 53600/20</w:t>
      </w:r>
      <w:r>
        <w:rPr>
          <w:rFonts w:ascii="Calibri" w:eastAsia="Calibri" w:hAnsi="Calibri" w:cs="Calibri"/>
          <w:color w:val="1A1A1A"/>
        </w:rPr>
        <w:t xml:space="preserve"> — protection effective contre les effets du changement climatique.</w:t>
      </w:r>
    </w:p>
    <w:p w14:paraId="0A2A5A5C" w14:textId="77777777" w:rsidR="00E0256F" w:rsidRDefault="00000000">
      <w:pPr>
        <w:pStyle w:val="Titre3"/>
        <w:spacing w:before="200" w:after="90"/>
      </w:pPr>
      <w:r>
        <w:rPr>
          <w:rFonts w:ascii="Calibri" w:eastAsia="Calibri" w:hAnsi="Calibri" w:cs="Calibri"/>
          <w:b/>
          <w:bCs/>
          <w:i/>
          <w:iCs/>
          <w:color w:val="5A5A5A"/>
          <w:sz w:val="21"/>
          <w:szCs w:val="21"/>
        </w:rPr>
        <w:lastRenderedPageBreak/>
        <w:t>2.5. La dénonciation</w:t>
      </w:r>
    </w:p>
    <w:p w14:paraId="15D941B6" w14:textId="77777777" w:rsidR="00E0256F" w:rsidRDefault="00000000">
      <w:pPr>
        <w:pStyle w:val="Paragraphedeliste"/>
        <w:numPr>
          <w:ilvl w:val="0"/>
          <w:numId w:val="2"/>
        </w:numPr>
        <w:spacing w:after="70" w:line="264" w:lineRule="auto"/>
        <w:jc w:val="both"/>
      </w:pPr>
      <w:r>
        <w:rPr>
          <w:rFonts w:ascii="Calibri" w:eastAsia="Calibri" w:hAnsi="Calibri" w:cs="Calibri"/>
          <w:color w:val="1E88E5"/>
        </w:rPr>
        <w:t>Art. 7 des Statuts du Conseil de l’Europe</w:t>
      </w:r>
      <w:r>
        <w:rPr>
          <w:rFonts w:ascii="Calibri" w:eastAsia="Calibri" w:hAnsi="Calibri" w:cs="Calibri"/>
          <w:color w:val="1A1A1A"/>
        </w:rPr>
        <w:t xml:space="preserve"> et </w:t>
      </w:r>
      <w:r>
        <w:rPr>
          <w:rFonts w:ascii="Calibri" w:eastAsia="Calibri" w:hAnsi="Calibri" w:cs="Calibri"/>
          <w:color w:val="1E88E5"/>
        </w:rPr>
        <w:t>art. 58 de la Convention</w:t>
      </w:r>
      <w:r>
        <w:rPr>
          <w:rFonts w:ascii="Calibri" w:eastAsia="Calibri" w:hAnsi="Calibri" w:cs="Calibri"/>
          <w:color w:val="1A1A1A"/>
        </w:rPr>
        <w:t xml:space="preserve"> : faculté de dénonciation. La Russie a cessé d’être membre du Conseil de l’Europe le </w:t>
      </w:r>
      <w:r>
        <w:rPr>
          <w:rFonts w:ascii="Calibri" w:eastAsia="Calibri" w:hAnsi="Calibri" w:cs="Calibri"/>
          <w:b/>
          <w:bCs/>
          <w:color w:val="1A1A1A"/>
        </w:rPr>
        <w:t>16 mars 2022</w:t>
      </w:r>
      <w:r>
        <w:rPr>
          <w:rFonts w:ascii="Calibri" w:eastAsia="Calibri" w:hAnsi="Calibri" w:cs="Calibri"/>
          <w:color w:val="1A1A1A"/>
        </w:rPr>
        <w:t xml:space="preserve"> et partie à la Convention le </w:t>
      </w:r>
      <w:r>
        <w:rPr>
          <w:rFonts w:ascii="Calibri" w:eastAsia="Calibri" w:hAnsi="Calibri" w:cs="Calibri"/>
          <w:b/>
          <w:bCs/>
          <w:color w:val="1A1A1A"/>
        </w:rPr>
        <w:t>16 septembre 2022</w:t>
      </w:r>
      <w:r>
        <w:rPr>
          <w:rFonts w:ascii="Calibri" w:eastAsia="Calibri" w:hAnsi="Calibri" w:cs="Calibri"/>
          <w:color w:val="1A1A1A"/>
        </w:rPr>
        <w:t xml:space="preserve"> ; elle demeurait liée par les obligations issues de la Convention entre ces deux dates (</w:t>
      </w:r>
      <w:r>
        <w:rPr>
          <w:rFonts w:ascii="Calibri" w:eastAsia="Calibri" w:hAnsi="Calibri" w:cs="Calibri"/>
          <w:color w:val="E91E63"/>
        </w:rPr>
        <w:t>CEDH, GC, 17 janvier 2023, Fedotova et a. c. Russie, n° 40792/10 et 2 autres</w:t>
      </w:r>
      <w:r>
        <w:rPr>
          <w:rFonts w:ascii="Calibri" w:eastAsia="Calibri" w:hAnsi="Calibri" w:cs="Calibri"/>
          <w:color w:val="1A1A1A"/>
        </w:rPr>
        <w:t xml:space="preserve">). Pour les violations survenues avant la cessation mais se prolongeant au-delà, la Cour retient la </w:t>
      </w:r>
      <w:r>
        <w:rPr>
          <w:rFonts w:ascii="Calibri" w:eastAsia="Calibri" w:hAnsi="Calibri" w:cs="Calibri"/>
          <w:b/>
          <w:bCs/>
          <w:color w:val="1A1A1A"/>
        </w:rPr>
        <w:t>date de survenance des faits</w:t>
      </w:r>
      <w:r>
        <w:rPr>
          <w:rFonts w:ascii="Calibri" w:eastAsia="Calibri" w:hAnsi="Calibri" w:cs="Calibri"/>
          <w:color w:val="1A1A1A"/>
        </w:rPr>
        <w:t xml:space="preserve"> à l’origine de la violation alléguée (</w:t>
      </w:r>
      <w:r>
        <w:rPr>
          <w:rFonts w:ascii="Calibri" w:eastAsia="Calibri" w:hAnsi="Calibri" w:cs="Calibri"/>
          <w:color w:val="E91E63"/>
        </w:rPr>
        <w:t xml:space="preserve">CEDH, GC, 8 mars 2006, </w:t>
      </w:r>
      <w:proofErr w:type="spellStart"/>
      <w:r>
        <w:rPr>
          <w:rFonts w:ascii="Calibri" w:eastAsia="Calibri" w:hAnsi="Calibri" w:cs="Calibri"/>
          <w:color w:val="E91E63"/>
        </w:rPr>
        <w:t>Blecic</w:t>
      </w:r>
      <w:proofErr w:type="spellEnd"/>
      <w:r>
        <w:rPr>
          <w:rFonts w:ascii="Calibri" w:eastAsia="Calibri" w:hAnsi="Calibri" w:cs="Calibri"/>
          <w:color w:val="E91E63"/>
        </w:rPr>
        <w:t xml:space="preserve"> c. Croatie, n° 59532/00</w:t>
      </w:r>
      <w:r>
        <w:rPr>
          <w:rFonts w:ascii="Calibri" w:eastAsia="Calibri" w:hAnsi="Calibri" w:cs="Calibri"/>
          <w:color w:val="1A1A1A"/>
        </w:rPr>
        <w:t xml:space="preserve"> ; </w:t>
      </w:r>
      <w:r>
        <w:rPr>
          <w:rFonts w:ascii="Calibri" w:eastAsia="Calibri" w:hAnsi="Calibri" w:cs="Calibri"/>
          <w:color w:val="E91E63"/>
        </w:rPr>
        <w:t xml:space="preserve">CEDH, déc., 6 juin 2023, </w:t>
      </w:r>
      <w:proofErr w:type="spellStart"/>
      <w:r>
        <w:rPr>
          <w:rFonts w:ascii="Calibri" w:eastAsia="Calibri" w:hAnsi="Calibri" w:cs="Calibri"/>
          <w:color w:val="E91E63"/>
        </w:rPr>
        <w:t>Pivkina</w:t>
      </w:r>
      <w:proofErr w:type="spellEnd"/>
      <w:r>
        <w:rPr>
          <w:rFonts w:ascii="Calibri" w:eastAsia="Calibri" w:hAnsi="Calibri" w:cs="Calibri"/>
          <w:color w:val="E91E63"/>
        </w:rPr>
        <w:t xml:space="preserve"> et a. c. Russie, n° 2134/23, 2156/23, 4556/23</w:t>
      </w:r>
      <w:r>
        <w:rPr>
          <w:rFonts w:ascii="Calibri" w:eastAsia="Calibri" w:hAnsi="Calibri" w:cs="Calibri"/>
          <w:color w:val="1A1A1A"/>
        </w:rPr>
        <w:t>).</w:t>
      </w:r>
    </w:p>
    <w:p w14:paraId="4ABA95C2"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Actualité</w:t>
      </w:r>
      <w:r>
        <w:rPr>
          <w:rFonts w:ascii="Calibri" w:eastAsia="Calibri" w:hAnsi="Calibri" w:cs="Calibri"/>
          <w:color w:val="1A1A1A"/>
        </w:rPr>
        <w:t xml:space="preserve"> — </w:t>
      </w:r>
      <w:r>
        <w:rPr>
          <w:rFonts w:ascii="Calibri" w:eastAsia="Calibri" w:hAnsi="Calibri" w:cs="Calibri"/>
          <w:color w:val="E91E63"/>
        </w:rPr>
        <w:t>CEDH, GC, 9 juillet 2025, Ukraine et Pays-Bas c. Russie, n° 8019/16, 43800/14, 28525/20 et 11055/22</w:t>
      </w:r>
      <w:r>
        <w:rPr>
          <w:rFonts w:ascii="Calibri" w:eastAsia="Calibri" w:hAnsi="Calibri" w:cs="Calibri"/>
          <w:color w:val="1A1A1A"/>
        </w:rPr>
        <w:t xml:space="preserve"> : malgré la cessation de la qualité de partie, la Cour statue sur les violations commises dans le cadre du conflit en Ukraine depuis 2014 et jusqu’à cette date. Elle déclare la Russie responsable de violations </w:t>
      </w:r>
      <w:r>
        <w:rPr>
          <w:rFonts w:ascii="Calibri" w:eastAsia="Calibri" w:hAnsi="Calibri" w:cs="Calibri"/>
          <w:b/>
          <w:bCs/>
          <w:color w:val="1A1A1A"/>
        </w:rPr>
        <w:t>graves et généralisées</w:t>
      </w:r>
      <w:r>
        <w:rPr>
          <w:rFonts w:ascii="Calibri" w:eastAsia="Calibri" w:hAnsi="Calibri" w:cs="Calibri"/>
          <w:color w:val="1A1A1A"/>
        </w:rPr>
        <w:t xml:space="preserve"> de plusieurs droits garantis, ainsi que de la destruction du vol MH17. </w:t>
      </w:r>
      <w:r>
        <w:rPr>
          <w:rFonts w:ascii="Calibri" w:eastAsia="Calibri" w:hAnsi="Calibri" w:cs="Calibri"/>
          <w:b/>
          <w:bCs/>
          <w:color w:val="1A1A1A"/>
        </w:rPr>
        <w:t>À retenir</w:t>
      </w:r>
      <w:r>
        <w:rPr>
          <w:rFonts w:ascii="Calibri" w:eastAsia="Calibri" w:hAnsi="Calibri" w:cs="Calibri"/>
          <w:color w:val="1A1A1A"/>
        </w:rPr>
        <w:t xml:space="preserve"> : la dénonciation de la Convention produit des effets </w:t>
      </w:r>
      <w:r>
        <w:rPr>
          <w:rFonts w:ascii="Calibri" w:eastAsia="Calibri" w:hAnsi="Calibri" w:cs="Calibri"/>
          <w:b/>
          <w:bCs/>
          <w:color w:val="1A1A1A"/>
        </w:rPr>
        <w:t>pour l’avenir</w:t>
      </w:r>
      <w:r>
        <w:rPr>
          <w:rFonts w:ascii="Calibri" w:eastAsia="Calibri" w:hAnsi="Calibri" w:cs="Calibri"/>
          <w:color w:val="1A1A1A"/>
        </w:rPr>
        <w:t xml:space="preserve"> ; elle ne permet pas à un État d’échapper à la compétence de la Cour pour les actes accomplis alors qu’il demeurait lié.</w:t>
      </w:r>
    </w:p>
    <w:p w14:paraId="73101C56" w14:textId="77777777" w:rsidR="00E0256F" w:rsidRDefault="00000000">
      <w:pPr>
        <w:pStyle w:val="Titre2"/>
        <w:spacing w:before="280" w:after="120"/>
      </w:pPr>
      <w:r>
        <w:rPr>
          <w:rFonts w:ascii="Calibri" w:eastAsia="Calibri" w:hAnsi="Calibri" w:cs="Calibri"/>
          <w:b/>
          <w:bCs/>
          <w:color w:val="1A1A1A"/>
          <w:sz w:val="24"/>
          <w:szCs w:val="24"/>
        </w:rPr>
        <w:t>3. Débats doctrinaux &amp; critiques</w:t>
      </w:r>
    </w:p>
    <w:p w14:paraId="4C1C0434"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 thèse du « gouvernement des juges »</w:t>
      </w:r>
      <w:r>
        <w:rPr>
          <w:rFonts w:ascii="Calibri" w:eastAsia="Calibri" w:hAnsi="Calibri" w:cs="Calibri"/>
          <w:color w:val="1A1A1A"/>
        </w:rPr>
        <w:t xml:space="preserve"> : l’œuvre jurisprudentielle de la Cour a fait l’objet de vives critiques lui reprochant d’avoir imposé aux États des obligations qu’ils n’auraient pas consenties lors de la signature du traité. Le </w:t>
      </w:r>
      <w:r>
        <w:rPr>
          <w:rFonts w:ascii="Calibri" w:eastAsia="Calibri" w:hAnsi="Calibri" w:cs="Calibri"/>
          <w:b/>
          <w:bCs/>
          <w:color w:val="1A1A1A"/>
        </w:rPr>
        <w:t>22 mai 2025</w:t>
      </w:r>
      <w:r>
        <w:rPr>
          <w:rFonts w:ascii="Calibri" w:eastAsia="Calibri" w:hAnsi="Calibri" w:cs="Calibri"/>
          <w:color w:val="1A1A1A"/>
        </w:rPr>
        <w:t xml:space="preserve">, neuf chefs de gouvernement d’États du Conseil de l’Europe ont ouvertement critiqué la jurisprudence de la Cour </w:t>
      </w:r>
      <w:r>
        <w:rPr>
          <w:rFonts w:ascii="Calibri" w:eastAsia="Calibri" w:hAnsi="Calibri" w:cs="Calibri"/>
          <w:b/>
          <w:bCs/>
          <w:color w:val="1A1A1A"/>
        </w:rPr>
        <w:t>en matière d’immigration</w:t>
      </w:r>
      <w:r>
        <w:rPr>
          <w:rFonts w:ascii="Calibri" w:eastAsia="Calibri" w:hAnsi="Calibri" w:cs="Calibri"/>
          <w:color w:val="1A1A1A"/>
        </w:rPr>
        <w:t>, estimant que celle-ci empêchait de protéger leurs sociétés démocratiques.</w:t>
      </w:r>
    </w:p>
    <w:p w14:paraId="69DA2D8F"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 réponse en droit</w:t>
      </w:r>
      <w:r>
        <w:rPr>
          <w:rFonts w:ascii="Calibri" w:eastAsia="Calibri" w:hAnsi="Calibri" w:cs="Calibri"/>
          <w:color w:val="1A1A1A"/>
        </w:rPr>
        <w:t xml:space="preserve"> : la Cour n’interprète pas de manière arbitraire. Elle fonde son interprétation sur les méthodes issues des </w:t>
      </w:r>
      <w:r>
        <w:rPr>
          <w:rFonts w:ascii="Calibri" w:eastAsia="Calibri" w:hAnsi="Calibri" w:cs="Calibri"/>
          <w:color w:val="1E88E5"/>
        </w:rPr>
        <w:t>art. 31 à 33 de la Convention de Vienne de 1969 sur l’interprétation des traités</w:t>
      </w:r>
      <w:r>
        <w:rPr>
          <w:rFonts w:ascii="Calibri" w:eastAsia="Calibri" w:hAnsi="Calibri" w:cs="Calibri"/>
          <w:color w:val="1A1A1A"/>
        </w:rPr>
        <w:t xml:space="preserve"> : recours aux travaux préparatoires (</w:t>
      </w:r>
      <w:r>
        <w:rPr>
          <w:rFonts w:ascii="Calibri" w:eastAsia="Calibri" w:hAnsi="Calibri" w:cs="Calibri"/>
          <w:color w:val="E91E63"/>
        </w:rPr>
        <w:t>CEDH, GC, 18 novembre 2020, Slovénie c. Croatie, déc., n° 54155/16</w:t>
      </w:r>
      <w:r>
        <w:rPr>
          <w:rFonts w:ascii="Calibri" w:eastAsia="Calibri" w:hAnsi="Calibri" w:cs="Calibri"/>
          <w:color w:val="1A1A1A"/>
        </w:rPr>
        <w:t xml:space="preserve">), comparaison entre les différentes versions linguistiques, et </w:t>
      </w:r>
      <w:r>
        <w:rPr>
          <w:rFonts w:ascii="Calibri" w:eastAsia="Calibri" w:hAnsi="Calibri" w:cs="Calibri"/>
          <w:b/>
          <w:bCs/>
          <w:color w:val="1A1A1A"/>
        </w:rPr>
        <w:t>interprétation téléologique</w:t>
      </w:r>
      <w:r>
        <w:rPr>
          <w:rFonts w:ascii="Calibri" w:eastAsia="Calibri" w:hAnsi="Calibri" w:cs="Calibri"/>
          <w:color w:val="1A1A1A"/>
        </w:rPr>
        <w:t xml:space="preserve"> à la lumière des buts de la Convention et de l’organisation (</w:t>
      </w:r>
      <w:r>
        <w:rPr>
          <w:rFonts w:ascii="Calibri" w:eastAsia="Calibri" w:hAnsi="Calibri" w:cs="Calibri"/>
          <w:color w:val="E91E63"/>
        </w:rPr>
        <w:t>CEDH, 27 juin 1968, Wemhoff c. Allemagne, n° 2122/64</w:t>
      </w:r>
      <w:r>
        <w:rPr>
          <w:rFonts w:ascii="Calibri" w:eastAsia="Calibri" w:hAnsi="Calibri" w:cs="Calibri"/>
          <w:color w:val="1A1A1A"/>
        </w:rPr>
        <w:t>).</w:t>
      </w:r>
    </w:p>
    <w:p w14:paraId="7212ABA6"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Argument décisif à retenir</w:t>
      </w:r>
      <w:r>
        <w:rPr>
          <w:rFonts w:ascii="Calibri" w:eastAsia="Calibri" w:hAnsi="Calibri" w:cs="Calibri"/>
          <w:color w:val="1A1A1A"/>
        </w:rPr>
        <w:t xml:space="preserve"> : la Cour </w:t>
      </w:r>
      <w:r>
        <w:rPr>
          <w:rFonts w:ascii="Calibri" w:eastAsia="Calibri" w:hAnsi="Calibri" w:cs="Calibri"/>
          <w:b/>
          <w:bCs/>
          <w:color w:val="1A1A1A"/>
        </w:rPr>
        <w:t>ne crée pas de droits de toutes pièces</w:t>
      </w:r>
      <w:r>
        <w:rPr>
          <w:rFonts w:ascii="Calibri" w:eastAsia="Calibri" w:hAnsi="Calibri" w:cs="Calibri"/>
          <w:color w:val="1A1A1A"/>
        </w:rPr>
        <w:t xml:space="preserve"> sans qu’ils puissent être rattachés à une stipulation de la Convention. Le droit à un environnement sain n’est ainsi protégé que dans la mesure où l’atteinte environnementale porterait atteinte à un </w:t>
      </w:r>
      <w:r>
        <w:rPr>
          <w:rFonts w:ascii="Calibri" w:eastAsia="Calibri" w:hAnsi="Calibri" w:cs="Calibri"/>
          <w:b/>
          <w:bCs/>
          <w:color w:val="1A1A1A"/>
        </w:rPr>
        <w:t>droit garanti</w:t>
      </w:r>
      <w:r>
        <w:rPr>
          <w:rFonts w:ascii="Calibri" w:eastAsia="Calibri" w:hAnsi="Calibri" w:cs="Calibri"/>
          <w:color w:val="1A1A1A"/>
        </w:rPr>
        <w:t xml:space="preserve"> par la Convention — d’où le rattachement du contentieux climatique à l’</w:t>
      </w:r>
      <w:r>
        <w:rPr>
          <w:rFonts w:ascii="Calibri" w:eastAsia="Calibri" w:hAnsi="Calibri" w:cs="Calibri"/>
          <w:color w:val="1E88E5"/>
        </w:rPr>
        <w:t>art. 8</w:t>
      </w:r>
      <w:r>
        <w:rPr>
          <w:rFonts w:ascii="Calibri" w:eastAsia="Calibri" w:hAnsi="Calibri" w:cs="Calibri"/>
          <w:color w:val="1A1A1A"/>
        </w:rPr>
        <w:t>.</w:t>
      </w:r>
    </w:p>
    <w:p w14:paraId="5150044D"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 souveraineté préservée</w:t>
      </w:r>
      <w:r>
        <w:rPr>
          <w:rFonts w:ascii="Calibri" w:eastAsia="Calibri" w:hAnsi="Calibri" w:cs="Calibri"/>
          <w:color w:val="1A1A1A"/>
        </w:rPr>
        <w:t xml:space="preserve"> : les États conservent la possibilité de formuler des </w:t>
      </w:r>
      <w:r>
        <w:rPr>
          <w:rFonts w:ascii="Calibri" w:eastAsia="Calibri" w:hAnsi="Calibri" w:cs="Calibri"/>
          <w:b/>
          <w:bCs/>
          <w:color w:val="1A1A1A"/>
        </w:rPr>
        <w:t>réserves</w:t>
      </w:r>
      <w:r>
        <w:rPr>
          <w:rFonts w:ascii="Calibri" w:eastAsia="Calibri" w:hAnsi="Calibri" w:cs="Calibri"/>
          <w:color w:val="1A1A1A"/>
        </w:rPr>
        <w:t xml:space="preserve"> dans la mesure où elles ne contredisent pas leur engagement conventionnel ; la faculté de </w:t>
      </w:r>
      <w:r>
        <w:rPr>
          <w:rFonts w:ascii="Calibri" w:eastAsia="Calibri" w:hAnsi="Calibri" w:cs="Calibri"/>
          <w:b/>
          <w:bCs/>
          <w:color w:val="1A1A1A"/>
        </w:rPr>
        <w:t>déroger</w:t>
      </w:r>
      <w:r>
        <w:rPr>
          <w:rFonts w:ascii="Calibri" w:eastAsia="Calibri" w:hAnsi="Calibri" w:cs="Calibri"/>
          <w:color w:val="1A1A1A"/>
        </w:rPr>
        <w:t xml:space="preserve"> temporairement (</w:t>
      </w:r>
      <w:r>
        <w:rPr>
          <w:rFonts w:ascii="Calibri" w:eastAsia="Calibri" w:hAnsi="Calibri" w:cs="Calibri"/>
          <w:color w:val="1E88E5"/>
        </w:rPr>
        <w:t>art. 15</w:t>
      </w:r>
      <w:r>
        <w:rPr>
          <w:rFonts w:ascii="Calibri" w:eastAsia="Calibri" w:hAnsi="Calibri" w:cs="Calibri"/>
          <w:color w:val="1A1A1A"/>
        </w:rPr>
        <w:t xml:space="preserve">) ; et le bénéfice du principe selon lequel les protocoles ne leur sont opposables que s’ils les ont ratifiés — l’interdiction générale et autonome de la discrimination issue du </w:t>
      </w:r>
      <w:r>
        <w:rPr>
          <w:rFonts w:ascii="Calibri" w:eastAsia="Calibri" w:hAnsi="Calibri" w:cs="Calibri"/>
          <w:color w:val="1E88E5"/>
        </w:rPr>
        <w:t>Protocole n° 12</w:t>
      </w:r>
      <w:r>
        <w:rPr>
          <w:rFonts w:ascii="Calibri" w:eastAsia="Calibri" w:hAnsi="Calibri" w:cs="Calibri"/>
          <w:color w:val="1A1A1A"/>
        </w:rPr>
        <w:t xml:space="preserve"> en est l’illustration la plus nette.</w:t>
      </w:r>
    </w:p>
    <w:p w14:paraId="05C1E7B3"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Formule de conclusion</w:t>
      </w:r>
      <w:r>
        <w:rPr>
          <w:rFonts w:ascii="Calibri" w:eastAsia="Calibri" w:hAnsi="Calibri" w:cs="Calibri"/>
          <w:color w:val="1A1A1A"/>
        </w:rPr>
        <w:t xml:space="preserve"> : loin de s’avérer arbitraire, l’interprétation des obligations étatiques par la Cour repose sur la souveraineté des États, qui disposent, conformément au principe de subsidiarité, du </w:t>
      </w:r>
      <w:r>
        <w:rPr>
          <w:rFonts w:ascii="Calibri" w:eastAsia="Calibri" w:hAnsi="Calibri" w:cs="Calibri"/>
          <w:b/>
          <w:bCs/>
          <w:color w:val="1A1A1A"/>
        </w:rPr>
        <w:t>premier et du dernier mot</w:t>
      </w:r>
      <w:r>
        <w:rPr>
          <w:rFonts w:ascii="Calibri" w:eastAsia="Calibri" w:hAnsi="Calibri" w:cs="Calibri"/>
          <w:color w:val="1A1A1A"/>
        </w:rPr>
        <w:t xml:space="preserve"> sur la mise en œuvre de leurs obligations découlant de la Convention.</w:t>
      </w:r>
    </w:p>
    <w:p w14:paraId="7AE27CD0" w14:textId="77777777" w:rsidR="00E0256F" w:rsidRDefault="00000000">
      <w:pPr>
        <w:pStyle w:val="Titre2"/>
        <w:spacing w:before="280" w:after="120"/>
      </w:pPr>
      <w:r>
        <w:rPr>
          <w:rFonts w:ascii="Calibri" w:eastAsia="Calibri" w:hAnsi="Calibri" w:cs="Calibri"/>
          <w:b/>
          <w:bCs/>
          <w:color w:val="1A1A1A"/>
          <w:sz w:val="24"/>
          <w:szCs w:val="24"/>
        </w:rPr>
        <w:t>4. Dispositif « Grand Oral »</w:t>
      </w:r>
    </w:p>
    <w:p w14:paraId="5DDB4001" w14:textId="77777777" w:rsidR="00E0256F" w:rsidRDefault="00000000">
      <w:pPr>
        <w:pStyle w:val="Titre3"/>
        <w:spacing w:before="200" w:after="90"/>
      </w:pPr>
      <w:r>
        <w:rPr>
          <w:rFonts w:ascii="Calibri" w:eastAsia="Calibri" w:hAnsi="Calibri" w:cs="Calibri"/>
          <w:b/>
          <w:bCs/>
          <w:i/>
          <w:iCs/>
          <w:color w:val="5A5A5A"/>
          <w:sz w:val="21"/>
          <w:szCs w:val="21"/>
        </w:rPr>
        <w:t>4.1. Trois relances / questions pièges</w:t>
      </w:r>
    </w:p>
    <w:p w14:paraId="3F335DB9"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La Cour européenne des droits de l’homme est-elle une quatrième instance ? »</w:t>
      </w:r>
      <w:r>
        <w:rPr>
          <w:rFonts w:ascii="Calibri" w:eastAsia="Calibri" w:hAnsi="Calibri" w:cs="Calibri"/>
          <w:color w:val="1A1A1A"/>
        </w:rPr>
        <w:t xml:space="preserve"> — Non (</w:t>
      </w:r>
      <w:proofErr w:type="spellStart"/>
      <w:r>
        <w:rPr>
          <w:rFonts w:ascii="Calibri" w:eastAsia="Calibri" w:hAnsi="Calibri" w:cs="Calibri"/>
          <w:color w:val="E91E63"/>
        </w:rPr>
        <w:t>Kemmache</w:t>
      </w:r>
      <w:proofErr w:type="spellEnd"/>
      <w:r>
        <w:rPr>
          <w:rFonts w:ascii="Calibri" w:eastAsia="Calibri" w:hAnsi="Calibri" w:cs="Calibri"/>
          <w:color w:val="E91E63"/>
        </w:rPr>
        <w:t xml:space="preserve"> c. France</w:t>
      </w:r>
      <w:r>
        <w:rPr>
          <w:rFonts w:ascii="Calibri" w:eastAsia="Calibri" w:hAnsi="Calibri" w:cs="Calibri"/>
          <w:color w:val="1A1A1A"/>
        </w:rPr>
        <w:t>). Enchaîner sur la subsidiarité, l’épuisement des voies de recours internes (</w:t>
      </w:r>
      <w:r>
        <w:rPr>
          <w:rFonts w:ascii="Calibri" w:eastAsia="Calibri" w:hAnsi="Calibri" w:cs="Calibri"/>
          <w:color w:val="1E88E5"/>
        </w:rPr>
        <w:t>art. 35 § 1</w:t>
      </w:r>
      <w:r>
        <w:rPr>
          <w:rFonts w:ascii="Calibri" w:eastAsia="Calibri" w:hAnsi="Calibri" w:cs="Calibri"/>
          <w:color w:val="1A1A1A"/>
        </w:rPr>
        <w:t>) et le libre choix des mesures d’exécution (</w:t>
      </w:r>
      <w:r>
        <w:rPr>
          <w:rFonts w:ascii="Calibri" w:eastAsia="Calibri" w:hAnsi="Calibri" w:cs="Calibri"/>
          <w:color w:val="E91E63"/>
        </w:rPr>
        <w:t>Belilos</w:t>
      </w:r>
      <w:r>
        <w:rPr>
          <w:rFonts w:ascii="Calibri" w:eastAsia="Calibri" w:hAnsi="Calibri" w:cs="Calibri"/>
          <w:color w:val="1A1A1A"/>
        </w:rPr>
        <w:t>). Piège : ne pas confondre l’absence de quatrième instance avec l’absence de contrôle — la Cour contrôle la conventionnalité, non la bonne application du droit interne.</w:t>
      </w:r>
    </w:p>
    <w:p w14:paraId="309F699C"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La Convention s’applique-t-elle hors du territoire européen ? »</w:t>
      </w:r>
      <w:r>
        <w:rPr>
          <w:rFonts w:ascii="Calibri" w:eastAsia="Calibri" w:hAnsi="Calibri" w:cs="Calibri"/>
          <w:color w:val="1A1A1A"/>
        </w:rPr>
        <w:t xml:space="preserve"> — Oui, dès lors qu’un lien de rattachement avec la juridiction d’un État partie est établi, notamment lorsque l’État exerce des prérogatives de puissance publique à l’étranger par le biais d’agents publics, fût-ce temporairement (</w:t>
      </w:r>
      <w:r>
        <w:rPr>
          <w:rFonts w:ascii="Calibri" w:eastAsia="Calibri" w:hAnsi="Calibri" w:cs="Calibri"/>
          <w:color w:val="E91E63"/>
        </w:rPr>
        <w:t>Al-</w:t>
      </w:r>
      <w:proofErr w:type="spellStart"/>
      <w:r>
        <w:rPr>
          <w:rFonts w:ascii="Calibri" w:eastAsia="Calibri" w:hAnsi="Calibri" w:cs="Calibri"/>
          <w:color w:val="E91E63"/>
        </w:rPr>
        <w:t>Skeini</w:t>
      </w:r>
      <w:proofErr w:type="spellEnd"/>
      <w:r>
        <w:rPr>
          <w:rFonts w:ascii="Calibri" w:eastAsia="Calibri" w:hAnsi="Calibri" w:cs="Calibri"/>
          <w:color w:val="1A1A1A"/>
        </w:rPr>
        <w:t xml:space="preserve">). Point de départ : la juridiction est </w:t>
      </w:r>
      <w:r>
        <w:rPr>
          <w:rFonts w:ascii="Calibri" w:eastAsia="Calibri" w:hAnsi="Calibri" w:cs="Calibri"/>
          <w:b/>
          <w:bCs/>
          <w:color w:val="1A1A1A"/>
        </w:rPr>
        <w:t>en principe</w:t>
      </w:r>
      <w:r>
        <w:rPr>
          <w:rFonts w:ascii="Calibri" w:eastAsia="Calibri" w:hAnsi="Calibri" w:cs="Calibri"/>
          <w:color w:val="1A1A1A"/>
        </w:rPr>
        <w:t xml:space="preserve"> territoriale (</w:t>
      </w:r>
      <w:proofErr w:type="spellStart"/>
      <w:r>
        <w:rPr>
          <w:rFonts w:ascii="Calibri" w:eastAsia="Calibri" w:hAnsi="Calibri" w:cs="Calibri"/>
          <w:color w:val="E91E63"/>
        </w:rPr>
        <w:t>Ilascu</w:t>
      </w:r>
      <w:proofErr w:type="spellEnd"/>
      <w:r>
        <w:rPr>
          <w:rFonts w:ascii="Calibri" w:eastAsia="Calibri" w:hAnsi="Calibri" w:cs="Calibri"/>
          <w:color w:val="1A1A1A"/>
        </w:rPr>
        <w:t>).</w:t>
      </w:r>
    </w:p>
    <w:p w14:paraId="6EA3529F"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Un État peut-il échapper à la Cour en dénonçant la Convention ? »</w:t>
      </w:r>
      <w:r>
        <w:rPr>
          <w:rFonts w:ascii="Calibri" w:eastAsia="Calibri" w:hAnsi="Calibri" w:cs="Calibri"/>
          <w:color w:val="1A1A1A"/>
        </w:rPr>
        <w:t xml:space="preserve"> — Non pour le passé : la dénonciation ne vaut que pour l’avenir, et la Cour demeure compétente pour les faits survenus alors que l’État était lié (</w:t>
      </w:r>
      <w:r>
        <w:rPr>
          <w:rFonts w:ascii="Calibri" w:eastAsia="Calibri" w:hAnsi="Calibri" w:cs="Calibri"/>
          <w:color w:val="E91E63"/>
        </w:rPr>
        <w:t>Ukraine et Pays-Bas c. Russie</w:t>
      </w:r>
      <w:r>
        <w:rPr>
          <w:rFonts w:ascii="Calibri" w:eastAsia="Calibri" w:hAnsi="Calibri" w:cs="Calibri"/>
          <w:color w:val="1A1A1A"/>
        </w:rPr>
        <w:t>, 2025). Préciser les deux dates russes : 16 mars 2022 (Conseil de l’Europe) et 16 septembre 2022 (Convention).</w:t>
      </w:r>
    </w:p>
    <w:p w14:paraId="0AA58C82" w14:textId="77777777" w:rsidR="00E0256F" w:rsidRDefault="00000000">
      <w:pPr>
        <w:pStyle w:val="Titre3"/>
        <w:spacing w:before="200" w:after="90"/>
      </w:pPr>
      <w:r>
        <w:rPr>
          <w:rFonts w:ascii="Calibri" w:eastAsia="Calibri" w:hAnsi="Calibri" w:cs="Calibri"/>
          <w:b/>
          <w:bCs/>
          <w:i/>
          <w:iCs/>
          <w:color w:val="5A5A5A"/>
          <w:sz w:val="21"/>
          <w:szCs w:val="21"/>
        </w:rPr>
        <w:lastRenderedPageBreak/>
        <w:t>4.2. Sujets d’exposé rattachables</w:t>
      </w:r>
    </w:p>
    <w:p w14:paraId="0C0C1C8A"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Existe-t-il un gouvernement des juges de la Cour européenne des droits de l’homme ? » (sujet de dissertation expressément proposé par le fascicule).</w:t>
      </w:r>
    </w:p>
    <w:p w14:paraId="47AF8E48"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La Convention, instrument vivant » ; « Le principe de subsidiarité dans le système conventionnel ».</w:t>
      </w:r>
    </w:p>
    <w:p w14:paraId="34F24A2E"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La marge nationale d’appréciation » ; « Les obligations positives de l’État ».</w:t>
      </w:r>
    </w:p>
    <w:p w14:paraId="4E14A160"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Le Conseil de l’Europe et l’intelligence artificielle » ; « L’exécution des arrêts de la Cour européenne ».</w:t>
      </w:r>
    </w:p>
    <w:p w14:paraId="087FB17A" w14:textId="77777777" w:rsidR="00E0256F" w:rsidRDefault="00000000">
      <w:pPr>
        <w:pStyle w:val="Titre3"/>
        <w:spacing w:before="200" w:after="90"/>
      </w:pPr>
      <w:r>
        <w:rPr>
          <w:rFonts w:ascii="Calibri" w:eastAsia="Calibri" w:hAnsi="Calibri" w:cs="Calibri"/>
          <w:b/>
          <w:bCs/>
          <w:i/>
          <w:iCs/>
          <w:color w:val="5A5A5A"/>
          <w:sz w:val="21"/>
          <w:szCs w:val="21"/>
        </w:rPr>
        <w:t>4.3. Angles morts — en question / réponse</w:t>
      </w:r>
    </w:p>
    <w:p w14:paraId="25C84161"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Q. Combien d’États composent le Conseil de l’Europe ?</w:t>
      </w:r>
      <w:r>
        <w:rPr>
          <w:rFonts w:ascii="Calibri" w:eastAsia="Calibri" w:hAnsi="Calibri" w:cs="Calibri"/>
          <w:color w:val="1A1A1A"/>
        </w:rPr>
        <w:t xml:space="preserve"> — </w:t>
      </w:r>
      <w:r>
        <w:rPr>
          <w:rFonts w:ascii="Calibri" w:eastAsia="Calibri" w:hAnsi="Calibri" w:cs="Calibri"/>
          <w:b/>
          <w:bCs/>
          <w:color w:val="1A1A1A"/>
        </w:rPr>
        <w:t>46</w:t>
      </w:r>
      <w:r>
        <w:rPr>
          <w:rFonts w:ascii="Calibri" w:eastAsia="Calibri" w:hAnsi="Calibri" w:cs="Calibri"/>
          <w:color w:val="1A1A1A"/>
        </w:rPr>
        <w:t>, depuis le départ effectif de la Russie en septembre 2022. Ne jamais dire 27 (Union européenne) ni 47 (chiffre antérieur à 2022).</w:t>
      </w:r>
    </w:p>
    <w:p w14:paraId="0E80F896"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Q. Quelle est la différence entre un protocole additionnel et un protocole d’amendement ?</w:t>
      </w:r>
      <w:r>
        <w:rPr>
          <w:rFonts w:ascii="Calibri" w:eastAsia="Calibri" w:hAnsi="Calibri" w:cs="Calibri"/>
          <w:color w:val="1A1A1A"/>
        </w:rPr>
        <w:t xml:space="preserve"> — Le premier </w:t>
      </w:r>
      <w:r>
        <w:rPr>
          <w:rFonts w:ascii="Calibri" w:eastAsia="Calibri" w:hAnsi="Calibri" w:cs="Calibri"/>
          <w:b/>
          <w:bCs/>
          <w:color w:val="1A1A1A"/>
        </w:rPr>
        <w:t>ajoute</w:t>
      </w:r>
      <w:r>
        <w:rPr>
          <w:rFonts w:ascii="Calibri" w:eastAsia="Calibri" w:hAnsi="Calibri" w:cs="Calibri"/>
          <w:color w:val="1A1A1A"/>
        </w:rPr>
        <w:t xml:space="preserve"> des droits, entre en vigueur après un nombre prédéterminé de ratifications et ne lie que les </w:t>
      </w:r>
      <w:proofErr w:type="spellStart"/>
      <w:r>
        <w:rPr>
          <w:rFonts w:ascii="Calibri" w:eastAsia="Calibri" w:hAnsi="Calibri" w:cs="Calibri"/>
          <w:color w:val="1A1A1A"/>
        </w:rPr>
        <w:t>ratifiants</w:t>
      </w:r>
      <w:proofErr w:type="spellEnd"/>
      <w:r>
        <w:rPr>
          <w:rFonts w:ascii="Calibri" w:eastAsia="Calibri" w:hAnsi="Calibri" w:cs="Calibri"/>
          <w:color w:val="1A1A1A"/>
        </w:rPr>
        <w:t xml:space="preserve"> ; le second </w:t>
      </w:r>
      <w:r>
        <w:rPr>
          <w:rFonts w:ascii="Calibri" w:eastAsia="Calibri" w:hAnsi="Calibri" w:cs="Calibri"/>
          <w:b/>
          <w:bCs/>
          <w:color w:val="1A1A1A"/>
        </w:rPr>
        <w:t>modifie</w:t>
      </w:r>
      <w:r>
        <w:rPr>
          <w:rFonts w:ascii="Calibri" w:eastAsia="Calibri" w:hAnsi="Calibri" w:cs="Calibri"/>
          <w:color w:val="1A1A1A"/>
        </w:rPr>
        <w:t xml:space="preserve"> la Convention et exige la ratification de </w:t>
      </w:r>
      <w:r>
        <w:rPr>
          <w:rFonts w:ascii="Calibri" w:eastAsia="Calibri" w:hAnsi="Calibri" w:cs="Calibri"/>
          <w:b/>
          <w:bCs/>
          <w:color w:val="1A1A1A"/>
        </w:rPr>
        <w:t>toutes</w:t>
      </w:r>
      <w:r>
        <w:rPr>
          <w:rFonts w:ascii="Calibri" w:eastAsia="Calibri" w:hAnsi="Calibri" w:cs="Calibri"/>
          <w:color w:val="1A1A1A"/>
        </w:rPr>
        <w:t xml:space="preserve"> les Hautes Parties contractantes.</w:t>
      </w:r>
    </w:p>
    <w:p w14:paraId="04CD5DE0"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Q. La France a-t-elle ratifié le Protocole n° 12 ?</w:t>
      </w:r>
      <w:r>
        <w:rPr>
          <w:rFonts w:ascii="Calibri" w:eastAsia="Calibri" w:hAnsi="Calibri" w:cs="Calibri"/>
          <w:color w:val="1A1A1A"/>
        </w:rPr>
        <w:t xml:space="preserve"> — Non, elle ne l’a même pas </w:t>
      </w:r>
      <w:r>
        <w:rPr>
          <w:rFonts w:ascii="Calibri" w:eastAsia="Calibri" w:hAnsi="Calibri" w:cs="Calibri"/>
          <w:b/>
          <w:bCs/>
          <w:color w:val="1A1A1A"/>
        </w:rPr>
        <w:t>signé</w:t>
      </w:r>
      <w:r>
        <w:rPr>
          <w:rFonts w:ascii="Calibri" w:eastAsia="Calibri" w:hAnsi="Calibri" w:cs="Calibri"/>
          <w:color w:val="1A1A1A"/>
        </w:rPr>
        <w:t>. Elle a en revanche ratifié le Protocole n° 16, dont la ratification a déclenché l’entrée en vigueur le 1er août 2018.</w:t>
      </w:r>
    </w:p>
    <w:p w14:paraId="55970382"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Q. Depuis quand le recours individuel est-il obligatoire ?</w:t>
      </w:r>
      <w:r>
        <w:rPr>
          <w:rFonts w:ascii="Calibri" w:eastAsia="Calibri" w:hAnsi="Calibri" w:cs="Calibri"/>
          <w:color w:val="1A1A1A"/>
        </w:rPr>
        <w:t xml:space="preserve"> — Depuis l’entrée en vigueur du </w:t>
      </w:r>
      <w:r>
        <w:rPr>
          <w:rFonts w:ascii="Calibri" w:eastAsia="Calibri" w:hAnsi="Calibri" w:cs="Calibri"/>
          <w:color w:val="1E88E5"/>
        </w:rPr>
        <w:t>Protocole n° 11</w:t>
      </w:r>
      <w:r>
        <w:rPr>
          <w:rFonts w:ascii="Calibri" w:eastAsia="Calibri" w:hAnsi="Calibri" w:cs="Calibri"/>
          <w:color w:val="1A1A1A"/>
        </w:rPr>
        <w:t xml:space="preserve"> en </w:t>
      </w:r>
      <w:r>
        <w:rPr>
          <w:rFonts w:ascii="Calibri" w:eastAsia="Calibri" w:hAnsi="Calibri" w:cs="Calibri"/>
          <w:b/>
          <w:bCs/>
          <w:color w:val="1A1A1A"/>
        </w:rPr>
        <w:t>novembre 1998</w:t>
      </w:r>
      <w:r>
        <w:rPr>
          <w:rFonts w:ascii="Calibri" w:eastAsia="Calibri" w:hAnsi="Calibri" w:cs="Calibri"/>
          <w:color w:val="1A1A1A"/>
        </w:rPr>
        <w:t xml:space="preserve">, qui fait de la Cour une juridiction </w:t>
      </w:r>
      <w:r>
        <w:rPr>
          <w:rFonts w:ascii="Calibri" w:eastAsia="Calibri" w:hAnsi="Calibri" w:cs="Calibri"/>
          <w:b/>
          <w:bCs/>
          <w:color w:val="1A1A1A"/>
        </w:rPr>
        <w:t>permanente</w:t>
      </w:r>
      <w:r>
        <w:rPr>
          <w:rFonts w:ascii="Calibri" w:eastAsia="Calibri" w:hAnsi="Calibri" w:cs="Calibri"/>
          <w:color w:val="1A1A1A"/>
        </w:rPr>
        <w:t xml:space="preserve"> à compétence obligatoire. La Cour existe depuis 1959 ; ne pas confondre les deux dates.</w:t>
      </w:r>
    </w:p>
    <w:p w14:paraId="1D6E87B7"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xml:space="preserve">Q. La règle </w:t>
      </w:r>
      <w:r>
        <w:rPr>
          <w:rFonts w:ascii="Calibri" w:eastAsia="Calibri" w:hAnsi="Calibri" w:cs="Calibri"/>
          <w:b/>
          <w:bCs/>
          <w:i/>
          <w:iCs/>
          <w:color w:val="1A1A1A"/>
        </w:rPr>
        <w:t>non bis in idem</w:t>
      </w:r>
      <w:r>
        <w:rPr>
          <w:rFonts w:ascii="Calibri" w:eastAsia="Calibri" w:hAnsi="Calibri" w:cs="Calibri"/>
          <w:b/>
          <w:bCs/>
          <w:color w:val="1A1A1A"/>
        </w:rPr>
        <w:t xml:space="preserve"> figure-t-elle dans la Convention elle-même ?</w:t>
      </w:r>
      <w:r>
        <w:rPr>
          <w:rFonts w:ascii="Calibri" w:eastAsia="Calibri" w:hAnsi="Calibri" w:cs="Calibri"/>
          <w:color w:val="1A1A1A"/>
        </w:rPr>
        <w:t xml:space="preserve"> — Non : à l’</w:t>
      </w:r>
      <w:r>
        <w:rPr>
          <w:rFonts w:ascii="Calibri" w:eastAsia="Calibri" w:hAnsi="Calibri" w:cs="Calibri"/>
          <w:color w:val="1E88E5"/>
        </w:rPr>
        <w:t>art. 4 du Protocole n° 7</w:t>
      </w:r>
      <w:r>
        <w:rPr>
          <w:rFonts w:ascii="Calibri" w:eastAsia="Calibri" w:hAnsi="Calibri" w:cs="Calibri"/>
          <w:color w:val="1A1A1A"/>
        </w:rPr>
        <w:t>. Un support de préparation la rattache par erreur au « protocole n° 2 » — vérifier systématiquement.</w:t>
      </w:r>
    </w:p>
    <w:p w14:paraId="34594A21"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Q. La Charte sociale européenne s’applique-t-elle intégralement à tous ses signataires ?</w:t>
      </w:r>
      <w:r>
        <w:rPr>
          <w:rFonts w:ascii="Calibri" w:eastAsia="Calibri" w:hAnsi="Calibri" w:cs="Calibri"/>
          <w:color w:val="1A1A1A"/>
        </w:rPr>
        <w:t xml:space="preserve"> — Non : </w:t>
      </w:r>
      <w:r>
        <w:rPr>
          <w:rFonts w:ascii="Calibri" w:eastAsia="Calibri" w:hAnsi="Calibri" w:cs="Calibri"/>
          <w:b/>
          <w:bCs/>
          <w:color w:val="1A1A1A"/>
        </w:rPr>
        <w:t>ratification « à la carte »</w:t>
      </w:r>
      <w:r>
        <w:rPr>
          <w:rFonts w:ascii="Calibri" w:eastAsia="Calibri" w:hAnsi="Calibri" w:cs="Calibri"/>
          <w:color w:val="1A1A1A"/>
        </w:rPr>
        <w:t>, chaque État choisissant les stipulations qui l’obligent, sous réserve d’un minimum. C’est la différence structurelle majeure avec la Convention.</w:t>
      </w:r>
    </w:p>
    <w:p w14:paraId="607D94E0" w14:textId="77777777" w:rsidR="00E0256F" w:rsidRDefault="00000000">
      <w:r>
        <w:br w:type="page"/>
      </w:r>
    </w:p>
    <w:p w14:paraId="4CC53AC1" w14:textId="77777777" w:rsidR="00E0256F"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FICHE N° 15 — LE DROIT DE L’UNION EUROPÉENNE</w:t>
      </w:r>
    </w:p>
    <w:p w14:paraId="456BCEBC" w14:textId="77777777" w:rsidR="00E0256F" w:rsidRDefault="00000000">
      <w:pPr>
        <w:pStyle w:val="Titre2"/>
        <w:spacing w:before="280" w:after="120"/>
      </w:pPr>
      <w:r>
        <w:rPr>
          <w:rFonts w:ascii="Calibri" w:eastAsia="Calibri" w:hAnsi="Calibri" w:cs="Calibri"/>
          <w:b/>
          <w:bCs/>
          <w:color w:val="1A1A1A"/>
          <w:sz w:val="24"/>
          <w:szCs w:val="24"/>
        </w:rPr>
        <w:t>◆ FICHE-MÉMOIRE — à réviser en trois minutes</w:t>
      </w:r>
    </w:p>
    <w:p w14:paraId="53E6ED38" w14:textId="77777777" w:rsidR="00E0256F" w:rsidRDefault="00000000">
      <w:pPr>
        <w:pStyle w:val="Titre3"/>
        <w:spacing w:before="200" w:after="90"/>
      </w:pPr>
      <w:r>
        <w:rPr>
          <w:rFonts w:ascii="Calibri" w:eastAsia="Calibri" w:hAnsi="Calibri" w:cs="Calibri"/>
          <w:b/>
          <w:bCs/>
          <w:i/>
          <w:iCs/>
          <w:color w:val="5A5A5A"/>
          <w:sz w:val="21"/>
          <w:szCs w:val="21"/>
        </w:rPr>
        <w:t>Accroche</w:t>
      </w:r>
    </w:p>
    <w:p w14:paraId="5D275EE6"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L’Union s’est construite </w:t>
      </w:r>
      <w:r>
        <w:rPr>
          <w:rFonts w:ascii="Calibri" w:eastAsia="Calibri" w:hAnsi="Calibri" w:cs="Calibri"/>
          <w:b/>
          <w:bCs/>
          <w:color w:val="1A1A1A"/>
        </w:rPr>
        <w:t>à l’envers</w:t>
      </w:r>
      <w:r>
        <w:rPr>
          <w:rFonts w:ascii="Calibri" w:eastAsia="Calibri" w:hAnsi="Calibri" w:cs="Calibri"/>
          <w:color w:val="1A1A1A"/>
        </w:rPr>
        <w:t xml:space="preserve"> : d’abord un marché, ensuite des droits. Les traités originels ne comportaient pas de catalogue de droits fondamentaux ; il a fallu la </w:t>
      </w:r>
      <w:r>
        <w:rPr>
          <w:rFonts w:ascii="Calibri" w:eastAsia="Calibri" w:hAnsi="Calibri" w:cs="Calibri"/>
          <w:b/>
          <w:bCs/>
          <w:color w:val="1A1A1A"/>
        </w:rPr>
        <w:t>résistance des cours constitutionnelles nationales</w:t>
      </w:r>
      <w:r>
        <w:rPr>
          <w:rFonts w:ascii="Calibri" w:eastAsia="Calibri" w:hAnsi="Calibri" w:cs="Calibri"/>
          <w:color w:val="1A1A1A"/>
        </w:rPr>
        <w:t xml:space="preserve"> pour que la Cour de justice les dégage, en 1970, comme principes généraux du droit communautaire — et attendre 2009 pour que la Charte devienne contraignante.</w:t>
      </w:r>
    </w:p>
    <w:p w14:paraId="4A708A6D"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Accroche alternative : l’Union se définit elle-même comme une « </w:t>
      </w:r>
      <w:r>
        <w:rPr>
          <w:rFonts w:ascii="Calibri" w:eastAsia="Calibri" w:hAnsi="Calibri" w:cs="Calibri"/>
          <w:b/>
          <w:bCs/>
          <w:color w:val="1A1A1A"/>
        </w:rPr>
        <w:t>Union de droit</w:t>
      </w:r>
      <w:r>
        <w:rPr>
          <w:rFonts w:ascii="Calibri" w:eastAsia="Calibri" w:hAnsi="Calibri" w:cs="Calibri"/>
          <w:color w:val="1A1A1A"/>
        </w:rPr>
        <w:t xml:space="preserve"> » (</w:t>
      </w:r>
      <w:r>
        <w:rPr>
          <w:rFonts w:ascii="Calibri" w:eastAsia="Calibri" w:hAnsi="Calibri" w:cs="Calibri"/>
          <w:color w:val="E91E63"/>
        </w:rPr>
        <w:t xml:space="preserve">CJUE, Gde ch., 29 juin 2010, E et F, </w:t>
      </w:r>
      <w:proofErr w:type="spellStart"/>
      <w:r>
        <w:rPr>
          <w:rFonts w:ascii="Calibri" w:eastAsia="Calibri" w:hAnsi="Calibri" w:cs="Calibri"/>
          <w:color w:val="E91E63"/>
        </w:rPr>
        <w:t>aff.</w:t>
      </w:r>
      <w:proofErr w:type="spellEnd"/>
      <w:r>
        <w:rPr>
          <w:rFonts w:ascii="Calibri" w:eastAsia="Calibri" w:hAnsi="Calibri" w:cs="Calibri"/>
          <w:color w:val="E91E63"/>
        </w:rPr>
        <w:t xml:space="preserve"> C-550/09, point 44</w:t>
      </w:r>
      <w:r>
        <w:rPr>
          <w:rFonts w:ascii="Calibri" w:eastAsia="Calibri" w:hAnsi="Calibri" w:cs="Calibri"/>
          <w:color w:val="1A1A1A"/>
        </w:rPr>
        <w:t>) — proposition dont le sujet consiste précisément à mesurer l’écart avec la pratique.</w:t>
      </w:r>
    </w:p>
    <w:p w14:paraId="5A7B4E83" w14:textId="77777777" w:rsidR="00E0256F" w:rsidRDefault="00000000">
      <w:pPr>
        <w:pStyle w:val="Titre3"/>
        <w:spacing w:before="200" w:after="90"/>
      </w:pPr>
      <w:r>
        <w:rPr>
          <w:rFonts w:ascii="Calibri" w:eastAsia="Calibri" w:hAnsi="Calibri" w:cs="Calibri"/>
          <w:b/>
          <w:bCs/>
          <w:i/>
          <w:iCs/>
          <w:color w:val="5A5A5A"/>
          <w:sz w:val="21"/>
          <w:szCs w:val="21"/>
        </w:rPr>
        <w:t>Définition en trois lignes</w:t>
      </w:r>
    </w:p>
    <w:p w14:paraId="477FEC67"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Trois sources : le </w:t>
      </w:r>
      <w:r>
        <w:rPr>
          <w:rFonts w:ascii="Calibri" w:eastAsia="Calibri" w:hAnsi="Calibri" w:cs="Calibri"/>
          <w:b/>
          <w:bCs/>
          <w:color w:val="1A1A1A"/>
        </w:rPr>
        <w:t>droit primaire</w:t>
      </w:r>
      <w:r>
        <w:rPr>
          <w:rFonts w:ascii="Calibri" w:eastAsia="Calibri" w:hAnsi="Calibri" w:cs="Calibri"/>
          <w:color w:val="1A1A1A"/>
        </w:rPr>
        <w:t xml:space="preserve"> (traités, </w:t>
      </w:r>
      <w:r>
        <w:rPr>
          <w:rFonts w:ascii="Calibri" w:eastAsia="Calibri" w:hAnsi="Calibri" w:cs="Calibri"/>
          <w:color w:val="1E88E5"/>
        </w:rPr>
        <w:t>art. 6 TUE</w:t>
      </w:r>
      <w:r>
        <w:rPr>
          <w:rFonts w:ascii="Calibri" w:eastAsia="Calibri" w:hAnsi="Calibri" w:cs="Calibri"/>
          <w:color w:val="1A1A1A"/>
        </w:rPr>
        <w:t xml:space="preserve">, Charte des droits fondamentaux), les </w:t>
      </w:r>
      <w:r>
        <w:rPr>
          <w:rFonts w:ascii="Calibri" w:eastAsia="Calibri" w:hAnsi="Calibri" w:cs="Calibri"/>
          <w:b/>
          <w:bCs/>
          <w:color w:val="1A1A1A"/>
        </w:rPr>
        <w:t>principes généraux du droit de l’Union</w:t>
      </w:r>
      <w:r>
        <w:rPr>
          <w:rFonts w:ascii="Calibri" w:eastAsia="Calibri" w:hAnsi="Calibri" w:cs="Calibri"/>
          <w:color w:val="1A1A1A"/>
        </w:rPr>
        <w:t xml:space="preserve"> dégagés par la Cour de justice, et le </w:t>
      </w:r>
      <w:r>
        <w:rPr>
          <w:rFonts w:ascii="Calibri" w:eastAsia="Calibri" w:hAnsi="Calibri" w:cs="Calibri"/>
          <w:b/>
          <w:bCs/>
          <w:color w:val="1A1A1A"/>
        </w:rPr>
        <w:t>droit dérivé</w:t>
      </w:r>
      <w:r>
        <w:rPr>
          <w:rFonts w:ascii="Calibri" w:eastAsia="Calibri" w:hAnsi="Calibri" w:cs="Calibri"/>
          <w:color w:val="1A1A1A"/>
        </w:rPr>
        <w:t xml:space="preserve"> (règlements et directives, d’importance secondaire mais bénéficiant de la primauté).</w:t>
      </w:r>
    </w:p>
    <w:p w14:paraId="119D0C14"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Champ d’application — la clé de la fiche</w:t>
      </w:r>
      <w:r>
        <w:rPr>
          <w:rFonts w:ascii="Calibri" w:eastAsia="Calibri" w:hAnsi="Calibri" w:cs="Calibri"/>
          <w:color w:val="1A1A1A"/>
        </w:rPr>
        <w:t xml:space="preserve"> : ces droits s’imposent aux </w:t>
      </w:r>
      <w:r>
        <w:rPr>
          <w:rFonts w:ascii="Calibri" w:eastAsia="Calibri" w:hAnsi="Calibri" w:cs="Calibri"/>
          <w:b/>
          <w:bCs/>
          <w:color w:val="1A1A1A"/>
        </w:rPr>
        <w:t>institutions européennes</w:t>
      </w:r>
      <w:r>
        <w:rPr>
          <w:rFonts w:ascii="Calibri" w:eastAsia="Calibri" w:hAnsi="Calibri" w:cs="Calibri"/>
          <w:color w:val="1A1A1A"/>
        </w:rPr>
        <w:t xml:space="preserve">, mais ne lient les États membres que </w:t>
      </w:r>
      <w:r>
        <w:rPr>
          <w:rFonts w:ascii="Calibri" w:eastAsia="Calibri" w:hAnsi="Calibri" w:cs="Calibri"/>
          <w:b/>
          <w:bCs/>
          <w:color w:val="1A1A1A"/>
        </w:rPr>
        <w:t>dans la mesure où ils mettent en œuvre le droit de l’Union</w:t>
      </w:r>
      <w:r>
        <w:rPr>
          <w:rFonts w:ascii="Calibri" w:eastAsia="Calibri" w:hAnsi="Calibri" w:cs="Calibri"/>
          <w:color w:val="1A1A1A"/>
        </w:rPr>
        <w:t xml:space="preserve"> ou lorsqu’une situation relève de ce droit (</w:t>
      </w:r>
      <w:r>
        <w:rPr>
          <w:rFonts w:ascii="Calibri" w:eastAsia="Calibri" w:hAnsi="Calibri" w:cs="Calibri"/>
          <w:color w:val="1E88E5"/>
        </w:rPr>
        <w:t>art. 51 § 1 de la Charte</w:t>
      </w:r>
      <w:r>
        <w:rPr>
          <w:rFonts w:ascii="Calibri" w:eastAsia="Calibri" w:hAnsi="Calibri" w:cs="Calibri"/>
          <w:color w:val="1A1A1A"/>
        </w:rPr>
        <w:t xml:space="preserve"> ; </w:t>
      </w:r>
      <w:r>
        <w:rPr>
          <w:rFonts w:ascii="Calibri" w:eastAsia="Calibri" w:hAnsi="Calibri" w:cs="Calibri"/>
          <w:color w:val="E91E63"/>
        </w:rPr>
        <w:t xml:space="preserve">CJCE, 29 mai 1997, </w:t>
      </w:r>
      <w:proofErr w:type="spellStart"/>
      <w:r>
        <w:rPr>
          <w:rFonts w:ascii="Calibri" w:eastAsia="Calibri" w:hAnsi="Calibri" w:cs="Calibri"/>
          <w:color w:val="E91E63"/>
        </w:rPr>
        <w:t>Kremzow</w:t>
      </w:r>
      <w:proofErr w:type="spellEnd"/>
      <w:r>
        <w:rPr>
          <w:rFonts w:ascii="Calibri" w:eastAsia="Calibri" w:hAnsi="Calibri" w:cs="Calibri"/>
          <w:color w:val="E91E63"/>
        </w:rPr>
        <w:t>, C-299/95</w:t>
      </w:r>
      <w:r>
        <w:rPr>
          <w:rFonts w:ascii="Calibri" w:eastAsia="Calibri" w:hAnsi="Calibri" w:cs="Calibri"/>
          <w:color w:val="1A1A1A"/>
        </w:rPr>
        <w:t>).</w:t>
      </w:r>
    </w:p>
    <w:p w14:paraId="50E51AE1" w14:textId="77777777" w:rsidR="00E0256F" w:rsidRDefault="00000000">
      <w:pPr>
        <w:pStyle w:val="Titre3"/>
        <w:spacing w:before="200" w:after="90"/>
      </w:pPr>
      <w:r>
        <w:rPr>
          <w:rFonts w:ascii="Calibri" w:eastAsia="Calibri" w:hAnsi="Calibri" w:cs="Calibri"/>
          <w:b/>
          <w:bCs/>
          <w:i/>
          <w:iCs/>
          <w:color w:val="5A5A5A"/>
          <w:sz w:val="21"/>
          <w:szCs w:val="21"/>
        </w:rPr>
        <w:t>Les cinq références incontournables</w:t>
      </w:r>
    </w:p>
    <w:p w14:paraId="00450BC0"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 xml:space="preserve">CJCE, 17 décembre 1970, Internationale Handelsgesellschaft, </w:t>
      </w:r>
      <w:proofErr w:type="spellStart"/>
      <w:r>
        <w:rPr>
          <w:rFonts w:ascii="Calibri" w:eastAsia="Calibri" w:hAnsi="Calibri" w:cs="Calibri"/>
          <w:color w:val="E91E63"/>
        </w:rPr>
        <w:t>aff.</w:t>
      </w:r>
      <w:proofErr w:type="spellEnd"/>
      <w:r>
        <w:rPr>
          <w:rFonts w:ascii="Calibri" w:eastAsia="Calibri" w:hAnsi="Calibri" w:cs="Calibri"/>
          <w:color w:val="E91E63"/>
        </w:rPr>
        <w:t xml:space="preserve"> 11/70</w:t>
      </w:r>
      <w:r>
        <w:rPr>
          <w:rFonts w:ascii="Calibri" w:eastAsia="Calibri" w:hAnsi="Calibri" w:cs="Calibri"/>
          <w:color w:val="1A1A1A"/>
        </w:rPr>
        <w:t xml:space="preserve"> : les droits fondamentaux </w:t>
      </w:r>
      <w:r>
        <w:rPr>
          <w:rFonts w:ascii="Calibri" w:eastAsia="Calibri" w:hAnsi="Calibri" w:cs="Calibri"/>
          <w:b/>
          <w:bCs/>
          <w:color w:val="1A1A1A"/>
        </w:rPr>
        <w:t>font partie intégrante des principes généraux du droit</w:t>
      </w:r>
      <w:r>
        <w:rPr>
          <w:rFonts w:ascii="Calibri" w:eastAsia="Calibri" w:hAnsi="Calibri" w:cs="Calibri"/>
          <w:color w:val="1A1A1A"/>
        </w:rPr>
        <w:t xml:space="preserve"> des Communautés.</w:t>
      </w:r>
    </w:p>
    <w:p w14:paraId="73E06857"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Tribunal constitutionnel de Karlsruhe, 29 mai 1974, Solange I</w:t>
      </w:r>
      <w:r>
        <w:rPr>
          <w:rFonts w:ascii="Calibri" w:eastAsia="Calibri" w:hAnsi="Calibri" w:cs="Calibri"/>
          <w:color w:val="1A1A1A"/>
        </w:rPr>
        <w:t xml:space="preserve"> : « </w:t>
      </w:r>
      <w:r>
        <w:rPr>
          <w:rFonts w:ascii="Calibri" w:eastAsia="Calibri" w:hAnsi="Calibri" w:cs="Calibri"/>
          <w:b/>
          <w:bCs/>
          <w:color w:val="1A1A1A"/>
        </w:rPr>
        <w:t>aussi longtemps que</w:t>
      </w:r>
      <w:r>
        <w:rPr>
          <w:rFonts w:ascii="Calibri" w:eastAsia="Calibri" w:hAnsi="Calibri" w:cs="Calibri"/>
          <w:color w:val="1A1A1A"/>
        </w:rPr>
        <w:t xml:space="preserve"> » l’ordre juridique communautaire ne garantit pas une protection des droits équivalente à celle assurée par la Constitution nationale, les recours invoquant la violation d’un droit fondamental garanti par la Loi fondamentale demeurent recevables.</w:t>
      </w:r>
    </w:p>
    <w:p w14:paraId="030FB62A"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CJCE, 14 octobre 2004, Omega, C-36/02</w:t>
      </w:r>
      <w:r>
        <w:rPr>
          <w:rFonts w:ascii="Calibri" w:eastAsia="Calibri" w:hAnsi="Calibri" w:cs="Calibri"/>
          <w:color w:val="1A1A1A"/>
        </w:rPr>
        <w:t xml:space="preserve"> : la </w:t>
      </w:r>
      <w:r>
        <w:rPr>
          <w:rFonts w:ascii="Calibri" w:eastAsia="Calibri" w:hAnsi="Calibri" w:cs="Calibri"/>
          <w:b/>
          <w:bCs/>
          <w:color w:val="1A1A1A"/>
        </w:rPr>
        <w:t>dignité humaine</w:t>
      </w:r>
      <w:r>
        <w:rPr>
          <w:rFonts w:ascii="Calibri" w:eastAsia="Calibri" w:hAnsi="Calibri" w:cs="Calibri"/>
          <w:color w:val="1A1A1A"/>
        </w:rPr>
        <w:t>, droit constitutionnel indérogeable allemand, peut faire primer l’identité constitutionnelle nationale sur une liberté marchande (libre prestation de services).</w:t>
      </w:r>
    </w:p>
    <w:p w14:paraId="0CCC21FB"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CJCE, 11 décembre 2007, Viking, C-438/05</w:t>
      </w:r>
      <w:r>
        <w:rPr>
          <w:rFonts w:ascii="Calibri" w:eastAsia="Calibri" w:hAnsi="Calibri" w:cs="Calibri"/>
          <w:color w:val="1A1A1A"/>
        </w:rPr>
        <w:t xml:space="preserve"> : l’action collective peut constituer une </w:t>
      </w:r>
      <w:r>
        <w:rPr>
          <w:rFonts w:ascii="Calibri" w:eastAsia="Calibri" w:hAnsi="Calibri" w:cs="Calibri"/>
          <w:b/>
          <w:bCs/>
          <w:color w:val="1A1A1A"/>
        </w:rPr>
        <w:t>entrave</w:t>
      </w:r>
      <w:r>
        <w:rPr>
          <w:rFonts w:ascii="Calibri" w:eastAsia="Calibri" w:hAnsi="Calibri" w:cs="Calibri"/>
          <w:color w:val="1A1A1A"/>
        </w:rPr>
        <w:t xml:space="preserve"> à une liberté économique — arrêt emblématique de la critique d’une interprétation biaisée en faveur des intérêts du marché.</w:t>
      </w:r>
    </w:p>
    <w:p w14:paraId="0E4060EC"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CJUE, 26 février 2013, Melloni, C-399/11</w:t>
      </w:r>
      <w:r>
        <w:rPr>
          <w:rFonts w:ascii="Calibri" w:eastAsia="Calibri" w:hAnsi="Calibri" w:cs="Calibri"/>
          <w:color w:val="1A1A1A"/>
        </w:rPr>
        <w:t xml:space="preserve"> : une mesure nationale mettant en œuvre le droit de l’Union </w:t>
      </w:r>
      <w:r>
        <w:rPr>
          <w:rFonts w:ascii="Calibri" w:eastAsia="Calibri" w:hAnsi="Calibri" w:cs="Calibri"/>
          <w:b/>
          <w:bCs/>
          <w:color w:val="1A1A1A"/>
        </w:rPr>
        <w:t>ne peut prévoir un niveau de protection plus élevé que celui de la Charte</w:t>
      </w:r>
      <w:r>
        <w:rPr>
          <w:rFonts w:ascii="Calibri" w:eastAsia="Calibri" w:hAnsi="Calibri" w:cs="Calibri"/>
          <w:color w:val="1A1A1A"/>
        </w:rPr>
        <w:t xml:space="preserve"> si cela compromet ce niveau, la primauté ou l’effectivité du droit de l’Union. (Même jour : </w:t>
      </w:r>
      <w:r>
        <w:rPr>
          <w:rFonts w:ascii="Calibri" w:eastAsia="Calibri" w:hAnsi="Calibri" w:cs="Calibri"/>
          <w:color w:val="E91E63"/>
        </w:rPr>
        <w:t>Åkerberg Fransson, C-617/10</w:t>
      </w:r>
      <w:r>
        <w:rPr>
          <w:rFonts w:ascii="Calibri" w:eastAsia="Calibri" w:hAnsi="Calibri" w:cs="Calibri"/>
          <w:color w:val="1A1A1A"/>
        </w:rPr>
        <w:t>.)</w:t>
      </w:r>
    </w:p>
    <w:p w14:paraId="56D2F3D2" w14:textId="77777777" w:rsidR="00E0256F" w:rsidRDefault="00000000">
      <w:pPr>
        <w:pStyle w:val="Titre3"/>
        <w:spacing w:before="200" w:after="90"/>
      </w:pPr>
      <w:r>
        <w:rPr>
          <w:rFonts w:ascii="Calibri" w:eastAsia="Calibri" w:hAnsi="Calibri" w:cs="Calibri"/>
          <w:b/>
          <w:bCs/>
          <w:i/>
          <w:iCs/>
          <w:color w:val="5A5A5A"/>
          <w:sz w:val="21"/>
          <w:szCs w:val="21"/>
        </w:rPr>
        <w:t>Deux matrices de plan</w:t>
      </w:r>
    </w:p>
    <w:p w14:paraId="75E0B5C9"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Sujet « Le droit de l’Union protège-t-il les droits fondamentaux ? »</w:t>
      </w:r>
      <w:r>
        <w:rPr>
          <w:rFonts w:ascii="Calibri" w:eastAsia="Calibri" w:hAnsi="Calibri" w:cs="Calibri"/>
          <w:color w:val="1A1A1A"/>
        </w:rPr>
        <w:t xml:space="preserve"> — </w:t>
      </w:r>
      <w:r>
        <w:rPr>
          <w:rFonts w:ascii="Calibri" w:eastAsia="Calibri" w:hAnsi="Calibri" w:cs="Calibri"/>
          <w:b/>
          <w:bCs/>
          <w:color w:val="1A1A1A"/>
        </w:rPr>
        <w:t>I. Une protection construite par défaut</w:t>
      </w:r>
      <w:r>
        <w:rPr>
          <w:rFonts w:ascii="Calibri" w:eastAsia="Calibri" w:hAnsi="Calibri" w:cs="Calibri"/>
          <w:color w:val="1A1A1A"/>
        </w:rPr>
        <w:t xml:space="preserve"> (A. Le mutisme des traités originels et la résistance des cours constitutionnelles nationales : </w:t>
      </w:r>
      <w:r>
        <w:rPr>
          <w:rFonts w:ascii="Calibri" w:eastAsia="Calibri" w:hAnsi="Calibri" w:cs="Calibri"/>
          <w:color w:val="E91E63"/>
        </w:rPr>
        <w:t>Solange I</w:t>
      </w:r>
      <w:r>
        <w:rPr>
          <w:rFonts w:ascii="Calibri" w:eastAsia="Calibri" w:hAnsi="Calibri" w:cs="Calibri"/>
          <w:color w:val="1A1A1A"/>
        </w:rPr>
        <w:t xml:space="preserve"> ; B. De la consécration prétorienne à la consécration textuelle : </w:t>
      </w:r>
      <w:r>
        <w:rPr>
          <w:rFonts w:ascii="Calibri" w:eastAsia="Calibri" w:hAnsi="Calibri" w:cs="Calibri"/>
          <w:color w:val="E91E63"/>
        </w:rPr>
        <w:t>Internationale Handelsgesellschaft</w:t>
      </w:r>
      <w:r>
        <w:rPr>
          <w:rFonts w:ascii="Calibri" w:eastAsia="Calibri" w:hAnsi="Calibri" w:cs="Calibri"/>
          <w:color w:val="1A1A1A"/>
        </w:rPr>
        <w:t xml:space="preserve">, </w:t>
      </w:r>
      <w:r>
        <w:rPr>
          <w:rFonts w:ascii="Calibri" w:eastAsia="Calibri" w:hAnsi="Calibri" w:cs="Calibri"/>
          <w:color w:val="E91E63"/>
        </w:rPr>
        <w:t>Hoechst</w:t>
      </w:r>
      <w:r>
        <w:rPr>
          <w:rFonts w:ascii="Calibri" w:eastAsia="Calibri" w:hAnsi="Calibri" w:cs="Calibri"/>
          <w:color w:val="1A1A1A"/>
        </w:rPr>
        <w:t xml:space="preserve">, Maastricht, Lisbonne) / </w:t>
      </w:r>
      <w:r>
        <w:rPr>
          <w:rFonts w:ascii="Calibri" w:eastAsia="Calibri" w:hAnsi="Calibri" w:cs="Calibri"/>
          <w:b/>
          <w:bCs/>
          <w:color w:val="1A1A1A"/>
        </w:rPr>
        <w:t>II. Une protection instrumentale et lacunaire</w:t>
      </w:r>
      <w:r>
        <w:rPr>
          <w:rFonts w:ascii="Calibri" w:eastAsia="Calibri" w:hAnsi="Calibri" w:cs="Calibri"/>
          <w:color w:val="1A1A1A"/>
        </w:rPr>
        <w:t xml:space="preserve"> (A. Un champ d’application conditionné : </w:t>
      </w:r>
      <w:r>
        <w:rPr>
          <w:rFonts w:ascii="Calibri" w:eastAsia="Calibri" w:hAnsi="Calibri" w:cs="Calibri"/>
          <w:color w:val="1E88E5"/>
        </w:rPr>
        <w:t>art. 51 § 1</w:t>
      </w:r>
      <w:r>
        <w:rPr>
          <w:rFonts w:ascii="Calibri" w:eastAsia="Calibri" w:hAnsi="Calibri" w:cs="Calibri"/>
          <w:color w:val="1A1A1A"/>
        </w:rPr>
        <w:t xml:space="preserve">, </w:t>
      </w:r>
      <w:proofErr w:type="spellStart"/>
      <w:r>
        <w:rPr>
          <w:rFonts w:ascii="Calibri" w:eastAsia="Calibri" w:hAnsi="Calibri" w:cs="Calibri"/>
          <w:color w:val="E91E63"/>
        </w:rPr>
        <w:t>Kremzow</w:t>
      </w:r>
      <w:proofErr w:type="spellEnd"/>
      <w:r>
        <w:rPr>
          <w:rFonts w:ascii="Calibri" w:eastAsia="Calibri" w:hAnsi="Calibri" w:cs="Calibri"/>
          <w:color w:val="1A1A1A"/>
        </w:rPr>
        <w:t xml:space="preserve">, </w:t>
      </w:r>
      <w:r>
        <w:rPr>
          <w:rFonts w:ascii="Calibri" w:eastAsia="Calibri" w:hAnsi="Calibri" w:cs="Calibri"/>
          <w:color w:val="E91E63"/>
        </w:rPr>
        <w:t>Siragusa</w:t>
      </w:r>
      <w:r>
        <w:rPr>
          <w:rFonts w:ascii="Calibri" w:eastAsia="Calibri" w:hAnsi="Calibri" w:cs="Calibri"/>
          <w:color w:val="1A1A1A"/>
        </w:rPr>
        <w:t xml:space="preserve"> ; B. Une hiérarchie au profit du marché et de l’uniformité : </w:t>
      </w:r>
      <w:r>
        <w:rPr>
          <w:rFonts w:ascii="Calibri" w:eastAsia="Calibri" w:hAnsi="Calibri" w:cs="Calibri"/>
          <w:color w:val="E91E63"/>
        </w:rPr>
        <w:t>Viking</w:t>
      </w:r>
      <w:r>
        <w:rPr>
          <w:rFonts w:ascii="Calibri" w:eastAsia="Calibri" w:hAnsi="Calibri" w:cs="Calibri"/>
          <w:color w:val="1A1A1A"/>
        </w:rPr>
        <w:t xml:space="preserve">, </w:t>
      </w:r>
      <w:r>
        <w:rPr>
          <w:rFonts w:ascii="Calibri" w:eastAsia="Calibri" w:hAnsi="Calibri" w:cs="Calibri"/>
          <w:color w:val="E91E63"/>
        </w:rPr>
        <w:t>Melloni</w:t>
      </w:r>
      <w:r>
        <w:rPr>
          <w:rFonts w:ascii="Calibri" w:eastAsia="Calibri" w:hAnsi="Calibri" w:cs="Calibri"/>
          <w:color w:val="1A1A1A"/>
        </w:rPr>
        <w:t>).</w:t>
      </w:r>
    </w:p>
    <w:p w14:paraId="48AAD73B"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Sujet « L’adhésion de l’Union à la Convention européenne des droits de l’homme »</w:t>
      </w:r>
      <w:r>
        <w:rPr>
          <w:rFonts w:ascii="Calibri" w:eastAsia="Calibri" w:hAnsi="Calibri" w:cs="Calibri"/>
          <w:color w:val="1A1A1A"/>
        </w:rPr>
        <w:t xml:space="preserve"> — </w:t>
      </w:r>
      <w:r>
        <w:rPr>
          <w:rFonts w:ascii="Calibri" w:eastAsia="Calibri" w:hAnsi="Calibri" w:cs="Calibri"/>
          <w:b/>
          <w:bCs/>
          <w:color w:val="1A1A1A"/>
        </w:rPr>
        <w:t>I. Une obligation inscrite dans les traités</w:t>
      </w:r>
      <w:r>
        <w:rPr>
          <w:rFonts w:ascii="Calibri" w:eastAsia="Calibri" w:hAnsi="Calibri" w:cs="Calibri"/>
          <w:color w:val="1A1A1A"/>
        </w:rPr>
        <w:t xml:space="preserve"> (A. Le fondement : </w:t>
      </w:r>
      <w:r>
        <w:rPr>
          <w:rFonts w:ascii="Calibri" w:eastAsia="Calibri" w:hAnsi="Calibri" w:cs="Calibri"/>
          <w:color w:val="1E88E5"/>
        </w:rPr>
        <w:t>art. 6 § 2 TUE</w:t>
      </w:r>
      <w:r>
        <w:rPr>
          <w:rFonts w:ascii="Calibri" w:eastAsia="Calibri" w:hAnsi="Calibri" w:cs="Calibri"/>
          <w:color w:val="1A1A1A"/>
        </w:rPr>
        <w:t xml:space="preserve"> ; B. Les enjeux : contrôle externe, comblement d’une lacune, cohérence jurisprudentielle) / </w:t>
      </w:r>
      <w:r>
        <w:rPr>
          <w:rFonts w:ascii="Calibri" w:eastAsia="Calibri" w:hAnsi="Calibri" w:cs="Calibri"/>
          <w:b/>
          <w:bCs/>
          <w:color w:val="1A1A1A"/>
        </w:rPr>
        <w:t>II. Une obligation inaccomplie</w:t>
      </w:r>
      <w:r>
        <w:rPr>
          <w:rFonts w:ascii="Calibri" w:eastAsia="Calibri" w:hAnsi="Calibri" w:cs="Calibri"/>
          <w:color w:val="1A1A1A"/>
        </w:rPr>
        <w:t xml:space="preserve"> (A. Les deux coups d’arrêt de la Cour de justice : avis 2/94 de 1996 et avis 2/13 de 2014 ; B. La relance et son incertitude : négociations de 2020, accord provisoire de mars 2023, demande d’avis 1/25 du 21 novembre 2025, encore pendante).</w:t>
      </w:r>
    </w:p>
    <w:p w14:paraId="5D0FCBF9" w14:textId="77777777" w:rsidR="00E0256F" w:rsidRDefault="00000000">
      <w:pPr>
        <w:pStyle w:val="Titre3"/>
        <w:spacing w:before="200" w:after="90"/>
      </w:pPr>
      <w:r>
        <w:rPr>
          <w:rFonts w:ascii="Calibri" w:eastAsia="Calibri" w:hAnsi="Calibri" w:cs="Calibri"/>
          <w:b/>
          <w:bCs/>
          <w:i/>
          <w:iCs/>
          <w:color w:val="5A5A5A"/>
          <w:sz w:val="21"/>
          <w:szCs w:val="21"/>
        </w:rPr>
        <w:t>Trois pièges</w:t>
      </w:r>
    </w:p>
    <w:p w14:paraId="4210EB9E"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 Charte a été adoptée le 7 décembre 2000 mais n’est devenue contraignante qu’avec le traité de Lisbonne</w:t>
      </w:r>
      <w:r>
        <w:rPr>
          <w:rFonts w:ascii="Calibri" w:eastAsia="Calibri" w:hAnsi="Calibri" w:cs="Calibri"/>
          <w:color w:val="1A1A1A"/>
        </w:rPr>
        <w:t xml:space="preserve"> (</w:t>
      </w:r>
      <w:r>
        <w:rPr>
          <w:rFonts w:ascii="Calibri" w:eastAsia="Calibri" w:hAnsi="Calibri" w:cs="Calibri"/>
          <w:b/>
          <w:bCs/>
          <w:color w:val="1A1A1A"/>
        </w:rPr>
        <w:t>1er décembre 2009</w:t>
      </w:r>
      <w:r>
        <w:rPr>
          <w:rFonts w:ascii="Calibri" w:eastAsia="Calibri" w:hAnsi="Calibri" w:cs="Calibri"/>
          <w:color w:val="1A1A1A"/>
        </w:rPr>
        <w:t>), dans sa version adaptée le 12 décembre 2007. Trois dates, à ne pas confondre.</w:t>
      </w:r>
    </w:p>
    <w:p w14:paraId="1E2BF646"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Le « simple voisinage des matières ou leurs effets indirects » ne suffit pas</w:t>
      </w:r>
      <w:r>
        <w:rPr>
          <w:rFonts w:ascii="Calibri" w:eastAsia="Calibri" w:hAnsi="Calibri" w:cs="Calibri"/>
          <w:color w:val="1A1A1A"/>
        </w:rPr>
        <w:t xml:space="preserve"> à caractériser une mise en œuvre du droit de l’Union : il faut un </w:t>
      </w:r>
      <w:r>
        <w:rPr>
          <w:rFonts w:ascii="Calibri" w:eastAsia="Calibri" w:hAnsi="Calibri" w:cs="Calibri"/>
          <w:b/>
          <w:bCs/>
          <w:color w:val="1A1A1A"/>
        </w:rPr>
        <w:t>lien de rattachement suffisant</w:t>
      </w:r>
      <w:r>
        <w:rPr>
          <w:rFonts w:ascii="Calibri" w:eastAsia="Calibri" w:hAnsi="Calibri" w:cs="Calibri"/>
          <w:color w:val="1A1A1A"/>
        </w:rPr>
        <w:t xml:space="preserve"> (</w:t>
      </w:r>
      <w:r>
        <w:rPr>
          <w:rFonts w:ascii="Calibri" w:eastAsia="Calibri" w:hAnsi="Calibri" w:cs="Calibri"/>
          <w:color w:val="E91E63"/>
        </w:rPr>
        <w:t xml:space="preserve">CJUE, 6 mars 2014, </w:t>
      </w:r>
      <w:proofErr w:type="spellStart"/>
      <w:r>
        <w:rPr>
          <w:rFonts w:ascii="Calibri" w:eastAsia="Calibri" w:hAnsi="Calibri" w:cs="Calibri"/>
          <w:color w:val="E91E63"/>
        </w:rPr>
        <w:t>Cruciano</w:t>
      </w:r>
      <w:proofErr w:type="spellEnd"/>
      <w:r>
        <w:rPr>
          <w:rFonts w:ascii="Calibri" w:eastAsia="Calibri" w:hAnsi="Calibri" w:cs="Calibri"/>
          <w:color w:val="E91E63"/>
        </w:rPr>
        <w:t xml:space="preserve"> Siragusa, C-206/13</w:t>
      </w:r>
      <w:r>
        <w:rPr>
          <w:rFonts w:ascii="Calibri" w:eastAsia="Calibri" w:hAnsi="Calibri" w:cs="Calibri"/>
          <w:color w:val="1A1A1A"/>
        </w:rPr>
        <w:t xml:space="preserve">). Les juridictions </w:t>
      </w:r>
      <w:r>
        <w:rPr>
          <w:rFonts w:ascii="Calibri" w:eastAsia="Calibri" w:hAnsi="Calibri" w:cs="Calibri"/>
          <w:color w:val="1A1A1A"/>
        </w:rPr>
        <w:lastRenderedPageBreak/>
        <w:t>françaises ont ainsi écarté la Charte pour l’aménagement du système de sécurité sociale (</w:t>
      </w:r>
      <w:r>
        <w:rPr>
          <w:rFonts w:ascii="Calibri" w:eastAsia="Calibri" w:hAnsi="Calibri" w:cs="Calibri"/>
          <w:color w:val="E91E63"/>
        </w:rPr>
        <w:t>Cass. civ. 2e, 6 octobre 2016</w:t>
      </w:r>
      <w:r>
        <w:rPr>
          <w:rFonts w:ascii="Calibri" w:eastAsia="Calibri" w:hAnsi="Calibri" w:cs="Calibri"/>
          <w:color w:val="1A1A1A"/>
        </w:rPr>
        <w:t>).</w:t>
      </w:r>
    </w:p>
    <w:p w14:paraId="1793A829"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L’Union n’est toujours pas partie à la Convention</w:t>
      </w:r>
      <w:r>
        <w:rPr>
          <w:rFonts w:ascii="Calibri" w:eastAsia="Calibri" w:hAnsi="Calibri" w:cs="Calibri"/>
          <w:color w:val="1A1A1A"/>
        </w:rPr>
        <w:t xml:space="preserve"> (état au mois d’août 2026), alors même que l’adhésion est une </w:t>
      </w:r>
      <w:r>
        <w:rPr>
          <w:rFonts w:ascii="Calibri" w:eastAsia="Calibri" w:hAnsi="Calibri" w:cs="Calibri"/>
          <w:b/>
          <w:bCs/>
          <w:color w:val="1A1A1A"/>
        </w:rPr>
        <w:t>obligation</w:t>
      </w:r>
      <w:r>
        <w:rPr>
          <w:rFonts w:ascii="Calibri" w:eastAsia="Calibri" w:hAnsi="Calibri" w:cs="Calibri"/>
          <w:color w:val="1A1A1A"/>
        </w:rPr>
        <w:t xml:space="preserve"> inscrite à l’</w:t>
      </w:r>
      <w:r>
        <w:rPr>
          <w:rFonts w:ascii="Calibri" w:eastAsia="Calibri" w:hAnsi="Calibri" w:cs="Calibri"/>
          <w:color w:val="1E88E5"/>
        </w:rPr>
        <w:t>art. 6 § 2 TUE</w:t>
      </w:r>
      <w:r>
        <w:rPr>
          <w:rFonts w:ascii="Calibri" w:eastAsia="Calibri" w:hAnsi="Calibri" w:cs="Calibri"/>
          <w:color w:val="1A1A1A"/>
        </w:rPr>
        <w:t>.</w:t>
      </w:r>
    </w:p>
    <w:p w14:paraId="16A6E060" w14:textId="77777777" w:rsidR="00E0256F" w:rsidRDefault="00000000">
      <w:r>
        <w:br w:type="page"/>
      </w:r>
    </w:p>
    <w:p w14:paraId="1AFA6E30" w14:textId="77777777" w:rsidR="00E0256F" w:rsidRDefault="00000000">
      <w:pPr>
        <w:pStyle w:val="Titre2"/>
        <w:spacing w:before="280" w:after="120"/>
      </w:pPr>
      <w:r>
        <w:rPr>
          <w:rFonts w:ascii="Calibri" w:eastAsia="Calibri" w:hAnsi="Calibri" w:cs="Calibri"/>
          <w:b/>
          <w:bCs/>
          <w:color w:val="1A1A1A"/>
          <w:sz w:val="24"/>
          <w:szCs w:val="24"/>
        </w:rPr>
        <w:lastRenderedPageBreak/>
        <w:t>1. Les sources des droits fondamentaux dans l’Union</w:t>
      </w:r>
    </w:p>
    <w:p w14:paraId="1461DA77" w14:textId="77777777" w:rsidR="00E0256F" w:rsidRDefault="00000000">
      <w:pPr>
        <w:pStyle w:val="Titre3"/>
        <w:spacing w:before="200" w:after="90"/>
      </w:pPr>
      <w:r>
        <w:rPr>
          <w:rFonts w:ascii="Calibri" w:eastAsia="Calibri" w:hAnsi="Calibri" w:cs="Calibri"/>
          <w:b/>
          <w:bCs/>
          <w:i/>
          <w:iCs/>
          <w:color w:val="5A5A5A"/>
          <w:sz w:val="21"/>
          <w:szCs w:val="21"/>
        </w:rPr>
        <w:t>1.1. L’influence historique de la jurisprudence</w:t>
      </w:r>
    </w:p>
    <w:p w14:paraId="0906D576"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Le point de départ</w:t>
      </w:r>
      <w:r>
        <w:rPr>
          <w:rFonts w:ascii="Calibri" w:eastAsia="Calibri" w:hAnsi="Calibri" w:cs="Calibri"/>
          <w:color w:val="1A1A1A"/>
        </w:rPr>
        <w:t xml:space="preserve"> : les traités communautaires (CEE, CECA) comportaient </w:t>
      </w:r>
      <w:r>
        <w:rPr>
          <w:rFonts w:ascii="Calibri" w:eastAsia="Calibri" w:hAnsi="Calibri" w:cs="Calibri"/>
          <w:b/>
          <w:bCs/>
          <w:color w:val="1A1A1A"/>
        </w:rPr>
        <w:t>peu de dispositions</w:t>
      </w:r>
      <w:r>
        <w:rPr>
          <w:rFonts w:ascii="Calibri" w:eastAsia="Calibri" w:hAnsi="Calibri" w:cs="Calibri"/>
          <w:color w:val="1A1A1A"/>
        </w:rPr>
        <w:t xml:space="preserve"> relatives aux libertés et droits fondamentaux, leur vocation étant principalement économique. Le droit primaire consacrait le principe d’égalité professionnelle entre les hommes et les femmes, mais son champ d’application restait limité — </w:t>
      </w:r>
      <w:r>
        <w:rPr>
          <w:rFonts w:ascii="Calibri" w:eastAsia="Calibri" w:hAnsi="Calibri" w:cs="Calibri"/>
          <w:color w:val="1E88E5"/>
        </w:rPr>
        <w:t>art. 119 CE initial, devenu art. 157 TFUE</w:t>
      </w:r>
      <w:r>
        <w:rPr>
          <w:rFonts w:ascii="Calibri" w:eastAsia="Calibri" w:hAnsi="Calibri" w:cs="Calibri"/>
          <w:color w:val="1A1A1A"/>
        </w:rPr>
        <w:t>.</w:t>
      </w:r>
    </w:p>
    <w:p w14:paraId="6637B541"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 résistance des cours constitutionnelles</w:t>
      </w:r>
      <w:r>
        <w:rPr>
          <w:rFonts w:ascii="Calibri" w:eastAsia="Calibri" w:hAnsi="Calibri" w:cs="Calibri"/>
          <w:color w:val="1A1A1A"/>
        </w:rPr>
        <w:t xml:space="preserve"> : l’absence de catalogue a poussé les juges internes à se référer aux Constitutions nationales, remettant en cause le monopole de la Cour de justice sur le contrôle du droit communautaire et la primauté de ce dernier (</w:t>
      </w:r>
      <w:r>
        <w:rPr>
          <w:rFonts w:ascii="Calibri" w:eastAsia="Calibri" w:hAnsi="Calibri" w:cs="Calibri"/>
          <w:color w:val="E91E63"/>
        </w:rPr>
        <w:t>CJCE, 15 juillet 1964, Costa c. Enel</w:t>
      </w:r>
      <w:r>
        <w:rPr>
          <w:rFonts w:ascii="Calibri" w:eastAsia="Calibri" w:hAnsi="Calibri" w:cs="Calibri"/>
          <w:color w:val="1A1A1A"/>
        </w:rPr>
        <w:t xml:space="preserve"> ; </w:t>
      </w:r>
      <w:r>
        <w:rPr>
          <w:rFonts w:ascii="Calibri" w:eastAsia="Calibri" w:hAnsi="Calibri" w:cs="Calibri"/>
          <w:color w:val="E91E63"/>
        </w:rPr>
        <w:t>CJCE, 9 mars 1978, Simmenthal</w:t>
      </w:r>
      <w:r>
        <w:rPr>
          <w:rFonts w:ascii="Calibri" w:eastAsia="Calibri" w:hAnsi="Calibri" w:cs="Calibri"/>
          <w:color w:val="1A1A1A"/>
        </w:rPr>
        <w:t>). Pour la Cour de justice, l’invocation d’atteintes portées soit aux droits fondamentaux tels que formulés par la constitution d’un État membre, soit aux principes d’une structure constitutionnelle, ne saurait affecter la validité d’un acte de l’Union.</w:t>
      </w:r>
    </w:p>
    <w:p w14:paraId="023170F5"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Tribunal constitutionnel de Karlsruhe, 29 mai 1974, Solange I</w:t>
      </w:r>
      <w:r>
        <w:rPr>
          <w:rFonts w:ascii="Calibri" w:eastAsia="Calibri" w:hAnsi="Calibri" w:cs="Calibri"/>
          <w:color w:val="1A1A1A"/>
        </w:rPr>
        <w:t xml:space="preserve"> : la juridiction allemande affirme sa compétence pour juger de la validité des actes communautaires au regard des droits fondamentaux inscrits dans la Loi fondamentale. Mécanisme : la primauté du droit communautaire est </w:t>
      </w:r>
      <w:r>
        <w:rPr>
          <w:rFonts w:ascii="Calibri" w:eastAsia="Calibri" w:hAnsi="Calibri" w:cs="Calibri"/>
          <w:b/>
          <w:bCs/>
          <w:color w:val="1A1A1A"/>
        </w:rPr>
        <w:t>conditionnée</w:t>
      </w:r>
      <w:r>
        <w:rPr>
          <w:rFonts w:ascii="Calibri" w:eastAsia="Calibri" w:hAnsi="Calibri" w:cs="Calibri"/>
          <w:color w:val="1A1A1A"/>
        </w:rPr>
        <w:t xml:space="preserve"> au respect des bases constitutionnelles allemandes — « aussi longtemps que » l’ordre juridique communautaire ne garantirait pas une protection équivalente, les recours invoquant la violation d’un droit fondamental constitutionnel resteraient recevables.</w:t>
      </w:r>
    </w:p>
    <w:p w14:paraId="3DC72186"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 consécration prétorienne</w:t>
      </w:r>
      <w:r>
        <w:rPr>
          <w:rFonts w:ascii="Calibri" w:eastAsia="Calibri" w:hAnsi="Calibri" w:cs="Calibri"/>
          <w:color w:val="1A1A1A"/>
        </w:rPr>
        <w:t xml:space="preserve"> : dans un premier temps, la Cour s’était </w:t>
      </w:r>
      <w:r>
        <w:rPr>
          <w:rFonts w:ascii="Calibri" w:eastAsia="Calibri" w:hAnsi="Calibri" w:cs="Calibri"/>
          <w:b/>
          <w:bCs/>
          <w:color w:val="1A1A1A"/>
        </w:rPr>
        <w:t>opposée</w:t>
      </w:r>
      <w:r>
        <w:rPr>
          <w:rFonts w:ascii="Calibri" w:eastAsia="Calibri" w:hAnsi="Calibri" w:cs="Calibri"/>
          <w:color w:val="1A1A1A"/>
        </w:rPr>
        <w:t xml:space="preserve"> à l’introduction des droits fondamentaux dans l’ordre juridique communautaire (</w:t>
      </w:r>
      <w:r>
        <w:rPr>
          <w:rFonts w:ascii="Calibri" w:eastAsia="Calibri" w:hAnsi="Calibri" w:cs="Calibri"/>
          <w:color w:val="E91E63"/>
        </w:rPr>
        <w:t xml:space="preserve">CJCE, 15 juillet 1960, </w:t>
      </w:r>
      <w:proofErr w:type="spellStart"/>
      <w:r>
        <w:rPr>
          <w:rFonts w:ascii="Calibri" w:eastAsia="Calibri" w:hAnsi="Calibri" w:cs="Calibri"/>
          <w:color w:val="E91E63"/>
        </w:rPr>
        <w:t>Ruhrkohlen-Verkaufsgesellschaft</w:t>
      </w:r>
      <w:proofErr w:type="spellEnd"/>
      <w:r>
        <w:rPr>
          <w:rFonts w:ascii="Calibri" w:eastAsia="Calibri" w:hAnsi="Calibri" w:cs="Calibri"/>
          <w:color w:val="1A1A1A"/>
        </w:rPr>
        <w:t xml:space="preserve">). Sous la pression des cours constitutionnelles allemande et italienne, elle reconnaît en 1970 que les droits fondamentaux font partie intégrante des principes généraux du droit des Communautés — ★ </w:t>
      </w:r>
      <w:r>
        <w:rPr>
          <w:rFonts w:ascii="Calibri" w:eastAsia="Calibri" w:hAnsi="Calibri" w:cs="Calibri"/>
          <w:color w:val="E91E63"/>
        </w:rPr>
        <w:t xml:space="preserve">CJCE, 17 décembre 1970, Internationale Handelsgesellschaft, </w:t>
      </w:r>
      <w:proofErr w:type="spellStart"/>
      <w:r>
        <w:rPr>
          <w:rFonts w:ascii="Calibri" w:eastAsia="Calibri" w:hAnsi="Calibri" w:cs="Calibri"/>
          <w:color w:val="E91E63"/>
        </w:rPr>
        <w:t>aff.</w:t>
      </w:r>
      <w:proofErr w:type="spellEnd"/>
      <w:r>
        <w:rPr>
          <w:rFonts w:ascii="Calibri" w:eastAsia="Calibri" w:hAnsi="Calibri" w:cs="Calibri"/>
          <w:color w:val="E91E63"/>
        </w:rPr>
        <w:t xml:space="preserve"> 11/70</w:t>
      </w:r>
      <w:r>
        <w:rPr>
          <w:rFonts w:ascii="Calibri" w:eastAsia="Calibri" w:hAnsi="Calibri" w:cs="Calibri"/>
          <w:color w:val="1A1A1A"/>
        </w:rPr>
        <w:t xml:space="preserve">. Rapprochement ultérieur avec les instruments internationaux et les traditions constitutionnelles communes : la Convention européenne revêt pour la Cour de Luxembourg « </w:t>
      </w:r>
      <w:r>
        <w:rPr>
          <w:rFonts w:ascii="Calibri" w:eastAsia="Calibri" w:hAnsi="Calibri" w:cs="Calibri"/>
          <w:i/>
          <w:iCs/>
          <w:color w:val="1A1A1A"/>
        </w:rPr>
        <w:t>une signification particulière</w:t>
      </w:r>
      <w:r>
        <w:rPr>
          <w:rFonts w:ascii="Calibri" w:eastAsia="Calibri" w:hAnsi="Calibri" w:cs="Calibri"/>
          <w:color w:val="1A1A1A"/>
        </w:rPr>
        <w:t xml:space="preserve"> » (</w:t>
      </w:r>
      <w:r>
        <w:rPr>
          <w:rFonts w:ascii="Calibri" w:eastAsia="Calibri" w:hAnsi="Calibri" w:cs="Calibri"/>
          <w:color w:val="E91E63"/>
        </w:rPr>
        <w:t>CJCE, 21 septembre 1989, Hoechst c. Commission, C-46/87</w:t>
      </w:r>
      <w:r>
        <w:rPr>
          <w:rFonts w:ascii="Calibri" w:eastAsia="Calibri" w:hAnsi="Calibri" w:cs="Calibri"/>
          <w:color w:val="1A1A1A"/>
        </w:rPr>
        <w:t>).</w:t>
      </w:r>
    </w:p>
    <w:p w14:paraId="1B5DE634" w14:textId="77777777" w:rsidR="00E0256F" w:rsidRDefault="00000000">
      <w:pPr>
        <w:pStyle w:val="Titre3"/>
        <w:spacing w:before="200" w:after="90"/>
      </w:pPr>
      <w:r>
        <w:rPr>
          <w:rFonts w:ascii="Calibri" w:eastAsia="Calibri" w:hAnsi="Calibri" w:cs="Calibri"/>
          <w:b/>
          <w:bCs/>
          <w:i/>
          <w:iCs/>
          <w:color w:val="5A5A5A"/>
          <w:sz w:val="21"/>
          <w:szCs w:val="21"/>
        </w:rPr>
        <w:t>1.2. Le droit primaire</w:t>
      </w:r>
    </w:p>
    <w:p w14:paraId="7C551F2C"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Le tournant de Maastricht</w:t>
      </w:r>
      <w:r>
        <w:rPr>
          <w:rFonts w:ascii="Calibri" w:eastAsia="Calibri" w:hAnsi="Calibri" w:cs="Calibri"/>
          <w:color w:val="1A1A1A"/>
        </w:rPr>
        <w:t xml:space="preserve"> : couverture conventionnelle de la jurisprudence de la Cour, en consacrant dans le droit primaire le principe selon lequel les droits fondamentaux font partie du droit de l’Union en tant que </w:t>
      </w:r>
      <w:r>
        <w:rPr>
          <w:rFonts w:ascii="Calibri" w:eastAsia="Calibri" w:hAnsi="Calibri" w:cs="Calibri"/>
          <w:b/>
          <w:bCs/>
          <w:color w:val="1A1A1A"/>
        </w:rPr>
        <w:t>principes généraux du droit</w:t>
      </w:r>
      <w:r>
        <w:rPr>
          <w:rFonts w:ascii="Calibri" w:eastAsia="Calibri" w:hAnsi="Calibri" w:cs="Calibri"/>
          <w:color w:val="1A1A1A"/>
        </w:rPr>
        <w:t xml:space="preserve">. Institution de la </w:t>
      </w:r>
      <w:r>
        <w:rPr>
          <w:rFonts w:ascii="Calibri" w:eastAsia="Calibri" w:hAnsi="Calibri" w:cs="Calibri"/>
          <w:b/>
          <w:bCs/>
          <w:color w:val="1A1A1A"/>
        </w:rPr>
        <w:t>citoyenneté de l’Union</w:t>
      </w:r>
      <w:r>
        <w:rPr>
          <w:rFonts w:ascii="Calibri" w:eastAsia="Calibri" w:hAnsi="Calibri" w:cs="Calibri"/>
          <w:color w:val="1A1A1A"/>
        </w:rPr>
        <w:t>, définie comme un instrument de renforcement des droits des ressortissants des États membres : droit de vote et d’éligibilité au Parlement européen, droit de pétition, droit de vote et d’éligibilité aux élections municipales dans l’État de résidence, droit de circulation et de séjour sur le territoire des États membres.</w:t>
      </w:r>
    </w:p>
    <w:p w14:paraId="6899C35B"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L’apport de Lisbonne</w:t>
      </w:r>
      <w:r>
        <w:rPr>
          <w:rFonts w:ascii="Calibri" w:eastAsia="Calibri" w:hAnsi="Calibri" w:cs="Calibri"/>
          <w:color w:val="1A1A1A"/>
        </w:rPr>
        <w:t xml:space="preserve"> : </w:t>
      </w:r>
      <w:r>
        <w:rPr>
          <w:rFonts w:ascii="Calibri" w:eastAsia="Calibri" w:hAnsi="Calibri" w:cs="Calibri"/>
          <w:color w:val="1E88E5"/>
        </w:rPr>
        <w:t>art. 6 § 1 TUE</w:t>
      </w:r>
      <w:r>
        <w:rPr>
          <w:rFonts w:ascii="Calibri" w:eastAsia="Calibri" w:hAnsi="Calibri" w:cs="Calibri"/>
          <w:color w:val="1A1A1A"/>
        </w:rPr>
        <w:t xml:space="preserve"> — l’Union reconnaît les droits, les libertés et les principes énoncés dans la </w:t>
      </w:r>
      <w:r>
        <w:rPr>
          <w:rFonts w:ascii="Calibri" w:eastAsia="Calibri" w:hAnsi="Calibri" w:cs="Calibri"/>
          <w:color w:val="1E88E5"/>
        </w:rPr>
        <w:t>Charte des droits fondamentaux du 7 décembre 2000, telle qu’adaptée le 12 décembre 2007</w:t>
      </w:r>
      <w:r>
        <w:rPr>
          <w:rFonts w:ascii="Calibri" w:eastAsia="Calibri" w:hAnsi="Calibri" w:cs="Calibri"/>
          <w:color w:val="1A1A1A"/>
        </w:rPr>
        <w:t xml:space="preserve">, laquelle a </w:t>
      </w:r>
      <w:r>
        <w:rPr>
          <w:rFonts w:ascii="Calibri" w:eastAsia="Calibri" w:hAnsi="Calibri" w:cs="Calibri"/>
          <w:b/>
          <w:bCs/>
          <w:color w:val="1A1A1A"/>
        </w:rPr>
        <w:t>la même valeur juridique que les traités</w:t>
      </w:r>
      <w:r>
        <w:rPr>
          <w:rFonts w:ascii="Calibri" w:eastAsia="Calibri" w:hAnsi="Calibri" w:cs="Calibri"/>
          <w:color w:val="1A1A1A"/>
        </w:rPr>
        <w:t xml:space="preserve"> ; </w:t>
      </w:r>
      <w:r>
        <w:rPr>
          <w:rFonts w:ascii="Calibri" w:eastAsia="Calibri" w:hAnsi="Calibri" w:cs="Calibri"/>
          <w:color w:val="1E88E5"/>
        </w:rPr>
        <w:t>art. 6 § 2 TUE</w:t>
      </w:r>
      <w:r>
        <w:rPr>
          <w:rFonts w:ascii="Calibri" w:eastAsia="Calibri" w:hAnsi="Calibri" w:cs="Calibri"/>
          <w:color w:val="1A1A1A"/>
        </w:rPr>
        <w:t xml:space="preserve"> — l’Union </w:t>
      </w:r>
      <w:r>
        <w:rPr>
          <w:rFonts w:ascii="Calibri" w:eastAsia="Calibri" w:hAnsi="Calibri" w:cs="Calibri"/>
          <w:b/>
          <w:bCs/>
          <w:color w:val="1A1A1A"/>
        </w:rPr>
        <w:t>adhère</w:t>
      </w:r>
      <w:r>
        <w:rPr>
          <w:rFonts w:ascii="Calibri" w:eastAsia="Calibri" w:hAnsi="Calibri" w:cs="Calibri"/>
          <w:color w:val="1A1A1A"/>
        </w:rPr>
        <w:t xml:space="preserve"> à la Convention européenne, cette adhésion ne modifiant pas les compétences de l’Union telles qu’elles sont définies dans les traités.</w:t>
      </w:r>
    </w:p>
    <w:p w14:paraId="6DE87B4F" w14:textId="77777777" w:rsidR="00E0256F" w:rsidRDefault="00000000">
      <w:pPr>
        <w:pStyle w:val="Titre3"/>
        <w:spacing w:before="200" w:after="90"/>
      </w:pPr>
      <w:r>
        <w:rPr>
          <w:rFonts w:ascii="Calibri" w:eastAsia="Calibri" w:hAnsi="Calibri" w:cs="Calibri"/>
          <w:b/>
          <w:bCs/>
          <w:i/>
          <w:iCs/>
          <w:color w:val="5A5A5A"/>
          <w:sz w:val="21"/>
          <w:szCs w:val="21"/>
        </w:rPr>
        <w:t>1.3. Le droit dérivé</w:t>
      </w:r>
    </w:p>
    <w:p w14:paraId="0ACF6C34"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Destiné à mettre en œuvre les objectifs de l’Union, il n’a pas vocation à constituer une source principale des libertés. Deux particularités : il bénéficie, à l’instar des traités, du </w:t>
      </w:r>
      <w:r>
        <w:rPr>
          <w:rFonts w:ascii="Calibri" w:eastAsia="Calibri" w:hAnsi="Calibri" w:cs="Calibri"/>
          <w:b/>
          <w:bCs/>
          <w:color w:val="1A1A1A"/>
        </w:rPr>
        <w:t>principe de primauté</w:t>
      </w:r>
      <w:r>
        <w:rPr>
          <w:rFonts w:ascii="Calibri" w:eastAsia="Calibri" w:hAnsi="Calibri" w:cs="Calibri"/>
          <w:color w:val="1A1A1A"/>
        </w:rPr>
        <w:t xml:space="preserve">, ce qui lui permet de prévaloir sur le droit national ; et il sert, dans certains cas, de </w:t>
      </w:r>
      <w:r>
        <w:rPr>
          <w:rFonts w:ascii="Calibri" w:eastAsia="Calibri" w:hAnsi="Calibri" w:cs="Calibri"/>
          <w:b/>
          <w:bCs/>
          <w:color w:val="1A1A1A"/>
        </w:rPr>
        <w:t>cadre central</w:t>
      </w:r>
      <w:r>
        <w:rPr>
          <w:rFonts w:ascii="Calibri" w:eastAsia="Calibri" w:hAnsi="Calibri" w:cs="Calibri"/>
          <w:color w:val="1A1A1A"/>
        </w:rPr>
        <w:t xml:space="preserve"> à l’affirmation des droits fondamentaux. En l’absence de dispositions explicites dans les traités, plusieurs directives et règlements ont joué un rôle déterminant en matière d’égalité de traitement et de non-discrimination, ainsi que dans la régulation du traitement des données à caractère personnel et la protection de la vie privée — </w:t>
      </w:r>
      <w:r>
        <w:rPr>
          <w:rFonts w:ascii="Calibri" w:eastAsia="Calibri" w:hAnsi="Calibri" w:cs="Calibri"/>
          <w:color w:val="1E88E5"/>
        </w:rPr>
        <w:t>règlement (UE) 2016/679 du 27 avril 2016 (RGPD)</w:t>
      </w:r>
      <w:r>
        <w:rPr>
          <w:rFonts w:ascii="Calibri" w:eastAsia="Calibri" w:hAnsi="Calibri" w:cs="Calibri"/>
          <w:color w:val="1A1A1A"/>
        </w:rPr>
        <w:t>.</w:t>
      </w:r>
    </w:p>
    <w:p w14:paraId="5276CCF3" w14:textId="77777777" w:rsidR="00E0256F" w:rsidRDefault="00000000">
      <w:pPr>
        <w:pStyle w:val="Titre2"/>
        <w:spacing w:before="280" w:after="120"/>
      </w:pPr>
      <w:r>
        <w:rPr>
          <w:rFonts w:ascii="Calibri" w:eastAsia="Calibri" w:hAnsi="Calibri" w:cs="Calibri"/>
          <w:b/>
          <w:bCs/>
          <w:color w:val="1A1A1A"/>
          <w:sz w:val="24"/>
          <w:szCs w:val="24"/>
        </w:rPr>
        <w:t>2. Constitutionnalisation, fédéralisation ou instrumentalisation ?</w:t>
      </w:r>
    </w:p>
    <w:p w14:paraId="32A159C0"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 thèse fédérale</w:t>
      </w:r>
      <w:r>
        <w:rPr>
          <w:rFonts w:ascii="Calibri" w:eastAsia="Calibri" w:hAnsi="Calibri" w:cs="Calibri"/>
          <w:color w:val="1A1A1A"/>
        </w:rPr>
        <w:t xml:space="preserve"> : en élevant les droits fondamentaux au rang de principes généraux, la Cour de justice a contribué à la </w:t>
      </w:r>
      <w:r>
        <w:rPr>
          <w:rFonts w:ascii="Calibri" w:eastAsia="Calibri" w:hAnsi="Calibri" w:cs="Calibri"/>
          <w:b/>
          <w:bCs/>
          <w:color w:val="1A1A1A"/>
        </w:rPr>
        <w:t>constitutionnalisation matérielle des traités</w:t>
      </w:r>
      <w:r>
        <w:rPr>
          <w:rFonts w:ascii="Calibri" w:eastAsia="Calibri" w:hAnsi="Calibri" w:cs="Calibri"/>
          <w:color w:val="1A1A1A"/>
        </w:rPr>
        <w:t xml:space="preserve">, dans la lignée des Constitutions nationales qui intègrent un catalogue de droits. En intégrant les droits fondamentaux dans les sources de droit de l’Union, elle a fait du traité l’équivalent d’un « </w:t>
      </w:r>
      <w:r>
        <w:rPr>
          <w:rFonts w:ascii="Calibri" w:eastAsia="Calibri" w:hAnsi="Calibri" w:cs="Calibri"/>
          <w:b/>
          <w:bCs/>
          <w:color w:val="1A1A1A"/>
        </w:rPr>
        <w:t>pacte fédératif</w:t>
      </w:r>
      <w:r>
        <w:rPr>
          <w:rFonts w:ascii="Calibri" w:eastAsia="Calibri" w:hAnsi="Calibri" w:cs="Calibri"/>
          <w:color w:val="1A1A1A"/>
        </w:rPr>
        <w:t xml:space="preserve"> » et engagé un double phénomène de « constitutionnalisation » et de « fédéralisation ». Nuance obligatoire : en raison des particularités inhérentes au droit d’intégration et des contingences historiques, </w:t>
      </w:r>
      <w:r>
        <w:rPr>
          <w:rFonts w:ascii="Calibri" w:eastAsia="Calibri" w:hAnsi="Calibri" w:cs="Calibri"/>
          <w:b/>
          <w:bCs/>
          <w:color w:val="1A1A1A"/>
        </w:rPr>
        <w:t>l’Union ne peut être regardée comme une véritable Fédération</w:t>
      </w:r>
      <w:r>
        <w:rPr>
          <w:rFonts w:ascii="Calibri" w:eastAsia="Calibri" w:hAnsi="Calibri" w:cs="Calibri"/>
          <w:color w:val="1A1A1A"/>
        </w:rPr>
        <w:t>.</w:t>
      </w:r>
    </w:p>
    <w:p w14:paraId="72FCDB8F"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La spécificité du champ d’application</w:t>
      </w:r>
      <w:r>
        <w:rPr>
          <w:rFonts w:ascii="Calibri" w:eastAsia="Calibri" w:hAnsi="Calibri" w:cs="Calibri"/>
          <w:color w:val="1A1A1A"/>
        </w:rPr>
        <w:t xml:space="preserve"> : les droits consacrés par l’Union s’imposent aux institutions européennes mais ne lient les États membres que dans la mesure où ils </w:t>
      </w:r>
      <w:r>
        <w:rPr>
          <w:rFonts w:ascii="Calibri" w:eastAsia="Calibri" w:hAnsi="Calibri" w:cs="Calibri"/>
          <w:b/>
          <w:bCs/>
          <w:color w:val="1A1A1A"/>
        </w:rPr>
        <w:t>mettent en œuvre le droit de l’Union</w:t>
      </w:r>
      <w:r>
        <w:rPr>
          <w:rFonts w:ascii="Calibri" w:eastAsia="Calibri" w:hAnsi="Calibri" w:cs="Calibri"/>
          <w:color w:val="1A1A1A"/>
        </w:rPr>
        <w:t xml:space="preserve"> ou lorsqu’une situation relève de ce droit — ★ </w:t>
      </w:r>
      <w:r>
        <w:rPr>
          <w:rFonts w:ascii="Calibri" w:eastAsia="Calibri" w:hAnsi="Calibri" w:cs="Calibri"/>
          <w:color w:val="E91E63"/>
        </w:rPr>
        <w:t xml:space="preserve">CJCE, 29 mai 1997, </w:t>
      </w:r>
      <w:proofErr w:type="spellStart"/>
      <w:r>
        <w:rPr>
          <w:rFonts w:ascii="Calibri" w:eastAsia="Calibri" w:hAnsi="Calibri" w:cs="Calibri"/>
          <w:color w:val="E91E63"/>
        </w:rPr>
        <w:t>Kremzow</w:t>
      </w:r>
      <w:proofErr w:type="spellEnd"/>
      <w:r>
        <w:rPr>
          <w:rFonts w:ascii="Calibri" w:eastAsia="Calibri" w:hAnsi="Calibri" w:cs="Calibri"/>
          <w:color w:val="E91E63"/>
        </w:rPr>
        <w:t>, C-299/95</w:t>
      </w:r>
      <w:r>
        <w:rPr>
          <w:rFonts w:ascii="Calibri" w:eastAsia="Calibri" w:hAnsi="Calibri" w:cs="Calibri"/>
          <w:color w:val="1A1A1A"/>
        </w:rPr>
        <w:t xml:space="preserve">, exigence déjà reconnue pour les principes généraux puis consacrée par le </w:t>
      </w:r>
      <w:r>
        <w:rPr>
          <w:rFonts w:ascii="Calibri" w:eastAsia="Calibri" w:hAnsi="Calibri" w:cs="Calibri"/>
          <w:color w:val="1E88E5"/>
        </w:rPr>
        <w:t>art. 51 § 1 de la Charte</w:t>
      </w:r>
      <w:r>
        <w:rPr>
          <w:rFonts w:ascii="Calibri" w:eastAsia="Calibri" w:hAnsi="Calibri" w:cs="Calibri"/>
          <w:color w:val="1A1A1A"/>
        </w:rPr>
        <w:t xml:space="preserve">. La notion de « mise en œuvre » suppose un </w:t>
      </w:r>
      <w:r>
        <w:rPr>
          <w:rFonts w:ascii="Calibri" w:eastAsia="Calibri" w:hAnsi="Calibri" w:cs="Calibri"/>
          <w:b/>
          <w:bCs/>
          <w:color w:val="1A1A1A"/>
        </w:rPr>
        <w:t>lien de rattachement suffisant</w:t>
      </w:r>
      <w:r>
        <w:rPr>
          <w:rFonts w:ascii="Calibri" w:eastAsia="Calibri" w:hAnsi="Calibri" w:cs="Calibri"/>
          <w:color w:val="1A1A1A"/>
        </w:rPr>
        <w:t>, dépassant le simple voisinage des matières ou leurs effets indirects (</w:t>
      </w:r>
      <w:r>
        <w:rPr>
          <w:rFonts w:ascii="Calibri" w:eastAsia="Calibri" w:hAnsi="Calibri" w:cs="Calibri"/>
          <w:color w:val="E91E63"/>
        </w:rPr>
        <w:t xml:space="preserve">CJUE, 6 mars 2014, </w:t>
      </w:r>
      <w:proofErr w:type="spellStart"/>
      <w:r>
        <w:rPr>
          <w:rFonts w:ascii="Calibri" w:eastAsia="Calibri" w:hAnsi="Calibri" w:cs="Calibri"/>
          <w:color w:val="E91E63"/>
        </w:rPr>
        <w:t>Cruciano</w:t>
      </w:r>
      <w:proofErr w:type="spellEnd"/>
      <w:r>
        <w:rPr>
          <w:rFonts w:ascii="Calibri" w:eastAsia="Calibri" w:hAnsi="Calibri" w:cs="Calibri"/>
          <w:color w:val="E91E63"/>
        </w:rPr>
        <w:t xml:space="preserve"> Siragusa, C-206/13</w:t>
      </w:r>
      <w:r>
        <w:rPr>
          <w:rFonts w:ascii="Calibri" w:eastAsia="Calibri" w:hAnsi="Calibri" w:cs="Calibri"/>
          <w:color w:val="1A1A1A"/>
        </w:rPr>
        <w:t xml:space="preserve">). Application interne : </w:t>
      </w:r>
      <w:r>
        <w:rPr>
          <w:rFonts w:ascii="Calibri" w:eastAsia="Calibri" w:hAnsi="Calibri" w:cs="Calibri"/>
          <w:color w:val="E91E63"/>
        </w:rPr>
        <w:t>Cass. civ. 2e, 6 octobre 2016</w:t>
      </w:r>
      <w:r>
        <w:rPr>
          <w:rFonts w:ascii="Calibri" w:eastAsia="Calibri" w:hAnsi="Calibri" w:cs="Calibri"/>
          <w:color w:val="1A1A1A"/>
        </w:rPr>
        <w:t xml:space="preserve"> écarte la Charte pour l’aménagement du système de sécurité sociale. </w:t>
      </w:r>
      <w:r>
        <w:rPr>
          <w:rFonts w:ascii="Calibri" w:eastAsia="Calibri" w:hAnsi="Calibri" w:cs="Calibri"/>
          <w:b/>
          <w:bCs/>
          <w:color w:val="1A1A1A"/>
        </w:rPr>
        <w:t>Conséquence critique</w:t>
      </w:r>
      <w:r>
        <w:rPr>
          <w:rFonts w:ascii="Calibri" w:eastAsia="Calibri" w:hAnsi="Calibri" w:cs="Calibri"/>
          <w:color w:val="1A1A1A"/>
        </w:rPr>
        <w:t xml:space="preserve"> : cette limitation inhérente relègue la Charte à un </w:t>
      </w:r>
      <w:r>
        <w:rPr>
          <w:rFonts w:ascii="Calibri" w:eastAsia="Calibri" w:hAnsi="Calibri" w:cs="Calibri"/>
          <w:b/>
          <w:bCs/>
          <w:color w:val="1A1A1A"/>
        </w:rPr>
        <w:t>rôle secondaire</w:t>
      </w:r>
      <w:r>
        <w:rPr>
          <w:rFonts w:ascii="Calibri" w:eastAsia="Calibri" w:hAnsi="Calibri" w:cs="Calibri"/>
          <w:color w:val="1A1A1A"/>
        </w:rPr>
        <w:t>, malgré son statut de texte international le plus récent et le plus complet en la matière.</w:t>
      </w:r>
    </w:p>
    <w:p w14:paraId="698001B8"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 thèse de l’instrumentalisation</w:t>
      </w:r>
      <w:r>
        <w:rPr>
          <w:rFonts w:ascii="Calibri" w:eastAsia="Calibri" w:hAnsi="Calibri" w:cs="Calibri"/>
          <w:color w:val="1A1A1A"/>
        </w:rPr>
        <w:t xml:space="preserve"> : la consécration prétorienne se justifiait par la nécessité de combler une lacune des traités afin de soumettre les actes des institutions au respect des droits ; mais la Cour a rapidement adopté une approche plus ambitieuse en étendant sa compétence au contrôle des </w:t>
      </w:r>
      <w:r>
        <w:rPr>
          <w:rFonts w:ascii="Calibri" w:eastAsia="Calibri" w:hAnsi="Calibri" w:cs="Calibri"/>
          <w:b/>
          <w:bCs/>
          <w:color w:val="1A1A1A"/>
        </w:rPr>
        <w:t>mesures nationales</w:t>
      </w:r>
      <w:r>
        <w:rPr>
          <w:rFonts w:ascii="Calibri" w:eastAsia="Calibri" w:hAnsi="Calibri" w:cs="Calibri"/>
          <w:color w:val="1A1A1A"/>
        </w:rPr>
        <w:t>. Une partie de la doctrine y voit une instrumentalisation de la protection des droits fondamentaux au service d’un renforcement de l’influence de l’Union sur celui des États membres : même lorsqu’elle veille au respect des droits, la Cour poursuit l’objectif premier d’</w:t>
      </w:r>
      <w:r>
        <w:rPr>
          <w:rFonts w:ascii="Calibri" w:eastAsia="Calibri" w:hAnsi="Calibri" w:cs="Calibri"/>
          <w:b/>
          <w:bCs/>
          <w:color w:val="1A1A1A"/>
        </w:rPr>
        <w:t>approfondir l’intégration européenne</w:t>
      </w:r>
      <w:r>
        <w:rPr>
          <w:rFonts w:ascii="Calibri" w:eastAsia="Calibri" w:hAnsi="Calibri" w:cs="Calibri"/>
          <w:color w:val="1A1A1A"/>
        </w:rPr>
        <w:t>.</w:t>
      </w:r>
    </w:p>
    <w:p w14:paraId="6ECEEAF3"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 critique marchande</w:t>
      </w:r>
      <w:r>
        <w:rPr>
          <w:rFonts w:ascii="Calibri" w:eastAsia="Calibri" w:hAnsi="Calibri" w:cs="Calibri"/>
          <w:color w:val="1A1A1A"/>
        </w:rPr>
        <w:t xml:space="preserve"> : la jurisprudence n’a pas échappé aux critiques dénonçant une interprétation biaisée en faveur des </w:t>
      </w:r>
      <w:r>
        <w:rPr>
          <w:rFonts w:ascii="Calibri" w:eastAsia="Calibri" w:hAnsi="Calibri" w:cs="Calibri"/>
          <w:b/>
          <w:bCs/>
          <w:color w:val="1A1A1A"/>
        </w:rPr>
        <w:t>intérêts du marché</w:t>
      </w:r>
      <w:r>
        <w:rPr>
          <w:rFonts w:ascii="Calibri" w:eastAsia="Calibri" w:hAnsi="Calibri" w:cs="Calibri"/>
          <w:color w:val="1A1A1A"/>
        </w:rPr>
        <w:t xml:space="preserve">, opérant au détriment de la protection d’intérêts non marchands — ★ </w:t>
      </w:r>
      <w:r>
        <w:rPr>
          <w:rFonts w:ascii="Calibri" w:eastAsia="Calibri" w:hAnsi="Calibri" w:cs="Calibri"/>
          <w:color w:val="E91E63"/>
        </w:rPr>
        <w:t>CJCE, 11 décembre 2007, Viking</w:t>
      </w:r>
      <w:r>
        <w:rPr>
          <w:rFonts w:ascii="Calibri" w:eastAsia="Calibri" w:hAnsi="Calibri" w:cs="Calibri"/>
          <w:color w:val="1A1A1A"/>
        </w:rPr>
        <w:t>. C’est en vain que les États membres ont tenté d’opposer leurs propres standards constitutionnels à l’empire des libertés économiques garanties par l’Union. Au-delà du marché unique, l’espace de liberté, de sécurité et de justice témoigne d’une forte tension entre protection des droits et exigence d’</w:t>
      </w:r>
      <w:r>
        <w:rPr>
          <w:rFonts w:ascii="Calibri" w:eastAsia="Calibri" w:hAnsi="Calibri" w:cs="Calibri"/>
          <w:b/>
          <w:bCs/>
          <w:color w:val="1A1A1A"/>
        </w:rPr>
        <w:t>uniformité</w:t>
      </w:r>
      <w:r>
        <w:rPr>
          <w:rFonts w:ascii="Calibri" w:eastAsia="Calibri" w:hAnsi="Calibri" w:cs="Calibri"/>
          <w:color w:val="1A1A1A"/>
        </w:rPr>
        <w:t xml:space="preserve"> : à la question de savoir si la conception nationale du droit à un procès équitable pouvait primer sur celle de la Charte pour justifier une dérogation à l’exécution d’un mandat d’arrêt européen, la Cour a répondu </w:t>
      </w:r>
      <w:r>
        <w:rPr>
          <w:rFonts w:ascii="Calibri" w:eastAsia="Calibri" w:hAnsi="Calibri" w:cs="Calibri"/>
          <w:b/>
          <w:bCs/>
          <w:color w:val="1A1A1A"/>
        </w:rPr>
        <w:t>négativement</w:t>
      </w:r>
      <w:r>
        <w:rPr>
          <w:rFonts w:ascii="Calibri" w:eastAsia="Calibri" w:hAnsi="Calibri" w:cs="Calibri"/>
          <w:color w:val="1A1A1A"/>
        </w:rPr>
        <w:t xml:space="preserve"> (</w:t>
      </w:r>
      <w:r>
        <w:rPr>
          <w:rFonts w:ascii="Calibri" w:eastAsia="Calibri" w:hAnsi="Calibri" w:cs="Calibri"/>
          <w:color w:val="E91E63"/>
        </w:rPr>
        <w:t>CJCE, 26 février 2013, Stefano Melloni</w:t>
      </w:r>
      <w:r>
        <w:rPr>
          <w:rFonts w:ascii="Calibri" w:eastAsia="Calibri" w:hAnsi="Calibri" w:cs="Calibri"/>
          <w:color w:val="1A1A1A"/>
        </w:rPr>
        <w:t>).</w:t>
      </w:r>
    </w:p>
    <w:p w14:paraId="131856D4"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Le contrepoint — les « droits fondamentaux » des États</w:t>
      </w:r>
      <w:r>
        <w:rPr>
          <w:rFonts w:ascii="Calibri" w:eastAsia="Calibri" w:hAnsi="Calibri" w:cs="Calibri"/>
          <w:color w:val="1A1A1A"/>
        </w:rPr>
        <w:t xml:space="preserve"> : dans une perspective fédérale, la protection de l’autonomie des États contre les ingérences de l’Union peut être envisagée comme un « droit fondamental » des États (</w:t>
      </w:r>
      <w:r>
        <w:rPr>
          <w:rFonts w:ascii="Calibri" w:eastAsia="Calibri" w:hAnsi="Calibri" w:cs="Calibri"/>
          <w:i/>
          <w:iCs/>
          <w:color w:val="1A1A1A"/>
        </w:rPr>
        <w:t>States’ rights</w:t>
      </w:r>
      <w:r>
        <w:rPr>
          <w:rFonts w:ascii="Calibri" w:eastAsia="Calibri" w:hAnsi="Calibri" w:cs="Calibri"/>
          <w:color w:val="1A1A1A"/>
        </w:rPr>
        <w:t xml:space="preserve">), calqué sur le modèle des droits reconnus aux individus. Un conflit normatif entre droit de l’Union et droit constitutionnel d’un État membre soulève des questions de </w:t>
      </w:r>
      <w:r>
        <w:rPr>
          <w:rFonts w:ascii="Calibri" w:eastAsia="Calibri" w:hAnsi="Calibri" w:cs="Calibri"/>
          <w:b/>
          <w:bCs/>
          <w:color w:val="1A1A1A"/>
        </w:rPr>
        <w:t>subsidiarité</w:t>
      </w:r>
      <w:r>
        <w:rPr>
          <w:rFonts w:ascii="Calibri" w:eastAsia="Calibri" w:hAnsi="Calibri" w:cs="Calibri"/>
          <w:color w:val="1A1A1A"/>
        </w:rPr>
        <w:t>, mettant en lumière l’articulation entre protection des droits fondamentaux et préservation de l’</w:t>
      </w:r>
      <w:r>
        <w:rPr>
          <w:rFonts w:ascii="Calibri" w:eastAsia="Calibri" w:hAnsi="Calibri" w:cs="Calibri"/>
          <w:b/>
          <w:bCs/>
          <w:color w:val="1A1A1A"/>
        </w:rPr>
        <w:t>identité nationale</w:t>
      </w:r>
      <w:r>
        <w:rPr>
          <w:rFonts w:ascii="Calibri" w:eastAsia="Calibri" w:hAnsi="Calibri" w:cs="Calibri"/>
          <w:color w:val="1A1A1A"/>
        </w:rPr>
        <w:t xml:space="preserve">. Reconnaître une place accrue à l’identité constitutionnelle peut ainsi apparaître comme une modalité </w:t>
      </w:r>
      <w:r>
        <w:rPr>
          <w:rFonts w:ascii="Calibri" w:eastAsia="Calibri" w:hAnsi="Calibri" w:cs="Calibri"/>
          <w:b/>
          <w:bCs/>
          <w:color w:val="1A1A1A"/>
        </w:rPr>
        <w:t>indirecte</w:t>
      </w:r>
      <w:r>
        <w:rPr>
          <w:rFonts w:ascii="Calibri" w:eastAsia="Calibri" w:hAnsi="Calibri" w:cs="Calibri"/>
          <w:color w:val="1A1A1A"/>
        </w:rPr>
        <w:t xml:space="preserve"> de protection des droits des ressortissants nationaux : ★ </w:t>
      </w:r>
      <w:r>
        <w:rPr>
          <w:rFonts w:ascii="Calibri" w:eastAsia="Calibri" w:hAnsi="Calibri" w:cs="Calibri"/>
          <w:color w:val="E91E63"/>
        </w:rPr>
        <w:t>CJCE, 14 octobre 2004, Omega</w:t>
      </w:r>
      <w:r>
        <w:rPr>
          <w:rFonts w:ascii="Calibri" w:eastAsia="Calibri" w:hAnsi="Calibri" w:cs="Calibri"/>
          <w:color w:val="1A1A1A"/>
        </w:rPr>
        <w:t xml:space="preserve"> — la prise en compte de l’identité constitutionnelle allemande (dignité humaine, droit constitutionnel indérogeable) a permis de faire primer la dignité sur les exigences de la libre prestation de services.</w:t>
      </w:r>
    </w:p>
    <w:p w14:paraId="27C7C1BB"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Les mécanismes non juridictionnels</w:t>
      </w:r>
      <w:r>
        <w:rPr>
          <w:rFonts w:ascii="Calibri" w:eastAsia="Calibri" w:hAnsi="Calibri" w:cs="Calibri"/>
          <w:color w:val="1A1A1A"/>
        </w:rPr>
        <w:t xml:space="preserve"> : droit de s’adresser au </w:t>
      </w:r>
      <w:r>
        <w:rPr>
          <w:rFonts w:ascii="Calibri" w:eastAsia="Calibri" w:hAnsi="Calibri" w:cs="Calibri"/>
          <w:b/>
          <w:bCs/>
          <w:color w:val="1A1A1A"/>
        </w:rPr>
        <w:t>Médiateur européen</w:t>
      </w:r>
      <w:r>
        <w:rPr>
          <w:rFonts w:ascii="Calibri" w:eastAsia="Calibri" w:hAnsi="Calibri" w:cs="Calibri"/>
          <w:color w:val="1A1A1A"/>
        </w:rPr>
        <w:t xml:space="preserve">, pour dénoncer les cas de mauvaise administration commis par les institutions, organes et organismes de l’Union, à l’exception de la Cour de justice dans l’exercice de ses fonctions juridictionnelles ; plainte formelle auprès du </w:t>
      </w:r>
      <w:r>
        <w:rPr>
          <w:rFonts w:ascii="Calibri" w:eastAsia="Calibri" w:hAnsi="Calibri" w:cs="Calibri"/>
          <w:b/>
          <w:bCs/>
          <w:color w:val="1A1A1A"/>
        </w:rPr>
        <w:t>Contrôleur européen de la protection des données</w:t>
      </w:r>
      <w:r>
        <w:rPr>
          <w:rFonts w:ascii="Calibri" w:eastAsia="Calibri" w:hAnsi="Calibri" w:cs="Calibri"/>
          <w:color w:val="1A1A1A"/>
        </w:rPr>
        <w:t xml:space="preserve"> ; plainte auprès de la </w:t>
      </w:r>
      <w:r>
        <w:rPr>
          <w:rFonts w:ascii="Calibri" w:eastAsia="Calibri" w:hAnsi="Calibri" w:cs="Calibri"/>
          <w:b/>
          <w:bCs/>
          <w:color w:val="1A1A1A"/>
        </w:rPr>
        <w:t>Commission européenne</w:t>
      </w:r>
      <w:r>
        <w:rPr>
          <w:rFonts w:ascii="Calibri" w:eastAsia="Calibri" w:hAnsi="Calibri" w:cs="Calibri"/>
          <w:color w:val="1A1A1A"/>
        </w:rPr>
        <w:t xml:space="preserve"> lorsque la violation est imputable aux autorités nationales agissant dans le cadre du droit de l’Union ; </w:t>
      </w:r>
      <w:r>
        <w:rPr>
          <w:rFonts w:ascii="Calibri" w:eastAsia="Calibri" w:hAnsi="Calibri" w:cs="Calibri"/>
          <w:b/>
          <w:bCs/>
          <w:color w:val="1A1A1A"/>
        </w:rPr>
        <w:t>pétition auprès du Parlement européen</w:t>
      </w:r>
      <w:r>
        <w:rPr>
          <w:rFonts w:ascii="Calibri" w:eastAsia="Calibri" w:hAnsi="Calibri" w:cs="Calibri"/>
          <w:color w:val="1A1A1A"/>
        </w:rPr>
        <w:t xml:space="preserve"> (</w:t>
      </w:r>
      <w:r>
        <w:rPr>
          <w:rFonts w:ascii="Calibri" w:eastAsia="Calibri" w:hAnsi="Calibri" w:cs="Calibri"/>
          <w:color w:val="1E88E5"/>
        </w:rPr>
        <w:t>art. 44 de la Charte</w:t>
      </w:r>
      <w:r>
        <w:rPr>
          <w:rFonts w:ascii="Calibri" w:eastAsia="Calibri" w:hAnsi="Calibri" w:cs="Calibri"/>
          <w:color w:val="1A1A1A"/>
        </w:rPr>
        <w:t>).</w:t>
      </w:r>
    </w:p>
    <w:p w14:paraId="355FFE0C" w14:textId="77777777" w:rsidR="00E0256F" w:rsidRDefault="00000000">
      <w:pPr>
        <w:pStyle w:val="Titre2"/>
        <w:spacing w:before="280" w:after="120"/>
      </w:pPr>
      <w:r>
        <w:rPr>
          <w:rFonts w:ascii="Calibri" w:eastAsia="Calibri" w:hAnsi="Calibri" w:cs="Calibri"/>
          <w:b/>
          <w:bCs/>
          <w:color w:val="1A1A1A"/>
          <w:sz w:val="24"/>
          <w:szCs w:val="24"/>
        </w:rPr>
        <w:t>3. Les rapports entre droit de l’Union et droit de la Convention</w:t>
      </w:r>
    </w:p>
    <w:p w14:paraId="3EA1E767" w14:textId="77777777" w:rsidR="00E0256F" w:rsidRDefault="00000000">
      <w:pPr>
        <w:pStyle w:val="Paragraphedeliste"/>
        <w:numPr>
          <w:ilvl w:val="0"/>
          <w:numId w:val="2"/>
        </w:numPr>
        <w:spacing w:after="70" w:line="264" w:lineRule="auto"/>
        <w:jc w:val="both"/>
      </w:pPr>
      <w:r>
        <w:rPr>
          <w:rFonts w:ascii="Calibri" w:eastAsia="Calibri" w:hAnsi="Calibri" w:cs="Calibri"/>
          <w:color w:val="1E88E5"/>
        </w:rPr>
        <w:t>Art. 53 de la Convention</w:t>
      </w:r>
      <w:r>
        <w:rPr>
          <w:rFonts w:ascii="Calibri" w:eastAsia="Calibri" w:hAnsi="Calibri" w:cs="Calibri"/>
          <w:color w:val="1A1A1A"/>
        </w:rPr>
        <w:t xml:space="preserve"> et </w:t>
      </w:r>
      <w:r>
        <w:rPr>
          <w:rFonts w:ascii="Calibri" w:eastAsia="Calibri" w:hAnsi="Calibri" w:cs="Calibri"/>
          <w:color w:val="1E88E5"/>
        </w:rPr>
        <w:t>art. 53 de la Charte</w:t>
      </w:r>
      <w:r>
        <w:rPr>
          <w:rFonts w:ascii="Calibri" w:eastAsia="Calibri" w:hAnsi="Calibri" w:cs="Calibri"/>
          <w:color w:val="1A1A1A"/>
        </w:rPr>
        <w:t xml:space="preserve"> : l’un et l’autre permettent aux États membres de maintenir des standards de protection </w:t>
      </w:r>
      <w:r>
        <w:rPr>
          <w:rFonts w:ascii="Calibri" w:eastAsia="Calibri" w:hAnsi="Calibri" w:cs="Calibri"/>
          <w:b/>
          <w:bCs/>
          <w:color w:val="1A1A1A"/>
        </w:rPr>
        <w:t>plus élevés</w:t>
      </w:r>
      <w:r>
        <w:rPr>
          <w:rFonts w:ascii="Calibri" w:eastAsia="Calibri" w:hAnsi="Calibri" w:cs="Calibri"/>
          <w:color w:val="1A1A1A"/>
        </w:rPr>
        <w:t xml:space="preserve">. Mais la Cour de justice a précisé que la </w:t>
      </w:r>
      <w:r>
        <w:rPr>
          <w:rFonts w:ascii="Calibri" w:eastAsia="Calibri" w:hAnsi="Calibri" w:cs="Calibri"/>
          <w:b/>
          <w:bCs/>
          <w:color w:val="1A1A1A"/>
        </w:rPr>
        <w:t>primauté et l’effectivité</w:t>
      </w:r>
      <w:r>
        <w:rPr>
          <w:rFonts w:ascii="Calibri" w:eastAsia="Calibri" w:hAnsi="Calibri" w:cs="Calibri"/>
          <w:color w:val="1A1A1A"/>
        </w:rPr>
        <w:t xml:space="preserve"> du droit de l’Union restreignent cette faculté, en empêchant les États d’invoquer des standards plus protecteurs lorsque cela compromet l’application uniforme du droit de l’Union.</w:t>
      </w:r>
    </w:p>
    <w:p w14:paraId="64373A79" w14:textId="77777777" w:rsidR="00E0256F" w:rsidRDefault="00000000">
      <w:pPr>
        <w:pStyle w:val="Paragraphedeliste"/>
        <w:numPr>
          <w:ilvl w:val="0"/>
          <w:numId w:val="2"/>
        </w:numPr>
        <w:spacing w:after="70" w:line="264" w:lineRule="auto"/>
        <w:jc w:val="both"/>
      </w:pPr>
      <w:r>
        <w:rPr>
          <w:rFonts w:ascii="Calibri" w:eastAsia="Calibri" w:hAnsi="Calibri" w:cs="Calibri"/>
          <w:color w:val="1E88E5"/>
        </w:rPr>
        <w:t>Art. 52 § 3 de la Charte</w:t>
      </w:r>
      <w:r>
        <w:rPr>
          <w:rFonts w:ascii="Calibri" w:eastAsia="Calibri" w:hAnsi="Calibri" w:cs="Calibri"/>
          <w:color w:val="1A1A1A"/>
        </w:rPr>
        <w:t xml:space="preserve"> : mécanisme de coordination — dans la mesure où la Charte contient des droits correspondant à ceux garantis par la Convention, leur </w:t>
      </w:r>
      <w:r>
        <w:rPr>
          <w:rFonts w:ascii="Calibri" w:eastAsia="Calibri" w:hAnsi="Calibri" w:cs="Calibri"/>
          <w:b/>
          <w:bCs/>
          <w:color w:val="1A1A1A"/>
        </w:rPr>
        <w:t>sens et leur portée sont identiques</w:t>
      </w:r>
      <w:r>
        <w:rPr>
          <w:rFonts w:ascii="Calibri" w:eastAsia="Calibri" w:hAnsi="Calibri" w:cs="Calibri"/>
          <w:color w:val="1A1A1A"/>
        </w:rPr>
        <w:t>, sans préjudice pour l’Union de prévoir une protection plus étendue.</w:t>
      </w:r>
    </w:p>
    <w:p w14:paraId="35CB2EEA"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Tension symétrique</w:t>
      </w:r>
      <w:r>
        <w:rPr>
          <w:rFonts w:ascii="Calibri" w:eastAsia="Calibri" w:hAnsi="Calibri" w:cs="Calibri"/>
          <w:color w:val="1A1A1A"/>
        </w:rPr>
        <w:t xml:space="preserve"> : la Cour européenne exige dans certains cas que les États contrôlent le respect des droits fondamentaux par d’autres États, dans le cadre des mécanismes de coopération ou de reconnaissance mutuelle ; inversement, la Cour de justice affirme que le niveau de protection prévu par le droit interne ne saurait excéder celui fixé par le droit de l’Union, afin de préserver la cohérence et l’unité de l’ordre juridique européen.</w:t>
      </w:r>
    </w:p>
    <w:p w14:paraId="4ED3A39E"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L’adhésion — les obstacles</w:t>
      </w:r>
      <w:r>
        <w:rPr>
          <w:rFonts w:ascii="Calibri" w:eastAsia="Calibri" w:hAnsi="Calibri" w:cs="Calibri"/>
          <w:color w:val="1A1A1A"/>
        </w:rPr>
        <w:t xml:space="preserve"> : </w:t>
      </w:r>
      <w:r>
        <w:rPr>
          <w:rFonts w:ascii="Calibri" w:eastAsia="Calibri" w:hAnsi="Calibri" w:cs="Calibri"/>
          <w:color w:val="E91E63"/>
        </w:rPr>
        <w:t>CJUE, avis du 28 mars 1996 (avis 2/94)</w:t>
      </w:r>
      <w:r>
        <w:rPr>
          <w:rFonts w:ascii="Calibri" w:eastAsia="Calibri" w:hAnsi="Calibri" w:cs="Calibri"/>
          <w:color w:val="1A1A1A"/>
        </w:rPr>
        <w:t xml:space="preserve"> — la Communauté ne disposait pas de la compétence nécessaire pour adhérer. </w:t>
      </w:r>
      <w:r>
        <w:rPr>
          <w:rFonts w:ascii="Calibri" w:eastAsia="Calibri" w:hAnsi="Calibri" w:cs="Calibri"/>
          <w:color w:val="E91E63"/>
        </w:rPr>
        <w:t>CJUE, avis 2/13 du 18 décembre 2014</w:t>
      </w:r>
      <w:r>
        <w:rPr>
          <w:rFonts w:ascii="Calibri" w:eastAsia="Calibri" w:hAnsi="Calibri" w:cs="Calibri"/>
          <w:color w:val="1A1A1A"/>
        </w:rPr>
        <w:t xml:space="preserve"> — le projet d’accord est incompatible avec le droit de l’Union ; la Cour identifie </w:t>
      </w:r>
      <w:r>
        <w:rPr>
          <w:rFonts w:ascii="Calibri" w:eastAsia="Calibri" w:hAnsi="Calibri" w:cs="Calibri"/>
          <w:b/>
          <w:bCs/>
          <w:color w:val="1A1A1A"/>
        </w:rPr>
        <w:t>sept motifs d’incompatibilité</w:t>
      </w:r>
      <w:r>
        <w:rPr>
          <w:rFonts w:ascii="Calibri" w:eastAsia="Calibri" w:hAnsi="Calibri" w:cs="Calibri"/>
          <w:color w:val="1A1A1A"/>
        </w:rPr>
        <w:t xml:space="preserve">, invoquant à une vingtaine de reprises la </w:t>
      </w:r>
      <w:r>
        <w:rPr>
          <w:rFonts w:ascii="Calibri" w:eastAsia="Calibri" w:hAnsi="Calibri" w:cs="Calibri"/>
          <w:color w:val="1A1A1A"/>
        </w:rPr>
        <w:lastRenderedPageBreak/>
        <w:t>nécessité de préserver l’</w:t>
      </w:r>
      <w:r>
        <w:rPr>
          <w:rFonts w:ascii="Calibri" w:eastAsia="Calibri" w:hAnsi="Calibri" w:cs="Calibri"/>
          <w:b/>
          <w:bCs/>
          <w:color w:val="1A1A1A"/>
        </w:rPr>
        <w:t>autonomie de l’ordre juridique de l’Union</w:t>
      </w:r>
      <w:r>
        <w:rPr>
          <w:rFonts w:ascii="Calibri" w:eastAsia="Calibri" w:hAnsi="Calibri" w:cs="Calibri"/>
          <w:color w:val="1A1A1A"/>
        </w:rPr>
        <w:t xml:space="preserve">, jugée gravement menacée. Cet avis a brutalement interrompu un processus engagé depuis cinq ans, et contrastait avec les conclusions de l’Avocat général, qui estimait le projet compatible sous réserve de certaines interprétations. </w:t>
      </w:r>
      <w:r>
        <w:rPr>
          <w:rFonts w:ascii="Calibri" w:eastAsia="Calibri" w:hAnsi="Calibri" w:cs="Calibri"/>
          <w:b/>
          <w:bCs/>
          <w:color w:val="1A1A1A"/>
        </w:rPr>
        <w:t>Critique</w:t>
      </w:r>
      <w:r>
        <w:rPr>
          <w:rFonts w:ascii="Calibri" w:eastAsia="Calibri" w:hAnsi="Calibri" w:cs="Calibri"/>
          <w:color w:val="1A1A1A"/>
        </w:rPr>
        <w:t xml:space="preserve"> : la position de la Cour est d’autant plus discutable que le traité de Lisbonne avait précisément introduit les dispositions destinées à permettre l’adhésion, conformément aux exigences formulées par la même Cour dans son avis de 1996.</w:t>
      </w:r>
    </w:p>
    <w:p w14:paraId="2838D1B8"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Actualité — une nouvelle étape vers l’adhésion</w:t>
      </w:r>
      <w:r>
        <w:rPr>
          <w:rFonts w:ascii="Calibri" w:eastAsia="Calibri" w:hAnsi="Calibri" w:cs="Calibri"/>
          <w:color w:val="1A1A1A"/>
        </w:rPr>
        <w:t xml:space="preserve"> : le rejet du projet par l’avis 2/13 n’a pas mis fin au processus. Les négociations ont repris en </w:t>
      </w:r>
      <w:r>
        <w:rPr>
          <w:rFonts w:ascii="Calibri" w:eastAsia="Calibri" w:hAnsi="Calibri" w:cs="Calibri"/>
          <w:b/>
          <w:bCs/>
          <w:color w:val="1A1A1A"/>
        </w:rPr>
        <w:t>2020</w:t>
      </w:r>
      <w:r>
        <w:rPr>
          <w:rFonts w:ascii="Calibri" w:eastAsia="Calibri" w:hAnsi="Calibri" w:cs="Calibri"/>
          <w:color w:val="1A1A1A"/>
        </w:rPr>
        <w:t xml:space="preserve"> entre l’Union et les États membres du Conseil de l’Europe et ont abouti, en </w:t>
      </w:r>
      <w:r>
        <w:rPr>
          <w:rFonts w:ascii="Calibri" w:eastAsia="Calibri" w:hAnsi="Calibri" w:cs="Calibri"/>
          <w:b/>
          <w:bCs/>
          <w:color w:val="1A1A1A"/>
        </w:rPr>
        <w:t>mars 2023</w:t>
      </w:r>
      <w:r>
        <w:rPr>
          <w:rFonts w:ascii="Calibri" w:eastAsia="Calibri" w:hAnsi="Calibri" w:cs="Calibri"/>
          <w:color w:val="1A1A1A"/>
        </w:rPr>
        <w:t xml:space="preserve">, à un accord provisoire sur un projet révisé destiné à répondre aux objections de la Cour. Une difficulté particulière demeurait quant au contrôle juridictionnel des actes relevant de la </w:t>
      </w:r>
      <w:r>
        <w:rPr>
          <w:rFonts w:ascii="Calibri" w:eastAsia="Calibri" w:hAnsi="Calibri" w:cs="Calibri"/>
          <w:b/>
          <w:bCs/>
          <w:color w:val="1A1A1A"/>
        </w:rPr>
        <w:t>politique étrangère et de sécurité commune</w:t>
      </w:r>
      <w:r>
        <w:rPr>
          <w:rFonts w:ascii="Calibri" w:eastAsia="Calibri" w:hAnsi="Calibri" w:cs="Calibri"/>
          <w:color w:val="1A1A1A"/>
        </w:rPr>
        <w:t xml:space="preserve"> : la jurisprudence de la Cour rendue en 2024 a précisé que l’exclusion de sa compétence en matière de PESC doit être interprétée </w:t>
      </w:r>
      <w:r>
        <w:rPr>
          <w:rFonts w:ascii="Calibri" w:eastAsia="Calibri" w:hAnsi="Calibri" w:cs="Calibri"/>
          <w:b/>
          <w:bCs/>
          <w:color w:val="1A1A1A"/>
        </w:rPr>
        <w:t>strictement</w:t>
      </w:r>
      <w:r>
        <w:rPr>
          <w:rFonts w:ascii="Calibri" w:eastAsia="Calibri" w:hAnsi="Calibri" w:cs="Calibri"/>
          <w:color w:val="1A1A1A"/>
        </w:rPr>
        <w:t xml:space="preserve"> et qu’elle peut contrôler les actes et omissions qui ne sont pas directement liés à des choix politiques ou stratégiques. Une nouvelle étape a été franchie le </w:t>
      </w:r>
      <w:r>
        <w:rPr>
          <w:rFonts w:ascii="Calibri" w:eastAsia="Calibri" w:hAnsi="Calibri" w:cs="Calibri"/>
          <w:b/>
          <w:bCs/>
          <w:color w:val="1A1A1A"/>
        </w:rPr>
        <w:t>21 novembre 2025</w:t>
      </w:r>
      <w:r>
        <w:rPr>
          <w:rFonts w:ascii="Calibri" w:eastAsia="Calibri" w:hAnsi="Calibri" w:cs="Calibri"/>
          <w:color w:val="1A1A1A"/>
        </w:rPr>
        <w:t xml:space="preserve"> : la Commission a saisi la Cour de justice, sur le fondement de l’</w:t>
      </w:r>
      <w:r>
        <w:rPr>
          <w:rFonts w:ascii="Calibri" w:eastAsia="Calibri" w:hAnsi="Calibri" w:cs="Calibri"/>
          <w:color w:val="1E88E5"/>
        </w:rPr>
        <w:t>art. 218 § 11 TFUE</w:t>
      </w:r>
      <w:r>
        <w:rPr>
          <w:rFonts w:ascii="Calibri" w:eastAsia="Calibri" w:hAnsi="Calibri" w:cs="Calibri"/>
          <w:color w:val="1A1A1A"/>
        </w:rPr>
        <w:t xml:space="preserve">, afin qu’elle se prononce sur la compatibilité du projet révisé avec les traités — </w:t>
      </w:r>
      <w:r>
        <w:rPr>
          <w:rFonts w:ascii="Calibri" w:eastAsia="Calibri" w:hAnsi="Calibri" w:cs="Calibri"/>
          <w:color w:val="E91E63"/>
        </w:rPr>
        <w:t>CJUE, demande d’avis 1/25, Adhésion de l’Union à la CEDH – II</w:t>
      </w:r>
      <w:r>
        <w:rPr>
          <w:rFonts w:ascii="Calibri" w:eastAsia="Calibri" w:hAnsi="Calibri" w:cs="Calibri"/>
          <w:color w:val="1A1A1A"/>
        </w:rPr>
        <w:t xml:space="preserve">. </w:t>
      </w:r>
      <w:r>
        <w:rPr>
          <w:rFonts w:ascii="Calibri" w:eastAsia="Calibri" w:hAnsi="Calibri" w:cs="Calibri"/>
          <w:b/>
          <w:bCs/>
          <w:color w:val="1A1A1A"/>
        </w:rPr>
        <w:t>Au mois d’août 2026, cette procédure demeure pendante</w:t>
      </w:r>
      <w:r>
        <w:rPr>
          <w:rFonts w:ascii="Calibri" w:eastAsia="Calibri" w:hAnsi="Calibri" w:cs="Calibri"/>
          <w:color w:val="1A1A1A"/>
        </w:rPr>
        <w:t xml:space="preserve"> : l’Union n’est donc toujours pas partie à la Convention. </w:t>
      </w:r>
      <w:r>
        <w:rPr>
          <w:rFonts w:ascii="Calibri" w:eastAsia="Calibri" w:hAnsi="Calibri" w:cs="Calibri"/>
          <w:b/>
          <w:bCs/>
          <w:color w:val="1A1A1A"/>
        </w:rPr>
        <w:t>À retenir</w:t>
      </w:r>
      <w:r>
        <w:rPr>
          <w:rFonts w:ascii="Calibri" w:eastAsia="Calibri" w:hAnsi="Calibri" w:cs="Calibri"/>
          <w:color w:val="1A1A1A"/>
        </w:rPr>
        <w:t xml:space="preserve"> : l’adhésion est une </w:t>
      </w:r>
      <w:r>
        <w:rPr>
          <w:rFonts w:ascii="Calibri" w:eastAsia="Calibri" w:hAnsi="Calibri" w:cs="Calibri"/>
          <w:b/>
          <w:bCs/>
          <w:color w:val="1A1A1A"/>
        </w:rPr>
        <w:t>obligation</w:t>
      </w:r>
      <w:r>
        <w:rPr>
          <w:rFonts w:ascii="Calibri" w:eastAsia="Calibri" w:hAnsi="Calibri" w:cs="Calibri"/>
          <w:color w:val="1A1A1A"/>
        </w:rPr>
        <w:t xml:space="preserve"> inscrite à l’</w:t>
      </w:r>
      <w:r>
        <w:rPr>
          <w:rFonts w:ascii="Calibri" w:eastAsia="Calibri" w:hAnsi="Calibri" w:cs="Calibri"/>
          <w:color w:val="1E88E5"/>
        </w:rPr>
        <w:t>art. 6 § 2 TUE</w:t>
      </w:r>
      <w:r>
        <w:rPr>
          <w:rFonts w:ascii="Calibri" w:eastAsia="Calibri" w:hAnsi="Calibri" w:cs="Calibri"/>
          <w:color w:val="1A1A1A"/>
        </w:rPr>
        <w:t xml:space="preserve"> mais elle n’est toujours pas réalisée ; l’avis 1/25 constitue l’étape décisive, la Cour devant déterminer si le nouveau projet préserve suffisamment l’autonomie de l’ordre juridique de l’Union tout en permettant son contrôle externe par la Cour européenne.</w:t>
      </w:r>
    </w:p>
    <w:p w14:paraId="26D25A36" w14:textId="77777777" w:rsidR="00E0256F" w:rsidRDefault="00000000">
      <w:pPr>
        <w:pStyle w:val="Titre2"/>
        <w:spacing w:before="280" w:after="120"/>
      </w:pPr>
      <w:r>
        <w:rPr>
          <w:rFonts w:ascii="Calibri" w:eastAsia="Calibri" w:hAnsi="Calibri" w:cs="Calibri"/>
          <w:b/>
          <w:bCs/>
          <w:color w:val="1A1A1A"/>
          <w:sz w:val="24"/>
          <w:szCs w:val="24"/>
        </w:rPr>
        <w:t>4. Débats doctrinaux &amp; critiques</w:t>
      </w:r>
    </w:p>
    <w:p w14:paraId="6EDB7F57"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Le décalage entre le discours et la réalité</w:t>
      </w:r>
      <w:r>
        <w:rPr>
          <w:rFonts w:ascii="Calibri" w:eastAsia="Calibri" w:hAnsi="Calibri" w:cs="Calibri"/>
          <w:color w:val="1A1A1A"/>
        </w:rPr>
        <w:t xml:space="preserve"> — argumentation structurante proposée par le fascicule. Point de départ : l’Union se définit comme une « </w:t>
      </w:r>
      <w:r>
        <w:rPr>
          <w:rFonts w:ascii="Calibri" w:eastAsia="Calibri" w:hAnsi="Calibri" w:cs="Calibri"/>
          <w:b/>
          <w:bCs/>
          <w:color w:val="1A1A1A"/>
        </w:rPr>
        <w:t>Union de droit</w:t>
      </w:r>
      <w:r>
        <w:rPr>
          <w:rFonts w:ascii="Calibri" w:eastAsia="Calibri" w:hAnsi="Calibri" w:cs="Calibri"/>
          <w:color w:val="1A1A1A"/>
        </w:rPr>
        <w:t xml:space="preserve"> » (</w:t>
      </w:r>
      <w:r>
        <w:rPr>
          <w:rFonts w:ascii="Calibri" w:eastAsia="Calibri" w:hAnsi="Calibri" w:cs="Calibri"/>
          <w:color w:val="E91E63"/>
        </w:rPr>
        <w:t xml:space="preserve">CJUE, Gde ch., 29 juin 2010, E et F, </w:t>
      </w:r>
      <w:proofErr w:type="spellStart"/>
      <w:r>
        <w:rPr>
          <w:rFonts w:ascii="Calibri" w:eastAsia="Calibri" w:hAnsi="Calibri" w:cs="Calibri"/>
          <w:color w:val="E91E63"/>
        </w:rPr>
        <w:t>aff.</w:t>
      </w:r>
      <w:proofErr w:type="spellEnd"/>
      <w:r>
        <w:rPr>
          <w:rFonts w:ascii="Calibri" w:eastAsia="Calibri" w:hAnsi="Calibri" w:cs="Calibri"/>
          <w:color w:val="E91E63"/>
        </w:rPr>
        <w:t xml:space="preserve"> C-550/09, point 44</w:t>
      </w:r>
      <w:r>
        <w:rPr>
          <w:rFonts w:ascii="Calibri" w:eastAsia="Calibri" w:hAnsi="Calibri" w:cs="Calibri"/>
          <w:color w:val="1A1A1A"/>
        </w:rPr>
        <w:t>) et dispose depuis 2000 d’une Charte dont le préambule affirme qu’elle repose sur le principe de l’État de droit et place la personne au cœur de son action, notamment en créant un espace de liberté, de sécurité et de justice.</w:t>
      </w:r>
    </w:p>
    <w:p w14:paraId="75B10F82"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Politique migratoire</w:t>
      </w:r>
      <w:r>
        <w:rPr>
          <w:rFonts w:ascii="Calibri" w:eastAsia="Calibri" w:hAnsi="Calibri" w:cs="Calibri"/>
          <w:color w:val="1A1A1A"/>
        </w:rPr>
        <w:t xml:space="preserve"> (</w:t>
      </w:r>
      <w:r>
        <w:rPr>
          <w:rFonts w:ascii="Calibri" w:eastAsia="Calibri" w:hAnsi="Calibri" w:cs="Calibri"/>
          <w:color w:val="1E88E5"/>
        </w:rPr>
        <w:t>art. 79 et 89 TFUE</w:t>
      </w:r>
      <w:r>
        <w:rPr>
          <w:rFonts w:ascii="Calibri" w:eastAsia="Calibri" w:hAnsi="Calibri" w:cs="Calibri"/>
          <w:color w:val="1A1A1A"/>
        </w:rPr>
        <w:t xml:space="preserve">) : en 2024, la politique migratoire de l’Union a pris un tournant préoccupant, illustrant une stratégie de </w:t>
      </w:r>
      <w:r>
        <w:rPr>
          <w:rFonts w:ascii="Calibri" w:eastAsia="Calibri" w:hAnsi="Calibri" w:cs="Calibri"/>
          <w:b/>
          <w:bCs/>
          <w:color w:val="1A1A1A"/>
        </w:rPr>
        <w:t>dissuasion</w:t>
      </w:r>
      <w:r>
        <w:rPr>
          <w:rFonts w:ascii="Calibri" w:eastAsia="Calibri" w:hAnsi="Calibri" w:cs="Calibri"/>
          <w:color w:val="1A1A1A"/>
        </w:rPr>
        <w:t xml:space="preserve">. Le </w:t>
      </w:r>
      <w:r>
        <w:rPr>
          <w:rFonts w:ascii="Calibri" w:eastAsia="Calibri" w:hAnsi="Calibri" w:cs="Calibri"/>
          <w:b/>
          <w:bCs/>
          <w:color w:val="1A1A1A"/>
        </w:rPr>
        <w:t>Pacte sur la migration et l’asile</w:t>
      </w:r>
      <w:r>
        <w:rPr>
          <w:rFonts w:ascii="Calibri" w:eastAsia="Calibri" w:hAnsi="Calibri" w:cs="Calibri"/>
          <w:color w:val="1A1A1A"/>
        </w:rPr>
        <w:t xml:space="preserve"> restreint l’accès à la protection internationale, facilite les décisions expéditives et accroît la détention aux frontières. Des notions juridiquement floues comme « </w:t>
      </w:r>
      <w:r>
        <w:rPr>
          <w:rFonts w:ascii="Calibri" w:eastAsia="Calibri" w:hAnsi="Calibri" w:cs="Calibri"/>
          <w:b/>
          <w:bCs/>
          <w:color w:val="1A1A1A"/>
        </w:rPr>
        <w:t>afflux massif</w:t>
      </w:r>
      <w:r>
        <w:rPr>
          <w:rFonts w:ascii="Calibri" w:eastAsia="Calibri" w:hAnsi="Calibri" w:cs="Calibri"/>
          <w:color w:val="1A1A1A"/>
        </w:rPr>
        <w:t xml:space="preserve"> » permettent de contourner le droit d’asile. L’Union </w:t>
      </w:r>
      <w:r>
        <w:rPr>
          <w:rFonts w:ascii="Calibri" w:eastAsia="Calibri" w:hAnsi="Calibri" w:cs="Calibri"/>
          <w:b/>
          <w:bCs/>
          <w:color w:val="1A1A1A"/>
        </w:rPr>
        <w:t>externalise</w:t>
      </w:r>
      <w:r>
        <w:rPr>
          <w:rFonts w:ascii="Calibri" w:eastAsia="Calibri" w:hAnsi="Calibri" w:cs="Calibri"/>
          <w:color w:val="1A1A1A"/>
        </w:rPr>
        <w:t xml:space="preserve"> par ailleurs sa politique migratoire, déléguant à des pays tiers — Égypte, Mauritanie, Tunisie — le contrôle des frontières. Statistique à citer : </w:t>
      </w:r>
      <w:r>
        <w:rPr>
          <w:rFonts w:ascii="Calibri" w:eastAsia="Calibri" w:hAnsi="Calibri" w:cs="Calibri"/>
          <w:b/>
          <w:bCs/>
          <w:color w:val="1A1A1A"/>
        </w:rPr>
        <w:t>plus de 2 000 personnes ont péri en mer en 2024</w:t>
      </w:r>
      <w:r>
        <w:rPr>
          <w:rFonts w:ascii="Calibri" w:eastAsia="Calibri" w:hAnsi="Calibri" w:cs="Calibri"/>
          <w:color w:val="1A1A1A"/>
        </w:rPr>
        <w:t>. L’Agence des droits fondamentaux et la Médiatrice européenne appellent à des mécanismes de contrôle plus robustes.</w:t>
      </w:r>
    </w:p>
    <w:p w14:paraId="24ACE571"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Lutte contre les discriminations</w:t>
      </w:r>
      <w:r>
        <w:rPr>
          <w:rFonts w:ascii="Calibri" w:eastAsia="Calibri" w:hAnsi="Calibri" w:cs="Calibri"/>
          <w:color w:val="1A1A1A"/>
        </w:rPr>
        <w:t xml:space="preserve"> : progression de l’intolérance, alimentée par la montée de l’extrême droite et la banalisation de discours racistes et xénophobes ; les rapports de l’Agence des droits fondamentaux montrent l’ampleur de l’antisémitisme et des discriminations subies par les musulmans, y compris des violences policières ; augmentation des discriminations envers les personnes d’origine africaine, les migrants et les personnes LGBT, alimentée par la désinformation. Sur le plan législatif, la directive sur la violence contre les femmes a été adoptée </w:t>
      </w:r>
      <w:r>
        <w:rPr>
          <w:rFonts w:ascii="Calibri" w:eastAsia="Calibri" w:hAnsi="Calibri" w:cs="Calibri"/>
          <w:b/>
          <w:bCs/>
          <w:color w:val="1A1A1A"/>
        </w:rPr>
        <w:t>sans définition du viol fondée sur le consentement</w:t>
      </w:r>
      <w:r>
        <w:rPr>
          <w:rFonts w:ascii="Calibri" w:eastAsia="Calibri" w:hAnsi="Calibri" w:cs="Calibri"/>
          <w:color w:val="1A1A1A"/>
        </w:rPr>
        <w:t xml:space="preserve"> ni interdiction de la stérilisation forcée, pourtant légale dans plusieurs États membres. La stratégie de la Commission pour 2024-2029 relègue les questions d’égalité à un portefeuille de gestion des crises.</w:t>
      </w:r>
    </w:p>
    <w:p w14:paraId="17EAD33B"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Protection de l’État de droit</w:t>
      </w:r>
      <w:r>
        <w:rPr>
          <w:rFonts w:ascii="Calibri" w:eastAsia="Calibri" w:hAnsi="Calibri" w:cs="Calibri"/>
          <w:color w:val="1A1A1A"/>
        </w:rPr>
        <w:t xml:space="preserve"> (</w:t>
      </w:r>
      <w:r>
        <w:rPr>
          <w:rFonts w:ascii="Calibri" w:eastAsia="Calibri" w:hAnsi="Calibri" w:cs="Calibri"/>
          <w:color w:val="1E88E5"/>
        </w:rPr>
        <w:t>art. 2 TUE</w:t>
      </w:r>
      <w:r>
        <w:rPr>
          <w:rFonts w:ascii="Calibri" w:eastAsia="Calibri" w:hAnsi="Calibri" w:cs="Calibri"/>
          <w:color w:val="1A1A1A"/>
        </w:rPr>
        <w:t>) : malgré la création en 2004 d’un poste de Commissaire à la démocratie, à la justice et à l’État de droit, les actions concrètes demeurent insuffisantes — la Hongrie, toujours sous examen de l’article 7, n’a fait l’objet d’aucune sanction ; pour la Pologne, la Commission a mis fin à la procédure de l’article 7 alors que les réformes nécessaires n’avaient pas été mises en œuvre.</w:t>
      </w:r>
    </w:p>
    <w:p w14:paraId="26B6343C"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Intelligence artificielle</w:t>
      </w:r>
      <w:r>
        <w:rPr>
          <w:rFonts w:ascii="Calibri" w:eastAsia="Calibri" w:hAnsi="Calibri" w:cs="Calibri"/>
          <w:color w:val="1A1A1A"/>
        </w:rPr>
        <w:t xml:space="preserve"> : le règlement adopté en juin 2024 constitue un progrès — interdiction de la notation sociale, restrictions sur la surveillance biométrique — mais l’Union a cédé aux pressions des entreprises en retirant son projet de directive sur la responsabilité, au moment même où les atteintes de l’IA aux droits fondamentaux (vie privée, protection des données, biais, discriminations) n’ont jamais été aussi préoccupantes.</w:t>
      </w:r>
    </w:p>
    <w:p w14:paraId="36FEA54F"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Formule de conclusion</w:t>
      </w:r>
      <w:r>
        <w:rPr>
          <w:rFonts w:ascii="Calibri" w:eastAsia="Calibri" w:hAnsi="Calibri" w:cs="Calibri"/>
          <w:color w:val="1A1A1A"/>
        </w:rPr>
        <w:t xml:space="preserve"> : il existe un puissant </w:t>
      </w:r>
      <w:r>
        <w:rPr>
          <w:rFonts w:ascii="Calibri" w:eastAsia="Calibri" w:hAnsi="Calibri" w:cs="Calibri"/>
          <w:b/>
          <w:bCs/>
          <w:color w:val="1A1A1A"/>
        </w:rPr>
        <w:t>paradoxe</w:t>
      </w:r>
      <w:r>
        <w:rPr>
          <w:rFonts w:ascii="Calibri" w:eastAsia="Calibri" w:hAnsi="Calibri" w:cs="Calibri"/>
          <w:color w:val="1A1A1A"/>
        </w:rPr>
        <w:t xml:space="preserve">. D’une part, l’Union érige les droits fondamentaux en socle de légitimité ; d’autre part, elle tolère, voire génère, des logiques sécuritaires, économiques ou politiques qui les érodent de l’intérieur. Ce décalage entre principes proclamés et réalités constatées — replis identitaires, dérives autoritaires, nouvelles technologies — entame la crédibilité du projet européen. L’Union doit, pour rester fidèle à ses valeurs, cesser de faire des droits humains une </w:t>
      </w:r>
      <w:r>
        <w:rPr>
          <w:rFonts w:ascii="Calibri" w:eastAsia="Calibri" w:hAnsi="Calibri" w:cs="Calibri"/>
          <w:b/>
          <w:bCs/>
          <w:color w:val="1A1A1A"/>
        </w:rPr>
        <w:t>variable d’ajustement</w:t>
      </w:r>
      <w:r>
        <w:rPr>
          <w:rFonts w:ascii="Calibri" w:eastAsia="Calibri" w:hAnsi="Calibri" w:cs="Calibri"/>
          <w:color w:val="1A1A1A"/>
        </w:rPr>
        <w:t>.</w:t>
      </w:r>
    </w:p>
    <w:p w14:paraId="6218946D" w14:textId="77777777" w:rsidR="00E0256F" w:rsidRDefault="00000000">
      <w:pPr>
        <w:pStyle w:val="Titre2"/>
        <w:spacing w:before="280" w:after="120"/>
      </w:pPr>
      <w:r>
        <w:rPr>
          <w:rFonts w:ascii="Calibri" w:eastAsia="Calibri" w:hAnsi="Calibri" w:cs="Calibri"/>
          <w:b/>
          <w:bCs/>
          <w:color w:val="1A1A1A"/>
          <w:sz w:val="24"/>
          <w:szCs w:val="24"/>
        </w:rPr>
        <w:lastRenderedPageBreak/>
        <w:t>5. Dispositif « Grand Oral »</w:t>
      </w:r>
    </w:p>
    <w:p w14:paraId="6402F36F" w14:textId="77777777" w:rsidR="00E0256F" w:rsidRDefault="00000000">
      <w:pPr>
        <w:pStyle w:val="Titre3"/>
        <w:spacing w:before="200" w:after="90"/>
      </w:pPr>
      <w:r>
        <w:rPr>
          <w:rFonts w:ascii="Calibri" w:eastAsia="Calibri" w:hAnsi="Calibri" w:cs="Calibri"/>
          <w:b/>
          <w:bCs/>
          <w:i/>
          <w:iCs/>
          <w:color w:val="5A5A5A"/>
          <w:sz w:val="21"/>
          <w:szCs w:val="21"/>
        </w:rPr>
        <w:t>5.1. Trois relances / questions pièges</w:t>
      </w:r>
    </w:p>
    <w:p w14:paraId="6041E15C"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La Charte s’applique-t-elle à tout litige devant un juge national ? »</w:t>
      </w:r>
      <w:r>
        <w:rPr>
          <w:rFonts w:ascii="Calibri" w:eastAsia="Calibri" w:hAnsi="Calibri" w:cs="Calibri"/>
          <w:color w:val="1A1A1A"/>
        </w:rPr>
        <w:t xml:space="preserve"> — Non. Elle ne lie les États que lorsqu’ils </w:t>
      </w:r>
      <w:r>
        <w:rPr>
          <w:rFonts w:ascii="Calibri" w:eastAsia="Calibri" w:hAnsi="Calibri" w:cs="Calibri"/>
          <w:b/>
          <w:bCs/>
          <w:color w:val="1A1A1A"/>
        </w:rPr>
        <w:t>mettent en œuvre le droit de l’Union</w:t>
      </w:r>
      <w:r>
        <w:rPr>
          <w:rFonts w:ascii="Calibri" w:eastAsia="Calibri" w:hAnsi="Calibri" w:cs="Calibri"/>
          <w:color w:val="1A1A1A"/>
        </w:rPr>
        <w:t xml:space="preserve"> (</w:t>
      </w:r>
      <w:r>
        <w:rPr>
          <w:rFonts w:ascii="Calibri" w:eastAsia="Calibri" w:hAnsi="Calibri" w:cs="Calibri"/>
          <w:color w:val="1E88E5"/>
        </w:rPr>
        <w:t>art. 51 § 1</w:t>
      </w:r>
      <w:r>
        <w:rPr>
          <w:rFonts w:ascii="Calibri" w:eastAsia="Calibri" w:hAnsi="Calibri" w:cs="Calibri"/>
          <w:color w:val="1A1A1A"/>
        </w:rPr>
        <w:t>) ; il faut un lien de rattachement suffisant, le simple voisinage des matières ou des effets indirects ne suffisant pas (</w:t>
      </w:r>
      <w:r>
        <w:rPr>
          <w:rFonts w:ascii="Calibri" w:eastAsia="Calibri" w:hAnsi="Calibri" w:cs="Calibri"/>
          <w:color w:val="E91E63"/>
        </w:rPr>
        <w:t>Siragusa</w:t>
      </w:r>
      <w:r>
        <w:rPr>
          <w:rFonts w:ascii="Calibri" w:eastAsia="Calibri" w:hAnsi="Calibri" w:cs="Calibri"/>
          <w:color w:val="1A1A1A"/>
        </w:rPr>
        <w:t>). C’est la question la plus fréquemment posée sur cette fiche.</w:t>
      </w:r>
    </w:p>
    <w:p w14:paraId="5A6F5FCF"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Un État peut-il opposer un standard constitutionnel plus protecteur au droit de l’Union ? »</w:t>
      </w:r>
      <w:r>
        <w:rPr>
          <w:rFonts w:ascii="Calibri" w:eastAsia="Calibri" w:hAnsi="Calibri" w:cs="Calibri"/>
          <w:color w:val="1A1A1A"/>
        </w:rPr>
        <w:t xml:space="preserve"> — Réponse en deux temps. En principe non, lorsque cela compromet la primauté, l’unité et l’effectivité du droit de l’Union (</w:t>
      </w:r>
      <w:r>
        <w:rPr>
          <w:rFonts w:ascii="Calibri" w:eastAsia="Calibri" w:hAnsi="Calibri" w:cs="Calibri"/>
          <w:color w:val="E91E63"/>
        </w:rPr>
        <w:t>Melloni</w:t>
      </w:r>
      <w:r>
        <w:rPr>
          <w:rFonts w:ascii="Calibri" w:eastAsia="Calibri" w:hAnsi="Calibri" w:cs="Calibri"/>
          <w:color w:val="1A1A1A"/>
        </w:rPr>
        <w:t>). Mais l’identité constitutionnelle peut être prise en compte lorsqu’elle repose sur un droit indérogeable et que la restriction est proportionnée (</w:t>
      </w:r>
      <w:r>
        <w:rPr>
          <w:rFonts w:ascii="Calibri" w:eastAsia="Calibri" w:hAnsi="Calibri" w:cs="Calibri"/>
          <w:color w:val="E91E63"/>
        </w:rPr>
        <w:t>Omega</w:t>
      </w:r>
      <w:r>
        <w:rPr>
          <w:rFonts w:ascii="Calibri" w:eastAsia="Calibri" w:hAnsi="Calibri" w:cs="Calibri"/>
          <w:color w:val="1A1A1A"/>
        </w:rPr>
        <w:t xml:space="preserve">). Le contraste </w:t>
      </w:r>
      <w:r>
        <w:rPr>
          <w:rFonts w:ascii="Calibri" w:eastAsia="Calibri" w:hAnsi="Calibri" w:cs="Calibri"/>
          <w:color w:val="E91E63"/>
        </w:rPr>
        <w:t>Omega</w:t>
      </w:r>
      <w:r>
        <w:rPr>
          <w:rFonts w:ascii="Calibri" w:eastAsia="Calibri" w:hAnsi="Calibri" w:cs="Calibri"/>
          <w:color w:val="1A1A1A"/>
        </w:rPr>
        <w:t xml:space="preserve"> / </w:t>
      </w:r>
      <w:r>
        <w:rPr>
          <w:rFonts w:ascii="Calibri" w:eastAsia="Calibri" w:hAnsi="Calibri" w:cs="Calibri"/>
          <w:color w:val="E91E63"/>
        </w:rPr>
        <w:t>Melloni</w:t>
      </w:r>
      <w:r>
        <w:rPr>
          <w:rFonts w:ascii="Calibri" w:eastAsia="Calibri" w:hAnsi="Calibri" w:cs="Calibri"/>
          <w:color w:val="1A1A1A"/>
        </w:rPr>
        <w:t xml:space="preserve"> est le cœur de la réponse attendue.</w:t>
      </w:r>
    </w:p>
    <w:p w14:paraId="7DBB7CC9"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Pourquoi l’Union n’a-t-elle toujours pas adhéré à la Convention ? »</w:t>
      </w:r>
      <w:r>
        <w:rPr>
          <w:rFonts w:ascii="Calibri" w:eastAsia="Calibri" w:hAnsi="Calibri" w:cs="Calibri"/>
          <w:color w:val="1A1A1A"/>
        </w:rPr>
        <w:t xml:space="preserve"> — Trois temps : avis 2/94 (1996, absence de compétence, comblée par Lisbonne) ; avis 2/13 (2014, sept motifs d’incompatibilité, autonomie de l’ordre juridique) ; relance (2020, accord provisoire de 2023, demande d’avis 1/25 du 21 novembre 2025, pendante). Conclure sur la tension entre </w:t>
      </w:r>
      <w:r>
        <w:rPr>
          <w:rFonts w:ascii="Calibri" w:eastAsia="Calibri" w:hAnsi="Calibri" w:cs="Calibri"/>
          <w:b/>
          <w:bCs/>
          <w:color w:val="1A1A1A"/>
        </w:rPr>
        <w:t>contrôle externe</w:t>
      </w:r>
      <w:r>
        <w:rPr>
          <w:rFonts w:ascii="Calibri" w:eastAsia="Calibri" w:hAnsi="Calibri" w:cs="Calibri"/>
          <w:color w:val="1A1A1A"/>
        </w:rPr>
        <w:t xml:space="preserve"> et </w:t>
      </w:r>
      <w:r>
        <w:rPr>
          <w:rFonts w:ascii="Calibri" w:eastAsia="Calibri" w:hAnsi="Calibri" w:cs="Calibri"/>
          <w:b/>
          <w:bCs/>
          <w:color w:val="1A1A1A"/>
        </w:rPr>
        <w:t>autonomie</w:t>
      </w:r>
      <w:r>
        <w:rPr>
          <w:rFonts w:ascii="Calibri" w:eastAsia="Calibri" w:hAnsi="Calibri" w:cs="Calibri"/>
          <w:color w:val="1A1A1A"/>
        </w:rPr>
        <w:t>.</w:t>
      </w:r>
    </w:p>
    <w:p w14:paraId="1CAF1D23" w14:textId="77777777" w:rsidR="00E0256F" w:rsidRDefault="00000000">
      <w:pPr>
        <w:pStyle w:val="Titre3"/>
        <w:spacing w:before="200" w:after="90"/>
      </w:pPr>
      <w:r>
        <w:rPr>
          <w:rFonts w:ascii="Calibri" w:eastAsia="Calibri" w:hAnsi="Calibri" w:cs="Calibri"/>
          <w:b/>
          <w:bCs/>
          <w:i/>
          <w:iCs/>
          <w:color w:val="5A5A5A"/>
          <w:sz w:val="21"/>
          <w:szCs w:val="21"/>
        </w:rPr>
        <w:t>5.2. Sujets d’exposé rattachables</w:t>
      </w:r>
    </w:p>
    <w:p w14:paraId="04FD93C5"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Le décalage entre le discours de l’Union sur les droits humains et sa pratique en matière migratoire, de lutte contre les discriminations et de protection de l’État de droit » (sujet d’argumentation expressément proposé par le fascicule).</w:t>
      </w:r>
    </w:p>
    <w:p w14:paraId="0F1AAE0F"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L’Union européenne protège-t-elle les droits fondamentaux ? » ; « La Charte des droits fondamentaux ».</w:t>
      </w:r>
    </w:p>
    <w:p w14:paraId="0D941F7D"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L’adhésion de l’Union à la Convention européenne des droits de l’homme » ; « Identité constitutionnelle et primauté ».</w:t>
      </w:r>
    </w:p>
    <w:p w14:paraId="0688AE12" w14:textId="77777777" w:rsidR="00E0256F" w:rsidRDefault="00000000">
      <w:pPr>
        <w:pStyle w:val="Paragraphedeliste"/>
        <w:numPr>
          <w:ilvl w:val="0"/>
          <w:numId w:val="2"/>
        </w:numPr>
        <w:spacing w:after="70" w:line="264" w:lineRule="auto"/>
        <w:jc w:val="both"/>
      </w:pPr>
      <w:r>
        <w:rPr>
          <w:rFonts w:ascii="Calibri" w:eastAsia="Calibri" w:hAnsi="Calibri" w:cs="Calibri"/>
          <w:color w:val="1A1A1A"/>
        </w:rPr>
        <w:t>« Libertés économiques et droits sociaux dans l’Union » ; « Le dialogue des juges européens ».</w:t>
      </w:r>
    </w:p>
    <w:p w14:paraId="448A89BB" w14:textId="77777777" w:rsidR="00E0256F" w:rsidRDefault="00000000">
      <w:pPr>
        <w:pStyle w:val="Titre3"/>
        <w:spacing w:before="200" w:after="90"/>
      </w:pPr>
      <w:r>
        <w:rPr>
          <w:rFonts w:ascii="Calibri" w:eastAsia="Calibri" w:hAnsi="Calibri" w:cs="Calibri"/>
          <w:b/>
          <w:bCs/>
          <w:i/>
          <w:iCs/>
          <w:color w:val="5A5A5A"/>
          <w:sz w:val="21"/>
          <w:szCs w:val="21"/>
        </w:rPr>
        <w:t>5.3. Angles morts — en question / réponse</w:t>
      </w:r>
    </w:p>
    <w:p w14:paraId="11D2B6AF"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Q. Quand la Charte est-elle devenue contraignante ?</w:t>
      </w:r>
      <w:r>
        <w:rPr>
          <w:rFonts w:ascii="Calibri" w:eastAsia="Calibri" w:hAnsi="Calibri" w:cs="Calibri"/>
          <w:color w:val="1A1A1A"/>
        </w:rPr>
        <w:t xml:space="preserve"> — Le </w:t>
      </w:r>
      <w:r>
        <w:rPr>
          <w:rFonts w:ascii="Calibri" w:eastAsia="Calibri" w:hAnsi="Calibri" w:cs="Calibri"/>
          <w:b/>
          <w:bCs/>
          <w:color w:val="1A1A1A"/>
        </w:rPr>
        <w:t>1er décembre 2009</w:t>
      </w:r>
      <w:r>
        <w:rPr>
          <w:rFonts w:ascii="Calibri" w:eastAsia="Calibri" w:hAnsi="Calibri" w:cs="Calibri"/>
          <w:color w:val="1A1A1A"/>
        </w:rPr>
        <w:t xml:space="preserve">, avec l’entrée en vigueur du traité de Lisbonne. Elle a été </w:t>
      </w:r>
      <w:r>
        <w:rPr>
          <w:rFonts w:ascii="Calibri" w:eastAsia="Calibri" w:hAnsi="Calibri" w:cs="Calibri"/>
          <w:b/>
          <w:bCs/>
          <w:color w:val="1A1A1A"/>
        </w:rPr>
        <w:t>adoptée</w:t>
      </w:r>
      <w:r>
        <w:rPr>
          <w:rFonts w:ascii="Calibri" w:eastAsia="Calibri" w:hAnsi="Calibri" w:cs="Calibri"/>
          <w:color w:val="1A1A1A"/>
        </w:rPr>
        <w:t xml:space="preserve"> le 7 décembre 2000 et </w:t>
      </w:r>
      <w:r>
        <w:rPr>
          <w:rFonts w:ascii="Calibri" w:eastAsia="Calibri" w:hAnsi="Calibri" w:cs="Calibri"/>
          <w:b/>
          <w:bCs/>
          <w:color w:val="1A1A1A"/>
        </w:rPr>
        <w:t>adaptée</w:t>
      </w:r>
      <w:r>
        <w:rPr>
          <w:rFonts w:ascii="Calibri" w:eastAsia="Calibri" w:hAnsi="Calibri" w:cs="Calibri"/>
          <w:color w:val="1A1A1A"/>
        </w:rPr>
        <w:t xml:space="preserve"> le 12 décembre 2007 : trois dates distinctes.</w:t>
      </w:r>
    </w:p>
    <w:p w14:paraId="5BB712B1"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xml:space="preserve">Q. </w:t>
      </w:r>
      <w:r>
        <w:rPr>
          <w:rFonts w:ascii="Calibri" w:eastAsia="Calibri" w:hAnsi="Calibri" w:cs="Calibri"/>
          <w:b/>
          <w:bCs/>
          <w:color w:val="E91E63"/>
        </w:rPr>
        <w:t>Solange I</w:t>
      </w:r>
      <w:r>
        <w:rPr>
          <w:rFonts w:ascii="Calibri" w:eastAsia="Calibri" w:hAnsi="Calibri" w:cs="Calibri"/>
          <w:b/>
          <w:bCs/>
          <w:color w:val="1A1A1A"/>
        </w:rPr>
        <w:t xml:space="preserve"> émane-t-il de la Cour de justice ?</w:t>
      </w:r>
      <w:r>
        <w:rPr>
          <w:rFonts w:ascii="Calibri" w:eastAsia="Calibri" w:hAnsi="Calibri" w:cs="Calibri"/>
          <w:color w:val="1A1A1A"/>
        </w:rPr>
        <w:t xml:space="preserve"> — Non : du </w:t>
      </w:r>
      <w:r>
        <w:rPr>
          <w:rFonts w:ascii="Calibri" w:eastAsia="Calibri" w:hAnsi="Calibri" w:cs="Calibri"/>
          <w:b/>
          <w:bCs/>
          <w:color w:val="1A1A1A"/>
        </w:rPr>
        <w:t>Tribunal constitutionnel allemand</w:t>
      </w:r>
      <w:r>
        <w:rPr>
          <w:rFonts w:ascii="Calibri" w:eastAsia="Calibri" w:hAnsi="Calibri" w:cs="Calibri"/>
          <w:color w:val="1A1A1A"/>
        </w:rPr>
        <w:t xml:space="preserve"> de Karlsruhe, le 29 mai 1974. C’est une décision de résistance nationale, non une décision européenne.</w:t>
      </w:r>
    </w:p>
    <w:p w14:paraId="1954F635"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 xml:space="preserve">Q. </w:t>
      </w:r>
      <w:r>
        <w:rPr>
          <w:rFonts w:ascii="Calibri" w:eastAsia="Calibri" w:hAnsi="Calibri" w:cs="Calibri"/>
          <w:b/>
          <w:bCs/>
          <w:color w:val="E91E63"/>
        </w:rPr>
        <w:t>Omega</w:t>
      </w:r>
      <w:r>
        <w:rPr>
          <w:rFonts w:ascii="Calibri" w:eastAsia="Calibri" w:hAnsi="Calibri" w:cs="Calibri"/>
          <w:b/>
          <w:bCs/>
          <w:color w:val="1A1A1A"/>
        </w:rPr>
        <w:t xml:space="preserve"> et </w:t>
      </w:r>
      <w:r>
        <w:rPr>
          <w:rFonts w:ascii="Calibri" w:eastAsia="Calibri" w:hAnsi="Calibri" w:cs="Calibri"/>
          <w:b/>
          <w:bCs/>
          <w:color w:val="E91E63"/>
        </w:rPr>
        <w:t>Melloni</w:t>
      </w:r>
      <w:r>
        <w:rPr>
          <w:rFonts w:ascii="Calibri" w:eastAsia="Calibri" w:hAnsi="Calibri" w:cs="Calibri"/>
          <w:b/>
          <w:bCs/>
          <w:color w:val="1A1A1A"/>
        </w:rPr>
        <w:t xml:space="preserve"> se contredisent-ils ?</w:t>
      </w:r>
      <w:r>
        <w:rPr>
          <w:rFonts w:ascii="Calibri" w:eastAsia="Calibri" w:hAnsi="Calibri" w:cs="Calibri"/>
          <w:color w:val="1A1A1A"/>
        </w:rPr>
        <w:t xml:space="preserve"> — Non, ils se complètent : </w:t>
      </w:r>
      <w:r>
        <w:rPr>
          <w:rFonts w:ascii="Calibri" w:eastAsia="Calibri" w:hAnsi="Calibri" w:cs="Calibri"/>
          <w:color w:val="E91E63"/>
        </w:rPr>
        <w:t>Omega</w:t>
      </w:r>
      <w:r>
        <w:rPr>
          <w:rFonts w:ascii="Calibri" w:eastAsia="Calibri" w:hAnsi="Calibri" w:cs="Calibri"/>
          <w:color w:val="1A1A1A"/>
        </w:rPr>
        <w:t xml:space="preserve"> admet la prise en compte de l’identité constitutionnelle face à une liberté de circulation ; </w:t>
      </w:r>
      <w:r>
        <w:rPr>
          <w:rFonts w:ascii="Calibri" w:eastAsia="Calibri" w:hAnsi="Calibri" w:cs="Calibri"/>
          <w:color w:val="E91E63"/>
        </w:rPr>
        <w:t>Melloni</w:t>
      </w:r>
      <w:r>
        <w:rPr>
          <w:rFonts w:ascii="Calibri" w:eastAsia="Calibri" w:hAnsi="Calibri" w:cs="Calibri"/>
          <w:color w:val="1A1A1A"/>
        </w:rPr>
        <w:t xml:space="preserve"> la refuse lorsque la mesure met en œuvre un instrument d’harmonisation et compromet l’uniformité du droit de l’Union.</w:t>
      </w:r>
    </w:p>
    <w:p w14:paraId="6B7603ED"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Q. La citoyenneté de l’Union date-t-elle de Lisbonne ?</w:t>
      </w:r>
      <w:r>
        <w:rPr>
          <w:rFonts w:ascii="Calibri" w:eastAsia="Calibri" w:hAnsi="Calibri" w:cs="Calibri"/>
          <w:color w:val="1A1A1A"/>
        </w:rPr>
        <w:t xml:space="preserve"> — Non : de </w:t>
      </w:r>
      <w:r>
        <w:rPr>
          <w:rFonts w:ascii="Calibri" w:eastAsia="Calibri" w:hAnsi="Calibri" w:cs="Calibri"/>
          <w:b/>
          <w:bCs/>
          <w:color w:val="1A1A1A"/>
        </w:rPr>
        <w:t>Maastricht</w:t>
      </w:r>
      <w:r>
        <w:rPr>
          <w:rFonts w:ascii="Calibri" w:eastAsia="Calibri" w:hAnsi="Calibri" w:cs="Calibri"/>
          <w:color w:val="1A1A1A"/>
        </w:rPr>
        <w:t>. Lisbonne apporte la Charte contraignante et l’obligation d’adhésion à la Convention.</w:t>
      </w:r>
    </w:p>
    <w:p w14:paraId="29818F8A"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Q. Le Médiateur européen peut-il être saisi de tout acte des institutions ?</w:t>
      </w:r>
      <w:r>
        <w:rPr>
          <w:rFonts w:ascii="Calibri" w:eastAsia="Calibri" w:hAnsi="Calibri" w:cs="Calibri"/>
          <w:color w:val="1A1A1A"/>
        </w:rPr>
        <w:t xml:space="preserve"> — Il connaît des cas de mauvaise administration, </w:t>
      </w:r>
      <w:r>
        <w:rPr>
          <w:rFonts w:ascii="Calibri" w:eastAsia="Calibri" w:hAnsi="Calibri" w:cs="Calibri"/>
          <w:b/>
          <w:bCs/>
          <w:color w:val="1A1A1A"/>
        </w:rPr>
        <w:t>à l’exception</w:t>
      </w:r>
      <w:r>
        <w:rPr>
          <w:rFonts w:ascii="Calibri" w:eastAsia="Calibri" w:hAnsi="Calibri" w:cs="Calibri"/>
          <w:color w:val="1A1A1A"/>
        </w:rPr>
        <w:t xml:space="preserve"> de la Cour de justice dans l’exercice de ses fonctions juridictionnelles. Le droit de pétition devant le Parlement européen est prévu à l’</w:t>
      </w:r>
      <w:r>
        <w:rPr>
          <w:rFonts w:ascii="Calibri" w:eastAsia="Calibri" w:hAnsi="Calibri" w:cs="Calibri"/>
          <w:color w:val="1E88E5"/>
        </w:rPr>
        <w:t>art. 44 de la Charte</w:t>
      </w:r>
      <w:r>
        <w:rPr>
          <w:rFonts w:ascii="Calibri" w:eastAsia="Calibri" w:hAnsi="Calibri" w:cs="Calibri"/>
          <w:color w:val="1A1A1A"/>
        </w:rPr>
        <w:t xml:space="preserve"> ; vérifier la numérotation exacte des articles 43 et 44 avant de les citer, les supports de préparation les intervertissent fréquemment.</w:t>
      </w:r>
    </w:p>
    <w:p w14:paraId="6A6C5EF2"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Q. Le droit de circulation et de séjour figure-t-il à l’article 18 TUE ?</w:t>
      </w:r>
      <w:r>
        <w:rPr>
          <w:rFonts w:ascii="Calibri" w:eastAsia="Calibri" w:hAnsi="Calibri" w:cs="Calibri"/>
          <w:color w:val="1A1A1A"/>
        </w:rPr>
        <w:t xml:space="preserve"> — Attention : la liberté de circulation et de séjour des citoyens de l’Union est consacrée à l’</w:t>
      </w:r>
      <w:r>
        <w:rPr>
          <w:rFonts w:ascii="Calibri" w:eastAsia="Calibri" w:hAnsi="Calibri" w:cs="Calibri"/>
          <w:color w:val="1E88E5"/>
        </w:rPr>
        <w:t>art. 21 TFUE</w:t>
      </w:r>
      <w:r>
        <w:rPr>
          <w:rFonts w:ascii="Calibri" w:eastAsia="Calibri" w:hAnsi="Calibri" w:cs="Calibri"/>
          <w:color w:val="1A1A1A"/>
        </w:rPr>
        <w:t>, l’</w:t>
      </w:r>
      <w:r>
        <w:rPr>
          <w:rFonts w:ascii="Calibri" w:eastAsia="Calibri" w:hAnsi="Calibri" w:cs="Calibri"/>
          <w:color w:val="1E88E5"/>
        </w:rPr>
        <w:t>art. 18 TFUE</w:t>
      </w:r>
      <w:r>
        <w:rPr>
          <w:rFonts w:ascii="Calibri" w:eastAsia="Calibri" w:hAnsi="Calibri" w:cs="Calibri"/>
          <w:color w:val="1A1A1A"/>
        </w:rPr>
        <w:t xml:space="preserve"> portant sur l’interdiction des discriminations en raison de la nationalité. Citer la substance du droit plutôt qu’un numéro incertain.</w:t>
      </w:r>
    </w:p>
    <w:p w14:paraId="5A83647F" w14:textId="77777777" w:rsidR="00E0256F" w:rsidRDefault="00000000">
      <w:r>
        <w:br w:type="page"/>
      </w:r>
    </w:p>
    <w:p w14:paraId="7DB33C44" w14:textId="77777777" w:rsidR="00E0256F"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ANNEXE — COMPLÉMENTS À LA CHRONOLOGIE ET À L’INDEX (Partie III)</w:t>
      </w:r>
    </w:p>
    <w:p w14:paraId="601BFEA1" w14:textId="77777777" w:rsidR="00E0256F" w:rsidRDefault="00000000">
      <w:pPr>
        <w:pStyle w:val="Titre2"/>
        <w:spacing w:before="280" w:after="120"/>
      </w:pPr>
      <w:r>
        <w:rPr>
          <w:rFonts w:ascii="Calibri" w:eastAsia="Calibri" w:hAnsi="Calibri" w:cs="Calibri"/>
          <w:b/>
          <w:bCs/>
          <w:color w:val="1A1A1A"/>
          <w:sz w:val="24"/>
          <w:szCs w:val="24"/>
        </w:rPr>
        <w:t>I. Ajouts à la chronologie transversale</w:t>
      </w:r>
    </w:p>
    <w:p w14:paraId="2D043EFB"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1864</w:t>
      </w:r>
      <w:r>
        <w:rPr>
          <w:rFonts w:ascii="Calibri" w:eastAsia="Calibri" w:hAnsi="Calibri" w:cs="Calibri"/>
          <w:color w:val="1A1A1A"/>
        </w:rPr>
        <w:t xml:space="preserve"> </w:t>
      </w:r>
      <w:r>
        <w:rPr>
          <w:rFonts w:ascii="Calibri" w:eastAsia="Calibri" w:hAnsi="Calibri" w:cs="Calibri"/>
          <w:color w:val="1E88E5"/>
        </w:rPr>
        <w:t>Convention de Genève</w:t>
      </w:r>
      <w:r>
        <w:rPr>
          <w:rFonts w:ascii="Calibri" w:eastAsia="Calibri" w:hAnsi="Calibri" w:cs="Calibri"/>
          <w:color w:val="1A1A1A"/>
        </w:rPr>
        <w:t xml:space="preserve"> — </w:t>
      </w:r>
      <w:r>
        <w:rPr>
          <w:rFonts w:ascii="Calibri" w:eastAsia="Calibri" w:hAnsi="Calibri" w:cs="Calibri"/>
          <w:b/>
          <w:bCs/>
          <w:color w:val="1A1A1A"/>
        </w:rPr>
        <w:t>1919</w:t>
      </w:r>
      <w:r>
        <w:rPr>
          <w:rFonts w:ascii="Calibri" w:eastAsia="Calibri" w:hAnsi="Calibri" w:cs="Calibri"/>
          <w:color w:val="1A1A1A"/>
        </w:rPr>
        <w:t xml:space="preserve"> </w:t>
      </w:r>
      <w:r>
        <w:rPr>
          <w:rFonts w:ascii="Calibri" w:eastAsia="Calibri" w:hAnsi="Calibri" w:cs="Calibri"/>
          <w:color w:val="1E88E5"/>
        </w:rPr>
        <w:t>traité de Versailles</w:t>
      </w:r>
      <w:r>
        <w:rPr>
          <w:rFonts w:ascii="Calibri" w:eastAsia="Calibri" w:hAnsi="Calibri" w:cs="Calibri"/>
          <w:color w:val="1A1A1A"/>
        </w:rPr>
        <w:t xml:space="preserve"> : SDN et OIT — </w:t>
      </w:r>
      <w:r>
        <w:rPr>
          <w:rFonts w:ascii="Calibri" w:eastAsia="Calibri" w:hAnsi="Calibri" w:cs="Calibri"/>
          <w:b/>
          <w:bCs/>
          <w:color w:val="1A1A1A"/>
        </w:rPr>
        <w:t>1945</w:t>
      </w:r>
      <w:r>
        <w:rPr>
          <w:rFonts w:ascii="Calibri" w:eastAsia="Calibri" w:hAnsi="Calibri" w:cs="Calibri"/>
          <w:color w:val="1A1A1A"/>
        </w:rPr>
        <w:t xml:space="preserve"> </w:t>
      </w:r>
      <w:r>
        <w:rPr>
          <w:rFonts w:ascii="Calibri" w:eastAsia="Calibri" w:hAnsi="Calibri" w:cs="Calibri"/>
          <w:color w:val="1E88E5"/>
        </w:rPr>
        <w:t>Charte des Nations unies</w:t>
      </w:r>
      <w:r>
        <w:rPr>
          <w:rFonts w:ascii="Calibri" w:eastAsia="Calibri" w:hAnsi="Calibri" w:cs="Calibri"/>
          <w:color w:val="1A1A1A"/>
        </w:rPr>
        <w:t xml:space="preserve"> (26 juin) — </w:t>
      </w:r>
      <w:r>
        <w:rPr>
          <w:rFonts w:ascii="Calibri" w:eastAsia="Calibri" w:hAnsi="Calibri" w:cs="Calibri"/>
          <w:b/>
          <w:bCs/>
          <w:color w:val="1A1A1A"/>
        </w:rPr>
        <w:t>1948</w:t>
      </w:r>
      <w:r>
        <w:rPr>
          <w:rFonts w:ascii="Calibri" w:eastAsia="Calibri" w:hAnsi="Calibri" w:cs="Calibri"/>
          <w:color w:val="1A1A1A"/>
        </w:rPr>
        <w:t xml:space="preserve"> </w:t>
      </w:r>
      <w:r>
        <w:rPr>
          <w:rFonts w:ascii="Calibri" w:eastAsia="Calibri" w:hAnsi="Calibri" w:cs="Calibri"/>
          <w:color w:val="1E88E5"/>
        </w:rPr>
        <w:t>DUDH</w:t>
      </w:r>
      <w:r>
        <w:rPr>
          <w:rFonts w:ascii="Calibri" w:eastAsia="Calibri" w:hAnsi="Calibri" w:cs="Calibri"/>
          <w:color w:val="1A1A1A"/>
        </w:rPr>
        <w:t xml:space="preserve"> (10 décembre) ; Congrès de La Haye (7-10 mai) — </w:t>
      </w:r>
      <w:r>
        <w:rPr>
          <w:rFonts w:ascii="Calibri" w:eastAsia="Calibri" w:hAnsi="Calibri" w:cs="Calibri"/>
          <w:b/>
          <w:bCs/>
          <w:color w:val="1A1A1A"/>
        </w:rPr>
        <w:t>1949</w:t>
      </w:r>
      <w:r>
        <w:rPr>
          <w:rFonts w:ascii="Calibri" w:eastAsia="Calibri" w:hAnsi="Calibri" w:cs="Calibri"/>
          <w:color w:val="1A1A1A"/>
        </w:rPr>
        <w:t xml:space="preserve"> </w:t>
      </w:r>
      <w:r>
        <w:rPr>
          <w:rFonts w:ascii="Calibri" w:eastAsia="Calibri" w:hAnsi="Calibri" w:cs="Calibri"/>
          <w:color w:val="1E88E5"/>
        </w:rPr>
        <w:t>Statuts du Conseil de l’Europe</w:t>
      </w:r>
      <w:r>
        <w:rPr>
          <w:rFonts w:ascii="Calibri" w:eastAsia="Calibri" w:hAnsi="Calibri" w:cs="Calibri"/>
          <w:color w:val="1A1A1A"/>
        </w:rPr>
        <w:t xml:space="preserve"> (Londres, 5 mai) — </w:t>
      </w:r>
      <w:r>
        <w:rPr>
          <w:rFonts w:ascii="Calibri" w:eastAsia="Calibri" w:hAnsi="Calibri" w:cs="Calibri"/>
          <w:b/>
          <w:bCs/>
          <w:color w:val="1A1A1A"/>
        </w:rPr>
        <w:t>1950</w:t>
      </w:r>
      <w:r>
        <w:rPr>
          <w:rFonts w:ascii="Calibri" w:eastAsia="Calibri" w:hAnsi="Calibri" w:cs="Calibri"/>
          <w:color w:val="1A1A1A"/>
        </w:rPr>
        <w:t xml:space="preserve"> </w:t>
      </w:r>
      <w:r>
        <w:rPr>
          <w:rFonts w:ascii="Calibri" w:eastAsia="Calibri" w:hAnsi="Calibri" w:cs="Calibri"/>
          <w:color w:val="1E88E5"/>
        </w:rPr>
        <w:t>CEDH</w:t>
      </w:r>
      <w:r>
        <w:rPr>
          <w:rFonts w:ascii="Calibri" w:eastAsia="Calibri" w:hAnsi="Calibri" w:cs="Calibri"/>
          <w:color w:val="1A1A1A"/>
        </w:rPr>
        <w:t xml:space="preserve"> (Rome, 4 novembre) — </w:t>
      </w:r>
      <w:r>
        <w:rPr>
          <w:rFonts w:ascii="Calibri" w:eastAsia="Calibri" w:hAnsi="Calibri" w:cs="Calibri"/>
          <w:b/>
          <w:bCs/>
          <w:color w:val="1A1A1A"/>
        </w:rPr>
        <w:t>1953</w:t>
      </w:r>
      <w:r>
        <w:rPr>
          <w:rFonts w:ascii="Calibri" w:eastAsia="Calibri" w:hAnsi="Calibri" w:cs="Calibri"/>
          <w:color w:val="1A1A1A"/>
        </w:rPr>
        <w:t xml:space="preserve"> entrée en vigueur de la CEDH (3 septembre) — </w:t>
      </w:r>
      <w:r>
        <w:rPr>
          <w:rFonts w:ascii="Calibri" w:eastAsia="Calibri" w:hAnsi="Calibri" w:cs="Calibri"/>
          <w:b/>
          <w:bCs/>
          <w:color w:val="1A1A1A"/>
        </w:rPr>
        <w:t>1959</w:t>
      </w:r>
      <w:r>
        <w:rPr>
          <w:rFonts w:ascii="Calibri" w:eastAsia="Calibri" w:hAnsi="Calibri" w:cs="Calibri"/>
          <w:color w:val="1A1A1A"/>
        </w:rPr>
        <w:t xml:space="preserve"> création de la Cour — </w:t>
      </w:r>
      <w:r>
        <w:rPr>
          <w:rFonts w:ascii="Calibri" w:eastAsia="Calibri" w:hAnsi="Calibri" w:cs="Calibri"/>
          <w:b/>
          <w:bCs/>
          <w:color w:val="1A1A1A"/>
        </w:rPr>
        <w:t>1960</w:t>
      </w:r>
      <w:r>
        <w:rPr>
          <w:rFonts w:ascii="Calibri" w:eastAsia="Calibri" w:hAnsi="Calibri" w:cs="Calibri"/>
          <w:color w:val="1A1A1A"/>
        </w:rPr>
        <w:t xml:space="preserve"> </w:t>
      </w:r>
      <w:r>
        <w:rPr>
          <w:rFonts w:ascii="Calibri" w:eastAsia="Calibri" w:hAnsi="Calibri" w:cs="Calibri"/>
          <w:color w:val="E91E63"/>
        </w:rPr>
        <w:t xml:space="preserve">CJCE, </w:t>
      </w:r>
      <w:proofErr w:type="spellStart"/>
      <w:r>
        <w:rPr>
          <w:rFonts w:ascii="Calibri" w:eastAsia="Calibri" w:hAnsi="Calibri" w:cs="Calibri"/>
          <w:color w:val="E91E63"/>
        </w:rPr>
        <w:t>Ruhrkohlen-Verkaufsgesellschaft</w:t>
      </w:r>
      <w:proofErr w:type="spellEnd"/>
      <w:r>
        <w:rPr>
          <w:rFonts w:ascii="Calibri" w:eastAsia="Calibri" w:hAnsi="Calibri" w:cs="Calibri"/>
          <w:color w:val="1A1A1A"/>
        </w:rPr>
        <w:t xml:space="preserve"> — </w:t>
      </w:r>
      <w:r>
        <w:rPr>
          <w:rFonts w:ascii="Calibri" w:eastAsia="Calibri" w:hAnsi="Calibri" w:cs="Calibri"/>
          <w:b/>
          <w:bCs/>
          <w:color w:val="1A1A1A"/>
        </w:rPr>
        <w:t>1961</w:t>
      </w:r>
      <w:r>
        <w:rPr>
          <w:rFonts w:ascii="Calibri" w:eastAsia="Calibri" w:hAnsi="Calibri" w:cs="Calibri"/>
          <w:color w:val="1A1A1A"/>
        </w:rPr>
        <w:t xml:space="preserve"> </w:t>
      </w:r>
      <w:r>
        <w:rPr>
          <w:rFonts w:ascii="Calibri" w:eastAsia="Calibri" w:hAnsi="Calibri" w:cs="Calibri"/>
          <w:color w:val="1E88E5"/>
        </w:rPr>
        <w:t>Charte sociale européenne</w:t>
      </w:r>
      <w:r>
        <w:rPr>
          <w:rFonts w:ascii="Calibri" w:eastAsia="Calibri" w:hAnsi="Calibri" w:cs="Calibri"/>
          <w:color w:val="1A1A1A"/>
        </w:rPr>
        <w:t xml:space="preserve"> (Turin, 18 octobre) ; </w:t>
      </w:r>
      <w:r>
        <w:rPr>
          <w:rFonts w:ascii="Calibri" w:eastAsia="Calibri" w:hAnsi="Calibri" w:cs="Calibri"/>
          <w:color w:val="E91E63"/>
        </w:rPr>
        <w:t>CEDH, Autriche c. Italie</w:t>
      </w:r>
      <w:r>
        <w:rPr>
          <w:rFonts w:ascii="Calibri" w:eastAsia="Calibri" w:hAnsi="Calibri" w:cs="Calibri"/>
          <w:color w:val="1A1A1A"/>
        </w:rPr>
        <w:t xml:space="preserve"> ; </w:t>
      </w:r>
      <w:r>
        <w:rPr>
          <w:rFonts w:ascii="Calibri" w:eastAsia="Calibri" w:hAnsi="Calibri" w:cs="Calibri"/>
          <w:color w:val="E91E63"/>
        </w:rPr>
        <w:t>CEDH, Lawless c. Irlande</w:t>
      </w:r>
      <w:r>
        <w:rPr>
          <w:rFonts w:ascii="Calibri" w:eastAsia="Calibri" w:hAnsi="Calibri" w:cs="Calibri"/>
          <w:color w:val="1A1A1A"/>
        </w:rPr>
        <w:t>.</w:t>
      </w:r>
    </w:p>
    <w:p w14:paraId="16F0EA85"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1932</w:t>
      </w:r>
      <w:r>
        <w:rPr>
          <w:rFonts w:ascii="Calibri" w:eastAsia="Calibri" w:hAnsi="Calibri" w:cs="Calibri"/>
          <w:color w:val="1A1A1A"/>
        </w:rPr>
        <w:t xml:space="preserve"> </w:t>
      </w:r>
      <w:r>
        <w:rPr>
          <w:rFonts w:ascii="Calibri" w:eastAsia="Calibri" w:hAnsi="Calibri" w:cs="Calibri"/>
          <w:color w:val="E91E63"/>
        </w:rPr>
        <w:t>CPJI, Nationaux polonais à Dantzig</w:t>
      </w:r>
      <w:r>
        <w:rPr>
          <w:rFonts w:ascii="Calibri" w:eastAsia="Calibri" w:hAnsi="Calibri" w:cs="Calibri"/>
          <w:color w:val="1A1A1A"/>
        </w:rPr>
        <w:t xml:space="preserve"> — </w:t>
      </w:r>
      <w:r>
        <w:rPr>
          <w:rFonts w:ascii="Calibri" w:eastAsia="Calibri" w:hAnsi="Calibri" w:cs="Calibri"/>
          <w:b/>
          <w:bCs/>
          <w:color w:val="1A1A1A"/>
        </w:rPr>
        <w:t>1951</w:t>
      </w:r>
      <w:r>
        <w:rPr>
          <w:rFonts w:ascii="Calibri" w:eastAsia="Calibri" w:hAnsi="Calibri" w:cs="Calibri"/>
          <w:color w:val="1A1A1A"/>
        </w:rPr>
        <w:t xml:space="preserve"> </w:t>
      </w:r>
      <w:r>
        <w:rPr>
          <w:rFonts w:ascii="Calibri" w:eastAsia="Calibri" w:hAnsi="Calibri" w:cs="Calibri"/>
          <w:color w:val="E91E63"/>
        </w:rPr>
        <w:t>CE, Élections de Nolay</w:t>
      </w:r>
      <w:r>
        <w:rPr>
          <w:rFonts w:ascii="Calibri" w:eastAsia="Calibri" w:hAnsi="Calibri" w:cs="Calibri"/>
          <w:color w:val="1A1A1A"/>
        </w:rPr>
        <w:t xml:space="preserve"> — </w:t>
      </w:r>
      <w:r>
        <w:rPr>
          <w:rFonts w:ascii="Calibri" w:eastAsia="Calibri" w:hAnsi="Calibri" w:cs="Calibri"/>
          <w:b/>
          <w:bCs/>
          <w:color w:val="1A1A1A"/>
        </w:rPr>
        <w:t>1965</w:t>
      </w:r>
      <w:r>
        <w:rPr>
          <w:rFonts w:ascii="Calibri" w:eastAsia="Calibri" w:hAnsi="Calibri" w:cs="Calibri"/>
          <w:color w:val="1A1A1A"/>
        </w:rPr>
        <w:t xml:space="preserve"> </w:t>
      </w:r>
      <w:r>
        <w:rPr>
          <w:rFonts w:ascii="Calibri" w:eastAsia="Calibri" w:hAnsi="Calibri" w:cs="Calibri"/>
          <w:color w:val="1E88E5"/>
        </w:rPr>
        <w:t>Convention sur l’élimination de la discrimination raciale</w:t>
      </w:r>
      <w:r>
        <w:rPr>
          <w:rFonts w:ascii="Calibri" w:eastAsia="Calibri" w:hAnsi="Calibri" w:cs="Calibri"/>
          <w:color w:val="1A1A1A"/>
        </w:rPr>
        <w:t xml:space="preserve"> (21 décembre) — </w:t>
      </w:r>
      <w:r>
        <w:rPr>
          <w:rFonts w:ascii="Calibri" w:eastAsia="Calibri" w:hAnsi="Calibri" w:cs="Calibri"/>
          <w:b/>
          <w:bCs/>
          <w:color w:val="1A1A1A"/>
        </w:rPr>
        <w:t>1966</w:t>
      </w:r>
      <w:r>
        <w:rPr>
          <w:rFonts w:ascii="Calibri" w:eastAsia="Calibri" w:hAnsi="Calibri" w:cs="Calibri"/>
          <w:color w:val="1A1A1A"/>
        </w:rPr>
        <w:t xml:space="preserve"> </w:t>
      </w:r>
      <w:r>
        <w:rPr>
          <w:rFonts w:ascii="Calibri" w:eastAsia="Calibri" w:hAnsi="Calibri" w:cs="Calibri"/>
          <w:color w:val="1E88E5"/>
        </w:rPr>
        <w:t>PIDCP</w:t>
      </w:r>
      <w:r>
        <w:rPr>
          <w:rFonts w:ascii="Calibri" w:eastAsia="Calibri" w:hAnsi="Calibri" w:cs="Calibri"/>
          <w:color w:val="1A1A1A"/>
        </w:rPr>
        <w:t xml:space="preserve"> et </w:t>
      </w:r>
      <w:r>
        <w:rPr>
          <w:rFonts w:ascii="Calibri" w:eastAsia="Calibri" w:hAnsi="Calibri" w:cs="Calibri"/>
          <w:color w:val="1E88E5"/>
        </w:rPr>
        <w:t>PIDESC</w:t>
      </w:r>
      <w:r>
        <w:rPr>
          <w:rFonts w:ascii="Calibri" w:eastAsia="Calibri" w:hAnsi="Calibri" w:cs="Calibri"/>
          <w:color w:val="1A1A1A"/>
        </w:rPr>
        <w:t xml:space="preserve"> (16 décembre) — </w:t>
      </w:r>
      <w:r>
        <w:rPr>
          <w:rFonts w:ascii="Calibri" w:eastAsia="Calibri" w:hAnsi="Calibri" w:cs="Calibri"/>
          <w:b/>
          <w:bCs/>
          <w:color w:val="1A1A1A"/>
        </w:rPr>
        <w:t>1968</w:t>
      </w:r>
      <w:r>
        <w:rPr>
          <w:rFonts w:ascii="Calibri" w:eastAsia="Calibri" w:hAnsi="Calibri" w:cs="Calibri"/>
          <w:color w:val="1A1A1A"/>
        </w:rPr>
        <w:t xml:space="preserve"> </w:t>
      </w:r>
      <w:r>
        <w:rPr>
          <w:rFonts w:ascii="Calibri" w:eastAsia="Calibri" w:hAnsi="Calibri" w:cs="Calibri"/>
          <w:color w:val="E91E63"/>
        </w:rPr>
        <w:t>CEDH, Affaire linguistique belge</w:t>
      </w:r>
      <w:r>
        <w:rPr>
          <w:rFonts w:ascii="Calibri" w:eastAsia="Calibri" w:hAnsi="Calibri" w:cs="Calibri"/>
          <w:color w:val="1A1A1A"/>
        </w:rPr>
        <w:t xml:space="preserve"> ; </w:t>
      </w:r>
      <w:r>
        <w:rPr>
          <w:rFonts w:ascii="Calibri" w:eastAsia="Calibri" w:hAnsi="Calibri" w:cs="Calibri"/>
          <w:color w:val="E91E63"/>
        </w:rPr>
        <w:t>CEDH, Wemhoff</w:t>
      </w:r>
      <w:r>
        <w:rPr>
          <w:rFonts w:ascii="Calibri" w:eastAsia="Calibri" w:hAnsi="Calibri" w:cs="Calibri"/>
          <w:color w:val="1A1A1A"/>
        </w:rPr>
        <w:t xml:space="preserve"> ; </w:t>
      </w:r>
      <w:r>
        <w:rPr>
          <w:rFonts w:ascii="Calibri" w:eastAsia="Calibri" w:hAnsi="Calibri" w:cs="Calibri"/>
          <w:color w:val="1E88E5"/>
        </w:rPr>
        <w:t>Convention sur l’imprescriptibilité des crimes de guerre</w:t>
      </w:r>
      <w:r>
        <w:rPr>
          <w:rFonts w:ascii="Calibri" w:eastAsia="Calibri" w:hAnsi="Calibri" w:cs="Calibri"/>
          <w:color w:val="1A1A1A"/>
        </w:rPr>
        <w:t xml:space="preserve"> (26 novembre) — </w:t>
      </w:r>
      <w:r>
        <w:rPr>
          <w:rFonts w:ascii="Calibri" w:eastAsia="Calibri" w:hAnsi="Calibri" w:cs="Calibri"/>
          <w:b/>
          <w:bCs/>
          <w:color w:val="1A1A1A"/>
        </w:rPr>
        <w:t>1969</w:t>
      </w:r>
      <w:r>
        <w:rPr>
          <w:rFonts w:ascii="Calibri" w:eastAsia="Calibri" w:hAnsi="Calibri" w:cs="Calibri"/>
          <w:color w:val="1A1A1A"/>
        </w:rPr>
        <w:t xml:space="preserve"> </w:t>
      </w:r>
      <w:r>
        <w:rPr>
          <w:rFonts w:ascii="Calibri" w:eastAsia="Calibri" w:hAnsi="Calibri" w:cs="Calibri"/>
          <w:color w:val="1E88E5"/>
        </w:rPr>
        <w:t>Convention américaine relative aux droits de l’homme</w:t>
      </w:r>
      <w:r>
        <w:rPr>
          <w:rFonts w:ascii="Calibri" w:eastAsia="Calibri" w:hAnsi="Calibri" w:cs="Calibri"/>
          <w:color w:val="1A1A1A"/>
        </w:rPr>
        <w:t xml:space="preserve"> (22 novembre) ; </w:t>
      </w:r>
      <w:r>
        <w:rPr>
          <w:rFonts w:ascii="Calibri" w:eastAsia="Calibri" w:hAnsi="Calibri" w:cs="Calibri"/>
          <w:color w:val="1E88E5"/>
        </w:rPr>
        <w:t>Convention de Vienne sur le droit des traités</w:t>
      </w:r>
      <w:r>
        <w:rPr>
          <w:rFonts w:ascii="Calibri" w:eastAsia="Calibri" w:hAnsi="Calibri" w:cs="Calibri"/>
          <w:color w:val="1A1A1A"/>
        </w:rPr>
        <w:t xml:space="preserve"> — </w:t>
      </w:r>
      <w:r>
        <w:rPr>
          <w:rFonts w:ascii="Calibri" w:eastAsia="Calibri" w:hAnsi="Calibri" w:cs="Calibri"/>
          <w:b/>
          <w:bCs/>
          <w:color w:val="1A1A1A"/>
        </w:rPr>
        <w:t>1970</w:t>
      </w:r>
      <w:r>
        <w:rPr>
          <w:rFonts w:ascii="Calibri" w:eastAsia="Calibri" w:hAnsi="Calibri" w:cs="Calibri"/>
          <w:color w:val="1A1A1A"/>
        </w:rPr>
        <w:t xml:space="preserve"> </w:t>
      </w:r>
      <w:r>
        <w:rPr>
          <w:rFonts w:ascii="Calibri" w:eastAsia="Calibri" w:hAnsi="Calibri" w:cs="Calibri"/>
          <w:color w:val="E91E63"/>
        </w:rPr>
        <w:t>CJCE, Internationale Handelsgesellschaft</w:t>
      </w:r>
      <w:r>
        <w:rPr>
          <w:rFonts w:ascii="Calibri" w:eastAsia="Calibri" w:hAnsi="Calibri" w:cs="Calibri"/>
          <w:color w:val="1A1A1A"/>
        </w:rPr>
        <w:t xml:space="preserve"> — </w:t>
      </w:r>
      <w:r>
        <w:rPr>
          <w:rFonts w:ascii="Calibri" w:eastAsia="Calibri" w:hAnsi="Calibri" w:cs="Calibri"/>
          <w:b/>
          <w:bCs/>
          <w:color w:val="1A1A1A"/>
        </w:rPr>
        <w:t>1974</w:t>
      </w:r>
      <w:r>
        <w:rPr>
          <w:rFonts w:ascii="Calibri" w:eastAsia="Calibri" w:hAnsi="Calibri" w:cs="Calibri"/>
          <w:color w:val="1A1A1A"/>
        </w:rPr>
        <w:t xml:space="preserve"> </w:t>
      </w:r>
      <w:r>
        <w:rPr>
          <w:rFonts w:ascii="Calibri" w:eastAsia="Calibri" w:hAnsi="Calibri" w:cs="Calibri"/>
          <w:color w:val="E91E63"/>
        </w:rPr>
        <w:t>Karlsruhe, Solange I</w:t>
      </w:r>
      <w:r>
        <w:rPr>
          <w:rFonts w:ascii="Calibri" w:eastAsia="Calibri" w:hAnsi="Calibri" w:cs="Calibri"/>
          <w:color w:val="1A1A1A"/>
        </w:rPr>
        <w:t xml:space="preserve"> (29 mai) ; ratification de la CEDH par la France (3 mai) — </w:t>
      </w:r>
      <w:r>
        <w:rPr>
          <w:rFonts w:ascii="Calibri" w:eastAsia="Calibri" w:hAnsi="Calibri" w:cs="Calibri"/>
          <w:b/>
          <w:bCs/>
          <w:color w:val="1A1A1A"/>
        </w:rPr>
        <w:t>1975</w:t>
      </w:r>
      <w:r>
        <w:rPr>
          <w:rFonts w:ascii="Calibri" w:eastAsia="Calibri" w:hAnsi="Calibri" w:cs="Calibri"/>
          <w:color w:val="1A1A1A"/>
        </w:rPr>
        <w:t xml:space="preserve"> </w:t>
      </w:r>
      <w:r>
        <w:rPr>
          <w:rFonts w:ascii="Calibri" w:eastAsia="Calibri" w:hAnsi="Calibri" w:cs="Calibri"/>
          <w:color w:val="E91E63"/>
        </w:rPr>
        <w:t>Cass. crim., Respino</w:t>
      </w:r>
      <w:r>
        <w:rPr>
          <w:rFonts w:ascii="Calibri" w:eastAsia="Calibri" w:hAnsi="Calibri" w:cs="Calibri"/>
          <w:color w:val="1A1A1A"/>
        </w:rPr>
        <w:t xml:space="preserve"> — </w:t>
      </w:r>
      <w:r>
        <w:rPr>
          <w:rFonts w:ascii="Calibri" w:eastAsia="Calibri" w:hAnsi="Calibri" w:cs="Calibri"/>
          <w:b/>
          <w:bCs/>
          <w:color w:val="1A1A1A"/>
        </w:rPr>
        <w:t>1976</w:t>
      </w:r>
      <w:r>
        <w:rPr>
          <w:rFonts w:ascii="Calibri" w:eastAsia="Calibri" w:hAnsi="Calibri" w:cs="Calibri"/>
          <w:color w:val="1A1A1A"/>
        </w:rPr>
        <w:t xml:space="preserve"> entrée en vigueur des deux Pactes — </w:t>
      </w:r>
      <w:r>
        <w:rPr>
          <w:rFonts w:ascii="Calibri" w:eastAsia="Calibri" w:hAnsi="Calibri" w:cs="Calibri"/>
          <w:b/>
          <w:bCs/>
          <w:color w:val="1A1A1A"/>
        </w:rPr>
        <w:t>1978</w:t>
      </w:r>
      <w:r>
        <w:rPr>
          <w:rFonts w:ascii="Calibri" w:eastAsia="Calibri" w:hAnsi="Calibri" w:cs="Calibri"/>
          <w:color w:val="1A1A1A"/>
        </w:rPr>
        <w:t xml:space="preserve"> </w:t>
      </w:r>
      <w:r>
        <w:rPr>
          <w:rFonts w:ascii="Calibri" w:eastAsia="Calibri" w:hAnsi="Calibri" w:cs="Calibri"/>
          <w:color w:val="E91E63"/>
        </w:rPr>
        <w:t>CJCE, Simmenthal</w:t>
      </w:r>
      <w:r>
        <w:rPr>
          <w:rFonts w:ascii="Calibri" w:eastAsia="Calibri" w:hAnsi="Calibri" w:cs="Calibri"/>
          <w:color w:val="1A1A1A"/>
        </w:rPr>
        <w:t xml:space="preserve"> — </w:t>
      </w:r>
      <w:r>
        <w:rPr>
          <w:rFonts w:ascii="Calibri" w:eastAsia="Calibri" w:hAnsi="Calibri" w:cs="Calibri"/>
          <w:b/>
          <w:bCs/>
          <w:color w:val="1A1A1A"/>
        </w:rPr>
        <w:t>1979</w:t>
      </w:r>
      <w:r>
        <w:rPr>
          <w:rFonts w:ascii="Calibri" w:eastAsia="Calibri" w:hAnsi="Calibri" w:cs="Calibri"/>
          <w:color w:val="1A1A1A"/>
        </w:rPr>
        <w:t xml:space="preserve"> </w:t>
      </w:r>
      <w:r>
        <w:rPr>
          <w:rFonts w:ascii="Calibri" w:eastAsia="Calibri" w:hAnsi="Calibri" w:cs="Calibri"/>
          <w:color w:val="1E88E5"/>
        </w:rPr>
        <w:t>CEDAW</w:t>
      </w:r>
      <w:r>
        <w:rPr>
          <w:rFonts w:ascii="Calibri" w:eastAsia="Calibri" w:hAnsi="Calibri" w:cs="Calibri"/>
          <w:color w:val="1A1A1A"/>
        </w:rPr>
        <w:t xml:space="preserve"> (18 décembre) — </w:t>
      </w:r>
      <w:r>
        <w:rPr>
          <w:rFonts w:ascii="Calibri" w:eastAsia="Calibri" w:hAnsi="Calibri" w:cs="Calibri"/>
          <w:b/>
          <w:bCs/>
          <w:color w:val="1A1A1A"/>
        </w:rPr>
        <w:t>1980</w:t>
      </w:r>
      <w:r>
        <w:rPr>
          <w:rFonts w:ascii="Calibri" w:eastAsia="Calibri" w:hAnsi="Calibri" w:cs="Calibri"/>
          <w:color w:val="1A1A1A"/>
        </w:rPr>
        <w:t xml:space="preserve"> ratification des Pactes par la France ; </w:t>
      </w:r>
      <w:r>
        <w:rPr>
          <w:rFonts w:ascii="Calibri" w:eastAsia="Calibri" w:hAnsi="Calibri" w:cs="Calibri"/>
          <w:color w:val="E91E63"/>
        </w:rPr>
        <w:t>CIJ, États-Unis c. Iran</w:t>
      </w:r>
      <w:r>
        <w:rPr>
          <w:rFonts w:ascii="Calibri" w:eastAsia="Calibri" w:hAnsi="Calibri" w:cs="Calibri"/>
          <w:color w:val="1A1A1A"/>
        </w:rPr>
        <w:t>.</w:t>
      </w:r>
    </w:p>
    <w:p w14:paraId="3361A0CC"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1981</w:t>
      </w:r>
      <w:r>
        <w:rPr>
          <w:rFonts w:ascii="Calibri" w:eastAsia="Calibri" w:hAnsi="Calibri" w:cs="Calibri"/>
          <w:color w:val="1A1A1A"/>
        </w:rPr>
        <w:t xml:space="preserve"> </w:t>
      </w:r>
      <w:r>
        <w:rPr>
          <w:rFonts w:ascii="Calibri" w:eastAsia="Calibri" w:hAnsi="Calibri" w:cs="Calibri"/>
          <w:color w:val="1E88E5"/>
        </w:rPr>
        <w:t>Charte africaine des droits de l’homme et des peuples</w:t>
      </w:r>
      <w:r>
        <w:rPr>
          <w:rFonts w:ascii="Calibri" w:eastAsia="Calibri" w:hAnsi="Calibri" w:cs="Calibri"/>
          <w:color w:val="1A1A1A"/>
        </w:rPr>
        <w:t xml:space="preserve"> ; </w:t>
      </w:r>
      <w:r>
        <w:rPr>
          <w:rFonts w:ascii="Calibri" w:eastAsia="Calibri" w:hAnsi="Calibri" w:cs="Calibri"/>
          <w:color w:val="1E88E5"/>
        </w:rPr>
        <w:t>Déclaration islamique universelle</w:t>
      </w:r>
      <w:r>
        <w:rPr>
          <w:rFonts w:ascii="Calibri" w:eastAsia="Calibri" w:hAnsi="Calibri" w:cs="Calibri"/>
          <w:color w:val="1A1A1A"/>
        </w:rPr>
        <w:t xml:space="preserve"> — </w:t>
      </w:r>
      <w:r>
        <w:rPr>
          <w:rFonts w:ascii="Calibri" w:eastAsia="Calibri" w:hAnsi="Calibri" w:cs="Calibri"/>
          <w:b/>
          <w:bCs/>
          <w:color w:val="1A1A1A"/>
        </w:rPr>
        <w:t>1984</w:t>
      </w:r>
      <w:r>
        <w:rPr>
          <w:rFonts w:ascii="Calibri" w:eastAsia="Calibri" w:hAnsi="Calibri" w:cs="Calibri"/>
          <w:color w:val="1A1A1A"/>
        </w:rPr>
        <w:t xml:space="preserve"> </w:t>
      </w:r>
      <w:r>
        <w:rPr>
          <w:rFonts w:ascii="Calibri" w:eastAsia="Calibri" w:hAnsi="Calibri" w:cs="Calibri"/>
          <w:color w:val="1E88E5"/>
        </w:rPr>
        <w:t>Convention contre la torture</w:t>
      </w:r>
      <w:r>
        <w:rPr>
          <w:rFonts w:ascii="Calibri" w:eastAsia="Calibri" w:hAnsi="Calibri" w:cs="Calibri"/>
          <w:color w:val="1A1A1A"/>
        </w:rPr>
        <w:t xml:space="preserve"> (10 décembre) — </w:t>
      </w:r>
      <w:r>
        <w:rPr>
          <w:rFonts w:ascii="Calibri" w:eastAsia="Calibri" w:hAnsi="Calibri" w:cs="Calibri"/>
          <w:b/>
          <w:bCs/>
          <w:color w:val="1A1A1A"/>
        </w:rPr>
        <w:t>1985</w:t>
      </w:r>
      <w:r>
        <w:rPr>
          <w:rFonts w:ascii="Calibri" w:eastAsia="Calibri" w:hAnsi="Calibri" w:cs="Calibri"/>
          <w:color w:val="1A1A1A"/>
        </w:rPr>
        <w:t xml:space="preserve"> entrée en vigueur de la Convention du Conseil de l’Europe sur les données personnelles — </w:t>
      </w:r>
      <w:r>
        <w:rPr>
          <w:rFonts w:ascii="Calibri" w:eastAsia="Calibri" w:hAnsi="Calibri" w:cs="Calibri"/>
          <w:b/>
          <w:bCs/>
          <w:color w:val="1A1A1A"/>
        </w:rPr>
        <w:t>1988</w:t>
      </w:r>
      <w:r>
        <w:rPr>
          <w:rFonts w:ascii="Calibri" w:eastAsia="Calibri" w:hAnsi="Calibri" w:cs="Calibri"/>
          <w:color w:val="1A1A1A"/>
        </w:rPr>
        <w:t xml:space="preserve"> </w:t>
      </w:r>
      <w:r>
        <w:rPr>
          <w:rFonts w:ascii="Calibri" w:eastAsia="Calibri" w:hAnsi="Calibri" w:cs="Calibri"/>
          <w:color w:val="E91E63"/>
        </w:rPr>
        <w:t>CEDH, Belilos c. Suisse</w:t>
      </w:r>
      <w:r>
        <w:rPr>
          <w:rFonts w:ascii="Calibri" w:eastAsia="Calibri" w:hAnsi="Calibri" w:cs="Calibri"/>
          <w:color w:val="1A1A1A"/>
        </w:rPr>
        <w:t xml:space="preserve"> — </w:t>
      </w:r>
      <w:r>
        <w:rPr>
          <w:rFonts w:ascii="Calibri" w:eastAsia="Calibri" w:hAnsi="Calibri" w:cs="Calibri"/>
          <w:b/>
          <w:bCs/>
          <w:color w:val="1A1A1A"/>
        </w:rPr>
        <w:t>1989</w:t>
      </w:r>
      <w:r>
        <w:rPr>
          <w:rFonts w:ascii="Calibri" w:eastAsia="Calibri" w:hAnsi="Calibri" w:cs="Calibri"/>
          <w:color w:val="1A1A1A"/>
        </w:rPr>
        <w:t xml:space="preserve"> </w:t>
      </w:r>
      <w:r>
        <w:rPr>
          <w:rFonts w:ascii="Calibri" w:eastAsia="Calibri" w:hAnsi="Calibri" w:cs="Calibri"/>
          <w:color w:val="1E88E5"/>
        </w:rPr>
        <w:t>Convention relative aux droits de l’enfant</w:t>
      </w:r>
      <w:r>
        <w:rPr>
          <w:rFonts w:ascii="Calibri" w:eastAsia="Calibri" w:hAnsi="Calibri" w:cs="Calibri"/>
          <w:color w:val="1A1A1A"/>
        </w:rPr>
        <w:t xml:space="preserve"> (20 novembre) ; </w:t>
      </w:r>
      <w:r>
        <w:rPr>
          <w:rFonts w:ascii="Calibri" w:eastAsia="Calibri" w:hAnsi="Calibri" w:cs="Calibri"/>
          <w:color w:val="E91E63"/>
        </w:rPr>
        <w:t>CJCE, Hoechst</w:t>
      </w:r>
      <w:r>
        <w:rPr>
          <w:rFonts w:ascii="Calibri" w:eastAsia="Calibri" w:hAnsi="Calibri" w:cs="Calibri"/>
          <w:color w:val="1A1A1A"/>
        </w:rPr>
        <w:t xml:space="preserve"> — </w:t>
      </w:r>
      <w:r>
        <w:rPr>
          <w:rFonts w:ascii="Calibri" w:eastAsia="Calibri" w:hAnsi="Calibri" w:cs="Calibri"/>
          <w:b/>
          <w:bCs/>
          <w:color w:val="1A1A1A"/>
        </w:rPr>
        <w:t>1990</w:t>
      </w:r>
      <w:r>
        <w:rPr>
          <w:rFonts w:ascii="Calibri" w:eastAsia="Calibri" w:hAnsi="Calibri" w:cs="Calibri"/>
          <w:color w:val="1A1A1A"/>
        </w:rPr>
        <w:t xml:space="preserve"> </w:t>
      </w:r>
      <w:r>
        <w:rPr>
          <w:rFonts w:ascii="Calibri" w:eastAsia="Calibri" w:hAnsi="Calibri" w:cs="Calibri"/>
          <w:color w:val="1E88E5"/>
        </w:rPr>
        <w:t>Convention sur les travailleurs migrants</w:t>
      </w:r>
      <w:r>
        <w:rPr>
          <w:rFonts w:ascii="Calibri" w:eastAsia="Calibri" w:hAnsi="Calibri" w:cs="Calibri"/>
          <w:color w:val="1A1A1A"/>
        </w:rPr>
        <w:t xml:space="preserve"> (18 décembre) — </w:t>
      </w:r>
      <w:r>
        <w:rPr>
          <w:rFonts w:ascii="Calibri" w:eastAsia="Calibri" w:hAnsi="Calibri" w:cs="Calibri"/>
          <w:b/>
          <w:bCs/>
          <w:color w:val="1A1A1A"/>
        </w:rPr>
        <w:t>1992</w:t>
      </w:r>
      <w:r>
        <w:rPr>
          <w:rFonts w:ascii="Calibri" w:eastAsia="Calibri" w:hAnsi="Calibri" w:cs="Calibri"/>
          <w:color w:val="1A1A1A"/>
        </w:rPr>
        <w:t xml:space="preserve"> </w:t>
      </w:r>
      <w:r>
        <w:rPr>
          <w:rFonts w:ascii="Calibri" w:eastAsia="Calibri" w:hAnsi="Calibri" w:cs="Calibri"/>
          <w:color w:val="E91E63"/>
        </w:rPr>
        <w:t xml:space="preserve">CE, </w:t>
      </w:r>
      <w:proofErr w:type="spellStart"/>
      <w:r>
        <w:rPr>
          <w:rFonts w:ascii="Calibri" w:eastAsia="Calibri" w:hAnsi="Calibri" w:cs="Calibri"/>
          <w:color w:val="E91E63"/>
        </w:rPr>
        <w:t>Larachi</w:t>
      </w:r>
      <w:proofErr w:type="spellEnd"/>
      <w:r>
        <w:rPr>
          <w:rFonts w:ascii="Calibri" w:eastAsia="Calibri" w:hAnsi="Calibri" w:cs="Calibri"/>
          <w:color w:val="1A1A1A"/>
        </w:rPr>
        <w:t xml:space="preserve"> ; </w:t>
      </w:r>
      <w:r>
        <w:rPr>
          <w:rFonts w:ascii="Calibri" w:eastAsia="Calibri" w:hAnsi="Calibri" w:cs="Calibri"/>
          <w:color w:val="E91E63"/>
        </w:rPr>
        <w:t>CEDH, Niemietz</w:t>
      </w:r>
      <w:r>
        <w:rPr>
          <w:rFonts w:ascii="Calibri" w:eastAsia="Calibri" w:hAnsi="Calibri" w:cs="Calibri"/>
          <w:color w:val="1A1A1A"/>
        </w:rPr>
        <w:t xml:space="preserve"> ; traité de Maastricht — </w:t>
      </w:r>
      <w:r>
        <w:rPr>
          <w:rFonts w:ascii="Calibri" w:eastAsia="Calibri" w:hAnsi="Calibri" w:cs="Calibri"/>
          <w:b/>
          <w:bCs/>
          <w:color w:val="1A1A1A"/>
        </w:rPr>
        <w:t>1994</w:t>
      </w:r>
      <w:r>
        <w:rPr>
          <w:rFonts w:ascii="Calibri" w:eastAsia="Calibri" w:hAnsi="Calibri" w:cs="Calibri"/>
          <w:color w:val="1A1A1A"/>
        </w:rPr>
        <w:t xml:space="preserve"> </w:t>
      </w:r>
      <w:r>
        <w:rPr>
          <w:rFonts w:ascii="Calibri" w:eastAsia="Calibri" w:hAnsi="Calibri" w:cs="Calibri"/>
          <w:color w:val="1E88E5"/>
        </w:rPr>
        <w:t>Charte arabe des droits de l’homme</w:t>
      </w:r>
      <w:r>
        <w:rPr>
          <w:rFonts w:ascii="Calibri" w:eastAsia="Calibri" w:hAnsi="Calibri" w:cs="Calibri"/>
          <w:color w:val="1A1A1A"/>
        </w:rPr>
        <w:t xml:space="preserve"> ; </w:t>
      </w:r>
      <w:r>
        <w:rPr>
          <w:rFonts w:ascii="Calibri" w:eastAsia="Calibri" w:hAnsi="Calibri" w:cs="Calibri"/>
          <w:color w:val="E91E63"/>
        </w:rPr>
        <w:t>CEDH, Lopez Ostra</w:t>
      </w:r>
      <w:r>
        <w:rPr>
          <w:rFonts w:ascii="Calibri" w:eastAsia="Calibri" w:hAnsi="Calibri" w:cs="Calibri"/>
          <w:color w:val="1A1A1A"/>
        </w:rPr>
        <w:t xml:space="preserve"> ; </w:t>
      </w:r>
      <w:r>
        <w:rPr>
          <w:rFonts w:ascii="Calibri" w:eastAsia="Calibri" w:hAnsi="Calibri" w:cs="Calibri"/>
          <w:color w:val="E91E63"/>
        </w:rPr>
        <w:t xml:space="preserve">CEDH, </w:t>
      </w:r>
      <w:proofErr w:type="spellStart"/>
      <w:r>
        <w:rPr>
          <w:rFonts w:ascii="Calibri" w:eastAsia="Calibri" w:hAnsi="Calibri" w:cs="Calibri"/>
          <w:color w:val="E91E63"/>
        </w:rPr>
        <w:t>Kemmache</w:t>
      </w:r>
      <w:proofErr w:type="spellEnd"/>
      <w:r>
        <w:rPr>
          <w:rFonts w:ascii="Calibri" w:eastAsia="Calibri" w:hAnsi="Calibri" w:cs="Calibri"/>
          <w:color w:val="1A1A1A"/>
        </w:rPr>
        <w:t xml:space="preserve"> — </w:t>
      </w:r>
      <w:r>
        <w:rPr>
          <w:rFonts w:ascii="Calibri" w:eastAsia="Calibri" w:hAnsi="Calibri" w:cs="Calibri"/>
          <w:b/>
          <w:bCs/>
          <w:color w:val="1A1A1A"/>
        </w:rPr>
        <w:t>1995</w:t>
      </w:r>
      <w:r>
        <w:rPr>
          <w:rFonts w:ascii="Calibri" w:eastAsia="Calibri" w:hAnsi="Calibri" w:cs="Calibri"/>
          <w:color w:val="1A1A1A"/>
        </w:rPr>
        <w:t xml:space="preserve"> </w:t>
      </w:r>
      <w:r>
        <w:rPr>
          <w:rFonts w:ascii="Calibri" w:eastAsia="Calibri" w:hAnsi="Calibri" w:cs="Calibri"/>
          <w:color w:val="E91E63"/>
        </w:rPr>
        <w:t xml:space="preserve">CEDH, </w:t>
      </w:r>
      <w:proofErr w:type="spellStart"/>
      <w:r>
        <w:rPr>
          <w:rFonts w:ascii="Calibri" w:eastAsia="Calibri" w:hAnsi="Calibri" w:cs="Calibri"/>
          <w:color w:val="E91E63"/>
        </w:rPr>
        <w:t>Loizidou</w:t>
      </w:r>
      <w:proofErr w:type="spellEnd"/>
      <w:r>
        <w:rPr>
          <w:rFonts w:ascii="Calibri" w:eastAsia="Calibri" w:hAnsi="Calibri" w:cs="Calibri"/>
          <w:color w:val="E91E63"/>
        </w:rPr>
        <w:t xml:space="preserve"> c. Turquie</w:t>
      </w:r>
      <w:r>
        <w:rPr>
          <w:rFonts w:ascii="Calibri" w:eastAsia="Calibri" w:hAnsi="Calibri" w:cs="Calibri"/>
          <w:color w:val="1A1A1A"/>
        </w:rPr>
        <w:t xml:space="preserve"> ; protocole d’amendement à la Charte sociale — </w:t>
      </w:r>
      <w:r>
        <w:rPr>
          <w:rFonts w:ascii="Calibri" w:eastAsia="Calibri" w:hAnsi="Calibri" w:cs="Calibri"/>
          <w:b/>
          <w:bCs/>
          <w:color w:val="1A1A1A"/>
        </w:rPr>
        <w:t>1996</w:t>
      </w:r>
      <w:r>
        <w:rPr>
          <w:rFonts w:ascii="Calibri" w:eastAsia="Calibri" w:hAnsi="Calibri" w:cs="Calibri"/>
          <w:color w:val="1A1A1A"/>
        </w:rPr>
        <w:t xml:space="preserve"> </w:t>
      </w:r>
      <w:r>
        <w:rPr>
          <w:rFonts w:ascii="Calibri" w:eastAsia="Calibri" w:hAnsi="Calibri" w:cs="Calibri"/>
          <w:color w:val="E91E63"/>
        </w:rPr>
        <w:t>CJUE, avis 2/94</w:t>
      </w:r>
      <w:r>
        <w:rPr>
          <w:rFonts w:ascii="Calibri" w:eastAsia="Calibri" w:hAnsi="Calibri" w:cs="Calibri"/>
          <w:color w:val="1A1A1A"/>
        </w:rPr>
        <w:t xml:space="preserve"> (28 mars) ; révision de la Charte sociale (3 mai) ; </w:t>
      </w:r>
      <w:r>
        <w:rPr>
          <w:rFonts w:ascii="Calibri" w:eastAsia="Calibri" w:hAnsi="Calibri" w:cs="Calibri"/>
          <w:color w:val="E91E63"/>
        </w:rPr>
        <w:t>Cass. civ. 3e, Mel Yedei</w:t>
      </w:r>
      <w:r>
        <w:rPr>
          <w:rFonts w:ascii="Calibri" w:eastAsia="Calibri" w:hAnsi="Calibri" w:cs="Calibri"/>
          <w:color w:val="1A1A1A"/>
        </w:rPr>
        <w:t xml:space="preserve"> — </w:t>
      </w:r>
      <w:r>
        <w:rPr>
          <w:rFonts w:ascii="Calibri" w:eastAsia="Calibri" w:hAnsi="Calibri" w:cs="Calibri"/>
          <w:b/>
          <w:bCs/>
          <w:color w:val="1A1A1A"/>
        </w:rPr>
        <w:t>1997</w:t>
      </w:r>
      <w:r>
        <w:rPr>
          <w:rFonts w:ascii="Calibri" w:eastAsia="Calibri" w:hAnsi="Calibri" w:cs="Calibri"/>
          <w:color w:val="1A1A1A"/>
        </w:rPr>
        <w:t xml:space="preserve"> </w:t>
      </w:r>
      <w:r>
        <w:rPr>
          <w:rFonts w:ascii="Calibri" w:eastAsia="Calibri" w:hAnsi="Calibri" w:cs="Calibri"/>
          <w:color w:val="E91E63"/>
        </w:rPr>
        <w:t xml:space="preserve">CJCE, </w:t>
      </w:r>
      <w:proofErr w:type="spellStart"/>
      <w:r>
        <w:rPr>
          <w:rFonts w:ascii="Calibri" w:eastAsia="Calibri" w:hAnsi="Calibri" w:cs="Calibri"/>
          <w:color w:val="E91E63"/>
        </w:rPr>
        <w:t>Kremzow</w:t>
      </w:r>
      <w:proofErr w:type="spellEnd"/>
      <w:r>
        <w:rPr>
          <w:rFonts w:ascii="Calibri" w:eastAsia="Calibri" w:hAnsi="Calibri" w:cs="Calibri"/>
          <w:color w:val="1A1A1A"/>
        </w:rPr>
        <w:t xml:space="preserve"> — </w:t>
      </w:r>
      <w:r>
        <w:rPr>
          <w:rFonts w:ascii="Calibri" w:eastAsia="Calibri" w:hAnsi="Calibri" w:cs="Calibri"/>
          <w:b/>
          <w:bCs/>
          <w:color w:val="1A1A1A"/>
        </w:rPr>
        <w:t>1998</w:t>
      </w:r>
      <w:r>
        <w:rPr>
          <w:rFonts w:ascii="Calibri" w:eastAsia="Calibri" w:hAnsi="Calibri" w:cs="Calibri"/>
          <w:color w:val="1A1A1A"/>
        </w:rPr>
        <w:t xml:space="preserve"> entrée en vigueur du </w:t>
      </w:r>
      <w:r>
        <w:rPr>
          <w:rFonts w:ascii="Calibri" w:eastAsia="Calibri" w:hAnsi="Calibri" w:cs="Calibri"/>
          <w:color w:val="1E88E5"/>
        </w:rPr>
        <w:t>Protocole n° 11</w:t>
      </w:r>
      <w:r>
        <w:rPr>
          <w:rFonts w:ascii="Calibri" w:eastAsia="Calibri" w:hAnsi="Calibri" w:cs="Calibri"/>
          <w:color w:val="1A1A1A"/>
        </w:rPr>
        <w:t xml:space="preserve"> (novembre) ; </w:t>
      </w:r>
      <w:r>
        <w:rPr>
          <w:rFonts w:ascii="Calibri" w:eastAsia="Calibri" w:hAnsi="Calibri" w:cs="Calibri"/>
          <w:color w:val="E91E63"/>
        </w:rPr>
        <w:t>CEDH, Parti communiste unifié de Turquie</w:t>
      </w:r>
      <w:r>
        <w:rPr>
          <w:rFonts w:ascii="Calibri" w:eastAsia="Calibri" w:hAnsi="Calibri" w:cs="Calibri"/>
          <w:color w:val="1A1A1A"/>
        </w:rPr>
        <w:t xml:space="preserve"> — </w:t>
      </w:r>
      <w:r>
        <w:rPr>
          <w:rFonts w:ascii="Calibri" w:eastAsia="Calibri" w:hAnsi="Calibri" w:cs="Calibri"/>
          <w:b/>
          <w:bCs/>
          <w:color w:val="1A1A1A"/>
        </w:rPr>
        <w:t>1999</w:t>
      </w:r>
      <w:r>
        <w:rPr>
          <w:rFonts w:ascii="Calibri" w:eastAsia="Calibri" w:hAnsi="Calibri" w:cs="Calibri"/>
          <w:color w:val="1A1A1A"/>
        </w:rPr>
        <w:t xml:space="preserve"> </w:t>
      </w:r>
      <w:r>
        <w:rPr>
          <w:rFonts w:ascii="Calibri" w:eastAsia="Calibri" w:hAnsi="Calibri" w:cs="Calibri"/>
          <w:color w:val="E91E63"/>
        </w:rPr>
        <w:t>CEDH, Zielinski et Pradal</w:t>
      </w:r>
      <w:r>
        <w:rPr>
          <w:rFonts w:ascii="Calibri" w:eastAsia="Calibri" w:hAnsi="Calibri" w:cs="Calibri"/>
          <w:color w:val="1A1A1A"/>
        </w:rPr>
        <w:t xml:space="preserve"> ; institution du Commissaire aux droits de l’homme (7 mai).</w:t>
      </w:r>
    </w:p>
    <w:p w14:paraId="43627997"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2000</w:t>
      </w:r>
      <w:r>
        <w:rPr>
          <w:rFonts w:ascii="Calibri" w:eastAsia="Calibri" w:hAnsi="Calibri" w:cs="Calibri"/>
          <w:color w:val="1A1A1A"/>
        </w:rPr>
        <w:t xml:space="preserve"> </w:t>
      </w:r>
      <w:r>
        <w:rPr>
          <w:rFonts w:ascii="Calibri" w:eastAsia="Calibri" w:hAnsi="Calibri" w:cs="Calibri"/>
          <w:color w:val="1E88E5"/>
        </w:rPr>
        <w:t>Charte des droits fondamentaux de l’UE</w:t>
      </w:r>
      <w:r>
        <w:rPr>
          <w:rFonts w:ascii="Calibri" w:eastAsia="Calibri" w:hAnsi="Calibri" w:cs="Calibri"/>
          <w:color w:val="1A1A1A"/>
        </w:rPr>
        <w:t xml:space="preserve"> (7 décembre) ; </w:t>
      </w:r>
      <w:r>
        <w:rPr>
          <w:rFonts w:ascii="Calibri" w:eastAsia="Calibri" w:hAnsi="Calibri" w:cs="Calibri"/>
          <w:color w:val="E91E63"/>
        </w:rPr>
        <w:t>CEDH, Rotaru c. Roumanie</w:t>
      </w:r>
      <w:r>
        <w:rPr>
          <w:rFonts w:ascii="Calibri" w:eastAsia="Calibri" w:hAnsi="Calibri" w:cs="Calibri"/>
          <w:color w:val="1A1A1A"/>
        </w:rPr>
        <w:t xml:space="preserve"> — </w:t>
      </w:r>
      <w:r>
        <w:rPr>
          <w:rFonts w:ascii="Calibri" w:eastAsia="Calibri" w:hAnsi="Calibri" w:cs="Calibri"/>
          <w:b/>
          <w:bCs/>
          <w:color w:val="1A1A1A"/>
        </w:rPr>
        <w:t>2003</w:t>
      </w:r>
      <w:r>
        <w:rPr>
          <w:rFonts w:ascii="Calibri" w:eastAsia="Calibri" w:hAnsi="Calibri" w:cs="Calibri"/>
          <w:color w:val="1A1A1A"/>
        </w:rPr>
        <w:t xml:space="preserve"> entrée en vigueur du </w:t>
      </w:r>
      <w:r>
        <w:rPr>
          <w:rFonts w:ascii="Calibri" w:eastAsia="Calibri" w:hAnsi="Calibri" w:cs="Calibri"/>
          <w:color w:val="1E88E5"/>
        </w:rPr>
        <w:t>Protocole n° 13</w:t>
      </w:r>
      <w:r>
        <w:rPr>
          <w:rFonts w:ascii="Calibri" w:eastAsia="Calibri" w:hAnsi="Calibri" w:cs="Calibri"/>
          <w:color w:val="1A1A1A"/>
        </w:rPr>
        <w:t xml:space="preserve"> (1er juillet) ; </w:t>
      </w:r>
      <w:r>
        <w:rPr>
          <w:rFonts w:ascii="Calibri" w:eastAsia="Calibri" w:hAnsi="Calibri" w:cs="Calibri"/>
          <w:color w:val="E91E63"/>
        </w:rPr>
        <w:t>CEDH, Refah Partisi</w:t>
      </w:r>
      <w:r>
        <w:rPr>
          <w:rFonts w:ascii="Calibri" w:eastAsia="Calibri" w:hAnsi="Calibri" w:cs="Calibri"/>
          <w:color w:val="1A1A1A"/>
        </w:rPr>
        <w:t xml:space="preserve"> — </w:t>
      </w:r>
      <w:r>
        <w:rPr>
          <w:rFonts w:ascii="Calibri" w:eastAsia="Calibri" w:hAnsi="Calibri" w:cs="Calibri"/>
          <w:b/>
          <w:bCs/>
          <w:color w:val="1A1A1A"/>
        </w:rPr>
        <w:t>2004</w:t>
      </w:r>
      <w:r>
        <w:rPr>
          <w:rFonts w:ascii="Calibri" w:eastAsia="Calibri" w:hAnsi="Calibri" w:cs="Calibri"/>
          <w:color w:val="1A1A1A"/>
        </w:rPr>
        <w:t xml:space="preserve"> </w:t>
      </w:r>
      <w:r>
        <w:rPr>
          <w:rFonts w:ascii="Calibri" w:eastAsia="Calibri" w:hAnsi="Calibri" w:cs="Calibri"/>
          <w:color w:val="E91E63"/>
        </w:rPr>
        <w:t>CJCE, Omega</w:t>
      </w:r>
      <w:r>
        <w:rPr>
          <w:rFonts w:ascii="Calibri" w:eastAsia="Calibri" w:hAnsi="Calibri" w:cs="Calibri"/>
          <w:color w:val="1A1A1A"/>
        </w:rPr>
        <w:t xml:space="preserve"> ; </w:t>
      </w:r>
      <w:r>
        <w:rPr>
          <w:rFonts w:ascii="Calibri" w:eastAsia="Calibri" w:hAnsi="Calibri" w:cs="Calibri"/>
          <w:color w:val="E91E63"/>
        </w:rPr>
        <w:t>CEDH, Ilascu</w:t>
      </w:r>
      <w:r>
        <w:rPr>
          <w:rFonts w:ascii="Calibri" w:eastAsia="Calibri" w:hAnsi="Calibri" w:cs="Calibri"/>
          <w:color w:val="1A1A1A"/>
        </w:rPr>
        <w:t xml:space="preserve"> ; </w:t>
      </w:r>
      <w:r>
        <w:rPr>
          <w:rFonts w:ascii="Calibri" w:eastAsia="Calibri" w:hAnsi="Calibri" w:cs="Calibri"/>
          <w:color w:val="1E88E5"/>
        </w:rPr>
        <w:t>Charte arabe révisée</w:t>
      </w:r>
      <w:r>
        <w:rPr>
          <w:rFonts w:ascii="Calibri" w:eastAsia="Calibri" w:hAnsi="Calibri" w:cs="Calibri"/>
          <w:color w:val="1A1A1A"/>
        </w:rPr>
        <w:t xml:space="preserve"> — </w:t>
      </w:r>
      <w:r>
        <w:rPr>
          <w:rFonts w:ascii="Calibri" w:eastAsia="Calibri" w:hAnsi="Calibri" w:cs="Calibri"/>
          <w:b/>
          <w:bCs/>
          <w:color w:val="1A1A1A"/>
        </w:rPr>
        <w:t>2005</w:t>
      </w:r>
      <w:r>
        <w:rPr>
          <w:rFonts w:ascii="Calibri" w:eastAsia="Calibri" w:hAnsi="Calibri" w:cs="Calibri"/>
          <w:color w:val="1A1A1A"/>
        </w:rPr>
        <w:t xml:space="preserve"> entrée en vigueur du </w:t>
      </w:r>
      <w:r>
        <w:rPr>
          <w:rFonts w:ascii="Calibri" w:eastAsia="Calibri" w:hAnsi="Calibri" w:cs="Calibri"/>
          <w:color w:val="1E88E5"/>
        </w:rPr>
        <w:t>Protocole n° 12</w:t>
      </w:r>
      <w:r>
        <w:rPr>
          <w:rFonts w:ascii="Calibri" w:eastAsia="Calibri" w:hAnsi="Calibri" w:cs="Calibri"/>
          <w:color w:val="1A1A1A"/>
        </w:rPr>
        <w:t xml:space="preserve"> (1er avril) — </w:t>
      </w:r>
      <w:r>
        <w:rPr>
          <w:rFonts w:ascii="Calibri" w:eastAsia="Calibri" w:hAnsi="Calibri" w:cs="Calibri"/>
          <w:b/>
          <w:bCs/>
          <w:color w:val="1A1A1A"/>
        </w:rPr>
        <w:t>2006</w:t>
      </w:r>
      <w:r>
        <w:rPr>
          <w:rFonts w:ascii="Calibri" w:eastAsia="Calibri" w:hAnsi="Calibri" w:cs="Calibri"/>
          <w:color w:val="1A1A1A"/>
        </w:rPr>
        <w:t xml:space="preserve"> </w:t>
      </w:r>
      <w:r>
        <w:rPr>
          <w:rFonts w:ascii="Calibri" w:eastAsia="Calibri" w:hAnsi="Calibri" w:cs="Calibri"/>
          <w:color w:val="1E88E5"/>
        </w:rPr>
        <w:t>Convention relative aux droits des personnes handicapées</w:t>
      </w:r>
      <w:r>
        <w:rPr>
          <w:rFonts w:ascii="Calibri" w:eastAsia="Calibri" w:hAnsi="Calibri" w:cs="Calibri"/>
          <w:color w:val="1A1A1A"/>
        </w:rPr>
        <w:t xml:space="preserve"> (12 décembre) ; </w:t>
      </w:r>
      <w:r>
        <w:rPr>
          <w:rFonts w:ascii="Calibri" w:eastAsia="Calibri" w:hAnsi="Calibri" w:cs="Calibri"/>
          <w:color w:val="1E88E5"/>
        </w:rPr>
        <w:t>Convention sur les disparitions forcées</w:t>
      </w:r>
      <w:r>
        <w:rPr>
          <w:rFonts w:ascii="Calibri" w:eastAsia="Calibri" w:hAnsi="Calibri" w:cs="Calibri"/>
          <w:color w:val="1A1A1A"/>
        </w:rPr>
        <w:t xml:space="preserve"> (20 décembre) ; </w:t>
      </w:r>
      <w:r>
        <w:rPr>
          <w:rFonts w:ascii="Calibri" w:eastAsia="Calibri" w:hAnsi="Calibri" w:cs="Calibri"/>
          <w:color w:val="E91E63"/>
        </w:rPr>
        <w:t xml:space="preserve">CEDH, </w:t>
      </w:r>
      <w:proofErr w:type="spellStart"/>
      <w:r>
        <w:rPr>
          <w:rFonts w:ascii="Calibri" w:eastAsia="Calibri" w:hAnsi="Calibri" w:cs="Calibri"/>
          <w:color w:val="E91E63"/>
        </w:rPr>
        <w:t>Blecic</w:t>
      </w:r>
      <w:proofErr w:type="spellEnd"/>
      <w:r>
        <w:rPr>
          <w:rFonts w:ascii="Calibri" w:eastAsia="Calibri" w:hAnsi="Calibri" w:cs="Calibri"/>
          <w:color w:val="E91E63"/>
        </w:rPr>
        <w:t xml:space="preserve"> c. Croatie</w:t>
      </w:r>
      <w:r>
        <w:rPr>
          <w:rFonts w:ascii="Calibri" w:eastAsia="Calibri" w:hAnsi="Calibri" w:cs="Calibri"/>
          <w:color w:val="1A1A1A"/>
        </w:rPr>
        <w:t xml:space="preserve"> — </w:t>
      </w:r>
      <w:r>
        <w:rPr>
          <w:rFonts w:ascii="Calibri" w:eastAsia="Calibri" w:hAnsi="Calibri" w:cs="Calibri"/>
          <w:b/>
          <w:bCs/>
          <w:color w:val="1A1A1A"/>
        </w:rPr>
        <w:t>2007</w:t>
      </w:r>
      <w:r>
        <w:rPr>
          <w:rFonts w:ascii="Calibri" w:eastAsia="Calibri" w:hAnsi="Calibri" w:cs="Calibri"/>
          <w:color w:val="1A1A1A"/>
        </w:rPr>
        <w:t xml:space="preserve"> </w:t>
      </w:r>
      <w:r>
        <w:rPr>
          <w:rFonts w:ascii="Calibri" w:eastAsia="Calibri" w:hAnsi="Calibri" w:cs="Calibri"/>
          <w:color w:val="1E88E5"/>
        </w:rPr>
        <w:t>Charte de l’ASEAN</w:t>
      </w:r>
      <w:r>
        <w:rPr>
          <w:rFonts w:ascii="Calibri" w:eastAsia="Calibri" w:hAnsi="Calibri" w:cs="Calibri"/>
          <w:color w:val="1A1A1A"/>
        </w:rPr>
        <w:t xml:space="preserve"> ; </w:t>
      </w:r>
      <w:r>
        <w:rPr>
          <w:rFonts w:ascii="Calibri" w:eastAsia="Calibri" w:hAnsi="Calibri" w:cs="Calibri"/>
          <w:color w:val="E91E63"/>
        </w:rPr>
        <w:t>CJCE, Viking</w:t>
      </w:r>
      <w:r>
        <w:rPr>
          <w:rFonts w:ascii="Calibri" w:eastAsia="Calibri" w:hAnsi="Calibri" w:cs="Calibri"/>
          <w:color w:val="1A1A1A"/>
        </w:rPr>
        <w:t xml:space="preserve"> ; </w:t>
      </w:r>
      <w:r>
        <w:rPr>
          <w:rFonts w:ascii="Calibri" w:eastAsia="Calibri" w:hAnsi="Calibri" w:cs="Calibri"/>
          <w:color w:val="1E88E5"/>
        </w:rPr>
        <w:t>APES</w:t>
      </w:r>
      <w:r>
        <w:rPr>
          <w:rFonts w:ascii="Calibri" w:eastAsia="Calibri" w:hAnsi="Calibri" w:cs="Calibri"/>
          <w:color w:val="1A1A1A"/>
        </w:rPr>
        <w:t xml:space="preserve"> — </w:t>
      </w:r>
      <w:r>
        <w:rPr>
          <w:rFonts w:ascii="Calibri" w:eastAsia="Calibri" w:hAnsi="Calibri" w:cs="Calibri"/>
          <w:b/>
          <w:bCs/>
          <w:color w:val="1A1A1A"/>
        </w:rPr>
        <w:t>2008</w:t>
      </w:r>
      <w:r>
        <w:rPr>
          <w:rFonts w:ascii="Calibri" w:eastAsia="Calibri" w:hAnsi="Calibri" w:cs="Calibri"/>
          <w:color w:val="1A1A1A"/>
        </w:rPr>
        <w:t xml:space="preserve"> </w:t>
      </w:r>
      <w:r>
        <w:rPr>
          <w:rFonts w:ascii="Calibri" w:eastAsia="Calibri" w:hAnsi="Calibri" w:cs="Calibri"/>
          <w:color w:val="E91E63"/>
        </w:rPr>
        <w:t>CJUE, Kadi</w:t>
      </w:r>
      <w:r>
        <w:rPr>
          <w:rFonts w:ascii="Calibri" w:eastAsia="Calibri" w:hAnsi="Calibri" w:cs="Calibri"/>
          <w:color w:val="1A1A1A"/>
        </w:rPr>
        <w:t xml:space="preserve"> ; protocole facultatif au PIDESC (10 décembre) — </w:t>
      </w:r>
      <w:r>
        <w:rPr>
          <w:rFonts w:ascii="Calibri" w:eastAsia="Calibri" w:hAnsi="Calibri" w:cs="Calibri"/>
          <w:b/>
          <w:bCs/>
          <w:color w:val="1A1A1A"/>
        </w:rPr>
        <w:t>2009</w:t>
      </w:r>
      <w:r>
        <w:rPr>
          <w:rFonts w:ascii="Calibri" w:eastAsia="Calibri" w:hAnsi="Calibri" w:cs="Calibri"/>
          <w:color w:val="1A1A1A"/>
        </w:rPr>
        <w:t xml:space="preserve"> entrée en vigueur du traité de Lisbonne (1er décembre) — </w:t>
      </w:r>
      <w:r>
        <w:rPr>
          <w:rFonts w:ascii="Calibri" w:eastAsia="Calibri" w:hAnsi="Calibri" w:cs="Calibri"/>
          <w:b/>
          <w:bCs/>
          <w:color w:val="1A1A1A"/>
        </w:rPr>
        <w:t>2010</w:t>
      </w:r>
      <w:r>
        <w:rPr>
          <w:rFonts w:ascii="Calibri" w:eastAsia="Calibri" w:hAnsi="Calibri" w:cs="Calibri"/>
          <w:color w:val="1A1A1A"/>
        </w:rPr>
        <w:t xml:space="preserve"> </w:t>
      </w:r>
      <w:r>
        <w:rPr>
          <w:rFonts w:ascii="Calibri" w:eastAsia="Calibri" w:hAnsi="Calibri" w:cs="Calibri"/>
          <w:color w:val="E91E63"/>
        </w:rPr>
        <w:t>CJUE, E et F</w:t>
      </w:r>
      <w:r>
        <w:rPr>
          <w:rFonts w:ascii="Calibri" w:eastAsia="Calibri" w:hAnsi="Calibri" w:cs="Calibri"/>
          <w:color w:val="1A1A1A"/>
        </w:rPr>
        <w:t xml:space="preserve"> ; </w:t>
      </w:r>
      <w:r>
        <w:rPr>
          <w:rFonts w:ascii="Calibri" w:eastAsia="Calibri" w:hAnsi="Calibri" w:cs="Calibri"/>
          <w:color w:val="E91E63"/>
        </w:rPr>
        <w:t xml:space="preserve">CEDH, </w:t>
      </w:r>
      <w:proofErr w:type="spellStart"/>
      <w:r>
        <w:rPr>
          <w:rFonts w:ascii="Calibri" w:eastAsia="Calibri" w:hAnsi="Calibri" w:cs="Calibri"/>
          <w:color w:val="E91E63"/>
        </w:rPr>
        <w:t>Gäfgen</w:t>
      </w:r>
      <w:proofErr w:type="spellEnd"/>
      <w:r>
        <w:rPr>
          <w:rFonts w:ascii="Calibri" w:eastAsia="Calibri" w:hAnsi="Calibri" w:cs="Calibri"/>
          <w:color w:val="1A1A1A"/>
        </w:rPr>
        <w:t xml:space="preserve"> — </w:t>
      </w:r>
      <w:r>
        <w:rPr>
          <w:rFonts w:ascii="Calibri" w:eastAsia="Calibri" w:hAnsi="Calibri" w:cs="Calibri"/>
          <w:b/>
          <w:bCs/>
          <w:color w:val="1A1A1A"/>
        </w:rPr>
        <w:t>2011</w:t>
      </w:r>
      <w:r>
        <w:rPr>
          <w:rFonts w:ascii="Calibri" w:eastAsia="Calibri" w:hAnsi="Calibri" w:cs="Calibri"/>
          <w:color w:val="1A1A1A"/>
        </w:rPr>
        <w:t xml:space="preserve"> </w:t>
      </w:r>
      <w:r>
        <w:rPr>
          <w:rFonts w:ascii="Calibri" w:eastAsia="Calibri" w:hAnsi="Calibri" w:cs="Calibri"/>
          <w:color w:val="E91E63"/>
        </w:rPr>
        <w:t>CEDH, Al-</w:t>
      </w:r>
      <w:proofErr w:type="spellStart"/>
      <w:r>
        <w:rPr>
          <w:rFonts w:ascii="Calibri" w:eastAsia="Calibri" w:hAnsi="Calibri" w:cs="Calibri"/>
          <w:color w:val="E91E63"/>
        </w:rPr>
        <w:t>Skeini</w:t>
      </w:r>
      <w:proofErr w:type="spellEnd"/>
      <w:r>
        <w:rPr>
          <w:rFonts w:ascii="Calibri" w:eastAsia="Calibri" w:hAnsi="Calibri" w:cs="Calibri"/>
          <w:color w:val="1A1A1A"/>
        </w:rPr>
        <w:t xml:space="preserve"> — </w:t>
      </w:r>
      <w:r>
        <w:rPr>
          <w:rFonts w:ascii="Calibri" w:eastAsia="Calibri" w:hAnsi="Calibri" w:cs="Calibri"/>
          <w:b/>
          <w:bCs/>
          <w:color w:val="1A1A1A"/>
        </w:rPr>
        <w:t>2012</w:t>
      </w:r>
      <w:r>
        <w:rPr>
          <w:rFonts w:ascii="Calibri" w:eastAsia="Calibri" w:hAnsi="Calibri" w:cs="Calibri"/>
          <w:color w:val="1A1A1A"/>
        </w:rPr>
        <w:t xml:space="preserve"> </w:t>
      </w:r>
      <w:r>
        <w:rPr>
          <w:rFonts w:ascii="Calibri" w:eastAsia="Calibri" w:hAnsi="Calibri" w:cs="Calibri"/>
          <w:color w:val="E91E63"/>
        </w:rPr>
        <w:t>CEDH, Nada c. Suisse</w:t>
      </w:r>
      <w:r>
        <w:rPr>
          <w:rFonts w:ascii="Calibri" w:eastAsia="Calibri" w:hAnsi="Calibri" w:cs="Calibri"/>
          <w:color w:val="1A1A1A"/>
        </w:rPr>
        <w:t xml:space="preserve"> ; </w:t>
      </w:r>
      <w:r>
        <w:rPr>
          <w:rFonts w:ascii="Calibri" w:eastAsia="Calibri" w:hAnsi="Calibri" w:cs="Calibri"/>
          <w:color w:val="E91E63"/>
        </w:rPr>
        <w:t>CIDH, Artavia Murillo</w:t>
      </w:r>
      <w:r>
        <w:rPr>
          <w:rFonts w:ascii="Calibri" w:eastAsia="Calibri" w:hAnsi="Calibri" w:cs="Calibri"/>
          <w:color w:val="1A1A1A"/>
        </w:rPr>
        <w:t xml:space="preserve"> — </w:t>
      </w:r>
      <w:r>
        <w:rPr>
          <w:rFonts w:ascii="Calibri" w:eastAsia="Calibri" w:hAnsi="Calibri" w:cs="Calibri"/>
          <w:b/>
          <w:bCs/>
          <w:color w:val="1A1A1A"/>
        </w:rPr>
        <w:t>2013</w:t>
      </w:r>
      <w:r>
        <w:rPr>
          <w:rFonts w:ascii="Calibri" w:eastAsia="Calibri" w:hAnsi="Calibri" w:cs="Calibri"/>
          <w:color w:val="1A1A1A"/>
        </w:rPr>
        <w:t xml:space="preserve"> </w:t>
      </w:r>
      <w:r>
        <w:rPr>
          <w:rFonts w:ascii="Calibri" w:eastAsia="Calibri" w:hAnsi="Calibri" w:cs="Calibri"/>
          <w:color w:val="E91E63"/>
        </w:rPr>
        <w:t>CJUE, Melloni</w:t>
      </w:r>
      <w:r>
        <w:rPr>
          <w:rFonts w:ascii="Calibri" w:eastAsia="Calibri" w:hAnsi="Calibri" w:cs="Calibri"/>
          <w:color w:val="1A1A1A"/>
        </w:rPr>
        <w:t xml:space="preserve"> et </w:t>
      </w:r>
      <w:r>
        <w:rPr>
          <w:rFonts w:ascii="Calibri" w:eastAsia="Calibri" w:hAnsi="Calibri" w:cs="Calibri"/>
          <w:color w:val="E91E63"/>
        </w:rPr>
        <w:t>Åkerberg Fransson</w:t>
      </w:r>
      <w:r>
        <w:rPr>
          <w:rFonts w:ascii="Calibri" w:eastAsia="Calibri" w:hAnsi="Calibri" w:cs="Calibri"/>
          <w:color w:val="1A1A1A"/>
        </w:rPr>
        <w:t xml:space="preserve"> (26 février) ; </w:t>
      </w:r>
      <w:r>
        <w:rPr>
          <w:rFonts w:ascii="Calibri" w:eastAsia="Calibri" w:hAnsi="Calibri" w:cs="Calibri"/>
          <w:color w:val="1E88E5"/>
        </w:rPr>
        <w:t>Protocole n° 15</w:t>
      </w:r>
      <w:r>
        <w:rPr>
          <w:rFonts w:ascii="Calibri" w:eastAsia="Calibri" w:hAnsi="Calibri" w:cs="Calibri"/>
          <w:color w:val="1A1A1A"/>
        </w:rPr>
        <w:t xml:space="preserve"> (24 juin) — </w:t>
      </w:r>
      <w:r>
        <w:rPr>
          <w:rFonts w:ascii="Calibri" w:eastAsia="Calibri" w:hAnsi="Calibri" w:cs="Calibri"/>
          <w:b/>
          <w:bCs/>
          <w:color w:val="1A1A1A"/>
        </w:rPr>
        <w:t>2014</w:t>
      </w:r>
      <w:r>
        <w:rPr>
          <w:rFonts w:ascii="Calibri" w:eastAsia="Calibri" w:hAnsi="Calibri" w:cs="Calibri"/>
          <w:color w:val="1A1A1A"/>
        </w:rPr>
        <w:t xml:space="preserve"> </w:t>
      </w:r>
      <w:r>
        <w:rPr>
          <w:rFonts w:ascii="Calibri" w:eastAsia="Calibri" w:hAnsi="Calibri" w:cs="Calibri"/>
          <w:color w:val="E91E63"/>
        </w:rPr>
        <w:t>CJUE, avis 2/13</w:t>
      </w:r>
      <w:r>
        <w:rPr>
          <w:rFonts w:ascii="Calibri" w:eastAsia="Calibri" w:hAnsi="Calibri" w:cs="Calibri"/>
          <w:color w:val="1A1A1A"/>
        </w:rPr>
        <w:t xml:space="preserve"> (18 décembre) ; </w:t>
      </w:r>
      <w:r>
        <w:rPr>
          <w:rFonts w:ascii="Calibri" w:eastAsia="Calibri" w:hAnsi="Calibri" w:cs="Calibri"/>
          <w:color w:val="E91E63"/>
        </w:rPr>
        <w:t>CJUE, Siragusa</w:t>
      </w:r>
      <w:r>
        <w:rPr>
          <w:rFonts w:ascii="Calibri" w:eastAsia="Calibri" w:hAnsi="Calibri" w:cs="Calibri"/>
          <w:color w:val="1A1A1A"/>
        </w:rPr>
        <w:t xml:space="preserve"> ; ratification du protocole au PIDESC par la France.</w:t>
      </w:r>
    </w:p>
    <w:p w14:paraId="33DF7AA3"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2016</w:t>
      </w:r>
      <w:r>
        <w:rPr>
          <w:rFonts w:ascii="Calibri" w:eastAsia="Calibri" w:hAnsi="Calibri" w:cs="Calibri"/>
          <w:color w:val="1A1A1A"/>
        </w:rPr>
        <w:t xml:space="preserve"> </w:t>
      </w:r>
      <w:r>
        <w:rPr>
          <w:rFonts w:ascii="Calibri" w:eastAsia="Calibri" w:hAnsi="Calibri" w:cs="Calibri"/>
          <w:color w:val="1E88E5"/>
        </w:rPr>
        <w:t>RGPD</w:t>
      </w:r>
      <w:r>
        <w:rPr>
          <w:rFonts w:ascii="Calibri" w:eastAsia="Calibri" w:hAnsi="Calibri" w:cs="Calibri"/>
          <w:color w:val="1A1A1A"/>
        </w:rPr>
        <w:t xml:space="preserve"> (27 avril) ; </w:t>
      </w:r>
      <w:r>
        <w:rPr>
          <w:rFonts w:ascii="Calibri" w:eastAsia="Calibri" w:hAnsi="Calibri" w:cs="Calibri"/>
          <w:color w:val="E91E63"/>
        </w:rPr>
        <w:t>CEDH, Magyar Helsinki Bizottság</w:t>
      </w:r>
      <w:r>
        <w:rPr>
          <w:rFonts w:ascii="Calibri" w:eastAsia="Calibri" w:hAnsi="Calibri" w:cs="Calibri"/>
          <w:color w:val="1A1A1A"/>
        </w:rPr>
        <w:t xml:space="preserve"> ; </w:t>
      </w:r>
      <w:r>
        <w:rPr>
          <w:rFonts w:ascii="Calibri" w:eastAsia="Calibri" w:hAnsi="Calibri" w:cs="Calibri"/>
          <w:color w:val="E91E63"/>
        </w:rPr>
        <w:t>Cass. civ. 2e, 6 octobre</w:t>
      </w:r>
      <w:r>
        <w:rPr>
          <w:rFonts w:ascii="Calibri" w:eastAsia="Calibri" w:hAnsi="Calibri" w:cs="Calibri"/>
          <w:color w:val="1A1A1A"/>
        </w:rPr>
        <w:t xml:space="preserve"> — </w:t>
      </w:r>
      <w:r>
        <w:rPr>
          <w:rFonts w:ascii="Calibri" w:eastAsia="Calibri" w:hAnsi="Calibri" w:cs="Calibri"/>
          <w:b/>
          <w:bCs/>
          <w:color w:val="1A1A1A"/>
        </w:rPr>
        <w:t>2017</w:t>
      </w:r>
      <w:r>
        <w:rPr>
          <w:rFonts w:ascii="Calibri" w:eastAsia="Calibri" w:hAnsi="Calibri" w:cs="Calibri"/>
          <w:color w:val="1A1A1A"/>
        </w:rPr>
        <w:t xml:space="preserve"> </w:t>
      </w:r>
      <w:r>
        <w:rPr>
          <w:rFonts w:ascii="Calibri" w:eastAsia="Calibri" w:hAnsi="Calibri" w:cs="Calibri"/>
          <w:color w:val="E91E63"/>
        </w:rPr>
        <w:t>Commission africaine c. Kenya</w:t>
      </w:r>
      <w:r>
        <w:rPr>
          <w:rFonts w:ascii="Calibri" w:eastAsia="Calibri" w:hAnsi="Calibri" w:cs="Calibri"/>
          <w:color w:val="1A1A1A"/>
        </w:rPr>
        <w:t xml:space="preserve"> — </w:t>
      </w:r>
      <w:r>
        <w:rPr>
          <w:rFonts w:ascii="Calibri" w:eastAsia="Calibri" w:hAnsi="Calibri" w:cs="Calibri"/>
          <w:b/>
          <w:bCs/>
          <w:color w:val="1A1A1A"/>
        </w:rPr>
        <w:t>2018</w:t>
      </w:r>
      <w:r>
        <w:rPr>
          <w:rFonts w:ascii="Calibri" w:eastAsia="Calibri" w:hAnsi="Calibri" w:cs="Calibri"/>
          <w:color w:val="1A1A1A"/>
        </w:rPr>
        <w:t xml:space="preserve"> entrée en vigueur du </w:t>
      </w:r>
      <w:r>
        <w:rPr>
          <w:rFonts w:ascii="Calibri" w:eastAsia="Calibri" w:hAnsi="Calibri" w:cs="Calibri"/>
          <w:color w:val="1E88E5"/>
        </w:rPr>
        <w:t>Protocole n° 16</w:t>
      </w:r>
      <w:r>
        <w:rPr>
          <w:rFonts w:ascii="Calibri" w:eastAsia="Calibri" w:hAnsi="Calibri" w:cs="Calibri"/>
          <w:color w:val="1A1A1A"/>
        </w:rPr>
        <w:t xml:space="preserve"> (1er août) ; </w:t>
      </w:r>
      <w:r>
        <w:rPr>
          <w:rFonts w:ascii="Calibri" w:eastAsia="Calibri" w:hAnsi="Calibri" w:cs="Calibri"/>
          <w:color w:val="E91E63"/>
        </w:rPr>
        <w:t>Cour africaine, Ochieng Anudo</w:t>
      </w:r>
      <w:r>
        <w:rPr>
          <w:rFonts w:ascii="Calibri" w:eastAsia="Calibri" w:hAnsi="Calibri" w:cs="Calibri"/>
          <w:color w:val="1A1A1A"/>
        </w:rPr>
        <w:t xml:space="preserve"> — </w:t>
      </w:r>
      <w:r>
        <w:rPr>
          <w:rFonts w:ascii="Calibri" w:eastAsia="Calibri" w:hAnsi="Calibri" w:cs="Calibri"/>
          <w:b/>
          <w:bCs/>
          <w:color w:val="1A1A1A"/>
        </w:rPr>
        <w:t>2019</w:t>
      </w:r>
      <w:r>
        <w:rPr>
          <w:rFonts w:ascii="Calibri" w:eastAsia="Calibri" w:hAnsi="Calibri" w:cs="Calibri"/>
          <w:color w:val="1A1A1A"/>
        </w:rPr>
        <w:t xml:space="preserve"> </w:t>
      </w:r>
      <w:r>
        <w:rPr>
          <w:rFonts w:ascii="Calibri" w:eastAsia="Calibri" w:hAnsi="Calibri" w:cs="Calibri"/>
          <w:color w:val="E91E63"/>
        </w:rPr>
        <w:t>CDH, Cáceres c. Paraguay</w:t>
      </w:r>
      <w:r>
        <w:rPr>
          <w:rFonts w:ascii="Calibri" w:eastAsia="Calibri" w:hAnsi="Calibri" w:cs="Calibri"/>
          <w:color w:val="1A1A1A"/>
        </w:rPr>
        <w:t xml:space="preserve"> — </w:t>
      </w:r>
      <w:r>
        <w:rPr>
          <w:rFonts w:ascii="Calibri" w:eastAsia="Calibri" w:hAnsi="Calibri" w:cs="Calibri"/>
          <w:b/>
          <w:bCs/>
          <w:color w:val="1A1A1A"/>
        </w:rPr>
        <w:t>2020</w:t>
      </w:r>
      <w:r>
        <w:rPr>
          <w:rFonts w:ascii="Calibri" w:eastAsia="Calibri" w:hAnsi="Calibri" w:cs="Calibri"/>
          <w:color w:val="1A1A1A"/>
        </w:rPr>
        <w:t xml:space="preserve"> reprise des négociations d’adhésion ; </w:t>
      </w:r>
      <w:r>
        <w:rPr>
          <w:rFonts w:ascii="Calibri" w:eastAsia="Calibri" w:hAnsi="Calibri" w:cs="Calibri"/>
          <w:color w:val="E91E63"/>
        </w:rPr>
        <w:t xml:space="preserve">CEDH, </w:t>
      </w:r>
      <w:proofErr w:type="spellStart"/>
      <w:r>
        <w:rPr>
          <w:rFonts w:ascii="Calibri" w:eastAsia="Calibri" w:hAnsi="Calibri" w:cs="Calibri"/>
          <w:color w:val="E91E63"/>
        </w:rPr>
        <w:t>Ástráðsson</w:t>
      </w:r>
      <w:proofErr w:type="spellEnd"/>
      <w:r>
        <w:rPr>
          <w:rFonts w:ascii="Calibri" w:eastAsia="Calibri" w:hAnsi="Calibri" w:cs="Calibri"/>
          <w:color w:val="1A1A1A"/>
        </w:rPr>
        <w:t xml:space="preserve"> ; </w:t>
      </w:r>
      <w:r>
        <w:rPr>
          <w:rFonts w:ascii="Calibri" w:eastAsia="Calibri" w:hAnsi="Calibri" w:cs="Calibri"/>
          <w:color w:val="E91E63"/>
        </w:rPr>
        <w:t>CEDH, Slovénie c. Croatie</w:t>
      </w:r>
      <w:r>
        <w:rPr>
          <w:rFonts w:ascii="Calibri" w:eastAsia="Calibri" w:hAnsi="Calibri" w:cs="Calibri"/>
          <w:color w:val="1A1A1A"/>
        </w:rPr>
        <w:t xml:space="preserve"> — </w:t>
      </w:r>
      <w:r>
        <w:rPr>
          <w:rFonts w:ascii="Calibri" w:eastAsia="Calibri" w:hAnsi="Calibri" w:cs="Calibri"/>
          <w:b/>
          <w:bCs/>
          <w:color w:val="1A1A1A"/>
        </w:rPr>
        <w:t>2021</w:t>
      </w:r>
      <w:r>
        <w:rPr>
          <w:rFonts w:ascii="Calibri" w:eastAsia="Calibri" w:hAnsi="Calibri" w:cs="Calibri"/>
          <w:color w:val="1A1A1A"/>
        </w:rPr>
        <w:t xml:space="preserve"> entrée en vigueur du </w:t>
      </w:r>
      <w:r>
        <w:rPr>
          <w:rFonts w:ascii="Calibri" w:eastAsia="Calibri" w:hAnsi="Calibri" w:cs="Calibri"/>
          <w:color w:val="1E88E5"/>
        </w:rPr>
        <w:t>Protocole n° 15</w:t>
      </w:r>
      <w:r>
        <w:rPr>
          <w:rFonts w:ascii="Calibri" w:eastAsia="Calibri" w:hAnsi="Calibri" w:cs="Calibri"/>
          <w:color w:val="1A1A1A"/>
        </w:rPr>
        <w:t xml:space="preserve"> (1er août) ; </w:t>
      </w:r>
      <w:r>
        <w:rPr>
          <w:rFonts w:ascii="Calibri" w:eastAsia="Calibri" w:hAnsi="Calibri" w:cs="Calibri"/>
          <w:color w:val="E91E63"/>
        </w:rPr>
        <w:t>CJUE, Commission c. Pologne, C-791/19</w:t>
      </w:r>
      <w:r>
        <w:rPr>
          <w:rFonts w:ascii="Calibri" w:eastAsia="Calibri" w:hAnsi="Calibri" w:cs="Calibri"/>
          <w:color w:val="1A1A1A"/>
        </w:rPr>
        <w:t xml:space="preserve"> — </w:t>
      </w:r>
      <w:r>
        <w:rPr>
          <w:rFonts w:ascii="Calibri" w:eastAsia="Calibri" w:hAnsi="Calibri" w:cs="Calibri"/>
          <w:b/>
          <w:bCs/>
          <w:color w:val="1A1A1A"/>
        </w:rPr>
        <w:t>2022</w:t>
      </w:r>
      <w:r>
        <w:rPr>
          <w:rFonts w:ascii="Calibri" w:eastAsia="Calibri" w:hAnsi="Calibri" w:cs="Calibri"/>
          <w:color w:val="1A1A1A"/>
        </w:rPr>
        <w:t xml:space="preserve"> exclusion de la Russie (16 mars / 16 septembre) — </w:t>
      </w:r>
      <w:r>
        <w:rPr>
          <w:rFonts w:ascii="Calibri" w:eastAsia="Calibri" w:hAnsi="Calibri" w:cs="Calibri"/>
          <w:b/>
          <w:bCs/>
          <w:color w:val="1A1A1A"/>
        </w:rPr>
        <w:t>2023</w:t>
      </w:r>
      <w:r>
        <w:rPr>
          <w:rFonts w:ascii="Calibri" w:eastAsia="Calibri" w:hAnsi="Calibri" w:cs="Calibri"/>
          <w:color w:val="1A1A1A"/>
        </w:rPr>
        <w:t xml:space="preserve"> accord provisoire d’adhésion (mars) ; </w:t>
      </w:r>
      <w:r>
        <w:rPr>
          <w:rFonts w:ascii="Calibri" w:eastAsia="Calibri" w:hAnsi="Calibri" w:cs="Calibri"/>
          <w:color w:val="E91E63"/>
        </w:rPr>
        <w:t>CEDH, Fedotova</w:t>
      </w:r>
      <w:r>
        <w:rPr>
          <w:rFonts w:ascii="Calibri" w:eastAsia="Calibri" w:hAnsi="Calibri" w:cs="Calibri"/>
          <w:color w:val="1A1A1A"/>
        </w:rPr>
        <w:t xml:space="preserve"> ; </w:t>
      </w:r>
      <w:r>
        <w:rPr>
          <w:rFonts w:ascii="Calibri" w:eastAsia="Calibri" w:hAnsi="Calibri" w:cs="Calibri"/>
          <w:color w:val="E91E63"/>
        </w:rPr>
        <w:t xml:space="preserve">CEDH, </w:t>
      </w:r>
      <w:proofErr w:type="spellStart"/>
      <w:r>
        <w:rPr>
          <w:rFonts w:ascii="Calibri" w:eastAsia="Calibri" w:hAnsi="Calibri" w:cs="Calibri"/>
          <w:color w:val="E91E63"/>
        </w:rPr>
        <w:t>Pivkina</w:t>
      </w:r>
      <w:proofErr w:type="spellEnd"/>
      <w:r>
        <w:rPr>
          <w:rFonts w:ascii="Calibri" w:eastAsia="Calibri" w:hAnsi="Calibri" w:cs="Calibri"/>
          <w:color w:val="1A1A1A"/>
        </w:rPr>
        <w:t xml:space="preserve"> — </w:t>
      </w:r>
      <w:r>
        <w:rPr>
          <w:rFonts w:ascii="Calibri" w:eastAsia="Calibri" w:hAnsi="Calibri" w:cs="Calibri"/>
          <w:b/>
          <w:bCs/>
          <w:color w:val="1A1A1A"/>
        </w:rPr>
        <w:t>2024</w:t>
      </w:r>
      <w:r>
        <w:rPr>
          <w:rFonts w:ascii="Calibri" w:eastAsia="Calibri" w:hAnsi="Calibri" w:cs="Calibri"/>
          <w:color w:val="1A1A1A"/>
        </w:rPr>
        <w:t xml:space="preserve"> </w:t>
      </w:r>
      <w:r>
        <w:rPr>
          <w:rFonts w:ascii="Calibri" w:eastAsia="Calibri" w:hAnsi="Calibri" w:cs="Calibri"/>
          <w:color w:val="E91E63"/>
        </w:rPr>
        <w:t xml:space="preserve">CEDH, </w:t>
      </w:r>
      <w:proofErr w:type="spellStart"/>
      <w:r>
        <w:rPr>
          <w:rFonts w:ascii="Calibri" w:eastAsia="Calibri" w:hAnsi="Calibri" w:cs="Calibri"/>
          <w:color w:val="E91E63"/>
        </w:rPr>
        <w:t>KlimaSeniorinnen</w:t>
      </w:r>
      <w:proofErr w:type="spellEnd"/>
      <w:r>
        <w:rPr>
          <w:rFonts w:ascii="Calibri" w:eastAsia="Calibri" w:hAnsi="Calibri" w:cs="Calibri"/>
          <w:color w:val="1A1A1A"/>
        </w:rPr>
        <w:t xml:space="preserve"> (9 avril) ; </w:t>
      </w:r>
      <w:r>
        <w:rPr>
          <w:rFonts w:ascii="Calibri" w:eastAsia="Calibri" w:hAnsi="Calibri" w:cs="Calibri"/>
          <w:color w:val="E91E63"/>
        </w:rPr>
        <w:t>CEDH, Domenjoud c. France</w:t>
      </w:r>
      <w:r>
        <w:rPr>
          <w:rFonts w:ascii="Calibri" w:eastAsia="Calibri" w:hAnsi="Calibri" w:cs="Calibri"/>
          <w:color w:val="1A1A1A"/>
        </w:rPr>
        <w:t xml:space="preserve"> (16 mai) ; </w:t>
      </w:r>
      <w:r>
        <w:rPr>
          <w:rFonts w:ascii="Calibri" w:eastAsia="Calibri" w:hAnsi="Calibri" w:cs="Calibri"/>
          <w:color w:val="1E88E5"/>
        </w:rPr>
        <w:t>Convention-cadre sur l’IA</w:t>
      </w:r>
      <w:r>
        <w:rPr>
          <w:rFonts w:ascii="Calibri" w:eastAsia="Calibri" w:hAnsi="Calibri" w:cs="Calibri"/>
          <w:color w:val="1A1A1A"/>
        </w:rPr>
        <w:t xml:space="preserve"> (5 septembre) ; </w:t>
      </w:r>
      <w:r>
        <w:rPr>
          <w:rFonts w:ascii="Calibri" w:eastAsia="Calibri" w:hAnsi="Calibri" w:cs="Calibri"/>
          <w:color w:val="1E88E5"/>
        </w:rPr>
        <w:t>IA Act</w:t>
      </w:r>
      <w:r>
        <w:rPr>
          <w:rFonts w:ascii="Calibri" w:eastAsia="Calibri" w:hAnsi="Calibri" w:cs="Calibri"/>
          <w:color w:val="1A1A1A"/>
        </w:rPr>
        <w:t xml:space="preserve"> (juin) — </w:t>
      </w:r>
      <w:r>
        <w:rPr>
          <w:rFonts w:ascii="Calibri" w:eastAsia="Calibri" w:hAnsi="Calibri" w:cs="Calibri"/>
          <w:b/>
          <w:bCs/>
          <w:color w:val="1A1A1A"/>
        </w:rPr>
        <w:t>2025</w:t>
      </w:r>
      <w:r>
        <w:rPr>
          <w:rFonts w:ascii="Calibri" w:eastAsia="Calibri" w:hAnsi="Calibri" w:cs="Calibri"/>
          <w:color w:val="1A1A1A"/>
        </w:rPr>
        <w:t xml:space="preserve"> </w:t>
      </w:r>
      <w:r>
        <w:rPr>
          <w:rFonts w:ascii="Calibri" w:eastAsia="Calibri" w:hAnsi="Calibri" w:cs="Calibri"/>
          <w:color w:val="1E88E5"/>
        </w:rPr>
        <w:t>Résolution 58/13</w:t>
      </w:r>
      <w:r>
        <w:rPr>
          <w:rFonts w:ascii="Calibri" w:eastAsia="Calibri" w:hAnsi="Calibri" w:cs="Calibri"/>
          <w:color w:val="1A1A1A"/>
        </w:rPr>
        <w:t xml:space="preserve"> sur les personnes âgées (3 avril) ; </w:t>
      </w:r>
      <w:r>
        <w:rPr>
          <w:rFonts w:ascii="Calibri" w:eastAsia="Calibri" w:hAnsi="Calibri" w:cs="Calibri"/>
          <w:color w:val="E91E63"/>
        </w:rPr>
        <w:t>CJUE, Commission c. Malte</w:t>
      </w:r>
      <w:r>
        <w:rPr>
          <w:rFonts w:ascii="Calibri" w:eastAsia="Calibri" w:hAnsi="Calibri" w:cs="Calibri"/>
          <w:color w:val="1A1A1A"/>
        </w:rPr>
        <w:t xml:space="preserve"> (29 avril) ; </w:t>
      </w:r>
      <w:r>
        <w:rPr>
          <w:rFonts w:ascii="Calibri" w:eastAsia="Calibri" w:hAnsi="Calibri" w:cs="Calibri"/>
          <w:color w:val="1E88E5"/>
        </w:rPr>
        <w:t>Convention sur la protection du métier d’avocat</w:t>
      </w:r>
      <w:r>
        <w:rPr>
          <w:rFonts w:ascii="Calibri" w:eastAsia="Calibri" w:hAnsi="Calibri" w:cs="Calibri"/>
          <w:color w:val="1A1A1A"/>
        </w:rPr>
        <w:t xml:space="preserve"> (13 mai) ; critique de la Cour par neuf chefs de gouvernement (22 mai) ; </w:t>
      </w:r>
      <w:r>
        <w:rPr>
          <w:rFonts w:ascii="Calibri" w:eastAsia="Calibri" w:hAnsi="Calibri" w:cs="Calibri"/>
          <w:color w:val="E91E63"/>
        </w:rPr>
        <w:t>CEDH, Ukraine et Pays-Bas c. Russie</w:t>
      </w:r>
      <w:r>
        <w:rPr>
          <w:rFonts w:ascii="Calibri" w:eastAsia="Calibri" w:hAnsi="Calibri" w:cs="Calibri"/>
          <w:color w:val="1A1A1A"/>
        </w:rPr>
        <w:t xml:space="preserve"> (9 juillet) ; </w:t>
      </w:r>
      <w:r>
        <w:rPr>
          <w:rFonts w:ascii="Calibri" w:eastAsia="Calibri" w:hAnsi="Calibri" w:cs="Calibri"/>
          <w:color w:val="E91E63"/>
        </w:rPr>
        <w:t>demande d’avis 1/25</w:t>
      </w:r>
      <w:r>
        <w:rPr>
          <w:rFonts w:ascii="Calibri" w:eastAsia="Calibri" w:hAnsi="Calibri" w:cs="Calibri"/>
          <w:color w:val="1A1A1A"/>
        </w:rPr>
        <w:t xml:space="preserve"> (21 novembre) — </w:t>
      </w:r>
      <w:r>
        <w:rPr>
          <w:rFonts w:ascii="Calibri" w:eastAsia="Calibri" w:hAnsi="Calibri" w:cs="Calibri"/>
          <w:b/>
          <w:bCs/>
          <w:color w:val="1A1A1A"/>
        </w:rPr>
        <w:t>2026</w:t>
      </w:r>
      <w:r>
        <w:rPr>
          <w:rFonts w:ascii="Calibri" w:eastAsia="Calibri" w:hAnsi="Calibri" w:cs="Calibri"/>
          <w:color w:val="1A1A1A"/>
        </w:rPr>
        <w:t xml:space="preserve"> ratification de la Convention-cadre sur l’IA par l’Union (15 mai).</w:t>
      </w:r>
    </w:p>
    <w:p w14:paraId="1F707E75" w14:textId="77777777" w:rsidR="00E0256F" w:rsidRDefault="00000000">
      <w:pPr>
        <w:pStyle w:val="Titre2"/>
        <w:spacing w:before="280" w:after="120"/>
      </w:pPr>
      <w:r>
        <w:rPr>
          <w:rFonts w:ascii="Calibri" w:eastAsia="Calibri" w:hAnsi="Calibri" w:cs="Calibri"/>
          <w:b/>
          <w:bCs/>
          <w:color w:val="1A1A1A"/>
          <w:sz w:val="24"/>
          <w:szCs w:val="24"/>
        </w:rPr>
        <w:t>II. Ajouts à l’index transversal</w:t>
      </w:r>
    </w:p>
    <w:p w14:paraId="39B00DAB"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Hiérarchie des normes et conflits de conventions</w:t>
      </w:r>
      <w:r>
        <w:rPr>
          <w:rFonts w:ascii="Calibri" w:eastAsia="Calibri" w:hAnsi="Calibri" w:cs="Calibri"/>
          <w:color w:val="1A1A1A"/>
        </w:rPr>
        <w:t xml:space="preserve"> → fiches 1 (</w:t>
      </w:r>
      <w:r>
        <w:rPr>
          <w:rFonts w:ascii="Calibri" w:eastAsia="Calibri" w:hAnsi="Calibri" w:cs="Calibri"/>
          <w:color w:val="E91E63"/>
        </w:rPr>
        <w:t>Sarran</w:t>
      </w:r>
      <w:r>
        <w:rPr>
          <w:rFonts w:ascii="Calibri" w:eastAsia="Calibri" w:hAnsi="Calibri" w:cs="Calibri"/>
          <w:color w:val="1A1A1A"/>
        </w:rPr>
        <w:t xml:space="preserve">, </w:t>
      </w:r>
      <w:r>
        <w:rPr>
          <w:rFonts w:ascii="Calibri" w:eastAsia="Calibri" w:hAnsi="Calibri" w:cs="Calibri"/>
          <w:color w:val="E91E63"/>
        </w:rPr>
        <w:t>Fraisse</w:t>
      </w:r>
      <w:r>
        <w:rPr>
          <w:rFonts w:ascii="Calibri" w:eastAsia="Calibri" w:hAnsi="Calibri" w:cs="Calibri"/>
          <w:color w:val="1A1A1A"/>
        </w:rPr>
        <w:t xml:space="preserve">, </w:t>
      </w:r>
      <w:r>
        <w:rPr>
          <w:rFonts w:ascii="Calibri" w:eastAsia="Calibri" w:hAnsi="Calibri" w:cs="Calibri"/>
          <w:color w:val="E91E63"/>
        </w:rPr>
        <w:t>Melloni</w:t>
      </w:r>
      <w:r>
        <w:rPr>
          <w:rFonts w:ascii="Calibri" w:eastAsia="Calibri" w:hAnsi="Calibri" w:cs="Calibri"/>
          <w:color w:val="1A1A1A"/>
        </w:rPr>
        <w:t>), 9 (Kelsen), 10 (contrôle de conventionnalité), 12 (</w:t>
      </w:r>
      <w:r>
        <w:rPr>
          <w:rFonts w:ascii="Calibri" w:eastAsia="Calibri" w:hAnsi="Calibri" w:cs="Calibri"/>
          <w:color w:val="E91E63"/>
        </w:rPr>
        <w:t>CPJI 1932</w:t>
      </w:r>
      <w:r>
        <w:rPr>
          <w:rFonts w:ascii="Calibri" w:eastAsia="Calibri" w:hAnsi="Calibri" w:cs="Calibri"/>
          <w:color w:val="1A1A1A"/>
        </w:rPr>
        <w:t xml:space="preserve">, </w:t>
      </w:r>
      <w:r>
        <w:rPr>
          <w:rFonts w:ascii="Calibri" w:eastAsia="Calibri" w:hAnsi="Calibri" w:cs="Calibri"/>
          <w:color w:val="E91E63"/>
        </w:rPr>
        <w:t>Kadi</w:t>
      </w:r>
      <w:r>
        <w:rPr>
          <w:rFonts w:ascii="Calibri" w:eastAsia="Calibri" w:hAnsi="Calibri" w:cs="Calibri"/>
          <w:color w:val="1A1A1A"/>
        </w:rPr>
        <w:t xml:space="preserve">, </w:t>
      </w:r>
      <w:r>
        <w:rPr>
          <w:rFonts w:ascii="Calibri" w:eastAsia="Calibri" w:hAnsi="Calibri" w:cs="Calibri"/>
          <w:color w:val="E91E63"/>
        </w:rPr>
        <w:t>Nada</w:t>
      </w:r>
      <w:r>
        <w:rPr>
          <w:rFonts w:ascii="Calibri" w:eastAsia="Calibri" w:hAnsi="Calibri" w:cs="Calibri"/>
          <w:color w:val="1A1A1A"/>
        </w:rPr>
        <w:t xml:space="preserve">, </w:t>
      </w:r>
      <w:proofErr w:type="spellStart"/>
      <w:r>
        <w:rPr>
          <w:rFonts w:ascii="Calibri" w:eastAsia="Calibri" w:hAnsi="Calibri" w:cs="Calibri"/>
          <w:color w:val="E91E63"/>
        </w:rPr>
        <w:t>Larachi</w:t>
      </w:r>
      <w:proofErr w:type="spellEnd"/>
      <w:r>
        <w:rPr>
          <w:rFonts w:ascii="Calibri" w:eastAsia="Calibri" w:hAnsi="Calibri" w:cs="Calibri"/>
          <w:color w:val="1A1A1A"/>
        </w:rPr>
        <w:t>), 14 (primauté conventionnelle), 15 (</w:t>
      </w:r>
      <w:r>
        <w:rPr>
          <w:rFonts w:ascii="Calibri" w:eastAsia="Calibri" w:hAnsi="Calibri" w:cs="Calibri"/>
          <w:color w:val="E91E63"/>
        </w:rPr>
        <w:t>Solange I</w:t>
      </w:r>
      <w:r>
        <w:rPr>
          <w:rFonts w:ascii="Calibri" w:eastAsia="Calibri" w:hAnsi="Calibri" w:cs="Calibri"/>
          <w:color w:val="1A1A1A"/>
        </w:rPr>
        <w:t xml:space="preserve">, </w:t>
      </w:r>
      <w:r>
        <w:rPr>
          <w:rFonts w:ascii="Calibri" w:eastAsia="Calibri" w:hAnsi="Calibri" w:cs="Calibri"/>
          <w:color w:val="E91E63"/>
        </w:rPr>
        <w:t>Omega</w:t>
      </w:r>
      <w:r>
        <w:rPr>
          <w:rFonts w:ascii="Calibri" w:eastAsia="Calibri" w:hAnsi="Calibri" w:cs="Calibri"/>
          <w:color w:val="1A1A1A"/>
        </w:rPr>
        <w:t xml:space="preserve">, </w:t>
      </w:r>
      <w:r>
        <w:rPr>
          <w:rFonts w:ascii="Calibri" w:eastAsia="Calibri" w:hAnsi="Calibri" w:cs="Calibri"/>
          <w:color w:val="E91E63"/>
        </w:rPr>
        <w:t>Melloni</w:t>
      </w:r>
      <w:r>
        <w:rPr>
          <w:rFonts w:ascii="Calibri" w:eastAsia="Calibri" w:hAnsi="Calibri" w:cs="Calibri"/>
          <w:color w:val="1A1A1A"/>
        </w:rPr>
        <w:t>).</w:t>
      </w:r>
    </w:p>
    <w:p w14:paraId="320937AF"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Marge nationale d’appréciation et subsidiarité</w:t>
      </w:r>
      <w:r>
        <w:rPr>
          <w:rFonts w:ascii="Calibri" w:eastAsia="Calibri" w:hAnsi="Calibri" w:cs="Calibri"/>
          <w:color w:val="1A1A1A"/>
        </w:rPr>
        <w:t xml:space="preserve"> → fiches 5 (</w:t>
      </w:r>
      <w:r>
        <w:rPr>
          <w:rFonts w:ascii="Calibri" w:eastAsia="Calibri" w:hAnsi="Calibri" w:cs="Calibri"/>
          <w:color w:val="E91E63"/>
        </w:rPr>
        <w:t>Schalk et Kopf</w:t>
      </w:r>
      <w:r>
        <w:rPr>
          <w:rFonts w:ascii="Calibri" w:eastAsia="Calibri" w:hAnsi="Calibri" w:cs="Calibri"/>
          <w:color w:val="1A1A1A"/>
        </w:rPr>
        <w:t>), 12 (relativisme culturel), 14 (</w:t>
      </w:r>
      <w:r>
        <w:rPr>
          <w:rFonts w:ascii="Calibri" w:eastAsia="Calibri" w:hAnsi="Calibri" w:cs="Calibri"/>
          <w:color w:val="1E88E5"/>
        </w:rPr>
        <w:t>Protocole n° 15</w:t>
      </w:r>
      <w:r>
        <w:rPr>
          <w:rFonts w:ascii="Calibri" w:eastAsia="Calibri" w:hAnsi="Calibri" w:cs="Calibri"/>
          <w:color w:val="1A1A1A"/>
        </w:rPr>
        <w:t xml:space="preserve">, </w:t>
      </w:r>
      <w:r>
        <w:rPr>
          <w:rFonts w:ascii="Calibri" w:eastAsia="Calibri" w:hAnsi="Calibri" w:cs="Calibri"/>
          <w:color w:val="E91E63"/>
        </w:rPr>
        <w:t>Affaire linguistique belge</w:t>
      </w:r>
      <w:r>
        <w:rPr>
          <w:rFonts w:ascii="Calibri" w:eastAsia="Calibri" w:hAnsi="Calibri" w:cs="Calibri"/>
          <w:color w:val="1A1A1A"/>
        </w:rPr>
        <w:t xml:space="preserve">, </w:t>
      </w:r>
      <w:r>
        <w:rPr>
          <w:rFonts w:ascii="Calibri" w:eastAsia="Calibri" w:hAnsi="Calibri" w:cs="Calibri"/>
          <w:color w:val="E91E63"/>
        </w:rPr>
        <w:t>Belilos</w:t>
      </w:r>
      <w:r>
        <w:rPr>
          <w:rFonts w:ascii="Calibri" w:eastAsia="Calibri" w:hAnsi="Calibri" w:cs="Calibri"/>
          <w:color w:val="1A1A1A"/>
        </w:rPr>
        <w:t xml:space="preserve">, </w:t>
      </w:r>
      <w:proofErr w:type="spellStart"/>
      <w:r>
        <w:rPr>
          <w:rFonts w:ascii="Calibri" w:eastAsia="Calibri" w:hAnsi="Calibri" w:cs="Calibri"/>
          <w:color w:val="E91E63"/>
        </w:rPr>
        <w:t>Kemmache</w:t>
      </w:r>
      <w:proofErr w:type="spellEnd"/>
      <w:r>
        <w:rPr>
          <w:rFonts w:ascii="Calibri" w:eastAsia="Calibri" w:hAnsi="Calibri" w:cs="Calibri"/>
          <w:color w:val="1A1A1A"/>
        </w:rPr>
        <w:t>).</w:t>
      </w:r>
    </w:p>
    <w:p w14:paraId="26A9F0E5"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Droits indérogeables et dérogation</w:t>
      </w:r>
      <w:r>
        <w:rPr>
          <w:rFonts w:ascii="Calibri" w:eastAsia="Calibri" w:hAnsi="Calibri" w:cs="Calibri"/>
          <w:color w:val="1A1A1A"/>
        </w:rPr>
        <w:t xml:space="preserve"> → fiches 7 (</w:t>
      </w:r>
      <w:r>
        <w:rPr>
          <w:rFonts w:ascii="Calibri" w:eastAsia="Calibri" w:hAnsi="Calibri" w:cs="Calibri"/>
          <w:color w:val="1E88E5"/>
        </w:rPr>
        <w:t>art. 4 PIDCP</w:t>
      </w:r>
      <w:r>
        <w:rPr>
          <w:rFonts w:ascii="Calibri" w:eastAsia="Calibri" w:hAnsi="Calibri" w:cs="Calibri"/>
          <w:color w:val="1A1A1A"/>
        </w:rPr>
        <w:t xml:space="preserve">, </w:t>
      </w:r>
      <w:r>
        <w:rPr>
          <w:rFonts w:ascii="Calibri" w:eastAsia="Calibri" w:hAnsi="Calibri" w:cs="Calibri"/>
          <w:color w:val="1E88E5"/>
        </w:rPr>
        <w:t>art. 15 CEDH</w:t>
      </w:r>
      <w:r>
        <w:rPr>
          <w:rFonts w:ascii="Calibri" w:eastAsia="Calibri" w:hAnsi="Calibri" w:cs="Calibri"/>
          <w:color w:val="1A1A1A"/>
        </w:rPr>
        <w:t>), 13 (</w:t>
      </w:r>
      <w:r>
        <w:rPr>
          <w:rFonts w:ascii="Calibri" w:eastAsia="Calibri" w:hAnsi="Calibri" w:cs="Calibri"/>
          <w:color w:val="1E88E5"/>
        </w:rPr>
        <w:t>art. 4 PIDCP</w:t>
      </w:r>
      <w:r>
        <w:rPr>
          <w:rFonts w:ascii="Calibri" w:eastAsia="Calibri" w:hAnsi="Calibri" w:cs="Calibri"/>
          <w:color w:val="1A1A1A"/>
        </w:rPr>
        <w:t xml:space="preserve">, notification au Secrétaire général), 14 (droits absolus, </w:t>
      </w:r>
      <w:r>
        <w:rPr>
          <w:rFonts w:ascii="Calibri" w:eastAsia="Calibri" w:hAnsi="Calibri" w:cs="Calibri"/>
          <w:color w:val="E91E63"/>
        </w:rPr>
        <w:t>Lawless</w:t>
      </w:r>
      <w:r>
        <w:rPr>
          <w:rFonts w:ascii="Calibri" w:eastAsia="Calibri" w:hAnsi="Calibri" w:cs="Calibri"/>
          <w:color w:val="1A1A1A"/>
        </w:rPr>
        <w:t xml:space="preserve">, </w:t>
      </w:r>
      <w:r>
        <w:rPr>
          <w:rFonts w:ascii="Calibri" w:eastAsia="Calibri" w:hAnsi="Calibri" w:cs="Calibri"/>
          <w:color w:val="E91E63"/>
        </w:rPr>
        <w:t>Domenjoud</w:t>
      </w:r>
      <w:r>
        <w:rPr>
          <w:rFonts w:ascii="Calibri" w:eastAsia="Calibri" w:hAnsi="Calibri" w:cs="Calibri"/>
          <w:color w:val="1A1A1A"/>
        </w:rPr>
        <w:t>).</w:t>
      </w:r>
    </w:p>
    <w:p w14:paraId="608B3D22"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Universalité et relativisme culturel</w:t>
      </w:r>
      <w:r>
        <w:rPr>
          <w:rFonts w:ascii="Calibri" w:eastAsia="Calibri" w:hAnsi="Calibri" w:cs="Calibri"/>
          <w:color w:val="1A1A1A"/>
        </w:rPr>
        <w:t xml:space="preserve"> → fiches 5 (Donnelly, consensus de Bangkok), 12 (hégémonisme occidental, systèmes régionaux, </w:t>
      </w:r>
      <w:r>
        <w:rPr>
          <w:rFonts w:ascii="Calibri" w:eastAsia="Calibri" w:hAnsi="Calibri" w:cs="Calibri"/>
          <w:color w:val="E91E63"/>
        </w:rPr>
        <w:t>Refah Partisi</w:t>
      </w:r>
      <w:r>
        <w:rPr>
          <w:rFonts w:ascii="Calibri" w:eastAsia="Calibri" w:hAnsi="Calibri" w:cs="Calibri"/>
          <w:color w:val="1A1A1A"/>
        </w:rPr>
        <w:t>), 13 (réserves).</w:t>
      </w:r>
    </w:p>
    <w:p w14:paraId="58B5272E"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Effet direct et invocabilité</w:t>
      </w:r>
      <w:r>
        <w:rPr>
          <w:rFonts w:ascii="Calibri" w:eastAsia="Calibri" w:hAnsi="Calibri" w:cs="Calibri"/>
          <w:color w:val="1A1A1A"/>
        </w:rPr>
        <w:t xml:space="preserve"> → fiches 10 (contrôle de conventionnalité, </w:t>
      </w:r>
      <w:r>
        <w:rPr>
          <w:rFonts w:ascii="Calibri" w:eastAsia="Calibri" w:hAnsi="Calibri" w:cs="Calibri"/>
          <w:color w:val="E91E63"/>
        </w:rPr>
        <w:t>Jacques Vabre</w:t>
      </w:r>
      <w:r>
        <w:rPr>
          <w:rFonts w:ascii="Calibri" w:eastAsia="Calibri" w:hAnsi="Calibri" w:cs="Calibri"/>
          <w:color w:val="1A1A1A"/>
        </w:rPr>
        <w:t xml:space="preserve">, </w:t>
      </w:r>
      <w:r>
        <w:rPr>
          <w:rFonts w:ascii="Calibri" w:eastAsia="Calibri" w:hAnsi="Calibri" w:cs="Calibri"/>
          <w:color w:val="E91E63"/>
        </w:rPr>
        <w:t>Nicolo</w:t>
      </w:r>
      <w:r>
        <w:rPr>
          <w:rFonts w:ascii="Calibri" w:eastAsia="Calibri" w:hAnsi="Calibri" w:cs="Calibri"/>
          <w:color w:val="1A1A1A"/>
        </w:rPr>
        <w:t>), 13 (DUDH non invocable, Pactes invocables), 14 (</w:t>
      </w:r>
      <w:r>
        <w:rPr>
          <w:rFonts w:ascii="Calibri" w:eastAsia="Calibri" w:hAnsi="Calibri" w:cs="Calibri"/>
          <w:color w:val="E91E63"/>
        </w:rPr>
        <w:t>Respino</w:t>
      </w:r>
      <w:r>
        <w:rPr>
          <w:rFonts w:ascii="Calibri" w:eastAsia="Calibri" w:hAnsi="Calibri" w:cs="Calibri"/>
          <w:color w:val="1A1A1A"/>
        </w:rPr>
        <w:t>, effet horizontal), 15 (</w:t>
      </w:r>
      <w:r>
        <w:rPr>
          <w:rFonts w:ascii="Calibri" w:eastAsia="Calibri" w:hAnsi="Calibri" w:cs="Calibri"/>
          <w:color w:val="1E88E5"/>
        </w:rPr>
        <w:t>art. 51 § 1</w:t>
      </w:r>
      <w:r>
        <w:rPr>
          <w:rFonts w:ascii="Calibri" w:eastAsia="Calibri" w:hAnsi="Calibri" w:cs="Calibri"/>
          <w:color w:val="1A1A1A"/>
        </w:rPr>
        <w:t xml:space="preserve">, </w:t>
      </w:r>
      <w:proofErr w:type="spellStart"/>
      <w:r>
        <w:rPr>
          <w:rFonts w:ascii="Calibri" w:eastAsia="Calibri" w:hAnsi="Calibri" w:cs="Calibri"/>
          <w:color w:val="E91E63"/>
        </w:rPr>
        <w:t>Kremzow</w:t>
      </w:r>
      <w:proofErr w:type="spellEnd"/>
      <w:r>
        <w:rPr>
          <w:rFonts w:ascii="Calibri" w:eastAsia="Calibri" w:hAnsi="Calibri" w:cs="Calibri"/>
          <w:color w:val="1A1A1A"/>
        </w:rPr>
        <w:t xml:space="preserve">, </w:t>
      </w:r>
      <w:r>
        <w:rPr>
          <w:rFonts w:ascii="Calibri" w:eastAsia="Calibri" w:hAnsi="Calibri" w:cs="Calibri"/>
          <w:color w:val="E91E63"/>
        </w:rPr>
        <w:t>Siragusa</w:t>
      </w:r>
      <w:r>
        <w:rPr>
          <w:rFonts w:ascii="Calibri" w:eastAsia="Calibri" w:hAnsi="Calibri" w:cs="Calibri"/>
          <w:color w:val="1A1A1A"/>
        </w:rPr>
        <w:t>).</w:t>
      </w:r>
    </w:p>
    <w:p w14:paraId="38ACE3C8"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Intelligence artificielle et données personnelles</w:t>
      </w:r>
      <w:r>
        <w:rPr>
          <w:rFonts w:ascii="Calibri" w:eastAsia="Calibri" w:hAnsi="Calibri" w:cs="Calibri"/>
          <w:color w:val="1A1A1A"/>
        </w:rPr>
        <w:t xml:space="preserve"> → fiches 1 (</w:t>
      </w:r>
      <w:proofErr w:type="spellStart"/>
      <w:r>
        <w:rPr>
          <w:rFonts w:ascii="Calibri" w:eastAsia="Calibri" w:hAnsi="Calibri" w:cs="Calibri"/>
          <w:color w:val="1A1A1A"/>
        </w:rPr>
        <w:t>neurodroits</w:t>
      </w:r>
      <w:proofErr w:type="spellEnd"/>
      <w:r>
        <w:rPr>
          <w:rFonts w:ascii="Calibri" w:eastAsia="Calibri" w:hAnsi="Calibri" w:cs="Calibri"/>
          <w:color w:val="1A1A1A"/>
        </w:rPr>
        <w:t>), 4 (</w:t>
      </w:r>
      <w:r>
        <w:rPr>
          <w:rFonts w:ascii="Calibri" w:eastAsia="Calibri" w:hAnsi="Calibri" w:cs="Calibri"/>
          <w:color w:val="E91E63"/>
        </w:rPr>
        <w:t>SCHUFA</w:t>
      </w:r>
      <w:r>
        <w:rPr>
          <w:rFonts w:ascii="Calibri" w:eastAsia="Calibri" w:hAnsi="Calibri" w:cs="Calibri"/>
          <w:color w:val="1A1A1A"/>
        </w:rPr>
        <w:t>, IA Act), 8 (critères actualisés de l’État de droit), 14 (Convention-cadre du Conseil de l’Europe, Convention données de 1985), 15 (RGPD, IA Act).</w:t>
      </w:r>
    </w:p>
    <w:p w14:paraId="5BAB41DA"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Environnement et climat</w:t>
      </w:r>
      <w:r>
        <w:rPr>
          <w:rFonts w:ascii="Calibri" w:eastAsia="Calibri" w:hAnsi="Calibri" w:cs="Calibri"/>
          <w:color w:val="1A1A1A"/>
        </w:rPr>
        <w:t xml:space="preserve"> → fiches 4 (3e génération, </w:t>
      </w:r>
      <w:r>
        <w:rPr>
          <w:rFonts w:ascii="Calibri" w:eastAsia="Calibri" w:hAnsi="Calibri" w:cs="Calibri"/>
          <w:color w:val="E91E63"/>
        </w:rPr>
        <w:t>CE ord. 2022</w:t>
      </w:r>
      <w:r>
        <w:rPr>
          <w:rFonts w:ascii="Calibri" w:eastAsia="Calibri" w:hAnsi="Calibri" w:cs="Calibri"/>
          <w:color w:val="1A1A1A"/>
        </w:rPr>
        <w:t>), 9 (Charte de l’environnement), 14 (</w:t>
      </w:r>
      <w:proofErr w:type="spellStart"/>
      <w:r>
        <w:rPr>
          <w:rFonts w:ascii="Calibri" w:eastAsia="Calibri" w:hAnsi="Calibri" w:cs="Calibri"/>
          <w:color w:val="E91E63"/>
        </w:rPr>
        <w:t>KlimaSeniorinnen</w:t>
      </w:r>
      <w:proofErr w:type="spellEnd"/>
      <w:r>
        <w:rPr>
          <w:rFonts w:ascii="Calibri" w:eastAsia="Calibri" w:hAnsi="Calibri" w:cs="Calibri"/>
          <w:color w:val="1A1A1A"/>
        </w:rPr>
        <w:t>).</w:t>
      </w:r>
    </w:p>
    <w:p w14:paraId="540A2C00" w14:textId="77777777" w:rsidR="00E0256F" w:rsidRDefault="00000000">
      <w:pPr>
        <w:pStyle w:val="Paragraphedeliste"/>
        <w:numPr>
          <w:ilvl w:val="0"/>
          <w:numId w:val="2"/>
        </w:numPr>
        <w:spacing w:after="70" w:line="264" w:lineRule="auto"/>
        <w:jc w:val="both"/>
      </w:pPr>
      <w:r>
        <w:rPr>
          <w:rFonts w:ascii="Calibri" w:eastAsia="Calibri" w:hAnsi="Calibri" w:cs="Calibri"/>
          <w:b/>
          <w:bCs/>
          <w:color w:val="1A1A1A"/>
        </w:rPr>
        <w:t>État de droit et sanctions européennes</w:t>
      </w:r>
      <w:r>
        <w:rPr>
          <w:rFonts w:ascii="Calibri" w:eastAsia="Calibri" w:hAnsi="Calibri" w:cs="Calibri"/>
          <w:color w:val="1A1A1A"/>
        </w:rPr>
        <w:t xml:space="preserve"> → fiches 8 (</w:t>
      </w:r>
      <w:r>
        <w:rPr>
          <w:rFonts w:ascii="Calibri" w:eastAsia="Calibri" w:hAnsi="Calibri" w:cs="Calibri"/>
          <w:color w:val="1E88E5"/>
        </w:rPr>
        <w:t>art. 7 TUE</w:t>
      </w:r>
      <w:r>
        <w:rPr>
          <w:rFonts w:ascii="Calibri" w:eastAsia="Calibri" w:hAnsi="Calibri" w:cs="Calibri"/>
          <w:color w:val="1A1A1A"/>
        </w:rPr>
        <w:t xml:space="preserve">, </w:t>
      </w:r>
      <w:r>
        <w:rPr>
          <w:rFonts w:ascii="Calibri" w:eastAsia="Calibri" w:hAnsi="Calibri" w:cs="Calibri"/>
          <w:color w:val="1E88E5"/>
        </w:rPr>
        <w:t>art. 258 TFUE</w:t>
      </w:r>
      <w:r>
        <w:rPr>
          <w:rFonts w:ascii="Calibri" w:eastAsia="Calibri" w:hAnsi="Calibri" w:cs="Calibri"/>
          <w:color w:val="1A1A1A"/>
        </w:rPr>
        <w:t xml:space="preserve">, conditionnalité, </w:t>
      </w:r>
      <w:r>
        <w:rPr>
          <w:rFonts w:ascii="Calibri" w:eastAsia="Calibri" w:hAnsi="Calibri" w:cs="Calibri"/>
          <w:color w:val="E91E63"/>
        </w:rPr>
        <w:t>C-448/23</w:t>
      </w:r>
      <w:r>
        <w:rPr>
          <w:rFonts w:ascii="Calibri" w:eastAsia="Calibri" w:hAnsi="Calibri" w:cs="Calibri"/>
          <w:color w:val="1A1A1A"/>
        </w:rPr>
        <w:t>), 12 (</w:t>
      </w:r>
      <w:r>
        <w:rPr>
          <w:rFonts w:ascii="Calibri" w:eastAsia="Calibri" w:hAnsi="Calibri" w:cs="Calibri"/>
          <w:color w:val="E91E63"/>
        </w:rPr>
        <w:t>Commission c. Pologne, C-791/19</w:t>
      </w:r>
      <w:r>
        <w:rPr>
          <w:rFonts w:ascii="Calibri" w:eastAsia="Calibri" w:hAnsi="Calibri" w:cs="Calibri"/>
          <w:color w:val="1A1A1A"/>
        </w:rPr>
        <w:t>), 15 (Hongrie, Pologne, clôture de la procédure).</w:t>
      </w:r>
    </w:p>
    <w:sectPr w:rsidR="00E0256F">
      <w:footerReference w:type="default" r:id="rId7"/>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EAA77E" w14:textId="77777777" w:rsidR="00854475" w:rsidRDefault="00854475">
      <w:r>
        <w:separator/>
      </w:r>
    </w:p>
  </w:endnote>
  <w:endnote w:type="continuationSeparator" w:id="0">
    <w:p w14:paraId="43912241" w14:textId="77777777" w:rsidR="00854475" w:rsidRDefault="00854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1F0958" w14:textId="77777777" w:rsidR="00E0256F" w:rsidRDefault="00000000">
    <w:pPr>
      <w:jc w:val="center"/>
    </w:pPr>
    <w:r>
      <w:rPr>
        <w:rFonts w:ascii="Calibri" w:eastAsia="Calibri" w:hAnsi="Calibri" w:cs="Calibri"/>
        <w:color w:val="5A5A5A"/>
        <w:sz w:val="15"/>
        <w:szCs w:val="15"/>
      </w:rPr>
      <w:t xml:space="preserve">Grand Oral CRFPA — Libertés publiques et droits fondamentaux — Partie III   |   </w:t>
    </w:r>
    <w:r>
      <w:rPr>
        <w:rFonts w:ascii="Calibri" w:eastAsia="Calibri" w:hAnsi="Calibri" w:cs="Calibri"/>
        <w:color w:val="5A5A5A"/>
        <w:sz w:val="15"/>
        <w:szCs w:val="15"/>
      </w:rPr>
      <w:fldChar w:fldCharType="begin"/>
    </w:r>
    <w:r>
      <w:rPr>
        <w:rFonts w:ascii="Calibri" w:eastAsia="Calibri" w:hAnsi="Calibri" w:cs="Calibri"/>
        <w:color w:val="5A5A5A"/>
        <w:sz w:val="15"/>
        <w:szCs w:val="15"/>
      </w:rPr>
      <w:instrText>PAGE</w:instrText>
    </w:r>
    <w:r>
      <w:rPr>
        <w:rFonts w:ascii="Calibri" w:eastAsia="Calibri" w:hAnsi="Calibri" w:cs="Calibri"/>
        <w:color w:val="5A5A5A"/>
        <w:sz w:val="15"/>
        <w:szCs w:val="15"/>
      </w:rPr>
      <w:fldChar w:fldCharType="separate"/>
    </w:r>
    <w:r w:rsidR="002715F4">
      <w:rPr>
        <w:rFonts w:ascii="Calibri" w:eastAsia="Calibri" w:hAnsi="Calibri" w:cs="Calibri"/>
        <w:noProof/>
        <w:color w:val="5A5A5A"/>
        <w:sz w:val="15"/>
        <w:szCs w:val="15"/>
      </w:rPr>
      <w:t>1</w:t>
    </w:r>
    <w:r>
      <w:rPr>
        <w:rFonts w:ascii="Calibri" w:eastAsia="Calibri" w:hAnsi="Calibri" w:cs="Calibri"/>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320B69" w14:textId="77777777" w:rsidR="00854475" w:rsidRDefault="00854475">
      <w:r>
        <w:separator/>
      </w:r>
    </w:p>
  </w:footnote>
  <w:footnote w:type="continuationSeparator" w:id="0">
    <w:p w14:paraId="097A2FE5" w14:textId="77777777" w:rsidR="00854475" w:rsidRDefault="008544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4F0D88"/>
    <w:multiLevelType w:val="hybridMultilevel"/>
    <w:tmpl w:val="994EAA84"/>
    <w:lvl w:ilvl="0" w:tplc="1D8A8CD8">
      <w:start w:val="1"/>
      <w:numFmt w:val="bullet"/>
      <w:lvlText w:val="●"/>
      <w:lvlJc w:val="left"/>
      <w:pPr>
        <w:ind w:left="720" w:hanging="360"/>
      </w:pPr>
    </w:lvl>
    <w:lvl w:ilvl="1" w:tplc="BE926868">
      <w:start w:val="1"/>
      <w:numFmt w:val="bullet"/>
      <w:lvlText w:val="○"/>
      <w:lvlJc w:val="left"/>
      <w:pPr>
        <w:ind w:left="1440" w:hanging="360"/>
      </w:pPr>
    </w:lvl>
    <w:lvl w:ilvl="2" w:tplc="CA26B58C">
      <w:start w:val="1"/>
      <w:numFmt w:val="bullet"/>
      <w:lvlText w:val="■"/>
      <w:lvlJc w:val="left"/>
      <w:pPr>
        <w:ind w:left="2160" w:hanging="360"/>
      </w:pPr>
    </w:lvl>
    <w:lvl w:ilvl="3" w:tplc="55EA5634">
      <w:start w:val="1"/>
      <w:numFmt w:val="bullet"/>
      <w:lvlText w:val="●"/>
      <w:lvlJc w:val="left"/>
      <w:pPr>
        <w:ind w:left="2880" w:hanging="360"/>
      </w:pPr>
    </w:lvl>
    <w:lvl w:ilvl="4" w:tplc="7DA8F8AE">
      <w:start w:val="1"/>
      <w:numFmt w:val="bullet"/>
      <w:lvlText w:val="○"/>
      <w:lvlJc w:val="left"/>
      <w:pPr>
        <w:ind w:left="3600" w:hanging="360"/>
      </w:pPr>
    </w:lvl>
    <w:lvl w:ilvl="5" w:tplc="E9A62862">
      <w:start w:val="1"/>
      <w:numFmt w:val="bullet"/>
      <w:lvlText w:val="■"/>
      <w:lvlJc w:val="left"/>
      <w:pPr>
        <w:ind w:left="4320" w:hanging="360"/>
      </w:pPr>
    </w:lvl>
    <w:lvl w:ilvl="6" w:tplc="B5F88722">
      <w:start w:val="1"/>
      <w:numFmt w:val="bullet"/>
      <w:lvlText w:val="●"/>
      <w:lvlJc w:val="left"/>
      <w:pPr>
        <w:ind w:left="5040" w:hanging="360"/>
      </w:pPr>
    </w:lvl>
    <w:lvl w:ilvl="7" w:tplc="887A3E1E">
      <w:start w:val="1"/>
      <w:numFmt w:val="bullet"/>
      <w:lvlText w:val="●"/>
      <w:lvlJc w:val="left"/>
      <w:pPr>
        <w:ind w:left="5760" w:hanging="360"/>
      </w:pPr>
    </w:lvl>
    <w:lvl w:ilvl="8" w:tplc="57B6542C">
      <w:start w:val="1"/>
      <w:numFmt w:val="bullet"/>
      <w:lvlText w:val="●"/>
      <w:lvlJc w:val="left"/>
      <w:pPr>
        <w:ind w:left="6480" w:hanging="360"/>
      </w:pPr>
    </w:lvl>
  </w:abstractNum>
  <w:abstractNum w:abstractNumId="1" w15:restartNumberingAfterBreak="0">
    <w:nsid w:val="507F61E3"/>
    <w:multiLevelType w:val="hybridMultilevel"/>
    <w:tmpl w:val="2E26E71A"/>
    <w:lvl w:ilvl="0" w:tplc="756E945C">
      <w:start w:val="1"/>
      <w:numFmt w:val="bullet"/>
      <w:lvlText w:val="▪"/>
      <w:lvlJc w:val="left"/>
      <w:pPr>
        <w:ind w:left="340" w:hanging="200"/>
      </w:pPr>
    </w:lvl>
    <w:lvl w:ilvl="1" w:tplc="100E2684">
      <w:start w:val="1"/>
      <w:numFmt w:val="bullet"/>
      <w:lvlText w:val="–"/>
      <w:lvlJc w:val="left"/>
      <w:pPr>
        <w:ind w:left="700" w:hanging="200"/>
      </w:pPr>
    </w:lvl>
    <w:lvl w:ilvl="2" w:tplc="16B0B694">
      <w:start w:val="1"/>
      <w:numFmt w:val="bullet"/>
      <w:lvlText w:val="·"/>
      <w:lvlJc w:val="left"/>
      <w:pPr>
        <w:ind w:left="1060" w:hanging="200"/>
      </w:pPr>
    </w:lvl>
    <w:lvl w:ilvl="3" w:tplc="F70C3852">
      <w:numFmt w:val="decimal"/>
      <w:lvlText w:val=""/>
      <w:lvlJc w:val="left"/>
    </w:lvl>
    <w:lvl w:ilvl="4" w:tplc="FFCCEE9E">
      <w:numFmt w:val="decimal"/>
      <w:lvlText w:val=""/>
      <w:lvlJc w:val="left"/>
    </w:lvl>
    <w:lvl w:ilvl="5" w:tplc="E17CF66C">
      <w:numFmt w:val="decimal"/>
      <w:lvlText w:val=""/>
      <w:lvlJc w:val="left"/>
    </w:lvl>
    <w:lvl w:ilvl="6" w:tplc="465CB99A">
      <w:numFmt w:val="decimal"/>
      <w:lvlText w:val=""/>
      <w:lvlJc w:val="left"/>
    </w:lvl>
    <w:lvl w:ilvl="7" w:tplc="F0E87BA2">
      <w:numFmt w:val="decimal"/>
      <w:lvlText w:val=""/>
      <w:lvlJc w:val="left"/>
    </w:lvl>
    <w:lvl w:ilvl="8" w:tplc="52A4D812">
      <w:numFmt w:val="decimal"/>
      <w:lvlText w:val=""/>
      <w:lvlJc w:val="left"/>
    </w:lvl>
  </w:abstractNum>
  <w:num w:numId="1" w16cid:durableId="2054191610">
    <w:abstractNumId w:val="0"/>
    <w:lvlOverride w:ilvl="0">
      <w:startOverride w:val="1"/>
    </w:lvlOverride>
  </w:num>
  <w:num w:numId="2" w16cid:durableId="158193972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56F"/>
    <w:rsid w:val="00246F43"/>
    <w:rsid w:val="002715F4"/>
    <w:rsid w:val="00590759"/>
    <w:rsid w:val="005F6D51"/>
    <w:rsid w:val="006413FF"/>
    <w:rsid w:val="00854475"/>
    <w:rsid w:val="008A29E1"/>
    <w:rsid w:val="008F59D0"/>
    <w:rsid w:val="009D5F76"/>
    <w:rsid w:val="00B3739D"/>
    <w:rsid w:val="00D52933"/>
    <w:rsid w:val="00E0256F"/>
    <w:rsid w:val="00E457F7"/>
    <w:rsid w:val="00EF0182"/>
    <w:rsid w:val="00F247CB"/>
    <w:rsid w:val="00F434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DDCCB7A"/>
  <w15:docId w15:val="{EA4D379B-1A63-F344-B55A-D3D3A9A3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26</Pages>
  <Words>13915</Words>
  <Characters>76536</Characters>
  <Application>Microsoft Office Word</Application>
  <DocSecurity>0</DocSecurity>
  <Lines>637</Lines>
  <Paragraphs>180</Paragraphs>
  <ScaleCrop>false</ScaleCrop>
  <HeadingPairs>
    <vt:vector size="2" baseType="variant">
      <vt:variant>
        <vt:lpstr>Titre</vt:lpstr>
      </vt:variant>
      <vt:variant>
        <vt:i4>1</vt:i4>
      </vt:variant>
    </vt:vector>
  </HeadingPairs>
  <TitlesOfParts>
    <vt:vector size="1" baseType="lpstr">
      <vt:lpstr>Grand Oral CRFPA — Libertés publiques et droits fondamentaux — Partie III</vt:lpstr>
    </vt:vector>
  </TitlesOfParts>
  <Company/>
  <LinksUpToDate>false</LinksUpToDate>
  <CharactersWithSpaces>90271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Oral CRFPA — Libertés publiques et droits fondamentaux — Partie III</dc:title>
  <dc:creator>Simon</dc:creator>
  <dc:description>Fiches de révision n° 1 à 8</dc:description>
  <cp:lastModifiedBy>Simon BERNINES</cp:lastModifiedBy>
  <cp:revision>2</cp:revision>
  <dcterms:created xsi:type="dcterms:W3CDTF">2026-09-14T18:05:00Z</dcterms:created>
  <dcterms:modified xsi:type="dcterms:W3CDTF">2026-10-06T17:11:00Z</dcterms:modified>
</cp:coreProperties>
</file>