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A5A5A"/>
          <w:spacing w:val="60"/>
          <w:sz w:val="26"/>
          <w:szCs w:val="26"/>
        </w:rPr>
        <w:t xml:space="preserve">GRAND ORAL DU CRFPA</w:t>
      </w:r>
    </w:p>
    <w:p>
      <w:pPr>
        <w:spacing w:after="100"/>
        <w:jc w:val="center"/>
      </w:pPr>
      <w:r>
        <w:rPr>
          <w:rFonts w:ascii="Calibri" w:cs="Calibri" w:eastAsia="Calibri" w:hAnsi="Calibri"/>
          <w:b/>
          <w:bCs/>
          <w:color w:val="8C1C2B"/>
          <w:sz w:val="44"/>
          <w:szCs w:val="44"/>
        </w:rPr>
        <w:t xml:space="preserve">LIBERTÉS PUBLIQUES ET DROITS FONDAMENTAUX</w:t>
      </w:r>
    </w:p>
    <w:p>
      <w:pPr>
        <w:spacing w:after="600"/>
        <w:jc w:val="center"/>
      </w:pPr>
      <w:r>
        <w:rPr>
          <w:rFonts w:ascii="Calibri" w:cs="Calibri" w:eastAsia="Calibri" w:hAnsi="Calibri"/>
          <w:color w:val="1A1A1A"/>
          <w:sz w:val="26"/>
          <w:szCs w:val="26"/>
        </w:rPr>
        <w:t xml:space="preserve">Partie IV — Les mécanismes internes de protection (fiches n° 16 à 20)</w:t>
      </w:r>
    </w:p>
    <w:p>
      <w:pPr>
        <w:spacing w:after="100"/>
        <w:jc w:val="center"/>
      </w:pPr>
      <w:r>
        <w:rPr>
          <w:rFonts w:ascii="Calibri" w:cs="Calibri" w:eastAsia="Calibri" w:hAnsi="Calibri"/>
          <w:i/>
          <w:iCs/>
          <w:color w:val="5A5A5A"/>
          <w:sz w:val="20"/>
          <w:szCs w:val="20"/>
        </w:rPr>
        <w:t xml:space="preserve">Fiches de révision exhaustives — exposé de 15 minutes et entretien avec le jury</w:t>
      </w:r>
    </w:p>
    <w:p>
      <w:pPr>
        <w:spacing w:after="700"/>
        <w:jc w:val="center"/>
      </w:pPr>
      <w:r>
        <w:rPr>
          <w:rFonts w:ascii="Calibri" w:cs="Calibri" w:eastAsia="Calibri" w:hAnsi="Calibri"/>
          <w:i/>
          <w:iCs/>
          <w:color w:val="5A5A5A"/>
          <w:sz w:val="18"/>
          <w:szCs w:val="18"/>
        </w:rPr>
        <w:t xml:space="preserve">D’après le fascicule Objectif Barreau 2026</w:t>
      </w:r>
    </w:p>
    <w:p>
      <w:pPr>
        <w:spacing w:after="120" w:before="200"/>
      </w:pPr>
      <w:r>
        <w:rPr>
          <w:rFonts w:ascii="Calibri" w:cs="Calibri" w:eastAsia="Calibri" w:hAnsi="Calibri"/>
          <w:b/>
          <w:bCs/>
          <w:color w:val="1A1A1A"/>
          <w:sz w:val="22"/>
          <w:szCs w:val="22"/>
        </w:rPr>
        <w:t xml:space="preserve">CODE COULEUR</w:t>
      </w:r>
    </w:p>
    <w:p>
      <w:pPr>
        <w:pStyle w:val="ListParagraph"/>
        <w:numPr>
          <w:ilvl w:val="0"/>
          <w:numId w:val="2"/>
        </w:numPr>
        <w:spacing w:after="60"/>
      </w:pPr>
      <w:r>
        <w:rPr>
          <w:rFonts w:ascii="Calibri" w:cs="Calibri" w:eastAsia="Calibri" w:hAnsi="Calibri"/>
          <w:color w:val="1E88E5"/>
          <w:sz w:val="20"/>
          <w:szCs w:val="20"/>
        </w:rPr>
        <w:t xml:space="preserve">Textes normatifs</w:t>
      </w:r>
      <w:r>
        <w:rPr>
          <w:rFonts w:ascii="Calibri" w:cs="Calibri" w:eastAsia="Calibri" w:hAnsi="Calibri"/>
          <w:color w:val="1A1A1A"/>
          <w:sz w:val="20"/>
          <w:szCs w:val="20"/>
        </w:rPr>
        <w:t xml:space="preserve"> — traités, conventions, Constitution, codes, lois, règlements.</w:t>
      </w:r>
    </w:p>
    <w:p>
      <w:pPr>
        <w:pStyle w:val="ListParagraph"/>
        <w:numPr>
          <w:ilvl w:val="0"/>
          <w:numId w:val="2"/>
        </w:numPr>
        <w:spacing w:after="60"/>
      </w:pPr>
      <w:r>
        <w:rPr>
          <w:rFonts w:ascii="Calibri" w:cs="Calibri" w:eastAsia="Calibri" w:hAnsi="Calibri"/>
          <w:color w:val="E91E63"/>
          <w:sz w:val="20"/>
          <w:szCs w:val="20"/>
        </w:rPr>
        <w:t xml:space="preserve">Jurisprudence</w:t>
      </w:r>
      <w:r>
        <w:rPr>
          <w:rFonts w:ascii="Calibri" w:cs="Calibri" w:eastAsia="Calibri" w:hAnsi="Calibri"/>
          <w:color w:val="1A1A1A"/>
          <w:sz w:val="20"/>
          <w:szCs w:val="20"/>
        </w:rPr>
        <w:t xml:space="preserve"> — Cass., CE, Cons. const., CEDH, CJUE, décisions QPC.</w:t>
      </w:r>
    </w:p>
    <w:p>
      <w:pPr>
        <w:pStyle w:val="ListParagraph"/>
        <w:numPr>
          <w:ilvl w:val="0"/>
          <w:numId w:val="2"/>
        </w:numPr>
        <w:spacing w:after="60"/>
      </w:pPr>
      <w:r>
        <w:rPr>
          <w:rFonts w:ascii="Calibri" w:cs="Calibri" w:eastAsia="Calibri" w:hAnsi="Calibri"/>
          <w:color w:val="2E7D32"/>
          <w:sz w:val="20"/>
          <w:szCs w:val="20"/>
        </w:rPr>
        <w:t xml:space="preserve">Doctrine</w:t>
      </w:r>
      <w:r>
        <w:rPr>
          <w:rFonts w:ascii="Calibri" w:cs="Calibri" w:eastAsia="Calibri" w:hAnsi="Calibri"/>
          <w:color w:val="1A1A1A"/>
          <w:sz w:val="20"/>
          <w:szCs w:val="20"/>
        </w:rPr>
        <w:t xml:space="preserve"> — auteurs, thèses, controverses universitaires, avis institutionnels.</w:t>
      </w:r>
    </w:p>
    <w:p>
      <w:pPr>
        <w:pStyle w:val="ListParagraph"/>
        <w:numPr>
          <w:ilvl w:val="0"/>
          <w:numId w:val="2"/>
        </w:numPr>
        <w:spacing w:after="60"/>
      </w:pPr>
      <w:r>
        <w:rPr>
          <w:rFonts w:ascii="Calibri" w:cs="Calibri" w:eastAsia="Calibri" w:hAnsi="Calibri"/>
          <w:b/>
          <w:bCs/>
          <w:color w:val="1A1A1A"/>
          <w:sz w:val="20"/>
          <w:szCs w:val="20"/>
        </w:rPr>
        <w:t xml:space="preserve">Gras</w:t>
      </w:r>
      <w:r>
        <w:rPr>
          <w:rFonts w:ascii="Calibri" w:cs="Calibri" w:eastAsia="Calibri" w:hAnsi="Calibri"/>
          <w:color w:val="1A1A1A"/>
          <w:sz w:val="20"/>
          <w:szCs w:val="20"/>
        </w:rPr>
        <w:t xml:space="preserve"> — réservé au seul apport à mémoriser. La couleur dit d’où vient la règle, le gras dit ce qu’il faut réciter.</w:t>
      </w:r>
    </w:p>
    <w:p>
      <w:pPr>
        <w:pStyle w:val="ListParagraph"/>
        <w:numPr>
          <w:ilvl w:val="0"/>
          <w:numId w:val="2"/>
        </w:numPr>
        <w:spacing w:after="300"/>
      </w:pPr>
      <w:r>
        <w:rPr>
          <w:rFonts w:ascii="Calibri" w:cs="Calibri" w:eastAsia="Calibri" w:hAnsi="Calibri"/>
          <w:color w:val="1A1A1A"/>
          <w:sz w:val="20"/>
          <w:szCs w:val="20"/>
        </w:rPr>
        <w:t xml:space="preserve">★</w:t>
      </w:r>
      <w:r>
        <w:rPr>
          <w:rFonts w:ascii="Calibri" w:cs="Calibri" w:eastAsia="Calibri" w:hAnsi="Calibri"/>
          <w:color w:val="1A1A1A"/>
          <w:sz w:val="20"/>
          <w:szCs w:val="20"/>
        </w:rPr>
        <w:t xml:space="preserve"> — référence incontournable, à citer de mémoire le jour J.</w:t>
      </w:r>
    </w:p>
    <w:p>
      <w:pPr>
        <w:spacing w:after="120" w:before="200"/>
      </w:pPr>
      <w:r>
        <w:rPr>
          <w:rFonts w:ascii="Calibri" w:cs="Calibri" w:eastAsia="Calibri" w:hAnsi="Calibri"/>
          <w:b/>
          <w:bCs/>
          <w:color w:val="1A1A1A"/>
          <w:sz w:val="22"/>
          <w:szCs w:val="22"/>
        </w:rPr>
        <w:t xml:space="preserve">SOMMAIRE</w:t>
      </w:r>
    </w:p>
    <w:p>
      <w:pPr>
        <w:pStyle w:val="ListParagraph"/>
        <w:numPr>
          <w:ilvl w:val="0"/>
          <w:numId w:val="2"/>
        </w:numPr>
        <w:spacing w:after="40"/>
      </w:pPr>
      <w:r>
        <w:rPr>
          <w:rFonts w:ascii="Calibri" w:cs="Calibri" w:eastAsia="Calibri" w:hAnsi="Calibri"/>
          <w:color w:val="1A1A1A"/>
          <w:sz w:val="20"/>
          <w:szCs w:val="20"/>
        </w:rPr>
        <w:t xml:space="preserve">Fiche n° 16 — La protection par le juge constitutionnel</w:t>
      </w:r>
    </w:p>
    <w:p>
      <w:pPr>
        <w:pStyle w:val="ListParagraph"/>
        <w:numPr>
          <w:ilvl w:val="0"/>
          <w:numId w:val="2"/>
        </w:numPr>
        <w:spacing w:after="40"/>
      </w:pPr>
      <w:r>
        <w:rPr>
          <w:rFonts w:ascii="Calibri" w:cs="Calibri" w:eastAsia="Calibri" w:hAnsi="Calibri"/>
          <w:color w:val="1A1A1A"/>
          <w:sz w:val="20"/>
          <w:szCs w:val="20"/>
        </w:rPr>
        <w:t xml:space="preserve">Fiche n° 17 — La protection par le juge judiciaire</w:t>
      </w:r>
    </w:p>
    <w:p>
      <w:pPr>
        <w:pStyle w:val="ListParagraph"/>
        <w:numPr>
          <w:ilvl w:val="0"/>
          <w:numId w:val="2"/>
        </w:numPr>
        <w:spacing w:after="40"/>
      </w:pPr>
      <w:r>
        <w:rPr>
          <w:rFonts w:ascii="Calibri" w:cs="Calibri" w:eastAsia="Calibri" w:hAnsi="Calibri"/>
          <w:color w:val="1A1A1A"/>
          <w:sz w:val="20"/>
          <w:szCs w:val="20"/>
        </w:rPr>
        <w:t xml:space="preserve">Fiche n° 18 — La protection par le juge administratif</w:t>
      </w:r>
    </w:p>
    <w:p>
      <w:pPr>
        <w:pStyle w:val="ListParagraph"/>
        <w:numPr>
          <w:ilvl w:val="0"/>
          <w:numId w:val="2"/>
        </w:numPr>
        <w:spacing w:after="40"/>
      </w:pPr>
      <w:r>
        <w:rPr>
          <w:rFonts w:ascii="Calibri" w:cs="Calibri" w:eastAsia="Calibri" w:hAnsi="Calibri"/>
          <w:color w:val="1A1A1A"/>
          <w:sz w:val="20"/>
          <w:szCs w:val="20"/>
        </w:rPr>
        <w:t xml:space="preserve">Fiche n° 19 — Les dérogations au principe de séparation des autorités</w:t>
      </w:r>
    </w:p>
    <w:p>
      <w:pPr>
        <w:pStyle w:val="ListParagraph"/>
        <w:numPr>
          <w:ilvl w:val="0"/>
          <w:numId w:val="2"/>
        </w:numPr>
        <w:spacing w:after="40"/>
      </w:pPr>
      <w:r>
        <w:rPr>
          <w:rFonts w:ascii="Calibri" w:cs="Calibri" w:eastAsia="Calibri" w:hAnsi="Calibri"/>
          <w:color w:val="1A1A1A"/>
          <w:sz w:val="20"/>
          <w:szCs w:val="20"/>
        </w:rPr>
        <w:t xml:space="preserve">Fiche n° 20 — La protection administrative</w:t>
      </w:r>
    </w:p>
    <w:p>
      <w:pPr>
        <w:pStyle w:val="ListParagraph"/>
        <w:numPr>
          <w:ilvl w:val="0"/>
          <w:numId w:val="2"/>
        </w:numPr>
        <w:spacing w:after="40"/>
      </w:pPr>
      <w:r>
        <w:rPr>
          <w:rFonts w:ascii="Calibri" w:cs="Calibri" w:eastAsia="Calibri" w:hAnsi="Calibri"/>
          <w:color w:val="1A1A1A"/>
          <w:sz w:val="20"/>
          <w:szCs w:val="20"/>
        </w:rPr>
        <w:t xml:space="preserve">Annexe — Compléments à la chronologie et à l’index (parties I à IV)</w:t>
      </w:r>
    </w:p>
    <w:p>
      <w:pPr>
        <w:spacing w:after="80" w:before="300"/>
      </w:pPr>
      <w:r>
        <w:rPr>
          <w:rFonts w:ascii="Calibri" w:cs="Calibri" w:eastAsia="Calibri" w:hAnsi="Calibri"/>
          <w:i/>
          <w:iCs/>
          <w:color w:val="5A5A5A"/>
          <w:sz w:val="18"/>
          <w:szCs w:val="18"/>
        </w:rPr>
        <w:t xml:space="preserve">Chaque fiche s’ouvre sur une FICHE-MÉMOIRE d’une page — accroche, définition en trois lignes, cinq références incontournables, deux matrices de plan, trois pièges. C’est elle que l’on relit ; les pages suivantes forment le dossier de consultation.</w:t>
      </w:r>
    </w:p>
    <w:p>
      <w:r>
        <w:rPr>
          <w:rFonts w:ascii="Calibri" w:cs="Calibri" w:eastAsia="Calibri" w:hAnsi="Calibri"/>
          <w:i/>
          <w:iCs/>
          <w:color w:val="5A5A5A"/>
          <w:sz w:val="18"/>
          <w:szCs w:val="18"/>
        </w:rPr>
        <w:t xml:space="preserve">Dossier : architecture textuelle — ligne prétorienne et évolutions — débats doctrinaux et critiques — dispositif « Grand Oral » (relances du jury, sujets d’exposé, angles morts formulés en question / réponse pour le rappel actif).</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16 — LA PROTECTION PAR LE JUGE CONSTITUTIONNEL</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Conseil constitutionnel n’a pas été créé pour protéger les libertés : il a été créé pour </w:t>
      </w:r>
      <w:r>
        <w:rPr>
          <w:rFonts w:ascii="Calibri" w:cs="Calibri" w:eastAsia="Calibri" w:hAnsi="Calibri"/>
          <w:b/>
          <w:bCs/>
          <w:color w:val="1A1A1A"/>
          <w:sz w:val="20"/>
          <w:szCs w:val="20"/>
        </w:rPr>
        <w:t xml:space="preserve">contenir le Parlement</w:t>
      </w:r>
      <w:r>
        <w:rPr>
          <w:rFonts w:ascii="Calibri" w:cs="Calibri" w:eastAsia="Calibri" w:hAnsi="Calibri"/>
          <w:color w:val="1A1A1A"/>
          <w:sz w:val="20"/>
          <w:szCs w:val="20"/>
        </w:rPr>
        <w:t xml:space="preserve"> dans son domaine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art. 37 C.</w:t>
      </w:r>
      <w:r>
        <w:rPr>
          <w:rFonts w:ascii="Calibri" w:cs="Calibri" w:eastAsia="Calibri" w:hAnsi="Calibri"/>
          <w:color w:val="1A1A1A"/>
          <w:sz w:val="20"/>
          <w:szCs w:val="20"/>
        </w:rPr>
        <w:t xml:space="preserve">). C’est par une appropriation prétorienne, en trois temps — 1971, 1974, 2008 — qu’il s’est érigé en gardien des droits.</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w:t>
      </w:r>
      <w:r>
        <w:rPr>
          <w:rFonts w:ascii="Calibri" w:cs="Calibri" w:eastAsia="Calibri" w:hAnsi="Calibri"/>
          <w:color w:val="E91E63"/>
          <w:sz w:val="20"/>
          <w:szCs w:val="20"/>
        </w:rPr>
        <w:t xml:space="preserve">Cons. const., déc. n° 2026-911 DC, 14 août 2026</w:t>
      </w:r>
      <w:r>
        <w:rPr>
          <w:rFonts w:ascii="Calibri" w:cs="Calibri" w:eastAsia="Calibri" w:hAnsi="Calibri"/>
          <w:color w:val="1A1A1A"/>
          <w:sz w:val="20"/>
          <w:szCs w:val="20"/>
        </w:rPr>
        <w:t xml:space="preserve"> — la censure de l’interdiction générale d’accès aux réseaux sociaux pour les moins de quinze ans rappelle que même une finalité aussi légitime que la protection de l’enfance ne dispense pas du </w:t>
      </w:r>
      <w:r>
        <w:rPr>
          <w:rFonts w:ascii="Calibri" w:cs="Calibri" w:eastAsia="Calibri" w:hAnsi="Calibri"/>
          <w:b/>
          <w:bCs/>
          <w:color w:val="1A1A1A"/>
          <w:sz w:val="20"/>
          <w:szCs w:val="20"/>
        </w:rPr>
        <w:t xml:space="preserve">contrôle de proportionnalité</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Conseil constitutionnel est l’</w:t>
      </w:r>
      <w:r>
        <w:rPr>
          <w:rFonts w:ascii="Calibri" w:cs="Calibri" w:eastAsia="Calibri" w:hAnsi="Calibri"/>
          <w:b/>
          <w:bCs/>
          <w:color w:val="1A1A1A"/>
          <w:sz w:val="20"/>
          <w:szCs w:val="20"/>
        </w:rPr>
        <w:t xml:space="preserve">unique organe</w:t>
      </w:r>
      <w:r>
        <w:rPr>
          <w:rFonts w:ascii="Calibri" w:cs="Calibri" w:eastAsia="Calibri" w:hAnsi="Calibri"/>
          <w:color w:val="1A1A1A"/>
          <w:sz w:val="20"/>
          <w:szCs w:val="20"/>
        </w:rPr>
        <w:t xml:space="preserve"> en France chargé de contrôler la constitutionnalité des lois : le contrôle est donc </w:t>
      </w:r>
      <w:r>
        <w:rPr>
          <w:rFonts w:ascii="Calibri" w:cs="Calibri" w:eastAsia="Calibri" w:hAnsi="Calibri"/>
          <w:b/>
          <w:bCs/>
          <w:color w:val="1A1A1A"/>
          <w:sz w:val="20"/>
          <w:szCs w:val="20"/>
        </w:rPr>
        <w:t xml:space="preserve">concentré</w:t>
      </w:r>
      <w:r>
        <w:rPr>
          <w:rFonts w:ascii="Calibri" w:cs="Calibri" w:eastAsia="Calibri" w:hAnsi="Calibri"/>
          <w:color w:val="1A1A1A"/>
          <w:sz w:val="20"/>
          <w:szCs w:val="20"/>
        </w:rPr>
        <w:t xml:space="preserve">. Deux voies : </w:t>
      </w:r>
      <w:r>
        <w:rPr>
          <w:rFonts w:ascii="Calibri" w:cs="Calibri" w:eastAsia="Calibri" w:hAnsi="Calibri"/>
          <w:b/>
          <w:bCs/>
          <w:i/>
          <w:iCs/>
          <w:color w:val="1A1A1A"/>
          <w:sz w:val="20"/>
          <w:szCs w:val="20"/>
        </w:rPr>
        <w:t xml:space="preserve">a priori</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61 C.</w:t>
      </w:r>
      <w:r>
        <w:rPr>
          <w:rFonts w:ascii="Calibri" w:cs="Calibri" w:eastAsia="Calibri" w:hAnsi="Calibri"/>
          <w:color w:val="1A1A1A"/>
          <w:sz w:val="20"/>
          <w:szCs w:val="20"/>
        </w:rPr>
        <w:t xml:space="preserve">, saisine obligatoire pour les lois organiques, les lois référendaires et les règlements des assemblées ; facultative pour les lois ordinaires) et </w:t>
      </w:r>
      <w:r>
        <w:rPr>
          <w:rFonts w:ascii="Calibri" w:cs="Calibri" w:eastAsia="Calibri" w:hAnsi="Calibri"/>
          <w:b/>
          <w:bCs/>
          <w:i/>
          <w:iCs/>
          <w:color w:val="1A1A1A"/>
          <w:sz w:val="20"/>
          <w:szCs w:val="20"/>
        </w:rPr>
        <w:t xml:space="preserve">a posteriori</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61-1 C.</w:t>
      </w:r>
      <w:r>
        <w:rPr>
          <w:rFonts w:ascii="Calibri" w:cs="Calibri" w:eastAsia="Calibri" w:hAnsi="Calibri"/>
          <w:color w:val="1A1A1A"/>
          <w:sz w:val="20"/>
          <w:szCs w:val="20"/>
        </w:rPr>
        <w:t xml:space="preserve">, QPC).</w:t>
      </w:r>
    </w:p>
    <w:p>
      <w:pPr>
        <w:pStyle w:val="ListParagraph"/>
        <w:numPr>
          <w:ilvl w:val="0"/>
          <w:numId w:val="2"/>
        </w:numPr>
        <w:spacing w:after="70" w:line="264"/>
        <w:jc w:val="both"/>
      </w:pPr>
      <w:r>
        <w:rPr>
          <w:rFonts w:ascii="Calibri" w:cs="Calibri" w:eastAsia="Calibri" w:hAnsi="Calibri"/>
          <w:b/>
          <w:bCs/>
          <w:color w:val="1A1A1A"/>
          <w:sz w:val="20"/>
          <w:szCs w:val="20"/>
        </w:rPr>
        <w:t xml:space="preserve">Six techniques de contrôle</w:t>
      </w:r>
      <w:r>
        <w:rPr>
          <w:rFonts w:ascii="Calibri" w:cs="Calibri" w:eastAsia="Calibri" w:hAnsi="Calibri"/>
          <w:color w:val="1A1A1A"/>
          <w:sz w:val="20"/>
          <w:szCs w:val="20"/>
        </w:rPr>
        <w:t xml:space="preserve"> : contrôle restreint, réserves d’interprétation (neutralisantes, constructives, directives), non-conformité partielle et séparabilité, effet cliquet (abandonné), moyens et conclusions soulevés d’office, modulation dans le temps.</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71-44 DC, 16 juillet 1971, Liberté d’association</w:t>
      </w:r>
      <w:r>
        <w:rPr>
          <w:rFonts w:ascii="Calibri" w:cs="Calibri" w:eastAsia="Calibri" w:hAnsi="Calibri"/>
          <w:color w:val="1A1A1A"/>
          <w:sz w:val="20"/>
          <w:szCs w:val="20"/>
        </w:rPr>
        <w:t xml:space="preserve"> : le Conseil s’adosse au Préambule de 1946 et aux PFRLR pour censurer une loi — </w:t>
      </w:r>
      <w:r>
        <w:rPr>
          <w:rFonts w:ascii="Calibri" w:cs="Calibri" w:eastAsia="Calibri" w:hAnsi="Calibri"/>
          <w:b/>
          <w:bCs/>
          <w:color w:val="1A1A1A"/>
          <w:sz w:val="20"/>
          <w:szCs w:val="20"/>
        </w:rPr>
        <w:t xml:space="preserve">acte de naissance du juge des libertés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74-54 DC, 15 janvier 1975, IVG</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Il ne dispose pas d’un pouvoir général d’appréciation et de décision identique à celui du Parlement</w:t>
      </w:r>
      <w:r>
        <w:rPr>
          <w:rFonts w:ascii="Calibri" w:cs="Calibri" w:eastAsia="Calibri" w:hAnsi="Calibri"/>
          <w:color w:val="1A1A1A"/>
          <w:sz w:val="20"/>
          <w:szCs w:val="20"/>
        </w:rPr>
        <w:t xml:space="preserve"> » — la formule de l’</w:t>
      </w:r>
      <w:r>
        <w:rPr>
          <w:rFonts w:ascii="Calibri" w:cs="Calibri" w:eastAsia="Calibri" w:hAnsi="Calibri"/>
          <w:b/>
          <w:bCs/>
          <w:color w:val="1A1A1A"/>
          <w:sz w:val="20"/>
          <w:szCs w:val="20"/>
        </w:rPr>
        <w:t xml:space="preserve">autolimitation</w:t>
      </w:r>
      <w:r>
        <w:rPr>
          <w:rFonts w:ascii="Calibri" w:cs="Calibri" w:eastAsia="Calibri" w:hAnsi="Calibri"/>
          <w:color w:val="1A1A1A"/>
          <w:sz w:val="20"/>
          <w:szCs w:val="20"/>
        </w:rPr>
        <w:t xml:space="preserve">, à citer telle quelle.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2018-717/718 QPC, 6 juillet 2018, M. Cédric H. et autre</w:t>
      </w:r>
      <w:r>
        <w:rPr>
          <w:rFonts w:ascii="Calibri" w:cs="Calibri" w:eastAsia="Calibri" w:hAnsi="Calibri"/>
          <w:color w:val="1A1A1A"/>
          <w:sz w:val="20"/>
          <w:szCs w:val="20"/>
        </w:rPr>
        <w:t xml:space="preserve"> : sur le fondement de l’</w:t>
      </w:r>
      <w:r>
        <w:rPr>
          <w:rFonts w:ascii="Calibri" w:cs="Calibri" w:eastAsia="Calibri" w:hAnsi="Calibri"/>
          <w:color w:val="1E88E5"/>
          <w:sz w:val="20"/>
          <w:szCs w:val="20"/>
        </w:rPr>
        <w:t xml:space="preserve">art. 2 C.</w:t>
      </w:r>
      <w:r>
        <w:rPr>
          <w:rFonts w:ascii="Calibri" w:cs="Calibri" w:eastAsia="Calibri" w:hAnsi="Calibri"/>
          <w:color w:val="1A1A1A"/>
          <w:sz w:val="20"/>
          <w:szCs w:val="20"/>
        </w:rPr>
        <w:t xml:space="preserve"> (devise « Liberté, Égalité, Fraternité »), du Préambule et de l’</w:t>
      </w:r>
      <w:r>
        <w:rPr>
          <w:rFonts w:ascii="Calibri" w:cs="Calibri" w:eastAsia="Calibri" w:hAnsi="Calibri"/>
          <w:color w:val="1E88E5"/>
          <w:sz w:val="20"/>
          <w:szCs w:val="20"/>
        </w:rPr>
        <w:t xml:space="preserve">art. 72-3 C.</w:t>
      </w:r>
      <w:r>
        <w:rPr>
          <w:rFonts w:ascii="Calibri" w:cs="Calibri" w:eastAsia="Calibri" w:hAnsi="Calibri"/>
          <w:color w:val="1A1A1A"/>
          <w:sz w:val="20"/>
          <w:szCs w:val="20"/>
        </w:rPr>
        <w:t xml:space="preserve">, consécration du principe de </w:t>
      </w:r>
      <w:r>
        <w:rPr>
          <w:rFonts w:ascii="Calibri" w:cs="Calibri" w:eastAsia="Calibri" w:hAnsi="Calibri"/>
          <w:b/>
          <w:bCs/>
          <w:color w:val="1A1A1A"/>
          <w:sz w:val="20"/>
          <w:szCs w:val="20"/>
        </w:rPr>
        <w:t xml:space="preserve">fraternité</w:t>
      </w:r>
      <w:r>
        <w:rPr>
          <w:rFonts w:ascii="Calibri" w:cs="Calibri" w:eastAsia="Calibri" w:hAnsi="Calibri"/>
          <w:color w:val="1A1A1A"/>
          <w:sz w:val="20"/>
          <w:szCs w:val="20"/>
        </w:rPr>
        <w:t xml:space="preserve"> et, par déduction, de la </w:t>
      </w:r>
      <w:r>
        <w:rPr>
          <w:rFonts w:ascii="Calibri" w:cs="Calibri" w:eastAsia="Calibri" w:hAnsi="Calibri"/>
          <w:b/>
          <w:bCs/>
          <w:color w:val="1A1A1A"/>
          <w:sz w:val="20"/>
          <w:szCs w:val="20"/>
        </w:rPr>
        <w:t xml:space="preserve">liberté d’aider autrui dans un but humanitaire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2021-940 QPC, 15 octobre 2021, Société Air France</w:t>
      </w:r>
      <w:r>
        <w:rPr>
          <w:rFonts w:ascii="Calibri" w:cs="Calibri" w:eastAsia="Calibri" w:hAnsi="Calibri"/>
          <w:color w:val="1A1A1A"/>
          <w:sz w:val="20"/>
          <w:szCs w:val="20"/>
        </w:rPr>
        <w:t xml:space="preserve"> : premier contenu concret donné à la notion de </w:t>
      </w:r>
      <w:r>
        <w:rPr>
          <w:rFonts w:ascii="Calibri" w:cs="Calibri" w:eastAsia="Calibri" w:hAnsi="Calibri"/>
          <w:b/>
          <w:bCs/>
          <w:color w:val="1A1A1A"/>
          <w:sz w:val="20"/>
          <w:szCs w:val="20"/>
        </w:rPr>
        <w:t xml:space="preserve">principe inhérent à l’identité constitutionnelle de la France</w:t>
      </w:r>
      <w:r>
        <w:rPr>
          <w:rFonts w:ascii="Calibri" w:cs="Calibri" w:eastAsia="Calibri" w:hAnsi="Calibri"/>
          <w:color w:val="1A1A1A"/>
          <w:sz w:val="20"/>
          <w:szCs w:val="20"/>
        </w:rPr>
        <w:t xml:space="preserve"> — l’interdiction de déléguer à des personnes privées des compétences de police administrative générale.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2026-911 DC, 14 août 2026</w:t>
      </w:r>
      <w:r>
        <w:rPr>
          <w:rFonts w:ascii="Calibri" w:cs="Calibri" w:eastAsia="Calibri" w:hAnsi="Calibri"/>
          <w:color w:val="1A1A1A"/>
          <w:sz w:val="20"/>
          <w:szCs w:val="20"/>
        </w:rPr>
        <w:t xml:space="preserve"> : censure d’une interdiction </w:t>
      </w:r>
      <w:r>
        <w:rPr>
          <w:rFonts w:ascii="Calibri" w:cs="Calibri" w:eastAsia="Calibri" w:hAnsi="Calibri"/>
          <w:b/>
          <w:bCs/>
          <w:color w:val="1A1A1A"/>
          <w:sz w:val="20"/>
          <w:szCs w:val="20"/>
        </w:rPr>
        <w:t xml:space="preserve">générale et indifférenciée</w:t>
      </w:r>
      <w:r>
        <w:rPr>
          <w:rFonts w:ascii="Calibri" w:cs="Calibri" w:eastAsia="Calibri" w:hAnsi="Calibri"/>
          <w:color w:val="1A1A1A"/>
          <w:sz w:val="20"/>
          <w:szCs w:val="20"/>
        </w:rPr>
        <w:t xml:space="preserve"> d’accès aux réseaux sociaux pour les moins de quinze ans, atteinte disproportionnée à la liberté d’expression et de communication.</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Commentaire des articles 61 et 61-1 de la Constitution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contrôle </w:t>
      </w:r>
      <w:r>
        <w:rPr>
          <w:rFonts w:ascii="Calibri" w:cs="Calibri" w:eastAsia="Calibri" w:hAnsi="Calibri"/>
          <w:b/>
          <w:bCs/>
          <w:i/>
          <w:iCs/>
          <w:color w:val="1A1A1A"/>
          <w:sz w:val="20"/>
          <w:szCs w:val="20"/>
        </w:rPr>
        <w:t xml:space="preserve">a priori</w:t>
      </w:r>
      <w:r>
        <w:rPr>
          <w:rFonts w:ascii="Calibri" w:cs="Calibri" w:eastAsia="Calibri" w:hAnsi="Calibri"/>
          <w:b/>
          <w:bCs/>
          <w:color w:val="1A1A1A"/>
          <w:sz w:val="20"/>
          <w:szCs w:val="20"/>
        </w:rPr>
        <w:t xml:space="preserve"> nécessaire</w:t>
      </w:r>
      <w:r>
        <w:rPr>
          <w:rFonts w:ascii="Calibri" w:cs="Calibri" w:eastAsia="Calibri" w:hAnsi="Calibri"/>
          <w:color w:val="1A1A1A"/>
          <w:sz w:val="20"/>
          <w:szCs w:val="20"/>
        </w:rPr>
        <w:t xml:space="preserve"> (A. Sa mise en place : </w:t>
      </w:r>
      <w:r>
        <w:rPr>
          <w:rFonts w:ascii="Calibri" w:cs="Calibri" w:eastAsia="Calibri" w:hAnsi="Calibri"/>
          <w:color w:val="1E88E5"/>
          <w:sz w:val="20"/>
          <w:szCs w:val="20"/>
        </w:rPr>
        <w:t xml:space="preserve">art. 56</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61 C.</w:t>
      </w:r>
      <w:r>
        <w:rPr>
          <w:rFonts w:ascii="Calibri" w:cs="Calibri" w:eastAsia="Calibri" w:hAnsi="Calibri"/>
          <w:color w:val="1A1A1A"/>
          <w:sz w:val="20"/>
          <w:szCs w:val="20"/>
        </w:rPr>
        <w:t xml:space="preserve">, bascule de 1971 ; B. Son élargissement : </w:t>
      </w:r>
      <w:r>
        <w:rPr>
          <w:rFonts w:ascii="Calibri" w:cs="Calibri" w:eastAsia="Calibri" w:hAnsi="Calibri"/>
          <w:color w:val="1E88E5"/>
          <w:sz w:val="20"/>
          <w:szCs w:val="20"/>
        </w:rPr>
        <w:t xml:space="preserve">loi du 29 octobre 1974</w:t>
      </w:r>
      <w:r>
        <w:rPr>
          <w:rFonts w:ascii="Calibri" w:cs="Calibri" w:eastAsia="Calibri" w:hAnsi="Calibri"/>
          <w:color w:val="1A1A1A"/>
          <w:sz w:val="20"/>
          <w:szCs w:val="20"/>
        </w:rPr>
        <w:t xml:space="preserve">, mais saisine restée facultative) / </w:t>
      </w:r>
      <w:r>
        <w:rPr>
          <w:rFonts w:ascii="Calibri" w:cs="Calibri" w:eastAsia="Calibri" w:hAnsi="Calibri"/>
          <w:b/>
          <w:bCs/>
          <w:color w:val="1A1A1A"/>
          <w:sz w:val="20"/>
          <w:szCs w:val="20"/>
        </w:rPr>
        <w:t xml:space="preserve">II. Un contrôle renforcé par la QPC</w:t>
      </w:r>
      <w:r>
        <w:rPr>
          <w:rFonts w:ascii="Calibri" w:cs="Calibri" w:eastAsia="Calibri" w:hAnsi="Calibri"/>
          <w:color w:val="1A1A1A"/>
          <w:sz w:val="20"/>
          <w:szCs w:val="20"/>
        </w:rPr>
        <w:t xml:space="preserve"> (A. Les marques procédurales : trois conditions de fond, double filtre ; B. Les effets : abrogation, modulation, absence de recours).</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Conseil constitutionnel, gardien des libertés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compétence conquise</w:t>
      </w:r>
      <w:r>
        <w:rPr>
          <w:rFonts w:ascii="Calibri" w:cs="Calibri" w:eastAsia="Calibri" w:hAnsi="Calibri"/>
          <w:color w:val="1A1A1A"/>
          <w:sz w:val="20"/>
          <w:szCs w:val="20"/>
        </w:rPr>
        <w:t xml:space="preserve"> (A. L’élargissement des normes de référence : bloc de constitutionnalité, PFRLR, PVC ; B. L’élargissement de la saisine et des moyens : QPC, moyens et conclusions soulevés d’office) / </w:t>
      </w:r>
      <w:r>
        <w:rPr>
          <w:rFonts w:ascii="Calibri" w:cs="Calibri" w:eastAsia="Calibri" w:hAnsi="Calibri"/>
          <w:b/>
          <w:bCs/>
          <w:color w:val="1A1A1A"/>
          <w:sz w:val="20"/>
          <w:szCs w:val="20"/>
        </w:rPr>
        <w:t xml:space="preserve">II. Une compétence contenue</w:t>
      </w:r>
      <w:r>
        <w:rPr>
          <w:rFonts w:ascii="Calibri" w:cs="Calibri" w:eastAsia="Calibri" w:hAnsi="Calibri"/>
          <w:color w:val="1A1A1A"/>
          <w:sz w:val="20"/>
          <w:szCs w:val="20"/>
        </w:rPr>
        <w:t xml:space="preserve"> (A. L’autolimitation assumée : </w:t>
      </w:r>
      <w:r>
        <w:rPr>
          <w:rFonts w:ascii="Calibri" w:cs="Calibri" w:eastAsia="Calibri" w:hAnsi="Calibri"/>
          <w:color w:val="E91E63"/>
          <w:sz w:val="20"/>
          <w:szCs w:val="20"/>
        </w:rPr>
        <w:t xml:space="preserve">74-54 DC</w:t>
      </w:r>
      <w:r>
        <w:rPr>
          <w:rFonts w:ascii="Calibri" w:cs="Calibri" w:eastAsia="Calibri" w:hAnsi="Calibri"/>
          <w:color w:val="1A1A1A"/>
          <w:sz w:val="20"/>
          <w:szCs w:val="20"/>
        </w:rPr>
        <w:t xml:space="preserve">, contrôle restreint, abandon de l’effet cliquet ; B. Les refus de contrôle : lois référendaires, lois constitutionnelles, conventionnalité).</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Quatre refus de contrôle à mémoriser ensemble</w:t>
      </w:r>
      <w:r>
        <w:rPr>
          <w:rFonts w:ascii="Calibri" w:cs="Calibri" w:eastAsia="Calibri" w:hAnsi="Calibri"/>
          <w:color w:val="1A1A1A"/>
          <w:sz w:val="20"/>
          <w:szCs w:val="20"/>
        </w:rPr>
        <w:t xml:space="preserve"> : les lois adoptées par </w:t>
      </w:r>
      <w:r>
        <w:rPr>
          <w:rFonts w:ascii="Calibri" w:cs="Calibri" w:eastAsia="Calibri" w:hAnsi="Calibri"/>
          <w:b/>
          <w:bCs/>
          <w:color w:val="1A1A1A"/>
          <w:sz w:val="20"/>
          <w:szCs w:val="20"/>
        </w:rPr>
        <w:t xml:space="preserve">référendum</w:t>
      </w:r>
      <w:r>
        <w:rPr>
          <w:rFonts w:ascii="Calibri" w:cs="Calibri" w:eastAsia="Calibri" w:hAnsi="Calibri"/>
          <w:color w:val="1A1A1A"/>
          <w:sz w:val="20"/>
          <w:szCs w:val="20"/>
        </w:rPr>
        <w:t xml:space="preserve"> ; la constitutionnalité d’une loi </w:t>
      </w:r>
      <w:r>
        <w:rPr>
          <w:rFonts w:ascii="Calibri" w:cs="Calibri" w:eastAsia="Calibri" w:hAnsi="Calibri"/>
          <w:b/>
          <w:bCs/>
          <w:color w:val="1A1A1A"/>
          <w:sz w:val="20"/>
          <w:szCs w:val="20"/>
        </w:rPr>
        <w:t xml:space="preserve">proposée</w:t>
      </w:r>
      <w:r>
        <w:rPr>
          <w:rFonts w:ascii="Calibri" w:cs="Calibri" w:eastAsia="Calibri" w:hAnsi="Calibri"/>
          <w:color w:val="1A1A1A"/>
          <w:sz w:val="20"/>
          <w:szCs w:val="20"/>
        </w:rPr>
        <w:t xml:space="preserve"> à référendum ; les </w:t>
      </w:r>
      <w:r>
        <w:rPr>
          <w:rFonts w:ascii="Calibri" w:cs="Calibri" w:eastAsia="Calibri" w:hAnsi="Calibri"/>
          <w:b/>
          <w:bCs/>
          <w:color w:val="1A1A1A"/>
          <w:sz w:val="20"/>
          <w:szCs w:val="20"/>
        </w:rPr>
        <w:t xml:space="preserve">lois constitutionnelles</w:t>
      </w:r>
      <w:r>
        <w:rPr>
          <w:rFonts w:ascii="Calibri" w:cs="Calibri" w:eastAsia="Calibri" w:hAnsi="Calibri"/>
          <w:color w:val="1A1A1A"/>
          <w:sz w:val="20"/>
          <w:szCs w:val="20"/>
        </w:rPr>
        <w:t xml:space="preserve"> adoptées par le Congrès ; la recevabilité d’une </w:t>
      </w:r>
      <w:r>
        <w:rPr>
          <w:rFonts w:ascii="Calibri" w:cs="Calibri" w:eastAsia="Calibri" w:hAnsi="Calibri"/>
          <w:b/>
          <w:bCs/>
          <w:color w:val="1A1A1A"/>
          <w:sz w:val="20"/>
          <w:szCs w:val="20"/>
        </w:rPr>
        <w:t xml:space="preserve">motion de censure</w:t>
      </w:r>
      <w:r>
        <w:rPr>
          <w:rFonts w:ascii="Calibri" w:cs="Calibri" w:eastAsia="Calibri" w:hAnsi="Calibri"/>
          <w:color w:val="1A1A1A"/>
          <w:sz w:val="20"/>
          <w:szCs w:val="20"/>
        </w:rPr>
        <w:t xml:space="preserve"> déposée pendant l’application de l’</w:t>
      </w:r>
      <w:r>
        <w:rPr>
          <w:rFonts w:ascii="Calibri" w:cs="Calibri" w:eastAsia="Calibri" w:hAnsi="Calibri"/>
          <w:color w:val="1E88E5"/>
          <w:sz w:val="20"/>
          <w:szCs w:val="20"/>
        </w:rPr>
        <w:t xml:space="preserve">art. 16 C.</w:t>
      </w:r>
      <w:r>
        <w:rPr>
          <w:rFonts w:ascii="Calibri" w:cs="Calibri" w:eastAsia="Calibri" w:hAnsi="Calibri"/>
          <w:color w:val="1A1A1A"/>
          <w:sz w:val="20"/>
          <w:szCs w:val="20"/>
        </w:rPr>
        <w:t xml:space="preserve">. À quoi s’ajoute le refus du contrôle de </w:t>
      </w:r>
      <w:r>
        <w:rPr>
          <w:rFonts w:ascii="Calibri" w:cs="Calibri" w:eastAsia="Calibri" w:hAnsi="Calibri"/>
          <w:b/>
          <w:bCs/>
          <w:color w:val="1A1A1A"/>
          <w:sz w:val="20"/>
          <w:szCs w:val="20"/>
        </w:rPr>
        <w:t xml:space="preserve">conventionnalité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74-54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L’effet cliquet est abandonné</w:t>
      </w:r>
      <w:r>
        <w:rPr>
          <w:rFonts w:ascii="Calibri" w:cs="Calibri" w:eastAsia="Calibri" w:hAnsi="Calibri"/>
          <w:color w:val="1A1A1A"/>
          <w:sz w:val="20"/>
          <w:szCs w:val="20"/>
        </w:rPr>
        <w:t xml:space="preserve"> : consacré en 1984, réaffirmé en 1986 et 1993, il a été délaissé au cours des années 1990, le Conseil s’en étant lui-même dessaisi pour ne pas ériger un « mur constitutionnel infranchissable ».</w:t>
      </w:r>
    </w:p>
    <w:p>
      <w:pPr>
        <w:pStyle w:val="ListParagraph"/>
        <w:numPr>
          <w:ilvl w:val="0"/>
          <w:numId w:val="2"/>
        </w:numPr>
        <w:spacing w:after="70" w:line="264"/>
        <w:jc w:val="both"/>
      </w:pPr>
      <w:r>
        <w:rPr>
          <w:rFonts w:ascii="Calibri" w:cs="Calibri" w:eastAsia="Calibri" w:hAnsi="Calibri"/>
          <w:b/>
          <w:bCs/>
          <w:color w:val="1A1A1A"/>
          <w:sz w:val="20"/>
          <w:szCs w:val="20"/>
        </w:rPr>
        <w:t xml:space="preserve">La QPC ne peut être posée devant une cour d’assises</w:t>
      </w:r>
      <w:r>
        <w:rPr>
          <w:rFonts w:ascii="Calibri" w:cs="Calibri" w:eastAsia="Calibri" w:hAnsi="Calibri"/>
          <w:color w:val="1A1A1A"/>
          <w:sz w:val="20"/>
          <w:szCs w:val="20"/>
        </w:rPr>
        <w:t xml:space="preserve"> : en matière criminelle, la question ne peut l’être que durant la </w:t>
      </w:r>
      <w:r>
        <w:rPr>
          <w:rFonts w:ascii="Calibri" w:cs="Calibri" w:eastAsia="Calibri" w:hAnsi="Calibri"/>
          <w:b/>
          <w:bCs/>
          <w:color w:val="1A1A1A"/>
          <w:sz w:val="20"/>
          <w:szCs w:val="20"/>
        </w:rPr>
        <w:t xml:space="preserve">phase d’instruction</w:t>
      </w:r>
      <w:r>
        <w:rPr>
          <w:rFonts w:ascii="Calibri" w:cs="Calibri" w:eastAsia="Calibri" w:hAnsi="Calibri"/>
          <w:color w:val="1A1A1A"/>
          <w:sz w:val="20"/>
          <w:szCs w:val="20"/>
        </w:rPr>
        <w:t xml:space="preserve">. C’est la seule exception au principe de recevabilité devant toutes les juridictions des deux ordres.</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color w:val="1E88E5"/>
          <w:sz w:val="20"/>
          <w:szCs w:val="20"/>
        </w:rPr>
        <w:t xml:space="preserve">Titre VII de la Constitution de 1958, art. 56 à 63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56</w:t>
      </w:r>
      <w:r>
        <w:rPr>
          <w:rFonts w:ascii="Calibri" w:cs="Calibri" w:eastAsia="Calibri" w:hAnsi="Calibri"/>
          <w:color w:val="1A1A1A"/>
          <w:sz w:val="20"/>
          <w:szCs w:val="20"/>
        </w:rPr>
        <w:t xml:space="preserve"> : neuf membres, mandat de neuf ans, trois autorités de nomination (président de la République, président de l’Assemblée nationale, président du Sénat), renouvellement par tiers tous les trois ans. </w:t>
      </w:r>
      <w:r>
        <w:rPr>
          <w:rFonts w:ascii="Calibri" w:cs="Calibri" w:eastAsia="Calibri" w:hAnsi="Calibri"/>
          <w:color w:val="1E88E5"/>
          <w:sz w:val="20"/>
          <w:szCs w:val="20"/>
        </w:rPr>
        <w:t xml:space="preserve">Art. 59</w:t>
      </w:r>
      <w:r>
        <w:rPr>
          <w:rFonts w:ascii="Calibri" w:cs="Calibri" w:eastAsia="Calibri" w:hAnsi="Calibri"/>
          <w:color w:val="1A1A1A"/>
          <w:sz w:val="20"/>
          <w:szCs w:val="20"/>
        </w:rPr>
        <w:t xml:space="preserve"> : contentieux des élections parlementaires. </w:t>
      </w:r>
      <w:r>
        <w:rPr>
          <w:rFonts w:ascii="Calibri" w:cs="Calibri" w:eastAsia="Calibri" w:hAnsi="Calibri"/>
          <w:color w:val="1E88E5"/>
          <w:sz w:val="20"/>
          <w:szCs w:val="20"/>
        </w:rPr>
        <w:t xml:space="preserve">Art. 60</w:t>
      </w:r>
      <w:r>
        <w:rPr>
          <w:rFonts w:ascii="Calibri" w:cs="Calibri" w:eastAsia="Calibri" w:hAnsi="Calibri"/>
          <w:color w:val="1A1A1A"/>
          <w:sz w:val="20"/>
          <w:szCs w:val="20"/>
        </w:rPr>
        <w:t xml:space="preserve"> : le Conseil veille à la régularité des opérations de référendum et en proclame les résultats. </w:t>
      </w:r>
      <w:r>
        <w:rPr>
          <w:rFonts w:ascii="Calibri" w:cs="Calibri" w:eastAsia="Calibri" w:hAnsi="Calibri"/>
          <w:color w:val="1E88E5"/>
          <w:sz w:val="20"/>
          <w:szCs w:val="20"/>
        </w:rPr>
        <w:t xml:space="preserve">Art. 61</w:t>
      </w:r>
      <w:r>
        <w:rPr>
          <w:rFonts w:ascii="Calibri" w:cs="Calibri" w:eastAsia="Calibri" w:hAnsi="Calibri"/>
          <w:color w:val="1A1A1A"/>
          <w:sz w:val="20"/>
          <w:szCs w:val="20"/>
        </w:rPr>
        <w:t xml:space="preserve"> : contrôle </w:t>
      </w:r>
      <w:r>
        <w:rPr>
          <w:rFonts w:ascii="Calibri" w:cs="Calibri" w:eastAsia="Calibri" w:hAnsi="Calibri"/>
          <w:i/>
          <w:iCs/>
          <w:color w:val="1A1A1A"/>
          <w:sz w:val="20"/>
          <w:szCs w:val="20"/>
        </w:rPr>
        <w:t xml:space="preserve">a priori</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61-1</w:t>
      </w:r>
      <w:r>
        <w:rPr>
          <w:rFonts w:ascii="Calibri" w:cs="Calibri" w:eastAsia="Calibri" w:hAnsi="Calibri"/>
          <w:color w:val="1A1A1A"/>
          <w:sz w:val="20"/>
          <w:szCs w:val="20"/>
        </w:rPr>
        <w:t xml:space="preserve"> : question prioritaire de constitutionnalité.</w:t>
      </w:r>
    </w:p>
    <w:p>
      <w:pPr>
        <w:pStyle w:val="ListParagraph"/>
        <w:numPr>
          <w:ilvl w:val="0"/>
          <w:numId w:val="2"/>
        </w:numPr>
        <w:spacing w:after="70" w:line="264"/>
        <w:jc w:val="both"/>
      </w:pPr>
      <w:r>
        <w:rPr>
          <w:rFonts w:ascii="Calibri" w:cs="Calibri" w:eastAsia="Calibri" w:hAnsi="Calibri"/>
          <w:color w:val="1E88E5"/>
          <w:sz w:val="20"/>
          <w:szCs w:val="20"/>
        </w:rPr>
        <w:t xml:space="preserve">Art. 11 C.</w:t>
      </w:r>
      <w:r>
        <w:rPr>
          <w:rFonts w:ascii="Calibri" w:cs="Calibri" w:eastAsia="Calibri" w:hAnsi="Calibri"/>
          <w:color w:val="1A1A1A"/>
          <w:sz w:val="20"/>
          <w:szCs w:val="20"/>
        </w:rPr>
        <w:t xml:space="preserve"> : référendum législatif — le Conseil contrôle le projet de loi référendaire avant qu’il ne soit soumis au peuple (</w:t>
      </w:r>
      <w:r>
        <w:rPr>
          <w:rFonts w:ascii="Calibri" w:cs="Calibri" w:eastAsia="Calibri" w:hAnsi="Calibri"/>
          <w:color w:val="E91E63"/>
          <w:sz w:val="20"/>
          <w:szCs w:val="20"/>
        </w:rPr>
        <w:t xml:space="preserve">Cons. const., déc. n° 2013-681 DC, 5 décembre 2013, Loi portant application de l’article 11 de la Constitution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E88E5"/>
          <w:sz w:val="20"/>
          <w:szCs w:val="20"/>
        </w:rPr>
        <w:t xml:space="preserve">Art. 16 C.</w:t>
      </w:r>
      <w:r>
        <w:rPr>
          <w:rFonts w:ascii="Calibri" w:cs="Calibri" w:eastAsia="Calibri" w:hAnsi="Calibri"/>
          <w:color w:val="1A1A1A"/>
          <w:sz w:val="20"/>
          <w:szCs w:val="20"/>
        </w:rPr>
        <w:t xml:space="preserve"> : compétence </w:t>
      </w:r>
      <w:r>
        <w:rPr>
          <w:rFonts w:ascii="Calibri" w:cs="Calibri" w:eastAsia="Calibri" w:hAnsi="Calibri"/>
          <w:b/>
          <w:bCs/>
          <w:color w:val="1A1A1A"/>
          <w:sz w:val="20"/>
          <w:szCs w:val="20"/>
        </w:rPr>
        <w:t xml:space="preserve">consultative</w:t>
      </w:r>
      <w:r>
        <w:rPr>
          <w:rFonts w:ascii="Calibri" w:cs="Calibri" w:eastAsia="Calibri" w:hAnsi="Calibri"/>
          <w:color w:val="1A1A1A"/>
          <w:sz w:val="20"/>
          <w:szCs w:val="20"/>
        </w:rPr>
        <w:t xml:space="preserve"> principale du Conseil. Le Gouvernement peut également le consulter pour l’organisation des élections présidentielles et des référendums ; le Conseil peut proposer des mesures pour améliorer les élections parlementaires et présidentielles.</w:t>
      </w:r>
    </w:p>
    <w:p>
      <w:pPr>
        <w:pStyle w:val="ListParagraph"/>
        <w:numPr>
          <w:ilvl w:val="0"/>
          <w:numId w:val="2"/>
        </w:numPr>
        <w:spacing w:after="70" w:line="264"/>
        <w:jc w:val="both"/>
      </w:pPr>
      <w:r>
        <w:rPr>
          <w:rFonts w:ascii="Calibri" w:cs="Calibri" w:eastAsia="Calibri" w:hAnsi="Calibri"/>
          <w:color w:val="1E88E5"/>
          <w:sz w:val="20"/>
          <w:szCs w:val="20"/>
        </w:rPr>
        <w:t xml:space="preserve">Loi constitutionnelle n° 74-904 du 29 octobre 1974</w:t>
      </w:r>
      <w:r>
        <w:rPr>
          <w:rFonts w:ascii="Calibri" w:cs="Calibri" w:eastAsia="Calibri" w:hAnsi="Calibri"/>
          <w:color w:val="1A1A1A"/>
          <w:sz w:val="20"/>
          <w:szCs w:val="20"/>
        </w:rPr>
        <w:t xml:space="preserve"> : saisine ouverte à soixante députés ou soixante sénateurs. </w:t>
      </w:r>
      <w:r>
        <w:rPr>
          <w:rFonts w:ascii="Calibri" w:cs="Calibri" w:eastAsia="Calibri" w:hAnsi="Calibri"/>
          <w:color w:val="1E88E5"/>
          <w:sz w:val="20"/>
          <w:szCs w:val="20"/>
        </w:rPr>
        <w:t xml:space="preserve">Loi constitutionnelle n° 2008-724 du 23 juillet 2008</w:t>
      </w:r>
      <w:r>
        <w:rPr>
          <w:rFonts w:ascii="Calibri" w:cs="Calibri" w:eastAsia="Calibri" w:hAnsi="Calibri"/>
          <w:color w:val="1A1A1A"/>
          <w:sz w:val="20"/>
          <w:szCs w:val="20"/>
        </w:rPr>
        <w:t xml:space="preserve"> : création de la QPC. </w:t>
      </w:r>
      <w:r>
        <w:rPr>
          <w:rFonts w:ascii="Calibri" w:cs="Calibri" w:eastAsia="Calibri" w:hAnsi="Calibri"/>
          <w:color w:val="1E88E5"/>
          <w:sz w:val="20"/>
          <w:szCs w:val="20"/>
        </w:rPr>
        <w:t xml:space="preserve">Loi organique n° 2009-1523 du 10 décembre 2009</w:t>
      </w:r>
      <w:r>
        <w:rPr>
          <w:rFonts w:ascii="Calibri" w:cs="Calibri" w:eastAsia="Calibri" w:hAnsi="Calibri"/>
          <w:color w:val="1A1A1A"/>
          <w:sz w:val="20"/>
          <w:szCs w:val="20"/>
        </w:rPr>
        <w:t xml:space="preserve"> : règles procédurales de la QPC.</w:t>
      </w:r>
    </w:p>
    <w:p>
      <w:pPr>
        <w:pStyle w:val="ListParagraph"/>
        <w:numPr>
          <w:ilvl w:val="0"/>
          <w:numId w:val="2"/>
        </w:numPr>
        <w:spacing w:after="70" w:line="264"/>
        <w:jc w:val="both"/>
      </w:pPr>
      <w:r>
        <w:rPr>
          <w:rFonts w:ascii="Calibri" w:cs="Calibri" w:eastAsia="Calibri" w:hAnsi="Calibri"/>
          <w:b/>
          <w:bCs/>
          <w:color w:val="1A1A1A"/>
          <w:sz w:val="20"/>
          <w:szCs w:val="20"/>
        </w:rPr>
        <w:t xml:space="preserve">Règlement intérieur sur la procédure suivie devant le Conseil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(respect du contradictoire — mémoires en réplique par voie électronique) ; </w:t>
      </w:r>
      <w:r>
        <w:rPr>
          <w:rFonts w:ascii="Calibri" w:cs="Calibri" w:eastAsia="Calibri" w:hAnsi="Calibri"/>
          <w:color w:val="1E88E5"/>
          <w:sz w:val="20"/>
          <w:szCs w:val="20"/>
        </w:rPr>
        <w:t xml:space="preserve">art. 4</w:t>
      </w:r>
      <w:r>
        <w:rPr>
          <w:rFonts w:ascii="Calibri" w:cs="Calibri" w:eastAsia="Calibri" w:hAnsi="Calibri"/>
          <w:color w:val="1A1A1A"/>
          <w:sz w:val="20"/>
          <w:szCs w:val="20"/>
        </w:rPr>
        <w:t xml:space="preserve"> (les membres peuvent s’abstenir de siéger, les parties peuvent demander la récusation — exigence d’impartialité inspirée de l’</w:t>
      </w:r>
      <w:r>
        <w:rPr>
          <w:rFonts w:ascii="Calibri" w:cs="Calibri" w:eastAsia="Calibri" w:hAnsi="Calibri"/>
          <w:color w:val="1E88E5"/>
          <w:sz w:val="20"/>
          <w:szCs w:val="20"/>
        </w:rPr>
        <w:t xml:space="preserve">art. 6 § 1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(publicité des audiences).</w:t>
      </w:r>
    </w:p>
    <w:p>
      <w:pPr>
        <w:pStyle w:val="ListParagraph"/>
        <w:numPr>
          <w:ilvl w:val="0"/>
          <w:numId w:val="2"/>
        </w:numPr>
        <w:spacing w:after="70" w:line="264"/>
        <w:jc w:val="both"/>
      </w:pPr>
      <w:r>
        <w:rPr>
          <w:rFonts w:ascii="Calibri" w:cs="Calibri" w:eastAsia="Calibri" w:hAnsi="Calibri"/>
          <w:b/>
          <w:bCs/>
          <w:color w:val="1A1A1A"/>
          <w:sz w:val="20"/>
          <w:szCs w:val="20"/>
        </w:rPr>
        <w:t xml:space="preserve">Les trois conditions de fond de la QPC, cumulatives</w:t>
      </w:r>
      <w:r>
        <w:rPr>
          <w:rFonts w:ascii="Calibri" w:cs="Calibri" w:eastAsia="Calibri" w:hAnsi="Calibri"/>
          <w:color w:val="1A1A1A"/>
          <w:sz w:val="20"/>
          <w:szCs w:val="20"/>
        </w:rPr>
        <w:t xml:space="preserve"> : (i) </w:t>
      </w:r>
      <w:r>
        <w:rPr>
          <w:rFonts w:ascii="Calibri" w:cs="Calibri" w:eastAsia="Calibri" w:hAnsi="Calibri"/>
          <w:b/>
          <w:bCs/>
          <w:color w:val="1A1A1A"/>
          <w:sz w:val="20"/>
          <w:szCs w:val="20"/>
        </w:rPr>
        <w:t xml:space="preserve">applicabilité de la loi au litige</w:t>
      </w:r>
      <w:r>
        <w:rPr>
          <w:rFonts w:ascii="Calibri" w:cs="Calibri" w:eastAsia="Calibri" w:hAnsi="Calibri"/>
          <w:color w:val="1A1A1A"/>
          <w:sz w:val="20"/>
          <w:szCs w:val="20"/>
        </w:rPr>
        <w:t xml:space="preserve"> — la disposition doit être applicable au litige ou à la procédure, ou constituer le fondement des poursuites ; (ii) </w:t>
      </w:r>
      <w:r>
        <w:rPr>
          <w:rFonts w:ascii="Calibri" w:cs="Calibri" w:eastAsia="Calibri" w:hAnsi="Calibri"/>
          <w:b/>
          <w:bCs/>
          <w:color w:val="1A1A1A"/>
          <w:sz w:val="20"/>
          <w:szCs w:val="20"/>
        </w:rPr>
        <w:t xml:space="preserve">absence de déclaration préalable de conformité</w:t>
      </w:r>
      <w:r>
        <w:rPr>
          <w:rFonts w:ascii="Calibri" w:cs="Calibri" w:eastAsia="Calibri" w:hAnsi="Calibri"/>
          <w:color w:val="1A1A1A"/>
          <w:sz w:val="20"/>
          <w:szCs w:val="20"/>
        </w:rPr>
        <w:t xml:space="preserve"> — sauf </w:t>
      </w:r>
      <w:r>
        <w:rPr>
          <w:rFonts w:ascii="Calibri" w:cs="Calibri" w:eastAsia="Calibri" w:hAnsi="Calibri"/>
          <w:b/>
          <w:bCs/>
          <w:color w:val="1A1A1A"/>
          <w:sz w:val="20"/>
          <w:szCs w:val="20"/>
        </w:rPr>
        <w:t xml:space="preserve">changement de circonstances</w:t>
      </w:r>
      <w:r>
        <w:rPr>
          <w:rFonts w:ascii="Calibri" w:cs="Calibri" w:eastAsia="Calibri" w:hAnsi="Calibri"/>
          <w:color w:val="1A1A1A"/>
          <w:sz w:val="20"/>
          <w:szCs w:val="20"/>
        </w:rPr>
        <w:t xml:space="preserve"> ; (iii) </w:t>
      </w:r>
      <w:r>
        <w:rPr>
          <w:rFonts w:ascii="Calibri" w:cs="Calibri" w:eastAsia="Calibri" w:hAnsi="Calibri"/>
          <w:b/>
          <w:bCs/>
          <w:color w:val="1A1A1A"/>
          <w:sz w:val="20"/>
          <w:szCs w:val="20"/>
        </w:rPr>
        <w:t xml:space="preserve">caractère sérieux ou nouveau</w:t>
      </w:r>
      <w:r>
        <w:rPr>
          <w:rFonts w:ascii="Calibri" w:cs="Calibri" w:eastAsia="Calibri" w:hAnsi="Calibri"/>
          <w:color w:val="1A1A1A"/>
          <w:sz w:val="20"/>
          <w:szCs w:val="20"/>
        </w:rPr>
        <w:t xml:space="preserve"> de la question. </w:t>
      </w:r>
      <w:r>
        <w:rPr>
          <w:rFonts w:ascii="Calibri" w:cs="Calibri" w:eastAsia="Calibri" w:hAnsi="Calibri"/>
          <w:b/>
          <w:bCs/>
          <w:color w:val="1A1A1A"/>
          <w:sz w:val="20"/>
          <w:szCs w:val="20"/>
        </w:rPr>
        <w:t xml:space="preserve">Condition de forme</w:t>
      </w:r>
      <w:r>
        <w:rPr>
          <w:rFonts w:ascii="Calibri" w:cs="Calibri" w:eastAsia="Calibri" w:hAnsi="Calibri"/>
          <w:color w:val="1A1A1A"/>
          <w:sz w:val="20"/>
          <w:szCs w:val="20"/>
        </w:rPr>
        <w:t xml:space="preserve"> : écrit motivé et distinct des autres conclusions.</w:t>
      </w:r>
    </w:p>
    <w:p>
      <w:pPr>
        <w:pStyle w:val="ListParagraph"/>
        <w:numPr>
          <w:ilvl w:val="0"/>
          <w:numId w:val="2"/>
        </w:numPr>
        <w:spacing w:after="70" w:line="264"/>
        <w:jc w:val="both"/>
      </w:pPr>
      <w:r>
        <w:rPr>
          <w:rFonts w:ascii="Calibri" w:cs="Calibri" w:eastAsia="Calibri" w:hAnsi="Calibri"/>
          <w:b/>
          <w:bCs/>
          <w:color w:val="1A1A1A"/>
          <w:sz w:val="20"/>
          <w:szCs w:val="20"/>
        </w:rPr>
        <w:t xml:space="preserve">Délais</w:t>
      </w:r>
      <w:r>
        <w:rPr>
          <w:rFonts w:ascii="Calibri" w:cs="Calibri" w:eastAsia="Calibri" w:hAnsi="Calibri"/>
          <w:color w:val="1A1A1A"/>
          <w:sz w:val="20"/>
          <w:szCs w:val="20"/>
        </w:rPr>
        <w:t xml:space="preserve"> : le juge du fond statue </w:t>
      </w:r>
      <w:r>
        <w:rPr>
          <w:rFonts w:ascii="Calibri" w:cs="Calibri" w:eastAsia="Calibri" w:hAnsi="Calibri"/>
          <w:b/>
          <w:bCs/>
          <w:color w:val="1A1A1A"/>
          <w:sz w:val="20"/>
          <w:szCs w:val="20"/>
        </w:rPr>
        <w:t xml:space="preserve">sans délai</w:t>
      </w:r>
      <w:r>
        <w:rPr>
          <w:rFonts w:ascii="Calibri" w:cs="Calibri" w:eastAsia="Calibri" w:hAnsi="Calibri"/>
          <w:color w:val="1A1A1A"/>
          <w:sz w:val="20"/>
          <w:szCs w:val="20"/>
        </w:rPr>
        <w:t xml:space="preserve"> ; le Conseil d’État ou la Cour de cassation disposent de </w:t>
      </w:r>
      <w:r>
        <w:rPr>
          <w:rFonts w:ascii="Calibri" w:cs="Calibri" w:eastAsia="Calibri" w:hAnsi="Calibri"/>
          <w:b/>
          <w:bCs/>
          <w:color w:val="1A1A1A"/>
          <w:sz w:val="20"/>
          <w:szCs w:val="20"/>
        </w:rPr>
        <w:t xml:space="preserve">trois mois</w:t>
      </w:r>
      <w:r>
        <w:rPr>
          <w:rFonts w:ascii="Calibri" w:cs="Calibri" w:eastAsia="Calibri" w:hAnsi="Calibri"/>
          <w:color w:val="1A1A1A"/>
          <w:sz w:val="20"/>
          <w:szCs w:val="20"/>
        </w:rPr>
        <w:t xml:space="preserve"> ; le Conseil constitutionnel de </w:t>
      </w:r>
      <w:r>
        <w:rPr>
          <w:rFonts w:ascii="Calibri" w:cs="Calibri" w:eastAsia="Calibri" w:hAnsi="Calibri"/>
          <w:b/>
          <w:bCs/>
          <w:color w:val="1A1A1A"/>
          <w:sz w:val="20"/>
          <w:szCs w:val="20"/>
        </w:rPr>
        <w:t xml:space="preserve">trois mois</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Ligne prétorienne &amp; évolutions</w:t>
      </w:r>
    </w:p>
    <w:p>
      <w:pPr>
        <w:pStyle w:val="Heading3"/>
        <w:spacing w:after="90" w:before="200"/>
      </w:pPr>
      <w:r>
        <w:rPr>
          <w:rFonts w:ascii="Calibri" w:cs="Calibri" w:eastAsia="Calibri" w:hAnsi="Calibri"/>
          <w:b/>
          <w:bCs/>
          <w:i/>
          <w:iCs/>
          <w:color w:val="5A5A5A"/>
          <w:sz w:val="21"/>
          <w:szCs w:val="21"/>
        </w:rPr>
        <w:t xml:space="preserve">2.1. L’émancipation du « chien de garde de l’exécutif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71-44 DC, 16 juillet 1971, Loi complétant les dispositions des articles 5 et 7 de la loi du 1er juillet 1901 relative au contrat d’association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73-51 DC, 27 décembre 1973, Taxation d’office</w:t>
      </w:r>
      <w:r>
        <w:rPr>
          <w:rFonts w:ascii="Calibri" w:cs="Calibri" w:eastAsia="Calibri" w:hAnsi="Calibri"/>
          <w:color w:val="1A1A1A"/>
          <w:sz w:val="20"/>
          <w:szCs w:val="20"/>
        </w:rPr>
        <w:t xml:space="preserve"> : élargissement du bloc de constitutionnalité à la DDHC et, partant, à l’ensemble du préambule de la Constitution de 1958.</w:t>
      </w:r>
    </w:p>
    <w:p>
      <w:pPr>
        <w:pStyle w:val="ListParagraph"/>
        <w:numPr>
          <w:ilvl w:val="0"/>
          <w:numId w:val="2"/>
        </w:numPr>
        <w:spacing w:after="70" w:line="264"/>
        <w:jc w:val="both"/>
      </w:pPr>
      <w:r>
        <w:rPr>
          <w:rFonts w:ascii="Calibri" w:cs="Calibri" w:eastAsia="Calibri" w:hAnsi="Calibri"/>
          <w:b/>
          <w:bCs/>
          <w:color w:val="1A1A1A"/>
          <w:sz w:val="20"/>
          <w:szCs w:val="20"/>
        </w:rPr>
        <w:t xml:space="preserve">Rappel du point de départ</w:t>
      </w:r>
      <w:r>
        <w:rPr>
          <w:rFonts w:ascii="Calibri" w:cs="Calibri" w:eastAsia="Calibri" w:hAnsi="Calibri"/>
          <w:color w:val="1A1A1A"/>
          <w:sz w:val="20"/>
          <w:szCs w:val="20"/>
        </w:rPr>
        <w:t xml:space="preserve"> : le contrôle mis en place en 1958 avait essentiellement pour but de s’assurer que le Parlement reste dans le domaine législatif de l’</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sans venir empiéter sur le domaine réglementaire de l’</w:t>
      </w:r>
      <w:r>
        <w:rPr>
          <w:rFonts w:ascii="Calibri" w:cs="Calibri" w:eastAsia="Calibri" w:hAnsi="Calibri"/>
          <w:color w:val="1E88E5"/>
          <w:sz w:val="20"/>
          <w:szCs w:val="20"/>
        </w:rPr>
        <w:t xml:space="preserve">art. 37</w:t>
      </w:r>
      <w:r>
        <w:rPr>
          <w:rFonts w:ascii="Calibri" w:cs="Calibri" w:eastAsia="Calibri" w:hAnsi="Calibri"/>
          <w:color w:val="1A1A1A"/>
          <w:sz w:val="20"/>
          <w:szCs w:val="20"/>
        </w:rPr>
        <w:t xml:space="preserve">. Le Conseil n’a donc </w:t>
      </w:r>
      <w:r>
        <w:rPr>
          <w:rFonts w:ascii="Calibri" w:cs="Calibri" w:eastAsia="Calibri" w:hAnsi="Calibri"/>
          <w:b/>
          <w:bCs/>
          <w:color w:val="1A1A1A"/>
          <w:sz w:val="20"/>
          <w:szCs w:val="20"/>
        </w:rPr>
        <w:t xml:space="preserve">pas été instauré dans le but de défendre les droits et libertés</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2.2. L’économie du contrôle : une autolimitation assumée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74-54 DC, 15 janvier 1975, IVG</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Il ne dispose pas d’un pouvoir général d’appréciation et de décision identique à celui du Parlement.</w:t>
      </w:r>
      <w:r>
        <w:rPr>
          <w:rFonts w:ascii="Calibri" w:cs="Calibri" w:eastAsia="Calibri" w:hAnsi="Calibri"/>
          <w:color w:val="1A1A1A"/>
          <w:sz w:val="20"/>
          <w:szCs w:val="20"/>
        </w:rPr>
        <w:t xml:space="preserve"> » Le Conseil se limite à un </w:t>
      </w:r>
      <w:r>
        <w:rPr>
          <w:rFonts w:ascii="Calibri" w:cs="Calibri" w:eastAsia="Calibri" w:hAnsi="Calibri"/>
          <w:b/>
          <w:bCs/>
          <w:color w:val="1A1A1A"/>
          <w:sz w:val="20"/>
          <w:szCs w:val="20"/>
        </w:rPr>
        <w:t xml:space="preserve">contrôle restreint</w:t>
      </w:r>
      <w:r>
        <w:rPr>
          <w:rFonts w:ascii="Calibri" w:cs="Calibri" w:eastAsia="Calibri" w:hAnsi="Calibri"/>
          <w:color w:val="1A1A1A"/>
          <w:sz w:val="20"/>
          <w:szCs w:val="20"/>
        </w:rPr>
        <w:t xml:space="preserve">, en particulier pour les domaines politiquement ou socialement sensibles ; il rappelle qu’il ne lui appartient pas de rechercher si l’objectif poursuivi par le législateur aurait pu être atteint par d’autres voies, </w:t>
      </w:r>
      <w:r>
        <w:rPr>
          <w:rFonts w:ascii="Calibri" w:cs="Calibri" w:eastAsia="Calibri" w:hAnsi="Calibri"/>
          <w:b/>
          <w:bCs/>
          <w:color w:val="1A1A1A"/>
          <w:sz w:val="20"/>
          <w:szCs w:val="20"/>
        </w:rPr>
        <w:t xml:space="preserve">tant que les dispositions ne sont pas manifestement disproportionnées</w:t>
      </w:r>
      <w:r>
        <w:rPr>
          <w:rFonts w:ascii="Calibri" w:cs="Calibri" w:eastAsia="Calibri" w:hAnsi="Calibri"/>
          <w:color w:val="1A1A1A"/>
          <w:sz w:val="20"/>
          <w:szCs w:val="20"/>
        </w:rPr>
        <w:t xml:space="preserve"> à l’objectif visé.</w:t>
      </w:r>
    </w:p>
    <w:p>
      <w:pPr>
        <w:pStyle w:val="Heading3"/>
        <w:spacing w:after="90" w:before="200"/>
      </w:pPr>
      <w:r>
        <w:rPr>
          <w:rFonts w:ascii="Calibri" w:cs="Calibri" w:eastAsia="Calibri" w:hAnsi="Calibri"/>
          <w:b/>
          <w:bCs/>
          <w:i/>
          <w:iCs/>
          <w:color w:val="5A5A5A"/>
          <w:sz w:val="21"/>
          <w:szCs w:val="21"/>
        </w:rPr>
        <w:t xml:space="preserve">2.3. Les réserves d’interprétation</w:t>
      </w:r>
    </w:p>
    <w:p>
      <w:pPr>
        <w:pStyle w:val="ListParagraph"/>
        <w:numPr>
          <w:ilvl w:val="0"/>
          <w:numId w:val="2"/>
        </w:numPr>
        <w:spacing w:after="70" w:line="264"/>
        <w:jc w:val="both"/>
      </w:pPr>
      <w:r>
        <w:rPr>
          <w:rFonts w:ascii="Calibri" w:cs="Calibri" w:eastAsia="Calibri" w:hAnsi="Calibri"/>
          <w:b/>
          <w:bCs/>
          <w:color w:val="1A1A1A"/>
          <w:sz w:val="20"/>
          <w:szCs w:val="20"/>
        </w:rPr>
        <w:t xml:space="preserve">Fonction</w:t>
      </w:r>
      <w:r>
        <w:rPr>
          <w:rFonts w:ascii="Calibri" w:cs="Calibri" w:eastAsia="Calibri" w:hAnsi="Calibri"/>
          <w:color w:val="1A1A1A"/>
          <w:sz w:val="20"/>
          <w:szCs w:val="20"/>
        </w:rPr>
        <w:t xml:space="preserve"> : faire œuvre de </w:t>
      </w:r>
      <w:r>
        <w:rPr>
          <w:rFonts w:ascii="Calibri" w:cs="Calibri" w:eastAsia="Calibri" w:hAnsi="Calibri"/>
          <w:b/>
          <w:bCs/>
          <w:color w:val="1A1A1A"/>
          <w:sz w:val="20"/>
          <w:szCs w:val="20"/>
        </w:rPr>
        <w:t xml:space="preserve">pédagogie</w:t>
      </w:r>
      <w:r>
        <w:rPr>
          <w:rFonts w:ascii="Calibri" w:cs="Calibri" w:eastAsia="Calibri" w:hAnsi="Calibri"/>
          <w:color w:val="1A1A1A"/>
          <w:sz w:val="20"/>
          <w:szCs w:val="20"/>
        </w:rPr>
        <w:t xml:space="preserve"> auprès du législateur tout en évitant la confrontation. Le Conseil estime que certaines dispositions sont conformes </w:t>
      </w:r>
      <w:r>
        <w:rPr>
          <w:rFonts w:ascii="Calibri" w:cs="Calibri" w:eastAsia="Calibri" w:hAnsi="Calibri"/>
          <w:b/>
          <w:bCs/>
          <w:color w:val="1A1A1A"/>
          <w:sz w:val="20"/>
          <w:szCs w:val="20"/>
        </w:rPr>
        <w:t xml:space="preserve">tout en les assortissant de réserves</w:t>
      </w:r>
      <w:r>
        <w:rPr>
          <w:rFonts w:ascii="Calibri" w:cs="Calibri" w:eastAsia="Calibri" w:hAnsi="Calibri"/>
          <w:color w:val="1A1A1A"/>
          <w:sz w:val="20"/>
          <w:szCs w:val="20"/>
        </w:rPr>
        <w:t xml:space="preserve"> concernant l’interprétation et l’application qui en seront faites par les autorités publiques.</w:t>
      </w:r>
    </w:p>
    <w:p>
      <w:pPr>
        <w:pStyle w:val="ListParagraph"/>
        <w:numPr>
          <w:ilvl w:val="0"/>
          <w:numId w:val="2"/>
        </w:numPr>
        <w:spacing w:after="70" w:line="264"/>
        <w:jc w:val="both"/>
      </w:pPr>
      <w:r>
        <w:rPr>
          <w:rFonts w:ascii="Calibri" w:cs="Calibri" w:eastAsia="Calibri" w:hAnsi="Calibri"/>
          <w:b/>
          <w:bCs/>
          <w:color w:val="1A1A1A"/>
          <w:sz w:val="20"/>
          <w:szCs w:val="20"/>
        </w:rPr>
        <w:t xml:space="preserve">Trois types</w:t>
      </w:r>
      <w:r>
        <w:rPr>
          <w:rFonts w:ascii="Calibri" w:cs="Calibri" w:eastAsia="Calibri" w:hAnsi="Calibri"/>
          <w:color w:val="1A1A1A"/>
          <w:sz w:val="20"/>
          <w:szCs w:val="20"/>
        </w:rPr>
        <w:t xml:space="preserve"> : réserves </w:t>
      </w:r>
      <w:r>
        <w:rPr>
          <w:rFonts w:ascii="Calibri" w:cs="Calibri" w:eastAsia="Calibri" w:hAnsi="Calibri"/>
          <w:b/>
          <w:bCs/>
          <w:color w:val="1A1A1A"/>
          <w:sz w:val="20"/>
          <w:szCs w:val="20"/>
        </w:rPr>
        <w:t xml:space="preserve">neutralisantes</w:t>
      </w:r>
      <w:r>
        <w:rPr>
          <w:rFonts w:ascii="Calibri" w:cs="Calibri" w:eastAsia="Calibri" w:hAnsi="Calibri"/>
          <w:color w:val="1A1A1A"/>
          <w:sz w:val="20"/>
          <w:szCs w:val="20"/>
        </w:rPr>
        <w:t xml:space="preserve"> (priver d’effets juridiques les dispositions litigieuses ou exclure les interprétations qui rendraient la loi contraire à la Constitution) ; réserves </w:t>
      </w:r>
      <w:r>
        <w:rPr>
          <w:rFonts w:ascii="Calibri" w:cs="Calibri" w:eastAsia="Calibri" w:hAnsi="Calibri"/>
          <w:b/>
          <w:bCs/>
          <w:color w:val="1A1A1A"/>
          <w:sz w:val="20"/>
          <w:szCs w:val="20"/>
        </w:rPr>
        <w:t xml:space="preserve">constructives</w:t>
      </w:r>
      <w:r>
        <w:rPr>
          <w:rFonts w:ascii="Calibri" w:cs="Calibri" w:eastAsia="Calibri" w:hAnsi="Calibri"/>
          <w:color w:val="1A1A1A"/>
          <w:sz w:val="20"/>
          <w:szCs w:val="20"/>
        </w:rPr>
        <w:t xml:space="preserve"> (ajouter une interprétation pour que le texte soit conforme ou produise un certain effet juridique) ; réserves </w:t>
      </w:r>
      <w:r>
        <w:rPr>
          <w:rFonts w:ascii="Calibri" w:cs="Calibri" w:eastAsia="Calibri" w:hAnsi="Calibri"/>
          <w:b/>
          <w:bCs/>
          <w:color w:val="1A1A1A"/>
          <w:sz w:val="20"/>
          <w:szCs w:val="20"/>
        </w:rPr>
        <w:t xml:space="preserve">directives</w:t>
      </w:r>
      <w:r>
        <w:rPr>
          <w:rFonts w:ascii="Calibri" w:cs="Calibri" w:eastAsia="Calibri" w:hAnsi="Calibri"/>
          <w:color w:val="1A1A1A"/>
          <w:sz w:val="20"/>
          <w:szCs w:val="20"/>
        </w:rPr>
        <w:t xml:space="preserve"> (le juge précise et impose les modalités d’application — la Cour de cassation et le Conseil d’État s’assurent alors que la loi est appliquée conformément à la réserve).</w:t>
      </w:r>
    </w:p>
    <w:p>
      <w:pPr>
        <w:pStyle w:val="ListParagraph"/>
        <w:numPr>
          <w:ilvl w:val="0"/>
          <w:numId w:val="2"/>
        </w:numPr>
        <w:spacing w:after="70" w:line="264"/>
        <w:jc w:val="both"/>
      </w:pPr>
      <w:r>
        <w:rPr>
          <w:rFonts w:ascii="Calibri" w:cs="Calibri" w:eastAsia="Calibri" w:hAnsi="Calibri"/>
          <w:color w:val="1A1A1A"/>
          <w:sz w:val="20"/>
          <w:szCs w:val="20"/>
        </w:rPr>
        <w:t xml:space="preserve">Jalons : </w:t>
      </w:r>
      <w:r>
        <w:rPr>
          <w:rFonts w:ascii="Calibri" w:cs="Calibri" w:eastAsia="Calibri" w:hAnsi="Calibri"/>
          <w:color w:val="E91E63"/>
          <w:sz w:val="20"/>
          <w:szCs w:val="20"/>
        </w:rPr>
        <w:t xml:space="preserve">Cons. const., déc. n° 59-2 DC, 24 juin 1959, Règlement de l’Assemblée nationale</w:t>
      </w:r>
      <w:r>
        <w:rPr>
          <w:rFonts w:ascii="Calibri" w:cs="Calibri" w:eastAsia="Calibri" w:hAnsi="Calibri"/>
          <w:color w:val="1A1A1A"/>
          <w:sz w:val="20"/>
          <w:szCs w:val="20"/>
        </w:rPr>
        <w:t xml:space="preserve"> (technique utilisée dès l’instauration du contrôle) ; </w:t>
      </w:r>
      <w:r>
        <w:rPr>
          <w:rFonts w:ascii="Calibri" w:cs="Calibri" w:eastAsia="Calibri" w:hAnsi="Calibri"/>
          <w:color w:val="E91E63"/>
          <w:sz w:val="20"/>
          <w:szCs w:val="20"/>
        </w:rPr>
        <w:t xml:space="preserve">Cons. const., déc. n° 84-181 DC, 11 octobre 1984, Entreprises de presse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2022-835 DC, 21 janvier 2022, Loi renforçant les outils de gestion de la crise sanitaire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2.4. Non-conformité partielle, effet cliquet, moyens soulevés d’office</w:t>
      </w:r>
    </w:p>
    <w:p>
      <w:pPr>
        <w:pStyle w:val="ListParagraph"/>
        <w:numPr>
          <w:ilvl w:val="0"/>
          <w:numId w:val="2"/>
        </w:numPr>
        <w:spacing w:after="70" w:line="264"/>
        <w:jc w:val="both"/>
      </w:pPr>
      <w:r>
        <w:rPr>
          <w:rFonts w:ascii="Calibri" w:cs="Calibri" w:eastAsia="Calibri" w:hAnsi="Calibri"/>
          <w:b/>
          <w:bCs/>
          <w:color w:val="1A1A1A"/>
          <w:sz w:val="20"/>
          <w:szCs w:val="20"/>
        </w:rPr>
        <w:t xml:space="preserve">Non-conformité partielle</w:t>
      </w:r>
      <w:r>
        <w:rPr>
          <w:rFonts w:ascii="Calibri" w:cs="Calibri" w:eastAsia="Calibri" w:hAnsi="Calibri"/>
          <w:color w:val="1A1A1A"/>
          <w:sz w:val="20"/>
          <w:szCs w:val="20"/>
        </w:rPr>
        <w:t xml:space="preserve"> : les censures totales sont devenues rares (graves vices de procédure ou graves motifs d’inconstitutionnalité). Le juge statue sur la </w:t>
      </w:r>
      <w:r>
        <w:rPr>
          <w:rFonts w:ascii="Calibri" w:cs="Calibri" w:eastAsia="Calibri" w:hAnsi="Calibri"/>
          <w:b/>
          <w:bCs/>
          <w:color w:val="1A1A1A"/>
          <w:sz w:val="20"/>
          <w:szCs w:val="20"/>
        </w:rPr>
        <w:t xml:space="preserve">séparabilité</w:t>
      </w:r>
      <w:r>
        <w:rPr>
          <w:rFonts w:ascii="Calibri" w:cs="Calibri" w:eastAsia="Calibri" w:hAnsi="Calibri"/>
          <w:color w:val="1A1A1A"/>
          <w:sz w:val="20"/>
          <w:szCs w:val="20"/>
        </w:rPr>
        <w:t xml:space="preserve"> des dispositions au moyen de deux critères : la loi </w:t>
      </w:r>
      <w:r>
        <w:rPr>
          <w:rFonts w:ascii="Calibri" w:cs="Calibri" w:eastAsia="Calibri" w:hAnsi="Calibri"/>
          <w:b/>
          <w:bCs/>
          <w:color w:val="1A1A1A"/>
          <w:sz w:val="20"/>
          <w:szCs w:val="20"/>
        </w:rPr>
        <w:t xml:space="preserve">demeure-t-elle applicable</w:t>
      </w:r>
      <w:r>
        <w:rPr>
          <w:rFonts w:ascii="Calibri" w:cs="Calibri" w:eastAsia="Calibri" w:hAnsi="Calibri"/>
          <w:color w:val="1A1A1A"/>
          <w:sz w:val="20"/>
          <w:szCs w:val="20"/>
        </w:rPr>
        <w:t xml:space="preserve"> une fois les dispositions invalidées supprimées ; les </w:t>
      </w:r>
      <w:r>
        <w:rPr>
          <w:rFonts w:ascii="Calibri" w:cs="Calibri" w:eastAsia="Calibri" w:hAnsi="Calibri"/>
          <w:b/>
          <w:bCs/>
          <w:color w:val="1A1A1A"/>
          <w:sz w:val="20"/>
          <w:szCs w:val="20"/>
        </w:rPr>
        <w:t xml:space="preserve">débats législatifs</w:t>
      </w:r>
      <w:r>
        <w:rPr>
          <w:rFonts w:ascii="Calibri" w:cs="Calibri" w:eastAsia="Calibri" w:hAnsi="Calibri"/>
          <w:color w:val="1A1A1A"/>
          <w:sz w:val="20"/>
          <w:szCs w:val="20"/>
        </w:rPr>
        <w:t xml:space="preserve"> montrent-ils que, sans ces dispositions, la loi aurait tout de même été adoptée. Le juge apprécie ici l’intention du législateur et les conséquences politiques de sa décision.</w:t>
      </w:r>
    </w:p>
    <w:p>
      <w:pPr>
        <w:pStyle w:val="ListParagraph"/>
        <w:numPr>
          <w:ilvl w:val="0"/>
          <w:numId w:val="2"/>
        </w:numPr>
        <w:spacing w:after="70" w:line="264"/>
        <w:jc w:val="both"/>
      </w:pPr>
      <w:r>
        <w:rPr>
          <w:rFonts w:ascii="Calibri" w:cs="Calibri" w:eastAsia="Calibri" w:hAnsi="Calibri"/>
          <w:b/>
          <w:bCs/>
          <w:color w:val="1A1A1A"/>
          <w:sz w:val="20"/>
          <w:szCs w:val="20"/>
        </w:rPr>
        <w:t xml:space="preserve">Effet cliquet</w:t>
      </w:r>
      <w:r>
        <w:rPr>
          <w:rFonts w:ascii="Calibri" w:cs="Calibri" w:eastAsia="Calibri" w:hAnsi="Calibri"/>
          <w:color w:val="1A1A1A"/>
          <w:sz w:val="20"/>
          <w:szCs w:val="20"/>
        </w:rPr>
        <w:t xml:space="preserve"> — deux conséquences : pas de retour en arrière </w:t>
      </w:r>
      <w:r>
        <w:rPr>
          <w:rFonts w:ascii="Calibri" w:cs="Calibri" w:eastAsia="Calibri" w:hAnsi="Calibri"/>
          <w:b/>
          <w:bCs/>
          <w:color w:val="1A1A1A"/>
          <w:sz w:val="20"/>
          <w:szCs w:val="20"/>
        </w:rPr>
        <w:t xml:space="preserve">jurisprudentiel</w:t>
      </w:r>
      <w:r>
        <w:rPr>
          <w:rFonts w:ascii="Calibri" w:cs="Calibri" w:eastAsia="Calibri" w:hAnsi="Calibri"/>
          <w:color w:val="1A1A1A"/>
          <w:sz w:val="20"/>
          <w:szCs w:val="20"/>
        </w:rPr>
        <w:t xml:space="preserve"> (entrave aux revirements) et pas de retour en arrière </w:t>
      </w:r>
      <w:r>
        <w:rPr>
          <w:rFonts w:ascii="Calibri" w:cs="Calibri" w:eastAsia="Calibri" w:hAnsi="Calibri"/>
          <w:b/>
          <w:bCs/>
          <w:color w:val="1A1A1A"/>
          <w:sz w:val="20"/>
          <w:szCs w:val="20"/>
        </w:rPr>
        <w:t xml:space="preserve">législatif</w:t>
      </w:r>
      <w:r>
        <w:rPr>
          <w:rFonts w:ascii="Calibri" w:cs="Calibri" w:eastAsia="Calibri" w:hAnsi="Calibri"/>
          <w:color w:val="1A1A1A"/>
          <w:sz w:val="20"/>
          <w:szCs w:val="20"/>
        </w:rPr>
        <w:t xml:space="preserve"> (interdiction d’abroger ou de modifier des dispositions mettant en cause des droits fondamentaux). Première affirmation : </w:t>
      </w:r>
      <w:r>
        <w:rPr>
          <w:rFonts w:ascii="Calibri" w:cs="Calibri" w:eastAsia="Calibri" w:hAnsi="Calibri"/>
          <w:color w:val="E91E63"/>
          <w:sz w:val="20"/>
          <w:szCs w:val="20"/>
        </w:rPr>
        <w:t xml:space="preserve">Cons. const., déc. n° 83-165 DC, 20 janvier 1984, Enseignement supérieur</w:t>
      </w:r>
      <w:r>
        <w:rPr>
          <w:rFonts w:ascii="Calibri" w:cs="Calibri" w:eastAsia="Calibri" w:hAnsi="Calibri"/>
          <w:color w:val="1A1A1A"/>
          <w:sz w:val="20"/>
          <w:szCs w:val="20"/>
        </w:rPr>
        <w:t xml:space="preserve"> — franchises universitaires et abrogation de la loi « Edgar Faure », les garanties équivalentes n’étant pas reprises. Confirmations : </w:t>
      </w:r>
      <w:r>
        <w:rPr>
          <w:rFonts w:ascii="Calibri" w:cs="Calibri" w:eastAsia="Calibri" w:hAnsi="Calibri"/>
          <w:color w:val="E91E63"/>
          <w:sz w:val="20"/>
          <w:szCs w:val="20"/>
        </w:rPr>
        <w:t xml:space="preserve">Cons. const., déc. n° 93-325 DC, 13 août 1993, Maîtrise de l’immigration</w:t>
      </w:r>
      <w:r>
        <w:rPr>
          <w:rFonts w:ascii="Calibri" w:cs="Calibri" w:eastAsia="Calibri" w:hAnsi="Calibri"/>
          <w:color w:val="1A1A1A"/>
          <w:sz w:val="20"/>
          <w:szCs w:val="20"/>
        </w:rPr>
        <w:t xml:space="preserve"> (« </w:t>
      </w:r>
      <w:r>
        <w:rPr>
          <w:rFonts w:ascii="Calibri" w:cs="Calibri" w:eastAsia="Calibri" w:hAnsi="Calibri"/>
          <w:i/>
          <w:iCs/>
          <w:color w:val="1A1A1A"/>
          <w:sz w:val="20"/>
          <w:szCs w:val="20"/>
        </w:rPr>
        <w:t xml:space="preserve">S’agissant d’un droit fondamental […], la loi ne peut en réglementer les conditions qu’en vue de le rendre plus effectif ou de le concilier avec d’autres règles de principe de valeur constitutionnelle</w:t>
      </w:r>
      <w:r>
        <w:rPr>
          <w:rFonts w:ascii="Calibri" w:cs="Calibri" w:eastAsia="Calibri" w:hAnsi="Calibri"/>
          <w:color w:val="1A1A1A"/>
          <w:sz w:val="20"/>
          <w:szCs w:val="20"/>
        </w:rPr>
        <w:t xml:space="preserve"> ») ; </w:t>
      </w:r>
      <w:r>
        <w:rPr>
          <w:rFonts w:ascii="Calibri" w:cs="Calibri" w:eastAsia="Calibri" w:hAnsi="Calibri"/>
          <w:color w:val="E91E63"/>
          <w:sz w:val="20"/>
          <w:szCs w:val="20"/>
        </w:rPr>
        <w:t xml:space="preserve">Cons. const., déc. n° 86-210 DC, 29 juillet 1986, Réforme du régime juridique de la presse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94-359 DC, Diversité de l’habitat</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Technique abandonnée</w:t>
      </w:r>
      <w:r>
        <w:rPr>
          <w:rFonts w:ascii="Calibri" w:cs="Calibri" w:eastAsia="Calibri" w:hAnsi="Calibri"/>
          <w:color w:val="1A1A1A"/>
          <w:sz w:val="20"/>
          <w:szCs w:val="20"/>
        </w:rPr>
        <w:t xml:space="preserve"> au cours des années 1990.</w:t>
      </w:r>
    </w:p>
    <w:p>
      <w:pPr>
        <w:pStyle w:val="ListParagraph"/>
        <w:numPr>
          <w:ilvl w:val="0"/>
          <w:numId w:val="2"/>
        </w:numPr>
        <w:spacing w:after="70" w:line="264"/>
        <w:jc w:val="both"/>
      </w:pPr>
      <w:r>
        <w:rPr>
          <w:rFonts w:ascii="Calibri" w:cs="Calibri" w:eastAsia="Calibri" w:hAnsi="Calibri"/>
          <w:b/>
          <w:bCs/>
          <w:color w:val="1A1A1A"/>
          <w:sz w:val="20"/>
          <w:szCs w:val="20"/>
        </w:rPr>
        <w:t xml:space="preserve">Moyens soulevés d’office</w:t>
      </w:r>
      <w:r>
        <w:rPr>
          <w:rFonts w:ascii="Calibri" w:cs="Calibri" w:eastAsia="Calibri" w:hAnsi="Calibri"/>
          <w:color w:val="1A1A1A"/>
          <w:sz w:val="20"/>
          <w:szCs w:val="20"/>
        </w:rPr>
        <w:t xml:space="preserve"> : le juge constitutionnel requalifie un argument du requérant ou en découvre un totalement nouveau. </w:t>
      </w:r>
      <w:r>
        <w:rPr>
          <w:rFonts w:ascii="Calibri" w:cs="Calibri" w:eastAsia="Calibri" w:hAnsi="Calibri"/>
          <w:color w:val="E91E63"/>
          <w:sz w:val="20"/>
          <w:szCs w:val="20"/>
        </w:rPr>
        <w:t xml:space="preserve">Cons. const., déc. n° 84-181 DC, 11 octobre 1984</w:t>
      </w:r>
      <w:r>
        <w:rPr>
          <w:rFonts w:ascii="Calibri" w:cs="Calibri" w:eastAsia="Calibri" w:hAnsi="Calibri"/>
          <w:color w:val="1A1A1A"/>
          <w:sz w:val="20"/>
          <w:szCs w:val="20"/>
        </w:rPr>
        <w:t xml:space="preserve"> : rejet du moyen fondé sur l’</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et la séparation des pouvoirs pour soulever celui tiré de l’</w:t>
      </w:r>
      <w:r>
        <w:rPr>
          <w:rFonts w:ascii="Calibri" w:cs="Calibri" w:eastAsia="Calibri" w:hAnsi="Calibri"/>
          <w:color w:val="1E88E5"/>
          <w:sz w:val="20"/>
          <w:szCs w:val="20"/>
        </w:rPr>
        <w:t xml:space="preserve">art. 11 DDHC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Conclusions soulevées d’office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86-216 DC, 3 septembre 1986, Conditions d’entrée et de séjour des étrangers en France</w:t>
      </w:r>
      <w:r>
        <w:rPr>
          <w:rFonts w:ascii="Calibri" w:cs="Calibri" w:eastAsia="Calibri" w:hAnsi="Calibri"/>
          <w:color w:val="1A1A1A"/>
          <w:sz w:val="20"/>
          <w:szCs w:val="20"/>
        </w:rPr>
        <w:t xml:space="preserve"> — saisine portant sur l’article 5 de la loi, censure de l’article 15-11.</w:t>
      </w:r>
    </w:p>
    <w:p>
      <w:pPr>
        <w:pStyle w:val="Heading3"/>
        <w:spacing w:after="90" w:before="200"/>
      </w:pPr>
      <w:r>
        <w:rPr>
          <w:rFonts w:ascii="Calibri" w:cs="Calibri" w:eastAsia="Calibri" w:hAnsi="Calibri"/>
          <w:b/>
          <w:bCs/>
          <w:i/>
          <w:iCs/>
          <w:color w:val="5A5A5A"/>
          <w:sz w:val="21"/>
          <w:szCs w:val="21"/>
        </w:rPr>
        <w:t xml:space="preserve">2.5. Un bloc de constitutionnalité toujours en construction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2018-717/718 QPC, 6 juillet 2018, M. Cédric H. et autre</w:t>
      </w:r>
      <w:r>
        <w:rPr>
          <w:rFonts w:ascii="Calibri" w:cs="Calibri" w:eastAsia="Calibri" w:hAnsi="Calibri"/>
          <w:color w:val="1A1A1A"/>
          <w:sz w:val="20"/>
          <w:szCs w:val="20"/>
        </w:rPr>
        <w:t xml:space="preserve"> : saisi des dispositions réprimant l’aide à l’entrée, à la circulation ou au séjour irréguliers d’un étranger, le Conseil se fonde de façon </w:t>
      </w:r>
      <w:r>
        <w:rPr>
          <w:rFonts w:ascii="Calibri" w:cs="Calibri" w:eastAsia="Calibri" w:hAnsi="Calibri"/>
          <w:b/>
          <w:bCs/>
          <w:color w:val="1A1A1A"/>
          <w:sz w:val="20"/>
          <w:szCs w:val="20"/>
        </w:rPr>
        <w:t xml:space="preserve">inédite</w:t>
      </w:r>
      <w:r>
        <w:rPr>
          <w:rFonts w:ascii="Calibri" w:cs="Calibri" w:eastAsia="Calibri" w:hAnsi="Calibri"/>
          <w:color w:val="1A1A1A"/>
          <w:sz w:val="20"/>
          <w:szCs w:val="20"/>
        </w:rPr>
        <w:t xml:space="preserve"> sur l’</w:t>
      </w:r>
      <w:r>
        <w:rPr>
          <w:rFonts w:ascii="Calibri" w:cs="Calibri" w:eastAsia="Calibri" w:hAnsi="Calibri"/>
          <w:color w:val="1E88E5"/>
          <w:sz w:val="20"/>
          <w:szCs w:val="20"/>
        </w:rPr>
        <w:t xml:space="preserve">art. 2 C.</w:t>
      </w:r>
      <w:r>
        <w:rPr>
          <w:rFonts w:ascii="Calibri" w:cs="Calibri" w:eastAsia="Calibri" w:hAnsi="Calibri"/>
          <w:color w:val="1A1A1A"/>
          <w:sz w:val="20"/>
          <w:szCs w:val="20"/>
        </w:rPr>
        <w:t xml:space="preserve"> (la devise de la République), le Préambule et l’</w:t>
      </w:r>
      <w:r>
        <w:rPr>
          <w:rFonts w:ascii="Calibri" w:cs="Calibri" w:eastAsia="Calibri" w:hAnsi="Calibri"/>
          <w:color w:val="1E88E5"/>
          <w:sz w:val="20"/>
          <w:szCs w:val="20"/>
        </w:rPr>
        <w:t xml:space="preserve">art. 72-3 C.</w:t>
      </w:r>
      <w:r>
        <w:rPr>
          <w:rFonts w:ascii="Calibri" w:cs="Calibri" w:eastAsia="Calibri" w:hAnsi="Calibri"/>
          <w:color w:val="1A1A1A"/>
          <w:sz w:val="20"/>
          <w:szCs w:val="20"/>
        </w:rPr>
        <w:t xml:space="preserve"> pour reconnaître pour la première fois la </w:t>
      </w:r>
      <w:r>
        <w:rPr>
          <w:rFonts w:ascii="Calibri" w:cs="Calibri" w:eastAsia="Calibri" w:hAnsi="Calibri"/>
          <w:b/>
          <w:bCs/>
          <w:color w:val="1A1A1A"/>
          <w:sz w:val="20"/>
          <w:szCs w:val="20"/>
        </w:rPr>
        <w:t xml:space="preserve">fraternité</w:t>
      </w:r>
      <w:r>
        <w:rPr>
          <w:rFonts w:ascii="Calibri" w:cs="Calibri" w:eastAsia="Calibri" w:hAnsi="Calibri"/>
          <w:color w:val="1A1A1A"/>
          <w:sz w:val="20"/>
          <w:szCs w:val="20"/>
        </w:rPr>
        <w:t xml:space="preserve"> comme principe à valeur constitutionnelle, et en déduit une </w:t>
      </w:r>
      <w:r>
        <w:rPr>
          <w:rFonts w:ascii="Calibri" w:cs="Calibri" w:eastAsia="Calibri" w:hAnsi="Calibri"/>
          <w:b/>
          <w:bCs/>
          <w:color w:val="1A1A1A"/>
          <w:sz w:val="20"/>
          <w:szCs w:val="20"/>
        </w:rPr>
        <w:t xml:space="preserve">nouvelle liberté</w:t>
      </w:r>
      <w:r>
        <w:rPr>
          <w:rFonts w:ascii="Calibri" w:cs="Calibri" w:eastAsia="Calibri" w:hAnsi="Calibri"/>
          <w:color w:val="1A1A1A"/>
          <w:sz w:val="20"/>
          <w:szCs w:val="20"/>
        </w:rPr>
        <w:t xml:space="preserve"> : celle d’aider autrui dans un but humanitaire, sans considération de la régularité de son séjour.</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2021-940 QPC, 15 octobre 2021, Société Air France</w:t>
      </w:r>
      <w:r>
        <w:rPr>
          <w:rFonts w:ascii="Calibri" w:cs="Calibri" w:eastAsia="Calibri" w:hAnsi="Calibri"/>
          <w:color w:val="1A1A1A"/>
          <w:sz w:val="20"/>
          <w:szCs w:val="20"/>
        </w:rPr>
        <w:t xml:space="preserve"> : le Conseil considère qu’il ne lui appartient pas, en principe, de contrôler la conformité à la Constitution de dispositions législatives qui se bornent à tirer les conséquences nécessaires de dispositions européennes précises et inconditionnelles — </w:t>
      </w:r>
      <w:r>
        <w:rPr>
          <w:rFonts w:ascii="Calibri" w:cs="Calibri" w:eastAsia="Calibri" w:hAnsi="Calibri"/>
          <w:b/>
          <w:bCs/>
          <w:color w:val="1A1A1A"/>
          <w:sz w:val="20"/>
          <w:szCs w:val="20"/>
        </w:rPr>
        <w:t xml:space="preserve">sauf</w:t>
      </w:r>
      <w:r>
        <w:rPr>
          <w:rFonts w:ascii="Calibri" w:cs="Calibri" w:eastAsia="Calibri" w:hAnsi="Calibri"/>
          <w:color w:val="1A1A1A"/>
          <w:sz w:val="20"/>
          <w:szCs w:val="20"/>
        </w:rPr>
        <w:t xml:space="preserve"> lorsqu’est en cause une règle ou un </w:t>
      </w:r>
      <w:r>
        <w:rPr>
          <w:rFonts w:ascii="Calibri" w:cs="Calibri" w:eastAsia="Calibri" w:hAnsi="Calibri"/>
          <w:b/>
          <w:bCs/>
          <w:color w:val="1A1A1A"/>
          <w:sz w:val="20"/>
          <w:szCs w:val="20"/>
        </w:rPr>
        <w:t xml:space="preserve">principe inhérent à l’identité constitutionnelle de la France</w:t>
      </w:r>
      <w:r>
        <w:rPr>
          <w:rFonts w:ascii="Calibri" w:cs="Calibri" w:eastAsia="Calibri" w:hAnsi="Calibri"/>
          <w:color w:val="1A1A1A"/>
          <w:sz w:val="20"/>
          <w:szCs w:val="20"/>
        </w:rPr>
        <w:t xml:space="preserve">. Première concrétisation : l’interdiction de déléguer à des personnes privées des compétences de police administrative générale. En l’espèce, le principe n’est </w:t>
      </w:r>
      <w:r>
        <w:rPr>
          <w:rFonts w:ascii="Calibri" w:cs="Calibri" w:eastAsia="Calibri" w:hAnsi="Calibri"/>
          <w:b/>
          <w:bCs/>
          <w:color w:val="1A1A1A"/>
          <w:sz w:val="20"/>
          <w:szCs w:val="20"/>
        </w:rPr>
        <w:t xml:space="preserve">pas méconnu</w:t>
      </w:r>
      <w:r>
        <w:rPr>
          <w:rFonts w:ascii="Calibri" w:cs="Calibri" w:eastAsia="Calibri" w:hAnsi="Calibri"/>
          <w:color w:val="1A1A1A"/>
          <w:sz w:val="20"/>
          <w:szCs w:val="20"/>
        </w:rPr>
        <w:t xml:space="preserve"> : les compagnies aériennes sont seulement tenues de prendre en charge et de transporter les personnes concernées, sans pouvoir de surveillance ni de contrainte.</w:t>
      </w:r>
    </w:p>
    <w:p>
      <w:pPr>
        <w:pStyle w:val="ListParagraph"/>
        <w:numPr>
          <w:ilvl w:val="0"/>
          <w:numId w:val="2"/>
        </w:numPr>
        <w:spacing w:after="70" w:line="264"/>
        <w:jc w:val="both"/>
      </w:pP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le bloc de constitutionnalité demeure un </w:t>
      </w:r>
      <w:r>
        <w:rPr>
          <w:rFonts w:ascii="Calibri" w:cs="Calibri" w:eastAsia="Calibri" w:hAnsi="Calibri"/>
          <w:b/>
          <w:bCs/>
          <w:color w:val="1A1A1A"/>
          <w:sz w:val="20"/>
          <w:szCs w:val="20"/>
        </w:rPr>
        <w:t xml:space="preserve">ensemble vivant</w:t>
      </w:r>
      <w:r>
        <w:rPr>
          <w:rFonts w:ascii="Calibri" w:cs="Calibri" w:eastAsia="Calibri" w:hAnsi="Calibri"/>
          <w:color w:val="1A1A1A"/>
          <w:sz w:val="20"/>
          <w:szCs w:val="20"/>
        </w:rPr>
        <w:t xml:space="preserve">. Le Conseil ne crée pas de principe sans fondement textuel : il s’appuie sur plusieurs dispositions de la Constitution pour faire émerger une norme qui n’avait jamais été expressément consacrée.</w:t>
      </w:r>
    </w:p>
    <w:p>
      <w:pPr>
        <w:pStyle w:val="Heading3"/>
        <w:spacing w:after="90" w:before="200"/>
      </w:pPr>
      <w:r>
        <w:rPr>
          <w:rFonts w:ascii="Calibri" w:cs="Calibri" w:eastAsia="Calibri" w:hAnsi="Calibri"/>
          <w:b/>
          <w:bCs/>
          <w:i/>
          <w:iCs/>
          <w:color w:val="5A5A5A"/>
          <w:sz w:val="21"/>
          <w:szCs w:val="21"/>
        </w:rPr>
        <w:t xml:space="preserve">2.6. Actualité — la protection de l’enfance à l’épreuve de la proportionnalité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2026-911 DC, 14 août 2026, Loi visant à protéger les mineurs des risques auxquels les expose l’utilisation des réseaux sociaux</w:t>
      </w:r>
      <w:r>
        <w:rPr>
          <w:rFonts w:ascii="Calibri" w:cs="Calibri" w:eastAsia="Calibri" w:hAnsi="Calibri"/>
          <w:color w:val="1A1A1A"/>
          <w:sz w:val="20"/>
          <w:szCs w:val="20"/>
        </w:rPr>
        <w:t xml:space="preserve"> : le Conseil reconnaît que la protection de l’intérêt supérieur de l’enfant et la prévention des atteintes à l’ordre public peuvent justifier des restrictions à la liberté d’expression et de communication des mineurs, mais ces restrictions doivent demeurer </w:t>
      </w:r>
      <w:r>
        <w:rPr>
          <w:rFonts w:ascii="Calibri" w:cs="Calibri" w:eastAsia="Calibri" w:hAnsi="Calibri"/>
          <w:b/>
          <w:bCs/>
          <w:color w:val="1A1A1A"/>
          <w:sz w:val="20"/>
          <w:szCs w:val="20"/>
        </w:rPr>
        <w:t xml:space="preserve">adaptées, nécessaires et proportionnées</w:t>
      </w:r>
      <w:r>
        <w:rPr>
          <w:rFonts w:ascii="Calibri" w:cs="Calibri" w:eastAsia="Calibri" w:hAnsi="Calibri"/>
          <w:color w:val="1A1A1A"/>
          <w:sz w:val="20"/>
          <w:szCs w:val="20"/>
        </w:rPr>
        <w:t xml:space="preserve">. En l’espèce, l’interdiction concernait de manière générale un nombre très important de services de communication en ligne, </w:t>
      </w:r>
      <w:r>
        <w:rPr>
          <w:rFonts w:ascii="Calibri" w:cs="Calibri" w:eastAsia="Calibri" w:hAnsi="Calibri"/>
          <w:b/>
          <w:bCs/>
          <w:color w:val="1A1A1A"/>
          <w:sz w:val="20"/>
          <w:szCs w:val="20"/>
        </w:rPr>
        <w:t xml:space="preserve">sans distinction</w:t>
      </w:r>
      <w:r>
        <w:rPr>
          <w:rFonts w:ascii="Calibri" w:cs="Calibri" w:eastAsia="Calibri" w:hAnsi="Calibri"/>
          <w:color w:val="1A1A1A"/>
          <w:sz w:val="20"/>
          <w:szCs w:val="20"/>
        </w:rPr>
        <w:t xml:space="preserve"> selon leurs fonctionnalités, leurs contenus ou les risques effectivement présentés, et s’appliquait </w:t>
      </w:r>
      <w:r>
        <w:rPr>
          <w:rFonts w:ascii="Calibri" w:cs="Calibri" w:eastAsia="Calibri" w:hAnsi="Calibri"/>
          <w:b/>
          <w:bCs/>
          <w:color w:val="1A1A1A"/>
          <w:sz w:val="20"/>
          <w:szCs w:val="20"/>
        </w:rPr>
        <w:t xml:space="preserve">indistinctement</w:t>
      </w:r>
      <w:r>
        <w:rPr>
          <w:rFonts w:ascii="Calibri" w:cs="Calibri" w:eastAsia="Calibri" w:hAnsi="Calibri"/>
          <w:color w:val="1A1A1A"/>
          <w:sz w:val="20"/>
          <w:szCs w:val="20"/>
        </w:rPr>
        <w:t xml:space="preserve"> à tous les mineurs de moins de quinze ans, sans considération de leur degré de maturité, de leur situation familiale ou de la possibilité pour les titulaires de l’autorité parentale d’autoriser certains usages. S’y ajoutait l’exigence d’un contrôle de l’âge de </w:t>
      </w:r>
      <w:r>
        <w:rPr>
          <w:rFonts w:ascii="Calibri" w:cs="Calibri" w:eastAsia="Calibri" w:hAnsi="Calibri"/>
          <w:b/>
          <w:bCs/>
          <w:color w:val="1A1A1A"/>
          <w:sz w:val="20"/>
          <w:szCs w:val="20"/>
        </w:rPr>
        <w:t xml:space="preserve">l’ensemble des utilisateurs, y compris majeurs</w:t>
      </w:r>
      <w:r>
        <w:rPr>
          <w:rFonts w:ascii="Calibri" w:cs="Calibri" w:eastAsia="Calibri" w:hAnsi="Calibri"/>
          <w:color w:val="1A1A1A"/>
          <w:sz w:val="20"/>
          <w:szCs w:val="20"/>
        </w:rPr>
        <w:t xml:space="preserve">, affectant le droit au respect de la vie privée. </w:t>
      </w: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la protection de l’enfance peut justifier une restriction importante, mais le législateur doit prévoir un dispositif suffisamment </w:t>
      </w:r>
      <w:r>
        <w:rPr>
          <w:rFonts w:ascii="Calibri" w:cs="Calibri" w:eastAsia="Calibri" w:hAnsi="Calibri"/>
          <w:b/>
          <w:bCs/>
          <w:color w:val="1A1A1A"/>
          <w:sz w:val="20"/>
          <w:szCs w:val="20"/>
        </w:rPr>
        <w:t xml:space="preserve">ciblé et individualisé</w:t>
      </w:r>
      <w:r>
        <w:rPr>
          <w:rFonts w:ascii="Calibri" w:cs="Calibri" w:eastAsia="Calibri" w:hAnsi="Calibri"/>
          <w:color w:val="1A1A1A"/>
          <w:sz w:val="20"/>
          <w:szCs w:val="20"/>
        </w:rPr>
        <w:t xml:space="preserve"> — une interdiction générale et indifférenciée ne satisfait pas au contrôle de proportionnalité.</w:t>
      </w:r>
    </w:p>
    <w:p>
      <w:pPr>
        <w:pStyle w:val="Heading2"/>
        <w:spacing w:after="120" w:before="280"/>
      </w:pPr>
      <w:r>
        <w:rPr>
          <w:rFonts w:ascii="Calibri" w:cs="Calibri" w:eastAsia="Calibri" w:hAnsi="Calibri"/>
          <w:b/>
          <w:bCs/>
          <w:color w:val="1A1A1A"/>
          <w:sz w:val="24"/>
          <w:szCs w:val="24"/>
        </w:rPr>
        <w:t xml:space="preserve">3. Débats doctrinaux &amp; critiques</w:t>
      </w:r>
    </w:p>
    <w:p>
      <w:pPr>
        <w:pStyle w:val="ListParagraph"/>
        <w:numPr>
          <w:ilvl w:val="0"/>
          <w:numId w:val="2"/>
        </w:numPr>
        <w:spacing w:after="70" w:line="264"/>
        <w:jc w:val="both"/>
      </w:pPr>
      <w:r>
        <w:rPr>
          <w:rFonts w:ascii="Calibri" w:cs="Calibri" w:eastAsia="Calibri" w:hAnsi="Calibri"/>
          <w:color w:val="2E7D32"/>
          <w:sz w:val="20"/>
          <w:szCs w:val="20"/>
        </w:rPr>
        <w:t xml:space="preserve">Mathieu Disant, L’autorité de la chose interprétée par le Conseil constitutionnel, LGDJ, 2010</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Louis Favoreu, Le Conseil constitutionnel, PUF, « Que sais-je ? », 7e éd., 2005</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Karine Foucher (dir.), L’apport de la QPC à la protection des droits et libertés, Dalloz, 2010</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Pierre Esplugas-Labatut, Le Conseil constitutionnel, Dalloz, 10e éd., 2023</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Marc Guillaume, « Question prioritaire de constitutionnalité », Répertoire de contentieux administratif, Dalloz, avril 2022</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Le Conseil constitutionnel et le Parlement, Nouveaux Cahiers du Conseil constitutionnel, n° 38, janvier 2013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insuffisances du contrôle</w:t>
      </w:r>
      <w:r>
        <w:rPr>
          <w:rFonts w:ascii="Calibri" w:cs="Calibri" w:eastAsia="Calibri" w:hAnsi="Calibri"/>
          <w:color w:val="1A1A1A"/>
          <w:sz w:val="20"/>
          <w:szCs w:val="20"/>
        </w:rPr>
        <w:t xml:space="preserve"> — quatre refus à opposer à toute affirmation trop générale sur le « juge des libertés » : refus de se prononcer sur la recevabilité d’une motion de censure déposée pendant l’application de l’</w:t>
      </w:r>
      <w:r>
        <w:rPr>
          <w:rFonts w:ascii="Calibri" w:cs="Calibri" w:eastAsia="Calibri" w:hAnsi="Calibri"/>
          <w:color w:val="1E88E5"/>
          <w:sz w:val="20"/>
          <w:szCs w:val="20"/>
        </w:rPr>
        <w:t xml:space="preserve">art. 16 C.</w:t>
      </w:r>
      <w:r>
        <w:rPr>
          <w:rFonts w:ascii="Calibri" w:cs="Calibri" w:eastAsia="Calibri" w:hAnsi="Calibri"/>
          <w:color w:val="1A1A1A"/>
          <w:sz w:val="20"/>
          <w:szCs w:val="20"/>
        </w:rPr>
        <w:t xml:space="preserve"> ; refus de contrôler la constitutionnalité des lois adoptées par référendum ; refus d’examiner la constitutionnalité d’une loi </w:t>
      </w:r>
      <w:r>
        <w:rPr>
          <w:rFonts w:ascii="Calibri" w:cs="Calibri" w:eastAsia="Calibri" w:hAnsi="Calibri"/>
          <w:b/>
          <w:bCs/>
          <w:color w:val="1A1A1A"/>
          <w:sz w:val="20"/>
          <w:szCs w:val="20"/>
        </w:rPr>
        <w:t xml:space="preserve">proposée</w:t>
      </w:r>
      <w:r>
        <w:rPr>
          <w:rFonts w:ascii="Calibri" w:cs="Calibri" w:eastAsia="Calibri" w:hAnsi="Calibri"/>
          <w:color w:val="1A1A1A"/>
          <w:sz w:val="20"/>
          <w:szCs w:val="20"/>
        </w:rPr>
        <w:t xml:space="preserve"> à référendum ; refus de contrôler les lois constitutionnelles adoptées par le Congrès.</w:t>
      </w:r>
    </w:p>
    <w:p>
      <w:pPr>
        <w:pStyle w:val="ListParagraph"/>
        <w:numPr>
          <w:ilvl w:val="0"/>
          <w:numId w:val="2"/>
        </w:numPr>
        <w:spacing w:after="70" w:line="264"/>
        <w:jc w:val="both"/>
      </w:pPr>
      <w:r>
        <w:rPr>
          <w:rFonts w:ascii="Calibri" w:cs="Calibri" w:eastAsia="Calibri" w:hAnsi="Calibri"/>
          <w:b/>
          <w:bCs/>
          <w:color w:val="1A1A1A"/>
          <w:sz w:val="20"/>
          <w:szCs w:val="20"/>
        </w:rPr>
        <w:t xml:space="preserve">La tension contrôle / légitimité</w:t>
      </w:r>
      <w:r>
        <w:rPr>
          <w:rFonts w:ascii="Calibri" w:cs="Calibri" w:eastAsia="Calibri" w:hAnsi="Calibri"/>
          <w:color w:val="1A1A1A"/>
          <w:sz w:val="20"/>
          <w:szCs w:val="20"/>
        </w:rPr>
        <w:t xml:space="preserve"> : le caractère </w:t>
      </w:r>
      <w:r>
        <w:rPr>
          <w:rFonts w:ascii="Calibri" w:cs="Calibri" w:eastAsia="Calibri" w:hAnsi="Calibri"/>
          <w:b/>
          <w:bCs/>
          <w:color w:val="1A1A1A"/>
          <w:sz w:val="20"/>
          <w:szCs w:val="20"/>
        </w:rPr>
        <w:t xml:space="preserve">facultatif</w:t>
      </w:r>
      <w:r>
        <w:rPr>
          <w:rFonts w:ascii="Calibri" w:cs="Calibri" w:eastAsia="Calibri" w:hAnsi="Calibri"/>
          <w:color w:val="1A1A1A"/>
          <w:sz w:val="20"/>
          <w:szCs w:val="20"/>
        </w:rPr>
        <w:t xml:space="preserve"> du contrôle des lois ordinaires permet à certaines lois inconstitutionnelles d’être promulguées — argument central du sujet de commentaire proposé par le fascicule. La QPC corrige partiellement ce défaut en ouvrant la contestation d’une loi </w:t>
      </w:r>
      <w:r>
        <w:rPr>
          <w:rFonts w:ascii="Calibri" w:cs="Calibri" w:eastAsia="Calibri" w:hAnsi="Calibri"/>
          <w:b/>
          <w:bCs/>
          <w:color w:val="1A1A1A"/>
          <w:sz w:val="20"/>
          <w:szCs w:val="20"/>
        </w:rPr>
        <w:t xml:space="preserve">déjà en vigueur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débat sur le pouvoir créateur</w:t>
      </w:r>
      <w:r>
        <w:rPr>
          <w:rFonts w:ascii="Calibri" w:cs="Calibri" w:eastAsia="Calibri" w:hAnsi="Calibri"/>
          <w:color w:val="1A1A1A"/>
          <w:sz w:val="20"/>
          <w:szCs w:val="20"/>
        </w:rPr>
        <w:t xml:space="preserve"> : les techniques d’élargissement du contrôle — moyens et conclusions soulevés d’office — sont </w:t>
      </w:r>
      <w:r>
        <w:rPr>
          <w:rFonts w:ascii="Calibri" w:cs="Calibri" w:eastAsia="Calibri" w:hAnsi="Calibri"/>
          <w:b/>
          <w:bCs/>
          <w:color w:val="1A1A1A"/>
          <w:sz w:val="20"/>
          <w:szCs w:val="20"/>
        </w:rPr>
        <w:t xml:space="preserve">très controversées</w:t>
      </w:r>
      <w:r>
        <w:rPr>
          <w:rFonts w:ascii="Calibri" w:cs="Calibri" w:eastAsia="Calibri" w:hAnsi="Calibri"/>
          <w:color w:val="1A1A1A"/>
          <w:sz w:val="20"/>
          <w:szCs w:val="20"/>
        </w:rPr>
        <w:t xml:space="preserve">, en ce qu’elles permettent au Conseil de statuer au-delà de ce qui lui était soumis. À mettre en balance avec l’autolimitation revendiquée depuis 1975.</w:t>
      </w:r>
    </w:p>
    <w:p>
      <w:pPr>
        <w:pStyle w:val="Heading2"/>
        <w:spacing w:after="120" w:before="280"/>
      </w:pPr>
      <w:r>
        <w:rPr>
          <w:rFonts w:ascii="Calibri" w:cs="Calibri" w:eastAsia="Calibri" w:hAnsi="Calibri"/>
          <w:b/>
          <w:bCs/>
          <w:color w:val="1A1A1A"/>
          <w:sz w:val="24"/>
          <w:szCs w:val="24"/>
        </w:rPr>
        <w:t xml:space="preserve">4. Dispositif « Grand Oral »</w:t>
      </w:r>
    </w:p>
    <w:p>
      <w:pPr>
        <w:pStyle w:val="Heading3"/>
        <w:spacing w:after="90" w:before="200"/>
      </w:pPr>
      <w:r>
        <w:rPr>
          <w:rFonts w:ascii="Calibri" w:cs="Calibri" w:eastAsia="Calibri" w:hAnsi="Calibri"/>
          <w:b/>
          <w:bCs/>
          <w:i/>
          <w:iCs/>
          <w:color w:val="5A5A5A"/>
          <w:sz w:val="21"/>
          <w:szCs w:val="21"/>
        </w:rPr>
        <w:t xml:space="preserve">4.1.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Le Conseil constitutionnel peut-il tout contrôler ? »</w:t>
      </w:r>
      <w:r>
        <w:rPr>
          <w:rFonts w:ascii="Calibri" w:cs="Calibri" w:eastAsia="Calibri" w:hAnsi="Calibri"/>
          <w:color w:val="1A1A1A"/>
          <w:sz w:val="20"/>
          <w:szCs w:val="20"/>
        </w:rPr>
        <w:t xml:space="preserve"> — Non. Énumérer les quatre refus, puis le refus du contrôle de conventionnalité. Ajouter que les décisions ne sont susceptibles d’</w:t>
      </w:r>
      <w:r>
        <w:rPr>
          <w:rFonts w:ascii="Calibri" w:cs="Calibri" w:eastAsia="Calibri" w:hAnsi="Calibri"/>
          <w:b/>
          <w:bCs/>
          <w:color w:val="1A1A1A"/>
          <w:sz w:val="20"/>
          <w:szCs w:val="20"/>
        </w:rPr>
        <w:t xml:space="preserve">aucun recours</w:t>
      </w:r>
      <w:r>
        <w:rPr>
          <w:rFonts w:ascii="Calibri" w:cs="Calibri" w:eastAsia="Calibri" w:hAnsi="Calibri"/>
          <w:color w:val="1A1A1A"/>
          <w:sz w:val="20"/>
          <w:szCs w:val="20"/>
        </w:rPr>
        <w:t xml:space="preserve"> et s’imposent aux pouvoirs publics ainsi qu’à toutes les autorités administratives et juridictionnelles.</w:t>
      </w:r>
    </w:p>
    <w:p>
      <w:pPr>
        <w:pStyle w:val="ListParagraph"/>
        <w:numPr>
          <w:ilvl w:val="0"/>
          <w:numId w:val="2"/>
        </w:numPr>
        <w:spacing w:after="70" w:line="264"/>
        <w:jc w:val="both"/>
      </w:pPr>
      <w:r>
        <w:rPr>
          <w:rFonts w:ascii="Calibri" w:cs="Calibri" w:eastAsia="Calibri" w:hAnsi="Calibri"/>
          <w:b/>
          <w:bCs/>
          <w:color w:val="1A1A1A"/>
          <w:sz w:val="20"/>
          <w:szCs w:val="20"/>
        </w:rPr>
        <w:t xml:space="preserve">« Quels sont les effets d’une décision de non-conformité ? »</w:t>
      </w:r>
      <w:r>
        <w:rPr>
          <w:rFonts w:ascii="Calibri" w:cs="Calibri" w:eastAsia="Calibri" w:hAnsi="Calibri"/>
          <w:color w:val="1A1A1A"/>
          <w:sz w:val="20"/>
          <w:szCs w:val="20"/>
        </w:rPr>
        <w:t xml:space="preserve"> — Distinguer selon la voie. Sur le fondement de l’</w:t>
      </w:r>
      <w:r>
        <w:rPr>
          <w:rFonts w:ascii="Calibri" w:cs="Calibri" w:eastAsia="Calibri" w:hAnsi="Calibri"/>
          <w:color w:val="1E88E5"/>
          <w:sz w:val="20"/>
          <w:szCs w:val="20"/>
        </w:rPr>
        <w:t xml:space="preserve">art. 61</w:t>
      </w:r>
      <w:r>
        <w:rPr>
          <w:rFonts w:ascii="Calibri" w:cs="Calibri" w:eastAsia="Calibri" w:hAnsi="Calibri"/>
          <w:color w:val="1A1A1A"/>
          <w:sz w:val="20"/>
          <w:szCs w:val="20"/>
        </w:rPr>
        <w:t xml:space="preserve"> : la disposition </w:t>
      </w:r>
      <w:r>
        <w:rPr>
          <w:rFonts w:ascii="Calibri" w:cs="Calibri" w:eastAsia="Calibri" w:hAnsi="Calibri"/>
          <w:b/>
          <w:bCs/>
          <w:color w:val="1A1A1A"/>
          <w:sz w:val="20"/>
          <w:szCs w:val="20"/>
        </w:rPr>
        <w:t xml:space="preserve">ne peut être ni promulguée ni mise en application</w:t>
      </w:r>
      <w:r>
        <w:rPr>
          <w:rFonts w:ascii="Calibri" w:cs="Calibri" w:eastAsia="Calibri" w:hAnsi="Calibri"/>
          <w:color w:val="1A1A1A"/>
          <w:sz w:val="20"/>
          <w:szCs w:val="20"/>
        </w:rPr>
        <w:t xml:space="preserve">. Sur le fondement de l’</w:t>
      </w:r>
      <w:r>
        <w:rPr>
          <w:rFonts w:ascii="Calibri" w:cs="Calibri" w:eastAsia="Calibri" w:hAnsi="Calibri"/>
          <w:color w:val="1E88E5"/>
          <w:sz w:val="20"/>
          <w:szCs w:val="20"/>
        </w:rPr>
        <w:t xml:space="preserve">art. 61-1</w:t>
      </w:r>
      <w:r>
        <w:rPr>
          <w:rFonts w:ascii="Calibri" w:cs="Calibri" w:eastAsia="Calibri" w:hAnsi="Calibri"/>
          <w:color w:val="1A1A1A"/>
          <w:sz w:val="20"/>
          <w:szCs w:val="20"/>
        </w:rPr>
        <w:t xml:space="preserve"> : elle est </w:t>
      </w:r>
      <w:r>
        <w:rPr>
          <w:rFonts w:ascii="Calibri" w:cs="Calibri" w:eastAsia="Calibri" w:hAnsi="Calibri"/>
          <w:b/>
          <w:bCs/>
          <w:color w:val="1A1A1A"/>
          <w:sz w:val="20"/>
          <w:szCs w:val="20"/>
        </w:rPr>
        <w:t xml:space="preserve">abrogée</w:t>
      </w:r>
      <w:r>
        <w:rPr>
          <w:rFonts w:ascii="Calibri" w:cs="Calibri" w:eastAsia="Calibri" w:hAnsi="Calibri"/>
          <w:color w:val="1A1A1A"/>
          <w:sz w:val="20"/>
          <w:szCs w:val="20"/>
        </w:rPr>
        <w:t xml:space="preserve"> à compter de la publication de la décision ou d’une date ultérieure que le Conseil fixe, celui-ci déterminant les conditions et limites dans lesquelles les effets déjà produits peuvent être remis en cause.</w:t>
      </w:r>
    </w:p>
    <w:p>
      <w:pPr>
        <w:pStyle w:val="ListParagraph"/>
        <w:numPr>
          <w:ilvl w:val="0"/>
          <w:numId w:val="2"/>
        </w:numPr>
        <w:spacing w:after="70" w:line="264"/>
        <w:jc w:val="both"/>
      </w:pPr>
      <w:r>
        <w:rPr>
          <w:rFonts w:ascii="Calibri" w:cs="Calibri" w:eastAsia="Calibri" w:hAnsi="Calibri"/>
          <w:b/>
          <w:bCs/>
          <w:color w:val="1A1A1A"/>
          <w:sz w:val="20"/>
          <w:szCs w:val="20"/>
        </w:rPr>
        <w:t xml:space="preserve">« Une loi déjà déclarée conforme peut-elle faire l’objet d’une QPC ? »</w:t>
      </w:r>
      <w:r>
        <w:rPr>
          <w:rFonts w:ascii="Calibri" w:cs="Calibri" w:eastAsia="Calibri" w:hAnsi="Calibri"/>
          <w:color w:val="1A1A1A"/>
          <w:sz w:val="20"/>
          <w:szCs w:val="20"/>
        </w:rPr>
        <w:t xml:space="preserve"> — Oui, en cas de </w:t>
      </w:r>
      <w:r>
        <w:rPr>
          <w:rFonts w:ascii="Calibri" w:cs="Calibri" w:eastAsia="Calibri" w:hAnsi="Calibri"/>
          <w:b/>
          <w:bCs/>
          <w:color w:val="1A1A1A"/>
          <w:sz w:val="20"/>
          <w:szCs w:val="20"/>
        </w:rPr>
        <w:t xml:space="preserve">changement de circonstances</w:t>
      </w:r>
      <w:r>
        <w:rPr>
          <w:rFonts w:ascii="Calibri" w:cs="Calibri" w:eastAsia="Calibri" w:hAnsi="Calibri"/>
          <w:color w:val="1A1A1A"/>
          <w:sz w:val="20"/>
          <w:szCs w:val="20"/>
        </w:rPr>
        <w:t xml:space="preserve"> (de droit ou de fait). C’est la seule brèche dans la condition d’absence de déclaration préalable de conformité, et elle est régulièrement testée par le jury.</w:t>
      </w:r>
    </w:p>
    <w:p>
      <w:pPr>
        <w:pStyle w:val="Heading3"/>
        <w:spacing w:after="90" w:before="200"/>
      </w:pPr>
      <w:r>
        <w:rPr>
          <w:rFonts w:ascii="Calibri" w:cs="Calibri" w:eastAsia="Calibri" w:hAnsi="Calibri"/>
          <w:b/>
          <w:bCs/>
          <w:i/>
          <w:iCs/>
          <w:color w:val="5A5A5A"/>
          <w:sz w:val="21"/>
          <w:szCs w:val="21"/>
        </w:rPr>
        <w:t xml:space="preserve">4.2.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Commentez les articles 61 et 61-1 de la Constitution de 1958 » (sujet de commentaire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Le Conseil constitutionnel est-il un juge des libertés ? » ; « La question prioritaire de constitutionnalité ».</w:t>
      </w:r>
    </w:p>
    <w:p>
      <w:pPr>
        <w:pStyle w:val="ListParagraph"/>
        <w:numPr>
          <w:ilvl w:val="0"/>
          <w:numId w:val="2"/>
        </w:numPr>
        <w:spacing w:after="70" w:line="264"/>
        <w:jc w:val="both"/>
      </w:pPr>
      <w:r>
        <w:rPr>
          <w:rFonts w:ascii="Calibri" w:cs="Calibri" w:eastAsia="Calibri" w:hAnsi="Calibri"/>
          <w:color w:val="1A1A1A"/>
          <w:sz w:val="20"/>
          <w:szCs w:val="20"/>
        </w:rPr>
        <w:t xml:space="preserve">« Les réserves d’interprétation » ; « L’identité constitutionnelle de la France ».</w:t>
      </w:r>
    </w:p>
    <w:p>
      <w:pPr>
        <w:pStyle w:val="ListParagraph"/>
        <w:numPr>
          <w:ilvl w:val="0"/>
          <w:numId w:val="2"/>
        </w:numPr>
        <w:spacing w:after="70" w:line="264"/>
        <w:jc w:val="both"/>
      </w:pPr>
      <w:r>
        <w:rPr>
          <w:rFonts w:ascii="Calibri" w:cs="Calibri" w:eastAsia="Calibri" w:hAnsi="Calibri"/>
          <w:color w:val="1A1A1A"/>
          <w:sz w:val="20"/>
          <w:szCs w:val="20"/>
        </w:rPr>
        <w:t xml:space="preserve">« Le juge constitutionnel et le législateur » ; « Le bloc de constitutionnalité est-il encore en construction ? ».</w:t>
      </w:r>
    </w:p>
    <w:p>
      <w:pPr>
        <w:pStyle w:val="Heading3"/>
        <w:spacing w:after="90" w:before="200"/>
      </w:pPr>
      <w:r>
        <w:rPr>
          <w:rFonts w:ascii="Calibri" w:cs="Calibri" w:eastAsia="Calibri" w:hAnsi="Calibri"/>
          <w:b/>
          <w:bCs/>
          <w:i/>
          <w:iCs/>
          <w:color w:val="5A5A5A"/>
          <w:sz w:val="21"/>
          <w:szCs w:val="21"/>
        </w:rPr>
        <w:t xml:space="preserve">4.3.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Quelles sont les trois conditions de fond de la QPC ?</w:t>
      </w:r>
      <w:r>
        <w:rPr>
          <w:rFonts w:ascii="Calibri" w:cs="Calibri" w:eastAsia="Calibri" w:hAnsi="Calibri"/>
          <w:color w:val="1A1A1A"/>
          <w:sz w:val="20"/>
          <w:szCs w:val="20"/>
        </w:rPr>
        <w:t xml:space="preserve"> — Applicabilité de la disposition au litige ; absence de déclaration préalable de conformité (sauf changement de circonstances) ; caractère sérieux ou nouveau. Elles sont </w:t>
      </w:r>
      <w:r>
        <w:rPr>
          <w:rFonts w:ascii="Calibri" w:cs="Calibri" w:eastAsia="Calibri" w:hAnsi="Calibri"/>
          <w:b/>
          <w:bCs/>
          <w:color w:val="1A1A1A"/>
          <w:sz w:val="20"/>
          <w:szCs w:val="20"/>
        </w:rPr>
        <w:t xml:space="preserve">cumulatives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Peut-on poser une QPC devant une cour d’assises ?</w:t>
      </w:r>
      <w:r>
        <w:rPr>
          <w:rFonts w:ascii="Calibri" w:cs="Calibri" w:eastAsia="Calibri" w:hAnsi="Calibri"/>
          <w:color w:val="1A1A1A"/>
          <w:sz w:val="20"/>
          <w:szCs w:val="20"/>
        </w:rPr>
        <w:t xml:space="preserve"> — Non. La QPC est recevable devant toutes les juridictions des deux ordres, </w:t>
      </w:r>
      <w:r>
        <w:rPr>
          <w:rFonts w:ascii="Calibri" w:cs="Calibri" w:eastAsia="Calibri" w:hAnsi="Calibri"/>
          <w:b/>
          <w:bCs/>
          <w:color w:val="1A1A1A"/>
          <w:sz w:val="20"/>
          <w:szCs w:val="20"/>
        </w:rPr>
        <w:t xml:space="preserve">à cette seule exception près</w:t>
      </w:r>
      <w:r>
        <w:rPr>
          <w:rFonts w:ascii="Calibri" w:cs="Calibri" w:eastAsia="Calibri" w:hAnsi="Calibri"/>
          <w:color w:val="1A1A1A"/>
          <w:sz w:val="20"/>
          <w:szCs w:val="20"/>
        </w:rPr>
        <w:t xml:space="preserve"> ; en matière criminelle, elle ne peut être posée que durant l’instruction.</w:t>
      </w:r>
    </w:p>
    <w:p>
      <w:pPr>
        <w:pStyle w:val="ListParagraph"/>
        <w:numPr>
          <w:ilvl w:val="0"/>
          <w:numId w:val="2"/>
        </w:numPr>
        <w:spacing w:after="70" w:line="264"/>
        <w:jc w:val="both"/>
      </w:pPr>
      <w:r>
        <w:rPr>
          <w:rFonts w:ascii="Calibri" w:cs="Calibri" w:eastAsia="Calibri" w:hAnsi="Calibri"/>
          <w:b/>
          <w:bCs/>
          <w:color w:val="1A1A1A"/>
          <w:sz w:val="20"/>
          <w:szCs w:val="20"/>
        </w:rPr>
        <w:t xml:space="preserve">Q. L’effet cliquet s’applique-t-il encore ?</w:t>
      </w:r>
      <w:r>
        <w:rPr>
          <w:rFonts w:ascii="Calibri" w:cs="Calibri" w:eastAsia="Calibri" w:hAnsi="Calibri"/>
          <w:color w:val="1A1A1A"/>
          <w:sz w:val="20"/>
          <w:szCs w:val="20"/>
        </w:rPr>
        <w:t xml:space="preserve"> — Non : consacré en 1984 (</w:t>
      </w:r>
      <w:r>
        <w:rPr>
          <w:rFonts w:ascii="Calibri" w:cs="Calibri" w:eastAsia="Calibri" w:hAnsi="Calibri"/>
          <w:color w:val="E91E63"/>
          <w:sz w:val="20"/>
          <w:szCs w:val="20"/>
        </w:rPr>
        <w:t xml:space="preserve">83-165 DC</w:t>
      </w:r>
      <w:r>
        <w:rPr>
          <w:rFonts w:ascii="Calibri" w:cs="Calibri" w:eastAsia="Calibri" w:hAnsi="Calibri"/>
          <w:color w:val="1A1A1A"/>
          <w:sz w:val="20"/>
          <w:szCs w:val="20"/>
        </w:rPr>
        <w:t xml:space="preserve">), confirmé en 1986 et 1993, il a été </w:t>
      </w:r>
      <w:r>
        <w:rPr>
          <w:rFonts w:ascii="Calibri" w:cs="Calibri" w:eastAsia="Calibri" w:hAnsi="Calibri"/>
          <w:b/>
          <w:bCs/>
          <w:color w:val="1A1A1A"/>
          <w:sz w:val="20"/>
          <w:szCs w:val="20"/>
        </w:rPr>
        <w:t xml:space="preserve">abandonné</w:t>
      </w:r>
      <w:r>
        <w:rPr>
          <w:rFonts w:ascii="Calibri" w:cs="Calibri" w:eastAsia="Calibri" w:hAnsi="Calibri"/>
          <w:color w:val="1A1A1A"/>
          <w:sz w:val="20"/>
          <w:szCs w:val="20"/>
        </w:rPr>
        <w:t xml:space="preserve"> au cours des années 1990, le Conseil s’en étant délesté pour ne pas ériger un mur constitutionnel infranchissable.</w:t>
      </w:r>
    </w:p>
    <w:p>
      <w:pPr>
        <w:pStyle w:val="ListParagraph"/>
        <w:numPr>
          <w:ilvl w:val="0"/>
          <w:numId w:val="2"/>
        </w:numPr>
        <w:spacing w:after="70" w:line="264"/>
        <w:jc w:val="both"/>
      </w:pPr>
      <w:r>
        <w:rPr>
          <w:rFonts w:ascii="Calibri" w:cs="Calibri" w:eastAsia="Calibri" w:hAnsi="Calibri"/>
          <w:b/>
          <w:bCs/>
          <w:color w:val="1A1A1A"/>
          <w:sz w:val="20"/>
          <w:szCs w:val="20"/>
        </w:rPr>
        <w:t xml:space="preserve">Q. Qu’a exactement jugé </w:t>
      </w:r>
      <w:r>
        <w:rPr>
          <w:rFonts w:ascii="Calibri" w:cs="Calibri" w:eastAsia="Calibri" w:hAnsi="Calibri"/>
          <w:b/>
          <w:bCs/>
          <w:color w:val="E91E63"/>
          <w:sz w:val="20"/>
          <w:szCs w:val="20"/>
        </w:rPr>
        <w:t xml:space="preserve">Société Air France</w:t>
      </w:r>
      <w:r>
        <w:rPr>
          <w:rFonts w:ascii="Calibri" w:cs="Calibri" w:eastAsia="Calibri" w:hAnsi="Calibri"/>
          <w:b/>
          <w:bCs/>
          <w:color w:val="1A1A1A"/>
          <w:sz w:val="20"/>
          <w:szCs w:val="20"/>
        </w:rPr>
        <w:t xml:space="preserve"> ?</w:t>
      </w:r>
      <w:r>
        <w:rPr>
          <w:rFonts w:ascii="Calibri" w:cs="Calibri" w:eastAsia="Calibri" w:hAnsi="Calibri"/>
          <w:color w:val="1A1A1A"/>
          <w:sz w:val="20"/>
          <w:szCs w:val="20"/>
        </w:rPr>
        <w:t xml:space="preserve"> — Le Conseil identifie pour la première fois un </w:t>
      </w:r>
      <w:r>
        <w:rPr>
          <w:rFonts w:ascii="Calibri" w:cs="Calibri" w:eastAsia="Calibri" w:hAnsi="Calibri"/>
          <w:b/>
          <w:bCs/>
          <w:color w:val="1A1A1A"/>
          <w:sz w:val="20"/>
          <w:szCs w:val="20"/>
        </w:rPr>
        <w:t xml:space="preserve">principe inhérent à l’identité constitutionnelle de la France</w:t>
      </w:r>
      <w:r>
        <w:rPr>
          <w:rFonts w:ascii="Calibri" w:cs="Calibri" w:eastAsia="Calibri" w:hAnsi="Calibri"/>
          <w:color w:val="1A1A1A"/>
          <w:sz w:val="20"/>
          <w:szCs w:val="20"/>
        </w:rPr>
        <w:t xml:space="preserve"> — l’interdiction de déléguer la police administrative générale à des personnes privées — mais juge qu’il </w:t>
      </w:r>
      <w:r>
        <w:rPr>
          <w:rFonts w:ascii="Calibri" w:cs="Calibri" w:eastAsia="Calibri" w:hAnsi="Calibri"/>
          <w:b/>
          <w:bCs/>
          <w:color w:val="1A1A1A"/>
          <w:sz w:val="20"/>
          <w:szCs w:val="20"/>
        </w:rPr>
        <w:t xml:space="preserve">n’est pas méconnu</w:t>
      </w:r>
      <w:r>
        <w:rPr>
          <w:rFonts w:ascii="Calibri" w:cs="Calibri" w:eastAsia="Calibri" w:hAnsi="Calibri"/>
          <w:color w:val="1A1A1A"/>
          <w:sz w:val="20"/>
          <w:szCs w:val="20"/>
        </w:rPr>
        <w:t xml:space="preserve"> en l’espèce. Ne pas transformer une reconnaissance de principe en censure.</w:t>
      </w:r>
    </w:p>
    <w:p>
      <w:pPr>
        <w:pStyle w:val="ListParagraph"/>
        <w:numPr>
          <w:ilvl w:val="0"/>
          <w:numId w:val="2"/>
        </w:numPr>
        <w:spacing w:after="70" w:line="264"/>
        <w:jc w:val="both"/>
      </w:pPr>
      <w:r>
        <w:rPr>
          <w:rFonts w:ascii="Calibri" w:cs="Calibri" w:eastAsia="Calibri" w:hAnsi="Calibri"/>
          <w:b/>
          <w:bCs/>
          <w:color w:val="1A1A1A"/>
          <w:sz w:val="20"/>
          <w:szCs w:val="20"/>
        </w:rPr>
        <w:t xml:space="preserve">Q. Les trois types de réserves d’interprétation ?</w:t>
      </w:r>
      <w:r>
        <w:rPr>
          <w:rFonts w:ascii="Calibri" w:cs="Calibri" w:eastAsia="Calibri" w:hAnsi="Calibri"/>
          <w:color w:val="1A1A1A"/>
          <w:sz w:val="20"/>
          <w:szCs w:val="20"/>
        </w:rPr>
        <w:t xml:space="preserve"> — Neutralisantes, constructives, directives. Les directives sont celles dont la Cour de cassation et le Conseil d’État contrôlent ensuite le respect.</w:t>
      </w:r>
    </w:p>
    <w:p>
      <w:pPr>
        <w:pStyle w:val="ListParagraph"/>
        <w:numPr>
          <w:ilvl w:val="0"/>
          <w:numId w:val="2"/>
        </w:numPr>
        <w:spacing w:after="70" w:line="264"/>
        <w:jc w:val="both"/>
      </w:pPr>
      <w:r>
        <w:rPr>
          <w:rFonts w:ascii="Calibri" w:cs="Calibri" w:eastAsia="Calibri" w:hAnsi="Calibri"/>
          <w:b/>
          <w:bCs/>
          <w:color w:val="1A1A1A"/>
          <w:sz w:val="20"/>
          <w:szCs w:val="20"/>
        </w:rPr>
        <w:t xml:space="preserve">Q. Attention à la numérotation des articles électoraux</w:t>
      </w:r>
      <w:r>
        <w:rPr>
          <w:rFonts w:ascii="Calibri" w:cs="Calibri" w:eastAsia="Calibri" w:hAnsi="Calibri"/>
          <w:color w:val="1A1A1A"/>
          <w:sz w:val="20"/>
          <w:szCs w:val="20"/>
        </w:rPr>
        <w:t xml:space="preserve"> : le contentieux des élections </w:t>
      </w:r>
      <w:r>
        <w:rPr>
          <w:rFonts w:ascii="Calibri" w:cs="Calibri" w:eastAsia="Calibri" w:hAnsi="Calibri"/>
          <w:b/>
          <w:bCs/>
          <w:color w:val="1A1A1A"/>
          <w:sz w:val="20"/>
          <w:szCs w:val="20"/>
        </w:rPr>
        <w:t xml:space="preserve">parlementaires</w:t>
      </w:r>
      <w:r>
        <w:rPr>
          <w:rFonts w:ascii="Calibri" w:cs="Calibri" w:eastAsia="Calibri" w:hAnsi="Calibri"/>
          <w:color w:val="1A1A1A"/>
          <w:sz w:val="20"/>
          <w:szCs w:val="20"/>
        </w:rPr>
        <w:t xml:space="preserve"> relève de l’</w:t>
      </w:r>
      <w:r>
        <w:rPr>
          <w:rFonts w:ascii="Calibri" w:cs="Calibri" w:eastAsia="Calibri" w:hAnsi="Calibri"/>
          <w:color w:val="1E88E5"/>
          <w:sz w:val="20"/>
          <w:szCs w:val="20"/>
        </w:rPr>
        <w:t xml:space="preserve">art. 59 C.</w:t>
      </w:r>
      <w:r>
        <w:rPr>
          <w:rFonts w:ascii="Calibri" w:cs="Calibri" w:eastAsia="Calibri" w:hAnsi="Calibri"/>
          <w:color w:val="1A1A1A"/>
          <w:sz w:val="20"/>
          <w:szCs w:val="20"/>
        </w:rPr>
        <w:t xml:space="preserve"> ; celui de l’élection </w:t>
      </w:r>
      <w:r>
        <w:rPr>
          <w:rFonts w:ascii="Calibri" w:cs="Calibri" w:eastAsia="Calibri" w:hAnsi="Calibri"/>
          <w:b/>
          <w:bCs/>
          <w:color w:val="1A1A1A"/>
          <w:sz w:val="20"/>
          <w:szCs w:val="20"/>
        </w:rPr>
        <w:t xml:space="preserve">présidentielle</w:t>
      </w:r>
      <w:r>
        <w:rPr>
          <w:rFonts w:ascii="Calibri" w:cs="Calibri" w:eastAsia="Calibri" w:hAnsi="Calibri"/>
          <w:color w:val="1A1A1A"/>
          <w:sz w:val="20"/>
          <w:szCs w:val="20"/>
        </w:rPr>
        <w:t xml:space="preserve"> de l’</w:t>
      </w:r>
      <w:r>
        <w:rPr>
          <w:rFonts w:ascii="Calibri" w:cs="Calibri" w:eastAsia="Calibri" w:hAnsi="Calibri"/>
          <w:color w:val="1E88E5"/>
          <w:sz w:val="20"/>
          <w:szCs w:val="20"/>
        </w:rPr>
        <w:t xml:space="preserve">art. 58 C.</w:t>
      </w:r>
      <w:r>
        <w:rPr>
          <w:rFonts w:ascii="Calibri" w:cs="Calibri" w:eastAsia="Calibri" w:hAnsi="Calibri"/>
          <w:color w:val="1A1A1A"/>
          <w:sz w:val="20"/>
          <w:szCs w:val="20"/>
        </w:rPr>
        <w:t xml:space="preserve"> ; le référendum de l’</w:t>
      </w:r>
      <w:r>
        <w:rPr>
          <w:rFonts w:ascii="Calibri" w:cs="Calibri" w:eastAsia="Calibri" w:hAnsi="Calibri"/>
          <w:color w:val="1E88E5"/>
          <w:sz w:val="20"/>
          <w:szCs w:val="20"/>
        </w:rPr>
        <w:t xml:space="preserve">art. 60 C.</w:t>
      </w:r>
      <w:r>
        <w:rPr>
          <w:rFonts w:ascii="Calibri" w:cs="Calibri" w:eastAsia="Calibri" w:hAnsi="Calibri"/>
          <w:color w:val="1A1A1A"/>
          <w:sz w:val="20"/>
          <w:szCs w:val="20"/>
        </w:rPr>
        <w:t xml:space="preserve">. Un support de préparation rattache les deux contentieux électoraux au seul article 59 — vérifier avant de citer.</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17 — LA PROTECTION PAR LE JUGE JUDICIAIRE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 « L’autorité judiciaire, gardienne de la liberté individuelle, assure le respect de ce principe dans les conditions prévues par la loi. » Formule dont le </w:t>
      </w:r>
      <w:r>
        <w:rPr>
          <w:rFonts w:ascii="Calibri" w:cs="Calibri" w:eastAsia="Calibri" w:hAnsi="Calibri"/>
          <w:b/>
          <w:bCs/>
          <w:color w:val="1A1A1A"/>
          <w:sz w:val="20"/>
          <w:szCs w:val="20"/>
        </w:rPr>
        <w:t xml:space="preserve">périmètre n’a cessé de se rétracter</w:t>
      </w:r>
      <w:r>
        <w:rPr>
          <w:rFonts w:ascii="Calibri" w:cs="Calibri" w:eastAsia="Calibri" w:hAnsi="Calibri"/>
          <w:color w:val="1A1A1A"/>
          <w:sz w:val="20"/>
          <w:szCs w:val="20"/>
        </w:rPr>
        <w:t xml:space="preserve"> : entendue extensivement jusqu’à englober la vie privée et l’inviolabilité du domicile, la liberté individuelle s’est réduite au seul </w:t>
      </w:r>
      <w:r>
        <w:rPr>
          <w:rFonts w:ascii="Calibri" w:cs="Calibri" w:eastAsia="Calibri" w:hAnsi="Calibri"/>
          <w:b/>
          <w:bCs/>
          <w:color w:val="1A1A1A"/>
          <w:sz w:val="20"/>
          <w:szCs w:val="20"/>
        </w:rPr>
        <w:t xml:space="preserve">droit à la sûreté</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depuis </w:t>
      </w:r>
      <w:r>
        <w:rPr>
          <w:rFonts w:ascii="Calibri" w:cs="Calibri" w:eastAsia="Calibri" w:hAnsi="Calibri"/>
          <w:color w:val="E91E63"/>
          <w:sz w:val="20"/>
          <w:szCs w:val="20"/>
        </w:rPr>
        <w:t xml:space="preserve">Cass. civ. 1re, 4 décembre 2013, n° 12-26.066</w:t>
      </w:r>
      <w:r>
        <w:rPr>
          <w:rFonts w:ascii="Calibri" w:cs="Calibri" w:eastAsia="Calibri" w:hAnsi="Calibri"/>
          <w:color w:val="1A1A1A"/>
          <w:sz w:val="20"/>
          <w:szCs w:val="20"/>
        </w:rPr>
        <w:t xml:space="preserve">, le juge judiciaire peut écarter l’application d’une loi pourtant conforme au droit international, au motif que son application </w:t>
      </w:r>
      <w:r>
        <w:rPr>
          <w:rFonts w:ascii="Calibri" w:cs="Calibri" w:eastAsia="Calibri" w:hAnsi="Calibri"/>
          <w:b/>
          <w:bCs/>
          <w:color w:val="1A1A1A"/>
          <w:sz w:val="20"/>
          <w:szCs w:val="20"/>
        </w:rPr>
        <w:t xml:space="preserve">concrète</w:t>
      </w:r>
      <w:r>
        <w:rPr>
          <w:rFonts w:ascii="Calibri" w:cs="Calibri" w:eastAsia="Calibri" w:hAnsi="Calibri"/>
          <w:color w:val="1A1A1A"/>
          <w:sz w:val="20"/>
          <w:szCs w:val="20"/>
        </w:rPr>
        <w:t xml:space="preserve"> porterait une atteinte injustifiée aux droits d’une partie.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b/>
          <w:bCs/>
          <w:color w:val="1A1A1A"/>
          <w:sz w:val="20"/>
          <w:szCs w:val="20"/>
        </w:rPr>
        <w:t xml:space="preserve">Une compétence dédoublée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exclusive</w:t>
      </w:r>
      <w:r>
        <w:rPr>
          <w:rFonts w:ascii="Calibri" w:cs="Calibri" w:eastAsia="Calibri" w:hAnsi="Calibri"/>
          <w:color w:val="1A1A1A"/>
          <w:sz w:val="20"/>
          <w:szCs w:val="20"/>
        </w:rPr>
        <w:t xml:space="preserve"> pour les litiges </w:t>
      </w:r>
      <w:r>
        <w:rPr>
          <w:rFonts w:ascii="Calibri" w:cs="Calibri" w:eastAsia="Calibri" w:hAnsi="Calibri"/>
          <w:b/>
          <w:bCs/>
          <w:color w:val="1A1A1A"/>
          <w:sz w:val="20"/>
          <w:szCs w:val="20"/>
        </w:rPr>
        <w:t xml:space="preserve">interindividuels</w:t>
      </w:r>
      <w:r>
        <w:rPr>
          <w:rFonts w:ascii="Calibri" w:cs="Calibri" w:eastAsia="Calibri" w:hAnsi="Calibri"/>
          <w:color w:val="1A1A1A"/>
          <w:sz w:val="20"/>
          <w:szCs w:val="20"/>
        </w:rPr>
        <w:t xml:space="preserve"> (horizontaux), </w:t>
      </w:r>
      <w:r>
        <w:rPr>
          <w:rFonts w:ascii="Calibri" w:cs="Calibri" w:eastAsia="Calibri" w:hAnsi="Calibri"/>
          <w:b/>
          <w:bCs/>
          <w:color w:val="1A1A1A"/>
          <w:sz w:val="20"/>
          <w:szCs w:val="20"/>
        </w:rPr>
        <w:t xml:space="preserve">partagée</w:t>
      </w:r>
      <w:r>
        <w:rPr>
          <w:rFonts w:ascii="Calibri" w:cs="Calibri" w:eastAsia="Calibri" w:hAnsi="Calibri"/>
          <w:color w:val="1A1A1A"/>
          <w:sz w:val="20"/>
          <w:szCs w:val="20"/>
        </w:rPr>
        <w:t xml:space="preserve"> avec le juge administratif pour les litiges </w:t>
      </w:r>
      <w:r>
        <w:rPr>
          <w:rFonts w:ascii="Calibri" w:cs="Calibri" w:eastAsia="Calibri" w:hAnsi="Calibri"/>
          <w:b/>
          <w:bCs/>
          <w:color w:val="1A1A1A"/>
          <w:sz w:val="20"/>
          <w:szCs w:val="20"/>
        </w:rPr>
        <w:t xml:space="preserve">verticaux</w:t>
      </w:r>
      <w:r>
        <w:rPr>
          <w:rFonts w:ascii="Calibri" w:cs="Calibri" w:eastAsia="Calibri" w:hAnsi="Calibri"/>
          <w:color w:val="1A1A1A"/>
          <w:sz w:val="20"/>
          <w:szCs w:val="20"/>
        </w:rPr>
        <w:t xml:space="preserve"> mettant aux prises l’État et des particuliers.</w:t>
      </w:r>
    </w:p>
    <w:p>
      <w:pPr>
        <w:pStyle w:val="ListParagraph"/>
        <w:numPr>
          <w:ilvl w:val="0"/>
          <w:numId w:val="2"/>
        </w:numPr>
        <w:spacing w:after="70" w:line="264"/>
        <w:jc w:val="both"/>
      </w:pPr>
      <w:r>
        <w:rPr>
          <w:rFonts w:ascii="Calibri" w:cs="Calibri" w:eastAsia="Calibri" w:hAnsi="Calibri"/>
          <w:b/>
          <w:bCs/>
          <w:color w:val="1A1A1A"/>
          <w:sz w:val="20"/>
          <w:szCs w:val="20"/>
        </w:rPr>
        <w:t xml:space="preserve">Trois offices</w:t>
      </w:r>
      <w:r>
        <w:rPr>
          <w:rFonts w:ascii="Calibri" w:cs="Calibri" w:eastAsia="Calibri" w:hAnsi="Calibri"/>
          <w:color w:val="1A1A1A"/>
          <w:sz w:val="20"/>
          <w:szCs w:val="20"/>
        </w:rPr>
        <w:t xml:space="preserve"> : gardien constitutionnel de la liberté individuelle et de la propriété ; juge des droits fondamentaux dans les rapports entre particuliers (ordre public contractuel, ordre public international, proportionnalité) ; </w:t>
      </w:r>
      <w:r>
        <w:rPr>
          <w:rFonts w:ascii="Calibri" w:cs="Calibri" w:eastAsia="Calibri" w:hAnsi="Calibri"/>
          <w:b/>
          <w:bCs/>
          <w:color w:val="1A1A1A"/>
          <w:sz w:val="20"/>
          <w:szCs w:val="20"/>
        </w:rPr>
        <w:t xml:space="preserve">filtre</w:t>
      </w:r>
      <w:r>
        <w:rPr>
          <w:rFonts w:ascii="Calibri" w:cs="Calibri" w:eastAsia="Calibri" w:hAnsi="Calibri"/>
          <w:color w:val="1A1A1A"/>
          <w:sz w:val="20"/>
          <w:szCs w:val="20"/>
        </w:rPr>
        <w:t xml:space="preserve"> vers le Conseil constitutionnel (QPC) et la Cour européenne (avis consultatifs du </w:t>
      </w:r>
      <w:r>
        <w:rPr>
          <w:rFonts w:ascii="Calibri" w:cs="Calibri" w:eastAsia="Calibri" w:hAnsi="Calibri"/>
          <w:color w:val="1E88E5"/>
          <w:sz w:val="20"/>
          <w:szCs w:val="20"/>
        </w:rPr>
        <w:t xml:space="preserve">Protocole n° 16</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ch. mixte, 24 mai 1975, Société des cafés Jacques Vabre, n° 73-13.556</w:t>
      </w:r>
      <w:r>
        <w:rPr>
          <w:rFonts w:ascii="Calibri" w:cs="Calibri" w:eastAsia="Calibri" w:hAnsi="Calibri"/>
          <w:color w:val="1A1A1A"/>
          <w:sz w:val="20"/>
          <w:szCs w:val="20"/>
        </w:rPr>
        <w:t xml:space="preserve"> : le juge judiciaire se reconnaît compétent pour le </w:t>
      </w:r>
      <w:r>
        <w:rPr>
          <w:rFonts w:ascii="Calibri" w:cs="Calibri" w:eastAsia="Calibri" w:hAnsi="Calibri"/>
          <w:b/>
          <w:bCs/>
          <w:color w:val="1A1A1A"/>
          <w:sz w:val="20"/>
          <w:szCs w:val="20"/>
        </w:rPr>
        <w:t xml:space="preserve">contrôle de conventionnalité</w:t>
      </w:r>
      <w:r>
        <w:rPr>
          <w:rFonts w:ascii="Calibri" w:cs="Calibri" w:eastAsia="Calibri" w:hAnsi="Calibri"/>
          <w:color w:val="1A1A1A"/>
          <w:sz w:val="20"/>
          <w:szCs w:val="20"/>
        </w:rPr>
        <w:t xml:space="preserve">, y compris à l’égard d’une loi postérieure au traité.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crim., 3 juin 1975, Respino, n° 75-90.687</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plein effet direct</w:t>
      </w:r>
      <w:r>
        <w:rPr>
          <w:rFonts w:ascii="Calibri" w:cs="Calibri" w:eastAsia="Calibri" w:hAnsi="Calibri"/>
          <w:color w:val="1A1A1A"/>
          <w:sz w:val="20"/>
          <w:szCs w:val="20"/>
        </w:rPr>
        <w:t xml:space="preserve"> de la Convention en droit interne, y compris dans les relations interindividuelles (application contractuelle : </w:t>
      </w:r>
      <w:r>
        <w:rPr>
          <w:rFonts w:ascii="Calibri" w:cs="Calibri" w:eastAsia="Calibri" w:hAnsi="Calibri"/>
          <w:color w:val="E91E63"/>
          <w:sz w:val="20"/>
          <w:szCs w:val="20"/>
        </w:rPr>
        <w:t xml:space="preserve">Cass. civ. 3e, 6 mars 1996, Mel Yedei, n° 93-11.113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ass. plén., 15 avril 2011, n° 10-17.049, 10-30.242, 10-30.313 et 10-30.316</w:t>
      </w:r>
      <w:r>
        <w:rPr>
          <w:rFonts w:ascii="Calibri" w:cs="Calibri" w:eastAsia="Calibri" w:hAnsi="Calibri"/>
          <w:color w:val="1A1A1A"/>
          <w:sz w:val="20"/>
          <w:szCs w:val="20"/>
        </w:rPr>
        <w:t xml:space="preserve"> : le contrôle de conventionnalité intègre l’</w:t>
      </w:r>
      <w:r>
        <w:rPr>
          <w:rFonts w:ascii="Calibri" w:cs="Calibri" w:eastAsia="Calibri" w:hAnsi="Calibri"/>
          <w:b/>
          <w:bCs/>
          <w:color w:val="1A1A1A"/>
          <w:sz w:val="20"/>
          <w:szCs w:val="20"/>
        </w:rPr>
        <w:t xml:space="preserve">interprétation donnée par les interprètes officiels</w:t>
      </w:r>
      <w:r>
        <w:rPr>
          <w:rFonts w:ascii="Calibri" w:cs="Calibri" w:eastAsia="Calibri" w:hAnsi="Calibri"/>
          <w:color w:val="1A1A1A"/>
          <w:sz w:val="20"/>
          <w:szCs w:val="20"/>
        </w:rPr>
        <w:t xml:space="preserve"> des textes — l’autorité interprétative des arrêts de la Cour européenne.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civ. 1re, 4 décembre 2013, n° 12-26.066</w:t>
      </w:r>
      <w:r>
        <w:rPr>
          <w:rFonts w:ascii="Calibri" w:cs="Calibri" w:eastAsia="Calibri" w:hAnsi="Calibri"/>
          <w:color w:val="1A1A1A"/>
          <w:sz w:val="20"/>
          <w:szCs w:val="20"/>
        </w:rPr>
        <w:t xml:space="preserve"> : consécration du </w:t>
      </w:r>
      <w:r>
        <w:rPr>
          <w:rFonts w:ascii="Calibri" w:cs="Calibri" w:eastAsia="Calibri" w:hAnsi="Calibri"/>
          <w:b/>
          <w:bCs/>
          <w:color w:val="1A1A1A"/>
          <w:sz w:val="20"/>
          <w:szCs w:val="20"/>
        </w:rPr>
        <w:t xml:space="preserve">contrôle de conventionnalité </w:t>
      </w:r>
      <w:r>
        <w:rPr>
          <w:rFonts w:ascii="Calibri" w:cs="Calibri" w:eastAsia="Calibri" w:hAnsi="Calibri"/>
          <w:b/>
          <w:bCs/>
          <w:i/>
          <w:iCs/>
          <w:color w:val="1A1A1A"/>
          <w:sz w:val="20"/>
          <w:szCs w:val="20"/>
        </w:rPr>
        <w:t xml:space="preserve">in concreto</w:t>
      </w:r>
      <w:r>
        <w:rPr>
          <w:rFonts w:ascii="Calibri" w:cs="Calibri" w:eastAsia="Calibri" w:hAnsi="Calibri"/>
          <w:color w:val="1A1A1A"/>
          <w:sz w:val="20"/>
          <w:szCs w:val="20"/>
        </w:rPr>
        <w:t xml:space="preserve"> — la Cour peut refuser d’appliquer une loi au motif que son application aurait pour effet de causer une ingérence injustifiée dans les droits d’une partie.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17 juin 2013, Bergoend c. Société ERDF Annecy Léman, n° C3911</w:t>
      </w:r>
      <w:r>
        <w:rPr>
          <w:rFonts w:ascii="Calibri" w:cs="Calibri" w:eastAsia="Calibri" w:hAnsi="Calibri"/>
          <w:color w:val="1A1A1A"/>
          <w:sz w:val="20"/>
          <w:szCs w:val="20"/>
        </w:rPr>
        <w:t xml:space="preserve"> : redéfinition </w:t>
      </w:r>
      <w:r>
        <w:rPr>
          <w:rFonts w:ascii="Calibri" w:cs="Calibri" w:eastAsia="Calibri" w:hAnsi="Calibri"/>
          <w:b/>
          <w:bCs/>
          <w:color w:val="1A1A1A"/>
          <w:sz w:val="20"/>
          <w:szCs w:val="20"/>
        </w:rPr>
        <w:t xml:space="preserve">restrictive</w:t>
      </w:r>
      <w:r>
        <w:rPr>
          <w:rFonts w:ascii="Calibri" w:cs="Calibri" w:eastAsia="Calibri" w:hAnsi="Calibri"/>
          <w:color w:val="1A1A1A"/>
          <w:sz w:val="20"/>
          <w:szCs w:val="20"/>
        </w:rPr>
        <w:t xml:space="preserve"> de la voie de fait —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(et non plus à une liberté fondamentale) ou </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(et non plus atteinte grave).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Les contrôles de conventionnalité sont-ils nécessaires à la protection des droits humains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 mise à l’écart d’une loi contraire par le contrôle abstrait</w:t>
      </w:r>
      <w:r>
        <w:rPr>
          <w:rFonts w:ascii="Calibri" w:cs="Calibri" w:eastAsia="Calibri" w:hAnsi="Calibri"/>
          <w:color w:val="1A1A1A"/>
          <w:sz w:val="20"/>
          <w:szCs w:val="20"/>
        </w:rPr>
        <w:t xml:space="preserve"> (A. L’appréciation abstraite de la non-conformité : </w:t>
      </w:r>
      <w:r>
        <w:rPr>
          <w:rFonts w:ascii="Calibri" w:cs="Calibri" w:eastAsia="Calibri" w:hAnsi="Calibri"/>
          <w:color w:val="E91E63"/>
          <w:sz w:val="20"/>
          <w:szCs w:val="20"/>
        </w:rPr>
        <w:t xml:space="preserve">Jacques Vabre</w:t>
      </w:r>
      <w:r>
        <w:rPr>
          <w:rFonts w:ascii="Calibri" w:cs="Calibri" w:eastAsia="Calibri" w:hAnsi="Calibri"/>
          <w:color w:val="1A1A1A"/>
          <w:sz w:val="20"/>
          <w:szCs w:val="20"/>
        </w:rPr>
        <w:t xml:space="preserve">, prise en compte de la jurisprudence européenne ; B. La mise à l’écart de la norme non conforme : inapplicabilité, puis abrogation par le législateur) / </w:t>
      </w:r>
      <w:r>
        <w:rPr>
          <w:rFonts w:ascii="Calibri" w:cs="Calibri" w:eastAsia="Calibri" w:hAnsi="Calibri"/>
          <w:b/>
          <w:bCs/>
          <w:color w:val="1A1A1A"/>
          <w:sz w:val="20"/>
          <w:szCs w:val="20"/>
        </w:rPr>
        <w:t xml:space="preserve">II. La mise à l’écart d’une loi conforme par le contrôle concret</w:t>
      </w:r>
      <w:r>
        <w:rPr>
          <w:rFonts w:ascii="Calibri" w:cs="Calibri" w:eastAsia="Calibri" w:hAnsi="Calibri"/>
          <w:color w:val="1A1A1A"/>
          <w:sz w:val="20"/>
          <w:szCs w:val="20"/>
        </w:rPr>
        <w:t xml:space="preserve"> (A. L’appréciation concrète depuis 2013 : extension du droit de la famille au droit du travail ; B. Le maintien de la norme, conforme et applicable ailleurs — au prix d’un risque d’insécurité juridique).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juge judiciaire est-il encore le gardien des libertés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gardien constitutionnellement désigné</w:t>
      </w:r>
      <w:r>
        <w:rPr>
          <w:rFonts w:ascii="Calibri" w:cs="Calibri" w:eastAsia="Calibri" w:hAnsi="Calibri"/>
          <w:color w:val="1A1A1A"/>
          <w:sz w:val="20"/>
          <w:szCs w:val="20"/>
        </w:rPr>
        <w:t xml:space="preserve"> (A. </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 liberté individuelle, direction de la police judiciaire, peines privatives de liberté ; B. La propriété immobilière et l’expropriation) / </w:t>
      </w:r>
      <w:r>
        <w:rPr>
          <w:rFonts w:ascii="Calibri" w:cs="Calibri" w:eastAsia="Calibri" w:hAnsi="Calibri"/>
          <w:b/>
          <w:bCs/>
          <w:color w:val="1A1A1A"/>
          <w:sz w:val="20"/>
          <w:szCs w:val="20"/>
        </w:rPr>
        <w:t xml:space="preserve">II. Un gardien au périmètre rétréci</w:t>
      </w:r>
      <w:r>
        <w:rPr>
          <w:rFonts w:ascii="Calibri" w:cs="Calibri" w:eastAsia="Calibri" w:hAnsi="Calibri"/>
          <w:color w:val="1A1A1A"/>
          <w:sz w:val="20"/>
          <w:szCs w:val="20"/>
        </w:rPr>
        <w:t xml:space="preserve"> (A. La restriction de la notion de liberté individuelle : </w:t>
      </w:r>
      <w:r>
        <w:rPr>
          <w:rFonts w:ascii="Calibri" w:cs="Calibri" w:eastAsia="Calibri" w:hAnsi="Calibri"/>
          <w:color w:val="E91E63"/>
          <w:sz w:val="20"/>
          <w:szCs w:val="20"/>
        </w:rPr>
        <w:t xml:space="preserve">2005-532 DC</w:t>
      </w:r>
      <w:r>
        <w:rPr>
          <w:rFonts w:ascii="Calibri" w:cs="Calibri" w:eastAsia="Calibri" w:hAnsi="Calibri"/>
          <w:color w:val="1A1A1A"/>
          <w:sz w:val="20"/>
          <w:szCs w:val="20"/>
        </w:rPr>
        <w:t xml:space="preserve"> ; B. Le rétrécissement de la voie de fait et de l’emprise, et l’essor du référé-liberté).</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Le ministère public n’est pas une « autorité judiciaire » au sens de la Convention</w:t>
      </w:r>
      <w:r>
        <w:rPr>
          <w:rFonts w:ascii="Calibri" w:cs="Calibri" w:eastAsia="Calibri" w:hAnsi="Calibri"/>
          <w:color w:val="1A1A1A"/>
          <w:sz w:val="20"/>
          <w:szCs w:val="20"/>
        </w:rPr>
        <w:t xml:space="preserve"> : pour la Cour européenne, la qualité d’autorité judiciaire au sens de l’</w:t>
      </w:r>
      <w:r>
        <w:rPr>
          <w:rFonts w:ascii="Calibri" w:cs="Calibri" w:eastAsia="Calibri" w:hAnsi="Calibri"/>
          <w:color w:val="1E88E5"/>
          <w:sz w:val="20"/>
          <w:szCs w:val="20"/>
        </w:rPr>
        <w:t xml:space="preserve">art. 5 § 3</w:t>
      </w:r>
      <w:r>
        <w:rPr>
          <w:rFonts w:ascii="Calibri" w:cs="Calibri" w:eastAsia="Calibri" w:hAnsi="Calibri"/>
          <w:color w:val="1A1A1A"/>
          <w:sz w:val="20"/>
          <w:szCs w:val="20"/>
        </w:rPr>
        <w:t xml:space="preserve"> exclut que le magistrat « </w:t>
      </w:r>
      <w:r>
        <w:rPr>
          <w:rFonts w:ascii="Calibri" w:cs="Calibri" w:eastAsia="Calibri" w:hAnsi="Calibri"/>
          <w:i/>
          <w:iCs/>
          <w:color w:val="1A1A1A"/>
          <w:sz w:val="20"/>
          <w:szCs w:val="20"/>
        </w:rPr>
        <w:t xml:space="preserve">puisse agir par la suite contre le requérant dans la procédure pénale, à l’instar du ministère public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Medvedyev</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Moulin</w:t>
      </w:r>
      <w:r>
        <w:rPr>
          <w:rFonts w:ascii="Calibri" w:cs="Calibri" w:eastAsia="Calibri" w:hAnsi="Calibri"/>
          <w:color w:val="1A1A1A"/>
          <w:sz w:val="20"/>
          <w:szCs w:val="20"/>
        </w:rPr>
        <w:t xml:space="preserve">) — alors que le Conseil constitutionnel retient une conception large incluant siège et parquet (</w:t>
      </w:r>
      <w:r>
        <w:rPr>
          <w:rFonts w:ascii="Calibri" w:cs="Calibri" w:eastAsia="Calibri" w:hAnsi="Calibri"/>
          <w:color w:val="E91E63"/>
          <w:sz w:val="20"/>
          <w:szCs w:val="20"/>
        </w:rPr>
        <w:t xml:space="preserve">2019-778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Voie de fait, depuis 2013</w:t>
      </w:r>
      <w:r>
        <w:rPr>
          <w:rFonts w:ascii="Calibri" w:cs="Calibri" w:eastAsia="Calibri" w:hAnsi="Calibri"/>
          <w:color w:val="1A1A1A"/>
          <w:sz w:val="20"/>
          <w:szCs w:val="20"/>
        </w:rPr>
        <w:t xml:space="preserve"> :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ou </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Les formulations antérieures — « atteinte grave à une liberté fondamentale », « atteinte grave au droit de propriété » — sont périmées.</w:t>
      </w:r>
    </w:p>
    <w:p>
      <w:pPr>
        <w:pStyle w:val="ListParagraph"/>
        <w:numPr>
          <w:ilvl w:val="0"/>
          <w:numId w:val="2"/>
        </w:numPr>
        <w:spacing w:after="70" w:line="264"/>
        <w:jc w:val="both"/>
      </w:pPr>
      <w:r>
        <w:rPr>
          <w:rFonts w:ascii="Calibri" w:cs="Calibri" w:eastAsia="Calibri" w:hAnsi="Calibri"/>
          <w:b/>
          <w:bCs/>
          <w:color w:val="1A1A1A"/>
          <w:sz w:val="20"/>
          <w:szCs w:val="20"/>
        </w:rPr>
        <w:t xml:space="preserve">Ne pas confondre les effets des deux contrôles de conventionnalité</w:t>
      </w:r>
      <w:r>
        <w:rPr>
          <w:rFonts w:ascii="Calibri" w:cs="Calibri" w:eastAsia="Calibri" w:hAnsi="Calibri"/>
          <w:color w:val="1A1A1A"/>
          <w:sz w:val="20"/>
          <w:szCs w:val="20"/>
        </w:rPr>
        <w:t xml:space="preserve"> : </w:t>
      </w:r>
      <w:r>
        <w:rPr>
          <w:rFonts w:ascii="Calibri" w:cs="Calibri" w:eastAsia="Calibri" w:hAnsi="Calibri"/>
          <w:i/>
          <w:iCs/>
          <w:color w:val="1A1A1A"/>
          <w:sz w:val="20"/>
          <w:szCs w:val="20"/>
        </w:rPr>
        <w:t xml:space="preserve">in abstracto</w:t>
      </w:r>
      <w:r>
        <w:rPr>
          <w:rFonts w:ascii="Calibri" w:cs="Calibri" w:eastAsia="Calibri" w:hAnsi="Calibri"/>
          <w:color w:val="1A1A1A"/>
          <w:sz w:val="20"/>
          <w:szCs w:val="20"/>
        </w:rPr>
        <w:t xml:space="preserve">, la loi est déclarée inapplicable et le législateur l’abroge généralement ;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la loi </w:t>
      </w:r>
      <w:r>
        <w:rPr>
          <w:rFonts w:ascii="Calibri" w:cs="Calibri" w:eastAsia="Calibri" w:hAnsi="Calibri"/>
          <w:b/>
          <w:bCs/>
          <w:color w:val="1A1A1A"/>
          <w:sz w:val="20"/>
          <w:szCs w:val="20"/>
        </w:rPr>
        <w:t xml:space="preserve">demeure parfaitement applicable</w:t>
      </w:r>
      <w:r>
        <w:rPr>
          <w:rFonts w:ascii="Calibri" w:cs="Calibri" w:eastAsia="Calibri" w:hAnsi="Calibri"/>
          <w:color w:val="1A1A1A"/>
          <w:sz w:val="20"/>
          <w:szCs w:val="20"/>
        </w:rPr>
        <w:t xml:space="preserve"> aux autres litiges.</w:t>
      </w:r>
    </w:p>
    <w:p>
      <w:r>
        <w:br w:type="page"/>
      </w:r>
    </w:p>
    <w:p>
      <w:pPr>
        <w:pStyle w:val="Heading2"/>
        <w:spacing w:after="120" w:before="280"/>
      </w:pPr>
      <w:r>
        <w:rPr>
          <w:rFonts w:ascii="Calibri" w:cs="Calibri" w:eastAsia="Calibri" w:hAnsi="Calibri"/>
          <w:b/>
          <w:bCs/>
          <w:color w:val="1A1A1A"/>
          <w:sz w:val="24"/>
          <w:szCs w:val="24"/>
        </w:rPr>
        <w:t xml:space="preserve">1. Le juge judiciaire, garant interne des droits humains</w:t>
      </w:r>
    </w:p>
    <w:p>
      <w:pPr>
        <w:pStyle w:val="Heading3"/>
        <w:spacing w:after="90" w:before="200"/>
      </w:pPr>
      <w:r>
        <w:rPr>
          <w:rFonts w:ascii="Calibri" w:cs="Calibri" w:eastAsia="Calibri" w:hAnsi="Calibri"/>
          <w:b/>
          <w:bCs/>
          <w:i/>
          <w:iCs/>
          <w:color w:val="5A5A5A"/>
          <w:sz w:val="21"/>
          <w:szCs w:val="21"/>
        </w:rPr>
        <w:t xml:space="preserve">1.1. La notion d’autorité judiciaire</w:t>
      </w:r>
    </w:p>
    <w:p>
      <w:pPr>
        <w:pStyle w:val="ListParagraph"/>
        <w:numPr>
          <w:ilvl w:val="0"/>
          <w:numId w:val="2"/>
        </w:numPr>
        <w:spacing w:after="70" w:line="264"/>
        <w:jc w:val="both"/>
      </w:pPr>
      <w:r>
        <w:rPr>
          <w:rFonts w:ascii="Calibri" w:cs="Calibri" w:eastAsia="Calibri" w:hAnsi="Calibri"/>
          <w:color w:val="E91E63"/>
          <w:sz w:val="20"/>
          <w:szCs w:val="20"/>
        </w:rPr>
        <w:t xml:space="preserve">Cons. const., déc. n° 2019-778 DC, 21 mars 2019, Loi de programmation 2018-2022 et de réforme pour la justice</w:t>
      </w:r>
      <w:r>
        <w:rPr>
          <w:rFonts w:ascii="Calibri" w:cs="Calibri" w:eastAsia="Calibri" w:hAnsi="Calibri"/>
          <w:color w:val="1A1A1A"/>
          <w:sz w:val="20"/>
          <w:szCs w:val="20"/>
        </w:rPr>
        <w:t xml:space="preserve"> : l’autorité judiciaire est conçue largement, incluant les magistrats professionnels du </w:t>
      </w:r>
      <w:r>
        <w:rPr>
          <w:rFonts w:ascii="Calibri" w:cs="Calibri" w:eastAsia="Calibri" w:hAnsi="Calibri"/>
          <w:b/>
          <w:bCs/>
          <w:color w:val="1A1A1A"/>
          <w:sz w:val="20"/>
          <w:szCs w:val="20"/>
        </w:rPr>
        <w:t xml:space="preserve">siège</w:t>
      </w:r>
      <w:r>
        <w:rPr>
          <w:rFonts w:ascii="Calibri" w:cs="Calibri" w:eastAsia="Calibri" w:hAnsi="Calibri"/>
          <w:color w:val="1A1A1A"/>
          <w:sz w:val="20"/>
          <w:szCs w:val="20"/>
        </w:rPr>
        <w:t xml:space="preserve"> comme du </w:t>
      </w:r>
      <w:r>
        <w:rPr>
          <w:rFonts w:ascii="Calibri" w:cs="Calibri" w:eastAsia="Calibri" w:hAnsi="Calibri"/>
          <w:b/>
          <w:bCs/>
          <w:color w:val="1A1A1A"/>
          <w:sz w:val="20"/>
          <w:szCs w:val="20"/>
        </w:rPr>
        <w:t xml:space="preserve">parquet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E91E63"/>
          <w:sz w:val="20"/>
          <w:szCs w:val="20"/>
        </w:rPr>
        <w:t xml:space="preserve">CEDH, GC, 29 mars 2010, Medvedyev et a. c. France, n° 3394/03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23 novembre 2010, Moulin c. France, n° 37104/06</w:t>
      </w:r>
      <w:r>
        <w:rPr>
          <w:rFonts w:ascii="Calibri" w:cs="Calibri" w:eastAsia="Calibri" w:hAnsi="Calibri"/>
          <w:color w:val="1A1A1A"/>
          <w:sz w:val="20"/>
          <w:szCs w:val="20"/>
        </w:rPr>
        <w:t xml:space="preserve"> : qualification </w:t>
      </w:r>
      <w:r>
        <w:rPr>
          <w:rFonts w:ascii="Calibri" w:cs="Calibri" w:eastAsia="Calibri" w:hAnsi="Calibri"/>
          <w:b/>
          <w:bCs/>
          <w:color w:val="1A1A1A"/>
          <w:sz w:val="20"/>
          <w:szCs w:val="20"/>
        </w:rPr>
        <w:t xml:space="preserve">rejetée</w:t>
      </w:r>
      <w:r>
        <w:rPr>
          <w:rFonts w:ascii="Calibri" w:cs="Calibri" w:eastAsia="Calibri" w:hAnsi="Calibri"/>
          <w:color w:val="1A1A1A"/>
          <w:sz w:val="20"/>
          <w:szCs w:val="20"/>
        </w:rPr>
        <w:t xml:space="preserve"> par la Cour européenne au sens de l’</w:t>
      </w:r>
      <w:r>
        <w:rPr>
          <w:rFonts w:ascii="Calibri" w:cs="Calibri" w:eastAsia="Calibri" w:hAnsi="Calibri"/>
          <w:color w:val="1E88E5"/>
          <w:sz w:val="20"/>
          <w:szCs w:val="20"/>
        </w:rPr>
        <w:t xml:space="preserve">art. 5 § 3 de la Convention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1.2. La protection de la liberté individuelle</w:t>
      </w:r>
    </w:p>
    <w:p>
      <w:pPr>
        <w:pStyle w:val="ListParagraph"/>
        <w:numPr>
          <w:ilvl w:val="0"/>
          <w:numId w:val="2"/>
        </w:numPr>
        <w:spacing w:after="70" w:line="264"/>
        <w:jc w:val="both"/>
      </w:pP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 l’article répartit les compétences entre juridictions judiciaires et administratives. La notion de liberté individuelle a connu une </w:t>
      </w:r>
      <w:r>
        <w:rPr>
          <w:rFonts w:ascii="Calibri" w:cs="Calibri" w:eastAsia="Calibri" w:hAnsi="Calibri"/>
          <w:b/>
          <w:bCs/>
          <w:color w:val="1A1A1A"/>
          <w:sz w:val="20"/>
          <w:szCs w:val="20"/>
        </w:rPr>
        <w:t xml:space="preserve">appréciation changeante</w:t>
      </w:r>
      <w:r>
        <w:rPr>
          <w:rFonts w:ascii="Calibri" w:cs="Calibri" w:eastAsia="Calibri" w:hAnsi="Calibri"/>
          <w:color w:val="1A1A1A"/>
          <w:sz w:val="20"/>
          <w:szCs w:val="20"/>
        </w:rPr>
        <w:t xml:space="preserve"> : initialement extensive, elle comprenait le droit au respect de la vie privée et à l’inviolabilité du domicile (</w:t>
      </w:r>
      <w:r>
        <w:rPr>
          <w:rFonts w:ascii="Calibri" w:cs="Calibri" w:eastAsia="Calibri" w:hAnsi="Calibri"/>
          <w:color w:val="E91E63"/>
          <w:sz w:val="20"/>
          <w:szCs w:val="20"/>
        </w:rPr>
        <w:t xml:space="preserve">Cons. const., déc. n° 76-75 DC, 12 janvier 1977, Loi autorisant la visite des véhicules en vue de la recherche et de la prévention des infractions pénales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83-164 DC, 29 décembre 1983, Loi de finances pour 1984</w:t>
      </w:r>
      <w:r>
        <w:rPr>
          <w:rFonts w:ascii="Calibri" w:cs="Calibri" w:eastAsia="Calibri" w:hAnsi="Calibri"/>
          <w:color w:val="1A1A1A"/>
          <w:sz w:val="20"/>
          <w:szCs w:val="20"/>
        </w:rPr>
        <w:t xml:space="preserve">). Le juge constitutionnel l’a ensuite </w:t>
      </w:r>
      <w:r>
        <w:rPr>
          <w:rFonts w:ascii="Calibri" w:cs="Calibri" w:eastAsia="Calibri" w:hAnsi="Calibri"/>
          <w:b/>
          <w:bCs/>
          <w:color w:val="1A1A1A"/>
          <w:sz w:val="20"/>
          <w:szCs w:val="20"/>
        </w:rPr>
        <w:t xml:space="preserve">considérablement restreinte</w:t>
      </w:r>
      <w:r>
        <w:rPr>
          <w:rFonts w:ascii="Calibri" w:cs="Calibri" w:eastAsia="Calibri" w:hAnsi="Calibri"/>
          <w:color w:val="1A1A1A"/>
          <w:sz w:val="20"/>
          <w:szCs w:val="20"/>
        </w:rPr>
        <w:t xml:space="preserve">, la rendant synonyme du </w:t>
      </w:r>
      <w:r>
        <w:rPr>
          <w:rFonts w:ascii="Calibri" w:cs="Calibri" w:eastAsia="Calibri" w:hAnsi="Calibri"/>
          <w:b/>
          <w:bCs/>
          <w:color w:val="1A1A1A"/>
          <w:sz w:val="20"/>
          <w:szCs w:val="20"/>
        </w:rPr>
        <w:t xml:space="preserve">droit à la sûreté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2005-532 DC, 19 janvier 2006, Loi relative à la lutte contre le terrorisme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Le Conseil semble désormais estimer qu’une atteinte à la liberté individuelle peut survenir </w:t>
      </w:r>
      <w:r>
        <w:rPr>
          <w:rFonts w:ascii="Calibri" w:cs="Calibri" w:eastAsia="Calibri" w:hAnsi="Calibri"/>
          <w:b/>
          <w:bCs/>
          <w:color w:val="1A1A1A"/>
          <w:sz w:val="20"/>
          <w:szCs w:val="20"/>
        </w:rPr>
        <w:t xml:space="preserve">sans privation de liberté</w:t>
      </w:r>
      <w:r>
        <w:rPr>
          <w:rFonts w:ascii="Calibri" w:cs="Calibri" w:eastAsia="Calibri" w:hAnsi="Calibri"/>
          <w:color w:val="1A1A1A"/>
          <w:sz w:val="20"/>
          <w:szCs w:val="20"/>
        </w:rPr>
        <w:t xml:space="preserve"> (par exemple en cas d’actes d’enquête), rendant l’autorité judiciaire compétente pour en contrôler la légalité — </w:t>
      </w:r>
      <w:r>
        <w:rPr>
          <w:rFonts w:ascii="Calibri" w:cs="Calibri" w:eastAsia="Calibri" w:hAnsi="Calibri"/>
          <w:color w:val="2E7D32"/>
          <w:sz w:val="20"/>
          <w:szCs w:val="20"/>
        </w:rPr>
        <w:t xml:space="preserve">R. Parisot, « La jurisprudence constitutionnelle sur l’autorité judiciaire gardienne de la liberté individuelle », Titre VII, n° 7, octobre 2021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Direction et contrôle de la police judiciaire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en tant que clause d’</w:t>
      </w:r>
      <w:r>
        <w:rPr>
          <w:rFonts w:ascii="Calibri" w:cs="Calibri" w:eastAsia="Calibri" w:hAnsi="Calibri"/>
          <w:i/>
          <w:iCs/>
          <w:color w:val="1A1A1A"/>
          <w:sz w:val="20"/>
          <w:szCs w:val="20"/>
        </w:rPr>
        <w:t xml:space="preserve">habeas corpus</w:t>
      </w:r>
      <w:r>
        <w:rPr>
          <w:rFonts w:ascii="Calibri" w:cs="Calibri" w:eastAsia="Calibri" w:hAnsi="Calibri"/>
          <w:color w:val="1A1A1A"/>
          <w:sz w:val="20"/>
          <w:szCs w:val="20"/>
        </w:rPr>
        <w:t xml:space="preserve">, rend l’autorité judiciaire compétente pour autoriser et contrôler les arrestations et les actes d’enquête. Seule la </w:t>
      </w:r>
      <w:r>
        <w:rPr>
          <w:rFonts w:ascii="Calibri" w:cs="Calibri" w:eastAsia="Calibri" w:hAnsi="Calibri"/>
          <w:b/>
          <w:bCs/>
          <w:color w:val="1A1A1A"/>
          <w:sz w:val="20"/>
          <w:szCs w:val="20"/>
        </w:rPr>
        <w:t xml:space="preserve">police judiciaire</w:t>
      </w:r>
      <w:r>
        <w:rPr>
          <w:rFonts w:ascii="Calibri" w:cs="Calibri" w:eastAsia="Calibri" w:hAnsi="Calibri"/>
          <w:color w:val="1A1A1A"/>
          <w:sz w:val="20"/>
          <w:szCs w:val="20"/>
        </w:rPr>
        <w:t xml:space="preserve"> est placée sous l’autorité directe du juge judiciaire, à l’exclusion de la police administrative et des agents municipaux (</w:t>
      </w:r>
      <w:r>
        <w:rPr>
          <w:rFonts w:ascii="Calibri" w:cs="Calibri" w:eastAsia="Calibri" w:hAnsi="Calibri"/>
          <w:color w:val="E91E63"/>
          <w:sz w:val="20"/>
          <w:szCs w:val="20"/>
        </w:rPr>
        <w:t xml:space="preserve">Cons. const., déc. n° 2021-817 DC, 20 mai 2021, Loi pour une sécurité globale préservant les libertés</w:t>
      </w:r>
      <w:r>
        <w:rPr>
          <w:rFonts w:ascii="Calibri" w:cs="Calibri" w:eastAsia="Calibri" w:hAnsi="Calibri"/>
          <w:color w:val="1A1A1A"/>
          <w:sz w:val="20"/>
          <w:szCs w:val="20"/>
        </w:rPr>
        <w:t xml:space="preserve">). Direction par le procureur de la République (</w:t>
      </w:r>
      <w:r>
        <w:rPr>
          <w:rFonts w:ascii="Calibri" w:cs="Calibri" w:eastAsia="Calibri" w:hAnsi="Calibri"/>
          <w:color w:val="1E88E5"/>
          <w:sz w:val="20"/>
          <w:szCs w:val="20"/>
        </w:rPr>
        <w:t xml:space="preserve">art. 41 CPP</w:t>
      </w:r>
      <w:r>
        <w:rPr>
          <w:rFonts w:ascii="Calibri" w:cs="Calibri" w:eastAsia="Calibri" w:hAnsi="Calibri"/>
          <w:color w:val="1A1A1A"/>
          <w:sz w:val="20"/>
          <w:szCs w:val="20"/>
        </w:rPr>
        <w:t xml:space="preserve">), exceptionnellement par le juge d’instruction ; surveillance par le procureur général via le pouvoir d’habilitation ; contrôle par la </w:t>
      </w:r>
      <w:r>
        <w:rPr>
          <w:rFonts w:ascii="Calibri" w:cs="Calibri" w:eastAsia="Calibri" w:hAnsi="Calibri"/>
          <w:b/>
          <w:bCs/>
          <w:color w:val="1A1A1A"/>
          <w:sz w:val="20"/>
          <w:szCs w:val="20"/>
        </w:rPr>
        <w:t xml:space="preserve">chambre de l’instruction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13 CPP</w:t>
      </w:r>
      <w:r>
        <w:rPr>
          <w:rFonts w:ascii="Calibri" w:cs="Calibri" w:eastAsia="Calibri" w:hAnsi="Calibri"/>
          <w:color w:val="1A1A1A"/>
          <w:sz w:val="20"/>
          <w:szCs w:val="20"/>
        </w:rPr>
        <w:t xml:space="preserve">), qui peut engager des poursuites contre un officier fautif.</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 exclusive sur les peines privatives de liberté</w:t>
      </w:r>
      <w:r>
        <w:rPr>
          <w:rFonts w:ascii="Calibri" w:cs="Calibri" w:eastAsia="Calibri" w:hAnsi="Calibri"/>
          <w:color w:val="1A1A1A"/>
          <w:sz w:val="20"/>
          <w:szCs w:val="20"/>
        </w:rPr>
        <w:t xml:space="preserve"> : présentation à un magistrat dans les </w:t>
      </w:r>
      <w:r>
        <w:rPr>
          <w:rFonts w:ascii="Calibri" w:cs="Calibri" w:eastAsia="Calibri" w:hAnsi="Calibri"/>
          <w:b/>
          <w:bCs/>
          <w:color w:val="1A1A1A"/>
          <w:sz w:val="20"/>
          <w:szCs w:val="20"/>
        </w:rPr>
        <w:t xml:space="preserve">24 heures</w:t>
      </w:r>
      <w:r>
        <w:rPr>
          <w:rFonts w:ascii="Calibri" w:cs="Calibri" w:eastAsia="Calibri" w:hAnsi="Calibri"/>
          <w:color w:val="1A1A1A"/>
          <w:sz w:val="20"/>
          <w:szCs w:val="20"/>
        </w:rPr>
        <w:t xml:space="preserve"> suivant l’arrestation (</w:t>
      </w:r>
      <w:r>
        <w:rPr>
          <w:rFonts w:ascii="Calibri" w:cs="Calibri" w:eastAsia="Calibri" w:hAnsi="Calibri"/>
          <w:color w:val="1E88E5"/>
          <w:sz w:val="20"/>
          <w:szCs w:val="20"/>
        </w:rPr>
        <w:t xml:space="preserve">art. 133 CPP</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2019-778 DC</w:t>
      </w:r>
      <w:r>
        <w:rPr>
          <w:rFonts w:ascii="Calibri" w:cs="Calibri" w:eastAsia="Calibri" w:hAnsi="Calibri"/>
          <w:color w:val="1A1A1A"/>
          <w:sz w:val="20"/>
          <w:szCs w:val="20"/>
        </w:rPr>
        <w:t xml:space="preserve"> ; censure d’une loi qui ôterait au juge judiciaire le pouvoir de contrôler des mesures privatives de liberté, notamment sur sa faculté d’apprécier la justification de la remise en liberté (</w:t>
      </w:r>
      <w:r>
        <w:rPr>
          <w:rFonts w:ascii="Calibri" w:cs="Calibri" w:eastAsia="Calibri" w:hAnsi="Calibri"/>
          <w:color w:val="E91E63"/>
          <w:sz w:val="20"/>
          <w:szCs w:val="20"/>
        </w:rPr>
        <w:t xml:space="preserve">Cons. const., déc. n° 2008-562 DC, 21 février 2008, Rétention de sûreté</w:t>
      </w:r>
      <w:r>
        <w:rPr>
          <w:rFonts w:ascii="Calibri" w:cs="Calibri" w:eastAsia="Calibri" w:hAnsi="Calibri"/>
          <w:color w:val="1A1A1A"/>
          <w:sz w:val="20"/>
          <w:szCs w:val="20"/>
        </w:rPr>
        <w:t xml:space="preserve">). Mandats de recherche, de comparution, d’amener, d’arrêt et de dépôt : </w:t>
      </w:r>
      <w:r>
        <w:rPr>
          <w:rFonts w:ascii="Calibri" w:cs="Calibri" w:eastAsia="Calibri" w:hAnsi="Calibri"/>
          <w:color w:val="1E88E5"/>
          <w:sz w:val="20"/>
          <w:szCs w:val="20"/>
        </w:rPr>
        <w:t xml:space="preserve">art. 122 et s. CPP</w:t>
      </w:r>
      <w:r>
        <w:rPr>
          <w:rFonts w:ascii="Calibri" w:cs="Calibri" w:eastAsia="Calibri" w:hAnsi="Calibri"/>
          <w:color w:val="1A1A1A"/>
          <w:sz w:val="20"/>
          <w:szCs w:val="20"/>
        </w:rPr>
        <w:t xml:space="preserve"> ; plénitude de compétence pour le contrôle de leur légalité (</w:t>
      </w:r>
      <w:r>
        <w:rPr>
          <w:rFonts w:ascii="Calibri" w:cs="Calibri" w:eastAsia="Calibri" w:hAnsi="Calibri"/>
          <w:color w:val="1E88E5"/>
          <w:sz w:val="20"/>
          <w:szCs w:val="20"/>
        </w:rPr>
        <w:t xml:space="preserve">art. 136 CPP</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Hospitalisation sans consentement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2020-844 QPC, 19 juin 2020, M. Éric G.</w:t>
      </w:r>
      <w:r>
        <w:rPr>
          <w:rFonts w:ascii="Calibri" w:cs="Calibri" w:eastAsia="Calibri" w:hAnsi="Calibri"/>
          <w:color w:val="1A1A1A"/>
          <w:sz w:val="20"/>
          <w:szCs w:val="20"/>
        </w:rPr>
        <w:t xml:space="preserve"> — le juge des libertés et de la détention est exclusivement compétent pour statuer sur la régularité de l’admission en soins psychiatriques sans consentement, prononcer la mainlevée ou le maintien de la mesure (</w:t>
      </w:r>
      <w:r>
        <w:rPr>
          <w:rFonts w:ascii="Calibri" w:cs="Calibri" w:eastAsia="Calibri" w:hAnsi="Calibri"/>
          <w:color w:val="1E88E5"/>
          <w:sz w:val="20"/>
          <w:szCs w:val="20"/>
        </w:rPr>
        <w:t xml:space="preserve">art. L. 3216-1 CSP</w:t>
      </w:r>
      <w:r>
        <w:rPr>
          <w:rFonts w:ascii="Calibri" w:cs="Calibri" w:eastAsia="Calibri" w:hAnsi="Calibri"/>
          <w:color w:val="1A1A1A"/>
          <w:sz w:val="20"/>
          <w:szCs w:val="20"/>
        </w:rPr>
        <w:t xml:space="preserve">). L’intervention du juge doit se faire dans le plus court délai possible.</w:t>
      </w:r>
    </w:p>
    <w:p>
      <w:pPr>
        <w:pStyle w:val="ListParagraph"/>
        <w:numPr>
          <w:ilvl w:val="0"/>
          <w:numId w:val="2"/>
        </w:numPr>
        <w:spacing w:after="70" w:line="264"/>
        <w:jc w:val="both"/>
      </w:pPr>
      <w:r>
        <w:rPr>
          <w:rFonts w:ascii="Calibri" w:cs="Calibri" w:eastAsia="Calibri" w:hAnsi="Calibri"/>
          <w:color w:val="E91E63"/>
          <w:sz w:val="20"/>
          <w:szCs w:val="20"/>
        </w:rPr>
        <w:t xml:space="preserve">T. confl., 27 novembre 1952, Préfet de la Guyane, n° 01420</w:t>
      </w:r>
      <w:r>
        <w:rPr>
          <w:rFonts w:ascii="Calibri" w:cs="Calibri" w:eastAsia="Calibri" w:hAnsi="Calibri"/>
          <w:color w:val="1A1A1A"/>
          <w:sz w:val="20"/>
          <w:szCs w:val="20"/>
        </w:rPr>
        <w:t xml:space="preserve"> : le juge administratif est compétent lorsque la contestation porte non sur la fonction juridictionnelle mais sur l’</w:t>
      </w:r>
      <w:r>
        <w:rPr>
          <w:rFonts w:ascii="Calibri" w:cs="Calibri" w:eastAsia="Calibri" w:hAnsi="Calibri"/>
          <w:b/>
          <w:bCs/>
          <w:color w:val="1A1A1A"/>
          <w:sz w:val="20"/>
          <w:szCs w:val="20"/>
        </w:rPr>
        <w:t xml:space="preserve">organisation</w:t>
      </w:r>
      <w:r>
        <w:rPr>
          <w:rFonts w:ascii="Calibri" w:cs="Calibri" w:eastAsia="Calibri" w:hAnsi="Calibri"/>
          <w:color w:val="1A1A1A"/>
          <w:sz w:val="20"/>
          <w:szCs w:val="20"/>
        </w:rPr>
        <w:t xml:space="preserve"> du service public de la justice. Les personnes détenues qui contestent leurs conditions de détention relèvent ainsi du juge administratif pour les actes non détachables des services judiciaires.</w:t>
      </w:r>
    </w:p>
    <w:p>
      <w:pPr>
        <w:pStyle w:val="Heading3"/>
        <w:spacing w:after="90" w:before="200"/>
      </w:pPr>
      <w:r>
        <w:rPr>
          <w:rFonts w:ascii="Calibri" w:cs="Calibri" w:eastAsia="Calibri" w:hAnsi="Calibri"/>
          <w:b/>
          <w:bCs/>
          <w:i/>
          <w:iCs/>
          <w:color w:val="5A5A5A"/>
          <w:sz w:val="21"/>
          <w:szCs w:val="21"/>
        </w:rPr>
        <w:t xml:space="preserve">1.3. Voie de fait et emprise</w:t>
      </w:r>
    </w:p>
    <w:p>
      <w:pPr>
        <w:pStyle w:val="ListParagraph"/>
        <w:numPr>
          <w:ilvl w:val="0"/>
          <w:numId w:val="2"/>
        </w:numPr>
        <w:spacing w:after="70" w:line="264"/>
        <w:jc w:val="both"/>
      </w:pPr>
      <w:r>
        <w:rPr>
          <w:rFonts w:ascii="Calibri" w:cs="Calibri" w:eastAsia="Calibri" w:hAnsi="Calibri"/>
          <w:color w:val="E91E63"/>
          <w:sz w:val="20"/>
          <w:szCs w:val="20"/>
        </w:rPr>
        <w:t xml:space="preserve">T. confl., 8 avril 1935, Action française, n° 00822</w:t>
      </w:r>
      <w:r>
        <w:rPr>
          <w:rFonts w:ascii="Calibri" w:cs="Calibri" w:eastAsia="Calibri" w:hAnsi="Calibri"/>
          <w:color w:val="1A1A1A"/>
          <w:sz w:val="20"/>
          <w:szCs w:val="20"/>
        </w:rPr>
        <w:t xml:space="preserve"> : conception initiale à deux versants — atteinte grave au droit de propriété ou à une liberté fondamentale causée par l’exécution forcée irrégulière d’une décision régulière, ou décision manifestement insusceptible de relever d’un pouvoir de l’autorité administrative.</w:t>
      </w:r>
    </w:p>
    <w:p>
      <w:pPr>
        <w:pStyle w:val="ListParagraph"/>
        <w:numPr>
          <w:ilvl w:val="0"/>
          <w:numId w:val="2"/>
        </w:numPr>
        <w:spacing w:after="70" w:line="264"/>
        <w:jc w:val="both"/>
      </w:pPr>
      <w:r>
        <w:rPr>
          <w:rFonts w:ascii="Calibri" w:cs="Calibri" w:eastAsia="Calibri" w:hAnsi="Calibri"/>
          <w:b/>
          <w:bCs/>
          <w:color w:val="1A1A1A"/>
          <w:sz w:val="20"/>
          <w:szCs w:val="20"/>
        </w:rPr>
        <w:t xml:space="preserve">Le double rétrécissement</w:t>
      </w:r>
      <w:r>
        <w:rPr>
          <w:rFonts w:ascii="Calibri" w:cs="Calibri" w:eastAsia="Calibri" w:hAnsi="Calibri"/>
          <w:color w:val="1A1A1A"/>
          <w:sz w:val="20"/>
          <w:szCs w:val="20"/>
        </w:rPr>
        <w:t xml:space="preserve"> : d’abord par l’interprétation restrictive des conditions de 1935, ensuite par la redéfinition des critères — ★ </w:t>
      </w:r>
      <w:r>
        <w:rPr>
          <w:rFonts w:ascii="Calibri" w:cs="Calibri" w:eastAsia="Calibri" w:hAnsi="Calibri"/>
          <w:color w:val="E91E63"/>
          <w:sz w:val="20"/>
          <w:szCs w:val="20"/>
        </w:rPr>
        <w:t xml:space="preserve">T. confl., 17 juin 2013, Bergoend c. Société ERDF Annecy Léman, n° C3911</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5 février 2020, n° 19-11.864</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ass. plén., 28 juin 2019, n° 19-17.330</w:t>
      </w:r>
      <w:r>
        <w:rPr>
          <w:rFonts w:ascii="Calibri" w:cs="Calibri" w:eastAsia="Calibri" w:hAnsi="Calibri"/>
          <w:color w:val="1A1A1A"/>
          <w:sz w:val="20"/>
          <w:szCs w:val="20"/>
        </w:rPr>
        <w:t xml:space="preserve">. Cause du mouvement : la création du </w:t>
      </w:r>
      <w:r>
        <w:rPr>
          <w:rFonts w:ascii="Calibri" w:cs="Calibri" w:eastAsia="Calibri" w:hAnsi="Calibri"/>
          <w:b/>
          <w:bCs/>
          <w:color w:val="1A1A1A"/>
          <w:sz w:val="20"/>
          <w:szCs w:val="20"/>
        </w:rPr>
        <w:t xml:space="preserve">référé-liberté</w:t>
      </w:r>
      <w:r>
        <w:rPr>
          <w:rFonts w:ascii="Calibri" w:cs="Calibri" w:eastAsia="Calibri" w:hAnsi="Calibri"/>
          <w:color w:val="1A1A1A"/>
          <w:sz w:val="20"/>
          <w:szCs w:val="20"/>
        </w:rPr>
        <w:t xml:space="preserve"> par la </w:t>
      </w:r>
      <w:r>
        <w:rPr>
          <w:rFonts w:ascii="Calibri" w:cs="Calibri" w:eastAsia="Calibri" w:hAnsi="Calibri"/>
          <w:color w:val="1E88E5"/>
          <w:sz w:val="20"/>
          <w:szCs w:val="20"/>
        </w:rPr>
        <w:t xml:space="preserve">loi du 30 juin 2000</w:t>
      </w:r>
      <w:r>
        <w:rPr>
          <w:rFonts w:ascii="Calibri" w:cs="Calibri" w:eastAsia="Calibri" w:hAnsi="Calibri"/>
          <w:color w:val="1A1A1A"/>
          <w:sz w:val="20"/>
          <w:szCs w:val="20"/>
        </w:rPr>
        <w:t xml:space="preserve">, qui a considérablement réduit l’utilité du recours au juge judiciaire.</w:t>
      </w:r>
    </w:p>
    <w:p>
      <w:pPr>
        <w:pStyle w:val="ListParagraph"/>
        <w:numPr>
          <w:ilvl w:val="0"/>
          <w:numId w:val="2"/>
        </w:numPr>
        <w:spacing w:after="70" w:line="264"/>
        <w:jc w:val="both"/>
      </w:pPr>
      <w:r>
        <w:rPr>
          <w:rFonts w:ascii="Calibri" w:cs="Calibri" w:eastAsia="Calibri" w:hAnsi="Calibri"/>
          <w:b/>
          <w:bCs/>
          <w:color w:val="1A1A1A"/>
          <w:sz w:val="20"/>
          <w:szCs w:val="20"/>
        </w:rPr>
        <w:t xml:space="preserve">Emprise irrégulière</w:t>
      </w:r>
      <w:r>
        <w:rPr>
          <w:rFonts w:ascii="Calibri" w:cs="Calibri" w:eastAsia="Calibri" w:hAnsi="Calibri"/>
          <w:color w:val="1A1A1A"/>
          <w:sz w:val="20"/>
          <w:szCs w:val="20"/>
        </w:rPr>
        <w:t xml:space="preserve"> : atteinte irrégulière à la propriété immobilière imputable à l’administration et entraînant une dépossession. Le juge judiciaire n’est désormais compétent que pour octroyer une indemnisation en cas d’</w:t>
      </w:r>
      <w:r>
        <w:rPr>
          <w:rFonts w:ascii="Calibri" w:cs="Calibri" w:eastAsia="Calibri" w:hAnsi="Calibri"/>
          <w:b/>
          <w:bCs/>
          <w:color w:val="1A1A1A"/>
          <w:sz w:val="20"/>
          <w:szCs w:val="20"/>
        </w:rPr>
        <w:t xml:space="preserve">extinction du droit de propriété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9 décembre 2013, M. et Mme Panizzon c. Commune de Saint-Palais, n° C3931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Expropriation</w:t>
      </w:r>
      <w:r>
        <w:rPr>
          <w:rFonts w:ascii="Calibri" w:cs="Calibri" w:eastAsia="Calibri" w:hAnsi="Calibri"/>
          <w:color w:val="1A1A1A"/>
          <w:sz w:val="20"/>
          <w:szCs w:val="20"/>
        </w:rPr>
        <w:t xml:space="preserve"> : le juge judiciaire de première instance opère le transfert de propriété par ordonnance et fixe le montant de l’indemnisation en l’absence d’accord amiable.</w:t>
      </w:r>
    </w:p>
    <w:p>
      <w:pPr>
        <w:pStyle w:val="Heading2"/>
        <w:spacing w:after="120" w:before="280"/>
      </w:pPr>
      <w:r>
        <w:rPr>
          <w:rFonts w:ascii="Calibri" w:cs="Calibri" w:eastAsia="Calibri" w:hAnsi="Calibri"/>
          <w:b/>
          <w:bCs/>
          <w:color w:val="1A1A1A"/>
          <w:sz w:val="24"/>
          <w:szCs w:val="24"/>
        </w:rPr>
        <w:t xml:space="preserve">2. Le juge des droits fondamentaux dans les litiges interindividuels</w:t>
      </w:r>
    </w:p>
    <w:p>
      <w:pPr>
        <w:pStyle w:val="ListParagraph"/>
        <w:numPr>
          <w:ilvl w:val="0"/>
          <w:numId w:val="2"/>
        </w:numPr>
        <w:spacing w:after="70" w:line="264"/>
        <w:jc w:val="both"/>
      </w:pPr>
      <w:r>
        <w:rPr>
          <w:rFonts w:ascii="Calibri" w:cs="Calibri" w:eastAsia="Calibri" w:hAnsi="Calibri"/>
          <w:b/>
          <w:bCs/>
          <w:color w:val="1A1A1A"/>
          <w:sz w:val="20"/>
          <w:szCs w:val="20"/>
        </w:rPr>
        <w:t xml:space="preserve">Mobilisation des normes internes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9 C. civ.</w:t>
      </w:r>
      <w:r>
        <w:rPr>
          <w:rFonts w:ascii="Calibri" w:cs="Calibri" w:eastAsia="Calibri" w:hAnsi="Calibri"/>
          <w:color w:val="1A1A1A"/>
          <w:sz w:val="20"/>
          <w:szCs w:val="20"/>
        </w:rPr>
        <w:t xml:space="preserve"> (vie privée) ; </w:t>
      </w:r>
      <w:r>
        <w:rPr>
          <w:rFonts w:ascii="Calibri" w:cs="Calibri" w:eastAsia="Calibri" w:hAnsi="Calibri"/>
          <w:color w:val="1E88E5"/>
          <w:sz w:val="20"/>
          <w:szCs w:val="20"/>
        </w:rPr>
        <w:t xml:space="preserve">art. 16 et s. C. civ.</w:t>
      </w:r>
      <w:r>
        <w:rPr>
          <w:rFonts w:ascii="Calibri" w:cs="Calibri" w:eastAsia="Calibri" w:hAnsi="Calibri"/>
          <w:color w:val="1A1A1A"/>
          <w:sz w:val="20"/>
          <w:szCs w:val="20"/>
        </w:rPr>
        <w:t xml:space="preserve"> (dignité, respect du corps humain). </w:t>
      </w:r>
      <w:r>
        <w:rPr>
          <w:rFonts w:ascii="Calibri" w:cs="Calibri" w:eastAsia="Calibri" w:hAnsi="Calibri"/>
          <w:color w:val="E91E63"/>
          <w:sz w:val="20"/>
          <w:szCs w:val="20"/>
        </w:rPr>
        <w:t xml:space="preserve">Cass. soc., 8 juillet 2009, Okaïdi, n° 09-60.011, 09-60.031 et 09-60.032</w:t>
      </w:r>
      <w:r>
        <w:rPr>
          <w:rFonts w:ascii="Calibri" w:cs="Calibri" w:eastAsia="Calibri" w:hAnsi="Calibri"/>
          <w:color w:val="1A1A1A"/>
          <w:sz w:val="20"/>
          <w:szCs w:val="20"/>
        </w:rPr>
        <w:t xml:space="preserve"> : l’adhésion d’un salarié à un syndicat relève de sa </w:t>
      </w:r>
      <w:r>
        <w:rPr>
          <w:rFonts w:ascii="Calibri" w:cs="Calibri" w:eastAsia="Calibri" w:hAnsi="Calibri"/>
          <w:b/>
          <w:bCs/>
          <w:color w:val="1A1A1A"/>
          <w:sz w:val="20"/>
          <w:szCs w:val="20"/>
        </w:rPr>
        <w:t xml:space="preserve">vie personnelle</w:t>
      </w:r>
      <w:r>
        <w:rPr>
          <w:rFonts w:ascii="Calibri" w:cs="Calibri" w:eastAsia="Calibri" w:hAnsi="Calibri"/>
          <w:color w:val="1A1A1A"/>
          <w:sz w:val="20"/>
          <w:szCs w:val="20"/>
        </w:rPr>
        <w:t xml:space="preserve"> et ne peut être révélée sans son accord — visas cumulés : </w:t>
      </w:r>
      <w:r>
        <w:rPr>
          <w:rFonts w:ascii="Calibri" w:cs="Calibri" w:eastAsia="Calibri" w:hAnsi="Calibri"/>
          <w:color w:val="1E88E5"/>
          <w:sz w:val="20"/>
          <w:szCs w:val="20"/>
        </w:rPr>
        <w:t xml:space="preserve">alinéa 6 du Préambule de 1946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11 CEDH</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art. 9 C. civ.</w:t>
      </w:r>
    </w:p>
    <w:p>
      <w:pPr>
        <w:pStyle w:val="ListParagraph"/>
        <w:numPr>
          <w:ilvl w:val="0"/>
          <w:numId w:val="2"/>
        </w:numPr>
        <w:spacing w:after="70" w:line="264"/>
        <w:jc w:val="both"/>
      </w:pPr>
      <w:r>
        <w:rPr>
          <w:rFonts w:ascii="Calibri" w:cs="Calibri" w:eastAsia="Calibri" w:hAnsi="Calibri"/>
          <w:b/>
          <w:bCs/>
          <w:color w:val="1A1A1A"/>
          <w:sz w:val="20"/>
          <w:szCs w:val="20"/>
        </w:rPr>
        <w:t xml:space="preserve">Ordre public contractuel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6, 1102 et 1162 C. civ.</w:t>
      </w:r>
      <w:r>
        <w:rPr>
          <w:rFonts w:ascii="Calibri" w:cs="Calibri" w:eastAsia="Calibri" w:hAnsi="Calibri"/>
          <w:color w:val="1A1A1A"/>
          <w:sz w:val="20"/>
          <w:szCs w:val="20"/>
        </w:rPr>
        <w:t xml:space="preserve"> ne mentionnent pas les droits humains, mais semblent désormais les sous-entendre ; les clauses causant des atteintes injustifiées peuvent être </w:t>
      </w:r>
      <w:r>
        <w:rPr>
          <w:rFonts w:ascii="Calibri" w:cs="Calibri" w:eastAsia="Calibri" w:hAnsi="Calibri"/>
          <w:b/>
          <w:bCs/>
          <w:color w:val="1A1A1A"/>
          <w:sz w:val="20"/>
          <w:szCs w:val="20"/>
        </w:rPr>
        <w:t xml:space="preserve">neutralisées</w:t>
      </w:r>
      <w:r>
        <w:rPr>
          <w:rFonts w:ascii="Calibri" w:cs="Calibri" w:eastAsia="Calibri" w:hAnsi="Calibri"/>
          <w:color w:val="1A1A1A"/>
          <w:sz w:val="20"/>
          <w:szCs w:val="20"/>
        </w:rPr>
        <w:t xml:space="preserve"> par le juge (</w:t>
      </w:r>
      <w:r>
        <w:rPr>
          <w:rFonts w:ascii="Calibri" w:cs="Calibri" w:eastAsia="Calibri" w:hAnsi="Calibri"/>
          <w:color w:val="E91E63"/>
          <w:sz w:val="20"/>
          <w:szCs w:val="20"/>
        </w:rPr>
        <w:t xml:space="preserve">Cass. civ. 3e, 22 mars 2006, n° 04-19.349</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Différence de régime</w:t>
      </w:r>
      <w:r>
        <w:rPr>
          <w:rFonts w:ascii="Calibri" w:cs="Calibri" w:eastAsia="Calibri" w:hAnsi="Calibri"/>
          <w:color w:val="1A1A1A"/>
          <w:sz w:val="20"/>
          <w:szCs w:val="20"/>
        </w:rPr>
        <w:t xml:space="preserve"> : l’atteinte à l’ordre public entraîne par principe la disparition de la convention contraire, alors que l’atteinte aux droits fondamentaux n’entraîne cette sanction qu’en cas d’atteinte </w:t>
      </w:r>
      <w:r>
        <w:rPr>
          <w:rFonts w:ascii="Calibri" w:cs="Calibri" w:eastAsia="Calibri" w:hAnsi="Calibri"/>
          <w:b/>
          <w:bCs/>
          <w:color w:val="1A1A1A"/>
          <w:sz w:val="20"/>
          <w:szCs w:val="20"/>
        </w:rPr>
        <w:t xml:space="preserve">injustifiée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Ordre public international</w:t>
      </w:r>
      <w:r>
        <w:rPr>
          <w:rFonts w:ascii="Calibri" w:cs="Calibri" w:eastAsia="Calibri" w:hAnsi="Calibri"/>
          <w:color w:val="1A1A1A"/>
          <w:sz w:val="20"/>
          <w:szCs w:val="20"/>
        </w:rPr>
        <w:t xml:space="preserve"> : notion plus restreinte que celle de l’</w:t>
      </w:r>
      <w:r>
        <w:rPr>
          <w:rFonts w:ascii="Calibri" w:cs="Calibri" w:eastAsia="Calibri" w:hAnsi="Calibri"/>
          <w:color w:val="1E88E5"/>
          <w:sz w:val="20"/>
          <w:szCs w:val="20"/>
        </w:rPr>
        <w:t xml:space="preserve">art. 6 C. civ.</w:t>
      </w:r>
      <w:r>
        <w:rPr>
          <w:rFonts w:ascii="Calibri" w:cs="Calibri" w:eastAsia="Calibri" w:hAnsi="Calibri"/>
          <w:color w:val="1A1A1A"/>
          <w:sz w:val="20"/>
          <w:szCs w:val="20"/>
        </w:rPr>
        <w:t xml:space="preserve">, mais comprenant les stipulations de la Convention européenne. Elle permet d’écarter la loi désignée par la règle de conflit et de refuser l’</w:t>
      </w:r>
      <w:r>
        <w:rPr>
          <w:rFonts w:ascii="Calibri" w:cs="Calibri" w:eastAsia="Calibri" w:hAnsi="Calibri"/>
          <w:i/>
          <w:iCs/>
          <w:color w:val="1A1A1A"/>
          <w:sz w:val="20"/>
          <w:szCs w:val="20"/>
        </w:rPr>
        <w:t xml:space="preserve">exequatur</w:t>
      </w:r>
      <w:r>
        <w:rPr>
          <w:rFonts w:ascii="Calibri" w:cs="Calibri" w:eastAsia="Calibri" w:hAnsi="Calibri"/>
          <w:color w:val="1A1A1A"/>
          <w:sz w:val="20"/>
          <w:szCs w:val="20"/>
        </w:rPr>
        <w:t xml:space="preserve"> à une décision étrangère portant gravement atteinte aux normes fondamentales du for. </w:t>
      </w:r>
      <w:r>
        <w:rPr>
          <w:rFonts w:ascii="Calibri" w:cs="Calibri" w:eastAsia="Calibri" w:hAnsi="Calibri"/>
          <w:color w:val="E91E63"/>
          <w:sz w:val="20"/>
          <w:szCs w:val="20"/>
        </w:rPr>
        <w:t xml:space="preserve">Cass. civ. 1re, 14 novembre 2024, n° 23-50.016</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15 janvier 2020, n° 18-24.261</w:t>
      </w:r>
      <w:r>
        <w:rPr>
          <w:rFonts w:ascii="Calibri" w:cs="Calibri" w:eastAsia="Calibri" w:hAnsi="Calibri"/>
          <w:color w:val="1A1A1A"/>
          <w:sz w:val="20"/>
          <w:szCs w:val="20"/>
        </w:rPr>
        <w:t xml:space="preserve"> (vérification d’office) ; </w:t>
      </w:r>
      <w:r>
        <w:rPr>
          <w:rFonts w:ascii="Calibri" w:cs="Calibri" w:eastAsia="Calibri" w:hAnsi="Calibri"/>
          <w:color w:val="E91E63"/>
          <w:sz w:val="20"/>
          <w:szCs w:val="20"/>
        </w:rPr>
        <w:t xml:space="preserve">Cass. civ. 1re, 2 octobre 2024, n° 22-20.883</w:t>
      </w:r>
      <w:r>
        <w:rPr>
          <w:rFonts w:ascii="Calibri" w:cs="Calibri" w:eastAsia="Calibri" w:hAnsi="Calibri"/>
          <w:color w:val="1A1A1A"/>
          <w:sz w:val="20"/>
          <w:szCs w:val="20"/>
        </w:rPr>
        <w:t xml:space="preserve"> (</w:t>
      </w:r>
      <w:r>
        <w:rPr>
          <w:rFonts w:ascii="Calibri" w:cs="Calibri" w:eastAsia="Calibri" w:hAnsi="Calibri"/>
          <w:i/>
          <w:iCs/>
          <w:color w:val="1A1A1A"/>
          <w:sz w:val="20"/>
          <w:szCs w:val="20"/>
        </w:rPr>
        <w:t xml:space="preserve">exequatur</w:t>
      </w:r>
      <w:r>
        <w:rPr>
          <w:rFonts w:ascii="Calibri" w:cs="Calibri" w:eastAsia="Calibri" w:hAnsi="Calibri"/>
          <w:color w:val="1A1A1A"/>
          <w:sz w:val="20"/>
          <w:szCs w:val="20"/>
        </w:rPr>
        <w:t xml:space="preserve"> d’un jugement étranger établissant la filiation d’un enfant né de GPA, au visa de la Convention européenne et du </w:t>
      </w:r>
      <w:r>
        <w:rPr>
          <w:rFonts w:ascii="Calibri" w:cs="Calibri" w:eastAsia="Calibri" w:hAnsi="Calibri"/>
          <w:color w:val="1E88E5"/>
          <w:sz w:val="20"/>
          <w:szCs w:val="20"/>
        </w:rPr>
        <w:t xml:space="preserve">§ 9 de la Convention de New York de 1989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de proportionnalité — source légale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1121-1 C. trav.</w:t>
      </w:r>
      <w:r>
        <w:rPr>
          <w:rFonts w:ascii="Calibri" w:cs="Calibri" w:eastAsia="Calibri" w:hAnsi="Calibri"/>
          <w:color w:val="1A1A1A"/>
          <w:sz w:val="20"/>
          <w:szCs w:val="20"/>
        </w:rPr>
        <w:t xml:space="preserve"> (anciennement L. 120-2) impose un rapport de proportionnalité dans les limites apportées aux droits des salariés et la poursuite d’un but légitime. Illustrations : </w:t>
      </w:r>
      <w:r>
        <w:rPr>
          <w:rFonts w:ascii="Calibri" w:cs="Calibri" w:eastAsia="Calibri" w:hAnsi="Calibri"/>
          <w:color w:val="E91E63"/>
          <w:sz w:val="20"/>
          <w:szCs w:val="20"/>
        </w:rPr>
        <w:t xml:space="preserve">Cass. soc., 25 septembre 2024, n° 23-13.992</w:t>
      </w:r>
      <w:r>
        <w:rPr>
          <w:rFonts w:ascii="Calibri" w:cs="Calibri" w:eastAsia="Calibri" w:hAnsi="Calibri"/>
          <w:color w:val="1A1A1A"/>
          <w:sz w:val="20"/>
          <w:szCs w:val="20"/>
        </w:rPr>
        <w:t xml:space="preserve"> (clé USB personnelle du salarié branchée sur l’ordinateur professionnel : atteinte à la vie privée mise en balance avec le droit à la preuve) ; </w:t>
      </w:r>
      <w:r>
        <w:rPr>
          <w:rFonts w:ascii="Calibri" w:cs="Calibri" w:eastAsia="Calibri" w:hAnsi="Calibri"/>
          <w:color w:val="E91E63"/>
          <w:sz w:val="20"/>
          <w:szCs w:val="20"/>
        </w:rPr>
        <w:t xml:space="preserve">Cass., ass. plén., 25 juin 2014, Baby-Loup, n° 13-28.369</w:t>
      </w:r>
      <w:r>
        <w:rPr>
          <w:rFonts w:ascii="Calibri" w:cs="Calibri" w:eastAsia="Calibri" w:hAnsi="Calibri"/>
          <w:color w:val="1A1A1A"/>
          <w:sz w:val="20"/>
          <w:szCs w:val="20"/>
        </w:rPr>
        <w:t xml:space="preserve"> (licenciement pour refus de retirer son voile : pas d’atteinte disproportionnée à la liberté religieuse).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de proportionnalité — source prétorienne</w:t>
      </w:r>
      <w:r>
        <w:rPr>
          <w:rFonts w:ascii="Calibri" w:cs="Calibri" w:eastAsia="Calibri" w:hAnsi="Calibri"/>
          <w:color w:val="1A1A1A"/>
          <w:sz w:val="20"/>
          <w:szCs w:val="20"/>
        </w:rPr>
        <w:t xml:space="preserve"> : depuis </w:t>
      </w:r>
      <w:r>
        <w:rPr>
          <w:rFonts w:ascii="Calibri" w:cs="Calibri" w:eastAsia="Calibri" w:hAnsi="Calibri"/>
          <w:color w:val="E91E63"/>
          <w:sz w:val="20"/>
          <w:szCs w:val="20"/>
        </w:rPr>
        <w:t xml:space="preserve">Cass. civ. 1re, 4 décembre 2013, n° 12-26.066</w:t>
      </w:r>
      <w:r>
        <w:rPr>
          <w:rFonts w:ascii="Calibri" w:cs="Calibri" w:eastAsia="Calibri" w:hAnsi="Calibri"/>
          <w:color w:val="1A1A1A"/>
          <w:sz w:val="20"/>
          <w:szCs w:val="20"/>
        </w:rPr>
        <w:t xml:space="preserve">, la Cour peut mener un contrôle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sans que la loi le lui impose</w:t>
      </w:r>
      <w:r>
        <w:rPr>
          <w:rFonts w:ascii="Calibri" w:cs="Calibri" w:eastAsia="Calibri" w:hAnsi="Calibri"/>
          <w:color w:val="1A1A1A"/>
          <w:sz w:val="20"/>
          <w:szCs w:val="20"/>
        </w:rPr>
        <w:t xml:space="preserve">. Extension progressive du droit de la famille (</w:t>
      </w:r>
      <w:r>
        <w:rPr>
          <w:rFonts w:ascii="Calibri" w:cs="Calibri" w:eastAsia="Calibri" w:hAnsi="Calibri"/>
          <w:color w:val="E91E63"/>
          <w:sz w:val="20"/>
          <w:szCs w:val="20"/>
        </w:rPr>
        <w:t xml:space="preserve">Cass. civ. 1re, 14 novembre 2024, n° 23-50.016</w:t>
      </w:r>
      <w:r>
        <w:rPr>
          <w:rFonts w:ascii="Calibri" w:cs="Calibri" w:eastAsia="Calibri" w:hAnsi="Calibri"/>
          <w:color w:val="1A1A1A"/>
          <w:sz w:val="20"/>
          <w:szCs w:val="20"/>
        </w:rPr>
        <w:t xml:space="preserve">) au droit du travail (</w:t>
      </w:r>
      <w:r>
        <w:rPr>
          <w:rFonts w:ascii="Calibri" w:cs="Calibri" w:eastAsia="Calibri" w:hAnsi="Calibri"/>
          <w:color w:val="E91E63"/>
          <w:sz w:val="20"/>
          <w:szCs w:val="20"/>
        </w:rPr>
        <w:t xml:space="preserve">Cass. soc., 11 mai 2022, n° 21-14.490</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Critique</w:t>
      </w:r>
      <w:r>
        <w:rPr>
          <w:rFonts w:ascii="Calibri" w:cs="Calibri" w:eastAsia="Calibri" w:hAnsi="Calibri"/>
          <w:color w:val="1A1A1A"/>
          <w:sz w:val="20"/>
          <w:szCs w:val="20"/>
        </w:rPr>
        <w:t xml:space="preserve"> : risque d’insécurité juridique, la mise à l’écart d’une disposition législative demeurant imprévisible car largement conditionnée par les faits de l’espèce.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 — le juge judiciaire, arbitre des droits fondamentaux concurrents</w:t>
      </w:r>
      <w:r>
        <w:rPr>
          <w:rFonts w:ascii="Calibri" w:cs="Calibri" w:eastAsia="Calibri" w:hAnsi="Calibri"/>
          <w:color w:val="1A1A1A"/>
          <w:sz w:val="20"/>
          <w:szCs w:val="20"/>
        </w:rPr>
        <w:t xml:space="preserve"> : il ne s’agit plus seulement de déterminer si un droit a été méconnu, mais de rechercher comment </w:t>
      </w:r>
      <w:r>
        <w:rPr>
          <w:rFonts w:ascii="Calibri" w:cs="Calibri" w:eastAsia="Calibri" w:hAnsi="Calibri"/>
          <w:b/>
          <w:bCs/>
          <w:color w:val="1A1A1A"/>
          <w:sz w:val="20"/>
          <w:szCs w:val="20"/>
        </w:rPr>
        <w:t xml:space="preserve">concilier</w:t>
      </w:r>
      <w:r>
        <w:rPr>
          <w:rFonts w:ascii="Calibri" w:cs="Calibri" w:eastAsia="Calibri" w:hAnsi="Calibri"/>
          <w:color w:val="1A1A1A"/>
          <w:sz w:val="20"/>
          <w:szCs w:val="20"/>
        </w:rPr>
        <w:t xml:space="preserve"> plusieurs droits en concurrence. </w:t>
      </w:r>
      <w:r>
        <w:rPr>
          <w:rFonts w:ascii="Calibri" w:cs="Calibri" w:eastAsia="Calibri" w:hAnsi="Calibri"/>
          <w:color w:val="E91E63"/>
          <w:sz w:val="20"/>
          <w:szCs w:val="20"/>
        </w:rPr>
        <w:t xml:space="preserve">Cass. 2e civ., 3 octobre 2024, n° 21-20.979</w:t>
      </w:r>
      <w:r>
        <w:rPr>
          <w:rFonts w:ascii="Calibri" w:cs="Calibri" w:eastAsia="Calibri" w:hAnsi="Calibri"/>
          <w:color w:val="1A1A1A"/>
          <w:sz w:val="20"/>
          <w:szCs w:val="20"/>
        </w:rPr>
        <w:t xml:space="preserve"> : un salarié invoquant une discrimination peut obtenir la communication de documents concernant d’autres salariés, même contenant des données à caractère personnel ; le juge doit rechercher si la communication est </w:t>
      </w:r>
      <w:r>
        <w:rPr>
          <w:rFonts w:ascii="Calibri" w:cs="Calibri" w:eastAsia="Calibri" w:hAnsi="Calibri"/>
          <w:b/>
          <w:bCs/>
          <w:color w:val="1A1A1A"/>
          <w:sz w:val="20"/>
          <w:szCs w:val="20"/>
        </w:rPr>
        <w:t xml:space="preserve">indispensable</w:t>
      </w:r>
      <w:r>
        <w:rPr>
          <w:rFonts w:ascii="Calibri" w:cs="Calibri" w:eastAsia="Calibri" w:hAnsi="Calibri"/>
          <w:color w:val="1A1A1A"/>
          <w:sz w:val="20"/>
          <w:szCs w:val="20"/>
        </w:rPr>
        <w:t xml:space="preserve"> à l’exercice du droit à la preuve et </w:t>
      </w:r>
      <w:r>
        <w:rPr>
          <w:rFonts w:ascii="Calibri" w:cs="Calibri" w:eastAsia="Calibri" w:hAnsi="Calibri"/>
          <w:b/>
          <w:bCs/>
          <w:color w:val="1A1A1A"/>
          <w:sz w:val="20"/>
          <w:szCs w:val="20"/>
        </w:rPr>
        <w:t xml:space="preserve">proportionnée</w:t>
      </w:r>
      <w:r>
        <w:rPr>
          <w:rFonts w:ascii="Calibri" w:cs="Calibri" w:eastAsia="Calibri" w:hAnsi="Calibri"/>
          <w:color w:val="1A1A1A"/>
          <w:sz w:val="20"/>
          <w:szCs w:val="20"/>
        </w:rPr>
        <w:t xml:space="preserve"> au but poursuivi, puis limiter les informations communiquées conformément au principe de </w:t>
      </w:r>
      <w:r>
        <w:rPr>
          <w:rFonts w:ascii="Calibri" w:cs="Calibri" w:eastAsia="Calibri" w:hAnsi="Calibri"/>
          <w:b/>
          <w:bCs/>
          <w:color w:val="1A1A1A"/>
          <w:sz w:val="20"/>
          <w:szCs w:val="20"/>
        </w:rPr>
        <w:t xml:space="preserve">minimisation</w:t>
      </w:r>
      <w:r>
        <w:rPr>
          <w:rFonts w:ascii="Calibri" w:cs="Calibri" w:eastAsia="Calibri" w:hAnsi="Calibri"/>
          <w:color w:val="1A1A1A"/>
          <w:sz w:val="20"/>
          <w:szCs w:val="20"/>
        </w:rPr>
        <w:t xml:space="preserve"> des données du RGPD. </w:t>
      </w:r>
      <w:r>
        <w:rPr>
          <w:rFonts w:ascii="Calibri" w:cs="Calibri" w:eastAsia="Calibri" w:hAnsi="Calibri"/>
          <w:color w:val="E91E63"/>
          <w:sz w:val="20"/>
          <w:szCs w:val="20"/>
        </w:rPr>
        <w:t xml:space="preserve">Cass. soc., 18 juin 2025, n° 23-23.471</w:t>
      </w:r>
      <w:r>
        <w:rPr>
          <w:rFonts w:ascii="Calibri" w:cs="Calibri" w:eastAsia="Calibri" w:hAnsi="Calibri"/>
          <w:color w:val="1A1A1A"/>
          <w:sz w:val="20"/>
          <w:szCs w:val="20"/>
        </w:rPr>
        <w:t xml:space="preserve"> : confirmation et précision — communication admise, mais le juge doit d’office </w:t>
      </w:r>
      <w:r>
        <w:rPr>
          <w:rFonts w:ascii="Calibri" w:cs="Calibri" w:eastAsia="Calibri" w:hAnsi="Calibri"/>
          <w:b/>
          <w:bCs/>
          <w:color w:val="1A1A1A"/>
          <w:sz w:val="20"/>
          <w:szCs w:val="20"/>
        </w:rPr>
        <w:t xml:space="preserve">cantonner</w:t>
      </w:r>
      <w:r>
        <w:rPr>
          <w:rFonts w:ascii="Calibri" w:cs="Calibri" w:eastAsia="Calibri" w:hAnsi="Calibri"/>
          <w:color w:val="1A1A1A"/>
          <w:sz w:val="20"/>
          <w:szCs w:val="20"/>
        </w:rPr>
        <w:t xml:space="preserve"> le périmètre des pièces et </w:t>
      </w:r>
      <w:r>
        <w:rPr>
          <w:rFonts w:ascii="Calibri" w:cs="Calibri" w:eastAsia="Calibri" w:hAnsi="Calibri"/>
          <w:b/>
          <w:bCs/>
          <w:color w:val="1A1A1A"/>
          <w:sz w:val="20"/>
          <w:szCs w:val="20"/>
        </w:rPr>
        <w:t xml:space="preserve">occulter</w:t>
      </w:r>
      <w:r>
        <w:rPr>
          <w:rFonts w:ascii="Calibri" w:cs="Calibri" w:eastAsia="Calibri" w:hAnsi="Calibri"/>
          <w:color w:val="1A1A1A"/>
          <w:sz w:val="20"/>
          <w:szCs w:val="20"/>
        </w:rPr>
        <w:t xml:space="preserve"> toutes les données personnelles non indispensables à la comparaison, les parties ne pouvant utiliser ces informations qu’aux seules fins de l’action en discrimination. </w:t>
      </w: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le juge ne choisit plus nécessairement entre le droit à la preuve et le droit au respect de la vie privée — il recherche les modalités préservant simultanément l’effectivité de chacun.</w:t>
      </w:r>
    </w:p>
    <w:p>
      <w:pPr>
        <w:pStyle w:val="Heading2"/>
        <w:spacing w:after="120" w:before="280"/>
      </w:pPr>
      <w:r>
        <w:rPr>
          <w:rFonts w:ascii="Calibri" w:cs="Calibri" w:eastAsia="Calibri" w:hAnsi="Calibri"/>
          <w:b/>
          <w:bCs/>
          <w:color w:val="1A1A1A"/>
          <w:sz w:val="24"/>
          <w:szCs w:val="24"/>
        </w:rPr>
        <w:t xml:space="preserve">3. L’internationalisation des fondements mobilisés</w:t>
      </w:r>
    </w:p>
    <w:p>
      <w:pPr>
        <w:pStyle w:val="ListParagraph"/>
        <w:numPr>
          <w:ilvl w:val="0"/>
          <w:numId w:val="2"/>
        </w:numPr>
        <w:spacing w:after="70" w:line="264"/>
        <w:jc w:val="both"/>
      </w:pPr>
      <w:r>
        <w:rPr>
          <w:rFonts w:ascii="Calibri" w:cs="Calibri" w:eastAsia="Calibri" w:hAnsi="Calibri"/>
          <w:color w:val="1E88E5"/>
          <w:sz w:val="20"/>
          <w:szCs w:val="20"/>
        </w:rPr>
        <w:t xml:space="preserve">Art. 55 C.</w:t>
      </w:r>
      <w:r>
        <w:rPr>
          <w:rFonts w:ascii="Calibri" w:cs="Calibri" w:eastAsia="Calibri" w:hAnsi="Calibri"/>
          <w:color w:val="1A1A1A"/>
          <w:sz w:val="20"/>
          <w:szCs w:val="20"/>
        </w:rPr>
        <w:t xml:space="preserve"> : autorité </w:t>
      </w:r>
      <w:r>
        <w:rPr>
          <w:rFonts w:ascii="Calibri" w:cs="Calibri" w:eastAsia="Calibri" w:hAnsi="Calibri"/>
          <w:b/>
          <w:bCs/>
          <w:color w:val="1A1A1A"/>
          <w:sz w:val="20"/>
          <w:szCs w:val="20"/>
        </w:rPr>
        <w:t xml:space="preserve">supra-législative mais infra-constitutionnelle</w:t>
      </w:r>
      <w:r>
        <w:rPr>
          <w:rFonts w:ascii="Calibri" w:cs="Calibri" w:eastAsia="Calibri" w:hAnsi="Calibri"/>
          <w:color w:val="1A1A1A"/>
          <w:sz w:val="20"/>
          <w:szCs w:val="20"/>
        </w:rPr>
        <w:t xml:space="preserve"> des traités. Point de bascule : le Conseil constitutionnel se déclare incompétent (</w:t>
      </w:r>
      <w:r>
        <w:rPr>
          <w:rFonts w:ascii="Calibri" w:cs="Calibri" w:eastAsia="Calibri" w:hAnsi="Calibri"/>
          <w:color w:val="E91E63"/>
          <w:sz w:val="20"/>
          <w:szCs w:val="20"/>
        </w:rPr>
        <w:t xml:space="preserve">74-54 DC</w:t>
      </w:r>
      <w:r>
        <w:rPr>
          <w:rFonts w:ascii="Calibri" w:cs="Calibri" w:eastAsia="Calibri" w:hAnsi="Calibri"/>
          <w:color w:val="1A1A1A"/>
          <w:sz w:val="20"/>
          <w:szCs w:val="20"/>
        </w:rPr>
        <w:t xml:space="preserve">), le juge judiciaire s’en saisit dès 1975 (</w:t>
      </w:r>
      <w:r>
        <w:rPr>
          <w:rFonts w:ascii="Calibri" w:cs="Calibri" w:eastAsia="Calibri" w:hAnsi="Calibri"/>
          <w:color w:val="E91E63"/>
          <w:sz w:val="20"/>
          <w:szCs w:val="20"/>
        </w:rPr>
        <w:t xml:space="preserve">Jacques Vabre</w:t>
      </w:r>
      <w:r>
        <w:rPr>
          <w:rFonts w:ascii="Calibri" w:cs="Calibri" w:eastAsia="Calibri" w:hAnsi="Calibri"/>
          <w:color w:val="1A1A1A"/>
          <w:sz w:val="20"/>
          <w:szCs w:val="20"/>
        </w:rPr>
        <w:t xml:space="preserve">), le Conseil constitutionnel réaffirme </w:t>
      </w:r>
      <w:r>
        <w:rPr>
          <w:rFonts w:ascii="Calibri" w:cs="Calibri" w:eastAsia="Calibri" w:hAnsi="Calibri"/>
          <w:i/>
          <w:iCs/>
          <w:color w:val="1A1A1A"/>
          <w:sz w:val="20"/>
          <w:szCs w:val="20"/>
        </w:rPr>
        <w:t xml:space="preserve">a contrario</w:t>
      </w:r>
      <w:r>
        <w:rPr>
          <w:rFonts w:ascii="Calibri" w:cs="Calibri" w:eastAsia="Calibri" w:hAnsi="Calibri"/>
          <w:color w:val="1A1A1A"/>
          <w:sz w:val="20"/>
          <w:szCs w:val="20"/>
        </w:rPr>
        <w:t xml:space="preserve"> la compétence du juge ordinaire (</w:t>
      </w:r>
      <w:r>
        <w:rPr>
          <w:rFonts w:ascii="Calibri" w:cs="Calibri" w:eastAsia="Calibri" w:hAnsi="Calibri"/>
          <w:color w:val="E91E63"/>
          <w:sz w:val="20"/>
          <w:szCs w:val="20"/>
        </w:rPr>
        <w:t xml:space="preserve">Cons. const., déc. n° 86-216 DC, 3 septembre 1986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Effet direct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vertical</w:t>
      </w:r>
      <w:r>
        <w:rPr>
          <w:rFonts w:ascii="Calibri" w:cs="Calibri" w:eastAsia="Calibri" w:hAnsi="Calibri"/>
          <w:color w:val="1A1A1A"/>
          <w:sz w:val="20"/>
          <w:szCs w:val="20"/>
        </w:rPr>
        <w:t xml:space="preserve"> (litiges contre l’État) et </w:t>
      </w:r>
      <w:r>
        <w:rPr>
          <w:rFonts w:ascii="Calibri" w:cs="Calibri" w:eastAsia="Calibri" w:hAnsi="Calibri"/>
          <w:b/>
          <w:bCs/>
          <w:color w:val="1A1A1A"/>
          <w:sz w:val="20"/>
          <w:szCs w:val="20"/>
        </w:rPr>
        <w:t xml:space="preserve">horizontal</w:t>
      </w:r>
      <w:r>
        <w:rPr>
          <w:rFonts w:ascii="Calibri" w:cs="Calibri" w:eastAsia="Calibri" w:hAnsi="Calibri"/>
          <w:color w:val="1A1A1A"/>
          <w:sz w:val="20"/>
          <w:szCs w:val="20"/>
        </w:rPr>
        <w:t xml:space="preserve"> ou plein effet direct (litiges interindividuels). Conditions : normes claires, prévoyant des droits inconditionnels et ne requérant pas de transposition. </w:t>
      </w:r>
      <w:r>
        <w:rPr>
          <w:rFonts w:ascii="Calibri" w:cs="Calibri" w:eastAsia="Calibri" w:hAnsi="Calibri"/>
          <w:color w:val="E91E63"/>
          <w:sz w:val="20"/>
          <w:szCs w:val="20"/>
        </w:rPr>
        <w:t xml:space="preserve">Respino</w:t>
      </w:r>
      <w:r>
        <w:rPr>
          <w:rFonts w:ascii="Calibri" w:cs="Calibri" w:eastAsia="Calibri" w:hAnsi="Calibri"/>
          <w:color w:val="1A1A1A"/>
          <w:sz w:val="20"/>
          <w:szCs w:val="20"/>
        </w:rPr>
        <w:t xml:space="preserve"> (1975) ; </w:t>
      </w:r>
      <w:r>
        <w:rPr>
          <w:rFonts w:ascii="Calibri" w:cs="Calibri" w:eastAsia="Calibri" w:hAnsi="Calibri"/>
          <w:color w:val="E91E63"/>
          <w:sz w:val="20"/>
          <w:szCs w:val="20"/>
        </w:rPr>
        <w:t xml:space="preserve">Mel Yedei</w:t>
      </w:r>
      <w:r>
        <w:rPr>
          <w:rFonts w:ascii="Calibri" w:cs="Calibri" w:eastAsia="Calibri" w:hAnsi="Calibri"/>
          <w:color w:val="1A1A1A"/>
          <w:sz w:val="20"/>
          <w:szCs w:val="20"/>
        </w:rPr>
        <w:t xml:space="preserve"> (1996) ; </w:t>
      </w:r>
      <w:r>
        <w:rPr>
          <w:rFonts w:ascii="Calibri" w:cs="Calibri" w:eastAsia="Calibri" w:hAnsi="Calibri"/>
          <w:color w:val="E91E63"/>
          <w:sz w:val="20"/>
          <w:szCs w:val="20"/>
        </w:rPr>
        <w:t xml:space="preserve">Cass. soc., 14 janvier 2014, n° 12-27.284</w:t>
      </w:r>
      <w:r>
        <w:rPr>
          <w:rFonts w:ascii="Calibri" w:cs="Calibri" w:eastAsia="Calibri" w:hAnsi="Calibri"/>
          <w:color w:val="1A1A1A"/>
          <w:sz w:val="20"/>
          <w:szCs w:val="20"/>
        </w:rPr>
        <w:t xml:space="preserve">. Le juge peut soulever d’office un moyen tiré de la Convention (</w:t>
      </w:r>
      <w:r>
        <w:rPr>
          <w:rFonts w:ascii="Calibri" w:cs="Calibri" w:eastAsia="Calibri" w:hAnsi="Calibri"/>
          <w:color w:val="E91E63"/>
          <w:sz w:val="20"/>
          <w:szCs w:val="20"/>
        </w:rPr>
        <w:t xml:space="preserve">Cass. civ. 1re, 9 juin 2017, n° 16-12.457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Normes dépourvues d’effet direct</w:t>
      </w:r>
      <w:r>
        <w:rPr>
          <w:rFonts w:ascii="Calibri" w:cs="Calibri" w:eastAsia="Calibri" w:hAnsi="Calibri"/>
          <w:color w:val="1A1A1A"/>
          <w:sz w:val="20"/>
          <w:szCs w:val="20"/>
        </w:rPr>
        <w:t xml:space="preserve"> : recommandations du Comité des ministres du Conseil de l’Europe (</w:t>
      </w:r>
      <w:r>
        <w:rPr>
          <w:rFonts w:ascii="Calibri" w:cs="Calibri" w:eastAsia="Calibri" w:hAnsi="Calibri"/>
          <w:color w:val="E91E63"/>
          <w:sz w:val="20"/>
          <w:szCs w:val="20"/>
        </w:rPr>
        <w:t xml:space="preserve">Cass. civ. 1re, 21 décembre 1987, n° 86-12.888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24 de la Charte sociale européenne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ass. plén., avis, 17 juillet 2019, n° 19-70.010</w:t>
      </w:r>
      <w:r>
        <w:rPr>
          <w:rFonts w:ascii="Calibri" w:cs="Calibri" w:eastAsia="Calibri" w:hAnsi="Calibri"/>
          <w:color w:val="1A1A1A"/>
          <w:sz w:val="20"/>
          <w:szCs w:val="20"/>
        </w:rPr>
        <w:t xml:space="preserve">). Elles peuvent néanmoins être prises en considération comme </w:t>
      </w:r>
      <w:r>
        <w:rPr>
          <w:rFonts w:ascii="Calibri" w:cs="Calibri" w:eastAsia="Calibri" w:hAnsi="Calibri"/>
          <w:b/>
          <w:bCs/>
          <w:color w:val="1A1A1A"/>
          <w:sz w:val="20"/>
          <w:szCs w:val="20"/>
        </w:rPr>
        <w:t xml:space="preserve">élément de fait</w:t>
      </w:r>
      <w:r>
        <w:rPr>
          <w:rFonts w:ascii="Calibri" w:cs="Calibri" w:eastAsia="Calibri" w:hAnsi="Calibri"/>
          <w:color w:val="1A1A1A"/>
          <w:sz w:val="20"/>
          <w:szCs w:val="20"/>
        </w:rPr>
        <w:t xml:space="preserve"> de nature à influencer la décision (</w:t>
      </w:r>
      <w:r>
        <w:rPr>
          <w:rFonts w:ascii="Calibri" w:cs="Calibri" w:eastAsia="Calibri" w:hAnsi="Calibri"/>
          <w:color w:val="E91E63"/>
          <w:sz w:val="20"/>
          <w:szCs w:val="20"/>
        </w:rPr>
        <w:t xml:space="preserve">Cass. civ. 1re, 26 avril 2006, n° 02-17.344</w:t>
      </w:r>
      <w:r>
        <w:rPr>
          <w:rFonts w:ascii="Calibri" w:cs="Calibri" w:eastAsia="Calibri" w:hAnsi="Calibri"/>
          <w:color w:val="1A1A1A"/>
          <w:sz w:val="20"/>
          <w:szCs w:val="20"/>
        </w:rPr>
        <w:t xml:space="preserve">). Un même traité peut comporter des stipulations d’effet direct et d’autres non (</w:t>
      </w:r>
      <w:r>
        <w:rPr>
          <w:rFonts w:ascii="Calibri" w:cs="Calibri" w:eastAsia="Calibri" w:hAnsi="Calibri"/>
          <w:color w:val="E91E63"/>
          <w:sz w:val="20"/>
          <w:szCs w:val="20"/>
        </w:rPr>
        <w:t xml:space="preserve">Cass. civ. 1re, 17 mars 2010, n° 08-14.619</w:t>
      </w:r>
      <w:r>
        <w:rPr>
          <w:rFonts w:ascii="Calibri" w:cs="Calibri" w:eastAsia="Calibri" w:hAnsi="Calibri"/>
          <w:color w:val="1A1A1A"/>
          <w:sz w:val="20"/>
          <w:szCs w:val="20"/>
        </w:rPr>
        <w:t xml:space="preserve">, Convention internationale des droits de l’enfant).</w:t>
      </w:r>
    </w:p>
    <w:p>
      <w:pPr>
        <w:pStyle w:val="ListParagraph"/>
        <w:numPr>
          <w:ilvl w:val="0"/>
          <w:numId w:val="2"/>
        </w:numPr>
        <w:spacing w:after="70" w:line="264"/>
        <w:jc w:val="both"/>
      </w:pPr>
      <w:r>
        <w:rPr>
          <w:rFonts w:ascii="Calibri" w:cs="Calibri" w:eastAsia="Calibri" w:hAnsi="Calibri"/>
          <w:b/>
          <w:bCs/>
          <w:color w:val="1A1A1A"/>
          <w:sz w:val="20"/>
          <w:szCs w:val="20"/>
        </w:rPr>
        <w:t xml:space="preserve">Autorité interprétative</w:t>
      </w:r>
      <w:r>
        <w:rPr>
          <w:rFonts w:ascii="Calibri" w:cs="Calibri" w:eastAsia="Calibri" w:hAnsi="Calibri"/>
          <w:color w:val="1A1A1A"/>
          <w:sz w:val="20"/>
          <w:szCs w:val="20"/>
        </w:rPr>
        <w:t xml:space="preserve"> : ★ </w:t>
      </w:r>
      <w:r>
        <w:rPr>
          <w:rFonts w:ascii="Calibri" w:cs="Calibri" w:eastAsia="Calibri" w:hAnsi="Calibri"/>
          <w:color w:val="E91E63"/>
          <w:sz w:val="20"/>
          <w:szCs w:val="20"/>
        </w:rPr>
        <w:t xml:space="preserve">Cass., ass. plén., 15 avril 2011</w:t>
      </w:r>
      <w:r>
        <w:rPr>
          <w:rFonts w:ascii="Calibri" w:cs="Calibri" w:eastAsia="Calibri" w:hAnsi="Calibri"/>
          <w:color w:val="1A1A1A"/>
          <w:sz w:val="20"/>
          <w:szCs w:val="20"/>
        </w:rPr>
        <w:t xml:space="preserve">. Antériorité à connaître : la Cour prenait déjà en considération des arrêts rendus contre d’autres États (</w:t>
      </w:r>
      <w:r>
        <w:rPr>
          <w:rFonts w:ascii="Calibri" w:cs="Calibri" w:eastAsia="Calibri" w:hAnsi="Calibri"/>
          <w:color w:val="E91E63"/>
          <w:sz w:val="20"/>
          <w:szCs w:val="20"/>
        </w:rPr>
        <w:t xml:space="preserve">Cass. civ. 1re, 10 janvier 1984, Renneman, n° 82-16.968</w:t>
      </w:r>
      <w:r>
        <w:rPr>
          <w:rFonts w:ascii="Calibri" w:cs="Calibri" w:eastAsia="Calibri" w:hAnsi="Calibri"/>
          <w:color w:val="1A1A1A"/>
          <w:sz w:val="20"/>
          <w:szCs w:val="20"/>
        </w:rPr>
        <w:t xml:space="preserve">, avec une référence à l’arrêt </w:t>
      </w:r>
      <w:r>
        <w:rPr>
          <w:rFonts w:ascii="Calibri" w:cs="Calibri" w:eastAsia="Calibri" w:hAnsi="Calibri"/>
          <w:i/>
          <w:iCs/>
          <w:color w:val="1A1A1A"/>
          <w:sz w:val="20"/>
          <w:szCs w:val="20"/>
        </w:rPr>
        <w:t xml:space="preserve">Le Compte, Van Leuven et De Meyere c. Belgique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Le rôle de filtre</w:t>
      </w:r>
    </w:p>
    <w:p>
      <w:pPr>
        <w:pStyle w:val="ListParagraph"/>
        <w:numPr>
          <w:ilvl w:val="0"/>
          <w:numId w:val="2"/>
        </w:numPr>
        <w:spacing w:after="70" w:line="264"/>
        <w:jc w:val="both"/>
      </w:pPr>
      <w:r>
        <w:rPr>
          <w:rFonts w:ascii="Calibri" w:cs="Calibri" w:eastAsia="Calibri" w:hAnsi="Calibri"/>
          <w:b/>
          <w:bCs/>
          <w:color w:val="1A1A1A"/>
          <w:sz w:val="20"/>
          <w:szCs w:val="20"/>
        </w:rPr>
        <w:t xml:space="preserve">Filtre QPC</w:t>
      </w:r>
      <w:r>
        <w:rPr>
          <w:rFonts w:ascii="Calibri" w:cs="Calibri" w:eastAsia="Calibri" w:hAnsi="Calibri"/>
          <w:color w:val="1A1A1A"/>
          <w:sz w:val="20"/>
          <w:szCs w:val="20"/>
        </w:rPr>
        <w:t xml:space="preserve"> : la Cour vérifie les trois critères cumulatifs. Sur la </w:t>
      </w:r>
      <w:r>
        <w:rPr>
          <w:rFonts w:ascii="Calibri" w:cs="Calibri" w:eastAsia="Calibri" w:hAnsi="Calibri"/>
          <w:b/>
          <w:bCs/>
          <w:color w:val="1A1A1A"/>
          <w:sz w:val="20"/>
          <w:szCs w:val="20"/>
        </w:rPr>
        <w:t xml:space="preserve">nouveauté</w:t>
      </w:r>
      <w:r>
        <w:rPr>
          <w:rFonts w:ascii="Calibri" w:cs="Calibri" w:eastAsia="Calibri" w:hAnsi="Calibri"/>
          <w:color w:val="1A1A1A"/>
          <w:sz w:val="20"/>
          <w:szCs w:val="20"/>
        </w:rPr>
        <w:t xml:space="preserve">, elle peut prendre en compte un arrêt de la Cour européenne pour estimer qu’un changement de circonstances est caractérisé (</w:t>
      </w:r>
      <w:r>
        <w:rPr>
          <w:rFonts w:ascii="Calibri" w:cs="Calibri" w:eastAsia="Calibri" w:hAnsi="Calibri"/>
          <w:color w:val="E91E63"/>
          <w:sz w:val="20"/>
          <w:szCs w:val="20"/>
        </w:rPr>
        <w:t xml:space="preserve">Cass. crim., 20 août 2014, n° 14-80.394</w:t>
      </w:r>
      <w:r>
        <w:rPr>
          <w:rFonts w:ascii="Calibri" w:cs="Calibri" w:eastAsia="Calibri" w:hAnsi="Calibri"/>
          <w:color w:val="1A1A1A"/>
          <w:sz w:val="20"/>
          <w:szCs w:val="20"/>
        </w:rPr>
        <w:t xml:space="preserve">). Sur le </w:t>
      </w:r>
      <w:r>
        <w:rPr>
          <w:rFonts w:ascii="Calibri" w:cs="Calibri" w:eastAsia="Calibri" w:hAnsi="Calibri"/>
          <w:b/>
          <w:bCs/>
          <w:color w:val="1A1A1A"/>
          <w:sz w:val="20"/>
          <w:szCs w:val="20"/>
        </w:rPr>
        <w:t xml:space="preserve">sérieux</w:t>
      </w:r>
      <w:r>
        <w:rPr>
          <w:rFonts w:ascii="Calibri" w:cs="Calibri" w:eastAsia="Calibri" w:hAnsi="Calibri"/>
          <w:color w:val="1A1A1A"/>
          <w:sz w:val="20"/>
          <w:szCs w:val="20"/>
        </w:rPr>
        <w:t xml:space="preserve">, elle dispose d’une véritable marge d’appréciation : elle interprète la Constitution pour déterminer l’intérêt de la question et la vraisemblance de l’atteinte, et motive sa décision sur la constitutionnalité de la loi (</w:t>
      </w:r>
      <w:r>
        <w:rPr>
          <w:rFonts w:ascii="Calibri" w:cs="Calibri" w:eastAsia="Calibri" w:hAnsi="Calibri"/>
          <w:color w:val="E91E63"/>
          <w:sz w:val="20"/>
          <w:szCs w:val="20"/>
        </w:rPr>
        <w:t xml:space="preserve">Cass. crim., 27 mars 2018, n° 17-84.509</w:t>
      </w:r>
      <w:r>
        <w:rPr>
          <w:rFonts w:ascii="Calibri" w:cs="Calibri" w:eastAsia="Calibri" w:hAnsi="Calibri"/>
          <w:color w:val="1A1A1A"/>
          <w:sz w:val="20"/>
          <w:szCs w:val="20"/>
        </w:rPr>
        <w:t xml:space="preserve">). Elle met parfois en avant sa propre interprétation de la loi pour justifier l’absence d’atteinte (</w:t>
      </w:r>
      <w:r>
        <w:rPr>
          <w:rFonts w:ascii="Calibri" w:cs="Calibri" w:eastAsia="Calibri" w:hAnsi="Calibri"/>
          <w:color w:val="E91E63"/>
          <w:sz w:val="20"/>
          <w:szCs w:val="20"/>
        </w:rPr>
        <w:t xml:space="preserve">Cass. civ. 2e, 27 avril 2017, n° 17-40.027</w:t>
      </w:r>
      <w:r>
        <w:rPr>
          <w:rFonts w:ascii="Calibri" w:cs="Calibri" w:eastAsia="Calibri" w:hAnsi="Calibri"/>
          <w:color w:val="1A1A1A"/>
          <w:sz w:val="20"/>
          <w:szCs w:val="20"/>
        </w:rPr>
        <w:t xml:space="preserve">), voire </w:t>
      </w:r>
      <w:r>
        <w:rPr>
          <w:rFonts w:ascii="Calibri" w:cs="Calibri" w:eastAsia="Calibri" w:hAnsi="Calibri"/>
          <w:b/>
          <w:bCs/>
          <w:color w:val="1A1A1A"/>
          <w:sz w:val="20"/>
          <w:szCs w:val="20"/>
        </w:rPr>
        <w:t xml:space="preserve">modifie sa jurisprudence</w:t>
      </w:r>
      <w:r>
        <w:rPr>
          <w:rFonts w:ascii="Calibri" w:cs="Calibri" w:eastAsia="Calibri" w:hAnsi="Calibri"/>
          <w:color w:val="1A1A1A"/>
          <w:sz w:val="20"/>
          <w:szCs w:val="20"/>
        </w:rPr>
        <w:t xml:space="preserve"> pour se conformer aux droits garantis (</w:t>
      </w:r>
      <w:r>
        <w:rPr>
          <w:rFonts w:ascii="Calibri" w:cs="Calibri" w:eastAsia="Calibri" w:hAnsi="Calibri"/>
          <w:color w:val="E91E63"/>
          <w:sz w:val="20"/>
          <w:szCs w:val="20"/>
        </w:rPr>
        <w:t xml:space="preserve">Cass. civ. 3e, 13 février 2014, n° 13-22.383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2E7D32"/>
          <w:sz w:val="20"/>
          <w:szCs w:val="20"/>
        </w:rPr>
        <w:t xml:space="preserve">J. Bonnet et A. Roblot-Troizier, « Les juges ordinaires, juges constitutionnels de droit commun ? », in La QPC, vers une reconfiguration de l’architecture juridictionnelle, PUAM, 2020, p. 15</w:t>
      </w:r>
      <w:r>
        <w:rPr>
          <w:rFonts w:ascii="Calibri" w:cs="Calibri" w:eastAsia="Calibri" w:hAnsi="Calibri"/>
          <w:color w:val="1A1A1A"/>
          <w:sz w:val="20"/>
          <w:szCs w:val="20"/>
        </w:rPr>
        <w:t xml:space="preserve">. Donnée à citer : sur la période </w:t>
      </w:r>
      <w:r>
        <w:rPr>
          <w:rFonts w:ascii="Calibri" w:cs="Calibri" w:eastAsia="Calibri" w:hAnsi="Calibri"/>
          <w:b/>
          <w:bCs/>
          <w:color w:val="1A1A1A"/>
          <w:sz w:val="20"/>
          <w:szCs w:val="20"/>
        </w:rPr>
        <w:t xml:space="preserve">2019-2023, la Cour de cassation a transmis en moyenne 16,3 % des questions</w:t>
      </w:r>
      <w:r>
        <w:rPr>
          <w:rFonts w:ascii="Calibri" w:cs="Calibri" w:eastAsia="Calibri" w:hAnsi="Calibri"/>
          <w:color w:val="1A1A1A"/>
          <w:sz w:val="20"/>
          <w:szCs w:val="20"/>
        </w:rPr>
        <w:t xml:space="preserve"> (rapport annuel 2023).</w:t>
      </w:r>
    </w:p>
    <w:p>
      <w:pPr>
        <w:pStyle w:val="ListParagraph"/>
        <w:numPr>
          <w:ilvl w:val="0"/>
          <w:numId w:val="2"/>
        </w:numPr>
        <w:spacing w:after="70" w:line="264"/>
        <w:jc w:val="both"/>
      </w:pPr>
      <w:r>
        <w:rPr>
          <w:rFonts w:ascii="Calibri" w:cs="Calibri" w:eastAsia="Calibri" w:hAnsi="Calibri"/>
          <w:b/>
          <w:bCs/>
          <w:color w:val="1A1A1A"/>
          <w:sz w:val="20"/>
          <w:szCs w:val="20"/>
        </w:rPr>
        <w:t xml:space="preserve">Filtre « Protocole n° 16 »</w:t>
      </w:r>
      <w:r>
        <w:rPr>
          <w:rFonts w:ascii="Calibri" w:cs="Calibri" w:eastAsia="Calibri" w:hAnsi="Calibri"/>
          <w:color w:val="1A1A1A"/>
          <w:sz w:val="20"/>
          <w:szCs w:val="20"/>
        </w:rPr>
        <w:t xml:space="preserve"> : entré en vigueur le 1er août 2018 après ratification par la France. La France, par la Cour de cassation, a été le </w:t>
      </w:r>
      <w:r>
        <w:rPr>
          <w:rFonts w:ascii="Calibri" w:cs="Calibri" w:eastAsia="Calibri" w:hAnsi="Calibri"/>
          <w:b/>
          <w:bCs/>
          <w:color w:val="1A1A1A"/>
          <w:sz w:val="20"/>
          <w:szCs w:val="20"/>
        </w:rPr>
        <w:t xml:space="preserve">premier État</w:t>
      </w:r>
      <w:r>
        <w:rPr>
          <w:rFonts w:ascii="Calibri" w:cs="Calibri" w:eastAsia="Calibri" w:hAnsi="Calibri"/>
          <w:color w:val="1A1A1A"/>
          <w:sz w:val="20"/>
          <w:szCs w:val="20"/>
        </w:rPr>
        <w:t xml:space="preserve"> du Conseil de l’Europe à y recourir, le 5 octobre 2018, sur la transcription d’actes de naissance en cas de GPA (</w:t>
      </w:r>
      <w:r>
        <w:rPr>
          <w:rFonts w:ascii="Calibri" w:cs="Calibri" w:eastAsia="Calibri" w:hAnsi="Calibri"/>
          <w:color w:val="E91E63"/>
          <w:sz w:val="20"/>
          <w:szCs w:val="20"/>
        </w:rPr>
        <w:t xml:space="preserve">Cass., ass. plén., 5 octobre 2018, n° 10-19.053</w:t>
      </w:r>
      <w:r>
        <w:rPr>
          <w:rFonts w:ascii="Calibri" w:cs="Calibri" w:eastAsia="Calibri" w:hAnsi="Calibri"/>
          <w:color w:val="1A1A1A"/>
          <w:sz w:val="20"/>
          <w:szCs w:val="20"/>
        </w:rPr>
        <w:t xml:space="preserve">). La Cour n’est </w:t>
      </w:r>
      <w:r>
        <w:rPr>
          <w:rFonts w:ascii="Calibri" w:cs="Calibri" w:eastAsia="Calibri" w:hAnsi="Calibri"/>
          <w:b/>
          <w:bCs/>
          <w:color w:val="1A1A1A"/>
          <w:sz w:val="20"/>
          <w:szCs w:val="20"/>
        </w:rPr>
        <w:t xml:space="preserve">pas liée</w:t>
      </w:r>
      <w:r>
        <w:rPr>
          <w:rFonts w:ascii="Calibri" w:cs="Calibri" w:eastAsia="Calibri" w:hAnsi="Calibri"/>
          <w:color w:val="1A1A1A"/>
          <w:sz w:val="20"/>
          <w:szCs w:val="20"/>
        </w:rPr>
        <w:t xml:space="preserve"> par les demandes d’avis formulées par les parties et peut leur préférer un contrôle de proportionnalité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civ. 1re, 27 janvier 2021, n° 19-15.921</w:t>
      </w:r>
      <w:r>
        <w:rPr>
          <w:rFonts w:ascii="Calibri" w:cs="Calibri" w:eastAsia="Calibri" w:hAnsi="Calibri"/>
          <w:color w:val="1A1A1A"/>
          <w:sz w:val="20"/>
          <w:szCs w:val="20"/>
        </w:rPr>
        <w:t xml:space="preserve">). Les avis ne sont pas contraignants mais peuvent être mobilisés dans les visas ou les motifs pour renforcer l’autorité de la décision (</w:t>
      </w:r>
      <w:r>
        <w:rPr>
          <w:rFonts w:ascii="Calibri" w:cs="Calibri" w:eastAsia="Calibri" w:hAnsi="Calibri"/>
          <w:color w:val="E91E63"/>
          <w:sz w:val="20"/>
          <w:szCs w:val="20"/>
        </w:rPr>
        <w:t xml:space="preserve">Cass., ass. plén., 4 octobre 2019, n° 10-19.053 et 12-30.138</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14 novembre 2024, n° 23-50.016</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Le parquet est-il une autorité judiciaire ? »</w:t>
      </w:r>
      <w:r>
        <w:rPr>
          <w:rFonts w:ascii="Calibri" w:cs="Calibri" w:eastAsia="Calibri" w:hAnsi="Calibri"/>
          <w:color w:val="1A1A1A"/>
          <w:sz w:val="20"/>
          <w:szCs w:val="20"/>
        </w:rPr>
        <w:t xml:space="preserve"> — Oui pour le Conseil constitutionnel (</w:t>
      </w:r>
      <w:r>
        <w:rPr>
          <w:rFonts w:ascii="Calibri" w:cs="Calibri" w:eastAsia="Calibri" w:hAnsi="Calibri"/>
          <w:color w:val="E91E63"/>
          <w:sz w:val="20"/>
          <w:szCs w:val="20"/>
        </w:rPr>
        <w:t xml:space="preserve">2019-778 DC</w:t>
      </w:r>
      <w:r>
        <w:rPr>
          <w:rFonts w:ascii="Calibri" w:cs="Calibri" w:eastAsia="Calibri" w:hAnsi="Calibri"/>
          <w:color w:val="1A1A1A"/>
          <w:sz w:val="20"/>
          <w:szCs w:val="20"/>
        </w:rPr>
        <w:t xml:space="preserve">), non pour la Cour européenne au sens de l’</w:t>
      </w:r>
      <w:r>
        <w:rPr>
          <w:rFonts w:ascii="Calibri" w:cs="Calibri" w:eastAsia="Calibri" w:hAnsi="Calibri"/>
          <w:color w:val="1E88E5"/>
          <w:sz w:val="20"/>
          <w:szCs w:val="20"/>
        </w:rPr>
        <w:t xml:space="preserve">art. 5 § 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Medvedyev</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Moulin</w:t>
      </w:r>
      <w:r>
        <w:rPr>
          <w:rFonts w:ascii="Calibri" w:cs="Calibri" w:eastAsia="Calibri" w:hAnsi="Calibri"/>
          <w:color w:val="1A1A1A"/>
          <w:sz w:val="20"/>
          <w:szCs w:val="20"/>
        </w:rPr>
        <w:t xml:space="preserve">). Formuler la divergence comme telle : c’est l’un des points de friction les plus nets entre l’ordre constitutionnel interne et l’ordre conventionnel.</w:t>
      </w:r>
    </w:p>
    <w:p>
      <w:pPr>
        <w:pStyle w:val="ListParagraph"/>
        <w:numPr>
          <w:ilvl w:val="0"/>
          <w:numId w:val="2"/>
        </w:numPr>
        <w:spacing w:after="70" w:line="264"/>
        <w:jc w:val="both"/>
      </w:pPr>
      <w:r>
        <w:rPr>
          <w:rFonts w:ascii="Calibri" w:cs="Calibri" w:eastAsia="Calibri" w:hAnsi="Calibri"/>
          <w:b/>
          <w:bCs/>
          <w:color w:val="1A1A1A"/>
          <w:sz w:val="20"/>
          <w:szCs w:val="20"/>
        </w:rPr>
        <w:t xml:space="preserve">« Quelle est la différence entre contrôle abstrait et contrôle concret de conventionnalité ? »</w:t>
      </w:r>
      <w:r>
        <w:rPr>
          <w:rFonts w:ascii="Calibri" w:cs="Calibri" w:eastAsia="Calibri" w:hAnsi="Calibri"/>
          <w:color w:val="1A1A1A"/>
          <w:sz w:val="20"/>
          <w:szCs w:val="20"/>
        </w:rPr>
        <w:t xml:space="preserve"> — L’abstrait compare la norme interne à la norme internationale et conclut à l’inapplicabilité générale, entraînant en pratique l’abrogation. Le concret écarte l’application de la loi </w:t>
      </w:r>
      <w:r>
        <w:rPr>
          <w:rFonts w:ascii="Calibri" w:cs="Calibri" w:eastAsia="Calibri" w:hAnsi="Calibri"/>
          <w:b/>
          <w:bCs/>
          <w:color w:val="1A1A1A"/>
          <w:sz w:val="20"/>
          <w:szCs w:val="20"/>
        </w:rPr>
        <w:t xml:space="preserve">pour le seul litige</w:t>
      </w:r>
      <w:r>
        <w:rPr>
          <w:rFonts w:ascii="Calibri" w:cs="Calibri" w:eastAsia="Calibri" w:hAnsi="Calibri"/>
          <w:color w:val="1A1A1A"/>
          <w:sz w:val="20"/>
          <w:szCs w:val="20"/>
        </w:rPr>
        <w:t xml:space="preserve">, la loi demeurant conforme et applicable ailleurs. Ajouter la critique de l’insécurité juridique.</w:t>
      </w:r>
    </w:p>
    <w:p>
      <w:pPr>
        <w:pStyle w:val="ListParagraph"/>
        <w:numPr>
          <w:ilvl w:val="0"/>
          <w:numId w:val="2"/>
        </w:numPr>
        <w:spacing w:after="70" w:line="264"/>
        <w:jc w:val="both"/>
      </w:pPr>
      <w:r>
        <w:rPr>
          <w:rFonts w:ascii="Calibri" w:cs="Calibri" w:eastAsia="Calibri" w:hAnsi="Calibri"/>
          <w:b/>
          <w:bCs/>
          <w:color w:val="1A1A1A"/>
          <w:sz w:val="20"/>
          <w:szCs w:val="20"/>
        </w:rPr>
        <w:t xml:space="preserve">« Que reste-t-il de la voie de fait ? »</w:t>
      </w:r>
      <w:r>
        <w:rPr>
          <w:rFonts w:ascii="Calibri" w:cs="Calibri" w:eastAsia="Calibri" w:hAnsi="Calibri"/>
          <w:color w:val="1A1A1A"/>
          <w:sz w:val="20"/>
          <w:szCs w:val="20"/>
        </w:rPr>
        <w:t xml:space="preserve"> — Un domaine résiduel :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ou </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w:t>
      </w:r>
      <w:r>
        <w:rPr>
          <w:rFonts w:ascii="Calibri" w:cs="Calibri" w:eastAsia="Calibri" w:hAnsi="Calibri"/>
          <w:color w:val="E91E63"/>
          <w:sz w:val="20"/>
          <w:szCs w:val="20"/>
        </w:rPr>
        <w:t xml:space="preserve">Bergoend</w:t>
      </w:r>
      <w:r>
        <w:rPr>
          <w:rFonts w:ascii="Calibri" w:cs="Calibri" w:eastAsia="Calibri" w:hAnsi="Calibri"/>
          <w:color w:val="1A1A1A"/>
          <w:sz w:val="20"/>
          <w:szCs w:val="20"/>
        </w:rPr>
        <w:t xml:space="preserve">). Expliquer la cause : la création du référé-liberté en 2000 a offert au juge administratif un outil rapide qui rendait la dérogation moins nécessaire.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Soutenez que les contrôles de conventionnalité sont nécessaires afin d’assurer le respect des droits humains » (sujet d’argumentation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L’autorité judiciaire, gardienne de la liberté individuelle » ; « Le contrôle de proportionnalité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Le juge judiciaire et la Convention européenne des droits de l’homme » ; « Le filtrage des questions prioritaires de constitutionnalité ».</w:t>
      </w:r>
    </w:p>
    <w:p>
      <w:pPr>
        <w:pStyle w:val="ListParagraph"/>
        <w:numPr>
          <w:ilvl w:val="0"/>
          <w:numId w:val="2"/>
        </w:numPr>
        <w:spacing w:after="70" w:line="264"/>
        <w:jc w:val="both"/>
      </w:pPr>
      <w:r>
        <w:rPr>
          <w:rFonts w:ascii="Calibri" w:cs="Calibri" w:eastAsia="Calibri" w:hAnsi="Calibri"/>
          <w:color w:val="1A1A1A"/>
          <w:sz w:val="20"/>
          <w:szCs w:val="20"/>
        </w:rPr>
        <w:t xml:space="preserve">« Droit à la preuve et protection des données personnelles » ; « L’ordre public international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est aujourd’hui la définition de la liberté individuelle au sens de l’</w:t>
      </w:r>
      <w:r>
        <w:rPr>
          <w:rFonts w:ascii="Calibri" w:cs="Calibri" w:eastAsia="Calibri" w:hAnsi="Calibri"/>
          <w:b/>
          <w:bCs/>
          <w:color w:val="1E88E5"/>
          <w:sz w:val="20"/>
          <w:szCs w:val="20"/>
        </w:rPr>
        <w:t xml:space="preserve">art. 66 C.</w:t>
      </w:r>
      <w:r>
        <w:rPr>
          <w:rFonts w:ascii="Calibri" w:cs="Calibri" w:eastAsia="Calibri" w:hAnsi="Calibri"/>
          <w:b/>
          <w:bCs/>
          <w:color w:val="1A1A1A"/>
          <w:sz w:val="20"/>
          <w:szCs w:val="20"/>
        </w:rPr>
        <w:t xml:space="preserve">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droit à la sûreté</w:t>
      </w:r>
      <w:r>
        <w:rPr>
          <w:rFonts w:ascii="Calibri" w:cs="Calibri" w:eastAsia="Calibri" w:hAnsi="Calibri"/>
          <w:color w:val="1A1A1A"/>
          <w:sz w:val="20"/>
          <w:szCs w:val="20"/>
        </w:rPr>
        <w:t xml:space="preserve">, depuis </w:t>
      </w:r>
      <w:r>
        <w:rPr>
          <w:rFonts w:ascii="Calibri" w:cs="Calibri" w:eastAsia="Calibri" w:hAnsi="Calibri"/>
          <w:color w:val="E91E63"/>
          <w:sz w:val="20"/>
          <w:szCs w:val="20"/>
        </w:rPr>
        <w:t xml:space="preserve">2005-532 DC</w:t>
      </w:r>
      <w:r>
        <w:rPr>
          <w:rFonts w:ascii="Calibri" w:cs="Calibri" w:eastAsia="Calibri" w:hAnsi="Calibri"/>
          <w:color w:val="1A1A1A"/>
          <w:sz w:val="20"/>
          <w:szCs w:val="20"/>
        </w:rPr>
        <w:t xml:space="preserve">. Ne pas y rattacher la vie privée ni l’inviolabilité du domicile : ces rattachements datent de 1977 et 1983 et ont été abandonnés.</w:t>
      </w:r>
    </w:p>
    <w:p>
      <w:pPr>
        <w:pStyle w:val="ListParagraph"/>
        <w:numPr>
          <w:ilvl w:val="0"/>
          <w:numId w:val="2"/>
        </w:numPr>
        <w:spacing w:after="70" w:line="264"/>
        <w:jc w:val="both"/>
      </w:pPr>
      <w:r>
        <w:rPr>
          <w:rFonts w:ascii="Calibri" w:cs="Calibri" w:eastAsia="Calibri" w:hAnsi="Calibri"/>
          <w:b/>
          <w:bCs/>
          <w:color w:val="1A1A1A"/>
          <w:sz w:val="20"/>
          <w:szCs w:val="20"/>
        </w:rPr>
        <w:t xml:space="preserve">Q. Les critères actuels de la voie de fait ?</w:t>
      </w:r>
      <w:r>
        <w:rPr>
          <w:rFonts w:ascii="Calibri" w:cs="Calibri" w:eastAsia="Calibri" w:hAnsi="Calibri"/>
          <w:color w:val="1A1A1A"/>
          <w:sz w:val="20"/>
          <w:szCs w:val="20"/>
        </w:rPr>
        <w:t xml:space="preserve"> —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ou </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w:t>
      </w:r>
      <w:r>
        <w:rPr>
          <w:rFonts w:ascii="Calibri" w:cs="Calibri" w:eastAsia="Calibri" w:hAnsi="Calibri"/>
          <w:color w:val="E91E63"/>
          <w:sz w:val="20"/>
          <w:szCs w:val="20"/>
        </w:rPr>
        <w:t xml:space="preserve">Bergoend</w:t>
      </w:r>
      <w:r>
        <w:rPr>
          <w:rFonts w:ascii="Calibri" w:cs="Calibri" w:eastAsia="Calibri" w:hAnsi="Calibri"/>
          <w:color w:val="1A1A1A"/>
          <w:sz w:val="20"/>
          <w:szCs w:val="20"/>
        </w:rPr>
        <w:t xml:space="preserve">, 2013). Les critères de 1935 sont périmés.</w:t>
      </w:r>
    </w:p>
    <w:p>
      <w:pPr>
        <w:pStyle w:val="ListParagraph"/>
        <w:numPr>
          <w:ilvl w:val="0"/>
          <w:numId w:val="2"/>
        </w:numPr>
        <w:spacing w:after="70" w:line="264"/>
        <w:jc w:val="both"/>
      </w:pPr>
      <w:r>
        <w:rPr>
          <w:rFonts w:ascii="Calibri" w:cs="Calibri" w:eastAsia="Calibri" w:hAnsi="Calibri"/>
          <w:b/>
          <w:bCs/>
          <w:color w:val="1A1A1A"/>
          <w:sz w:val="20"/>
          <w:szCs w:val="20"/>
        </w:rPr>
        <w:t xml:space="preserve">Q. Qui est compétent pour l’indemnisation d’une emprise irrégulière ?</w:t>
      </w:r>
      <w:r>
        <w:rPr>
          <w:rFonts w:ascii="Calibri" w:cs="Calibri" w:eastAsia="Calibri" w:hAnsi="Calibri"/>
          <w:color w:val="1A1A1A"/>
          <w:sz w:val="20"/>
          <w:szCs w:val="20"/>
        </w:rPr>
        <w:t xml:space="preserve"> — Le juge </w:t>
      </w:r>
      <w:r>
        <w:rPr>
          <w:rFonts w:ascii="Calibri" w:cs="Calibri" w:eastAsia="Calibri" w:hAnsi="Calibri"/>
          <w:b/>
          <w:bCs/>
          <w:color w:val="1A1A1A"/>
          <w:sz w:val="20"/>
          <w:szCs w:val="20"/>
        </w:rPr>
        <w:t xml:space="preserve">administratif</w:t>
      </w:r>
      <w:r>
        <w:rPr>
          <w:rFonts w:ascii="Calibri" w:cs="Calibri" w:eastAsia="Calibri" w:hAnsi="Calibri"/>
          <w:color w:val="1A1A1A"/>
          <w:sz w:val="20"/>
          <w:szCs w:val="20"/>
        </w:rPr>
        <w:t xml:space="preserve"> en principe ; le juge judiciaire seulement en cas d’</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w:t>
      </w:r>
      <w:r>
        <w:rPr>
          <w:rFonts w:ascii="Calibri" w:cs="Calibri" w:eastAsia="Calibri" w:hAnsi="Calibri"/>
          <w:color w:val="E91E63"/>
          <w:sz w:val="20"/>
          <w:szCs w:val="20"/>
        </w:rPr>
        <w:t xml:space="preserve">Panizzon</w:t>
      </w:r>
      <w:r>
        <w:rPr>
          <w:rFonts w:ascii="Calibri" w:cs="Calibri" w:eastAsia="Calibri" w:hAnsi="Calibri"/>
          <w:color w:val="1A1A1A"/>
          <w:sz w:val="20"/>
          <w:szCs w:val="20"/>
        </w:rPr>
        <w:t xml:space="preserve">, 2013).</w:t>
      </w:r>
    </w:p>
    <w:p>
      <w:pPr>
        <w:pStyle w:val="ListParagraph"/>
        <w:numPr>
          <w:ilvl w:val="0"/>
          <w:numId w:val="2"/>
        </w:numPr>
        <w:spacing w:after="70" w:line="264"/>
        <w:jc w:val="both"/>
      </w:pPr>
      <w:r>
        <w:rPr>
          <w:rFonts w:ascii="Calibri" w:cs="Calibri" w:eastAsia="Calibri" w:hAnsi="Calibri"/>
          <w:b/>
          <w:bCs/>
          <w:color w:val="1A1A1A"/>
          <w:sz w:val="20"/>
          <w:szCs w:val="20"/>
        </w:rPr>
        <w:t xml:space="preserve">Q. Toutes les stipulations d’un traité de droits humains ont-elles un effet direct ?</w:t>
      </w:r>
      <w:r>
        <w:rPr>
          <w:rFonts w:ascii="Calibri" w:cs="Calibri" w:eastAsia="Calibri" w:hAnsi="Calibri"/>
          <w:color w:val="1A1A1A"/>
          <w:sz w:val="20"/>
          <w:szCs w:val="20"/>
        </w:rPr>
        <w:t xml:space="preserve"> — Non : un même traité peut comporter des stipulations d’effet direct et d’autres qui en sont dépourvues (</w:t>
      </w:r>
      <w:r>
        <w:rPr>
          <w:rFonts w:ascii="Calibri" w:cs="Calibri" w:eastAsia="Calibri" w:hAnsi="Calibri"/>
          <w:color w:val="E91E63"/>
          <w:sz w:val="20"/>
          <w:szCs w:val="20"/>
        </w:rPr>
        <w:t xml:space="preserve">Cass. civ. 1re, 17 mars 2010</w:t>
      </w:r>
      <w:r>
        <w:rPr>
          <w:rFonts w:ascii="Calibri" w:cs="Calibri" w:eastAsia="Calibri" w:hAnsi="Calibri"/>
          <w:color w:val="1A1A1A"/>
          <w:sz w:val="20"/>
          <w:szCs w:val="20"/>
        </w:rPr>
        <w:t xml:space="preserve">, CIDE). L’</w:t>
      </w:r>
      <w:r>
        <w:rPr>
          <w:rFonts w:ascii="Calibri" w:cs="Calibri" w:eastAsia="Calibri" w:hAnsi="Calibri"/>
          <w:color w:val="1E88E5"/>
          <w:sz w:val="20"/>
          <w:szCs w:val="20"/>
        </w:rPr>
        <w:t xml:space="preserve">art. 24 de la Charte sociale européenne</w:t>
      </w:r>
      <w:r>
        <w:rPr>
          <w:rFonts w:ascii="Calibri" w:cs="Calibri" w:eastAsia="Calibri" w:hAnsi="Calibri"/>
          <w:color w:val="1A1A1A"/>
          <w:sz w:val="20"/>
          <w:szCs w:val="20"/>
        </w:rPr>
        <w:t xml:space="preserve"> en est dépourvu.</w:t>
      </w:r>
    </w:p>
    <w:p>
      <w:pPr>
        <w:pStyle w:val="ListParagraph"/>
        <w:numPr>
          <w:ilvl w:val="0"/>
          <w:numId w:val="2"/>
        </w:numPr>
        <w:spacing w:after="70" w:line="264"/>
        <w:jc w:val="both"/>
      </w:pPr>
      <w:r>
        <w:rPr>
          <w:rFonts w:ascii="Calibri" w:cs="Calibri" w:eastAsia="Calibri" w:hAnsi="Calibri"/>
          <w:b/>
          <w:bCs/>
          <w:color w:val="1A1A1A"/>
          <w:sz w:val="20"/>
          <w:szCs w:val="20"/>
        </w:rPr>
        <w:t xml:space="preserve">Q. Une norme sans effet direct est-elle inutile devant le juge ?</w:t>
      </w:r>
      <w:r>
        <w:rPr>
          <w:rFonts w:ascii="Calibri" w:cs="Calibri" w:eastAsia="Calibri" w:hAnsi="Calibri"/>
          <w:color w:val="1A1A1A"/>
          <w:sz w:val="20"/>
          <w:szCs w:val="20"/>
        </w:rPr>
        <w:t xml:space="preserve"> — Non : elle peut être prise en considération comme </w:t>
      </w:r>
      <w:r>
        <w:rPr>
          <w:rFonts w:ascii="Calibri" w:cs="Calibri" w:eastAsia="Calibri" w:hAnsi="Calibri"/>
          <w:b/>
          <w:bCs/>
          <w:color w:val="1A1A1A"/>
          <w:sz w:val="20"/>
          <w:szCs w:val="20"/>
        </w:rPr>
        <w:t xml:space="preserve">élément de fait</w:t>
      </w:r>
      <w:r>
        <w:rPr>
          <w:rFonts w:ascii="Calibri" w:cs="Calibri" w:eastAsia="Calibri" w:hAnsi="Calibri"/>
          <w:color w:val="1A1A1A"/>
          <w:sz w:val="20"/>
          <w:szCs w:val="20"/>
        </w:rPr>
        <w:t xml:space="preserve"> de nature à influencer la décision (</w:t>
      </w:r>
      <w:r>
        <w:rPr>
          <w:rFonts w:ascii="Calibri" w:cs="Calibri" w:eastAsia="Calibri" w:hAnsi="Calibri"/>
          <w:color w:val="E91E63"/>
          <w:sz w:val="20"/>
          <w:szCs w:val="20"/>
        </w:rPr>
        <w:t xml:space="preserve">Cass. civ. 1re, 26 avril 2006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Le juge judiciaire est-il tenu par un avis rendu au titre du Protocole n° 16 ?</w:t>
      </w:r>
      <w:r>
        <w:rPr>
          <w:rFonts w:ascii="Calibri" w:cs="Calibri" w:eastAsia="Calibri" w:hAnsi="Calibri"/>
          <w:color w:val="1A1A1A"/>
          <w:sz w:val="20"/>
          <w:szCs w:val="20"/>
        </w:rPr>
        <w:t xml:space="preserve"> — Non : les avis </w:t>
      </w:r>
      <w:r>
        <w:rPr>
          <w:rFonts w:ascii="Calibri" w:cs="Calibri" w:eastAsia="Calibri" w:hAnsi="Calibri"/>
          <w:b/>
          <w:bCs/>
          <w:color w:val="1A1A1A"/>
          <w:sz w:val="20"/>
          <w:szCs w:val="20"/>
        </w:rPr>
        <w:t xml:space="preserve">ne sont pas contraignants</w:t>
      </w:r>
      <w:r>
        <w:rPr>
          <w:rFonts w:ascii="Calibri" w:cs="Calibri" w:eastAsia="Calibri" w:hAnsi="Calibri"/>
          <w:color w:val="1A1A1A"/>
          <w:sz w:val="20"/>
          <w:szCs w:val="20"/>
        </w:rPr>
        <w:t xml:space="preserve">. La Cour peut même rejeter une demande d’avis formulée par les parties et lui préférer un contrôle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18 — LA PROTECTION PAR LE JUGE ADMINISTRATIF</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2E7D32"/>
          <w:sz w:val="20"/>
          <w:szCs w:val="20"/>
        </w:rPr>
        <w:t xml:space="preserve">Bertrand Louvel, ancien premier président de la Cour de cassation, entretien au Point, 2016</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Le juge administratif était celui de l’intérêt général. Ce primat s’est estompé et il est devenu aussi un juge des libertés […]. Dès lors, la dualité des compétences n’est plus très lisible.</w:t>
      </w:r>
      <w:r>
        <w:rPr>
          <w:rFonts w:ascii="Calibri" w:cs="Calibri" w:eastAsia="Calibri" w:hAnsi="Calibri"/>
          <w:color w:val="1A1A1A"/>
          <w:sz w:val="20"/>
          <w:szCs w:val="20"/>
        </w:rPr>
        <w:t xml:space="preserve"> » Le sujet n’est plus de savoir si le juge administratif protège les libertés, mais si sa montée en puissance ne vide pas l’</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de sa substance.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l’affaire </w:t>
      </w:r>
      <w:r>
        <w:rPr>
          <w:rFonts w:ascii="Calibri" w:cs="Calibri" w:eastAsia="Calibri" w:hAnsi="Calibri"/>
          <w:color w:val="E91E63"/>
          <w:sz w:val="20"/>
          <w:szCs w:val="20"/>
        </w:rPr>
        <w:t xml:space="preserve">TikTok</w:t>
      </w:r>
      <w:r>
        <w:rPr>
          <w:rFonts w:ascii="Calibri" w:cs="Calibri" w:eastAsia="Calibri" w:hAnsi="Calibri"/>
          <w:color w:val="1A1A1A"/>
          <w:sz w:val="20"/>
          <w:szCs w:val="20"/>
        </w:rPr>
        <w:t xml:space="preserve"> en Nouvelle-Calédonie — une atteinte très importante à une liberté peut n’être pas suspendue en urgence faute d’urgence démontrée, puis être annulée un an plus tard au fond. La puissance du référé-liberté dépend entièrement de la réunion de </w:t>
      </w:r>
      <w:r>
        <w:rPr>
          <w:rFonts w:ascii="Calibri" w:cs="Calibri" w:eastAsia="Calibri" w:hAnsi="Calibri"/>
          <w:b/>
          <w:bCs/>
          <w:color w:val="1A1A1A"/>
          <w:sz w:val="20"/>
          <w:szCs w:val="20"/>
        </w:rPr>
        <w:t xml:space="preserve">chacune</w:t>
      </w:r>
      <w:r>
        <w:rPr>
          <w:rFonts w:ascii="Calibri" w:cs="Calibri" w:eastAsia="Calibri" w:hAnsi="Calibri"/>
          <w:color w:val="1A1A1A"/>
          <w:sz w:val="20"/>
          <w:szCs w:val="20"/>
        </w:rPr>
        <w:t xml:space="preserve"> de ses conditions.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b/>
          <w:bCs/>
          <w:color w:val="1A1A1A"/>
          <w:sz w:val="20"/>
          <w:szCs w:val="20"/>
        </w:rPr>
        <w:t xml:space="preserve">Trois leviers</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recours pour excès de pouvoir</w:t>
      </w:r>
      <w:r>
        <w:rPr>
          <w:rFonts w:ascii="Calibri" w:cs="Calibri" w:eastAsia="Calibri" w:hAnsi="Calibri"/>
          <w:color w:val="1A1A1A"/>
          <w:sz w:val="20"/>
          <w:szCs w:val="20"/>
        </w:rPr>
        <w:t xml:space="preserve">, recours objectif devenu subjectif ; les </w:t>
      </w:r>
      <w:r>
        <w:rPr>
          <w:rFonts w:ascii="Calibri" w:cs="Calibri" w:eastAsia="Calibri" w:hAnsi="Calibri"/>
          <w:b/>
          <w:bCs/>
          <w:color w:val="1A1A1A"/>
          <w:sz w:val="20"/>
          <w:szCs w:val="20"/>
        </w:rPr>
        <w:t xml:space="preserve">référés d’urgence</w:t>
      </w:r>
      <w:r>
        <w:rPr>
          <w:rFonts w:ascii="Calibri" w:cs="Calibri" w:eastAsia="Calibri" w:hAnsi="Calibri"/>
          <w:color w:val="1A1A1A"/>
          <w:sz w:val="20"/>
          <w:szCs w:val="20"/>
        </w:rPr>
        <w:t xml:space="preserve"> créés en 2000 — référé-liberté (</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et référé-suspension (</w:t>
      </w:r>
      <w:r>
        <w:rPr>
          <w:rFonts w:ascii="Calibri" w:cs="Calibri" w:eastAsia="Calibri" w:hAnsi="Calibri"/>
          <w:color w:val="1E88E5"/>
          <w:sz w:val="20"/>
          <w:szCs w:val="20"/>
        </w:rPr>
        <w:t xml:space="preserve">art. L. 521-1 CJA</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contrôle de conventionnalité</w:t>
      </w:r>
      <w:r>
        <w:rPr>
          <w:rFonts w:ascii="Calibri" w:cs="Calibri" w:eastAsia="Calibri" w:hAnsi="Calibri"/>
          <w:color w:val="1A1A1A"/>
          <w:sz w:val="20"/>
          <w:szCs w:val="20"/>
        </w:rPr>
        <w:t xml:space="preserve">, y compris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et en urgence.</w:t>
      </w:r>
    </w:p>
    <w:p>
      <w:pPr>
        <w:pStyle w:val="ListParagraph"/>
        <w:numPr>
          <w:ilvl w:val="0"/>
          <w:numId w:val="2"/>
        </w:numPr>
        <w:spacing w:after="70" w:line="264"/>
        <w:jc w:val="both"/>
      </w:pPr>
      <w:r>
        <w:rPr>
          <w:rFonts w:ascii="Calibri" w:cs="Calibri" w:eastAsia="Calibri" w:hAnsi="Calibri"/>
          <w:b/>
          <w:bCs/>
          <w:color w:val="1A1A1A"/>
          <w:sz w:val="20"/>
          <w:szCs w:val="20"/>
        </w:rPr>
        <w:t xml:space="preserve">Une justiciabilité élargie</w:t>
      </w:r>
      <w:r>
        <w:rPr>
          <w:rFonts w:ascii="Calibri" w:cs="Calibri" w:eastAsia="Calibri" w:hAnsi="Calibri"/>
          <w:color w:val="1A1A1A"/>
          <w:sz w:val="20"/>
          <w:szCs w:val="20"/>
        </w:rPr>
        <w:t xml:space="preserve"> : le juge a progressivement ouvert son prétoire à des actes qui bénéficiaient d’une immunité juridictionnelle — actes de gouvernement, </w:t>
      </w:r>
      <w:r>
        <w:rPr>
          <w:rFonts w:ascii="Calibri" w:cs="Calibri" w:eastAsia="Calibri" w:hAnsi="Calibri"/>
          <w:b/>
          <w:bCs/>
          <w:color w:val="1A1A1A"/>
          <w:sz w:val="20"/>
          <w:szCs w:val="20"/>
        </w:rPr>
        <w:t xml:space="preserve">mesures d’ordre intérieur</w:t>
      </w:r>
      <w:r>
        <w:rPr>
          <w:rFonts w:ascii="Calibri" w:cs="Calibri" w:eastAsia="Calibri" w:hAnsi="Calibri"/>
          <w:color w:val="1A1A1A"/>
          <w:sz w:val="20"/>
          <w:szCs w:val="20"/>
        </w:rPr>
        <w:t xml:space="preserve">, actes de </w:t>
      </w:r>
      <w:r>
        <w:rPr>
          <w:rFonts w:ascii="Calibri" w:cs="Calibri" w:eastAsia="Calibri" w:hAnsi="Calibri"/>
          <w:b/>
          <w:bCs/>
          <w:color w:val="1A1A1A"/>
          <w:sz w:val="20"/>
          <w:szCs w:val="20"/>
        </w:rPr>
        <w:t xml:space="preserve">droit souple</w:t>
      </w:r>
      <w:r>
        <w:rPr>
          <w:rFonts w:ascii="Calibri" w:cs="Calibri" w:eastAsia="Calibri" w:hAnsi="Calibri"/>
          <w:color w:val="1A1A1A"/>
          <w:sz w:val="20"/>
          <w:szCs w:val="20"/>
        </w:rPr>
        <w:t xml:space="preserve"> — dès lors qu’ils ont des conséquences manifestes sur les libertés.</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17 février 1950, Ministre de l’Agriculture c. Dame Lamotte, n° 86949</w:t>
      </w:r>
      <w:r>
        <w:rPr>
          <w:rFonts w:ascii="Calibri" w:cs="Calibri" w:eastAsia="Calibri" w:hAnsi="Calibri"/>
          <w:color w:val="1A1A1A"/>
          <w:sz w:val="20"/>
          <w:szCs w:val="20"/>
        </w:rPr>
        <w:t xml:space="preserve"> : le recours pour excès de pouvoir est ouvert </w:t>
      </w:r>
      <w:r>
        <w:rPr>
          <w:rFonts w:ascii="Calibri" w:cs="Calibri" w:eastAsia="Calibri" w:hAnsi="Calibri"/>
          <w:b/>
          <w:bCs/>
          <w:color w:val="1A1A1A"/>
          <w:sz w:val="20"/>
          <w:szCs w:val="20"/>
        </w:rPr>
        <w:t xml:space="preserve">même sans texte</w:t>
      </w:r>
      <w:r>
        <w:rPr>
          <w:rFonts w:ascii="Calibri" w:cs="Calibri" w:eastAsia="Calibri" w:hAnsi="Calibri"/>
          <w:color w:val="1A1A1A"/>
          <w:sz w:val="20"/>
          <w:szCs w:val="20"/>
        </w:rPr>
        <w:t xml:space="preserve"> contre tout acte administratif.</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11 mai 2004, Association AC !, n° 255886</w:t>
      </w:r>
      <w:r>
        <w:rPr>
          <w:rFonts w:ascii="Calibri" w:cs="Calibri" w:eastAsia="Calibri" w:hAnsi="Calibri"/>
          <w:color w:val="1A1A1A"/>
          <w:sz w:val="20"/>
          <w:szCs w:val="20"/>
        </w:rPr>
        <w:t xml:space="preserve"> : possibilité de </w:t>
      </w:r>
      <w:r>
        <w:rPr>
          <w:rFonts w:ascii="Calibri" w:cs="Calibri" w:eastAsia="Calibri" w:hAnsi="Calibri"/>
          <w:b/>
          <w:bCs/>
          <w:color w:val="1A1A1A"/>
          <w:sz w:val="20"/>
          <w:szCs w:val="20"/>
        </w:rPr>
        <w:t xml:space="preserve">moduler dans le temps</w:t>
      </w:r>
      <w:r>
        <w:rPr>
          <w:rFonts w:ascii="Calibri" w:cs="Calibri" w:eastAsia="Calibri" w:hAnsi="Calibri"/>
          <w:color w:val="1A1A1A"/>
          <w:sz w:val="20"/>
          <w:szCs w:val="20"/>
        </w:rPr>
        <w:t xml:space="preserve"> les effets d’une annulation — symbole de la </w:t>
      </w:r>
      <w:r>
        <w:rPr>
          <w:rFonts w:ascii="Calibri" w:cs="Calibri" w:eastAsia="Calibri" w:hAnsi="Calibri"/>
          <w:b/>
          <w:bCs/>
          <w:color w:val="1A1A1A"/>
          <w:sz w:val="20"/>
          <w:szCs w:val="20"/>
        </w:rPr>
        <w:t xml:space="preserve">subjectivisation</w:t>
      </w:r>
      <w:r>
        <w:rPr>
          <w:rFonts w:ascii="Calibri" w:cs="Calibri" w:eastAsia="Calibri" w:hAnsi="Calibri"/>
          <w:color w:val="1A1A1A"/>
          <w:sz w:val="20"/>
          <w:szCs w:val="20"/>
        </w:rPr>
        <w:t xml:space="preserve"> du recours pour excès de pouvoir.</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30 juillet 2015, Section française de l’OIP, n° 392043</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Le caractère manifestement illégal de l’atteinte à la liberté fondamentale en cause doit s’apprécier en tenant compte des moyens dont dispose l’autorité administrative compétente.</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31 mai 2016, Mme Gonzalez Gomez, n° 396848</w:t>
      </w:r>
      <w:r>
        <w:rPr>
          <w:rFonts w:ascii="Calibri" w:cs="Calibri" w:eastAsia="Calibri" w:hAnsi="Calibri"/>
          <w:color w:val="1A1A1A"/>
          <w:sz w:val="20"/>
          <w:szCs w:val="20"/>
        </w:rPr>
        <w:t xml:space="preserve"> : en référé-liberté, le juge apprécie </w:t>
      </w:r>
      <w:r>
        <w:rPr>
          <w:rFonts w:ascii="Calibri" w:cs="Calibri" w:eastAsia="Calibri" w:hAnsi="Calibri"/>
          <w:b/>
          <w:bCs/>
          <w:color w:val="1A1A1A"/>
          <w:sz w:val="20"/>
          <w:szCs w:val="20"/>
        </w:rPr>
        <w:t xml:space="preserve">concrètement</w:t>
      </w:r>
      <w:r>
        <w:rPr>
          <w:rFonts w:ascii="Calibri" w:cs="Calibri" w:eastAsia="Calibri" w:hAnsi="Calibri"/>
          <w:color w:val="1A1A1A"/>
          <w:sz w:val="20"/>
          <w:szCs w:val="20"/>
        </w:rPr>
        <w:t xml:space="preserve"> les conséquences de l’application de la loi française au regard de l’</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 — le référé devient un instrument de contrôle de conventionnalité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21 mars 2016, Société Fairvesta International GMBH, n° 368082</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Société NC Numericable, n° 390023</w:t>
      </w:r>
      <w:r>
        <w:rPr>
          <w:rFonts w:ascii="Calibri" w:cs="Calibri" w:eastAsia="Calibri" w:hAnsi="Calibri"/>
          <w:color w:val="1A1A1A"/>
          <w:sz w:val="20"/>
          <w:szCs w:val="20"/>
        </w:rPr>
        <w:t xml:space="preserve"> (prolongés par </w:t>
      </w:r>
      <w:r>
        <w:rPr>
          <w:rFonts w:ascii="Calibri" w:cs="Calibri" w:eastAsia="Calibri" w:hAnsi="Calibri"/>
          <w:color w:val="E91E63"/>
          <w:sz w:val="20"/>
          <w:szCs w:val="20"/>
        </w:rPr>
        <w:t xml:space="preserve">CE, 12 juin 2020, GISTI, n° 418142</w:t>
      </w:r>
      <w:r>
        <w:rPr>
          <w:rFonts w:ascii="Calibri" w:cs="Calibri" w:eastAsia="Calibri" w:hAnsi="Calibri"/>
          <w:color w:val="1A1A1A"/>
          <w:sz w:val="20"/>
          <w:szCs w:val="20"/>
        </w:rPr>
        <w:t xml:space="preserve">) : justiciabilité des actes de </w:t>
      </w:r>
      <w:r>
        <w:rPr>
          <w:rFonts w:ascii="Calibri" w:cs="Calibri" w:eastAsia="Calibri" w:hAnsi="Calibri"/>
          <w:b/>
          <w:bCs/>
          <w:color w:val="1A1A1A"/>
          <w:sz w:val="20"/>
          <w:szCs w:val="20"/>
        </w:rPr>
        <w:t xml:space="preserve">droit souple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Commentaire de CE, ord., 12 janvier 2001, Hyacinthe, n° 229039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L’atteinte à une liberté fondamentale consacrée par la Constitution</w:t>
      </w:r>
      <w:r>
        <w:rPr>
          <w:rFonts w:ascii="Calibri" w:cs="Calibri" w:eastAsia="Calibri" w:hAnsi="Calibri"/>
          <w:color w:val="1A1A1A"/>
          <w:sz w:val="20"/>
          <w:szCs w:val="20"/>
        </w:rPr>
        <w:t xml:space="preserve"> (A. La reconnaissance d’un droit subsidiaire, le droit d’asile : les étrangers ne disposent pas d’un droit général d’accès au territoire ; B. Un droit constitutionnel invocable subsidiairement, condition d’exercice des autres libertés) / </w:t>
      </w:r>
      <w:r>
        <w:rPr>
          <w:rFonts w:ascii="Calibri" w:cs="Calibri" w:eastAsia="Calibri" w:hAnsi="Calibri"/>
          <w:b/>
          <w:bCs/>
          <w:color w:val="1A1A1A"/>
          <w:sz w:val="20"/>
          <w:szCs w:val="20"/>
        </w:rPr>
        <w:t xml:space="preserve">II. La reconnaissance d’une illégalité manifeste</w:t>
      </w:r>
      <w:r>
        <w:rPr>
          <w:rFonts w:ascii="Calibri" w:cs="Calibri" w:eastAsia="Calibri" w:hAnsi="Calibri"/>
          <w:color w:val="1A1A1A"/>
          <w:sz w:val="20"/>
          <w:szCs w:val="20"/>
        </w:rPr>
        <w:t xml:space="preserve"> (A. L’examen de conditions cumulatives : l’illégalité manifeste doit découler de l’atteinte ; B. L’examen concret de la situation du requérant : faisceau d’indices, appréciation à la date du jugement).</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juge administratif, juge des libertés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Des instruments devenus performants</w:t>
      </w:r>
      <w:r>
        <w:rPr>
          <w:rFonts w:ascii="Calibri" w:cs="Calibri" w:eastAsia="Calibri" w:hAnsi="Calibri"/>
          <w:color w:val="1A1A1A"/>
          <w:sz w:val="20"/>
          <w:szCs w:val="20"/>
        </w:rPr>
        <w:t xml:space="preserve"> (A. Des pouvoirs conquis par la loi : astreinte 1980, injonction 1995, référés 2000 ; B. Un contrôle enrichi : conventionnalité, proportionnalité, appréciation concrète) / </w:t>
      </w:r>
      <w:r>
        <w:rPr>
          <w:rFonts w:ascii="Calibri" w:cs="Calibri" w:eastAsia="Calibri" w:hAnsi="Calibri"/>
          <w:b/>
          <w:bCs/>
          <w:color w:val="1A1A1A"/>
          <w:sz w:val="20"/>
          <w:szCs w:val="20"/>
        </w:rPr>
        <w:t xml:space="preserve">II. Un prétoire élargi</w:t>
      </w:r>
      <w:r>
        <w:rPr>
          <w:rFonts w:ascii="Calibri" w:cs="Calibri" w:eastAsia="Calibri" w:hAnsi="Calibri"/>
          <w:color w:val="1A1A1A"/>
          <w:sz w:val="20"/>
          <w:szCs w:val="20"/>
        </w:rPr>
        <w:t xml:space="preserve"> (A. La réduction des immunités : actes de gouvernement, mesures d’ordre intérieur ; B. L’ouverture au droit souple : </w:t>
      </w:r>
      <w:r>
        <w:rPr>
          <w:rFonts w:ascii="Calibri" w:cs="Calibri" w:eastAsia="Calibri" w:hAnsi="Calibri"/>
          <w:color w:val="E91E63"/>
          <w:sz w:val="20"/>
          <w:szCs w:val="20"/>
        </w:rPr>
        <w:t xml:space="preserve">Fairvesta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Numericable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GISTI</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Liberté fondamentale » au sens de l’</w:t>
      </w:r>
      <w:r>
        <w:rPr>
          <w:rFonts w:ascii="Calibri" w:cs="Calibri" w:eastAsia="Calibri" w:hAnsi="Calibri"/>
          <w:b/>
          <w:bCs/>
          <w:color w:val="1E88E5"/>
          <w:sz w:val="20"/>
          <w:szCs w:val="20"/>
        </w:rPr>
        <w:t xml:space="preserve">art. L. 521-2 CJA</w:t>
      </w:r>
      <w:r>
        <w:rPr>
          <w:rFonts w:ascii="Calibri" w:cs="Calibri" w:eastAsia="Calibri" w:hAnsi="Calibri"/>
          <w:b/>
          <w:bCs/>
          <w:color w:val="1A1A1A"/>
          <w:sz w:val="20"/>
          <w:szCs w:val="20"/>
        </w:rPr>
        <w:t xml:space="preserve"> est une catégorie autonome</w:t>
      </w:r>
      <w:r>
        <w:rPr>
          <w:rFonts w:ascii="Calibri" w:cs="Calibri" w:eastAsia="Calibri" w:hAnsi="Calibri"/>
          <w:color w:val="1A1A1A"/>
          <w:sz w:val="20"/>
          <w:szCs w:val="20"/>
        </w:rPr>
        <w:t xml:space="preserve"> : il ne suffit pas qu’un droit bénéficie d’une protection constitutionnelle, conventionnelle ou législative. Le principe d’égalité entre les femmes et les hommes n’en est pas une par lui-même (</w:t>
      </w:r>
      <w:r>
        <w:rPr>
          <w:rFonts w:ascii="Calibri" w:cs="Calibri" w:eastAsia="Calibri" w:hAnsi="Calibri"/>
          <w:color w:val="E91E63"/>
          <w:sz w:val="20"/>
          <w:szCs w:val="20"/>
        </w:rPr>
        <w:t xml:space="preserve">CE, ord., 1er septembre 2017, Commune de Dannemarie, n° 413607</w:t>
      </w:r>
      <w:r>
        <w:rPr>
          <w:rFonts w:ascii="Calibri" w:cs="Calibri" w:eastAsia="Calibri" w:hAnsi="Calibri"/>
          <w:color w:val="1A1A1A"/>
          <w:sz w:val="20"/>
          <w:szCs w:val="20"/>
        </w:rPr>
        <w:t xml:space="preserve">) ; le droit à la protection de la santé non plus, alors que le droit de ne pas subir une obstination déraisonnable et le droit au respect de la vie en sont (</w:t>
      </w:r>
      <w:r>
        <w:rPr>
          <w:rFonts w:ascii="Calibri" w:cs="Calibri" w:eastAsia="Calibri" w:hAnsi="Calibri"/>
          <w:color w:val="E91E63"/>
          <w:sz w:val="20"/>
          <w:szCs w:val="20"/>
        </w:rPr>
        <w:t xml:space="preserve">CE, ord., 24 juin 2014, Lambert, n° 375081, 375090, 375091</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8 mars 2017, Assistance publique – Hôpitaux de Marseille, n° 408146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référé-suspension n’est recevable que si une requête au fond a été déposée</w:t>
      </w:r>
      <w:r>
        <w:rPr>
          <w:rFonts w:ascii="Calibri" w:cs="Calibri" w:eastAsia="Calibri" w:hAnsi="Calibri"/>
          <w:color w:val="1A1A1A"/>
          <w:sz w:val="20"/>
          <w:szCs w:val="20"/>
        </w:rPr>
        <w:t xml:space="preserve"> ; le référé-liberté, non. C’est la différence procédurale la plus souvent testée.</w:t>
      </w:r>
    </w:p>
    <w:p>
      <w:pPr>
        <w:pStyle w:val="ListParagraph"/>
        <w:numPr>
          <w:ilvl w:val="0"/>
          <w:numId w:val="2"/>
        </w:numPr>
        <w:spacing w:after="70" w:line="264"/>
        <w:jc w:val="both"/>
      </w:pPr>
      <w:r>
        <w:rPr>
          <w:rFonts w:ascii="Calibri" w:cs="Calibri" w:eastAsia="Calibri" w:hAnsi="Calibri"/>
          <w:b/>
          <w:bCs/>
          <w:color w:val="1A1A1A"/>
          <w:sz w:val="20"/>
          <w:szCs w:val="20"/>
        </w:rPr>
        <w:t xml:space="preserve">Les trois conditions du référé-liberté sont cumulatives</w:t>
      </w:r>
      <w:r>
        <w:rPr>
          <w:rFonts w:ascii="Calibri" w:cs="Calibri" w:eastAsia="Calibri" w:hAnsi="Calibri"/>
          <w:color w:val="1A1A1A"/>
          <w:sz w:val="20"/>
          <w:szCs w:val="20"/>
        </w:rPr>
        <w:t xml:space="preserve"> : atteinte grave à une liberté fondamentale, illégalité manifeste, urgence. Le juge statue dans les </w:t>
      </w:r>
      <w:r>
        <w:rPr>
          <w:rFonts w:ascii="Calibri" w:cs="Calibri" w:eastAsia="Calibri" w:hAnsi="Calibri"/>
          <w:b/>
          <w:bCs/>
          <w:color w:val="1A1A1A"/>
          <w:sz w:val="20"/>
          <w:szCs w:val="20"/>
        </w:rPr>
        <w:t xml:space="preserve">48 heures</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L’intérêt de la dualité juridictionnelle</w:t>
      </w:r>
    </w:p>
    <w:p>
      <w:pPr>
        <w:pStyle w:val="ListParagraph"/>
        <w:numPr>
          <w:ilvl w:val="0"/>
          <w:numId w:val="2"/>
        </w:numPr>
        <w:spacing w:after="70" w:line="264"/>
        <w:jc w:val="both"/>
      </w:pPr>
      <w:r>
        <w:rPr>
          <w:rFonts w:ascii="Calibri" w:cs="Calibri" w:eastAsia="Calibri" w:hAnsi="Calibri"/>
          <w:color w:val="1E88E5"/>
          <w:sz w:val="20"/>
          <w:szCs w:val="20"/>
        </w:rPr>
        <w:t xml:space="preserve">Loi des 16 et 24 août 1790</w:t>
      </w:r>
      <w:r>
        <w:rPr>
          <w:rFonts w:ascii="Calibri" w:cs="Calibri" w:eastAsia="Calibri" w:hAnsi="Calibri"/>
          <w:color w:val="1A1A1A"/>
          <w:sz w:val="20"/>
          <w:szCs w:val="20"/>
        </w:rPr>
        <w:t xml:space="preserve"> : séparation des autorités administratives et judiciaires ; </w:t>
      </w:r>
      <w:r>
        <w:rPr>
          <w:rFonts w:ascii="Calibri" w:cs="Calibri" w:eastAsia="Calibri" w:hAnsi="Calibri"/>
          <w:color w:val="1E88E5"/>
          <w:sz w:val="20"/>
          <w:szCs w:val="20"/>
        </w:rPr>
        <w:t xml:space="preserve">Constitution du 22 frimaire an VIII</w:t>
      </w:r>
      <w:r>
        <w:rPr>
          <w:rFonts w:ascii="Calibri" w:cs="Calibri" w:eastAsia="Calibri" w:hAnsi="Calibri"/>
          <w:color w:val="1A1A1A"/>
          <w:sz w:val="20"/>
          <w:szCs w:val="20"/>
        </w:rPr>
        <w:t xml:space="preserve"> (création du Conseil d’État) ; </w:t>
      </w:r>
      <w:r>
        <w:rPr>
          <w:rFonts w:ascii="Calibri" w:cs="Calibri" w:eastAsia="Calibri" w:hAnsi="Calibri"/>
          <w:color w:val="E91E63"/>
          <w:sz w:val="20"/>
          <w:szCs w:val="20"/>
        </w:rPr>
        <w:t xml:space="preserve">T. confl., 8 février 1873, Blanco, n° 00012</w:t>
      </w:r>
      <w:r>
        <w:rPr>
          <w:rFonts w:ascii="Calibri" w:cs="Calibri" w:eastAsia="Calibri" w:hAnsi="Calibri"/>
          <w:color w:val="1A1A1A"/>
          <w:sz w:val="20"/>
          <w:szCs w:val="20"/>
        </w:rPr>
        <w:t xml:space="preserve"> (consécration d’un droit administratif autonome).</w:t>
      </w:r>
    </w:p>
    <w:p>
      <w:pPr>
        <w:pStyle w:val="ListParagraph"/>
        <w:numPr>
          <w:ilvl w:val="0"/>
          <w:numId w:val="2"/>
        </w:numPr>
        <w:spacing w:after="70" w:line="264"/>
        <w:jc w:val="both"/>
      </w:pPr>
      <w:r>
        <w:rPr>
          <w:rFonts w:ascii="Calibri" w:cs="Calibri" w:eastAsia="Calibri" w:hAnsi="Calibri"/>
          <w:b/>
          <w:bCs/>
          <w:color w:val="1A1A1A"/>
          <w:sz w:val="20"/>
          <w:szCs w:val="20"/>
        </w:rPr>
        <w:t xml:space="preserve">Une compétence d’assise constitutionnelle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80-119 DC, 22 juillet 1980, Loi portant validation d’actes administratifs</w:t>
      </w:r>
      <w:r>
        <w:rPr>
          <w:rFonts w:ascii="Calibri" w:cs="Calibri" w:eastAsia="Calibri" w:hAnsi="Calibri"/>
          <w:color w:val="1A1A1A"/>
          <w:sz w:val="20"/>
          <w:szCs w:val="20"/>
        </w:rPr>
        <w:t xml:space="preserve"> (existence constitutionnelle de la juridiction administrative) ; </w:t>
      </w:r>
      <w:r>
        <w:rPr>
          <w:rFonts w:ascii="Calibri" w:cs="Calibri" w:eastAsia="Calibri" w:hAnsi="Calibri"/>
          <w:color w:val="E91E63"/>
          <w:sz w:val="20"/>
          <w:szCs w:val="20"/>
        </w:rPr>
        <w:t xml:space="preserve">Cons. const., déc. n° 86-224 DC, 23 janvier 1987, Conseil de la concurrence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Conformément à la conception française de la séparation des pouvoirs, figure au nombre des “principes fondamentaux reconnus par les lois de la République” celui selon lequel, à l’exception des matières réservées par nature à l’autorité judiciaire, relève en dernier ressort de la compétence de la juridiction administrative l’annulation ou la réformation des décisions prises, dans l’exercice des prérogatives de puissance publique, par les autorités exerçant le pouvoir exécutif, leurs agents, les collectivités territoriales de la République ou les organismes publics placés sous leur autorité ou leur contrôle.</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Le glissement de compétence</w:t>
      </w:r>
      <w:r>
        <w:rPr>
          <w:rFonts w:ascii="Calibri" w:cs="Calibri" w:eastAsia="Calibri" w:hAnsi="Calibri"/>
          <w:color w:val="1A1A1A"/>
          <w:sz w:val="20"/>
          <w:szCs w:val="20"/>
        </w:rPr>
        <w:t xml:space="preserve"> : jusqu’à la fin des années 1990, le Conseil constitutionnel retenait une conception très extensive de la « liberté individuelle » au sens de l’</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y rattachant la protection de la vie privée et l’inviolabilité du domicile, ce qui justifiait une compétence étendue du juge judiciaire. À partir de </w:t>
      </w:r>
      <w:r>
        <w:rPr>
          <w:rFonts w:ascii="Calibri" w:cs="Calibri" w:eastAsia="Calibri" w:hAnsi="Calibri"/>
          <w:b/>
          <w:bCs/>
          <w:color w:val="1A1A1A"/>
          <w:sz w:val="20"/>
          <w:szCs w:val="20"/>
        </w:rPr>
        <w:t xml:space="preserve">1998</w:t>
      </w:r>
      <w:r>
        <w:rPr>
          <w:rFonts w:ascii="Calibri" w:cs="Calibri" w:eastAsia="Calibri" w:hAnsi="Calibri"/>
          <w:color w:val="1A1A1A"/>
          <w:sz w:val="20"/>
          <w:szCs w:val="20"/>
        </w:rPr>
        <w:t xml:space="preserve">, il renoue avec l’esprit du constituant et retient une conception </w:t>
      </w:r>
      <w:r>
        <w:rPr>
          <w:rFonts w:ascii="Calibri" w:cs="Calibri" w:eastAsia="Calibri" w:hAnsi="Calibri"/>
          <w:b/>
          <w:bCs/>
          <w:color w:val="1A1A1A"/>
          <w:sz w:val="20"/>
          <w:szCs w:val="20"/>
        </w:rPr>
        <w:t xml:space="preserve">restrictive</w:t>
      </w:r>
      <w:r>
        <w:rPr>
          <w:rFonts w:ascii="Calibri" w:cs="Calibri" w:eastAsia="Calibri" w:hAnsi="Calibri"/>
          <w:color w:val="1A1A1A"/>
          <w:sz w:val="20"/>
          <w:szCs w:val="20"/>
        </w:rPr>
        <w:t xml:space="preserve"> — le seul droit de ne pas être arbitrairement détenu. De nombreux droits auparavant rattachés à la liberté individuelle en ont été détachés, </w:t>
      </w:r>
      <w:r>
        <w:rPr>
          <w:rFonts w:ascii="Calibri" w:cs="Calibri" w:eastAsia="Calibri" w:hAnsi="Calibri"/>
          <w:b/>
          <w:bCs/>
          <w:color w:val="1A1A1A"/>
          <w:sz w:val="20"/>
          <w:szCs w:val="20"/>
        </w:rPr>
        <w:t xml:space="preserve">ouvrant la voie à une compétence accrue du juge administratif</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Les instruments du juge administratif</w:t>
      </w:r>
    </w:p>
    <w:p>
      <w:pPr>
        <w:pStyle w:val="Heading3"/>
        <w:spacing w:after="90" w:before="200"/>
      </w:pPr>
      <w:r>
        <w:rPr>
          <w:rFonts w:ascii="Calibri" w:cs="Calibri" w:eastAsia="Calibri" w:hAnsi="Calibri"/>
          <w:b/>
          <w:bCs/>
          <w:i/>
          <w:iCs/>
          <w:color w:val="5A5A5A"/>
          <w:sz w:val="21"/>
          <w:szCs w:val="21"/>
        </w:rPr>
        <w:t xml:space="preserve">2.1. Le recours pour excès de pouvoir</w:t>
      </w:r>
    </w:p>
    <w:p>
      <w:pPr>
        <w:pStyle w:val="ListParagraph"/>
        <w:numPr>
          <w:ilvl w:val="0"/>
          <w:numId w:val="2"/>
        </w:numPr>
        <w:spacing w:after="70" w:line="264"/>
        <w:jc w:val="both"/>
      </w:pPr>
      <w:r>
        <w:rPr>
          <w:rFonts w:ascii="Calibri" w:cs="Calibri" w:eastAsia="Calibri" w:hAnsi="Calibri"/>
          <w:b/>
          <w:bCs/>
          <w:color w:val="1A1A1A"/>
          <w:sz w:val="20"/>
          <w:szCs w:val="20"/>
        </w:rPr>
        <w:t xml:space="preserve">Un recours objectif</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Édouard Laferrière</w:t>
      </w:r>
      <w:r>
        <w:rPr>
          <w:rFonts w:ascii="Calibri" w:cs="Calibri" w:eastAsia="Calibri" w:hAnsi="Calibri"/>
          <w:color w:val="1A1A1A"/>
          <w:sz w:val="20"/>
          <w:szCs w:val="20"/>
        </w:rPr>
        <w:t xml:space="preserve"> : le REP amène le juge à décider du sort de l’acte attaqué au regard de la seule légalité ; </w:t>
      </w:r>
      <w:r>
        <w:rPr>
          <w:rFonts w:ascii="Calibri" w:cs="Calibri" w:eastAsia="Calibri" w:hAnsi="Calibri"/>
          <w:color w:val="2E7D32"/>
          <w:sz w:val="20"/>
          <w:szCs w:val="20"/>
        </w:rPr>
        <w:t xml:space="preserve">Gaston Jèze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un procès fait à un acte</w:t>
      </w:r>
      <w:r>
        <w:rPr>
          <w:rFonts w:ascii="Calibri" w:cs="Calibri" w:eastAsia="Calibri" w:hAnsi="Calibri"/>
          <w:color w:val="1A1A1A"/>
          <w:sz w:val="20"/>
          <w:szCs w:val="20"/>
        </w:rPr>
        <w:t xml:space="preserve"> ». Le requérant, en agissant pour un litige personnel, sert aussi la collectivité et l’intérêt général.</w:t>
      </w:r>
    </w:p>
    <w:p>
      <w:pPr>
        <w:pStyle w:val="ListParagraph"/>
        <w:numPr>
          <w:ilvl w:val="0"/>
          <w:numId w:val="2"/>
        </w:numPr>
        <w:spacing w:after="70" w:line="264"/>
        <w:jc w:val="both"/>
      </w:pPr>
      <w:r>
        <w:rPr>
          <w:rFonts w:ascii="Calibri" w:cs="Calibri" w:eastAsia="Calibri" w:hAnsi="Calibri"/>
          <w:b/>
          <w:bCs/>
          <w:color w:val="1A1A1A"/>
          <w:sz w:val="20"/>
          <w:szCs w:val="20"/>
        </w:rPr>
        <w:t xml:space="preserve">Régime</w:t>
      </w:r>
      <w:r>
        <w:rPr>
          <w:rFonts w:ascii="Calibri" w:cs="Calibri" w:eastAsia="Calibri" w:hAnsi="Calibri"/>
          <w:color w:val="1A1A1A"/>
          <w:sz w:val="20"/>
          <w:szCs w:val="20"/>
        </w:rPr>
        <w:t xml:space="preserve"> : ouvert même sans texte (</w:t>
      </w:r>
      <w:r>
        <w:rPr>
          <w:rFonts w:ascii="Calibri" w:cs="Calibri" w:eastAsia="Calibri" w:hAnsi="Calibri"/>
          <w:color w:val="E91E63"/>
          <w:sz w:val="20"/>
          <w:szCs w:val="20"/>
        </w:rPr>
        <w:t xml:space="preserve">CE, 17 février 1950, Dame Lamotte, n° 86949</w:t>
      </w:r>
      <w:r>
        <w:rPr>
          <w:rFonts w:ascii="Calibri" w:cs="Calibri" w:eastAsia="Calibri" w:hAnsi="Calibri"/>
          <w:color w:val="1A1A1A"/>
          <w:sz w:val="20"/>
          <w:szCs w:val="20"/>
        </w:rPr>
        <w:t xml:space="preserve">) ; délai de </w:t>
      </w:r>
      <w:r>
        <w:rPr>
          <w:rFonts w:ascii="Calibri" w:cs="Calibri" w:eastAsia="Calibri" w:hAnsi="Calibri"/>
          <w:b/>
          <w:bCs/>
          <w:color w:val="1A1A1A"/>
          <w:sz w:val="20"/>
          <w:szCs w:val="20"/>
        </w:rPr>
        <w:t xml:space="preserve">deux mois</w:t>
      </w:r>
      <w:r>
        <w:rPr>
          <w:rFonts w:ascii="Calibri" w:cs="Calibri" w:eastAsia="Calibri" w:hAnsi="Calibri"/>
          <w:color w:val="1A1A1A"/>
          <w:sz w:val="20"/>
          <w:szCs w:val="20"/>
        </w:rPr>
        <w:t xml:space="preserve"> à compter de la publication ou de la notification ; acte </w:t>
      </w:r>
      <w:r>
        <w:rPr>
          <w:rFonts w:ascii="Calibri" w:cs="Calibri" w:eastAsia="Calibri" w:hAnsi="Calibri"/>
          <w:b/>
          <w:bCs/>
          <w:color w:val="1A1A1A"/>
          <w:sz w:val="20"/>
          <w:szCs w:val="20"/>
        </w:rPr>
        <w:t xml:space="preserve">faisant grief</w:t>
      </w:r>
      <w:r>
        <w:rPr>
          <w:rFonts w:ascii="Calibri" w:cs="Calibri" w:eastAsia="Calibri" w:hAnsi="Calibri"/>
          <w:color w:val="1A1A1A"/>
          <w:sz w:val="20"/>
          <w:szCs w:val="20"/>
        </w:rPr>
        <w:t xml:space="preserve">, c’est-à-dire modifiant l’ordonnancement juridique ; </w:t>
      </w:r>
      <w:r>
        <w:rPr>
          <w:rFonts w:ascii="Calibri" w:cs="Calibri" w:eastAsia="Calibri" w:hAnsi="Calibri"/>
          <w:b/>
          <w:bCs/>
          <w:color w:val="1A1A1A"/>
          <w:sz w:val="20"/>
          <w:szCs w:val="20"/>
        </w:rPr>
        <w:t xml:space="preserve">intérêt à agir</w:t>
      </w:r>
      <w:r>
        <w:rPr>
          <w:rFonts w:ascii="Calibri" w:cs="Calibri" w:eastAsia="Calibri" w:hAnsi="Calibri"/>
          <w:color w:val="1A1A1A"/>
          <w:sz w:val="20"/>
          <w:szCs w:val="20"/>
        </w:rPr>
        <w:t xml:space="preserve"> — l’acte doit affecter les intérêts du requérant de façon suffisamment directe, condition entendue largement puisqu’il suffit qu’un acte porte atteinte à certains intérêts, même indirects. Moyens : légalité </w:t>
      </w:r>
      <w:r>
        <w:rPr>
          <w:rFonts w:ascii="Calibri" w:cs="Calibri" w:eastAsia="Calibri" w:hAnsi="Calibri"/>
          <w:b/>
          <w:bCs/>
          <w:color w:val="1A1A1A"/>
          <w:sz w:val="20"/>
          <w:szCs w:val="20"/>
        </w:rPr>
        <w:t xml:space="preserve">externe</w:t>
      </w:r>
      <w:r>
        <w:rPr>
          <w:rFonts w:ascii="Calibri" w:cs="Calibri" w:eastAsia="Calibri" w:hAnsi="Calibri"/>
          <w:color w:val="1A1A1A"/>
          <w:sz w:val="20"/>
          <w:szCs w:val="20"/>
        </w:rPr>
        <w:t xml:space="preserve"> (compétence, forme, procédure) et légalité </w:t>
      </w:r>
      <w:r>
        <w:rPr>
          <w:rFonts w:ascii="Calibri" w:cs="Calibri" w:eastAsia="Calibri" w:hAnsi="Calibri"/>
          <w:b/>
          <w:bCs/>
          <w:color w:val="1A1A1A"/>
          <w:sz w:val="20"/>
          <w:szCs w:val="20"/>
        </w:rPr>
        <w:t xml:space="preserve">interne</w:t>
      </w:r>
      <w:r>
        <w:rPr>
          <w:rFonts w:ascii="Calibri" w:cs="Calibri" w:eastAsia="Calibri" w:hAnsi="Calibri"/>
          <w:color w:val="1A1A1A"/>
          <w:sz w:val="20"/>
          <w:szCs w:val="20"/>
        </w:rPr>
        <w:t xml:space="preserve"> (erreur de fait, erreur de droit, détournement de pouvoir). L’annulation est </w:t>
      </w:r>
      <w:r>
        <w:rPr>
          <w:rFonts w:ascii="Calibri" w:cs="Calibri" w:eastAsia="Calibri" w:hAnsi="Calibri"/>
          <w:b/>
          <w:bCs/>
          <w:color w:val="1A1A1A"/>
          <w:sz w:val="20"/>
          <w:szCs w:val="20"/>
        </w:rPr>
        <w:t xml:space="preserve">rétroactive</w:t>
      </w:r>
      <w:r>
        <w:rPr>
          <w:rFonts w:ascii="Calibri" w:cs="Calibri" w:eastAsia="Calibri" w:hAnsi="Calibri"/>
          <w:color w:val="1A1A1A"/>
          <w:sz w:val="20"/>
          <w:szCs w:val="20"/>
        </w:rPr>
        <w:t xml:space="preserve"> : l’acte est réputé n’avoir jamais existé.</w:t>
      </w:r>
    </w:p>
    <w:p>
      <w:pPr>
        <w:pStyle w:val="ListParagraph"/>
        <w:numPr>
          <w:ilvl w:val="0"/>
          <w:numId w:val="2"/>
        </w:numPr>
        <w:spacing w:after="70" w:line="264"/>
        <w:jc w:val="both"/>
      </w:pPr>
      <w:r>
        <w:rPr>
          <w:rFonts w:ascii="Calibri" w:cs="Calibri" w:eastAsia="Calibri" w:hAnsi="Calibri"/>
          <w:b/>
          <w:bCs/>
          <w:color w:val="1A1A1A"/>
          <w:sz w:val="20"/>
          <w:szCs w:val="20"/>
        </w:rPr>
        <w:t xml:space="preserve">La subjectivisation</w:t>
      </w:r>
      <w:r>
        <w:rPr>
          <w:rFonts w:ascii="Calibri" w:cs="Calibri" w:eastAsia="Calibri" w:hAnsi="Calibri"/>
          <w:color w:val="1A1A1A"/>
          <w:sz w:val="20"/>
          <w:szCs w:val="20"/>
        </w:rPr>
        <w:t xml:space="preserve"> : le recours est de moins en moins centré sur l’acte et de plus en plus sur la </w:t>
      </w:r>
      <w:r>
        <w:rPr>
          <w:rFonts w:ascii="Calibri" w:cs="Calibri" w:eastAsia="Calibri" w:hAnsi="Calibri"/>
          <w:b/>
          <w:bCs/>
          <w:color w:val="1A1A1A"/>
          <w:sz w:val="20"/>
          <w:szCs w:val="20"/>
        </w:rPr>
        <w:t xml:space="preserve">situation du requérant</w:t>
      </w:r>
      <w:r>
        <w:rPr>
          <w:rFonts w:ascii="Calibri" w:cs="Calibri" w:eastAsia="Calibri" w:hAnsi="Calibri"/>
          <w:color w:val="1A1A1A"/>
          <w:sz w:val="20"/>
          <w:szCs w:val="20"/>
        </w:rPr>
        <w:t xml:space="preserve">, dans une « situation juridique triangulaire » (l’administration, le juge, le justiciable). Il ne se résume plus à sanctionner une illégalité mais vise à apporter une </w:t>
      </w:r>
      <w:r>
        <w:rPr>
          <w:rFonts w:ascii="Calibri" w:cs="Calibri" w:eastAsia="Calibri" w:hAnsi="Calibri"/>
          <w:b/>
          <w:bCs/>
          <w:color w:val="1A1A1A"/>
          <w:sz w:val="20"/>
          <w:szCs w:val="20"/>
        </w:rPr>
        <w:t xml:space="preserve">solution définitive à une situation concrète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11 mai 2004, Association AC !, n° 255886</w:t>
      </w:r>
      <w:r>
        <w:rPr>
          <w:rFonts w:ascii="Calibri" w:cs="Calibri" w:eastAsia="Calibri" w:hAnsi="Calibri"/>
          <w:color w:val="1A1A1A"/>
          <w:sz w:val="20"/>
          <w:szCs w:val="20"/>
        </w:rPr>
        <w:t xml:space="preserve"> : modulation dans le temps des effets de l’annulation, afin de préserver la sécurité juridique.</w:t>
      </w:r>
    </w:p>
    <w:p>
      <w:pPr>
        <w:pStyle w:val="ListParagraph"/>
        <w:numPr>
          <w:ilvl w:val="0"/>
          <w:numId w:val="2"/>
        </w:numPr>
        <w:spacing w:after="70" w:line="264"/>
        <w:jc w:val="both"/>
      </w:pPr>
      <w:r>
        <w:rPr>
          <w:rFonts w:ascii="Calibri" w:cs="Calibri" w:eastAsia="Calibri" w:hAnsi="Calibri"/>
          <w:b/>
          <w:bCs/>
          <w:color w:val="1A1A1A"/>
          <w:sz w:val="20"/>
          <w:szCs w:val="20"/>
        </w:rPr>
        <w:t xml:space="preserve">Le pouvoir d’injonction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8 février 1995</w:t>
      </w:r>
      <w:r>
        <w:rPr>
          <w:rFonts w:ascii="Calibri" w:cs="Calibri" w:eastAsia="Calibri" w:hAnsi="Calibri"/>
          <w:color w:val="1A1A1A"/>
          <w:sz w:val="20"/>
          <w:szCs w:val="20"/>
        </w:rPr>
        <w:t xml:space="preserve">) : le juge peut non seulement annuler mais </w:t>
      </w:r>
      <w:r>
        <w:rPr>
          <w:rFonts w:ascii="Calibri" w:cs="Calibri" w:eastAsia="Calibri" w:hAnsi="Calibri"/>
          <w:b/>
          <w:bCs/>
          <w:color w:val="1A1A1A"/>
          <w:sz w:val="20"/>
          <w:szCs w:val="20"/>
        </w:rPr>
        <w:t xml:space="preserve">enjoindre</w:t>
      </w:r>
      <w:r>
        <w:rPr>
          <w:rFonts w:ascii="Calibri" w:cs="Calibri" w:eastAsia="Calibri" w:hAnsi="Calibri"/>
          <w:color w:val="1A1A1A"/>
          <w:sz w:val="20"/>
          <w:szCs w:val="20"/>
        </w:rPr>
        <w:t xml:space="preserve"> à l’administration de prendre la décision demandée. Il ne substitue pas sa décision, il contraint l’administration à agir dans un sens déterminé. Contre-exemple historique de l’ineffectivité : dans </w:t>
      </w:r>
      <w:r>
        <w:rPr>
          <w:rFonts w:ascii="Calibri" w:cs="Calibri" w:eastAsia="Calibri" w:hAnsi="Calibri"/>
          <w:color w:val="E91E63"/>
          <w:sz w:val="20"/>
          <w:szCs w:val="20"/>
        </w:rPr>
        <w:t xml:space="preserve">Benjamin</w:t>
      </w:r>
      <w:r>
        <w:rPr>
          <w:rFonts w:ascii="Calibri" w:cs="Calibri" w:eastAsia="Calibri" w:hAnsi="Calibri"/>
          <w:color w:val="1A1A1A"/>
          <w:sz w:val="20"/>
          <w:szCs w:val="20"/>
        </w:rPr>
        <w:t xml:space="preserve"> (1933), l’annulation est intervenue cinq ans après l’interdiction — la réunion n’a jamais eu lieu.</w:t>
      </w:r>
    </w:p>
    <w:p>
      <w:pPr>
        <w:pStyle w:val="ListParagraph"/>
        <w:numPr>
          <w:ilvl w:val="0"/>
          <w:numId w:val="2"/>
        </w:numPr>
        <w:spacing w:after="70" w:line="264"/>
        <w:jc w:val="both"/>
      </w:pPr>
      <w:r>
        <w:rPr>
          <w:rFonts w:ascii="Calibri" w:cs="Calibri" w:eastAsia="Calibri" w:hAnsi="Calibri"/>
          <w:b/>
          <w:bCs/>
          <w:color w:val="1A1A1A"/>
          <w:sz w:val="20"/>
          <w:szCs w:val="20"/>
        </w:rPr>
        <w:t xml:space="preserve">Les autres pouvoirs conquis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astreinte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16 juillet 1980</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référés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2000-597 du 30 juin 2000</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2.2. Le référé-liberté</w:t>
      </w:r>
    </w:p>
    <w:p>
      <w:pPr>
        <w:pStyle w:val="ListParagraph"/>
        <w:numPr>
          <w:ilvl w:val="0"/>
          <w:numId w:val="2"/>
        </w:numPr>
        <w:spacing w:after="70" w:line="264"/>
        <w:jc w:val="both"/>
      </w:pP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Saisi d’une demande en ce sens justifiée par l’urgence, le juge des référés peut ordonner toutes mesures nécessaires à la sauvegarde d’une liberté fondamentale à laquelle une personne morale de droit public ou un organisme de droit privé chargé de la gestion d’un service public aurait porté, dans l’exercice d’un de ses pouvoirs, une atteinte grave et manifestement illégale. Le juge des référés se prononce dans un délai de quarante-huit heures.</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Trois conditions cumulatives</w:t>
      </w:r>
      <w:r>
        <w:rPr>
          <w:rFonts w:ascii="Calibri" w:cs="Calibri" w:eastAsia="Calibri" w:hAnsi="Calibri"/>
          <w:color w:val="1A1A1A"/>
          <w:sz w:val="20"/>
          <w:szCs w:val="20"/>
        </w:rPr>
        <w:t xml:space="preserve"> : (i) </w:t>
      </w:r>
      <w:r>
        <w:rPr>
          <w:rFonts w:ascii="Calibri" w:cs="Calibri" w:eastAsia="Calibri" w:hAnsi="Calibri"/>
          <w:b/>
          <w:bCs/>
          <w:color w:val="1A1A1A"/>
          <w:sz w:val="20"/>
          <w:szCs w:val="20"/>
        </w:rPr>
        <w:t xml:space="preserve">atteinte grave à une liberté fondamentale</w:t>
      </w:r>
      <w:r>
        <w:rPr>
          <w:rFonts w:ascii="Calibri" w:cs="Calibri" w:eastAsia="Calibri" w:hAnsi="Calibri"/>
          <w:color w:val="1A1A1A"/>
          <w:sz w:val="20"/>
          <w:szCs w:val="20"/>
        </w:rPr>
        <w:t xml:space="preserve"> ; (ii) </w:t>
      </w:r>
      <w:r>
        <w:rPr>
          <w:rFonts w:ascii="Calibri" w:cs="Calibri" w:eastAsia="Calibri" w:hAnsi="Calibri"/>
          <w:b/>
          <w:bCs/>
          <w:color w:val="1A1A1A"/>
          <w:sz w:val="20"/>
          <w:szCs w:val="20"/>
        </w:rPr>
        <w:t xml:space="preserve">illégalité manifeste</w:t>
      </w:r>
      <w:r>
        <w:rPr>
          <w:rFonts w:ascii="Calibri" w:cs="Calibri" w:eastAsia="Calibri" w:hAnsi="Calibri"/>
          <w:color w:val="1A1A1A"/>
          <w:sz w:val="20"/>
          <w:szCs w:val="20"/>
        </w:rPr>
        <w:t xml:space="preserve"> — appréciée « </w:t>
      </w:r>
      <w:r>
        <w:rPr>
          <w:rFonts w:ascii="Calibri" w:cs="Calibri" w:eastAsia="Calibri" w:hAnsi="Calibri"/>
          <w:i/>
          <w:iCs/>
          <w:color w:val="1A1A1A"/>
          <w:sz w:val="20"/>
          <w:szCs w:val="20"/>
        </w:rPr>
        <w:t xml:space="preserve">en tenant compte des moyens dont dispose l’autorité administrative compétente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30 juillet 2015, Section française de l’OIP, n° 392043</w:t>
      </w:r>
      <w:r>
        <w:rPr>
          <w:rFonts w:ascii="Calibri" w:cs="Calibri" w:eastAsia="Calibri" w:hAnsi="Calibri"/>
          <w:color w:val="1A1A1A"/>
          <w:sz w:val="20"/>
          <w:szCs w:val="20"/>
        </w:rPr>
        <w:t xml:space="preserve">) ; (iii) </w:t>
      </w:r>
      <w:r>
        <w:rPr>
          <w:rFonts w:ascii="Calibri" w:cs="Calibri" w:eastAsia="Calibri" w:hAnsi="Calibri"/>
          <w:b/>
          <w:bCs/>
          <w:color w:val="1A1A1A"/>
          <w:sz w:val="20"/>
          <w:szCs w:val="20"/>
        </w:rPr>
        <w:t xml:space="preserve">urgence</w:t>
      </w:r>
      <w:r>
        <w:rPr>
          <w:rFonts w:ascii="Calibri" w:cs="Calibri" w:eastAsia="Calibri" w:hAnsi="Calibri"/>
          <w:color w:val="1A1A1A"/>
          <w:sz w:val="20"/>
          <w:szCs w:val="20"/>
        </w:rPr>
        <w:t xml:space="preserve"> rendant nécessaire une intervention à très brève échéance, appréciée selon la gravité de l’atteinte et la liberté en cause.</w:t>
      </w:r>
    </w:p>
    <w:p>
      <w:pPr>
        <w:pStyle w:val="ListParagraph"/>
        <w:numPr>
          <w:ilvl w:val="0"/>
          <w:numId w:val="2"/>
        </w:numPr>
        <w:spacing w:after="70" w:line="264"/>
        <w:jc w:val="both"/>
      </w:pPr>
      <w:r>
        <w:rPr>
          <w:rFonts w:ascii="Calibri" w:cs="Calibri" w:eastAsia="Calibri" w:hAnsi="Calibri"/>
          <w:b/>
          <w:bCs/>
          <w:color w:val="1A1A1A"/>
          <w:sz w:val="20"/>
          <w:szCs w:val="20"/>
        </w:rPr>
        <w:t xml:space="preserve">La notion autonome de liberté fondamentale</w:t>
      </w:r>
      <w:r>
        <w:rPr>
          <w:rFonts w:ascii="Calibri" w:cs="Calibri" w:eastAsia="Calibri" w:hAnsi="Calibri"/>
          <w:color w:val="1A1A1A"/>
          <w:sz w:val="20"/>
          <w:szCs w:val="20"/>
        </w:rPr>
        <w:t xml:space="preserve"> : catégorie définie par le juge administratif lui-même. Elle ne se déduit pas automatiquement de la valeur constitutionnelle ou conventionnelle d’un droit (</w:t>
      </w:r>
      <w:r>
        <w:rPr>
          <w:rFonts w:ascii="Calibri" w:cs="Calibri" w:eastAsia="Calibri" w:hAnsi="Calibri"/>
          <w:color w:val="E91E63"/>
          <w:sz w:val="20"/>
          <w:szCs w:val="20"/>
        </w:rPr>
        <w:t xml:space="preserve">CE, ord., 1er septembre 2017, Commune de Dannemarie, n° 413607</w:t>
      </w:r>
      <w:r>
        <w:rPr>
          <w:rFonts w:ascii="Calibri" w:cs="Calibri" w:eastAsia="Calibri" w:hAnsi="Calibri"/>
          <w:color w:val="1A1A1A"/>
          <w:sz w:val="20"/>
          <w:szCs w:val="20"/>
        </w:rPr>
        <w:t xml:space="preserve"> : la seule méconnaissance du principe d’égalité entre les femmes et les hommes ne caractérise pas, par elle-même, une atteinte à une liberté fondamentale). La liste n’est pas figée : le Conseil d’État a reconnu la </w:t>
      </w:r>
      <w:r>
        <w:rPr>
          <w:rFonts w:ascii="Calibri" w:cs="Calibri" w:eastAsia="Calibri" w:hAnsi="Calibri"/>
          <w:b/>
          <w:bCs/>
          <w:color w:val="1A1A1A"/>
          <w:sz w:val="20"/>
          <w:szCs w:val="20"/>
        </w:rPr>
        <w:t xml:space="preserve">liberté de création artistique</w:t>
      </w:r>
      <w:r>
        <w:rPr>
          <w:rFonts w:ascii="Calibri" w:cs="Calibri" w:eastAsia="Calibri" w:hAnsi="Calibri"/>
          <w:color w:val="1A1A1A"/>
          <w:sz w:val="20"/>
          <w:szCs w:val="20"/>
        </w:rPr>
        <w:t xml:space="preserve"> et la </w:t>
      </w:r>
      <w:r>
        <w:rPr>
          <w:rFonts w:ascii="Calibri" w:cs="Calibri" w:eastAsia="Calibri" w:hAnsi="Calibri"/>
          <w:b/>
          <w:bCs/>
          <w:color w:val="1A1A1A"/>
          <w:sz w:val="20"/>
          <w:szCs w:val="20"/>
        </w:rPr>
        <w:t xml:space="preserve">liberté d’accès aux œuvres culturelles</w:t>
      </w:r>
      <w:r>
        <w:rPr>
          <w:rFonts w:ascii="Calibri" w:cs="Calibri" w:eastAsia="Calibri" w:hAnsi="Calibri"/>
          <w:color w:val="1A1A1A"/>
          <w:sz w:val="20"/>
          <w:szCs w:val="20"/>
        </w:rPr>
        <w:t xml:space="preserve"> lors de la fermeture des salles de spectacle pendant la crise sanitaire (</w:t>
      </w:r>
      <w:r>
        <w:rPr>
          <w:rFonts w:ascii="Calibri" w:cs="Calibri" w:eastAsia="Calibri" w:hAnsi="Calibri"/>
          <w:color w:val="E91E63"/>
          <w:sz w:val="20"/>
          <w:szCs w:val="20"/>
        </w:rPr>
        <w:t xml:space="preserve">CE, ord., 23 décembre 2020, Moreau et autres, n° 447698</w:t>
      </w:r>
      <w:r>
        <w:rPr>
          <w:rFonts w:ascii="Calibri" w:cs="Calibri" w:eastAsia="Calibri" w:hAnsi="Calibri"/>
          <w:color w:val="1A1A1A"/>
          <w:sz w:val="20"/>
          <w:szCs w:val="20"/>
        </w:rPr>
        <w:t xml:space="preserve">). La qualification peut aussi porter sur certaines </w:t>
      </w:r>
      <w:r>
        <w:rPr>
          <w:rFonts w:ascii="Calibri" w:cs="Calibri" w:eastAsia="Calibri" w:hAnsi="Calibri"/>
          <w:b/>
          <w:bCs/>
          <w:color w:val="1A1A1A"/>
          <w:sz w:val="20"/>
          <w:szCs w:val="20"/>
        </w:rPr>
        <w:t xml:space="preserve">composantes</w:t>
      </w:r>
      <w:r>
        <w:rPr>
          <w:rFonts w:ascii="Calibri" w:cs="Calibri" w:eastAsia="Calibri" w:hAnsi="Calibri"/>
          <w:color w:val="1A1A1A"/>
          <w:sz w:val="20"/>
          <w:szCs w:val="20"/>
        </w:rPr>
        <w:t xml:space="preserve"> d’un droit sans englober celui-ci dans son ensemble.</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Libertés fondamentales reconnues — liste à mémoriser</w:t>
      </w:r>
      <w:r>
        <w:rPr>
          <w:rFonts w:ascii="Calibri" w:cs="Calibri" w:eastAsia="Calibri" w:hAnsi="Calibri"/>
          <w:color w:val="1A1A1A"/>
          <w:sz w:val="20"/>
          <w:szCs w:val="20"/>
        </w:rPr>
        <w:t xml:space="preserve"> : droit à la sûreté (</w:t>
      </w:r>
      <w:r>
        <w:rPr>
          <w:rFonts w:ascii="Calibri" w:cs="Calibri" w:eastAsia="Calibri" w:hAnsi="Calibri"/>
          <w:color w:val="E91E63"/>
          <w:sz w:val="20"/>
          <w:szCs w:val="20"/>
        </w:rPr>
        <w:t xml:space="preserve">CE, ord., 20 juillet 2001, Commune de Mandelieu-La Napoule, n° 236196</w:t>
      </w:r>
      <w:r>
        <w:rPr>
          <w:rFonts w:ascii="Calibri" w:cs="Calibri" w:eastAsia="Calibri" w:hAnsi="Calibri"/>
          <w:color w:val="1A1A1A"/>
          <w:sz w:val="20"/>
          <w:szCs w:val="20"/>
        </w:rPr>
        <w:t xml:space="preserve">) ; liberté d’opinion (</w:t>
      </w:r>
      <w:r>
        <w:rPr>
          <w:rFonts w:ascii="Calibri" w:cs="Calibri" w:eastAsia="Calibri" w:hAnsi="Calibri"/>
          <w:color w:val="E91E63"/>
          <w:sz w:val="20"/>
          <w:szCs w:val="20"/>
        </w:rPr>
        <w:t xml:space="preserve">CE, 28 février 2001, Casanovas, n° 229163</w:t>
      </w:r>
      <w:r>
        <w:rPr>
          <w:rFonts w:ascii="Calibri" w:cs="Calibri" w:eastAsia="Calibri" w:hAnsi="Calibri"/>
          <w:color w:val="1A1A1A"/>
          <w:sz w:val="20"/>
          <w:szCs w:val="20"/>
        </w:rPr>
        <w:t xml:space="preserve">) ; liberté d’aller et venir (</w:t>
      </w:r>
      <w:r>
        <w:rPr>
          <w:rFonts w:ascii="Calibri" w:cs="Calibri" w:eastAsia="Calibri" w:hAnsi="Calibri"/>
          <w:color w:val="E91E63"/>
          <w:sz w:val="20"/>
          <w:szCs w:val="20"/>
        </w:rPr>
        <w:t xml:space="preserve">CE, réf., 9 janvier 2001, Deperthes, n° 228928</w:t>
      </w:r>
      <w:r>
        <w:rPr>
          <w:rFonts w:ascii="Calibri" w:cs="Calibri" w:eastAsia="Calibri" w:hAnsi="Calibri"/>
          <w:color w:val="1A1A1A"/>
          <w:sz w:val="20"/>
          <w:szCs w:val="20"/>
        </w:rPr>
        <w:t xml:space="preserve">) ; droit au recours (</w:t>
      </w:r>
      <w:r>
        <w:rPr>
          <w:rFonts w:ascii="Calibri" w:cs="Calibri" w:eastAsia="Calibri" w:hAnsi="Calibri"/>
          <w:color w:val="E91E63"/>
          <w:sz w:val="20"/>
          <w:szCs w:val="20"/>
        </w:rPr>
        <w:t xml:space="preserve">CE, ord., 13 mars 2006, Bayrou et association de défense des usagers des autoroutes publiques de France, n° 291118</w:t>
      </w:r>
      <w:r>
        <w:rPr>
          <w:rFonts w:ascii="Calibri" w:cs="Calibri" w:eastAsia="Calibri" w:hAnsi="Calibri"/>
          <w:color w:val="1A1A1A"/>
          <w:sz w:val="20"/>
          <w:szCs w:val="20"/>
        </w:rPr>
        <w:t xml:space="preserve">) ; droit de grève (</w:t>
      </w:r>
      <w:r>
        <w:rPr>
          <w:rFonts w:ascii="Calibri" w:cs="Calibri" w:eastAsia="Calibri" w:hAnsi="Calibri"/>
          <w:color w:val="E91E63"/>
          <w:sz w:val="20"/>
          <w:szCs w:val="20"/>
        </w:rPr>
        <w:t xml:space="preserve">CE, 9 décembre 2003, Aguillon, n° 282186</w:t>
      </w:r>
      <w:r>
        <w:rPr>
          <w:rFonts w:ascii="Calibri" w:cs="Calibri" w:eastAsia="Calibri" w:hAnsi="Calibri"/>
          <w:color w:val="1A1A1A"/>
          <w:sz w:val="20"/>
          <w:szCs w:val="20"/>
        </w:rPr>
        <w:t xml:space="preserve">) ; droit d’asile (</w:t>
      </w:r>
      <w:r>
        <w:rPr>
          <w:rFonts w:ascii="Calibri" w:cs="Calibri" w:eastAsia="Calibri" w:hAnsi="Calibri"/>
          <w:color w:val="E91E63"/>
          <w:sz w:val="20"/>
          <w:szCs w:val="20"/>
        </w:rPr>
        <w:t xml:space="preserve">CE, ord., 12 janvier 2001, Hyacinthe, n° 229039</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2 mai 2001, Dziri, n° 232997</w:t>
      </w:r>
      <w:r>
        <w:rPr>
          <w:rFonts w:ascii="Calibri" w:cs="Calibri" w:eastAsia="Calibri" w:hAnsi="Calibri"/>
          <w:color w:val="1A1A1A"/>
          <w:sz w:val="20"/>
          <w:szCs w:val="20"/>
        </w:rPr>
        <w:t xml:space="preserve">) ; droit de propriété (</w:t>
      </w:r>
      <w:r>
        <w:rPr>
          <w:rFonts w:ascii="Calibri" w:cs="Calibri" w:eastAsia="Calibri" w:hAnsi="Calibri"/>
          <w:color w:val="E91E63"/>
          <w:sz w:val="20"/>
          <w:szCs w:val="20"/>
        </w:rPr>
        <w:t xml:space="preserve">CE, ord., 31 mai 2001, Commune d’Hyères-les-Palmiers</w:t>
      </w:r>
      <w:r>
        <w:rPr>
          <w:rFonts w:ascii="Calibri" w:cs="Calibri" w:eastAsia="Calibri" w:hAnsi="Calibri"/>
          <w:color w:val="1A1A1A"/>
          <w:sz w:val="20"/>
          <w:szCs w:val="20"/>
        </w:rPr>
        <w:t xml:space="preserve">) ; droit à un environnement équilibré (</w:t>
      </w:r>
      <w:r>
        <w:rPr>
          <w:rFonts w:ascii="Calibri" w:cs="Calibri" w:eastAsia="Calibri" w:hAnsi="Calibri"/>
          <w:color w:val="E91E63"/>
          <w:sz w:val="20"/>
          <w:szCs w:val="20"/>
        </w:rPr>
        <w:t xml:space="preserve">CE, ord., 20 septembre 2022, n° 451129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grandes affaires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9 janvier 2014, Ministre de l’Intérieur c. Société Les Productions de la Plume et M. Dieudonné M’Bala M’Bala, n° 374508</w:t>
      </w:r>
      <w:r>
        <w:rPr>
          <w:rFonts w:ascii="Calibri" w:cs="Calibri" w:eastAsia="Calibri" w:hAnsi="Calibri"/>
          <w:color w:val="1A1A1A"/>
          <w:sz w:val="20"/>
          <w:szCs w:val="20"/>
        </w:rPr>
        <w:t xml:space="preserve"> (mise en balance immédiate entre ordre public et liberté d’expression) ; ★ </w:t>
      </w:r>
      <w:r>
        <w:rPr>
          <w:rFonts w:ascii="Calibri" w:cs="Calibri" w:eastAsia="Calibri" w:hAnsi="Calibri"/>
          <w:color w:val="E91E63"/>
          <w:sz w:val="20"/>
          <w:szCs w:val="20"/>
        </w:rPr>
        <w:t xml:space="preserve">CE, Ass., 31 mai 2016, Mme Gonzalez Gomez, n° 396848</w:t>
      </w:r>
      <w:r>
        <w:rPr>
          <w:rFonts w:ascii="Calibri" w:cs="Calibri" w:eastAsia="Calibri" w:hAnsi="Calibri"/>
          <w:color w:val="1A1A1A"/>
          <w:sz w:val="20"/>
          <w:szCs w:val="20"/>
        </w:rPr>
        <w:t xml:space="preserve"> (transfert de gamètes vers l’Espagne : appréciation concrète des conséquences de la loi française au regard de l’</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23 mai 2024, n° 494320</w:t>
      </w:r>
      <w:r>
        <w:rPr>
          <w:rFonts w:ascii="Calibri" w:cs="Calibri" w:eastAsia="Calibri" w:hAnsi="Calibri"/>
          <w:color w:val="1A1A1A"/>
          <w:sz w:val="20"/>
          <w:szCs w:val="20"/>
        </w:rPr>
        <w:t xml:space="preserve"> (blocage de TikTok : </w:t>
      </w:r>
      <w:r>
        <w:rPr>
          <w:rFonts w:ascii="Calibri" w:cs="Calibri" w:eastAsia="Calibri" w:hAnsi="Calibri"/>
          <w:b/>
          <w:bCs/>
          <w:color w:val="1A1A1A"/>
          <w:sz w:val="20"/>
          <w:szCs w:val="20"/>
        </w:rPr>
        <w:t xml:space="preserve">rejet</w:t>
      </w:r>
      <w:r>
        <w:rPr>
          <w:rFonts w:ascii="Calibri" w:cs="Calibri" w:eastAsia="Calibri" w:hAnsi="Calibri"/>
          <w:color w:val="1A1A1A"/>
          <w:sz w:val="20"/>
          <w:szCs w:val="20"/>
        </w:rPr>
        <w:t xml:space="preserve"> faute d’urgence suffisamment établie, malgré la gravité de l’atteinte), puis </w:t>
      </w:r>
      <w:r>
        <w:rPr>
          <w:rFonts w:ascii="Calibri" w:cs="Calibri" w:eastAsia="Calibri" w:hAnsi="Calibri"/>
          <w:color w:val="E91E63"/>
          <w:sz w:val="20"/>
          <w:szCs w:val="20"/>
        </w:rPr>
        <w:t xml:space="preserve">CE, 1er avril 2025, Ligue des droits de l’homme et autres, n° 494511, 494583 et 495174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annulation au fond</w:t>
      </w:r>
      <w:r>
        <w:rPr>
          <w:rFonts w:ascii="Calibri" w:cs="Calibri" w:eastAsia="Calibri" w:hAnsi="Calibri"/>
          <w:color w:val="1A1A1A"/>
          <w:sz w:val="20"/>
          <w:szCs w:val="20"/>
        </w:rPr>
        <w:t xml:space="preserve"> : les circonstances exceptionnelles ne permettaient une telle mesure que si elle était indispensable et strictement proportionnée, notamment dans sa durée, en l’absence de mesure alternative moins attentatoire).</w:t>
      </w:r>
    </w:p>
    <w:p>
      <w:pPr>
        <w:pStyle w:val="Heading3"/>
        <w:spacing w:after="90" w:before="200"/>
      </w:pPr>
      <w:r>
        <w:rPr>
          <w:rFonts w:ascii="Calibri" w:cs="Calibri" w:eastAsia="Calibri" w:hAnsi="Calibri"/>
          <w:b/>
          <w:bCs/>
          <w:i/>
          <w:iCs/>
          <w:color w:val="5A5A5A"/>
          <w:sz w:val="21"/>
          <w:szCs w:val="21"/>
        </w:rPr>
        <w:t xml:space="preserve">2.3. Le référé-suspension</w:t>
      </w:r>
    </w:p>
    <w:p>
      <w:pPr>
        <w:pStyle w:val="ListParagraph"/>
        <w:numPr>
          <w:ilvl w:val="0"/>
          <w:numId w:val="2"/>
        </w:numPr>
        <w:spacing w:after="70" w:line="264"/>
        <w:jc w:val="both"/>
      </w:pPr>
      <w:r>
        <w:rPr>
          <w:rFonts w:ascii="Calibri" w:cs="Calibri" w:eastAsia="Calibri" w:hAnsi="Calibri"/>
          <w:color w:val="1E88E5"/>
          <w:sz w:val="20"/>
          <w:szCs w:val="20"/>
        </w:rPr>
        <w:t xml:space="preserve">Art. L. 521-1 CJA</w:t>
      </w:r>
      <w:r>
        <w:rPr>
          <w:rFonts w:ascii="Calibri" w:cs="Calibri" w:eastAsia="Calibri" w:hAnsi="Calibri"/>
          <w:color w:val="1A1A1A"/>
          <w:sz w:val="20"/>
          <w:szCs w:val="20"/>
        </w:rPr>
        <w:t xml:space="preserve"> : substitué au sursis à exécution par la </w:t>
      </w:r>
      <w:r>
        <w:rPr>
          <w:rFonts w:ascii="Calibri" w:cs="Calibri" w:eastAsia="Calibri" w:hAnsi="Calibri"/>
          <w:color w:val="1E88E5"/>
          <w:sz w:val="20"/>
          <w:szCs w:val="20"/>
        </w:rPr>
        <w:t xml:space="preserve">loi du 30 juin 2000</w:t>
      </w:r>
      <w:r>
        <w:rPr>
          <w:rFonts w:ascii="Calibri" w:cs="Calibri" w:eastAsia="Calibri" w:hAnsi="Calibri"/>
          <w:color w:val="1A1A1A"/>
          <w:sz w:val="20"/>
          <w:szCs w:val="20"/>
        </w:rPr>
        <w:t xml:space="preserve">. Justification : en vertu du </w:t>
      </w:r>
      <w:r>
        <w:rPr>
          <w:rFonts w:ascii="Calibri" w:cs="Calibri" w:eastAsia="Calibri" w:hAnsi="Calibri"/>
          <w:b/>
          <w:bCs/>
          <w:color w:val="1A1A1A"/>
          <w:sz w:val="20"/>
          <w:szCs w:val="20"/>
        </w:rPr>
        <w:t xml:space="preserve">privilège du préalable</w:t>
      </w:r>
      <w:r>
        <w:rPr>
          <w:rFonts w:ascii="Calibri" w:cs="Calibri" w:eastAsia="Calibri" w:hAnsi="Calibri"/>
          <w:color w:val="1A1A1A"/>
          <w:sz w:val="20"/>
          <w:szCs w:val="20"/>
        </w:rPr>
        <w:t xml:space="preserve">, les décisions de l’administration sont immédiatement exécutoires et les recours n’ont pas d’effet suspensif.</w:t>
      </w:r>
    </w:p>
    <w:p>
      <w:pPr>
        <w:pStyle w:val="ListParagraph"/>
        <w:numPr>
          <w:ilvl w:val="0"/>
          <w:numId w:val="2"/>
        </w:numPr>
        <w:spacing w:after="70" w:line="264"/>
        <w:jc w:val="both"/>
      </w:pPr>
      <w:r>
        <w:rPr>
          <w:rFonts w:ascii="Calibri" w:cs="Calibri" w:eastAsia="Calibri" w:hAnsi="Calibri"/>
          <w:b/>
          <w:bCs/>
          <w:color w:val="1A1A1A"/>
          <w:sz w:val="20"/>
          <w:szCs w:val="20"/>
        </w:rPr>
        <w:t xml:space="preserve">Deux conditions</w:t>
      </w:r>
      <w:r>
        <w:rPr>
          <w:rFonts w:ascii="Calibri" w:cs="Calibri" w:eastAsia="Calibri" w:hAnsi="Calibri"/>
          <w:color w:val="1A1A1A"/>
          <w:sz w:val="20"/>
          <w:szCs w:val="20"/>
        </w:rPr>
        <w:t xml:space="preserve"> : l’</w:t>
      </w:r>
      <w:r>
        <w:rPr>
          <w:rFonts w:ascii="Calibri" w:cs="Calibri" w:eastAsia="Calibri" w:hAnsi="Calibri"/>
          <w:b/>
          <w:bCs/>
          <w:color w:val="1A1A1A"/>
          <w:sz w:val="20"/>
          <w:szCs w:val="20"/>
        </w:rPr>
        <w:t xml:space="preserve">urgence</w:t>
      </w:r>
      <w:r>
        <w:rPr>
          <w:rFonts w:ascii="Calibri" w:cs="Calibri" w:eastAsia="Calibri" w:hAnsi="Calibri"/>
          <w:color w:val="1A1A1A"/>
          <w:sz w:val="20"/>
          <w:szCs w:val="20"/>
        </w:rPr>
        <w:t xml:space="preserve"> ; un moyen propre à créer, en l’état de l’instruction, un </w:t>
      </w:r>
      <w:r>
        <w:rPr>
          <w:rFonts w:ascii="Calibri" w:cs="Calibri" w:eastAsia="Calibri" w:hAnsi="Calibri"/>
          <w:b/>
          <w:bCs/>
          <w:color w:val="1A1A1A"/>
          <w:sz w:val="20"/>
          <w:szCs w:val="20"/>
        </w:rPr>
        <w:t xml:space="preserve">doute sérieux</w:t>
      </w:r>
      <w:r>
        <w:rPr>
          <w:rFonts w:ascii="Calibri" w:cs="Calibri" w:eastAsia="Calibri" w:hAnsi="Calibri"/>
          <w:color w:val="1A1A1A"/>
          <w:sz w:val="20"/>
          <w:szCs w:val="20"/>
        </w:rPr>
        <w:t xml:space="preserve"> quant à la légalité de la décision. </w:t>
      </w:r>
      <w:r>
        <w:rPr>
          <w:rFonts w:ascii="Calibri" w:cs="Calibri" w:eastAsia="Calibri" w:hAnsi="Calibri"/>
          <w:b/>
          <w:bCs/>
          <w:color w:val="1A1A1A"/>
          <w:sz w:val="20"/>
          <w:szCs w:val="20"/>
        </w:rPr>
        <w:t xml:space="preserve">Condition de recevabilité propre</w:t>
      </w:r>
      <w:r>
        <w:rPr>
          <w:rFonts w:ascii="Calibri" w:cs="Calibri" w:eastAsia="Calibri" w:hAnsi="Calibri"/>
          <w:color w:val="1A1A1A"/>
          <w:sz w:val="20"/>
          <w:szCs w:val="20"/>
        </w:rPr>
        <w:t xml:space="preserve"> : contrairement au référé-liberté, la requête n’est recevable qu’à la condition d’avoir été présentée </w:t>
      </w:r>
      <w:r>
        <w:rPr>
          <w:rFonts w:ascii="Calibri" w:cs="Calibri" w:eastAsia="Calibri" w:hAnsi="Calibri"/>
          <w:b/>
          <w:bCs/>
          <w:color w:val="1A1A1A"/>
          <w:sz w:val="20"/>
          <w:szCs w:val="20"/>
        </w:rPr>
        <w:t xml:space="preserve">en même temps qu’une requête en annulation au fond</w:t>
      </w:r>
      <w:r>
        <w:rPr>
          <w:rFonts w:ascii="Calibri" w:cs="Calibri" w:eastAsia="Calibri" w:hAnsi="Calibri"/>
          <w:color w:val="1A1A1A"/>
          <w:sz w:val="20"/>
          <w:szCs w:val="20"/>
        </w:rPr>
        <w:t xml:space="preserve">. Le juge statue en premier et dernier ressort ; l’ordonnance ne peut faire l’objet que d’un pourvoi en cassation devant le Conseil d’État.</w:t>
      </w:r>
    </w:p>
    <w:p>
      <w:pPr>
        <w:pStyle w:val="Heading3"/>
        <w:spacing w:after="90" w:before="200"/>
      </w:pPr>
      <w:r>
        <w:rPr>
          <w:rFonts w:ascii="Calibri" w:cs="Calibri" w:eastAsia="Calibri" w:hAnsi="Calibri"/>
          <w:b/>
          <w:bCs/>
          <w:i/>
          <w:iCs/>
          <w:color w:val="5A5A5A"/>
          <w:sz w:val="21"/>
          <w:szCs w:val="21"/>
        </w:rPr>
        <w:t xml:space="preserve">2.4. Le contrôle de conventionnalité</w:t>
      </w:r>
    </w:p>
    <w:p>
      <w:pPr>
        <w:pStyle w:val="ListParagraph"/>
        <w:numPr>
          <w:ilvl w:val="0"/>
          <w:numId w:val="2"/>
        </w:numPr>
        <w:spacing w:after="70" w:line="264"/>
        <w:jc w:val="both"/>
      </w:pPr>
      <w:r>
        <w:rPr>
          <w:rFonts w:ascii="Calibri" w:cs="Calibri" w:eastAsia="Calibri" w:hAnsi="Calibri"/>
          <w:color w:val="E91E63"/>
          <w:sz w:val="20"/>
          <w:szCs w:val="20"/>
        </w:rPr>
        <w:t xml:space="preserve">CE, 20 octobre 1989, Nicolo, n° 108243</w:t>
      </w:r>
      <w:r>
        <w:rPr>
          <w:rFonts w:ascii="Calibri" w:cs="Calibri" w:eastAsia="Calibri" w:hAnsi="Calibri"/>
          <w:color w:val="1A1A1A"/>
          <w:sz w:val="20"/>
          <w:szCs w:val="20"/>
        </w:rPr>
        <w:t xml:space="preserve"> : reconnaissance tardive de la compétence. Le juge administratif est allé plus loin en se reconnaissant compétent pour apprécier les droits consacrés dans les textes supranationaux </w:t>
      </w:r>
      <w:r>
        <w:rPr>
          <w:rFonts w:ascii="Calibri" w:cs="Calibri" w:eastAsia="Calibri" w:hAnsi="Calibri"/>
          <w:b/>
          <w:bCs/>
          <w:color w:val="1A1A1A"/>
          <w:sz w:val="20"/>
          <w:szCs w:val="20"/>
        </w:rPr>
        <w:t xml:space="preserve">à l’occasion des procédures d’urgence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Eu égard à son office, qui consiste à assurer la sauvegarde des libertés fondamentales, il appartient au juge des référés, saisi sur le fondement de l’article L. 521-2 du Code de justice administrative, de prendre, en cas d’urgence, toutes les mesures qui sont de nature à remédier aux effets résultant d’une atteinte grave et manifestement illégale portée, par une autorité administrative, à une liberté fondamentale, y compris lorsque cette atteinte résulte de l’application de dispositions législatives qui sont manifestement incompatibles avec les engagements européens ou internationaux de la France, ou dont la mise en œuvre entraînerait des conséquences manifestement contraires aux exigences nées de ces engagements.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31 mai 2016, Gonzalez Gomes c. Agence de biomédecine, n° 396848</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L’évolution de la protection : la meilleure justiciabilité des actes</w:t>
      </w:r>
    </w:p>
    <w:p>
      <w:pPr>
        <w:pStyle w:val="ListParagraph"/>
        <w:numPr>
          <w:ilvl w:val="0"/>
          <w:numId w:val="2"/>
        </w:numPr>
        <w:spacing w:after="70" w:line="264"/>
        <w:jc w:val="both"/>
      </w:pPr>
      <w:r>
        <w:rPr>
          <w:rFonts w:ascii="Calibri" w:cs="Calibri" w:eastAsia="Calibri" w:hAnsi="Calibri"/>
          <w:color w:val="E91E63"/>
          <w:sz w:val="20"/>
          <w:szCs w:val="20"/>
        </w:rPr>
        <w:t xml:space="preserve">CE, 19 février 1875, Prince Napoléon, n° 46707</w:t>
      </w:r>
      <w:r>
        <w:rPr>
          <w:rFonts w:ascii="Calibri" w:cs="Calibri" w:eastAsia="Calibri" w:hAnsi="Calibri"/>
          <w:color w:val="1A1A1A"/>
          <w:sz w:val="20"/>
          <w:szCs w:val="20"/>
        </w:rPr>
        <w:t xml:space="preserve"> : réduction de l’immunité des actes pris au regard de considérations purement politiques.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Les mesures d’ordre intérieur</w:t>
      </w:r>
      <w:r>
        <w:rPr>
          <w:rFonts w:ascii="Calibri" w:cs="Calibri" w:eastAsia="Calibri" w:hAnsi="Calibri"/>
          <w:color w:val="1A1A1A"/>
          <w:sz w:val="20"/>
          <w:szCs w:val="20"/>
        </w:rPr>
        <w:t xml:space="preserve"> : décisions prises dans le cadre de l’organisation et du fonctionnement des services, </w:t>
      </w:r>
      <w:r>
        <w:rPr>
          <w:rFonts w:ascii="Calibri" w:cs="Calibri" w:eastAsia="Calibri" w:hAnsi="Calibri"/>
          <w:b/>
          <w:bCs/>
          <w:color w:val="1A1A1A"/>
          <w:sz w:val="20"/>
          <w:szCs w:val="20"/>
        </w:rPr>
        <w:t xml:space="preserve">insusceptibles de recours</w:t>
      </w:r>
      <w:r>
        <w:rPr>
          <w:rFonts w:ascii="Calibri" w:cs="Calibri" w:eastAsia="Calibri" w:hAnsi="Calibri"/>
          <w:color w:val="1A1A1A"/>
          <w:sz w:val="20"/>
          <w:szCs w:val="20"/>
        </w:rPr>
        <w:t xml:space="preserve"> pour excès de pouvoir, alors même qu’elles peuvent affecter la situation de l’administré ou de l’agent public. Justification : ne pas encombrer le prétoire d’actes de faible portée. Difficulté : elles concernent des domaines sensibles — hôpitaux, services pénitentiaires, éducation. Le juge </w:t>
      </w:r>
      <w:r>
        <w:rPr>
          <w:rFonts w:ascii="Calibri" w:cs="Calibri" w:eastAsia="Calibri" w:hAnsi="Calibri"/>
          <w:b/>
          <w:bCs/>
          <w:color w:val="1A1A1A"/>
          <w:sz w:val="20"/>
          <w:szCs w:val="20"/>
        </w:rPr>
        <w:t xml:space="preserve">réduit progressivement</w:t>
      </w:r>
      <w:r>
        <w:rPr>
          <w:rFonts w:ascii="Calibri" w:cs="Calibri" w:eastAsia="Calibri" w:hAnsi="Calibri"/>
          <w:color w:val="1A1A1A"/>
          <w:sz w:val="20"/>
          <w:szCs w:val="20"/>
        </w:rPr>
        <w:t xml:space="preserve"> cette catégorie : </w:t>
      </w:r>
      <w:r>
        <w:rPr>
          <w:rFonts w:ascii="Calibri" w:cs="Calibri" w:eastAsia="Calibri" w:hAnsi="Calibri"/>
          <w:color w:val="E91E63"/>
          <w:sz w:val="20"/>
          <w:szCs w:val="20"/>
        </w:rPr>
        <w:t xml:space="preserve">CE, 17 février 1995, Hardouin et Marie, n° 107766</w:t>
      </w:r>
      <w:r>
        <w:rPr>
          <w:rFonts w:ascii="Calibri" w:cs="Calibri" w:eastAsia="Calibri" w:hAnsi="Calibri"/>
          <w:color w:val="1A1A1A"/>
          <w:sz w:val="20"/>
          <w:szCs w:val="20"/>
        </w:rPr>
        <w:t xml:space="preserve"> (« </w:t>
      </w:r>
      <w:r>
        <w:rPr>
          <w:rFonts w:ascii="Calibri" w:cs="Calibri" w:eastAsia="Calibri" w:hAnsi="Calibri"/>
          <w:i/>
          <w:iCs/>
          <w:color w:val="1A1A1A"/>
          <w:sz w:val="20"/>
          <w:szCs w:val="20"/>
        </w:rPr>
        <w:t xml:space="preserve">Tant par ses effets directs sur la liberté d’aller et venir du militaire, en dehors du service, que par ses conséquences sur l’avancement ou le renouvellement des contrats d’engagement, la punition des arrêts constitue une mesure faisant grief, susceptible d’être déférée au juge de l’excès de pouvoir</w:t>
      </w:r>
      <w:r>
        <w:rPr>
          <w:rFonts w:ascii="Calibri" w:cs="Calibri" w:eastAsia="Calibri" w:hAnsi="Calibri"/>
          <w:color w:val="1A1A1A"/>
          <w:sz w:val="20"/>
          <w:szCs w:val="20"/>
        </w:rPr>
        <w:t xml:space="preserve"> ») ; </w:t>
      </w:r>
      <w:r>
        <w:rPr>
          <w:rFonts w:ascii="Calibri" w:cs="Calibri" w:eastAsia="Calibri" w:hAnsi="Calibri"/>
          <w:color w:val="E91E63"/>
          <w:sz w:val="20"/>
          <w:szCs w:val="20"/>
        </w:rPr>
        <w:t xml:space="preserve">CE, 25 septembre 2015, Bourjolly, n° 372624</w:t>
      </w:r>
      <w:r>
        <w:rPr>
          <w:rFonts w:ascii="Calibri" w:cs="Calibri" w:eastAsia="Calibri" w:hAnsi="Calibri"/>
          <w:color w:val="1A1A1A"/>
          <w:sz w:val="20"/>
          <w:szCs w:val="20"/>
        </w:rPr>
        <w:t xml:space="preserve"> (les mesures prises à l’égard d’agents publics ne constituent des mesures d’ordre intérieur insusceptibles de recours que si elles ne portent pas atteinte à leurs droits et libertés fondamentaux ni n’emportent perte de responsabilités ou de rémunération — et le recours reste recevable si elles traduisent une </w:t>
      </w:r>
      <w:r>
        <w:rPr>
          <w:rFonts w:ascii="Calibri" w:cs="Calibri" w:eastAsia="Calibri" w:hAnsi="Calibri"/>
          <w:b/>
          <w:bCs/>
          <w:color w:val="1A1A1A"/>
          <w:sz w:val="20"/>
          <w:szCs w:val="20"/>
        </w:rPr>
        <w:t xml:space="preserve">discrimination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actes de droit souple</w:t>
      </w:r>
      <w:r>
        <w:rPr>
          <w:rFonts w:ascii="Calibri" w:cs="Calibri" w:eastAsia="Calibri" w:hAnsi="Calibri"/>
          <w:color w:val="1A1A1A"/>
          <w:sz w:val="20"/>
          <w:szCs w:val="20"/>
        </w:rPr>
        <w:t xml:space="preserve"> : avis, recommandations, mises en garde et prises de position des autorités de régulation. ★ </w:t>
      </w:r>
      <w:r>
        <w:rPr>
          <w:rFonts w:ascii="Calibri" w:cs="Calibri" w:eastAsia="Calibri" w:hAnsi="Calibri"/>
          <w:color w:val="E91E63"/>
          <w:sz w:val="20"/>
          <w:szCs w:val="20"/>
        </w:rPr>
        <w:t xml:space="preserve">CE, Ass., 21 mars 2016, Société Fairvesta International GMBH, n° 368082</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Société NC Numericable, n° 390023</w:t>
      </w:r>
      <w:r>
        <w:rPr>
          <w:rFonts w:ascii="Calibri" w:cs="Calibri" w:eastAsia="Calibri" w:hAnsi="Calibri"/>
          <w:color w:val="1A1A1A"/>
          <w:sz w:val="20"/>
          <w:szCs w:val="20"/>
        </w:rPr>
        <w:t xml:space="preserve"> : ils peuvent être contestés s’ils revêtent le </w:t>
      </w:r>
      <w:r>
        <w:rPr>
          <w:rFonts w:ascii="Calibri" w:cs="Calibri" w:eastAsia="Calibri" w:hAnsi="Calibri"/>
          <w:b/>
          <w:bCs/>
          <w:color w:val="1A1A1A"/>
          <w:sz w:val="20"/>
          <w:szCs w:val="20"/>
        </w:rPr>
        <w:t xml:space="preserve">caractère de dispositions générales et impératives</w:t>
      </w:r>
      <w:r>
        <w:rPr>
          <w:rFonts w:ascii="Calibri" w:cs="Calibri" w:eastAsia="Calibri" w:hAnsi="Calibri"/>
          <w:color w:val="1A1A1A"/>
          <w:sz w:val="20"/>
          <w:szCs w:val="20"/>
        </w:rPr>
        <w:t xml:space="preserve">, s’ils énoncent des </w:t>
      </w:r>
      <w:r>
        <w:rPr>
          <w:rFonts w:ascii="Calibri" w:cs="Calibri" w:eastAsia="Calibri" w:hAnsi="Calibri"/>
          <w:b/>
          <w:bCs/>
          <w:color w:val="1A1A1A"/>
          <w:sz w:val="20"/>
          <w:szCs w:val="20"/>
        </w:rPr>
        <w:t xml:space="preserve">prescriptions individuelles</w:t>
      </w:r>
      <w:r>
        <w:rPr>
          <w:rFonts w:ascii="Calibri" w:cs="Calibri" w:eastAsia="Calibri" w:hAnsi="Calibri"/>
          <w:color w:val="1A1A1A"/>
          <w:sz w:val="20"/>
          <w:szCs w:val="20"/>
        </w:rPr>
        <w:t xml:space="preserve"> dont l’autorité pourrait censurer la méconnaissance, ou s’ils sont de nature à produire des </w:t>
      </w:r>
      <w:r>
        <w:rPr>
          <w:rFonts w:ascii="Calibri" w:cs="Calibri" w:eastAsia="Calibri" w:hAnsi="Calibri"/>
          <w:b/>
          <w:bCs/>
          <w:color w:val="1A1A1A"/>
          <w:sz w:val="20"/>
          <w:szCs w:val="20"/>
        </w:rPr>
        <w:t xml:space="preserve">effets notables</w:t>
      </w:r>
      <w:r>
        <w:rPr>
          <w:rFonts w:ascii="Calibri" w:cs="Calibri" w:eastAsia="Calibri" w:hAnsi="Calibri"/>
          <w:color w:val="1A1A1A"/>
          <w:sz w:val="20"/>
          <w:szCs w:val="20"/>
        </w:rPr>
        <w:t xml:space="preserve">, notamment économiques, ou ont pour objet d’influer de manière significative sur les comportements des destinataires. Extension : </w:t>
      </w:r>
      <w:r>
        <w:rPr>
          <w:rFonts w:ascii="Calibri" w:cs="Calibri" w:eastAsia="Calibri" w:hAnsi="Calibri"/>
          <w:color w:val="E91E63"/>
          <w:sz w:val="20"/>
          <w:szCs w:val="20"/>
        </w:rPr>
        <w:t xml:space="preserve">CE, 12 juin 2020, GISTI, n° 418142</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peuvent être déférés au juge de l’excès de pouvoir lorsqu’ils sont susceptibles d’avoir des effets notables sur les droits ou la situation d’autres personnes que les agents</w:t>
      </w:r>
      <w:r>
        <w:rPr>
          <w:rFonts w:ascii="Calibri" w:cs="Calibri" w:eastAsia="Calibri" w:hAnsi="Calibri"/>
          <w:color w:val="1A1A1A"/>
          <w:sz w:val="20"/>
          <w:szCs w:val="20"/>
        </w:rPr>
        <w:t xml:space="preserve"> », ce qui ouvre le recours à l’ensemble des documents de portée générale émanant d’autorités publiques.</w:t>
      </w:r>
    </w:p>
    <w:p>
      <w:pPr>
        <w:pStyle w:val="Heading2"/>
        <w:spacing w:after="120" w:before="280"/>
      </w:pPr>
      <w:r>
        <w:rPr>
          <w:rFonts w:ascii="Calibri" w:cs="Calibri" w:eastAsia="Calibri" w:hAnsi="Calibri"/>
          <w:b/>
          <w:bCs/>
          <w:color w:val="1A1A1A"/>
          <w:sz w:val="24"/>
          <w:szCs w:val="24"/>
        </w:rPr>
        <w:t xml:space="preserve">4. Débats doctrinaux &amp; critiques</w:t>
      </w:r>
    </w:p>
    <w:p>
      <w:pPr>
        <w:pStyle w:val="ListParagraph"/>
        <w:numPr>
          <w:ilvl w:val="0"/>
          <w:numId w:val="2"/>
        </w:numPr>
        <w:spacing w:after="70" w:line="264"/>
        <w:jc w:val="both"/>
      </w:pPr>
      <w:r>
        <w:rPr>
          <w:rFonts w:ascii="Calibri" w:cs="Calibri" w:eastAsia="Calibri" w:hAnsi="Calibri"/>
          <w:color w:val="2E7D32"/>
          <w:sz w:val="20"/>
          <w:szCs w:val="20"/>
        </w:rPr>
        <w:t xml:space="preserve">Bertrand Louvel</w:t>
      </w:r>
      <w:r>
        <w:rPr>
          <w:rFonts w:ascii="Calibri" w:cs="Calibri" w:eastAsia="Calibri" w:hAnsi="Calibri"/>
          <w:color w:val="1A1A1A"/>
          <w:sz w:val="20"/>
          <w:szCs w:val="20"/>
        </w:rPr>
        <w:t xml:space="preserve"> : critique récurrente du maintien de la dualité juridictionnelle et de la mise à l’écart de l’autorité judiciaire au profit du juge administratif. Il a notamment contesté la compétence du Conseil d’État pour connaître de la </w:t>
      </w:r>
      <w:r>
        <w:rPr>
          <w:rFonts w:ascii="Calibri" w:cs="Calibri" w:eastAsia="Calibri" w:hAnsi="Calibri"/>
          <w:b/>
          <w:bCs/>
          <w:color w:val="1A1A1A"/>
          <w:sz w:val="20"/>
          <w:szCs w:val="20"/>
        </w:rPr>
        <w:t xml:space="preserve">prolongation des assignations à résidence</w:t>
      </w:r>
      <w:r>
        <w:rPr>
          <w:rFonts w:ascii="Calibri" w:cs="Calibri" w:eastAsia="Calibri" w:hAnsi="Calibri"/>
          <w:color w:val="1A1A1A"/>
          <w:sz w:val="20"/>
          <w:szCs w:val="20"/>
        </w:rPr>
        <w:t xml:space="preserve"> sous état d’urgence, estimant que le législateur avait dérogé à la compétence de l’autorité judiciaire garantie par l’</w:t>
      </w:r>
      <w:r>
        <w:rPr>
          <w:rFonts w:ascii="Calibri" w:cs="Calibri" w:eastAsia="Calibri" w:hAnsi="Calibri"/>
          <w:color w:val="1E88E5"/>
          <w:sz w:val="20"/>
          <w:szCs w:val="20"/>
        </w:rPr>
        <w:t xml:space="preserve">art. 66 C.</w:t>
      </w:r>
    </w:p>
    <w:p>
      <w:pPr>
        <w:pStyle w:val="ListParagraph"/>
        <w:numPr>
          <w:ilvl w:val="0"/>
          <w:numId w:val="2"/>
        </w:numPr>
        <w:spacing w:after="70" w:line="264"/>
        <w:jc w:val="both"/>
      </w:pPr>
      <w:r>
        <w:rPr>
          <w:rFonts w:ascii="Calibri" w:cs="Calibri" w:eastAsia="Calibri" w:hAnsi="Calibri"/>
          <w:b/>
          <w:bCs/>
          <w:color w:val="1A1A1A"/>
          <w:sz w:val="20"/>
          <w:szCs w:val="20"/>
        </w:rPr>
        <w:t xml:space="preserve">Contre-argument à tenir</w:t>
      </w:r>
      <w:r>
        <w:rPr>
          <w:rFonts w:ascii="Calibri" w:cs="Calibri" w:eastAsia="Calibri" w:hAnsi="Calibri"/>
          <w:color w:val="1A1A1A"/>
          <w:sz w:val="20"/>
          <w:szCs w:val="20"/>
        </w:rPr>
        <w:t xml:space="preserve"> : personne ne discute plus sérieusement que la compétence du juge administratif en matière de défense des droits fondamentaux soit aussi protectrice de l’individu face à l’intérêt général que celle du juge judiciaire. Le débat porte sur la </w:t>
      </w:r>
      <w:r>
        <w:rPr>
          <w:rFonts w:ascii="Calibri" w:cs="Calibri" w:eastAsia="Calibri" w:hAnsi="Calibri"/>
          <w:b/>
          <w:bCs/>
          <w:color w:val="1A1A1A"/>
          <w:sz w:val="20"/>
          <w:szCs w:val="20"/>
        </w:rPr>
        <w:t xml:space="preserve">lisibilité</w:t>
      </w:r>
      <w:r>
        <w:rPr>
          <w:rFonts w:ascii="Calibri" w:cs="Calibri" w:eastAsia="Calibri" w:hAnsi="Calibri"/>
          <w:color w:val="1A1A1A"/>
          <w:sz w:val="20"/>
          <w:szCs w:val="20"/>
        </w:rPr>
        <w:t xml:space="preserve"> de la répartition, non sur la qualité de la protection.</w:t>
      </w:r>
    </w:p>
    <w:p>
      <w:pPr>
        <w:pStyle w:val="ListParagraph"/>
        <w:numPr>
          <w:ilvl w:val="0"/>
          <w:numId w:val="2"/>
        </w:numPr>
        <w:spacing w:after="70" w:line="264"/>
        <w:jc w:val="both"/>
      </w:pPr>
      <w:r>
        <w:rPr>
          <w:rFonts w:ascii="Calibri" w:cs="Calibri" w:eastAsia="Calibri" w:hAnsi="Calibri"/>
          <w:b/>
          <w:bCs/>
          <w:color w:val="1A1A1A"/>
          <w:sz w:val="20"/>
          <w:szCs w:val="20"/>
        </w:rPr>
        <w:t xml:space="preserve">Angle critique à exploiter</w:t>
      </w:r>
      <w:r>
        <w:rPr>
          <w:rFonts w:ascii="Calibri" w:cs="Calibri" w:eastAsia="Calibri" w:hAnsi="Calibri"/>
          <w:color w:val="1A1A1A"/>
          <w:sz w:val="20"/>
          <w:szCs w:val="20"/>
        </w:rPr>
        <w:t xml:space="preserve"> : c’est surtout par la </w:t>
      </w:r>
      <w:r>
        <w:rPr>
          <w:rFonts w:ascii="Calibri" w:cs="Calibri" w:eastAsia="Calibri" w:hAnsi="Calibri"/>
          <w:b/>
          <w:bCs/>
          <w:color w:val="1A1A1A"/>
          <w:sz w:val="20"/>
          <w:szCs w:val="20"/>
        </w:rPr>
        <w:t xml:space="preserve">voie procédurale</w:t>
      </w:r>
      <w:r>
        <w:rPr>
          <w:rFonts w:ascii="Calibri" w:cs="Calibri" w:eastAsia="Calibri" w:hAnsi="Calibri"/>
          <w:color w:val="1A1A1A"/>
          <w:sz w:val="20"/>
          <w:szCs w:val="20"/>
        </w:rPr>
        <w:t xml:space="preserve"> que le juge administratif protège — sans voie de droit efficace, la protection des libertés ne l’est pas davantage. La trajectoire astreinte (1980) → injonction (1995) → référés (2000) montre que l’office du juge a été refaçonné par le </w:t>
      </w:r>
      <w:r>
        <w:rPr>
          <w:rFonts w:ascii="Calibri" w:cs="Calibri" w:eastAsia="Calibri" w:hAnsi="Calibri"/>
          <w:b/>
          <w:bCs/>
          <w:color w:val="1A1A1A"/>
          <w:sz w:val="20"/>
          <w:szCs w:val="20"/>
        </w:rPr>
        <w:t xml:space="preserve">législateur</w:t>
      </w:r>
      <w:r>
        <w:rPr>
          <w:rFonts w:ascii="Calibri" w:cs="Calibri" w:eastAsia="Calibri" w:hAnsi="Calibri"/>
          <w:color w:val="1A1A1A"/>
          <w:sz w:val="20"/>
          <w:szCs w:val="20"/>
        </w:rPr>
        <w:t xml:space="preserve"> autant que par la jurisprudence.</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Tout droit constitutionnel est-il une liberté fondamentale au sens du référé-liberté ? »</w:t>
      </w:r>
      <w:r>
        <w:rPr>
          <w:rFonts w:ascii="Calibri" w:cs="Calibri" w:eastAsia="Calibri" w:hAnsi="Calibri"/>
          <w:color w:val="1A1A1A"/>
          <w:sz w:val="20"/>
          <w:szCs w:val="20"/>
        </w:rPr>
        <w:t xml:space="preserve"> — Non. La catégorie est </w:t>
      </w:r>
      <w:r>
        <w:rPr>
          <w:rFonts w:ascii="Calibri" w:cs="Calibri" w:eastAsia="Calibri" w:hAnsi="Calibri"/>
          <w:b/>
          <w:bCs/>
          <w:color w:val="1A1A1A"/>
          <w:sz w:val="20"/>
          <w:szCs w:val="20"/>
        </w:rPr>
        <w:t xml:space="preserve">autonome</w:t>
      </w:r>
      <w:r>
        <w:rPr>
          <w:rFonts w:ascii="Calibri" w:cs="Calibri" w:eastAsia="Calibri" w:hAnsi="Calibri"/>
          <w:color w:val="1A1A1A"/>
          <w:sz w:val="20"/>
          <w:szCs w:val="20"/>
        </w:rPr>
        <w:t xml:space="preserve"> : il faut rechercher si le Conseil d’État lui a reconnu cette qualité ou si la prérogative invoquée peut être rattachée à une liberté fondamentale déjà identifiée. Illustrer par </w:t>
      </w:r>
      <w:r>
        <w:rPr>
          <w:rFonts w:ascii="Calibri" w:cs="Calibri" w:eastAsia="Calibri" w:hAnsi="Calibri"/>
          <w:color w:val="E91E63"/>
          <w:sz w:val="20"/>
          <w:szCs w:val="20"/>
        </w:rPr>
        <w:t xml:space="preserve">Dannemarie</w:t>
      </w:r>
      <w:r>
        <w:rPr>
          <w:rFonts w:ascii="Calibri" w:cs="Calibri" w:eastAsia="Calibri" w:hAnsi="Calibri"/>
          <w:color w:val="1A1A1A"/>
          <w:sz w:val="20"/>
          <w:szCs w:val="20"/>
        </w:rPr>
        <w:t xml:space="preserve"> (égalité femmes-hommes) et par le droit à la protection de la santé.</w:t>
      </w:r>
    </w:p>
    <w:p>
      <w:pPr>
        <w:pStyle w:val="ListParagraph"/>
        <w:numPr>
          <w:ilvl w:val="0"/>
          <w:numId w:val="2"/>
        </w:numPr>
        <w:spacing w:after="70" w:line="264"/>
        <w:jc w:val="both"/>
      </w:pPr>
      <w:r>
        <w:rPr>
          <w:rFonts w:ascii="Calibri" w:cs="Calibri" w:eastAsia="Calibri" w:hAnsi="Calibri"/>
          <w:b/>
          <w:bCs/>
          <w:color w:val="1A1A1A"/>
          <w:sz w:val="20"/>
          <w:szCs w:val="20"/>
        </w:rPr>
        <w:t xml:space="preserve">« Référé-liberté ou référé-suspension ? »</w:t>
      </w:r>
      <w:r>
        <w:rPr>
          <w:rFonts w:ascii="Calibri" w:cs="Calibri" w:eastAsia="Calibri" w:hAnsi="Calibri"/>
          <w:color w:val="1A1A1A"/>
          <w:sz w:val="20"/>
          <w:szCs w:val="20"/>
        </w:rPr>
        <w:t xml:space="preserve"> — Le référé-liberté suppose une atteinte grave et manifestement illégale à une liberté fondamentale, statue en 48 heures et ne requiert pas de requête au fond. Le référé-suspension suppose l’urgence et un doute sérieux sur la légalité, et n’est recevable qu’accompagné d’une requête en annulation.</w:t>
      </w:r>
    </w:p>
    <w:p>
      <w:pPr>
        <w:pStyle w:val="ListParagraph"/>
        <w:numPr>
          <w:ilvl w:val="0"/>
          <w:numId w:val="2"/>
        </w:numPr>
        <w:spacing w:after="70" w:line="264"/>
        <w:jc w:val="both"/>
      </w:pPr>
      <w:r>
        <w:rPr>
          <w:rFonts w:ascii="Calibri" w:cs="Calibri" w:eastAsia="Calibri" w:hAnsi="Calibri"/>
          <w:b/>
          <w:bCs/>
          <w:color w:val="1A1A1A"/>
          <w:sz w:val="20"/>
          <w:szCs w:val="20"/>
        </w:rPr>
        <w:t xml:space="preserve">« Le juge administratif peut-il écarter une loi en référé ? »</w:t>
      </w:r>
      <w:r>
        <w:rPr>
          <w:rFonts w:ascii="Calibri" w:cs="Calibri" w:eastAsia="Calibri" w:hAnsi="Calibri"/>
          <w:color w:val="1A1A1A"/>
          <w:sz w:val="20"/>
          <w:szCs w:val="20"/>
        </w:rPr>
        <w:t xml:space="preserve"> — Oui : </w:t>
      </w:r>
      <w:r>
        <w:rPr>
          <w:rFonts w:ascii="Calibri" w:cs="Calibri" w:eastAsia="Calibri" w:hAnsi="Calibri"/>
          <w:color w:val="E91E63"/>
          <w:sz w:val="20"/>
          <w:szCs w:val="20"/>
        </w:rPr>
        <w:t xml:space="preserve">Gonzalez Gomez</w:t>
      </w:r>
      <w:r>
        <w:rPr>
          <w:rFonts w:ascii="Calibri" w:cs="Calibri" w:eastAsia="Calibri" w:hAnsi="Calibri"/>
          <w:color w:val="1A1A1A"/>
          <w:sz w:val="20"/>
          <w:szCs w:val="20"/>
        </w:rPr>
        <w:t xml:space="preserve"> admet qu’il apprécie, en urgence, les conséquences concrètes de l’application de dispositions législatives manifestement incompatibles avec les engagements européens ou internationaux de la France. C’est l’un des points les plus spectaculaires de l’évolution de son office.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Commentaire de CE, ord., 12 janvier 2001, </w:t>
      </w:r>
      <w:r>
        <w:rPr>
          <w:rFonts w:ascii="Calibri" w:cs="Calibri" w:eastAsia="Calibri" w:hAnsi="Calibri"/>
          <w:i/>
          <w:iCs/>
          <w:color w:val="1A1A1A"/>
          <w:sz w:val="20"/>
          <w:szCs w:val="20"/>
        </w:rPr>
        <w:t xml:space="preserve">Hyacinthe</w:t>
      </w:r>
      <w:r>
        <w:rPr>
          <w:rFonts w:ascii="Calibri" w:cs="Calibri" w:eastAsia="Calibri" w:hAnsi="Calibri"/>
          <w:color w:val="1A1A1A"/>
          <w:sz w:val="20"/>
          <w:szCs w:val="20"/>
        </w:rPr>
        <w:t xml:space="preserve">, n° 229039 » (sujet de commentaire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Le juge administratif, juge des libertés ? » ; « Le référé-liberté ».</w:t>
      </w:r>
    </w:p>
    <w:p>
      <w:pPr>
        <w:pStyle w:val="ListParagraph"/>
        <w:numPr>
          <w:ilvl w:val="0"/>
          <w:numId w:val="2"/>
        </w:numPr>
        <w:spacing w:after="70" w:line="264"/>
        <w:jc w:val="both"/>
      </w:pPr>
      <w:r>
        <w:rPr>
          <w:rFonts w:ascii="Calibri" w:cs="Calibri" w:eastAsia="Calibri" w:hAnsi="Calibri"/>
          <w:color w:val="1A1A1A"/>
          <w:sz w:val="20"/>
          <w:szCs w:val="20"/>
        </w:rPr>
        <w:t xml:space="preserve">« La notion de liberté fondamentale au sens de l’article L. 521-2 du Code de justice administrative ».</w:t>
      </w:r>
    </w:p>
    <w:p>
      <w:pPr>
        <w:pStyle w:val="ListParagraph"/>
        <w:numPr>
          <w:ilvl w:val="0"/>
          <w:numId w:val="2"/>
        </w:numPr>
        <w:spacing w:after="70" w:line="264"/>
        <w:jc w:val="both"/>
      </w:pPr>
      <w:r>
        <w:rPr>
          <w:rFonts w:ascii="Calibri" w:cs="Calibri" w:eastAsia="Calibri" w:hAnsi="Calibri"/>
          <w:color w:val="1A1A1A"/>
          <w:sz w:val="20"/>
          <w:szCs w:val="20"/>
        </w:rPr>
        <w:t xml:space="preserve">« La subjectivisation du recours pour excès de pouvoir » ; « La justiciabilité du droit souple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est le délai imparti au juge du référé-liberté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48 heures</w:t>
      </w:r>
      <w:r>
        <w:rPr>
          <w:rFonts w:ascii="Calibri" w:cs="Calibri" w:eastAsia="Calibri" w:hAnsi="Calibri"/>
          <w:color w:val="1A1A1A"/>
          <w:sz w:val="20"/>
          <w:szCs w:val="20"/>
        </w:rPr>
        <w:t xml:space="preserve">. À ne pas confondre avec les délais de la QPC (trois mois) ni avec le délai de recours du REP (deux mois).</w:t>
      </w:r>
    </w:p>
    <w:p>
      <w:pPr>
        <w:pStyle w:val="ListParagraph"/>
        <w:numPr>
          <w:ilvl w:val="0"/>
          <w:numId w:val="2"/>
        </w:numPr>
        <w:spacing w:after="70" w:line="264"/>
        <w:jc w:val="both"/>
      </w:pPr>
      <w:r>
        <w:rPr>
          <w:rFonts w:ascii="Calibri" w:cs="Calibri" w:eastAsia="Calibri" w:hAnsi="Calibri"/>
          <w:b/>
          <w:bCs/>
          <w:color w:val="1A1A1A"/>
          <w:sz w:val="20"/>
          <w:szCs w:val="20"/>
        </w:rPr>
        <w:t xml:space="preserve">Q. Le référé-liberté suppose-t-il une requête au fond ?</w:t>
      </w:r>
      <w:r>
        <w:rPr>
          <w:rFonts w:ascii="Calibri" w:cs="Calibri" w:eastAsia="Calibri" w:hAnsi="Calibri"/>
          <w:color w:val="1A1A1A"/>
          <w:sz w:val="20"/>
          <w:szCs w:val="20"/>
        </w:rPr>
        <w:t xml:space="preserve"> — Non. C’est le </w:t>
      </w:r>
      <w:r>
        <w:rPr>
          <w:rFonts w:ascii="Calibri" w:cs="Calibri" w:eastAsia="Calibri" w:hAnsi="Calibri"/>
          <w:b/>
          <w:bCs/>
          <w:color w:val="1A1A1A"/>
          <w:sz w:val="20"/>
          <w:szCs w:val="20"/>
        </w:rPr>
        <w:t xml:space="preserve">référé-suspension</w:t>
      </w:r>
      <w:r>
        <w:rPr>
          <w:rFonts w:ascii="Calibri" w:cs="Calibri" w:eastAsia="Calibri" w:hAnsi="Calibri"/>
          <w:color w:val="1A1A1A"/>
          <w:sz w:val="20"/>
          <w:szCs w:val="20"/>
        </w:rPr>
        <w:t xml:space="preserve"> qui n’est recevable qu’accompagné d’une requête en annulation.</w:t>
      </w:r>
    </w:p>
    <w:p>
      <w:pPr>
        <w:pStyle w:val="ListParagraph"/>
        <w:numPr>
          <w:ilvl w:val="0"/>
          <w:numId w:val="2"/>
        </w:numPr>
        <w:spacing w:after="70" w:line="264"/>
        <w:jc w:val="both"/>
      </w:pPr>
      <w:r>
        <w:rPr>
          <w:rFonts w:ascii="Calibri" w:cs="Calibri" w:eastAsia="Calibri" w:hAnsi="Calibri"/>
          <w:b/>
          <w:bCs/>
          <w:color w:val="1A1A1A"/>
          <w:sz w:val="20"/>
          <w:szCs w:val="20"/>
        </w:rPr>
        <w:t xml:space="preserve">Q. L’illégalité manifeste s’apprécie-t-elle dans l’absolu ?</w:t>
      </w:r>
      <w:r>
        <w:rPr>
          <w:rFonts w:ascii="Calibri" w:cs="Calibri" w:eastAsia="Calibri" w:hAnsi="Calibri"/>
          <w:color w:val="1A1A1A"/>
          <w:sz w:val="20"/>
          <w:szCs w:val="20"/>
        </w:rPr>
        <w:t xml:space="preserve"> — Non : « </w:t>
      </w:r>
      <w:r>
        <w:rPr>
          <w:rFonts w:ascii="Calibri" w:cs="Calibri" w:eastAsia="Calibri" w:hAnsi="Calibri"/>
          <w:i/>
          <w:iCs/>
          <w:color w:val="1A1A1A"/>
          <w:sz w:val="20"/>
          <w:szCs w:val="20"/>
        </w:rPr>
        <w:t xml:space="preserve">en tenant compte des moyens dont dispose l’autorité administrative compétente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Section française de l’OIP</w:t>
      </w:r>
      <w:r>
        <w:rPr>
          <w:rFonts w:ascii="Calibri" w:cs="Calibri" w:eastAsia="Calibri" w:hAnsi="Calibri"/>
          <w:color w:val="1A1A1A"/>
          <w:sz w:val="20"/>
          <w:szCs w:val="20"/>
        </w:rPr>
        <w:t xml:space="preserve">, 2015). Ce tempérament est régulièrement oublié.</w:t>
      </w:r>
    </w:p>
    <w:p>
      <w:pPr>
        <w:pStyle w:val="ListParagraph"/>
        <w:numPr>
          <w:ilvl w:val="0"/>
          <w:numId w:val="2"/>
        </w:numPr>
        <w:spacing w:after="70" w:line="264"/>
        <w:jc w:val="both"/>
      </w:pPr>
      <w:r>
        <w:rPr>
          <w:rFonts w:ascii="Calibri" w:cs="Calibri" w:eastAsia="Calibri" w:hAnsi="Calibri"/>
          <w:b/>
          <w:bCs/>
          <w:color w:val="1A1A1A"/>
          <w:sz w:val="20"/>
          <w:szCs w:val="20"/>
        </w:rPr>
        <w:t xml:space="preserve">Q. Une atteinte très grave suffit-elle à obtenir une suspension ?</w:t>
      </w:r>
      <w:r>
        <w:rPr>
          <w:rFonts w:ascii="Calibri" w:cs="Calibri" w:eastAsia="Calibri" w:hAnsi="Calibri"/>
          <w:color w:val="1A1A1A"/>
          <w:sz w:val="20"/>
          <w:szCs w:val="20"/>
        </w:rPr>
        <w:t xml:space="preserve"> — Non : les trois conditions sont cumulatives, et l’</w:t>
      </w:r>
      <w:r>
        <w:rPr>
          <w:rFonts w:ascii="Calibri" w:cs="Calibri" w:eastAsia="Calibri" w:hAnsi="Calibri"/>
          <w:b/>
          <w:bCs/>
          <w:color w:val="1A1A1A"/>
          <w:sz w:val="20"/>
          <w:szCs w:val="20"/>
        </w:rPr>
        <w:t xml:space="preserve">urgence</w:t>
      </w:r>
      <w:r>
        <w:rPr>
          <w:rFonts w:ascii="Calibri" w:cs="Calibri" w:eastAsia="Calibri" w:hAnsi="Calibri"/>
          <w:color w:val="1A1A1A"/>
          <w:sz w:val="20"/>
          <w:szCs w:val="20"/>
        </w:rPr>
        <w:t xml:space="preserve"> doit être démontrée pour le requérant lui-même. L’affaire </w:t>
      </w:r>
      <w:r>
        <w:rPr>
          <w:rFonts w:ascii="Calibri" w:cs="Calibri" w:eastAsia="Calibri" w:hAnsi="Calibri"/>
          <w:color w:val="E91E63"/>
          <w:sz w:val="20"/>
          <w:szCs w:val="20"/>
        </w:rPr>
        <w:t xml:space="preserve">TikTok</w:t>
      </w:r>
      <w:r>
        <w:rPr>
          <w:rFonts w:ascii="Calibri" w:cs="Calibri" w:eastAsia="Calibri" w:hAnsi="Calibri"/>
          <w:color w:val="1A1A1A"/>
          <w:sz w:val="20"/>
          <w:szCs w:val="20"/>
        </w:rPr>
        <w:t xml:space="preserve"> en est l’illustration : rejet en référé en mai 2024, annulation au fond en avril 2025.</w:t>
      </w:r>
    </w:p>
    <w:p>
      <w:pPr>
        <w:pStyle w:val="ListParagraph"/>
        <w:numPr>
          <w:ilvl w:val="0"/>
          <w:numId w:val="2"/>
        </w:numPr>
        <w:spacing w:after="70" w:line="264"/>
        <w:jc w:val="both"/>
      </w:pPr>
      <w:r>
        <w:rPr>
          <w:rFonts w:ascii="Calibri" w:cs="Calibri" w:eastAsia="Calibri" w:hAnsi="Calibri"/>
          <w:b/>
          <w:bCs/>
          <w:color w:val="1A1A1A"/>
          <w:sz w:val="20"/>
          <w:szCs w:val="20"/>
        </w:rPr>
        <w:t xml:space="preserve">Q. Les mesures d’ordre intérieur sont-elles toujours insusceptibles de recours ?</w:t>
      </w:r>
      <w:r>
        <w:rPr>
          <w:rFonts w:ascii="Calibri" w:cs="Calibri" w:eastAsia="Calibri" w:hAnsi="Calibri"/>
          <w:color w:val="1A1A1A"/>
          <w:sz w:val="20"/>
          <w:szCs w:val="20"/>
        </w:rPr>
        <w:t xml:space="preserve"> — Non : la catégorie se réduit. Dès lors qu’elles portent atteinte aux droits et libertés fondamentaux, emportent perte de responsabilités ou de rémunération, ou traduisent une discrimination, le recours est recevable (</w:t>
      </w:r>
      <w:r>
        <w:rPr>
          <w:rFonts w:ascii="Calibri" w:cs="Calibri" w:eastAsia="Calibri" w:hAnsi="Calibri"/>
          <w:color w:val="E91E63"/>
          <w:sz w:val="20"/>
          <w:szCs w:val="20"/>
        </w:rPr>
        <w:t xml:space="preserve">Hardouin et Marie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Bourjolly</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Quels actes de droit souple sont contestables ?</w:t>
      </w:r>
      <w:r>
        <w:rPr>
          <w:rFonts w:ascii="Calibri" w:cs="Calibri" w:eastAsia="Calibri" w:hAnsi="Calibri"/>
          <w:color w:val="1A1A1A"/>
          <w:sz w:val="20"/>
          <w:szCs w:val="20"/>
        </w:rPr>
        <w:t xml:space="preserve"> — Ceux qui revêtent un caractère de dispositions générales et impératives, énoncent des prescriptions individuelles, ou sont de nature à produire des </w:t>
      </w:r>
      <w:r>
        <w:rPr>
          <w:rFonts w:ascii="Calibri" w:cs="Calibri" w:eastAsia="Calibri" w:hAnsi="Calibri"/>
          <w:b/>
          <w:bCs/>
          <w:color w:val="1A1A1A"/>
          <w:sz w:val="20"/>
          <w:szCs w:val="20"/>
        </w:rPr>
        <w:t xml:space="preserve">effets notables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Fairvesta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NC Numericable</w:t>
      </w:r>
      <w:r>
        <w:rPr>
          <w:rFonts w:ascii="Calibri" w:cs="Calibri" w:eastAsia="Calibri" w:hAnsi="Calibri"/>
          <w:color w:val="1A1A1A"/>
          <w:sz w:val="20"/>
          <w:szCs w:val="20"/>
        </w:rPr>
        <w:t xml:space="preserve">, puis </w:t>
      </w:r>
      <w:r>
        <w:rPr>
          <w:rFonts w:ascii="Calibri" w:cs="Calibri" w:eastAsia="Calibri" w:hAnsi="Calibri"/>
          <w:color w:val="E91E63"/>
          <w:sz w:val="20"/>
          <w:szCs w:val="20"/>
        </w:rPr>
        <w:t xml:space="preserve">GISTI</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19 — LES DÉROGATIONS AU PRINCIPE DE SÉPARATION DES AUTORITÉS</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E88E5"/>
          <w:sz w:val="20"/>
          <w:szCs w:val="20"/>
        </w:rPr>
        <w:t xml:space="preserve">Loi des 16 et 24 août 1790, art. 13</w:t>
      </w:r>
      <w:r>
        <w:rPr>
          <w:rFonts w:ascii="Calibri" w:cs="Calibri" w:eastAsia="Calibri" w:hAnsi="Calibri"/>
          <w:color w:val="1A1A1A"/>
          <w:sz w:val="20"/>
          <w:szCs w:val="20"/>
        </w:rPr>
        <w:t xml:space="preserve"> : « Les fonctions judiciaires sont distinctes et demeureront toujours séparées des fonctions administratives. Les juges ne pourront, à peine de forfaiture, troubler, de quelque manière que ce soit, les opérations des corps administratifs, ni citer devant eux les administrateurs pour raison de leurs fonctions. » La séparation naît d’une </w:t>
      </w:r>
      <w:r>
        <w:rPr>
          <w:rFonts w:ascii="Calibri" w:cs="Calibri" w:eastAsia="Calibri" w:hAnsi="Calibri"/>
          <w:b/>
          <w:bCs/>
          <w:color w:val="1A1A1A"/>
          <w:sz w:val="20"/>
          <w:szCs w:val="20"/>
        </w:rPr>
        <w:t xml:space="preserve">méfiance</w:t>
      </w:r>
      <w:r>
        <w:rPr>
          <w:rFonts w:ascii="Calibri" w:cs="Calibri" w:eastAsia="Calibri" w:hAnsi="Calibri"/>
          <w:color w:val="1A1A1A"/>
          <w:sz w:val="20"/>
          <w:szCs w:val="20"/>
        </w:rPr>
        <w:t xml:space="preserve"> envers les parlements d’Ancien Régime — non d’une théorie abstraite de la séparation des pouvoirs.</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w:t>
      </w:r>
      <w:r>
        <w:rPr>
          <w:rFonts w:ascii="Calibri" w:cs="Calibri" w:eastAsia="Calibri" w:hAnsi="Calibri"/>
          <w:color w:val="E91E63"/>
          <w:sz w:val="20"/>
          <w:szCs w:val="20"/>
        </w:rPr>
        <w:t xml:space="preserve">T. confl., 18 décembre 1947, Hilaire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La sauvegarde de la liberté individuelle et la protection de la propriété privée rentrent essentiellement dans les attributions de l’autorité judiciaire.</w:t>
      </w:r>
      <w:r>
        <w:rPr>
          <w:rFonts w:ascii="Calibri" w:cs="Calibri" w:eastAsia="Calibri" w:hAnsi="Calibri"/>
          <w:color w:val="1A1A1A"/>
          <w:sz w:val="20"/>
          <w:szCs w:val="20"/>
        </w:rPr>
        <w:t xml:space="preserve"> » Toute la fiche consiste à mesurer ce qui reste, aujourd’hui, de cet « essentiellement ».</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b/>
          <w:bCs/>
          <w:color w:val="1A1A1A"/>
          <w:sz w:val="20"/>
          <w:szCs w:val="20"/>
        </w:rPr>
        <w:t xml:space="preserve">Le principe</w:t>
      </w:r>
      <w:r>
        <w:rPr>
          <w:rFonts w:ascii="Calibri" w:cs="Calibri" w:eastAsia="Calibri" w:hAnsi="Calibri"/>
          <w:color w:val="1A1A1A"/>
          <w:sz w:val="20"/>
          <w:szCs w:val="20"/>
        </w:rPr>
        <w:t xml:space="preserve"> : à l’exception des matières réservées par nature à l’autorité judiciaire, l’annulation ou la réformation des décisions prises dans l’exercice de prérogatives de puissance publique relève en dernier ressort de la juridiction administrative — </w:t>
      </w:r>
      <w:r>
        <w:rPr>
          <w:rFonts w:ascii="Calibri" w:cs="Calibri" w:eastAsia="Calibri" w:hAnsi="Calibri"/>
          <w:b/>
          <w:bCs/>
          <w:color w:val="1A1A1A"/>
          <w:sz w:val="20"/>
          <w:szCs w:val="20"/>
        </w:rPr>
        <w:t xml:space="preserve">PFRLR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86-224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dérogations</w:t>
      </w:r>
      <w:r>
        <w:rPr>
          <w:rFonts w:ascii="Calibri" w:cs="Calibri" w:eastAsia="Calibri" w:hAnsi="Calibri"/>
          <w:color w:val="1A1A1A"/>
          <w:sz w:val="20"/>
          <w:szCs w:val="20"/>
        </w:rPr>
        <w:t xml:space="preserve"> : quatre blocs de compétence judiciaire — </w:t>
      </w:r>
      <w:r>
        <w:rPr>
          <w:rFonts w:ascii="Calibri" w:cs="Calibri" w:eastAsia="Calibri" w:hAnsi="Calibri"/>
          <w:b/>
          <w:bCs/>
          <w:color w:val="1A1A1A"/>
          <w:sz w:val="20"/>
          <w:szCs w:val="20"/>
        </w:rPr>
        <w:t xml:space="preserve">expropriation</w:t>
      </w:r>
      <w:r>
        <w:rPr>
          <w:rFonts w:ascii="Calibri" w:cs="Calibri" w:eastAsia="Calibri" w:hAnsi="Calibri"/>
          <w:color w:val="1A1A1A"/>
          <w:sz w:val="20"/>
          <w:szCs w:val="20"/>
        </w:rPr>
        <w:t xml:space="preserve"> (phase judiciaire), </w:t>
      </w:r>
      <w:r>
        <w:rPr>
          <w:rFonts w:ascii="Calibri" w:cs="Calibri" w:eastAsia="Calibri" w:hAnsi="Calibri"/>
          <w:b/>
          <w:bCs/>
          <w:color w:val="1A1A1A"/>
          <w:sz w:val="20"/>
          <w:szCs w:val="20"/>
        </w:rPr>
        <w:t xml:space="preserve">voie de fait</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emprise irrégulière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interprétation des actes administratifs</w:t>
      </w:r>
      <w:r>
        <w:rPr>
          <w:rFonts w:ascii="Calibri" w:cs="Calibri" w:eastAsia="Calibri" w:hAnsi="Calibri"/>
          <w:color w:val="1A1A1A"/>
          <w:sz w:val="20"/>
          <w:szCs w:val="20"/>
        </w:rPr>
        <w:t xml:space="preserve"> — auxquels s’ajoutent des dérogations légales (véhicules, douanes, service civique) ; et une </w:t>
      </w:r>
      <w:r>
        <w:rPr>
          <w:rFonts w:ascii="Calibri" w:cs="Calibri" w:eastAsia="Calibri" w:hAnsi="Calibri"/>
          <w:b/>
          <w:bCs/>
          <w:color w:val="1A1A1A"/>
          <w:sz w:val="20"/>
          <w:szCs w:val="20"/>
        </w:rPr>
        <w:t xml:space="preserve">exception inverse</w:t>
      </w:r>
      <w:r>
        <w:rPr>
          <w:rFonts w:ascii="Calibri" w:cs="Calibri" w:eastAsia="Calibri" w:hAnsi="Calibri"/>
          <w:color w:val="1A1A1A"/>
          <w:sz w:val="20"/>
          <w:szCs w:val="20"/>
        </w:rPr>
        <w:t xml:space="preserve"> : le contentieux de la reconduite des étrangers à la frontière, confié au juge administratif.</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16 juin 1923, Septfonds, n° 00732</w:t>
      </w:r>
      <w:r>
        <w:rPr>
          <w:rFonts w:ascii="Calibri" w:cs="Calibri" w:eastAsia="Calibri" w:hAnsi="Calibri"/>
          <w:color w:val="1A1A1A"/>
          <w:sz w:val="20"/>
          <w:szCs w:val="20"/>
        </w:rPr>
        <w:t xml:space="preserve"> : le juge judiciaire peut </w:t>
      </w:r>
      <w:r>
        <w:rPr>
          <w:rFonts w:ascii="Calibri" w:cs="Calibri" w:eastAsia="Calibri" w:hAnsi="Calibri"/>
          <w:b/>
          <w:bCs/>
          <w:color w:val="1A1A1A"/>
          <w:sz w:val="20"/>
          <w:szCs w:val="20"/>
        </w:rPr>
        <w:t xml:space="preserve">interpréter</w:t>
      </w:r>
      <w:r>
        <w:rPr>
          <w:rFonts w:ascii="Calibri" w:cs="Calibri" w:eastAsia="Calibri" w:hAnsi="Calibri"/>
          <w:color w:val="1A1A1A"/>
          <w:sz w:val="20"/>
          <w:szCs w:val="20"/>
        </w:rPr>
        <w:t xml:space="preserve"> un acte administratif réglementaire mais non en apprécier la légalité ; pour un acte individuel non parfaitement clair, il doit poser une </w:t>
      </w:r>
      <w:r>
        <w:rPr>
          <w:rFonts w:ascii="Calibri" w:cs="Calibri" w:eastAsia="Calibri" w:hAnsi="Calibri"/>
          <w:b/>
          <w:bCs/>
          <w:color w:val="1A1A1A"/>
          <w:sz w:val="20"/>
          <w:szCs w:val="20"/>
        </w:rPr>
        <w:t xml:space="preserve">question préjudicielle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17 juin 2013, Bergoend c. Société ERDF Annecy Léman, n° C3911</w:t>
      </w:r>
      <w:r>
        <w:rPr>
          <w:rFonts w:ascii="Calibri" w:cs="Calibri" w:eastAsia="Calibri" w:hAnsi="Calibri"/>
          <w:color w:val="1A1A1A"/>
          <w:sz w:val="20"/>
          <w:szCs w:val="20"/>
        </w:rPr>
        <w:t xml:space="preserve"> : la voie de fait suppose désormais une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ou l’</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d’un droit de propriété.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9 décembre 2013, Panizzon c. Commune de Saint-Palais-sur-Mer, n° C3931</w:t>
      </w:r>
      <w:r>
        <w:rPr>
          <w:rFonts w:ascii="Calibri" w:cs="Calibri" w:eastAsia="Calibri" w:hAnsi="Calibri"/>
          <w:color w:val="1A1A1A"/>
          <w:sz w:val="20"/>
          <w:szCs w:val="20"/>
        </w:rPr>
        <w:t xml:space="preserve"> : l’emprise irrégulière ne fonde la compétence judiciaire que dans le cas où la décision a pour effet l’</w:t>
      </w:r>
      <w:r>
        <w:rPr>
          <w:rFonts w:ascii="Calibri" w:cs="Calibri" w:eastAsia="Calibri" w:hAnsi="Calibri"/>
          <w:b/>
          <w:bCs/>
          <w:color w:val="1A1A1A"/>
          <w:sz w:val="20"/>
          <w:szCs w:val="20"/>
        </w:rPr>
        <w:t xml:space="preserve">extinction du droit de propriété</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89-256 DC, 25 juillet 1989</w:t>
      </w:r>
      <w:r>
        <w:rPr>
          <w:rFonts w:ascii="Calibri" w:cs="Calibri" w:eastAsia="Calibri" w:hAnsi="Calibri"/>
          <w:color w:val="1A1A1A"/>
          <w:sz w:val="20"/>
          <w:szCs w:val="20"/>
        </w:rPr>
        <w:t xml:space="preserve"> : l’autorité judiciaire est garante de la protection de la </w:t>
      </w:r>
      <w:r>
        <w:rPr>
          <w:rFonts w:ascii="Calibri" w:cs="Calibri" w:eastAsia="Calibri" w:hAnsi="Calibri"/>
          <w:b/>
          <w:bCs/>
          <w:color w:val="1A1A1A"/>
          <w:sz w:val="20"/>
          <w:szCs w:val="20"/>
        </w:rPr>
        <w:t xml:space="preserve">propriété immobilière</w:t>
      </w:r>
      <w:r>
        <w:rPr>
          <w:rFonts w:ascii="Calibri" w:cs="Calibri" w:eastAsia="Calibri" w:hAnsi="Calibri"/>
          <w:color w:val="1A1A1A"/>
          <w:sz w:val="20"/>
          <w:szCs w:val="20"/>
        </w:rPr>
        <w:t xml:space="preserve"> — PFRLR ; </w:t>
      </w:r>
      <w:r>
        <w:rPr>
          <w:rFonts w:ascii="Calibri" w:cs="Calibri" w:eastAsia="Calibri" w:hAnsi="Calibri"/>
          <w:color w:val="E91E63"/>
          <w:sz w:val="20"/>
          <w:szCs w:val="20"/>
        </w:rPr>
        <w:t xml:space="preserve">Cons. const., déc. n° 89-261 DC, 28 juillet 1989</w:t>
      </w:r>
      <w:r>
        <w:rPr>
          <w:rFonts w:ascii="Calibri" w:cs="Calibri" w:eastAsia="Calibri" w:hAnsi="Calibri"/>
          <w:color w:val="1A1A1A"/>
          <w:sz w:val="20"/>
          <w:szCs w:val="20"/>
        </w:rPr>
        <w:t xml:space="preserve"> : le contentieux de la </w:t>
      </w:r>
      <w:r>
        <w:rPr>
          <w:rFonts w:ascii="Calibri" w:cs="Calibri" w:eastAsia="Calibri" w:hAnsi="Calibri"/>
          <w:b/>
          <w:bCs/>
          <w:color w:val="1A1A1A"/>
          <w:sz w:val="20"/>
          <w:szCs w:val="20"/>
        </w:rPr>
        <w:t xml:space="preserve">reconduite à la frontière</w:t>
      </w:r>
      <w:r>
        <w:rPr>
          <w:rFonts w:ascii="Calibri" w:cs="Calibri" w:eastAsia="Calibri" w:hAnsi="Calibri"/>
          <w:color w:val="1A1A1A"/>
          <w:sz w:val="20"/>
          <w:szCs w:val="20"/>
        </w:rPr>
        <w:t xml:space="preserve"> relève du juge administratif.</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8 juin 2026, Centre hospitalier de Lannemezan, n° C4374</w:t>
      </w:r>
      <w:r>
        <w:rPr>
          <w:rFonts w:ascii="Calibri" w:cs="Calibri" w:eastAsia="Calibri" w:hAnsi="Calibri"/>
          <w:color w:val="1A1A1A"/>
          <w:sz w:val="20"/>
          <w:szCs w:val="20"/>
        </w:rPr>
        <w:t xml:space="preserve"> (dans le prolongement de </w:t>
      </w:r>
      <w:r>
        <w:rPr>
          <w:rFonts w:ascii="Calibri" w:cs="Calibri" w:eastAsia="Calibri" w:hAnsi="Calibri"/>
          <w:color w:val="E91E63"/>
          <w:sz w:val="20"/>
          <w:szCs w:val="20"/>
        </w:rPr>
        <w:t xml:space="preserve">T. confl., 8 décembre 2025, M. G. c. Assistance Publique – Hôpitaux de Paris, n° C4361</w:t>
      </w:r>
      <w:r>
        <w:rPr>
          <w:rFonts w:ascii="Calibri" w:cs="Calibri" w:eastAsia="Calibri" w:hAnsi="Calibri"/>
          <w:color w:val="1A1A1A"/>
          <w:sz w:val="20"/>
          <w:szCs w:val="20"/>
        </w:rPr>
        <w:t xml:space="preserve">) : les mesures d’</w:t>
      </w:r>
      <w:r>
        <w:rPr>
          <w:rFonts w:ascii="Calibri" w:cs="Calibri" w:eastAsia="Calibri" w:hAnsi="Calibri"/>
          <w:b/>
          <w:bCs/>
          <w:color w:val="1A1A1A"/>
          <w:sz w:val="20"/>
          <w:szCs w:val="20"/>
        </w:rPr>
        <w:t xml:space="preserve">isolement et de contention</w:t>
      </w:r>
      <w:r>
        <w:rPr>
          <w:rFonts w:ascii="Calibri" w:cs="Calibri" w:eastAsia="Calibri" w:hAnsi="Calibri"/>
          <w:color w:val="1A1A1A"/>
          <w:sz w:val="20"/>
          <w:szCs w:val="20"/>
        </w:rPr>
        <w:t xml:space="preserve"> constituent en toutes circonstances des privations de liberté ; le contentieux indemnitaire relève </w:t>
      </w:r>
      <w:r>
        <w:rPr>
          <w:rFonts w:ascii="Calibri" w:cs="Calibri" w:eastAsia="Calibri" w:hAnsi="Calibri"/>
          <w:b/>
          <w:bCs/>
          <w:color w:val="1A1A1A"/>
          <w:sz w:val="20"/>
          <w:szCs w:val="20"/>
        </w:rPr>
        <w:t xml:space="preserve">entièrement</w:t>
      </w:r>
      <w:r>
        <w:rPr>
          <w:rFonts w:ascii="Calibri" w:cs="Calibri" w:eastAsia="Calibri" w:hAnsi="Calibri"/>
          <w:color w:val="1A1A1A"/>
          <w:sz w:val="20"/>
          <w:szCs w:val="20"/>
        </w:rPr>
        <w:t xml:space="preserve"> du juge judiciaire, y compris pour les fautes médicales rattachées à la mesure.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L’autorité judiciaire est-elle la gardienne de la propriété privée immobilière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L’affirmation du principe</w:t>
      </w:r>
      <w:r>
        <w:rPr>
          <w:rFonts w:ascii="Calibri" w:cs="Calibri" w:eastAsia="Calibri" w:hAnsi="Calibri"/>
          <w:color w:val="1A1A1A"/>
          <w:sz w:val="20"/>
          <w:szCs w:val="20"/>
        </w:rPr>
        <w:t xml:space="preserve"> (A. La protection par le juge judiciaire : </w:t>
      </w:r>
      <w:r>
        <w:rPr>
          <w:rFonts w:ascii="Calibri" w:cs="Calibri" w:eastAsia="Calibri" w:hAnsi="Calibri"/>
          <w:color w:val="E91E63"/>
          <w:sz w:val="20"/>
          <w:szCs w:val="20"/>
        </w:rPr>
        <w:t xml:space="preserve">Hilaire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89-256 DC</w:t>
      </w:r>
      <w:r>
        <w:rPr>
          <w:rFonts w:ascii="Calibri" w:cs="Calibri" w:eastAsia="Calibri" w:hAnsi="Calibri"/>
          <w:color w:val="1A1A1A"/>
          <w:sz w:val="20"/>
          <w:szCs w:val="20"/>
        </w:rPr>
        <w:t xml:space="preserve">, phase judiciaire de l’expropriation ; B. Une dérogation assumée au principe de séparation des autorités) / </w:t>
      </w:r>
      <w:r>
        <w:rPr>
          <w:rFonts w:ascii="Calibri" w:cs="Calibri" w:eastAsia="Calibri" w:hAnsi="Calibri"/>
          <w:b/>
          <w:bCs/>
          <w:color w:val="1A1A1A"/>
          <w:sz w:val="20"/>
          <w:szCs w:val="20"/>
        </w:rPr>
        <w:t xml:space="preserve">II. Les atténuations</w:t>
      </w:r>
      <w:r>
        <w:rPr>
          <w:rFonts w:ascii="Calibri" w:cs="Calibri" w:eastAsia="Calibri" w:hAnsi="Calibri"/>
          <w:color w:val="1A1A1A"/>
          <w:sz w:val="20"/>
          <w:szCs w:val="20"/>
        </w:rPr>
        <w:t xml:space="preserve"> (A. Les mutations jurisprudentielles : </w:t>
      </w:r>
      <w:r>
        <w:rPr>
          <w:rFonts w:ascii="Calibri" w:cs="Calibri" w:eastAsia="Calibri" w:hAnsi="Calibri"/>
          <w:color w:val="E91E63"/>
          <w:sz w:val="20"/>
          <w:szCs w:val="20"/>
        </w:rPr>
        <w:t xml:space="preserve">Bergoend</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Panizzon</w:t>
      </w:r>
      <w:r>
        <w:rPr>
          <w:rFonts w:ascii="Calibri" w:cs="Calibri" w:eastAsia="Calibri" w:hAnsi="Calibri"/>
          <w:color w:val="1A1A1A"/>
          <w:sz w:val="20"/>
          <w:szCs w:val="20"/>
        </w:rPr>
        <w:t xml:space="preserve">, rendues la même année ; B. Le droit de propriété dans le prétoire du juge administratif : </w:t>
      </w:r>
      <w:r>
        <w:rPr>
          <w:rFonts w:ascii="Calibri" w:cs="Calibri" w:eastAsia="Calibri" w:hAnsi="Calibri"/>
          <w:color w:val="E91E63"/>
          <w:sz w:val="20"/>
          <w:szCs w:val="20"/>
        </w:rPr>
        <w:t xml:space="preserve">Commune d’Hyères-les-Palmiers</w:t>
      </w:r>
      <w:r>
        <w:rPr>
          <w:rFonts w:ascii="Calibri" w:cs="Calibri" w:eastAsia="Calibri" w:hAnsi="Calibri"/>
          <w:color w:val="1A1A1A"/>
          <w:sz w:val="20"/>
          <w:szCs w:val="20"/>
        </w:rPr>
        <w:t xml:space="preserve"> 2001, </w:t>
      </w:r>
      <w:r>
        <w:rPr>
          <w:rFonts w:ascii="Calibri" w:cs="Calibri" w:eastAsia="Calibri" w:hAnsi="Calibri"/>
          <w:color w:val="E91E63"/>
          <w:sz w:val="20"/>
          <w:szCs w:val="20"/>
        </w:rPr>
        <w:t xml:space="preserve">Abdallah</w:t>
      </w:r>
      <w:r>
        <w:rPr>
          <w:rFonts w:ascii="Calibri" w:cs="Calibri" w:eastAsia="Calibri" w:hAnsi="Calibri"/>
          <w:color w:val="1A1A1A"/>
          <w:sz w:val="20"/>
          <w:szCs w:val="20"/>
        </w:rPr>
        <w:t xml:space="preserve"> 2004, ordonnance de 2013 admettant l’injonction même en présence d’une voie de fait).</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Tribunal des conflits, juge des libertés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régulateur de compétences</w:t>
      </w:r>
      <w:r>
        <w:rPr>
          <w:rFonts w:ascii="Calibri" w:cs="Calibri" w:eastAsia="Calibri" w:hAnsi="Calibri"/>
          <w:color w:val="1A1A1A"/>
          <w:sz w:val="20"/>
          <w:szCs w:val="20"/>
        </w:rPr>
        <w:t xml:space="preserve"> (A. Cinq cas de saisine : conflit positif, sur renvoi, négatif, de décisions, durée excessive ; B. Une composition rénovée depuis 2015) / </w:t>
      </w:r>
      <w:r>
        <w:rPr>
          <w:rFonts w:ascii="Calibri" w:cs="Calibri" w:eastAsia="Calibri" w:hAnsi="Calibri"/>
          <w:b/>
          <w:bCs/>
          <w:color w:val="1A1A1A"/>
          <w:sz w:val="20"/>
          <w:szCs w:val="20"/>
        </w:rPr>
        <w:t xml:space="preserve">II. Un arbitre du périmètre de la protection judiciaire</w:t>
      </w:r>
      <w:r>
        <w:rPr>
          <w:rFonts w:ascii="Calibri" w:cs="Calibri" w:eastAsia="Calibri" w:hAnsi="Calibri"/>
          <w:color w:val="1A1A1A"/>
          <w:sz w:val="20"/>
          <w:szCs w:val="20"/>
        </w:rPr>
        <w:t xml:space="preserve"> (A. Le resserrement : voie de fait, emprise ; B. L’extension : isolement et contention, 2025-2026).</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La voie de fait a changé de critères en 2013</w:t>
      </w:r>
      <w:r>
        <w:rPr>
          <w:rFonts w:ascii="Calibri" w:cs="Calibri" w:eastAsia="Calibri" w:hAnsi="Calibri"/>
          <w:color w:val="1A1A1A"/>
          <w:sz w:val="20"/>
          <w:szCs w:val="20"/>
        </w:rPr>
        <w:t xml:space="preserve"> : plus « atteinte grave à une liberté fondamentale » mais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 plus « atteinte grave au droit de propriété » mais </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de ce droit.</w:t>
      </w:r>
    </w:p>
    <w:p>
      <w:pPr>
        <w:pStyle w:val="ListParagraph"/>
        <w:numPr>
          <w:ilvl w:val="0"/>
          <w:numId w:val="2"/>
        </w:numPr>
        <w:spacing w:after="70" w:line="264"/>
        <w:jc w:val="both"/>
      </w:pPr>
      <w:r>
        <w:rPr>
          <w:rFonts w:ascii="Calibri" w:cs="Calibri" w:eastAsia="Calibri" w:hAnsi="Calibri"/>
          <w:b/>
          <w:bCs/>
          <w:color w:val="E91E63"/>
          <w:sz w:val="20"/>
          <w:szCs w:val="20"/>
        </w:rPr>
        <w:t xml:space="preserve">Septfonds</w:t>
      </w:r>
      <w:r>
        <w:rPr>
          <w:rFonts w:ascii="Calibri" w:cs="Calibri" w:eastAsia="Calibri" w:hAnsi="Calibri"/>
          <w:b/>
          <w:bCs/>
          <w:color w:val="1A1A1A"/>
          <w:sz w:val="20"/>
          <w:szCs w:val="20"/>
        </w:rPr>
        <w:t xml:space="preserve"> ne dit pas que le juge judiciaire ne peut rien faire des actes administratifs</w:t>
      </w:r>
      <w:r>
        <w:rPr>
          <w:rFonts w:ascii="Calibri" w:cs="Calibri" w:eastAsia="Calibri" w:hAnsi="Calibri"/>
          <w:color w:val="1A1A1A"/>
          <w:sz w:val="20"/>
          <w:szCs w:val="20"/>
        </w:rPr>
        <w:t xml:space="preserve"> : il peut </w:t>
      </w:r>
      <w:r>
        <w:rPr>
          <w:rFonts w:ascii="Calibri" w:cs="Calibri" w:eastAsia="Calibri" w:hAnsi="Calibri"/>
          <w:b/>
          <w:bCs/>
          <w:color w:val="1A1A1A"/>
          <w:sz w:val="20"/>
          <w:szCs w:val="20"/>
        </w:rPr>
        <w:t xml:space="preserve">interpréter</w:t>
      </w:r>
      <w:r>
        <w:rPr>
          <w:rFonts w:ascii="Calibri" w:cs="Calibri" w:eastAsia="Calibri" w:hAnsi="Calibri"/>
          <w:color w:val="1A1A1A"/>
          <w:sz w:val="20"/>
          <w:szCs w:val="20"/>
        </w:rPr>
        <w:t xml:space="preserve"> un règlement ; il ne peut pas en apprécier la légalité. Deux exceptions : l’effectivité du droit de l’Union (</w:t>
      </w:r>
      <w:r>
        <w:rPr>
          <w:rFonts w:ascii="Calibri" w:cs="Calibri" w:eastAsia="Calibri" w:hAnsi="Calibri"/>
          <w:color w:val="E91E63"/>
          <w:sz w:val="20"/>
          <w:szCs w:val="20"/>
        </w:rPr>
        <w:t xml:space="preserve">SCEA du Chéneau</w:t>
      </w:r>
      <w:r>
        <w:rPr>
          <w:rFonts w:ascii="Calibri" w:cs="Calibri" w:eastAsia="Calibri" w:hAnsi="Calibri"/>
          <w:color w:val="1A1A1A"/>
          <w:sz w:val="20"/>
          <w:szCs w:val="20"/>
        </w:rPr>
        <w:t xml:space="preserve">, 2011) et le juge </w:t>
      </w:r>
      <w:r>
        <w:rPr>
          <w:rFonts w:ascii="Calibri" w:cs="Calibri" w:eastAsia="Calibri" w:hAnsi="Calibri"/>
          <w:b/>
          <w:bCs/>
          <w:color w:val="1A1A1A"/>
          <w:sz w:val="20"/>
          <w:szCs w:val="20"/>
        </w:rPr>
        <w:t xml:space="preserve">pénal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111-5 C. pén.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Depuis 2015, le Tribunal des conflits n’est plus présidé par le garde des Sceaux</w:t>
      </w:r>
      <w:r>
        <w:rPr>
          <w:rFonts w:ascii="Calibri" w:cs="Calibri" w:eastAsia="Calibri" w:hAnsi="Calibri"/>
          <w:color w:val="1A1A1A"/>
          <w:sz w:val="20"/>
          <w:szCs w:val="20"/>
        </w:rPr>
        <w:t xml:space="preserve"> : la présidence est assurée par l’un de ses membres, désigné pour trois ans.</w:t>
      </w:r>
    </w:p>
    <w:p>
      <w:r>
        <w:br w:type="page"/>
      </w:r>
    </w:p>
    <w:p>
      <w:pPr>
        <w:pStyle w:val="Heading2"/>
        <w:spacing w:after="120" w:before="280"/>
      </w:pPr>
      <w:r>
        <w:rPr>
          <w:rFonts w:ascii="Calibri" w:cs="Calibri" w:eastAsia="Calibri" w:hAnsi="Calibri"/>
          <w:b/>
          <w:bCs/>
          <w:color w:val="1A1A1A"/>
          <w:sz w:val="24"/>
          <w:szCs w:val="24"/>
        </w:rPr>
        <w:t xml:space="preserve">1. Les fondements du dualisme juridictionnel</w:t>
      </w:r>
    </w:p>
    <w:p>
      <w:pPr>
        <w:pStyle w:val="ListParagraph"/>
        <w:numPr>
          <w:ilvl w:val="0"/>
          <w:numId w:val="2"/>
        </w:numPr>
        <w:spacing w:after="70" w:line="264"/>
        <w:jc w:val="both"/>
      </w:pPr>
      <w:r>
        <w:rPr>
          <w:rFonts w:ascii="Calibri" w:cs="Calibri" w:eastAsia="Calibri" w:hAnsi="Calibri"/>
          <w:color w:val="1E88E5"/>
          <w:sz w:val="20"/>
          <w:szCs w:val="20"/>
        </w:rPr>
        <w:t xml:space="preserve">Loi des 16 et 24 août 1790 sur l’organisation judiciaire</w:t>
      </w:r>
      <w:r>
        <w:rPr>
          <w:rFonts w:ascii="Calibri" w:cs="Calibri" w:eastAsia="Calibri" w:hAnsi="Calibri"/>
          <w:color w:val="1A1A1A"/>
          <w:sz w:val="20"/>
          <w:szCs w:val="20"/>
        </w:rPr>
        <w:t xml:space="preserve">, réaffirmée par la </w:t>
      </w:r>
      <w:r>
        <w:rPr>
          <w:rFonts w:ascii="Calibri" w:cs="Calibri" w:eastAsia="Calibri" w:hAnsi="Calibri"/>
          <w:color w:val="1E88E5"/>
          <w:sz w:val="20"/>
          <w:szCs w:val="20"/>
        </w:rPr>
        <w:t xml:space="preserve">loi du 16 fructidor an III (1795)</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Défenses itératives sont faites aux tribunaux de connaître des actes d’administration, de quelque espèce qu’ils soient, aux peines de droit.</w:t>
      </w:r>
      <w:r>
        <w:rPr>
          <w:rFonts w:ascii="Calibri" w:cs="Calibri" w:eastAsia="Calibri" w:hAnsi="Calibri"/>
          <w:color w:val="1A1A1A"/>
          <w:sz w:val="20"/>
          <w:szCs w:val="20"/>
        </w:rPr>
        <w:t xml:space="preserve"> » Fondement revendiqué : la séparation des pouvoirs de l’</w:t>
      </w:r>
      <w:r>
        <w:rPr>
          <w:rFonts w:ascii="Calibri" w:cs="Calibri" w:eastAsia="Calibri" w:hAnsi="Calibri"/>
          <w:color w:val="1E88E5"/>
          <w:sz w:val="20"/>
          <w:szCs w:val="20"/>
        </w:rPr>
        <w:t xml:space="preserve">art. 16 DDHC</w:t>
      </w:r>
      <w:r>
        <w:rPr>
          <w:rFonts w:ascii="Calibri" w:cs="Calibri" w:eastAsia="Calibri" w:hAnsi="Calibri"/>
          <w:color w:val="1A1A1A"/>
          <w:sz w:val="20"/>
          <w:szCs w:val="20"/>
        </w:rPr>
        <w:t xml:space="preserve"> ; fondement réel : la </w:t>
      </w:r>
      <w:r>
        <w:rPr>
          <w:rFonts w:ascii="Calibri" w:cs="Calibri" w:eastAsia="Calibri" w:hAnsi="Calibri"/>
          <w:b/>
          <w:bCs/>
          <w:color w:val="1A1A1A"/>
          <w:sz w:val="20"/>
          <w:szCs w:val="20"/>
        </w:rPr>
        <w:t xml:space="preserve">méfiance des révolutionnaires</w:t>
      </w:r>
      <w:r>
        <w:rPr>
          <w:rFonts w:ascii="Calibri" w:cs="Calibri" w:eastAsia="Calibri" w:hAnsi="Calibri"/>
          <w:color w:val="1A1A1A"/>
          <w:sz w:val="20"/>
          <w:szCs w:val="20"/>
        </w:rPr>
        <w:t xml:space="preserve"> envers les institutions juridictionnelles de l’Ancien Régime, et la volonté d’empêcher une prise des juges judiciaires sur les procédures politico-administratives.</w:t>
      </w:r>
    </w:p>
    <w:p>
      <w:pPr>
        <w:pStyle w:val="ListParagraph"/>
        <w:numPr>
          <w:ilvl w:val="0"/>
          <w:numId w:val="2"/>
        </w:numPr>
        <w:spacing w:after="70" w:line="264"/>
        <w:jc w:val="both"/>
      </w:pPr>
      <w:r>
        <w:rPr>
          <w:rFonts w:ascii="Calibri" w:cs="Calibri" w:eastAsia="Calibri" w:hAnsi="Calibri"/>
          <w:color w:val="E91E63"/>
          <w:sz w:val="20"/>
          <w:szCs w:val="20"/>
        </w:rPr>
        <w:t xml:space="preserve">Cons. const., déc. n° 86-224 DC, 23 janvier 1987, Conseil de la concurrence</w:t>
      </w:r>
      <w:r>
        <w:rPr>
          <w:rFonts w:ascii="Calibri" w:cs="Calibri" w:eastAsia="Calibri" w:hAnsi="Calibri"/>
          <w:color w:val="1A1A1A"/>
          <w:sz w:val="20"/>
          <w:szCs w:val="20"/>
        </w:rPr>
        <w:t xml:space="preserve"> : érection du principe au rang de </w:t>
      </w:r>
      <w:r>
        <w:rPr>
          <w:rFonts w:ascii="Calibri" w:cs="Calibri" w:eastAsia="Calibri" w:hAnsi="Calibri"/>
          <w:b/>
          <w:bCs/>
          <w:color w:val="1A1A1A"/>
          <w:sz w:val="20"/>
          <w:szCs w:val="20"/>
        </w:rPr>
        <w:t xml:space="preserve">PFRLR</w:t>
      </w:r>
      <w:r>
        <w:rPr>
          <w:rFonts w:ascii="Calibri" w:cs="Calibri" w:eastAsia="Calibri" w:hAnsi="Calibri"/>
          <w:color w:val="1A1A1A"/>
          <w:sz w:val="20"/>
          <w:szCs w:val="20"/>
        </w:rPr>
        <w:t xml:space="preserve">, avec la réserve des « matières réservées par nature à l’autorité judiciaire ».</w:t>
      </w:r>
    </w:p>
    <w:p>
      <w:pPr>
        <w:pStyle w:val="ListParagraph"/>
        <w:numPr>
          <w:ilvl w:val="0"/>
          <w:numId w:val="2"/>
        </w:numPr>
        <w:spacing w:after="70" w:line="264"/>
        <w:jc w:val="both"/>
      </w:pPr>
      <w:r>
        <w:rPr>
          <w:rFonts w:ascii="Calibri" w:cs="Calibri" w:eastAsia="Calibri" w:hAnsi="Calibri"/>
          <w:color w:val="E91E63"/>
          <w:sz w:val="20"/>
          <w:szCs w:val="20"/>
        </w:rPr>
        <w:t xml:space="preserve">T. confl., 18 décembre 1947, Hilaire</w:t>
      </w:r>
      <w:r>
        <w:rPr>
          <w:rFonts w:ascii="Calibri" w:cs="Calibri" w:eastAsia="Calibri" w:hAnsi="Calibri"/>
          <w:color w:val="1A1A1A"/>
          <w:sz w:val="20"/>
          <w:szCs w:val="20"/>
        </w:rPr>
        <w:t xml:space="preserve"> : « La sauvegarde de la liberté individuelle et la protection de la propriété privée rentrent essentiellement dans les attributions de l’autorité judiciaire. »</w:t>
      </w:r>
    </w:p>
    <w:p>
      <w:pPr>
        <w:pStyle w:val="ListParagraph"/>
        <w:numPr>
          <w:ilvl w:val="0"/>
          <w:numId w:val="2"/>
        </w:numPr>
        <w:spacing w:after="70" w:line="264"/>
        <w:jc w:val="both"/>
      </w:pPr>
      <w:r>
        <w:rPr>
          <w:rFonts w:ascii="Calibri" w:cs="Calibri" w:eastAsia="Calibri" w:hAnsi="Calibri"/>
          <w:b/>
          <w:bCs/>
          <w:color w:val="1A1A1A"/>
          <w:sz w:val="20"/>
          <w:szCs w:val="20"/>
        </w:rPr>
        <w:t xml:space="preserve">L’assouplissement au nom de la bonne administration de la justice</w:t>
      </w:r>
      <w:r>
        <w:rPr>
          <w:rFonts w:ascii="Calibri" w:cs="Calibri" w:eastAsia="Calibri" w:hAnsi="Calibri"/>
          <w:color w:val="1A1A1A"/>
          <w:sz w:val="20"/>
          <w:szCs w:val="20"/>
        </w:rPr>
        <w:t xml:space="preserve">, objectif de valeur constitutionnelle reconnu par une lecture croisée des </w:t>
      </w:r>
      <w:r>
        <w:rPr>
          <w:rFonts w:ascii="Calibri" w:cs="Calibri" w:eastAsia="Calibri" w:hAnsi="Calibri"/>
          <w:color w:val="1E88E5"/>
          <w:sz w:val="20"/>
          <w:szCs w:val="20"/>
        </w:rPr>
        <w:t xml:space="preserve">art. 12, 15 et 16 de la DDHC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déc. n° 2009-595 DC, 3 décembre 2009, Loi organique relative à l’application de l’article 61-1 de la Constitution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25 avril 2001, Association choisir la vie et Association pour l’objection de conscience à l’avortement, n° 216521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Dérogations d’origine légale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n° 57-1424 du 31 décembre 1957</w:t>
      </w:r>
      <w:r>
        <w:rPr>
          <w:rFonts w:ascii="Calibri" w:cs="Calibri" w:eastAsia="Calibri" w:hAnsi="Calibri"/>
          <w:color w:val="1A1A1A"/>
          <w:sz w:val="20"/>
          <w:szCs w:val="20"/>
        </w:rPr>
        <w:t xml:space="preserve"> (responsabilité des dommages causés par tout véhicule et dirigés contre une personne de droit public) ; </w:t>
      </w:r>
      <w:r>
        <w:rPr>
          <w:rFonts w:ascii="Calibri" w:cs="Calibri" w:eastAsia="Calibri" w:hAnsi="Calibri"/>
          <w:color w:val="1E88E5"/>
          <w:sz w:val="20"/>
          <w:szCs w:val="20"/>
        </w:rPr>
        <w:t xml:space="preserve">art. 357 bis du Code des douanes</w:t>
      </w:r>
      <w:r>
        <w:rPr>
          <w:rFonts w:ascii="Calibri" w:cs="Calibri" w:eastAsia="Calibri" w:hAnsi="Calibri"/>
          <w:color w:val="1A1A1A"/>
          <w:sz w:val="20"/>
          <w:szCs w:val="20"/>
        </w:rPr>
        <w:t xml:space="preserve"> (contestations en matière douanière) ; </w:t>
      </w:r>
      <w:r>
        <w:rPr>
          <w:rFonts w:ascii="Calibri" w:cs="Calibri" w:eastAsia="Calibri" w:hAnsi="Calibri"/>
          <w:color w:val="1E88E5"/>
          <w:sz w:val="20"/>
          <w:szCs w:val="20"/>
        </w:rPr>
        <w:t xml:space="preserve">loi n° 2010-241 du 10 mars 2010</w:t>
      </w:r>
      <w:r>
        <w:rPr>
          <w:rFonts w:ascii="Calibri" w:cs="Calibri" w:eastAsia="Calibri" w:hAnsi="Calibri"/>
          <w:color w:val="1A1A1A"/>
          <w:sz w:val="20"/>
          <w:szCs w:val="20"/>
        </w:rPr>
        <w:t xml:space="preserve"> (contrat de service civique).</w:t>
      </w:r>
    </w:p>
    <w:p>
      <w:pPr>
        <w:pStyle w:val="Heading2"/>
        <w:spacing w:after="120" w:before="280"/>
      </w:pPr>
      <w:r>
        <w:rPr>
          <w:rFonts w:ascii="Calibri" w:cs="Calibri" w:eastAsia="Calibri" w:hAnsi="Calibri"/>
          <w:b/>
          <w:bCs/>
          <w:color w:val="1A1A1A"/>
          <w:sz w:val="24"/>
          <w:szCs w:val="24"/>
        </w:rPr>
        <w:t xml:space="preserve">2. Le Tribunal des conflits</w:t>
      </w:r>
    </w:p>
    <w:p>
      <w:pPr>
        <w:pStyle w:val="ListParagraph"/>
        <w:numPr>
          <w:ilvl w:val="0"/>
          <w:numId w:val="2"/>
        </w:numPr>
        <w:spacing w:after="70" w:line="264"/>
        <w:jc w:val="both"/>
      </w:pPr>
      <w:r>
        <w:rPr>
          <w:rFonts w:ascii="Calibri" w:cs="Calibri" w:eastAsia="Calibri" w:hAnsi="Calibri"/>
          <w:color w:val="1E88E5"/>
          <w:sz w:val="20"/>
          <w:szCs w:val="20"/>
        </w:rPr>
        <w:t xml:space="preserve">Art. R771-1 CJA</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24 mai 1872</w:t>
      </w:r>
      <w:r>
        <w:rPr>
          <w:rFonts w:ascii="Calibri" w:cs="Calibri" w:eastAsia="Calibri" w:hAnsi="Calibri"/>
          <w:color w:val="1A1A1A"/>
          <w:sz w:val="20"/>
          <w:szCs w:val="20"/>
        </w:rPr>
        <w:t xml:space="preserve"> (toujours en vigueur, modifiée) ; </w:t>
      </w:r>
      <w:r>
        <w:rPr>
          <w:rFonts w:ascii="Calibri" w:cs="Calibri" w:eastAsia="Calibri" w:hAnsi="Calibri"/>
          <w:color w:val="1E88E5"/>
          <w:sz w:val="20"/>
          <w:szCs w:val="20"/>
        </w:rPr>
        <w:t xml:space="preserve">loi n° 2015-177 du 16 février 2015 relative à la modernisation et à la simplification du droit et des procédures dans les domaines de la justice et des affaires intérieures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décret n° 2015-233 du 27 février 2015 relatif au Tribunal des conflits et aux questions préjudicielles</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Réforme de 2015</w:t>
      </w:r>
      <w:r>
        <w:rPr>
          <w:rFonts w:ascii="Calibri" w:cs="Calibri" w:eastAsia="Calibri" w:hAnsi="Calibri"/>
          <w:color w:val="1A1A1A"/>
          <w:sz w:val="20"/>
          <w:szCs w:val="20"/>
        </w:rPr>
        <w:t xml:space="preserve"> : la présidence, auparavant assurée par le garde des Sceaux, est désormais confiée à l’un des membres du Tribunal, désigné pour trois ans.</w:t>
      </w:r>
    </w:p>
    <w:p>
      <w:pPr>
        <w:pStyle w:val="ListParagraph"/>
        <w:numPr>
          <w:ilvl w:val="0"/>
          <w:numId w:val="2"/>
        </w:numPr>
        <w:spacing w:after="70" w:line="264"/>
        <w:jc w:val="both"/>
      </w:pPr>
      <w:r>
        <w:rPr>
          <w:rFonts w:ascii="Calibri" w:cs="Calibri" w:eastAsia="Calibri" w:hAnsi="Calibri"/>
          <w:b/>
          <w:bCs/>
          <w:color w:val="1A1A1A"/>
          <w:sz w:val="20"/>
          <w:szCs w:val="20"/>
        </w:rPr>
        <w:t xml:space="preserve">Cinq cas de saisine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conflit positif</w:t>
      </w:r>
      <w:r>
        <w:rPr>
          <w:rFonts w:ascii="Calibri" w:cs="Calibri" w:eastAsia="Calibri" w:hAnsi="Calibri"/>
          <w:color w:val="1A1A1A"/>
          <w:sz w:val="20"/>
          <w:szCs w:val="20"/>
        </w:rPr>
        <w:t xml:space="preserve"> : le préfet saisit le Tribunal pour qu’il détermine le juge compétent, estimant que le litige ne relève pas de la compétence judiciaire ; </w:t>
      </w:r>
      <w:r>
        <w:rPr>
          <w:rFonts w:ascii="Calibri" w:cs="Calibri" w:eastAsia="Calibri" w:hAnsi="Calibri"/>
          <w:b/>
          <w:bCs/>
          <w:color w:val="1A1A1A"/>
          <w:sz w:val="20"/>
          <w:szCs w:val="20"/>
        </w:rPr>
        <w:t xml:space="preserve">conflit sur renvoi</w:t>
      </w:r>
      <w:r>
        <w:rPr>
          <w:rFonts w:ascii="Calibri" w:cs="Calibri" w:eastAsia="Calibri" w:hAnsi="Calibri"/>
          <w:color w:val="1A1A1A"/>
          <w:sz w:val="20"/>
          <w:szCs w:val="20"/>
        </w:rPr>
        <w:t xml:space="preserve"> : une juridiction a décliné sa compétence par une décision devenue définitive, une partie saisit ensuite une juridiction de l’autre ordre, qui saisit le Tribunal — ou encore une juridiction lui renvoie une question de compétence soulevée à l’occasion d’un litige ; </w:t>
      </w:r>
      <w:r>
        <w:rPr>
          <w:rFonts w:ascii="Calibri" w:cs="Calibri" w:eastAsia="Calibri" w:hAnsi="Calibri"/>
          <w:b/>
          <w:bCs/>
          <w:color w:val="1A1A1A"/>
          <w:sz w:val="20"/>
          <w:szCs w:val="20"/>
        </w:rPr>
        <w:t xml:space="preserve">conflit négatif</w:t>
      </w:r>
      <w:r>
        <w:rPr>
          <w:rFonts w:ascii="Calibri" w:cs="Calibri" w:eastAsia="Calibri" w:hAnsi="Calibri"/>
          <w:color w:val="1A1A1A"/>
          <w:sz w:val="20"/>
          <w:szCs w:val="20"/>
        </w:rPr>
        <w:t xml:space="preserve"> : les deux ordres ont décliné leur compétence ; </w:t>
      </w:r>
      <w:r>
        <w:rPr>
          <w:rFonts w:ascii="Calibri" w:cs="Calibri" w:eastAsia="Calibri" w:hAnsi="Calibri"/>
          <w:b/>
          <w:bCs/>
          <w:color w:val="1A1A1A"/>
          <w:sz w:val="20"/>
          <w:szCs w:val="20"/>
        </w:rPr>
        <w:t xml:space="preserve">conflit de décisions</w:t>
      </w:r>
      <w:r>
        <w:rPr>
          <w:rFonts w:ascii="Calibri" w:cs="Calibri" w:eastAsia="Calibri" w:hAnsi="Calibri"/>
          <w:color w:val="1A1A1A"/>
          <w:sz w:val="20"/>
          <w:szCs w:val="20"/>
        </w:rPr>
        <w:t xml:space="preserve"> : deux décisions contradictoires rendues sur un même litige ; </w:t>
      </w:r>
      <w:r>
        <w:rPr>
          <w:rFonts w:ascii="Calibri" w:cs="Calibri" w:eastAsia="Calibri" w:hAnsi="Calibri"/>
          <w:b/>
          <w:bCs/>
          <w:color w:val="1A1A1A"/>
          <w:sz w:val="20"/>
          <w:szCs w:val="20"/>
        </w:rPr>
        <w:t xml:space="preserve">durée excessive des procédures</w:t>
      </w:r>
      <w:r>
        <w:rPr>
          <w:rFonts w:ascii="Calibri" w:cs="Calibri" w:eastAsia="Calibri" w:hAnsi="Calibri"/>
          <w:color w:val="1A1A1A"/>
          <w:sz w:val="20"/>
          <w:szCs w:val="20"/>
        </w:rPr>
        <w:t xml:space="preserve"> : action en indemnisation devant le Tribunal lorsque les règles de compétence ont conduit à une durée totale excessive.</w:t>
      </w:r>
    </w:p>
    <w:p>
      <w:pPr>
        <w:pStyle w:val="ListParagraph"/>
        <w:numPr>
          <w:ilvl w:val="0"/>
          <w:numId w:val="2"/>
        </w:numPr>
        <w:spacing w:after="70" w:line="264"/>
        <w:jc w:val="both"/>
      </w:pPr>
      <w:r>
        <w:rPr>
          <w:rFonts w:ascii="Calibri" w:cs="Calibri" w:eastAsia="Calibri" w:hAnsi="Calibri"/>
          <w:color w:val="E91E63"/>
          <w:sz w:val="20"/>
          <w:szCs w:val="20"/>
        </w:rPr>
        <w:t xml:space="preserve">T. confl., 27 novembre 1952, Préfet de la Guyane, n° 01420</w:t>
      </w:r>
      <w:r>
        <w:rPr>
          <w:rFonts w:ascii="Calibri" w:cs="Calibri" w:eastAsia="Calibri" w:hAnsi="Calibri"/>
          <w:color w:val="1A1A1A"/>
          <w:sz w:val="20"/>
          <w:szCs w:val="20"/>
        </w:rPr>
        <w:t xml:space="preserve"> : le juge judiciaire connaît des actes relatifs à l’</w:t>
      </w:r>
      <w:r>
        <w:rPr>
          <w:rFonts w:ascii="Calibri" w:cs="Calibri" w:eastAsia="Calibri" w:hAnsi="Calibri"/>
          <w:b/>
          <w:bCs/>
          <w:color w:val="1A1A1A"/>
          <w:sz w:val="20"/>
          <w:szCs w:val="20"/>
        </w:rPr>
        <w:t xml:space="preserve">exercice de la fonction juridictionnelle</w:t>
      </w:r>
      <w:r>
        <w:rPr>
          <w:rFonts w:ascii="Calibri" w:cs="Calibri" w:eastAsia="Calibri" w:hAnsi="Calibri"/>
          <w:color w:val="1A1A1A"/>
          <w:sz w:val="20"/>
          <w:szCs w:val="20"/>
        </w:rPr>
        <w:t xml:space="preserve"> et au </w:t>
      </w:r>
      <w:r>
        <w:rPr>
          <w:rFonts w:ascii="Calibri" w:cs="Calibri" w:eastAsia="Calibri" w:hAnsi="Calibri"/>
          <w:b/>
          <w:bCs/>
          <w:color w:val="1A1A1A"/>
          <w:sz w:val="20"/>
          <w:szCs w:val="20"/>
        </w:rPr>
        <w:t xml:space="preserve">fonctionnement</w:t>
      </w:r>
      <w:r>
        <w:rPr>
          <w:rFonts w:ascii="Calibri" w:cs="Calibri" w:eastAsia="Calibri" w:hAnsi="Calibri"/>
          <w:color w:val="1A1A1A"/>
          <w:sz w:val="20"/>
          <w:szCs w:val="20"/>
        </w:rPr>
        <w:t xml:space="preserve"> du service public de la justice ; le juge administratif des actes relatifs à son </w:t>
      </w:r>
      <w:r>
        <w:rPr>
          <w:rFonts w:ascii="Calibri" w:cs="Calibri" w:eastAsia="Calibri" w:hAnsi="Calibri"/>
          <w:b/>
          <w:bCs/>
          <w:color w:val="1A1A1A"/>
          <w:sz w:val="20"/>
          <w:szCs w:val="20"/>
        </w:rPr>
        <w:t xml:space="preserve">organisation</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L’autorité judiciaire, gardienne de la propriété et de la liberté individuelle</w:t>
      </w:r>
    </w:p>
    <w:p>
      <w:pPr>
        <w:pStyle w:val="Heading3"/>
        <w:spacing w:after="90" w:before="200"/>
      </w:pPr>
      <w:r>
        <w:rPr>
          <w:rFonts w:ascii="Calibri" w:cs="Calibri" w:eastAsia="Calibri" w:hAnsi="Calibri"/>
          <w:b/>
          <w:bCs/>
          <w:i/>
          <w:iCs/>
          <w:color w:val="5A5A5A"/>
          <w:sz w:val="21"/>
          <w:szCs w:val="21"/>
        </w:rPr>
        <w:t xml:space="preserve">3.1. Les fondements du droit de propriété</w:t>
      </w:r>
    </w:p>
    <w:p>
      <w:pPr>
        <w:pStyle w:val="ListParagraph"/>
        <w:numPr>
          <w:ilvl w:val="0"/>
          <w:numId w:val="2"/>
        </w:numPr>
        <w:spacing w:after="70" w:line="264"/>
        <w:jc w:val="both"/>
      </w:pPr>
      <w:r>
        <w:rPr>
          <w:rFonts w:ascii="Calibri" w:cs="Calibri" w:eastAsia="Calibri" w:hAnsi="Calibri"/>
          <w:color w:val="1E88E5"/>
          <w:sz w:val="20"/>
          <w:szCs w:val="20"/>
        </w:rPr>
        <w:t xml:space="preserve">Art. 2 de la DDHC</w:t>
      </w:r>
      <w:r>
        <w:rPr>
          <w:rFonts w:ascii="Calibri" w:cs="Calibri" w:eastAsia="Calibri" w:hAnsi="Calibri"/>
          <w:color w:val="1A1A1A"/>
          <w:sz w:val="20"/>
          <w:szCs w:val="20"/>
        </w:rPr>
        <w:t xml:space="preserve"> (droits naturels et imprescriptibles, dont la propriété) ; </w:t>
      </w:r>
      <w:r>
        <w:rPr>
          <w:rFonts w:ascii="Calibri" w:cs="Calibri" w:eastAsia="Calibri" w:hAnsi="Calibri"/>
          <w:color w:val="1E88E5"/>
          <w:sz w:val="20"/>
          <w:szCs w:val="20"/>
        </w:rPr>
        <w:t xml:space="preserve">art. 17 de la DDHC</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La propriété étant un droit inviolable et sacré, nul ne peut en être privé, si ce n’est lorsque la nécessité publique, légalement constatée, l’exige évidemment, et sous la condition d’une juste et préalable indemnité.</w:t>
      </w:r>
      <w:r>
        <w:rPr>
          <w:rFonts w:ascii="Calibri" w:cs="Calibri" w:eastAsia="Calibri" w:hAnsi="Calibri"/>
          <w:color w:val="1A1A1A"/>
          <w:sz w:val="20"/>
          <w:szCs w:val="20"/>
        </w:rPr>
        <w:t xml:space="preserve"> » ; </w:t>
      </w:r>
      <w:r>
        <w:rPr>
          <w:rFonts w:ascii="Calibri" w:cs="Calibri" w:eastAsia="Calibri" w:hAnsi="Calibri"/>
          <w:color w:val="1E88E5"/>
          <w:sz w:val="20"/>
          <w:szCs w:val="20"/>
        </w:rPr>
        <w:t xml:space="preserve">art. 34 C.</w:t>
      </w:r>
      <w:r>
        <w:rPr>
          <w:rFonts w:ascii="Calibri" w:cs="Calibri" w:eastAsia="Calibri" w:hAnsi="Calibri"/>
          <w:color w:val="1A1A1A"/>
          <w:sz w:val="20"/>
          <w:szCs w:val="20"/>
        </w:rPr>
        <w:t xml:space="preserve"> (régime de la propriété) ; </w:t>
      </w:r>
      <w:r>
        <w:rPr>
          <w:rFonts w:ascii="Calibri" w:cs="Calibri" w:eastAsia="Calibri" w:hAnsi="Calibri"/>
          <w:color w:val="1E88E5"/>
          <w:sz w:val="20"/>
          <w:szCs w:val="20"/>
        </w:rPr>
        <w:t xml:space="preserve">art. 544 C. civ.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du Protocole n° 1 à la CEDH</w:t>
      </w:r>
      <w:r>
        <w:rPr>
          <w:rFonts w:ascii="Calibri" w:cs="Calibri" w:eastAsia="Calibri" w:hAnsi="Calibri"/>
          <w:color w:val="1A1A1A"/>
          <w:sz w:val="20"/>
          <w:szCs w:val="20"/>
        </w:rPr>
        <w:t xml:space="preserve"> (1952), impliquant « le droit au respect des biens » (</w:t>
      </w:r>
      <w:r>
        <w:rPr>
          <w:rFonts w:ascii="Calibri" w:cs="Calibri" w:eastAsia="Calibri" w:hAnsi="Calibri"/>
          <w:color w:val="E91E63"/>
          <w:sz w:val="20"/>
          <w:szCs w:val="20"/>
        </w:rPr>
        <w:t xml:space="preserve">CEDH, 13 juin 1979, Marckx c. Belgique, n° 6833/74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17 de la Charte des droits fondamentaux de l’Union européenne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E91E63"/>
          <w:sz w:val="20"/>
          <w:szCs w:val="20"/>
        </w:rPr>
        <w:t xml:space="preserve">Cons. const., déc. n° 2011-212 QPC, 20 janvier 2012, Mme Khadija A., épouse M.</w:t>
      </w:r>
      <w:r>
        <w:rPr>
          <w:rFonts w:ascii="Calibri" w:cs="Calibri" w:eastAsia="Calibri" w:hAnsi="Calibri"/>
          <w:color w:val="1A1A1A"/>
          <w:sz w:val="20"/>
          <w:szCs w:val="20"/>
        </w:rPr>
        <w:t xml:space="preserve"> : les atteintes portées au droit de propriété doivent être justifiées par un motif d’intérêt général et </w:t>
      </w:r>
      <w:r>
        <w:rPr>
          <w:rFonts w:ascii="Calibri" w:cs="Calibri" w:eastAsia="Calibri" w:hAnsi="Calibri"/>
          <w:b/>
          <w:bCs/>
          <w:color w:val="1A1A1A"/>
          <w:sz w:val="20"/>
          <w:szCs w:val="20"/>
        </w:rPr>
        <w:t xml:space="preserve">proportionnées</w:t>
      </w:r>
      <w:r>
        <w:rPr>
          <w:rFonts w:ascii="Calibri" w:cs="Calibri" w:eastAsia="Calibri" w:hAnsi="Calibri"/>
          <w:color w:val="1A1A1A"/>
          <w:sz w:val="20"/>
          <w:szCs w:val="20"/>
        </w:rPr>
        <w:t xml:space="preserve"> à l’objectif poursuivi. </w:t>
      </w:r>
      <w:r>
        <w:rPr>
          <w:rFonts w:ascii="Calibri" w:cs="Calibri" w:eastAsia="Calibri" w:hAnsi="Calibri"/>
          <w:color w:val="E91E63"/>
          <w:sz w:val="20"/>
          <w:szCs w:val="20"/>
        </w:rPr>
        <w:t xml:space="preserve">Cons. const., déc. n° 89-256 DC, 25 juillet 1989</w:t>
      </w:r>
      <w:r>
        <w:rPr>
          <w:rFonts w:ascii="Calibri" w:cs="Calibri" w:eastAsia="Calibri" w:hAnsi="Calibri"/>
          <w:color w:val="1A1A1A"/>
          <w:sz w:val="20"/>
          <w:szCs w:val="20"/>
        </w:rPr>
        <w:t xml:space="preserve"> : PFRLR selon lequel l’autorité judiciaire est garante de la protection de la propriété immobilière.</w:t>
      </w:r>
    </w:p>
    <w:p>
      <w:pPr>
        <w:pStyle w:val="ListParagraph"/>
        <w:numPr>
          <w:ilvl w:val="0"/>
          <w:numId w:val="2"/>
        </w:numPr>
        <w:spacing w:after="70" w:line="264"/>
        <w:jc w:val="both"/>
      </w:pPr>
      <w:r>
        <w:rPr>
          <w:rFonts w:ascii="Calibri" w:cs="Calibri" w:eastAsia="Calibri" w:hAnsi="Calibri"/>
          <w:b/>
          <w:bCs/>
          <w:color w:val="1A1A1A"/>
          <w:sz w:val="20"/>
          <w:szCs w:val="20"/>
        </w:rPr>
        <w:t xml:space="preserve">Le droit de propriété ne figure pas dans les Pactes de 1966</w:t>
      </w:r>
      <w:r>
        <w:rPr>
          <w:rFonts w:ascii="Calibri" w:cs="Calibri" w:eastAsia="Calibri" w:hAnsi="Calibri"/>
          <w:color w:val="1A1A1A"/>
          <w:sz w:val="20"/>
          <w:szCs w:val="20"/>
        </w:rPr>
        <w:t xml:space="preserve"> — précision utile en entretien.</w:t>
      </w:r>
    </w:p>
    <w:p>
      <w:pPr>
        <w:pStyle w:val="Heading3"/>
        <w:spacing w:after="90" w:before="200"/>
      </w:pPr>
      <w:r>
        <w:rPr>
          <w:rFonts w:ascii="Calibri" w:cs="Calibri" w:eastAsia="Calibri" w:hAnsi="Calibri"/>
          <w:b/>
          <w:bCs/>
          <w:i/>
          <w:iCs/>
          <w:color w:val="5A5A5A"/>
          <w:sz w:val="21"/>
          <w:szCs w:val="21"/>
        </w:rPr>
        <w:t xml:space="preserve">3.2. L’expropriation pour cause d’utilité publique</w:t>
      </w:r>
    </w:p>
    <w:p>
      <w:pPr>
        <w:pStyle w:val="ListParagraph"/>
        <w:numPr>
          <w:ilvl w:val="0"/>
          <w:numId w:val="2"/>
        </w:numPr>
        <w:spacing w:after="70" w:line="264"/>
        <w:jc w:val="both"/>
      </w:pPr>
      <w:r>
        <w:rPr>
          <w:rFonts w:ascii="Calibri" w:cs="Calibri" w:eastAsia="Calibri" w:hAnsi="Calibri"/>
          <w:color w:val="1E88E5"/>
          <w:sz w:val="20"/>
          <w:szCs w:val="20"/>
        </w:rPr>
        <w:t xml:space="preserve">Art. 545 C. civ.</w:t>
      </w:r>
      <w:r>
        <w:rPr>
          <w:rFonts w:ascii="Calibri" w:cs="Calibri" w:eastAsia="Calibri" w:hAnsi="Calibri"/>
          <w:color w:val="1A1A1A"/>
          <w:sz w:val="20"/>
          <w:szCs w:val="20"/>
        </w:rPr>
        <w:t xml:space="preserve"> : « Nul ne peut être contraint de céder sa propriété, si ce n’est pour cause d’utilité publique, et moyennant une juste et préalable indemnité. » </w:t>
      </w:r>
      <w:r>
        <w:rPr>
          <w:rFonts w:ascii="Calibri" w:cs="Calibri" w:eastAsia="Calibri" w:hAnsi="Calibri"/>
          <w:color w:val="1E88E5"/>
          <w:sz w:val="20"/>
          <w:szCs w:val="20"/>
        </w:rPr>
        <w:t xml:space="preserve">Loi du 8 mars 1810</w:t>
      </w:r>
      <w:r>
        <w:rPr>
          <w:rFonts w:ascii="Calibri" w:cs="Calibri" w:eastAsia="Calibri" w:hAnsi="Calibri"/>
          <w:color w:val="1A1A1A"/>
          <w:sz w:val="20"/>
          <w:szCs w:val="20"/>
        </w:rPr>
        <w:t xml:space="preserve"> : procédure en </w:t>
      </w:r>
      <w:r>
        <w:rPr>
          <w:rFonts w:ascii="Calibri" w:cs="Calibri" w:eastAsia="Calibri" w:hAnsi="Calibri"/>
          <w:b/>
          <w:bCs/>
          <w:color w:val="1A1A1A"/>
          <w:sz w:val="20"/>
          <w:szCs w:val="20"/>
        </w:rPr>
        <w:t xml:space="preserve">deux phases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Phase administrative</w:t>
      </w:r>
      <w:r>
        <w:rPr>
          <w:rFonts w:ascii="Calibri" w:cs="Calibri" w:eastAsia="Calibri" w:hAnsi="Calibri"/>
          <w:color w:val="1A1A1A"/>
          <w:sz w:val="20"/>
          <w:szCs w:val="20"/>
        </w:rPr>
        <w:t xml:space="preserve"> — déclarations d’utilité publique et arrêtés de cessibilité ; contrôle par le juge administratif des règles de compétence et de procédure, et du but poursuivi, au moyen d’une mise en balance des avantages et des inconvénients : la </w:t>
      </w:r>
      <w:r>
        <w:rPr>
          <w:rFonts w:ascii="Calibri" w:cs="Calibri" w:eastAsia="Calibri" w:hAnsi="Calibri"/>
          <w:b/>
          <w:bCs/>
          <w:color w:val="1A1A1A"/>
          <w:sz w:val="20"/>
          <w:szCs w:val="20"/>
        </w:rPr>
        <w:t xml:space="preserve">théorie du bilan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Phase judiciaire</w:t>
      </w:r>
      <w:r>
        <w:rPr>
          <w:rFonts w:ascii="Calibri" w:cs="Calibri" w:eastAsia="Calibri" w:hAnsi="Calibri"/>
          <w:color w:val="1A1A1A"/>
          <w:sz w:val="20"/>
          <w:szCs w:val="20"/>
        </w:rPr>
        <w:t xml:space="preserve"> — prononcé du transfert de propriété par </w:t>
      </w:r>
      <w:r>
        <w:rPr>
          <w:rFonts w:ascii="Calibri" w:cs="Calibri" w:eastAsia="Calibri" w:hAnsi="Calibri"/>
          <w:b/>
          <w:bCs/>
          <w:color w:val="1A1A1A"/>
          <w:sz w:val="20"/>
          <w:szCs w:val="20"/>
        </w:rPr>
        <w:t xml:space="preserve">ordonnance</w:t>
      </w:r>
      <w:r>
        <w:rPr>
          <w:rFonts w:ascii="Calibri" w:cs="Calibri" w:eastAsia="Calibri" w:hAnsi="Calibri"/>
          <w:color w:val="1A1A1A"/>
          <w:sz w:val="20"/>
          <w:szCs w:val="20"/>
        </w:rPr>
        <w:t xml:space="preserve"> et fixation de l’</w:t>
      </w:r>
      <w:r>
        <w:rPr>
          <w:rFonts w:ascii="Calibri" w:cs="Calibri" w:eastAsia="Calibri" w:hAnsi="Calibri"/>
          <w:b/>
          <w:bCs/>
          <w:color w:val="1A1A1A"/>
          <w:sz w:val="20"/>
          <w:szCs w:val="20"/>
        </w:rPr>
        <w:t xml:space="preserve">indemnisation</w:t>
      </w:r>
      <w:r>
        <w:rPr>
          <w:rFonts w:ascii="Calibri" w:cs="Calibri" w:eastAsia="Calibri" w:hAnsi="Calibri"/>
          <w:color w:val="1A1A1A"/>
          <w:sz w:val="20"/>
          <w:szCs w:val="20"/>
        </w:rPr>
        <w:t xml:space="preserve"> par jugement ; en l’absence de cession amiable, le transfert doit être prononcé par le juge judiciaire (</w:t>
      </w:r>
      <w:r>
        <w:rPr>
          <w:rFonts w:ascii="Calibri" w:cs="Calibri" w:eastAsia="Calibri" w:hAnsi="Calibri"/>
          <w:color w:val="1E88E5"/>
          <w:sz w:val="20"/>
          <w:szCs w:val="20"/>
        </w:rPr>
        <w:t xml:space="preserve">art. L. 220-1 du Code de l’expropriation pour cause d’utilité publique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Cas d’utilité publique</w:t>
      </w:r>
      <w:r>
        <w:rPr>
          <w:rFonts w:ascii="Calibri" w:cs="Calibri" w:eastAsia="Calibri" w:hAnsi="Calibri"/>
          <w:color w:val="1A1A1A"/>
          <w:sz w:val="20"/>
          <w:szCs w:val="20"/>
        </w:rPr>
        <w:t xml:space="preserve"> : risque technologique (</w:t>
      </w:r>
      <w:r>
        <w:rPr>
          <w:rFonts w:ascii="Calibri" w:cs="Calibri" w:eastAsia="Calibri" w:hAnsi="Calibri"/>
          <w:color w:val="1E88E5"/>
          <w:sz w:val="20"/>
          <w:szCs w:val="20"/>
        </w:rPr>
        <w:t xml:space="preserve">art. L. 515-16 C. env.</w:t>
      </w:r>
      <w:r>
        <w:rPr>
          <w:rFonts w:ascii="Calibri" w:cs="Calibri" w:eastAsia="Calibri" w:hAnsi="Calibri"/>
          <w:color w:val="1A1A1A"/>
          <w:sz w:val="20"/>
          <w:szCs w:val="20"/>
        </w:rPr>
        <w:t xml:space="preserve">) ; risques naturels majeurs (</w:t>
      </w:r>
      <w:r>
        <w:rPr>
          <w:rFonts w:ascii="Calibri" w:cs="Calibri" w:eastAsia="Calibri" w:hAnsi="Calibri"/>
          <w:color w:val="1E88E5"/>
          <w:sz w:val="20"/>
          <w:szCs w:val="20"/>
        </w:rPr>
        <w:t xml:space="preserve">art. L. 561-1 et s. C. env.</w:t>
      </w:r>
      <w:r>
        <w:rPr>
          <w:rFonts w:ascii="Calibri" w:cs="Calibri" w:eastAsia="Calibri" w:hAnsi="Calibri"/>
          <w:color w:val="1A1A1A"/>
          <w:sz w:val="20"/>
          <w:szCs w:val="20"/>
        </w:rPr>
        <w:t xml:space="preserve">) ; insalubrité et risque pour la santé des occupants (</w:t>
      </w:r>
      <w:r>
        <w:rPr>
          <w:rFonts w:ascii="Calibri" w:cs="Calibri" w:eastAsia="Calibri" w:hAnsi="Calibri"/>
          <w:color w:val="1E88E5"/>
          <w:sz w:val="20"/>
          <w:szCs w:val="20"/>
        </w:rPr>
        <w:t xml:space="preserve">art. L. 511-2 du Code de l’expropriation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Voie de fait et emprise irrégulière</w:t>
      </w:r>
    </w:p>
    <w:p>
      <w:pPr>
        <w:pStyle w:val="ListParagraph"/>
        <w:numPr>
          <w:ilvl w:val="0"/>
          <w:numId w:val="2"/>
        </w:numPr>
        <w:spacing w:after="70" w:line="264"/>
        <w:jc w:val="both"/>
      </w:pPr>
      <w:r>
        <w:rPr>
          <w:rFonts w:ascii="Calibri" w:cs="Calibri" w:eastAsia="Calibri" w:hAnsi="Calibri"/>
          <w:b/>
          <w:bCs/>
          <w:color w:val="1A1A1A"/>
          <w:sz w:val="20"/>
          <w:szCs w:val="20"/>
        </w:rPr>
        <w:t xml:space="preserve">Avant 2013</w:t>
      </w:r>
      <w:r>
        <w:rPr>
          <w:rFonts w:ascii="Calibri" w:cs="Calibri" w:eastAsia="Calibri" w:hAnsi="Calibri"/>
          <w:color w:val="1A1A1A"/>
          <w:sz w:val="20"/>
          <w:szCs w:val="20"/>
        </w:rPr>
        <w:t xml:space="preserve"> : la voie de fait permettait de déroger à la compétence administrative en cas d’atteinte à une </w:t>
      </w:r>
      <w:r>
        <w:rPr>
          <w:rFonts w:ascii="Calibri" w:cs="Calibri" w:eastAsia="Calibri" w:hAnsi="Calibri"/>
          <w:b/>
          <w:bCs/>
          <w:color w:val="1A1A1A"/>
          <w:sz w:val="20"/>
          <w:szCs w:val="20"/>
        </w:rPr>
        <w:t xml:space="preserve">liberté fondamentale</w:t>
      </w:r>
      <w:r>
        <w:rPr>
          <w:rFonts w:ascii="Calibri" w:cs="Calibri" w:eastAsia="Calibri" w:hAnsi="Calibri"/>
          <w:color w:val="1A1A1A"/>
          <w:sz w:val="20"/>
          <w:szCs w:val="20"/>
        </w:rPr>
        <w:t xml:space="preserve"> ou d’extinction d’un droit de propriété, soit par une décision manifestement insusceptible de se rattacher à un pouvoir de l’administration, soit par une exécution forcée irrégulière (</w:t>
      </w:r>
      <w:r>
        <w:rPr>
          <w:rFonts w:ascii="Calibri" w:cs="Calibri" w:eastAsia="Calibri" w:hAnsi="Calibri"/>
          <w:color w:val="E91E63"/>
          <w:sz w:val="20"/>
          <w:szCs w:val="20"/>
        </w:rPr>
        <w:t xml:space="preserve">T. confl., 23 octobre 2000, Préfet de police c. M. Boussadar, n° 03227</w:t>
      </w:r>
      <w:r>
        <w:rPr>
          <w:rFonts w:ascii="Calibri" w:cs="Calibri" w:eastAsia="Calibri" w:hAnsi="Calibri"/>
          <w:color w:val="1A1A1A"/>
          <w:sz w:val="20"/>
          <w:szCs w:val="20"/>
        </w:rPr>
        <w:t xml:space="preserve">). L’action perdait alors sa qualification d’acte administratif ; le juge judiciaire pouvait enjoindre à l’administration de faire cesser l’atteinte et réparer les préjudices.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17 juin 2013, Bergoend c. Société ERDF Annecy Léman, n° C3911</w:t>
      </w:r>
      <w:r>
        <w:rPr>
          <w:rFonts w:ascii="Calibri" w:cs="Calibri" w:eastAsia="Calibri" w:hAnsi="Calibri"/>
          <w:color w:val="1A1A1A"/>
          <w:sz w:val="20"/>
          <w:szCs w:val="20"/>
        </w:rPr>
        <w:t xml:space="preserve"> : la voie de fait se caractérise désormais soit par une exécution forcée irrégulière ou une décision portant atteinte à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ou éteignant un droit de propriété, soit par une décision ayant les mêmes effets et manifestement insusceptible d’être rattachée à un pouvoir de l’administration. </w:t>
      </w:r>
      <w:r>
        <w:rPr>
          <w:rFonts w:ascii="Calibri" w:cs="Calibri" w:eastAsia="Calibri" w:hAnsi="Calibri"/>
          <w:color w:val="E91E63"/>
          <w:sz w:val="20"/>
          <w:szCs w:val="20"/>
        </w:rPr>
        <w:t xml:space="preserve">Cass. civ. 3e, 16 mai 2019, n° 17-26.210</w:t>
      </w:r>
      <w:r>
        <w:rPr>
          <w:rFonts w:ascii="Calibri" w:cs="Calibri" w:eastAsia="Calibri" w:hAnsi="Calibri"/>
          <w:color w:val="1A1A1A"/>
          <w:sz w:val="20"/>
          <w:szCs w:val="20"/>
        </w:rPr>
        <w:t xml:space="preserve"> : il n’appartient pas au juge judiciaire d’enjoindre à l’administration de déclasser un bien classé par erreur dans la voirie communale, un tel classement, « </w:t>
      </w:r>
      <w:r>
        <w:rPr>
          <w:rFonts w:ascii="Calibri" w:cs="Calibri" w:eastAsia="Calibri" w:hAnsi="Calibri"/>
          <w:i/>
          <w:iCs/>
          <w:color w:val="1A1A1A"/>
          <w:sz w:val="20"/>
          <w:szCs w:val="20"/>
        </w:rPr>
        <w:t xml:space="preserve">bien qu’illégal, n’est constitutif d’une voie de fait que s’il procède d’un acte manifestement insusceptible de se rattacher à l’un des pouvoirs de l’administration</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Deux conséquences du rétrécissement</w:t>
      </w:r>
      <w:r>
        <w:rPr>
          <w:rFonts w:ascii="Calibri" w:cs="Calibri" w:eastAsia="Calibri" w:hAnsi="Calibri"/>
          <w:color w:val="1A1A1A"/>
          <w:sz w:val="20"/>
          <w:szCs w:val="20"/>
        </w:rPr>
        <w:t xml:space="preserve"> : la voie de fait ne concerne plus toute liberté fondamentale mais la seule liberté individuelle et l’extinction du droit de propriété ; elle </w:t>
      </w:r>
      <w:r>
        <w:rPr>
          <w:rFonts w:ascii="Calibri" w:cs="Calibri" w:eastAsia="Calibri" w:hAnsi="Calibri"/>
          <w:b/>
          <w:bCs/>
          <w:color w:val="1A1A1A"/>
          <w:sz w:val="20"/>
          <w:szCs w:val="20"/>
        </w:rPr>
        <w:t xml:space="preserve">réduit le champ de compétence du juge judiciaire</w:t>
      </w:r>
      <w:r>
        <w:rPr>
          <w:rFonts w:ascii="Calibri" w:cs="Calibri" w:eastAsia="Calibri" w:hAnsi="Calibri"/>
          <w:color w:val="1A1A1A"/>
          <w:sz w:val="20"/>
          <w:szCs w:val="20"/>
        </w:rPr>
        <w:t xml:space="preserve"> en redonnant compétence au juge administratif. </w:t>
      </w:r>
      <w:r>
        <w:rPr>
          <w:rFonts w:ascii="Calibri" w:cs="Calibri" w:eastAsia="Calibri" w:hAnsi="Calibri"/>
          <w:b/>
          <w:bCs/>
          <w:color w:val="1A1A1A"/>
          <w:sz w:val="20"/>
          <w:szCs w:val="20"/>
        </w:rPr>
        <w:t xml:space="preserve">Justification</w:t>
      </w:r>
      <w:r>
        <w:rPr>
          <w:rFonts w:ascii="Calibri" w:cs="Calibri" w:eastAsia="Calibri" w:hAnsi="Calibri"/>
          <w:color w:val="1A1A1A"/>
          <w:sz w:val="20"/>
          <w:szCs w:val="20"/>
        </w:rPr>
        <w:t xml:space="preserve"> : la création, par la </w:t>
      </w:r>
      <w:r>
        <w:rPr>
          <w:rFonts w:ascii="Calibri" w:cs="Calibri" w:eastAsia="Calibri" w:hAnsi="Calibri"/>
          <w:color w:val="1E88E5"/>
          <w:sz w:val="20"/>
          <w:szCs w:val="20"/>
        </w:rPr>
        <w:t xml:space="preserve">loi n° 2000-597 du 30 juin 2000</w:t>
      </w:r>
      <w:r>
        <w:rPr>
          <w:rFonts w:ascii="Calibri" w:cs="Calibri" w:eastAsia="Calibri" w:hAnsi="Calibri"/>
          <w:color w:val="1A1A1A"/>
          <w:sz w:val="20"/>
          <w:szCs w:val="20"/>
        </w:rPr>
        <w:t xml:space="preserve">, des référés devant le juge administratif, dont le référé-liberté.</w:t>
      </w:r>
    </w:p>
    <w:p>
      <w:pPr>
        <w:pStyle w:val="ListParagraph"/>
        <w:numPr>
          <w:ilvl w:val="0"/>
          <w:numId w:val="2"/>
        </w:numPr>
        <w:spacing w:after="70" w:line="264"/>
        <w:jc w:val="both"/>
      </w:pPr>
      <w:r>
        <w:rPr>
          <w:rFonts w:ascii="Calibri" w:cs="Calibri" w:eastAsia="Calibri" w:hAnsi="Calibri"/>
          <w:b/>
          <w:bCs/>
          <w:color w:val="1A1A1A"/>
          <w:sz w:val="20"/>
          <w:szCs w:val="20"/>
        </w:rPr>
        <w:t xml:space="preserve">Emprise irrégulière</w:t>
      </w:r>
      <w:r>
        <w:rPr>
          <w:rFonts w:ascii="Calibri" w:cs="Calibri" w:eastAsia="Calibri" w:hAnsi="Calibri"/>
          <w:color w:val="1A1A1A"/>
          <w:sz w:val="20"/>
          <w:szCs w:val="20"/>
        </w:rPr>
        <w:t xml:space="preserve"> : ★ </w:t>
      </w:r>
      <w:r>
        <w:rPr>
          <w:rFonts w:ascii="Calibri" w:cs="Calibri" w:eastAsia="Calibri" w:hAnsi="Calibri"/>
          <w:color w:val="E91E63"/>
          <w:sz w:val="20"/>
          <w:szCs w:val="20"/>
        </w:rPr>
        <w:t xml:space="preserve">T. confl., 9 décembre 2013, Panizzon c. Commune de Saint-Palais-sur-Mer, n° C3931</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Dans le cas d’une décision administrative portant atteinte à la propriété privée, le juge administratif, compétent pour statuer sur le recours en annulation d’une telle décision et, le cas échéant, pour adresser des injonctions à l’administration, l’est également pour connaître de conclusions tendant à la réparation des conséquences dommageables de cette décision administrative, hormis le cas où elle aurait pour effet l’extinction du droit de propriété.</w:t>
      </w:r>
      <w:r>
        <w:rPr>
          <w:rFonts w:ascii="Calibri" w:cs="Calibri" w:eastAsia="Calibri" w:hAnsi="Calibri"/>
          <w:color w:val="1A1A1A"/>
          <w:sz w:val="20"/>
          <w:szCs w:val="20"/>
        </w:rPr>
        <w:t xml:space="preserve"> »</w:t>
      </w:r>
    </w:p>
    <w:p>
      <w:pPr>
        <w:pStyle w:val="Heading3"/>
        <w:spacing w:after="90" w:before="200"/>
      </w:pPr>
      <w:r>
        <w:rPr>
          <w:rFonts w:ascii="Calibri" w:cs="Calibri" w:eastAsia="Calibri" w:hAnsi="Calibri"/>
          <w:b/>
          <w:bCs/>
          <w:i/>
          <w:iCs/>
          <w:color w:val="5A5A5A"/>
          <w:sz w:val="21"/>
          <w:szCs w:val="21"/>
        </w:rPr>
        <w:t xml:space="preserve">3.4. Actualité — isolement et contention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8 décembre 2025, M. G. c. Assistance Publique – Hôpitaux de Paris, n° C4361</w:t>
      </w:r>
      <w:r>
        <w:rPr>
          <w:rFonts w:ascii="Calibri" w:cs="Calibri" w:eastAsia="Calibri" w:hAnsi="Calibri"/>
          <w:color w:val="1A1A1A"/>
          <w:sz w:val="20"/>
          <w:szCs w:val="20"/>
        </w:rPr>
        <w:t xml:space="preserve"> : les mesures d’isolement et de contention constituent, </w:t>
      </w:r>
      <w:r>
        <w:rPr>
          <w:rFonts w:ascii="Calibri" w:cs="Calibri" w:eastAsia="Calibri" w:hAnsi="Calibri"/>
          <w:b/>
          <w:bCs/>
          <w:color w:val="1A1A1A"/>
          <w:sz w:val="20"/>
          <w:szCs w:val="20"/>
        </w:rPr>
        <w:t xml:space="preserve">en toutes circonstances</w:t>
      </w:r>
      <w:r>
        <w:rPr>
          <w:rFonts w:ascii="Calibri" w:cs="Calibri" w:eastAsia="Calibri" w:hAnsi="Calibri"/>
          <w:color w:val="1A1A1A"/>
          <w:sz w:val="20"/>
          <w:szCs w:val="20"/>
        </w:rPr>
        <w:t xml:space="preserve">, des privations de liberté ; en application de l’</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le juge judiciaire est compétent pour contrôler leurs conditions de mise en œuvre, ordonner leur mainlevée et connaître des actions en indemnisation résultant de leur mise en œuvre irrégulière.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8 juin 2026, Centre hospitalier de Lannemezan, n° C4374</w:t>
      </w:r>
      <w:r>
        <w:rPr>
          <w:rFonts w:ascii="Calibri" w:cs="Calibri" w:eastAsia="Calibri" w:hAnsi="Calibri"/>
          <w:color w:val="1A1A1A"/>
          <w:sz w:val="20"/>
          <w:szCs w:val="20"/>
        </w:rPr>
        <w:t xml:space="preserve"> : une patiente hospitalisée sans consentement était décédée après avoir été placée à l’isolement et avoir fait l’objet d’une contention chimique ; ses proches invoquaient également des fautes médicales liées au traitement administré et à l’insuffisance de la surveillance. Alors que la responsabilité d’un établissement public hospitalier relève normalement du juge administratif, le Tribunal juge que, lorsque les actes médicaux se rattachent à une mesure d’isolement ou de contention, le contentieux indemnitaire relève </w:t>
      </w:r>
      <w:r>
        <w:rPr>
          <w:rFonts w:ascii="Calibri" w:cs="Calibri" w:eastAsia="Calibri" w:hAnsi="Calibri"/>
          <w:b/>
          <w:bCs/>
          <w:color w:val="1A1A1A"/>
          <w:sz w:val="20"/>
          <w:szCs w:val="20"/>
        </w:rPr>
        <w:t xml:space="preserve">dans son entier</w:t>
      </w:r>
      <w:r>
        <w:rPr>
          <w:rFonts w:ascii="Calibri" w:cs="Calibri" w:eastAsia="Calibri" w:hAnsi="Calibri"/>
          <w:color w:val="1A1A1A"/>
          <w:sz w:val="20"/>
          <w:szCs w:val="20"/>
        </w:rPr>
        <w:t xml:space="preserve"> du juge judiciaire. </w:t>
      </w: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la compétence judiciaire attachée à la protection de la liberté individuelle peut </w:t>
      </w:r>
      <w:r>
        <w:rPr>
          <w:rFonts w:ascii="Calibri" w:cs="Calibri" w:eastAsia="Calibri" w:hAnsi="Calibri"/>
          <w:b/>
          <w:bCs/>
          <w:color w:val="1A1A1A"/>
          <w:sz w:val="20"/>
          <w:szCs w:val="20"/>
        </w:rPr>
        <w:t xml:space="preserve">englober des actes qui, pris isolément, relèveraient de l’activité médicale</w:t>
      </w:r>
      <w:r>
        <w:rPr>
          <w:rFonts w:ascii="Calibri" w:cs="Calibri" w:eastAsia="Calibri" w:hAnsi="Calibri"/>
          <w:color w:val="1A1A1A"/>
          <w:sz w:val="20"/>
          <w:szCs w:val="20"/>
        </w:rPr>
        <w:t xml:space="preserve"> d’un établissement public.</w:t>
      </w:r>
    </w:p>
    <w:p>
      <w:pPr>
        <w:pStyle w:val="Heading2"/>
        <w:spacing w:after="120" w:before="280"/>
      </w:pPr>
      <w:r>
        <w:rPr>
          <w:rFonts w:ascii="Calibri" w:cs="Calibri" w:eastAsia="Calibri" w:hAnsi="Calibri"/>
          <w:b/>
          <w:bCs/>
          <w:color w:val="1A1A1A"/>
          <w:sz w:val="24"/>
          <w:szCs w:val="24"/>
        </w:rPr>
        <w:t xml:space="preserve">4. Les autres dérogations</w:t>
      </w:r>
    </w:p>
    <w:p>
      <w:pPr>
        <w:pStyle w:val="Heading3"/>
        <w:spacing w:after="90" w:before="200"/>
      </w:pPr>
      <w:r>
        <w:rPr>
          <w:rFonts w:ascii="Calibri" w:cs="Calibri" w:eastAsia="Calibri" w:hAnsi="Calibri"/>
          <w:b/>
          <w:bCs/>
          <w:i/>
          <w:iCs/>
          <w:color w:val="5A5A5A"/>
          <w:sz w:val="21"/>
          <w:szCs w:val="21"/>
        </w:rPr>
        <w:t xml:space="preserve">4.1. La reconduite des étrangers à la frontière — l’exception inverse</w:t>
      </w:r>
    </w:p>
    <w:p>
      <w:pPr>
        <w:pStyle w:val="ListParagraph"/>
        <w:numPr>
          <w:ilvl w:val="0"/>
          <w:numId w:val="2"/>
        </w:numPr>
        <w:spacing w:after="70" w:line="264"/>
        <w:jc w:val="both"/>
      </w:pPr>
      <w:r>
        <w:rPr>
          <w:rFonts w:ascii="Calibri" w:cs="Calibri" w:eastAsia="Calibri" w:hAnsi="Calibri"/>
          <w:color w:val="E91E63"/>
          <w:sz w:val="20"/>
          <w:szCs w:val="20"/>
        </w:rPr>
        <w:t xml:space="preserve">Cons. const., déc. n° 89-261 DC, 28 juillet 1989, Loi relative aux conditions de séjour et d’entrée des étrangers en France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conformément à la conception française de la séparation des pouvoirs</w:t>
      </w:r>
      <w:r>
        <w:rPr>
          <w:rFonts w:ascii="Calibri" w:cs="Calibri" w:eastAsia="Calibri" w:hAnsi="Calibri"/>
          <w:color w:val="1A1A1A"/>
          <w:sz w:val="20"/>
          <w:szCs w:val="20"/>
        </w:rPr>
        <w:t xml:space="preserve"> », les recours contre les arrêtés préfectoraux de reconduite à la frontière relèvent du juge </w:t>
      </w:r>
      <w:r>
        <w:rPr>
          <w:rFonts w:ascii="Calibri" w:cs="Calibri" w:eastAsia="Calibri" w:hAnsi="Calibri"/>
          <w:b/>
          <w:bCs/>
          <w:color w:val="1A1A1A"/>
          <w:sz w:val="20"/>
          <w:szCs w:val="20"/>
        </w:rPr>
        <w:t xml:space="preserve">administratif</w:t>
      </w:r>
      <w:r>
        <w:rPr>
          <w:rFonts w:ascii="Calibri" w:cs="Calibri" w:eastAsia="Calibri" w:hAnsi="Calibri"/>
          <w:color w:val="1A1A1A"/>
          <w:sz w:val="20"/>
          <w:szCs w:val="20"/>
        </w:rPr>
        <w:t xml:space="preserve">, et non du juge judiciaire — alors même que ce dernier est le gardien de la liberté individuelle.</w:t>
      </w:r>
    </w:p>
    <w:p>
      <w:pPr>
        <w:pStyle w:val="ListParagraph"/>
        <w:numPr>
          <w:ilvl w:val="0"/>
          <w:numId w:val="2"/>
        </w:numPr>
        <w:spacing w:after="70" w:line="264"/>
        <w:jc w:val="both"/>
      </w:pPr>
      <w:r>
        <w:rPr>
          <w:rFonts w:ascii="Calibri" w:cs="Calibri" w:eastAsia="Calibri" w:hAnsi="Calibri"/>
          <w:color w:val="E91E63"/>
          <w:sz w:val="20"/>
          <w:szCs w:val="20"/>
        </w:rPr>
        <w:t xml:space="preserve">CEDH, 13 décembre 2012, De Souza Ribeiro c. France</w:t>
      </w:r>
      <w:r>
        <w:rPr>
          <w:rFonts w:ascii="Calibri" w:cs="Calibri" w:eastAsia="Calibri" w:hAnsi="Calibri"/>
          <w:color w:val="1A1A1A"/>
          <w:sz w:val="20"/>
          <w:szCs w:val="20"/>
        </w:rPr>
        <w:t xml:space="preserve"> : condamnation de la France — la reconduite avait été exécutée dans l’heure suivant l’exercice du recours, le rendant inopérant ; violation combinée de l’</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(recours effectif) et de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(vie privée et familiale).</w:t>
      </w:r>
    </w:p>
    <w:p>
      <w:pPr>
        <w:pStyle w:val="Heading3"/>
        <w:spacing w:after="90" w:before="200"/>
      </w:pPr>
      <w:r>
        <w:rPr>
          <w:rFonts w:ascii="Calibri" w:cs="Calibri" w:eastAsia="Calibri" w:hAnsi="Calibri"/>
          <w:b/>
          <w:bCs/>
          <w:i/>
          <w:iCs/>
          <w:color w:val="5A5A5A"/>
          <w:sz w:val="21"/>
          <w:szCs w:val="21"/>
        </w:rPr>
        <w:t xml:space="preserve">4.2. Le juge judiciaire et les actes administratifs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16 juin 1923, Septfonds, n° 00732</w:t>
      </w:r>
      <w:r>
        <w:rPr>
          <w:rFonts w:ascii="Calibri" w:cs="Calibri" w:eastAsia="Calibri" w:hAnsi="Calibri"/>
          <w:color w:val="1A1A1A"/>
          <w:sz w:val="20"/>
          <w:szCs w:val="20"/>
        </w:rPr>
        <w:t xml:space="preserve"> : le juge judiciaire ne peut pas contrôler la </w:t>
      </w:r>
      <w:r>
        <w:rPr>
          <w:rFonts w:ascii="Calibri" w:cs="Calibri" w:eastAsia="Calibri" w:hAnsi="Calibri"/>
          <w:b/>
          <w:bCs/>
          <w:color w:val="1A1A1A"/>
          <w:sz w:val="20"/>
          <w:szCs w:val="20"/>
        </w:rPr>
        <w:t xml:space="preserve">légalité</w:t>
      </w:r>
      <w:r>
        <w:rPr>
          <w:rFonts w:ascii="Calibri" w:cs="Calibri" w:eastAsia="Calibri" w:hAnsi="Calibri"/>
          <w:color w:val="1A1A1A"/>
          <w:sz w:val="20"/>
          <w:szCs w:val="20"/>
        </w:rPr>
        <w:t xml:space="preserve"> d’un acte administratif réglementaire, mais il peut l’</w:t>
      </w:r>
      <w:r>
        <w:rPr>
          <w:rFonts w:ascii="Calibri" w:cs="Calibri" w:eastAsia="Calibri" w:hAnsi="Calibri"/>
          <w:b/>
          <w:bCs/>
          <w:color w:val="1A1A1A"/>
          <w:sz w:val="20"/>
          <w:szCs w:val="20"/>
        </w:rPr>
        <w:t xml:space="preserve">interpréter</w:t>
      </w:r>
      <w:r>
        <w:rPr>
          <w:rFonts w:ascii="Calibri" w:cs="Calibri" w:eastAsia="Calibri" w:hAnsi="Calibri"/>
          <w:color w:val="1A1A1A"/>
          <w:sz w:val="20"/>
          <w:szCs w:val="20"/>
        </w:rPr>
        <w:t xml:space="preserve">. En revanche, il ne peut interpréter les actes administratifs </w:t>
      </w:r>
      <w:r>
        <w:rPr>
          <w:rFonts w:ascii="Calibri" w:cs="Calibri" w:eastAsia="Calibri" w:hAnsi="Calibri"/>
          <w:b/>
          <w:bCs/>
          <w:color w:val="1A1A1A"/>
          <w:sz w:val="20"/>
          <w:szCs w:val="20"/>
        </w:rPr>
        <w:t xml:space="preserve">individuels</w:t>
      </w:r>
      <w:r>
        <w:rPr>
          <w:rFonts w:ascii="Calibri" w:cs="Calibri" w:eastAsia="Calibri" w:hAnsi="Calibri"/>
          <w:color w:val="1A1A1A"/>
          <w:sz w:val="20"/>
          <w:szCs w:val="20"/>
        </w:rPr>
        <w:t xml:space="preserve">, sauf s’ils sont parfaitement clairs ; à défaut, il doit poser une </w:t>
      </w:r>
      <w:r>
        <w:rPr>
          <w:rFonts w:ascii="Calibri" w:cs="Calibri" w:eastAsia="Calibri" w:hAnsi="Calibri"/>
          <w:b/>
          <w:bCs/>
          <w:color w:val="1A1A1A"/>
          <w:sz w:val="20"/>
          <w:szCs w:val="20"/>
        </w:rPr>
        <w:t xml:space="preserve">question préjudicielle</w:t>
      </w:r>
      <w:r>
        <w:rPr>
          <w:rFonts w:ascii="Calibri" w:cs="Calibri" w:eastAsia="Calibri" w:hAnsi="Calibri"/>
          <w:color w:val="1A1A1A"/>
          <w:sz w:val="20"/>
          <w:szCs w:val="20"/>
        </w:rPr>
        <w:t xml:space="preserve"> au juge administratif.</w:t>
      </w:r>
    </w:p>
    <w:p>
      <w:pPr>
        <w:pStyle w:val="ListParagraph"/>
        <w:numPr>
          <w:ilvl w:val="0"/>
          <w:numId w:val="2"/>
        </w:numPr>
        <w:spacing w:after="70" w:line="264"/>
        <w:jc w:val="both"/>
      </w:pPr>
      <w:r>
        <w:rPr>
          <w:rFonts w:ascii="Calibri" w:cs="Calibri" w:eastAsia="Calibri" w:hAnsi="Calibri"/>
          <w:b/>
          <w:bCs/>
          <w:color w:val="1A1A1A"/>
          <w:sz w:val="20"/>
          <w:szCs w:val="20"/>
        </w:rPr>
        <w:t xml:space="preserve">Exception tirée du droit de l’Union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 confl., 17 octobre 2011, SCEA du Chéneau c. INAPORC, M. Cherel et a. c. CNIEL, n° C3828-3829</w:t>
      </w:r>
      <w:r>
        <w:rPr>
          <w:rFonts w:ascii="Calibri" w:cs="Calibri" w:eastAsia="Calibri" w:hAnsi="Calibri"/>
          <w:color w:val="1A1A1A"/>
          <w:sz w:val="20"/>
          <w:szCs w:val="20"/>
        </w:rPr>
        <w:t xml:space="preserve"> — compétence du juge judiciaire non répressif pour écarter la validité d’un acte administratif afin d’assurer l’effectivité du droit communautaire, sans question préjudicielle. Prolongement deux mois plus tard : </w:t>
      </w:r>
      <w:r>
        <w:rPr>
          <w:rFonts w:ascii="Calibri" w:cs="Calibri" w:eastAsia="Calibri" w:hAnsi="Calibri"/>
          <w:color w:val="E91E63"/>
          <w:sz w:val="20"/>
          <w:szCs w:val="20"/>
        </w:rPr>
        <w:t xml:space="preserve">T. confl., 12 décembre 2011, Société Green Yellow et a. c. Électricité de France, n° C3841</w:t>
      </w:r>
      <w:r>
        <w:rPr>
          <w:rFonts w:ascii="Calibri" w:cs="Calibri" w:eastAsia="Calibri" w:hAnsi="Calibri"/>
          <w:color w:val="1A1A1A"/>
          <w:sz w:val="20"/>
          <w:szCs w:val="20"/>
        </w:rPr>
        <w:t xml:space="preserve"> — compétence du juge judiciaire, au regard du principe de non-rétroactivité des actes administratifs, pour trancher ce type de contestations.</w:t>
      </w:r>
    </w:p>
    <w:p>
      <w:pPr>
        <w:pStyle w:val="ListParagraph"/>
        <w:numPr>
          <w:ilvl w:val="0"/>
          <w:numId w:val="2"/>
        </w:numPr>
        <w:spacing w:after="70" w:line="264"/>
        <w:jc w:val="both"/>
      </w:pPr>
      <w:r>
        <w:rPr>
          <w:rFonts w:ascii="Calibri" w:cs="Calibri" w:eastAsia="Calibri" w:hAnsi="Calibri"/>
          <w:b/>
          <w:bCs/>
          <w:color w:val="1A1A1A"/>
          <w:sz w:val="20"/>
          <w:szCs w:val="20"/>
        </w:rPr>
        <w:t xml:space="preserve">Exception pénale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111-5 du Code pénal</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Les juridictions pénales sont compétentes pour interpréter les actes administratifs, réglementaires ou individuels et pour en apprécier la légalité lorsque, de cet examen, dépend la solution du procès pénal qui leur est soumis.</w:t>
      </w:r>
      <w:r>
        <w:rPr>
          <w:rFonts w:ascii="Calibri" w:cs="Calibri" w:eastAsia="Calibri" w:hAnsi="Calibri"/>
          <w:color w:val="1A1A1A"/>
          <w:sz w:val="20"/>
          <w:szCs w:val="20"/>
        </w:rPr>
        <w:t xml:space="preserve"> »</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Que reste-t-il de la voie de fait ? »</w:t>
      </w:r>
      <w:r>
        <w:rPr>
          <w:rFonts w:ascii="Calibri" w:cs="Calibri" w:eastAsia="Calibri" w:hAnsi="Calibri"/>
          <w:color w:val="1A1A1A"/>
          <w:sz w:val="20"/>
          <w:szCs w:val="20"/>
        </w:rPr>
        <w:t xml:space="preserve"> — Un domaine résiduel depuis </w:t>
      </w:r>
      <w:r>
        <w:rPr>
          <w:rFonts w:ascii="Calibri" w:cs="Calibri" w:eastAsia="Calibri" w:hAnsi="Calibri"/>
          <w:color w:val="E91E63"/>
          <w:sz w:val="20"/>
          <w:szCs w:val="20"/>
        </w:rPr>
        <w:t xml:space="preserve">Bergoend</w:t>
      </w:r>
      <w:r>
        <w:rPr>
          <w:rFonts w:ascii="Calibri" w:cs="Calibri" w:eastAsia="Calibri" w:hAnsi="Calibri"/>
          <w:color w:val="1A1A1A"/>
          <w:sz w:val="20"/>
          <w:szCs w:val="20"/>
        </w:rPr>
        <w:t xml:space="preserve"> : atteinte à la liberté individuelle ou extinction du droit de propriété. Expliquer la cause du rétrécissement — la création du référé-liberté en 2000 — et sa conséquence : la compétence revient au juge administratif pour les autres atteintes aux libertés fondamentales.</w:t>
      </w:r>
    </w:p>
    <w:p>
      <w:pPr>
        <w:pStyle w:val="ListParagraph"/>
        <w:numPr>
          <w:ilvl w:val="0"/>
          <w:numId w:val="2"/>
        </w:numPr>
        <w:spacing w:after="70" w:line="264"/>
        <w:jc w:val="both"/>
      </w:pPr>
      <w:r>
        <w:rPr>
          <w:rFonts w:ascii="Calibri" w:cs="Calibri" w:eastAsia="Calibri" w:hAnsi="Calibri"/>
          <w:b/>
          <w:bCs/>
          <w:color w:val="1A1A1A"/>
          <w:sz w:val="20"/>
          <w:szCs w:val="20"/>
        </w:rPr>
        <w:t xml:space="preserve">« Le juge judiciaire peut-il apprécier la légalité d’un acte administratif ? »</w:t>
      </w:r>
      <w:r>
        <w:rPr>
          <w:rFonts w:ascii="Calibri" w:cs="Calibri" w:eastAsia="Calibri" w:hAnsi="Calibri"/>
          <w:color w:val="1A1A1A"/>
          <w:sz w:val="20"/>
          <w:szCs w:val="20"/>
        </w:rPr>
        <w:t xml:space="preserve"> — En principe non (</w:t>
      </w:r>
      <w:r>
        <w:rPr>
          <w:rFonts w:ascii="Calibri" w:cs="Calibri" w:eastAsia="Calibri" w:hAnsi="Calibri"/>
          <w:color w:val="E91E63"/>
          <w:sz w:val="20"/>
          <w:szCs w:val="20"/>
        </w:rPr>
        <w:t xml:space="preserve">Septfonds</w:t>
      </w:r>
      <w:r>
        <w:rPr>
          <w:rFonts w:ascii="Calibri" w:cs="Calibri" w:eastAsia="Calibri" w:hAnsi="Calibri"/>
          <w:color w:val="1A1A1A"/>
          <w:sz w:val="20"/>
          <w:szCs w:val="20"/>
        </w:rPr>
        <w:t xml:space="preserve">), sauf deux exceptions : le juge </w:t>
      </w:r>
      <w:r>
        <w:rPr>
          <w:rFonts w:ascii="Calibri" w:cs="Calibri" w:eastAsia="Calibri" w:hAnsi="Calibri"/>
          <w:b/>
          <w:bCs/>
          <w:color w:val="1A1A1A"/>
          <w:sz w:val="20"/>
          <w:szCs w:val="20"/>
        </w:rPr>
        <w:t xml:space="preserve">pénal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111-5 C. pén.</w:t>
      </w:r>
      <w:r>
        <w:rPr>
          <w:rFonts w:ascii="Calibri" w:cs="Calibri" w:eastAsia="Calibri" w:hAnsi="Calibri"/>
          <w:color w:val="1A1A1A"/>
          <w:sz w:val="20"/>
          <w:szCs w:val="20"/>
        </w:rPr>
        <w:t xml:space="preserve">) et le juge civil lorsque l’</w:t>
      </w:r>
      <w:r>
        <w:rPr>
          <w:rFonts w:ascii="Calibri" w:cs="Calibri" w:eastAsia="Calibri" w:hAnsi="Calibri"/>
          <w:b/>
          <w:bCs/>
          <w:color w:val="1A1A1A"/>
          <w:sz w:val="20"/>
          <w:szCs w:val="20"/>
        </w:rPr>
        <w:t xml:space="preserve">effectivité du droit de l’Union</w:t>
      </w:r>
      <w:r>
        <w:rPr>
          <w:rFonts w:ascii="Calibri" w:cs="Calibri" w:eastAsia="Calibri" w:hAnsi="Calibri"/>
          <w:color w:val="1A1A1A"/>
          <w:sz w:val="20"/>
          <w:szCs w:val="20"/>
        </w:rPr>
        <w:t xml:space="preserve"> l’exige (</w:t>
      </w:r>
      <w:r>
        <w:rPr>
          <w:rFonts w:ascii="Calibri" w:cs="Calibri" w:eastAsia="Calibri" w:hAnsi="Calibri"/>
          <w:color w:val="E91E63"/>
          <w:sz w:val="20"/>
          <w:szCs w:val="20"/>
        </w:rPr>
        <w:t xml:space="preserve">SCEA du Chéneau</w:t>
      </w:r>
      <w:r>
        <w:rPr>
          <w:rFonts w:ascii="Calibri" w:cs="Calibri" w:eastAsia="Calibri" w:hAnsi="Calibri"/>
          <w:color w:val="1A1A1A"/>
          <w:sz w:val="20"/>
          <w:szCs w:val="20"/>
        </w:rPr>
        <w:t xml:space="preserve">). Il peut en revanche interpréter un acte réglementaire.</w:t>
      </w:r>
    </w:p>
    <w:p>
      <w:pPr>
        <w:pStyle w:val="ListParagraph"/>
        <w:numPr>
          <w:ilvl w:val="0"/>
          <w:numId w:val="2"/>
        </w:numPr>
        <w:spacing w:after="70" w:line="264"/>
        <w:jc w:val="both"/>
      </w:pPr>
      <w:r>
        <w:rPr>
          <w:rFonts w:ascii="Calibri" w:cs="Calibri" w:eastAsia="Calibri" w:hAnsi="Calibri"/>
          <w:b/>
          <w:bCs/>
          <w:color w:val="1A1A1A"/>
          <w:sz w:val="20"/>
          <w:szCs w:val="20"/>
        </w:rPr>
        <w:t xml:space="preserve">« Pourquoi le contentieux de la reconduite à la frontière échappe-t-il au juge judiciaire ? »</w:t>
      </w:r>
      <w:r>
        <w:rPr>
          <w:rFonts w:ascii="Calibri" w:cs="Calibri" w:eastAsia="Calibri" w:hAnsi="Calibri"/>
          <w:color w:val="1A1A1A"/>
          <w:sz w:val="20"/>
          <w:szCs w:val="20"/>
        </w:rPr>
        <w:t xml:space="preserve"> — En vertu de la « conception française de la séparation des pouvoirs » (</w:t>
      </w:r>
      <w:r>
        <w:rPr>
          <w:rFonts w:ascii="Calibri" w:cs="Calibri" w:eastAsia="Calibri" w:hAnsi="Calibri"/>
          <w:color w:val="E91E63"/>
          <w:sz w:val="20"/>
          <w:szCs w:val="20"/>
        </w:rPr>
        <w:t xml:space="preserve">89-261 DC</w:t>
      </w:r>
      <w:r>
        <w:rPr>
          <w:rFonts w:ascii="Calibri" w:cs="Calibri" w:eastAsia="Calibri" w:hAnsi="Calibri"/>
          <w:color w:val="1A1A1A"/>
          <w:sz w:val="20"/>
          <w:szCs w:val="20"/>
        </w:rPr>
        <w:t xml:space="preserve">) : il s’agit de l’annulation de décisions prises dans l’exercice de prérogatives de puissance publique. Nuancer par </w:t>
      </w:r>
      <w:r>
        <w:rPr>
          <w:rFonts w:ascii="Calibri" w:cs="Calibri" w:eastAsia="Calibri" w:hAnsi="Calibri"/>
          <w:color w:val="E91E63"/>
          <w:sz w:val="20"/>
          <w:szCs w:val="20"/>
        </w:rPr>
        <w:t xml:space="preserve">De Souza Ribeiro</w:t>
      </w:r>
      <w:r>
        <w:rPr>
          <w:rFonts w:ascii="Calibri" w:cs="Calibri" w:eastAsia="Calibri" w:hAnsi="Calibri"/>
          <w:color w:val="1A1A1A"/>
          <w:sz w:val="20"/>
          <w:szCs w:val="20"/>
        </w:rPr>
        <w:t xml:space="preserve"> : le juge compétent importe moins que l’</w:t>
      </w:r>
      <w:r>
        <w:rPr>
          <w:rFonts w:ascii="Calibri" w:cs="Calibri" w:eastAsia="Calibri" w:hAnsi="Calibri"/>
          <w:b/>
          <w:bCs/>
          <w:color w:val="1A1A1A"/>
          <w:sz w:val="20"/>
          <w:szCs w:val="20"/>
        </w:rPr>
        <w:t xml:space="preserve">effectivité</w:t>
      </w:r>
      <w:r>
        <w:rPr>
          <w:rFonts w:ascii="Calibri" w:cs="Calibri" w:eastAsia="Calibri" w:hAnsi="Calibri"/>
          <w:color w:val="1A1A1A"/>
          <w:sz w:val="20"/>
          <w:szCs w:val="20"/>
        </w:rPr>
        <w:t xml:space="preserve"> du recours.</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L’autorité judiciaire est-elle la gardienne de la propriété privée immobilière ? » (sujet de dissertation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Le Tribunal des conflits et la protection des libertés » ; « La voie de fait ».</w:t>
      </w:r>
    </w:p>
    <w:p>
      <w:pPr>
        <w:pStyle w:val="ListParagraph"/>
        <w:numPr>
          <w:ilvl w:val="0"/>
          <w:numId w:val="2"/>
        </w:numPr>
        <w:spacing w:after="70" w:line="264"/>
        <w:jc w:val="both"/>
      </w:pPr>
      <w:r>
        <w:rPr>
          <w:rFonts w:ascii="Calibri" w:cs="Calibri" w:eastAsia="Calibri" w:hAnsi="Calibri"/>
          <w:color w:val="1A1A1A"/>
          <w:sz w:val="20"/>
          <w:szCs w:val="20"/>
        </w:rPr>
        <w:t xml:space="preserve">« La conception française de la séparation des pouvoirs » ; « L’expropriation pour cause d’utilité publique ».</w:t>
      </w:r>
    </w:p>
    <w:p>
      <w:pPr>
        <w:pStyle w:val="ListParagraph"/>
        <w:numPr>
          <w:ilvl w:val="0"/>
          <w:numId w:val="2"/>
        </w:numPr>
        <w:spacing w:after="70" w:line="264"/>
        <w:jc w:val="both"/>
      </w:pPr>
      <w:r>
        <w:rPr>
          <w:rFonts w:ascii="Calibri" w:cs="Calibri" w:eastAsia="Calibri" w:hAnsi="Calibri"/>
          <w:color w:val="1A1A1A"/>
          <w:sz w:val="20"/>
          <w:szCs w:val="20"/>
        </w:rPr>
        <w:t xml:space="preserve">« Isolement et contention : qui est le juge de la privation de liberté ?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Sur quoi repose la séparation des autorités ?</w:t>
      </w:r>
      <w:r>
        <w:rPr>
          <w:rFonts w:ascii="Calibri" w:cs="Calibri" w:eastAsia="Calibri" w:hAnsi="Calibri"/>
          <w:color w:val="1A1A1A"/>
          <w:sz w:val="20"/>
          <w:szCs w:val="20"/>
        </w:rPr>
        <w:t xml:space="preserve"> — Sur la </w:t>
      </w:r>
      <w:r>
        <w:rPr>
          <w:rFonts w:ascii="Calibri" w:cs="Calibri" w:eastAsia="Calibri" w:hAnsi="Calibri"/>
          <w:color w:val="1E88E5"/>
          <w:sz w:val="20"/>
          <w:szCs w:val="20"/>
        </w:rPr>
        <w:t xml:space="preserve">loi des 16 et 24 août 1790</w:t>
      </w:r>
      <w:r>
        <w:rPr>
          <w:rFonts w:ascii="Calibri" w:cs="Calibri" w:eastAsia="Calibri" w:hAnsi="Calibri"/>
          <w:color w:val="1A1A1A"/>
          <w:sz w:val="20"/>
          <w:szCs w:val="20"/>
        </w:rPr>
        <w:t xml:space="preserve"> et la </w:t>
      </w:r>
      <w:r>
        <w:rPr>
          <w:rFonts w:ascii="Calibri" w:cs="Calibri" w:eastAsia="Calibri" w:hAnsi="Calibri"/>
          <w:color w:val="1E88E5"/>
          <w:sz w:val="20"/>
          <w:szCs w:val="20"/>
        </w:rPr>
        <w:t xml:space="preserve">loi du 16 fructidor an III</w:t>
      </w:r>
      <w:r>
        <w:rPr>
          <w:rFonts w:ascii="Calibri" w:cs="Calibri" w:eastAsia="Calibri" w:hAnsi="Calibri"/>
          <w:color w:val="1A1A1A"/>
          <w:sz w:val="20"/>
          <w:szCs w:val="20"/>
        </w:rPr>
        <w:t xml:space="preserve">, érigées en </w:t>
      </w:r>
      <w:r>
        <w:rPr>
          <w:rFonts w:ascii="Calibri" w:cs="Calibri" w:eastAsia="Calibri" w:hAnsi="Calibri"/>
          <w:b/>
          <w:bCs/>
          <w:color w:val="1A1A1A"/>
          <w:sz w:val="20"/>
          <w:szCs w:val="20"/>
        </w:rPr>
        <w:t xml:space="preserve">PFRLR</w:t>
      </w:r>
      <w:r>
        <w:rPr>
          <w:rFonts w:ascii="Calibri" w:cs="Calibri" w:eastAsia="Calibri" w:hAnsi="Calibri"/>
          <w:color w:val="1A1A1A"/>
          <w:sz w:val="20"/>
          <w:szCs w:val="20"/>
        </w:rPr>
        <w:t xml:space="preserve"> par </w:t>
      </w:r>
      <w:r>
        <w:rPr>
          <w:rFonts w:ascii="Calibri" w:cs="Calibri" w:eastAsia="Calibri" w:hAnsi="Calibri"/>
          <w:color w:val="E91E63"/>
          <w:sz w:val="20"/>
          <w:szCs w:val="20"/>
        </w:rPr>
        <w:t xml:space="preserve">86-224 DC</w:t>
      </w:r>
      <w:r>
        <w:rPr>
          <w:rFonts w:ascii="Calibri" w:cs="Calibri" w:eastAsia="Calibri" w:hAnsi="Calibri"/>
          <w:color w:val="1A1A1A"/>
          <w:sz w:val="20"/>
          <w:szCs w:val="20"/>
        </w:rPr>
        <w:t xml:space="preserve">. Historiquement, elle procède de la méfiance envers les parlements d’Ancien Régime, non d’une application de Montesquieu.</w:t>
      </w:r>
    </w:p>
    <w:p>
      <w:pPr>
        <w:pStyle w:val="ListParagraph"/>
        <w:numPr>
          <w:ilvl w:val="0"/>
          <w:numId w:val="2"/>
        </w:numPr>
        <w:spacing w:after="70" w:line="264"/>
        <w:jc w:val="both"/>
      </w:pPr>
      <w:r>
        <w:rPr>
          <w:rFonts w:ascii="Calibri" w:cs="Calibri" w:eastAsia="Calibri" w:hAnsi="Calibri"/>
          <w:b/>
          <w:bCs/>
          <w:color w:val="1A1A1A"/>
          <w:sz w:val="20"/>
          <w:szCs w:val="20"/>
        </w:rPr>
        <w:t xml:space="preserve">Q. Qui préside le Tribunal des conflits ?</w:t>
      </w:r>
      <w:r>
        <w:rPr>
          <w:rFonts w:ascii="Calibri" w:cs="Calibri" w:eastAsia="Calibri" w:hAnsi="Calibri"/>
          <w:color w:val="1A1A1A"/>
          <w:sz w:val="20"/>
          <w:szCs w:val="20"/>
        </w:rPr>
        <w:t xml:space="preserve"> — Depuis la réforme de </w:t>
      </w:r>
      <w:r>
        <w:rPr>
          <w:rFonts w:ascii="Calibri" w:cs="Calibri" w:eastAsia="Calibri" w:hAnsi="Calibri"/>
          <w:b/>
          <w:bCs/>
          <w:color w:val="1A1A1A"/>
          <w:sz w:val="20"/>
          <w:szCs w:val="20"/>
        </w:rPr>
        <w:t xml:space="preserve">2015</w:t>
      </w:r>
      <w:r>
        <w:rPr>
          <w:rFonts w:ascii="Calibri" w:cs="Calibri" w:eastAsia="Calibri" w:hAnsi="Calibri"/>
          <w:color w:val="1A1A1A"/>
          <w:sz w:val="20"/>
          <w:szCs w:val="20"/>
        </w:rPr>
        <w:t xml:space="preserve">, l’un de ses membres désigné pour trois ans. Le garde des Sceaux ne le préside plus.</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de cas de saisine du Tribunal des conflits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Cinq</w:t>
      </w:r>
      <w:r>
        <w:rPr>
          <w:rFonts w:ascii="Calibri" w:cs="Calibri" w:eastAsia="Calibri" w:hAnsi="Calibri"/>
          <w:color w:val="1A1A1A"/>
          <w:sz w:val="20"/>
          <w:szCs w:val="20"/>
        </w:rPr>
        <w:t xml:space="preserve"> : conflit positif, conflit sur renvoi, conflit négatif, conflit de décisions, durée excessive des procédures.</w:t>
      </w:r>
    </w:p>
    <w:p>
      <w:pPr>
        <w:pStyle w:val="ListParagraph"/>
        <w:numPr>
          <w:ilvl w:val="0"/>
          <w:numId w:val="2"/>
        </w:numPr>
        <w:spacing w:after="70" w:line="264"/>
        <w:jc w:val="both"/>
      </w:pPr>
      <w:r>
        <w:rPr>
          <w:rFonts w:ascii="Calibri" w:cs="Calibri" w:eastAsia="Calibri" w:hAnsi="Calibri"/>
          <w:b/>
          <w:bCs/>
          <w:color w:val="1A1A1A"/>
          <w:sz w:val="20"/>
          <w:szCs w:val="20"/>
        </w:rPr>
        <w:t xml:space="preserve">Q. Les deux phases de l’expropriation et leurs juges ?</w:t>
      </w:r>
      <w:r>
        <w:rPr>
          <w:rFonts w:ascii="Calibri" w:cs="Calibri" w:eastAsia="Calibri" w:hAnsi="Calibri"/>
          <w:color w:val="1A1A1A"/>
          <w:sz w:val="20"/>
          <w:szCs w:val="20"/>
        </w:rPr>
        <w:t xml:space="preserve"> — Phase </w:t>
      </w:r>
      <w:r>
        <w:rPr>
          <w:rFonts w:ascii="Calibri" w:cs="Calibri" w:eastAsia="Calibri" w:hAnsi="Calibri"/>
          <w:b/>
          <w:bCs/>
          <w:color w:val="1A1A1A"/>
          <w:sz w:val="20"/>
          <w:szCs w:val="20"/>
        </w:rPr>
        <w:t xml:space="preserve">administrative</w:t>
      </w:r>
      <w:r>
        <w:rPr>
          <w:rFonts w:ascii="Calibri" w:cs="Calibri" w:eastAsia="Calibri" w:hAnsi="Calibri"/>
          <w:color w:val="1A1A1A"/>
          <w:sz w:val="20"/>
          <w:szCs w:val="20"/>
        </w:rPr>
        <w:t xml:space="preserve"> (déclaration d’utilité publique, arrêté de cessibilité) : juge administratif, contrôle par la théorie du bilan. Phase </w:t>
      </w:r>
      <w:r>
        <w:rPr>
          <w:rFonts w:ascii="Calibri" w:cs="Calibri" w:eastAsia="Calibri" w:hAnsi="Calibri"/>
          <w:b/>
          <w:bCs/>
          <w:color w:val="1A1A1A"/>
          <w:sz w:val="20"/>
          <w:szCs w:val="20"/>
        </w:rPr>
        <w:t xml:space="preserve">judiciaire</w:t>
      </w:r>
      <w:r>
        <w:rPr>
          <w:rFonts w:ascii="Calibri" w:cs="Calibri" w:eastAsia="Calibri" w:hAnsi="Calibri"/>
          <w:color w:val="1A1A1A"/>
          <w:sz w:val="20"/>
          <w:szCs w:val="20"/>
        </w:rPr>
        <w:t xml:space="preserve"> (transfert de propriété par ordonnance, indemnisation par jugement) : juge judiciaire.</w:t>
      </w:r>
    </w:p>
    <w:p>
      <w:pPr>
        <w:pStyle w:val="ListParagraph"/>
        <w:numPr>
          <w:ilvl w:val="0"/>
          <w:numId w:val="2"/>
        </w:numPr>
        <w:spacing w:after="70" w:line="264"/>
        <w:jc w:val="both"/>
      </w:pPr>
      <w:r>
        <w:rPr>
          <w:rFonts w:ascii="Calibri" w:cs="Calibri" w:eastAsia="Calibri" w:hAnsi="Calibri"/>
          <w:b/>
          <w:bCs/>
          <w:color w:val="1A1A1A"/>
          <w:sz w:val="20"/>
          <w:szCs w:val="20"/>
        </w:rPr>
        <w:t xml:space="preserve">Q. Le droit de propriété figure-t-il dans les Pactes de 1966 ?</w:t>
      </w:r>
      <w:r>
        <w:rPr>
          <w:rFonts w:ascii="Calibri" w:cs="Calibri" w:eastAsia="Calibri" w:hAnsi="Calibri"/>
          <w:color w:val="1A1A1A"/>
          <w:sz w:val="20"/>
          <w:szCs w:val="20"/>
        </w:rPr>
        <w:t xml:space="preserve"> — Non. Il figure dans la DDHC, le </w:t>
      </w:r>
      <w:r>
        <w:rPr>
          <w:rFonts w:ascii="Calibri" w:cs="Calibri" w:eastAsia="Calibri" w:hAnsi="Calibri"/>
          <w:color w:val="1E88E5"/>
          <w:sz w:val="20"/>
          <w:szCs w:val="20"/>
        </w:rPr>
        <w:t xml:space="preserve">Protocole n° 1</w:t>
      </w:r>
      <w:r>
        <w:rPr>
          <w:rFonts w:ascii="Calibri" w:cs="Calibri" w:eastAsia="Calibri" w:hAnsi="Calibri"/>
          <w:color w:val="1A1A1A"/>
          <w:sz w:val="20"/>
          <w:szCs w:val="20"/>
        </w:rPr>
        <w:t xml:space="preserve"> à la Convention, la </w:t>
      </w:r>
      <w:r>
        <w:rPr>
          <w:rFonts w:ascii="Calibri" w:cs="Calibri" w:eastAsia="Calibri" w:hAnsi="Calibri"/>
          <w:color w:val="1E88E5"/>
          <w:sz w:val="20"/>
          <w:szCs w:val="20"/>
        </w:rPr>
        <w:t xml:space="preserve">Charte des droits fondamentaux</w:t>
      </w:r>
      <w:r>
        <w:rPr>
          <w:rFonts w:ascii="Calibri" w:cs="Calibri" w:eastAsia="Calibri" w:hAnsi="Calibri"/>
          <w:color w:val="1A1A1A"/>
          <w:sz w:val="20"/>
          <w:szCs w:val="20"/>
        </w:rPr>
        <w:t xml:space="preserve"> et le Code civil.</w:t>
      </w:r>
    </w:p>
    <w:p>
      <w:pPr>
        <w:pStyle w:val="ListParagraph"/>
        <w:numPr>
          <w:ilvl w:val="0"/>
          <w:numId w:val="2"/>
        </w:numPr>
        <w:spacing w:after="70" w:line="264"/>
        <w:jc w:val="both"/>
      </w:pPr>
      <w:r>
        <w:rPr>
          <w:rFonts w:ascii="Calibri" w:cs="Calibri" w:eastAsia="Calibri" w:hAnsi="Calibri"/>
          <w:b/>
          <w:bCs/>
          <w:color w:val="1A1A1A"/>
          <w:sz w:val="20"/>
          <w:szCs w:val="20"/>
        </w:rPr>
        <w:t xml:space="preserve">Q. Le contentieux indemnitaire d’une faute médicale relève-t-il toujours du juge administratif ?</w:t>
      </w:r>
      <w:r>
        <w:rPr>
          <w:rFonts w:ascii="Calibri" w:cs="Calibri" w:eastAsia="Calibri" w:hAnsi="Calibri"/>
          <w:color w:val="1A1A1A"/>
          <w:sz w:val="20"/>
          <w:szCs w:val="20"/>
        </w:rPr>
        <w:t xml:space="preserve"> — Non : lorsque les actes médicaux se rattachent à une mesure d’isolement ou de contention, il relève </w:t>
      </w:r>
      <w:r>
        <w:rPr>
          <w:rFonts w:ascii="Calibri" w:cs="Calibri" w:eastAsia="Calibri" w:hAnsi="Calibri"/>
          <w:b/>
          <w:bCs/>
          <w:color w:val="1A1A1A"/>
          <w:sz w:val="20"/>
          <w:szCs w:val="20"/>
        </w:rPr>
        <w:t xml:space="preserve">dans son entier</w:t>
      </w:r>
      <w:r>
        <w:rPr>
          <w:rFonts w:ascii="Calibri" w:cs="Calibri" w:eastAsia="Calibri" w:hAnsi="Calibri"/>
          <w:color w:val="1A1A1A"/>
          <w:sz w:val="20"/>
          <w:szCs w:val="20"/>
        </w:rPr>
        <w:t xml:space="preserve"> du juge judiciaire (</w:t>
      </w:r>
      <w:r>
        <w:rPr>
          <w:rFonts w:ascii="Calibri" w:cs="Calibri" w:eastAsia="Calibri" w:hAnsi="Calibri"/>
          <w:color w:val="E91E63"/>
          <w:sz w:val="20"/>
          <w:szCs w:val="20"/>
        </w:rPr>
        <w:t xml:space="preserve">T. confl., 8 juin 2026, Centre hospitalier de Lannemezan</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20 — LA PROTECTION ADMINISTRATIVE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w:t>
      </w:r>
      <w:r>
        <w:rPr>
          <w:rFonts w:ascii="Calibri" w:cs="Calibri" w:eastAsia="Calibri" w:hAnsi="Calibri"/>
          <w:b/>
          <w:bCs/>
          <w:color w:val="1A1A1A"/>
          <w:sz w:val="20"/>
          <w:szCs w:val="20"/>
        </w:rPr>
        <w:t xml:space="preserve">accès au juge</w:t>
      </w:r>
      <w:r>
        <w:rPr>
          <w:rFonts w:ascii="Calibri" w:cs="Calibri" w:eastAsia="Calibri" w:hAnsi="Calibri"/>
          <w:color w:val="1A1A1A"/>
          <w:sz w:val="20"/>
          <w:szCs w:val="20"/>
        </w:rPr>
        <w:t xml:space="preserve"> et l’</w:t>
      </w:r>
      <w:r>
        <w:rPr>
          <w:rFonts w:ascii="Calibri" w:cs="Calibri" w:eastAsia="Calibri" w:hAnsi="Calibri"/>
          <w:b/>
          <w:bCs/>
          <w:color w:val="1A1A1A"/>
          <w:sz w:val="20"/>
          <w:szCs w:val="20"/>
        </w:rPr>
        <w:t xml:space="preserve">accès au droit</w:t>
      </w:r>
      <w:r>
        <w:rPr>
          <w:rFonts w:ascii="Calibri" w:cs="Calibri" w:eastAsia="Calibri" w:hAnsi="Calibri"/>
          <w:color w:val="1A1A1A"/>
          <w:sz w:val="20"/>
          <w:szCs w:val="20"/>
        </w:rPr>
        <w:t xml:space="preserve"> ne se confondent plus : le recours à la justice n’est plus le seul mode de protection des droits humains. La protection administrative est cette voie extra-juridictionnelle — mais elle demeure sous la </w:t>
      </w:r>
      <w:r>
        <w:rPr>
          <w:rFonts w:ascii="Calibri" w:cs="Calibri" w:eastAsia="Calibri" w:hAnsi="Calibri"/>
          <w:b/>
          <w:bCs/>
          <w:color w:val="1A1A1A"/>
          <w:sz w:val="20"/>
          <w:szCs w:val="20"/>
        </w:rPr>
        <w:t xml:space="preserve">tutelle de l’autorité étatique</w:t>
      </w:r>
      <w:r>
        <w:rPr>
          <w:rFonts w:ascii="Calibri" w:cs="Calibri" w:eastAsia="Calibri" w:hAnsi="Calibri"/>
          <w:color w:val="1A1A1A"/>
          <w:sz w:val="20"/>
          <w:szCs w:val="20"/>
        </w:rPr>
        <w:t xml:space="preserve">, ce qui la distingue radicalement de moyens non organisés de défense comme la résistance à l’oppression.</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w:t>
      </w:r>
      <w:r>
        <w:rPr>
          <w:rFonts w:ascii="Calibri" w:cs="Calibri" w:eastAsia="Calibri" w:hAnsi="Calibri"/>
          <w:color w:val="E91E63"/>
          <w:sz w:val="20"/>
          <w:szCs w:val="20"/>
        </w:rPr>
        <w:t xml:space="preserve">CEDH, 26 juin 2025, Seydi et autres c. France, n° 35844/17</w:t>
      </w:r>
      <w:r>
        <w:rPr>
          <w:rFonts w:ascii="Calibri" w:cs="Calibri" w:eastAsia="Calibri" w:hAnsi="Calibri"/>
          <w:color w:val="1A1A1A"/>
          <w:sz w:val="20"/>
          <w:szCs w:val="20"/>
        </w:rPr>
        <w:t xml:space="preserve"> — un contrôle d’identité discriminatoire condamné à Strasbourg au terme d’une procédure où le Défenseur des droits avait présenté des observations devant chaque degré de juridiction. Protection administrative et protection juridictionnelle ne sont pas étanches.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b/>
          <w:bCs/>
          <w:color w:val="1A1A1A"/>
          <w:sz w:val="20"/>
          <w:szCs w:val="20"/>
        </w:rPr>
        <w:t xml:space="preserve">Quatre canaux</w:t>
      </w:r>
      <w:r>
        <w:rPr>
          <w:rFonts w:ascii="Calibri" w:cs="Calibri" w:eastAsia="Calibri" w:hAnsi="Calibri"/>
          <w:color w:val="1A1A1A"/>
          <w:sz w:val="20"/>
          <w:szCs w:val="20"/>
        </w:rPr>
        <w:t xml:space="preserve"> : les </w:t>
      </w:r>
      <w:r>
        <w:rPr>
          <w:rFonts w:ascii="Calibri" w:cs="Calibri" w:eastAsia="Calibri" w:hAnsi="Calibri"/>
          <w:b/>
          <w:bCs/>
          <w:color w:val="1A1A1A"/>
          <w:sz w:val="20"/>
          <w:szCs w:val="20"/>
        </w:rPr>
        <w:t xml:space="preserve">recours administratifs</w:t>
      </w:r>
      <w:r>
        <w:rPr>
          <w:rFonts w:ascii="Calibri" w:cs="Calibri" w:eastAsia="Calibri" w:hAnsi="Calibri"/>
          <w:color w:val="1A1A1A"/>
          <w:sz w:val="20"/>
          <w:szCs w:val="20"/>
        </w:rPr>
        <w:t xml:space="preserve"> (gracieux, hiérarchique, et recours administratif préalable obligatoire) ; des </w:t>
      </w:r>
      <w:r>
        <w:rPr>
          <w:rFonts w:ascii="Calibri" w:cs="Calibri" w:eastAsia="Calibri" w:hAnsi="Calibri"/>
          <w:b/>
          <w:bCs/>
          <w:color w:val="1A1A1A"/>
          <w:sz w:val="20"/>
          <w:szCs w:val="20"/>
        </w:rPr>
        <w:t xml:space="preserve">agents protecteurs</w:t>
      </w:r>
      <w:r>
        <w:rPr>
          <w:rFonts w:ascii="Calibri" w:cs="Calibri" w:eastAsia="Calibri" w:hAnsi="Calibri"/>
          <w:color w:val="1A1A1A"/>
          <w:sz w:val="20"/>
          <w:szCs w:val="20"/>
        </w:rPr>
        <w:t xml:space="preserve"> au sein de l’administration (l’inspecteur du travail) ; un </w:t>
      </w:r>
      <w:r>
        <w:rPr>
          <w:rFonts w:ascii="Calibri" w:cs="Calibri" w:eastAsia="Calibri" w:hAnsi="Calibri"/>
          <w:b/>
          <w:bCs/>
          <w:color w:val="1A1A1A"/>
          <w:sz w:val="20"/>
          <w:szCs w:val="20"/>
        </w:rPr>
        <w:t xml:space="preserve">organe consultatif</w:t>
      </w:r>
      <w:r>
        <w:rPr>
          <w:rFonts w:ascii="Calibri" w:cs="Calibri" w:eastAsia="Calibri" w:hAnsi="Calibri"/>
          <w:color w:val="1A1A1A"/>
          <w:sz w:val="20"/>
          <w:szCs w:val="20"/>
        </w:rPr>
        <w:t xml:space="preserve"> auprès du Gouvernement (la CNCDH) ; et surtout les </w:t>
      </w:r>
      <w:r>
        <w:rPr>
          <w:rFonts w:ascii="Calibri" w:cs="Calibri" w:eastAsia="Calibri" w:hAnsi="Calibri"/>
          <w:b/>
          <w:bCs/>
          <w:color w:val="1A1A1A"/>
          <w:sz w:val="20"/>
          <w:szCs w:val="20"/>
        </w:rPr>
        <w:t xml:space="preserve">autorités administratives indépendantes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notion d’AAI répond à trois conditions cumulatives</w:t>
      </w:r>
      <w:r>
        <w:rPr>
          <w:rFonts w:ascii="Calibri" w:cs="Calibri" w:eastAsia="Calibri" w:hAnsi="Calibri"/>
          <w:color w:val="1A1A1A"/>
          <w:sz w:val="20"/>
          <w:szCs w:val="20"/>
        </w:rPr>
        <w:t xml:space="preserve"> : c’est une </w:t>
      </w:r>
      <w:r>
        <w:rPr>
          <w:rFonts w:ascii="Calibri" w:cs="Calibri" w:eastAsia="Calibri" w:hAnsi="Calibri"/>
          <w:b/>
          <w:bCs/>
          <w:color w:val="1A1A1A"/>
          <w:sz w:val="20"/>
          <w:szCs w:val="20"/>
        </w:rPr>
        <w:t xml:space="preserve">autorité</w:t>
      </w:r>
      <w:r>
        <w:rPr>
          <w:rFonts w:ascii="Calibri" w:cs="Calibri" w:eastAsia="Calibri" w:hAnsi="Calibri"/>
          <w:color w:val="1A1A1A"/>
          <w:sz w:val="20"/>
          <w:szCs w:val="20"/>
        </w:rPr>
        <w:t xml:space="preserve"> (pouvoir de sanction ou de recommandation) ; elle est </w:t>
      </w:r>
      <w:r>
        <w:rPr>
          <w:rFonts w:ascii="Calibri" w:cs="Calibri" w:eastAsia="Calibri" w:hAnsi="Calibri"/>
          <w:b/>
          <w:bCs/>
          <w:color w:val="1A1A1A"/>
          <w:sz w:val="20"/>
          <w:szCs w:val="20"/>
        </w:rPr>
        <w:t xml:space="preserve">administrative</w:t>
      </w:r>
      <w:r>
        <w:rPr>
          <w:rFonts w:ascii="Calibri" w:cs="Calibri" w:eastAsia="Calibri" w:hAnsi="Calibri"/>
          <w:color w:val="1A1A1A"/>
          <w:sz w:val="20"/>
          <w:szCs w:val="20"/>
        </w:rPr>
        <w:t xml:space="preserve"> (agit au nom de l’État, dans le cadre des règles fixées par lui) ; elle est </w:t>
      </w:r>
      <w:r>
        <w:rPr>
          <w:rFonts w:ascii="Calibri" w:cs="Calibri" w:eastAsia="Calibri" w:hAnsi="Calibri"/>
          <w:b/>
          <w:bCs/>
          <w:color w:val="1A1A1A"/>
          <w:sz w:val="20"/>
          <w:szCs w:val="20"/>
        </w:rPr>
        <w:t xml:space="preserve">indépendante</w:t>
      </w:r>
      <w:r>
        <w:rPr>
          <w:rFonts w:ascii="Calibri" w:cs="Calibri" w:eastAsia="Calibri" w:hAnsi="Calibri"/>
          <w:color w:val="1A1A1A"/>
          <w:sz w:val="20"/>
          <w:szCs w:val="20"/>
        </w:rPr>
        <w:t xml:space="preserve"> (placée hors de l’appareil administratif, soustraite à l’autorité hiérarchique du pouvoir exécutif).</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84-173 DC, 26 juillet 1984, Loi relative à l’exploitation des services de radio-télévision mis à la disposition du public sur un réseau câblé</w:t>
      </w:r>
      <w:r>
        <w:rPr>
          <w:rFonts w:ascii="Calibri" w:cs="Calibri" w:eastAsia="Calibri" w:hAnsi="Calibri"/>
          <w:color w:val="1A1A1A"/>
          <w:sz w:val="20"/>
          <w:szCs w:val="20"/>
        </w:rPr>
        <w:t xml:space="preserve"> : la désignation d’une AAI pour exercer une attribution aussi importante au regard de la liberté de communication constitue une </w:t>
      </w:r>
      <w:r>
        <w:rPr>
          <w:rFonts w:ascii="Calibri" w:cs="Calibri" w:eastAsia="Calibri" w:hAnsi="Calibri"/>
          <w:b/>
          <w:bCs/>
          <w:color w:val="1A1A1A"/>
          <w:sz w:val="20"/>
          <w:szCs w:val="20"/>
        </w:rPr>
        <w:t xml:space="preserve">garantie fondamentale pour l’exercice d’une liberté publique</w:t>
      </w:r>
      <w:r>
        <w:rPr>
          <w:rFonts w:ascii="Calibri" w:cs="Calibri" w:eastAsia="Calibri" w:hAnsi="Calibri"/>
          <w:color w:val="1A1A1A"/>
          <w:sz w:val="20"/>
          <w:szCs w:val="20"/>
        </w:rPr>
        <w:t xml:space="preserve"> et relève de la compétence exclusive du législateur.</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71-1 de la Constitution</w:t>
      </w:r>
      <w:r>
        <w:rPr>
          <w:rFonts w:ascii="Calibri" w:cs="Calibri" w:eastAsia="Calibri" w:hAnsi="Calibri"/>
          <w:color w:val="1A1A1A"/>
          <w:sz w:val="20"/>
          <w:szCs w:val="20"/>
        </w:rPr>
        <w:t xml:space="preserve"> (révision de 2008) et </w:t>
      </w:r>
      <w:r>
        <w:rPr>
          <w:rFonts w:ascii="Calibri" w:cs="Calibri" w:eastAsia="Calibri" w:hAnsi="Calibri"/>
          <w:color w:val="1E88E5"/>
          <w:sz w:val="20"/>
          <w:szCs w:val="20"/>
        </w:rPr>
        <w:t xml:space="preserve">loi organique n° 2011-333 du 29 mars 2011</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Défenseur des droits</w:t>
      </w:r>
      <w:r>
        <w:rPr>
          <w:rFonts w:ascii="Calibri" w:cs="Calibri" w:eastAsia="Calibri" w:hAnsi="Calibri"/>
          <w:color w:val="1A1A1A"/>
          <w:sz w:val="20"/>
          <w:szCs w:val="20"/>
        </w:rPr>
        <w:t xml:space="preserve">, seule AAI constitutionnellement prévue ; </w:t>
      </w:r>
      <w:r>
        <w:rPr>
          <w:rFonts w:ascii="Calibri" w:cs="Calibri" w:eastAsia="Calibri" w:hAnsi="Calibri"/>
          <w:color w:val="1E88E5"/>
          <w:sz w:val="20"/>
          <w:szCs w:val="20"/>
        </w:rPr>
        <w:t xml:space="preserve">art. 2 de la loi organique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Le Défenseur des droits, autorité administrative indépendante, ne reçoit, dans l’exercice de ses attributions, aucune instruction.</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22 mai 2019, n° 414410</w:t>
      </w:r>
      <w:r>
        <w:rPr>
          <w:rFonts w:ascii="Calibri" w:cs="Calibri" w:eastAsia="Calibri" w:hAnsi="Calibri"/>
          <w:color w:val="1A1A1A"/>
          <w:sz w:val="20"/>
          <w:szCs w:val="20"/>
        </w:rPr>
        <w:t xml:space="preserve"> : les recommandations du Défenseur des droits, </w:t>
      </w:r>
      <w:r>
        <w:rPr>
          <w:rFonts w:ascii="Calibri" w:cs="Calibri" w:eastAsia="Calibri" w:hAnsi="Calibri"/>
          <w:b/>
          <w:bCs/>
          <w:color w:val="1A1A1A"/>
          <w:sz w:val="20"/>
          <w:szCs w:val="20"/>
        </w:rPr>
        <w:t xml:space="preserve">même de portée générale</w:t>
      </w:r>
      <w:r>
        <w:rPr>
          <w:rFonts w:ascii="Calibri" w:cs="Calibri" w:eastAsia="Calibri" w:hAnsi="Calibri"/>
          <w:color w:val="1A1A1A"/>
          <w:sz w:val="20"/>
          <w:szCs w:val="20"/>
        </w:rPr>
        <w:t xml:space="preserve">, ne constituent pas des décisions administratives susceptibles de faire l’objet d’un recours pour excès de pouvoir — pas plus que le refus de faire usage de ses pouvoirs.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89-260 DC, 28 juillet 1989</w:t>
      </w:r>
      <w:r>
        <w:rPr>
          <w:rFonts w:ascii="Calibri" w:cs="Calibri" w:eastAsia="Calibri" w:hAnsi="Calibri"/>
          <w:color w:val="1A1A1A"/>
          <w:sz w:val="20"/>
          <w:szCs w:val="20"/>
        </w:rPr>
        <w:t xml:space="preserve"> : encadrement du </w:t>
      </w:r>
      <w:r>
        <w:rPr>
          <w:rFonts w:ascii="Calibri" w:cs="Calibri" w:eastAsia="Calibri" w:hAnsi="Calibri"/>
          <w:b/>
          <w:bCs/>
          <w:color w:val="1A1A1A"/>
          <w:sz w:val="20"/>
          <w:szCs w:val="20"/>
        </w:rPr>
        <w:t xml:space="preserve">pouvoir de sanction</w:t>
      </w:r>
      <w:r>
        <w:rPr>
          <w:rFonts w:ascii="Calibri" w:cs="Calibri" w:eastAsia="Calibri" w:hAnsi="Calibri"/>
          <w:color w:val="1A1A1A"/>
          <w:sz w:val="20"/>
          <w:szCs w:val="20"/>
        </w:rPr>
        <w:t xml:space="preserve"> des AAI — séparation des fonctions, droit à un recours juridictionnel effectif, droits de la défense ; il revient à la loi d’en déterminer les modalités.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19 février 2025, NRJ12 et C8, n° 499823</w:t>
      </w:r>
      <w:r>
        <w:rPr>
          <w:rFonts w:ascii="Calibri" w:cs="Calibri" w:eastAsia="Calibri" w:hAnsi="Calibri"/>
          <w:color w:val="1A1A1A"/>
          <w:sz w:val="20"/>
          <w:szCs w:val="20"/>
        </w:rPr>
        <w:t xml:space="preserve"> : validation du </w:t>
      </w:r>
      <w:r>
        <w:rPr>
          <w:rFonts w:ascii="Calibri" w:cs="Calibri" w:eastAsia="Calibri" w:hAnsi="Calibri"/>
          <w:b/>
          <w:bCs/>
          <w:color w:val="1A1A1A"/>
          <w:sz w:val="20"/>
          <w:szCs w:val="20"/>
        </w:rPr>
        <w:t xml:space="preserve">non-renouvellement</w:t>
      </w:r>
      <w:r>
        <w:rPr>
          <w:rFonts w:ascii="Calibri" w:cs="Calibri" w:eastAsia="Calibri" w:hAnsi="Calibri"/>
          <w:color w:val="1A1A1A"/>
          <w:sz w:val="20"/>
          <w:szCs w:val="20"/>
        </w:rPr>
        <w:t xml:space="preserve"> par l’ARCOM des fréquences de C8 et NRJ12 — l’Autorité a pu légalement estimer que ces candidatures étaient moins à même que les onze projets retenus de contribuer au pluralisme des courants d’expression socio-culturels et de répondre à l’intérêt du public.</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protection des libertés par les autorités administratives indépendantes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Des instruments de protection et de promotion des libertés</w:t>
      </w:r>
      <w:r>
        <w:rPr>
          <w:rFonts w:ascii="Calibri" w:cs="Calibri" w:eastAsia="Calibri" w:hAnsi="Calibri"/>
          <w:color w:val="1A1A1A"/>
          <w:sz w:val="20"/>
          <w:szCs w:val="20"/>
        </w:rPr>
        <w:t xml:space="preserve"> (A. Une mission de régulation protectrice malgré l’hétérogénéité : CNIL, Défenseur des droits, ARCOM ; B. Une indépendance au service de l’impartialité et de la neutralité : règles de nomination, mandat irrévocable et non renouvelable) / </w:t>
      </w:r>
      <w:r>
        <w:rPr>
          <w:rFonts w:ascii="Calibri" w:cs="Calibri" w:eastAsia="Calibri" w:hAnsi="Calibri"/>
          <w:b/>
          <w:bCs/>
          <w:color w:val="1A1A1A"/>
          <w:sz w:val="20"/>
          <w:szCs w:val="20"/>
        </w:rPr>
        <w:t xml:space="preserve">II. Une protection parfois ambiguë</w:t>
      </w:r>
      <w:r>
        <w:rPr>
          <w:rFonts w:ascii="Calibri" w:cs="Calibri" w:eastAsia="Calibri" w:hAnsi="Calibri"/>
          <w:color w:val="1A1A1A"/>
          <w:sz w:val="20"/>
          <w:szCs w:val="20"/>
        </w:rPr>
        <w:t xml:space="preserve"> (A. Des pouvoirs croissants pouvant restreindre les libertés : blocage de sites, sanctions lourdes, prérogatives répressives sans toutes les garanties juridictionnelles ; B. Une légitimité démocratique et un contrôle juridictionnel parfois insuffisants : membres non élus, encadrement par </w:t>
      </w:r>
      <w:r>
        <w:rPr>
          <w:rFonts w:ascii="Calibri" w:cs="Calibri" w:eastAsia="Calibri" w:hAnsi="Calibri"/>
          <w:color w:val="E91E63"/>
          <w:sz w:val="20"/>
          <w:szCs w:val="20"/>
        </w:rPr>
        <w:t xml:space="preserve">89-260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L’effectivité des droits sans le juge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Les voies internes à l’administration</w:t>
      </w:r>
      <w:r>
        <w:rPr>
          <w:rFonts w:ascii="Calibri" w:cs="Calibri" w:eastAsia="Calibri" w:hAnsi="Calibri"/>
          <w:color w:val="1A1A1A"/>
          <w:sz w:val="20"/>
          <w:szCs w:val="20"/>
        </w:rPr>
        <w:t xml:space="preserve"> (A. Recours gracieux et hiérarchique, fondés sur la discussion et la conciliation plutôt que sur la coercition ; B. Le recours administratif préalable obligatoire et ses limites : réexamen souvent superficiel) / </w:t>
      </w:r>
      <w:r>
        <w:rPr>
          <w:rFonts w:ascii="Calibri" w:cs="Calibri" w:eastAsia="Calibri" w:hAnsi="Calibri"/>
          <w:b/>
          <w:bCs/>
          <w:color w:val="1A1A1A"/>
          <w:sz w:val="20"/>
          <w:szCs w:val="20"/>
        </w:rPr>
        <w:t xml:space="preserve">II. Les organes dédiés</w:t>
      </w:r>
      <w:r>
        <w:rPr>
          <w:rFonts w:ascii="Calibri" w:cs="Calibri" w:eastAsia="Calibri" w:hAnsi="Calibri"/>
          <w:color w:val="1A1A1A"/>
          <w:sz w:val="20"/>
          <w:szCs w:val="20"/>
        </w:rPr>
        <w:t xml:space="preserve"> (A. Un organe consultatif : la CNCDH ; B. Des autorités indépendantes : Défenseur des droits, CGLPL, CNIL, ARCOM).</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La CNCDH n’est pas une AAI</w:t>
      </w:r>
      <w:r>
        <w:rPr>
          <w:rFonts w:ascii="Calibri" w:cs="Calibri" w:eastAsia="Calibri" w:hAnsi="Calibri"/>
          <w:color w:val="1A1A1A"/>
          <w:sz w:val="20"/>
          <w:szCs w:val="20"/>
        </w:rPr>
        <w:t xml:space="preserve"> : elle est placée en dehors de cette catégorie en raison de sa proximité historique et particulière avec le Gouvernement ; c’est un organe de </w:t>
      </w:r>
      <w:r>
        <w:rPr>
          <w:rFonts w:ascii="Calibri" w:cs="Calibri" w:eastAsia="Calibri" w:hAnsi="Calibri"/>
          <w:b/>
          <w:bCs/>
          <w:color w:val="1A1A1A"/>
          <w:sz w:val="20"/>
          <w:szCs w:val="20"/>
        </w:rPr>
        <w:t xml:space="preserve">conseil et de proposition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2007-292 du 5 mars 2007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n° 2017-55 du 20 janvier 2017</w:t>
      </w:r>
      <w:r>
        <w:rPr>
          <w:rFonts w:ascii="Calibri" w:cs="Calibri" w:eastAsia="Calibri" w:hAnsi="Calibri"/>
          <w:color w:val="1A1A1A"/>
          <w:sz w:val="20"/>
          <w:szCs w:val="20"/>
        </w:rPr>
        <w:t xml:space="preserve">, aux termes de laquelle elle ne reçoit ni ne sollicite d’instruction).</w:t>
      </w:r>
    </w:p>
    <w:p>
      <w:pPr>
        <w:pStyle w:val="ListParagraph"/>
        <w:numPr>
          <w:ilvl w:val="0"/>
          <w:numId w:val="2"/>
        </w:numPr>
        <w:spacing w:after="70" w:line="264"/>
        <w:jc w:val="both"/>
      </w:pPr>
      <w:r>
        <w:rPr>
          <w:rFonts w:ascii="Calibri" w:cs="Calibri" w:eastAsia="Calibri" w:hAnsi="Calibri"/>
          <w:b/>
          <w:bCs/>
          <w:color w:val="1A1A1A"/>
          <w:sz w:val="20"/>
          <w:szCs w:val="20"/>
        </w:rPr>
        <w:t xml:space="preserve">Le Défenseur des droits n’a aucun pouvoir de sanction</w:t>
      </w:r>
      <w:r>
        <w:rPr>
          <w:rFonts w:ascii="Calibri" w:cs="Calibri" w:eastAsia="Calibri" w:hAnsi="Calibri"/>
          <w:color w:val="1A1A1A"/>
          <w:sz w:val="20"/>
          <w:szCs w:val="20"/>
        </w:rPr>
        <w:t xml:space="preserve"> : recommandations, médiation, transaction. Sa saisine est gratuite et n’interrompt ni ne suspend les délais de prescription.</w:t>
      </w:r>
    </w:p>
    <w:p>
      <w:pPr>
        <w:pStyle w:val="ListParagraph"/>
        <w:numPr>
          <w:ilvl w:val="0"/>
          <w:numId w:val="2"/>
        </w:numPr>
        <w:spacing w:after="70" w:line="264"/>
        <w:jc w:val="both"/>
      </w:pPr>
      <w:r>
        <w:rPr>
          <w:rFonts w:ascii="Calibri" w:cs="Calibri" w:eastAsia="Calibri" w:hAnsi="Calibri"/>
          <w:b/>
          <w:bCs/>
          <w:color w:val="1A1A1A"/>
          <w:sz w:val="20"/>
          <w:szCs w:val="20"/>
        </w:rPr>
        <w:t xml:space="preserve">L’indépendance du Défenseur des droits n’est pas financière</w:t>
      </w:r>
      <w:r>
        <w:rPr>
          <w:rFonts w:ascii="Calibri" w:cs="Calibri" w:eastAsia="Calibri" w:hAnsi="Calibri"/>
          <w:color w:val="1A1A1A"/>
          <w:sz w:val="20"/>
          <w:szCs w:val="20"/>
        </w:rPr>
        <w:t xml:space="preserve"> : malgré sa consécration constitutionnelle, son statut financier ne diffère pas de celui des autres AAI — son autonomie financière </w:t>
      </w:r>
      <w:r>
        <w:rPr>
          <w:rFonts w:ascii="Calibri" w:cs="Calibri" w:eastAsia="Calibri" w:hAnsi="Calibri"/>
          <w:b/>
          <w:bCs/>
          <w:color w:val="1A1A1A"/>
          <w:sz w:val="20"/>
          <w:szCs w:val="20"/>
        </w:rPr>
        <w:t xml:space="preserve">n’est pas constitutionnellement protégée</w:t>
      </w:r>
      <w:r>
        <w:rPr>
          <w:rFonts w:ascii="Calibri" w:cs="Calibri" w:eastAsia="Calibri" w:hAnsi="Calibri"/>
          <w:color w:val="1A1A1A"/>
          <w:sz w:val="20"/>
          <w:szCs w:val="20"/>
        </w:rPr>
        <w:t xml:space="preserve">, le législateur restant libre de modifier ses crédits en loi de finances.</w:t>
      </w:r>
    </w:p>
    <w:p>
      <w:r>
        <w:br w:type="page"/>
      </w:r>
    </w:p>
    <w:p>
      <w:pPr>
        <w:pStyle w:val="Heading2"/>
        <w:spacing w:after="120" w:before="280"/>
      </w:pPr>
      <w:r>
        <w:rPr>
          <w:rFonts w:ascii="Calibri" w:cs="Calibri" w:eastAsia="Calibri" w:hAnsi="Calibri"/>
          <w:b/>
          <w:bCs/>
          <w:color w:val="1A1A1A"/>
          <w:sz w:val="24"/>
          <w:szCs w:val="24"/>
        </w:rPr>
        <w:t xml:space="preserve">1. L’effectivité des droits sans le juge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constat</w:t>
      </w:r>
      <w:r>
        <w:rPr>
          <w:rFonts w:ascii="Calibri" w:cs="Calibri" w:eastAsia="Calibri" w:hAnsi="Calibri"/>
          <w:color w:val="1A1A1A"/>
          <w:sz w:val="20"/>
          <w:szCs w:val="20"/>
        </w:rPr>
        <w:t xml:space="preserve"> : le recours à la justice n’est plus le seul mode de protection des droits humains. D’autres modes de garantie se sont développés, mais </w:t>
      </w:r>
      <w:r>
        <w:rPr>
          <w:rFonts w:ascii="Calibri" w:cs="Calibri" w:eastAsia="Calibri" w:hAnsi="Calibri"/>
          <w:b/>
          <w:bCs/>
          <w:color w:val="1A1A1A"/>
          <w:sz w:val="20"/>
          <w:szCs w:val="20"/>
        </w:rPr>
        <w:t xml:space="preserve">toujours sous la tutelle de l’autorité étatique</w:t>
      </w:r>
      <w:r>
        <w:rPr>
          <w:rFonts w:ascii="Calibri" w:cs="Calibri" w:eastAsia="Calibri" w:hAnsi="Calibri"/>
          <w:color w:val="1A1A1A"/>
          <w:sz w:val="20"/>
          <w:szCs w:val="20"/>
        </w:rPr>
        <w:t xml:space="preserve"> — ce qui les distingue de moyens non organisés de défense comme la résistance à l’oppression.</w:t>
      </w:r>
    </w:p>
    <w:p>
      <w:pPr>
        <w:pStyle w:val="ListParagraph"/>
        <w:numPr>
          <w:ilvl w:val="0"/>
          <w:numId w:val="2"/>
        </w:numPr>
        <w:spacing w:after="70" w:line="264"/>
        <w:jc w:val="both"/>
      </w:pPr>
      <w:r>
        <w:rPr>
          <w:rFonts w:ascii="Calibri" w:cs="Calibri" w:eastAsia="Calibri" w:hAnsi="Calibri"/>
          <w:b/>
          <w:bCs/>
          <w:color w:val="1A1A1A"/>
          <w:sz w:val="20"/>
          <w:szCs w:val="20"/>
        </w:rPr>
        <w:t xml:space="preserve">Les causes</w:t>
      </w:r>
      <w:r>
        <w:rPr>
          <w:rFonts w:ascii="Calibri" w:cs="Calibri" w:eastAsia="Calibri" w:hAnsi="Calibri"/>
          <w:color w:val="1A1A1A"/>
          <w:sz w:val="20"/>
          <w:szCs w:val="20"/>
        </w:rPr>
        <w:t xml:space="preserve"> : insuffisances de la justice — coûts et frais de justice, formalisme judiciaire, lenteur des procédures contentieuses. Modèle d’inspiration : les </w:t>
      </w:r>
      <w:r>
        <w:rPr>
          <w:rFonts w:ascii="Calibri" w:cs="Calibri" w:eastAsia="Calibri" w:hAnsi="Calibri"/>
          <w:i/>
          <w:iCs/>
          <w:color w:val="1A1A1A"/>
          <w:sz w:val="20"/>
          <w:szCs w:val="20"/>
        </w:rPr>
        <w:t xml:space="preserve">agencies</w:t>
      </w:r>
      <w:r>
        <w:rPr>
          <w:rFonts w:ascii="Calibri" w:cs="Calibri" w:eastAsia="Calibri" w:hAnsi="Calibri"/>
          <w:color w:val="1A1A1A"/>
          <w:sz w:val="20"/>
          <w:szCs w:val="20"/>
        </w:rPr>
        <w:t xml:space="preserve"> anglo-américaines, notamment les agences fédérales des États-Unis.</w:t>
      </w:r>
    </w:p>
    <w:p>
      <w:pPr>
        <w:pStyle w:val="ListParagraph"/>
        <w:numPr>
          <w:ilvl w:val="0"/>
          <w:numId w:val="2"/>
        </w:numPr>
        <w:spacing w:after="70" w:line="264"/>
        <w:jc w:val="both"/>
      </w:pPr>
      <w:r>
        <w:rPr>
          <w:rFonts w:ascii="Calibri" w:cs="Calibri" w:eastAsia="Calibri" w:hAnsi="Calibri"/>
          <w:b/>
          <w:bCs/>
          <w:color w:val="1A1A1A"/>
          <w:sz w:val="20"/>
          <w:szCs w:val="20"/>
        </w:rPr>
        <w:t xml:space="preserve">Le paradoxe à exploiter</w:t>
      </w:r>
      <w:r>
        <w:rPr>
          <w:rFonts w:ascii="Calibri" w:cs="Calibri" w:eastAsia="Calibri" w:hAnsi="Calibri"/>
          <w:color w:val="1A1A1A"/>
          <w:sz w:val="20"/>
          <w:szCs w:val="20"/>
        </w:rPr>
        <w:t xml:space="preserve"> : il peut sembler paradoxal d’évoquer une protection </w:t>
      </w:r>
      <w:r>
        <w:rPr>
          <w:rFonts w:ascii="Calibri" w:cs="Calibri" w:eastAsia="Calibri" w:hAnsi="Calibri"/>
          <w:i/>
          <w:iCs/>
          <w:color w:val="1A1A1A"/>
          <w:sz w:val="20"/>
          <w:szCs w:val="20"/>
        </w:rPr>
        <w:t xml:space="preserve">administrative</w:t>
      </w:r>
      <w:r>
        <w:rPr>
          <w:rFonts w:ascii="Calibri" w:cs="Calibri" w:eastAsia="Calibri" w:hAnsi="Calibri"/>
          <w:color w:val="1A1A1A"/>
          <w:sz w:val="20"/>
          <w:szCs w:val="20"/>
        </w:rPr>
        <w:t xml:space="preserve"> des libertés lorsqu’on considère que le pouvoir politique est d’abord un pouvoir </w:t>
      </w:r>
      <w:r>
        <w:rPr>
          <w:rFonts w:ascii="Calibri" w:cs="Calibri" w:eastAsia="Calibri" w:hAnsi="Calibri"/>
          <w:b/>
          <w:bCs/>
          <w:color w:val="1A1A1A"/>
          <w:sz w:val="20"/>
          <w:szCs w:val="20"/>
        </w:rPr>
        <w:t xml:space="preserve">liberticide</w:t>
      </w:r>
      <w:r>
        <w:rPr>
          <w:rFonts w:ascii="Calibri" w:cs="Calibri" w:eastAsia="Calibri" w:hAnsi="Calibri"/>
          <w:color w:val="1A1A1A"/>
          <w:sz w:val="20"/>
          <w:szCs w:val="20"/>
        </w:rPr>
        <w:t xml:space="preserve">. Ces solutions sont pourtant apparues comme un moyen de repenser l’administration et ses relations avec les citoyens, en permettant une réflexion entre l’administration et des </w:t>
      </w:r>
      <w:r>
        <w:rPr>
          <w:rFonts w:ascii="Calibri" w:cs="Calibri" w:eastAsia="Calibri" w:hAnsi="Calibri"/>
          <w:b/>
          <w:bCs/>
          <w:color w:val="1A1A1A"/>
          <w:sz w:val="20"/>
          <w:szCs w:val="20"/>
        </w:rPr>
        <w:t xml:space="preserve">personnalités qualifiées</w:t>
      </w:r>
      <w:r>
        <w:rPr>
          <w:rFonts w:ascii="Calibri" w:cs="Calibri" w:eastAsia="Calibri" w:hAnsi="Calibri"/>
          <w:color w:val="1A1A1A"/>
          <w:sz w:val="20"/>
          <w:szCs w:val="20"/>
        </w:rPr>
        <w:t xml:space="preserve"> sur des sujets de société (Commission consultative des droits de l’homme, Commission d’accès aux documents administratifs) ou en matière économique (Commission de régulation de l’énergie). Démarche destinée à rapprocher la fonction administrative du citoyen et à </w:t>
      </w:r>
      <w:r>
        <w:rPr>
          <w:rFonts w:ascii="Calibri" w:cs="Calibri" w:eastAsia="Calibri" w:hAnsi="Calibri"/>
          <w:b/>
          <w:bCs/>
          <w:color w:val="1A1A1A"/>
          <w:sz w:val="20"/>
          <w:szCs w:val="20"/>
        </w:rPr>
        <w:t xml:space="preserve">désengorger le prétoire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critique de légitimité</w:t>
      </w:r>
      <w:r>
        <w:rPr>
          <w:rFonts w:ascii="Calibri" w:cs="Calibri" w:eastAsia="Calibri" w:hAnsi="Calibri"/>
          <w:color w:val="1A1A1A"/>
          <w:sz w:val="20"/>
          <w:szCs w:val="20"/>
        </w:rPr>
        <w:t xml:space="preserve"> : tantôt opposées au législateur, tantôt au juge, ces autorités souffrent de la critique soulignant leur </w:t>
      </w:r>
      <w:r>
        <w:rPr>
          <w:rFonts w:ascii="Calibri" w:cs="Calibri" w:eastAsia="Calibri" w:hAnsi="Calibri"/>
          <w:b/>
          <w:bCs/>
          <w:color w:val="1A1A1A"/>
          <w:sz w:val="20"/>
          <w:szCs w:val="20"/>
        </w:rPr>
        <w:t xml:space="preserve">proximité avec le pouvoir exécutif</w:t>
      </w:r>
      <w:r>
        <w:rPr>
          <w:rFonts w:ascii="Calibri" w:cs="Calibri" w:eastAsia="Calibri" w:hAnsi="Calibri"/>
          <w:color w:val="1A1A1A"/>
          <w:sz w:val="20"/>
          <w:szCs w:val="20"/>
        </w:rPr>
        <w:t xml:space="preserve"> et donc leur manque d’impartialité ; leur immixtion dans un domaine réservé au pouvoir politique est régulièrement contestée. Élément d’actualité comparative : le </w:t>
      </w:r>
      <w:r>
        <w:rPr>
          <w:rFonts w:ascii="Calibri" w:cs="Calibri" w:eastAsia="Calibri" w:hAnsi="Calibri"/>
          <w:i/>
          <w:iCs/>
          <w:color w:val="1A1A1A"/>
          <w:sz w:val="20"/>
          <w:szCs w:val="20"/>
        </w:rPr>
        <w:t xml:space="preserve">Department of Government Efficiency</w:t>
      </w:r>
      <w:r>
        <w:rPr>
          <w:rFonts w:ascii="Calibri" w:cs="Calibri" w:eastAsia="Calibri" w:hAnsi="Calibri"/>
          <w:color w:val="1A1A1A"/>
          <w:sz w:val="20"/>
          <w:szCs w:val="20"/>
        </w:rPr>
        <w:t xml:space="preserve"> (DOGE) aux États-Unis, créé par Donald Trump et dirigé à son lancement par Elon Musk, a notamment pour objectif de réduire les moyens financiers et humains des agences fédérales ; en France, la proposition de suppression de certaines AAI dans un souci d’économie revient souvent dans les débats.</w:t>
      </w:r>
    </w:p>
    <w:p>
      <w:pPr>
        <w:pStyle w:val="Heading2"/>
        <w:spacing w:after="120" w:before="280"/>
      </w:pPr>
      <w:r>
        <w:rPr>
          <w:rFonts w:ascii="Calibri" w:cs="Calibri" w:eastAsia="Calibri" w:hAnsi="Calibri"/>
          <w:b/>
          <w:bCs/>
          <w:color w:val="1A1A1A"/>
          <w:sz w:val="24"/>
          <w:szCs w:val="24"/>
        </w:rPr>
        <w:t xml:space="preserve">2. La protection au sein des administrations</w:t>
      </w:r>
    </w:p>
    <w:p>
      <w:pPr>
        <w:pStyle w:val="Heading3"/>
        <w:spacing w:after="90" w:before="200"/>
      </w:pPr>
      <w:r>
        <w:rPr>
          <w:rFonts w:ascii="Calibri" w:cs="Calibri" w:eastAsia="Calibri" w:hAnsi="Calibri"/>
          <w:b/>
          <w:bCs/>
          <w:i/>
          <w:iCs/>
          <w:color w:val="5A5A5A"/>
          <w:sz w:val="21"/>
          <w:szCs w:val="21"/>
        </w:rPr>
        <w:t xml:space="preserve">2.1. Les recours administratifs</w:t>
      </w:r>
    </w:p>
    <w:p>
      <w:pPr>
        <w:pStyle w:val="ListParagraph"/>
        <w:numPr>
          <w:ilvl w:val="0"/>
          <w:numId w:val="2"/>
        </w:numPr>
        <w:spacing w:after="70" w:line="264"/>
        <w:jc w:val="both"/>
      </w:pPr>
      <w:r>
        <w:rPr>
          <w:rFonts w:ascii="Calibri" w:cs="Calibri" w:eastAsia="Calibri" w:hAnsi="Calibri"/>
          <w:b/>
          <w:bCs/>
          <w:color w:val="1A1A1A"/>
          <w:sz w:val="20"/>
          <w:szCs w:val="20"/>
        </w:rPr>
        <w:t xml:space="preserve">Recours gracieux</w:t>
      </w:r>
      <w:r>
        <w:rPr>
          <w:rFonts w:ascii="Calibri" w:cs="Calibri" w:eastAsia="Calibri" w:hAnsi="Calibri"/>
          <w:color w:val="1A1A1A"/>
          <w:sz w:val="20"/>
          <w:szCs w:val="20"/>
        </w:rPr>
        <w:t xml:space="preserve"> : présenté à l’autorité qui a pris la décision contestée, en précisant pourquoi elle doit la réexaminer ; objectif : obtenir une révision de la décision initiale sur des motifs de fait, de droit ou d’</w:t>
      </w:r>
      <w:r>
        <w:rPr>
          <w:rFonts w:ascii="Calibri" w:cs="Calibri" w:eastAsia="Calibri" w:hAnsi="Calibri"/>
          <w:b/>
          <w:bCs/>
          <w:color w:val="1A1A1A"/>
          <w:sz w:val="20"/>
          <w:szCs w:val="20"/>
        </w:rPr>
        <w:t xml:space="preserve">opportunité</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Recours hiérarchique</w:t>
      </w:r>
      <w:r>
        <w:rPr>
          <w:rFonts w:ascii="Calibri" w:cs="Calibri" w:eastAsia="Calibri" w:hAnsi="Calibri"/>
          <w:color w:val="1A1A1A"/>
          <w:sz w:val="20"/>
          <w:szCs w:val="20"/>
        </w:rPr>
        <w:t xml:space="preserve"> : saisine du supérieur hiérarchique afin qu’il revienne sur l’acte de son subordonné.</w:t>
      </w:r>
    </w:p>
    <w:p>
      <w:pPr>
        <w:pStyle w:val="ListParagraph"/>
        <w:numPr>
          <w:ilvl w:val="0"/>
          <w:numId w:val="2"/>
        </w:numPr>
        <w:spacing w:after="70" w:line="264"/>
        <w:jc w:val="both"/>
      </w:pPr>
      <w:r>
        <w:rPr>
          <w:rFonts w:ascii="Calibri" w:cs="Calibri" w:eastAsia="Calibri" w:hAnsi="Calibri"/>
          <w:b/>
          <w:bCs/>
          <w:color w:val="1A1A1A"/>
          <w:sz w:val="20"/>
          <w:szCs w:val="20"/>
        </w:rPr>
        <w:t xml:space="preserve">Logique</w:t>
      </w:r>
      <w:r>
        <w:rPr>
          <w:rFonts w:ascii="Calibri" w:cs="Calibri" w:eastAsia="Calibri" w:hAnsi="Calibri"/>
          <w:color w:val="1A1A1A"/>
          <w:sz w:val="20"/>
          <w:szCs w:val="20"/>
        </w:rPr>
        <w:t xml:space="preserve"> : dans les deux cas, le recours administratif préalable est fondé sur la </w:t>
      </w:r>
      <w:r>
        <w:rPr>
          <w:rFonts w:ascii="Calibri" w:cs="Calibri" w:eastAsia="Calibri" w:hAnsi="Calibri"/>
          <w:b/>
          <w:bCs/>
          <w:color w:val="1A1A1A"/>
          <w:sz w:val="20"/>
          <w:szCs w:val="20"/>
        </w:rPr>
        <w:t xml:space="preserve">discussion et la conciliation</w:t>
      </w:r>
      <w:r>
        <w:rPr>
          <w:rFonts w:ascii="Calibri" w:cs="Calibri" w:eastAsia="Calibri" w:hAnsi="Calibri"/>
          <w:color w:val="1A1A1A"/>
          <w:sz w:val="20"/>
          <w:szCs w:val="20"/>
        </w:rPr>
        <w:t xml:space="preserve"> plutôt que sur la coercition du juge — </w:t>
      </w:r>
      <w:r>
        <w:rPr>
          <w:rFonts w:ascii="Calibri" w:cs="Calibri" w:eastAsia="Calibri" w:hAnsi="Calibri"/>
          <w:color w:val="2E7D32"/>
          <w:sz w:val="20"/>
          <w:szCs w:val="20"/>
        </w:rPr>
        <w:t xml:space="preserve">Conseil d’État, Régler autrement les conflits : conciliation, transaction, arbitrage en matière administrative, 1993</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Il s’agit de rechercher, en droit et en opportunité comme en équité, une solution qui satisfasse à la fois les intérêts de l’administration et ceux de l’administré.</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Le recours administratif préalable obligatoire (RAPO)</w:t>
      </w:r>
      <w:r>
        <w:rPr>
          <w:rFonts w:ascii="Calibri" w:cs="Calibri" w:eastAsia="Calibri" w:hAnsi="Calibri"/>
          <w:color w:val="1A1A1A"/>
          <w:sz w:val="20"/>
          <w:szCs w:val="20"/>
        </w:rPr>
        <w:t xml:space="preserve"> : dans de nombreux domaines touchant aux droits et libertés, le recours gracieux ou hiérarchique est obligatoire avant toute saisine du juge. Exemples : droit à la communication des documents administratifs (</w:t>
      </w:r>
      <w:r>
        <w:rPr>
          <w:rFonts w:ascii="Calibri" w:cs="Calibri" w:eastAsia="Calibri" w:hAnsi="Calibri"/>
          <w:color w:val="1E88E5"/>
          <w:sz w:val="20"/>
          <w:szCs w:val="20"/>
        </w:rPr>
        <w:t xml:space="preserve">art. L. 342-1 CRPA</w:t>
      </w:r>
      <w:r>
        <w:rPr>
          <w:rFonts w:ascii="Calibri" w:cs="Calibri" w:eastAsia="Calibri" w:hAnsi="Calibri"/>
          <w:color w:val="1A1A1A"/>
          <w:sz w:val="20"/>
          <w:szCs w:val="20"/>
        </w:rPr>
        <w:t xml:space="preserve">) ; contentieux sociaux (personnes handicapées, MDPH).</w:t>
      </w:r>
    </w:p>
    <w:p>
      <w:pPr>
        <w:pStyle w:val="ListParagraph"/>
        <w:numPr>
          <w:ilvl w:val="0"/>
          <w:numId w:val="2"/>
        </w:numPr>
        <w:spacing w:after="70" w:line="264"/>
        <w:jc w:val="both"/>
      </w:pPr>
      <w:r>
        <w:rPr>
          <w:rFonts w:ascii="Calibri" w:cs="Calibri" w:eastAsia="Calibri" w:hAnsi="Calibri"/>
          <w:b/>
          <w:bCs/>
          <w:color w:val="1A1A1A"/>
          <w:sz w:val="20"/>
          <w:szCs w:val="20"/>
        </w:rPr>
        <w:t xml:space="preserve">Critique</w:t>
      </w:r>
      <w:r>
        <w:rPr>
          <w:rFonts w:ascii="Calibri" w:cs="Calibri" w:eastAsia="Calibri" w:hAnsi="Calibri"/>
          <w:color w:val="1A1A1A"/>
          <w:sz w:val="20"/>
          <w:szCs w:val="20"/>
        </w:rPr>
        <w:t xml:space="preserve"> : l’efficacité doit être nuancée, le réexamen par l’administration étant souvent </w:t>
      </w:r>
      <w:r>
        <w:rPr>
          <w:rFonts w:ascii="Calibri" w:cs="Calibri" w:eastAsia="Calibri" w:hAnsi="Calibri"/>
          <w:b/>
          <w:bCs/>
          <w:color w:val="1A1A1A"/>
          <w:sz w:val="20"/>
          <w:szCs w:val="20"/>
        </w:rPr>
        <w:t xml:space="preserve">superficiel, voire pas réalisé du tout</w:t>
      </w:r>
      <w:r>
        <w:rPr>
          <w:rFonts w:ascii="Calibri" w:cs="Calibri" w:eastAsia="Calibri" w:hAnsi="Calibri"/>
          <w:color w:val="1A1A1A"/>
          <w:sz w:val="20"/>
          <w:szCs w:val="20"/>
        </w:rPr>
        <w:t xml:space="preserve"> — manque de temps, mais aussi méconnaissance de l’utilité du recours administratif, qui s’inscrit comme un </w:t>
      </w:r>
      <w:r>
        <w:rPr>
          <w:rFonts w:ascii="Calibri" w:cs="Calibri" w:eastAsia="Calibri" w:hAnsi="Calibri"/>
          <w:b/>
          <w:bCs/>
          <w:color w:val="1A1A1A"/>
          <w:sz w:val="20"/>
          <w:szCs w:val="20"/>
        </w:rPr>
        <w:t xml:space="preserve">droit des administrés</w:t>
      </w:r>
      <w:r>
        <w:rPr>
          <w:rFonts w:ascii="Calibri" w:cs="Calibri" w:eastAsia="Calibri" w:hAnsi="Calibri"/>
          <w:color w:val="1A1A1A"/>
          <w:sz w:val="20"/>
          <w:szCs w:val="20"/>
        </w:rPr>
        <w:t xml:space="preserve"> à voir leur demande traitée de manière effective.</w:t>
      </w:r>
    </w:p>
    <w:p>
      <w:pPr>
        <w:pStyle w:val="Heading3"/>
        <w:spacing w:after="90" w:before="200"/>
      </w:pPr>
      <w:r>
        <w:rPr>
          <w:rFonts w:ascii="Calibri" w:cs="Calibri" w:eastAsia="Calibri" w:hAnsi="Calibri"/>
          <w:b/>
          <w:bCs/>
          <w:i/>
          <w:iCs/>
          <w:color w:val="5A5A5A"/>
          <w:sz w:val="21"/>
          <w:szCs w:val="21"/>
        </w:rPr>
        <w:t xml:space="preserve">2.2. L’inspecteur du travail</w:t>
      </w:r>
    </w:p>
    <w:p>
      <w:pPr>
        <w:pStyle w:val="ListParagraph"/>
        <w:numPr>
          <w:ilvl w:val="0"/>
          <w:numId w:val="2"/>
        </w:numPr>
        <w:spacing w:after="70" w:line="264"/>
        <w:jc w:val="both"/>
      </w:pPr>
      <w:r>
        <w:rPr>
          <w:rFonts w:ascii="Calibri" w:cs="Calibri" w:eastAsia="Calibri" w:hAnsi="Calibri"/>
          <w:color w:val="1A1A1A"/>
          <w:sz w:val="20"/>
          <w:szCs w:val="20"/>
        </w:rPr>
        <w:t xml:space="preserve">Compétence fondamentale en matière de protection des droits et libertés du salarié : il peut exiger le </w:t>
      </w:r>
      <w:r>
        <w:rPr>
          <w:rFonts w:ascii="Calibri" w:cs="Calibri" w:eastAsia="Calibri" w:hAnsi="Calibri"/>
          <w:b/>
          <w:bCs/>
          <w:color w:val="1A1A1A"/>
          <w:sz w:val="20"/>
          <w:szCs w:val="20"/>
        </w:rPr>
        <w:t xml:space="preserve">retrait ou la modification</w:t>
      </w:r>
      <w:r>
        <w:rPr>
          <w:rFonts w:ascii="Calibri" w:cs="Calibri" w:eastAsia="Calibri" w:hAnsi="Calibri"/>
          <w:color w:val="1A1A1A"/>
          <w:sz w:val="20"/>
          <w:szCs w:val="20"/>
        </w:rPr>
        <w:t xml:space="preserve"> d’une disposition du règlement intérieur apportant aux droits et libertés des salariés des restrictions non justifiées par la nature des tâches à accomplir (</w:t>
      </w:r>
      <w:r>
        <w:rPr>
          <w:rFonts w:ascii="Calibri" w:cs="Calibri" w:eastAsia="Calibri" w:hAnsi="Calibri"/>
          <w:color w:val="1E88E5"/>
          <w:sz w:val="20"/>
          <w:szCs w:val="20"/>
        </w:rPr>
        <w:t xml:space="preserve">art. L. 1322-1 C. trav.</w:t>
      </w:r>
      <w:r>
        <w:rPr>
          <w:rFonts w:ascii="Calibri" w:cs="Calibri" w:eastAsia="Calibri" w:hAnsi="Calibri"/>
          <w:color w:val="1A1A1A"/>
          <w:sz w:val="20"/>
          <w:szCs w:val="20"/>
        </w:rPr>
        <w:t xml:space="preserve">). Il peut également prendre toute mesure utile pour préserver la santé ou la sécurité du salarié en le soustrayant à une situation de danger grave et imminent, notamment en prescrivant l’arrêt de l’activité, et constater des infractions (</w:t>
      </w:r>
      <w:r>
        <w:rPr>
          <w:rFonts w:ascii="Calibri" w:cs="Calibri" w:eastAsia="Calibri" w:hAnsi="Calibri"/>
          <w:color w:val="1E88E5"/>
          <w:sz w:val="20"/>
          <w:szCs w:val="20"/>
        </w:rPr>
        <w:t xml:space="preserve">art. L. 8112-1 C. trav.</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Commission nationale consultative des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Statut</w:t>
      </w:r>
      <w:r>
        <w:rPr>
          <w:rFonts w:ascii="Calibri" w:cs="Calibri" w:eastAsia="Calibri" w:hAnsi="Calibri"/>
          <w:color w:val="1A1A1A"/>
          <w:sz w:val="20"/>
          <w:szCs w:val="20"/>
        </w:rPr>
        <w:t xml:space="preserve"> : placée </w:t>
      </w:r>
      <w:r>
        <w:rPr>
          <w:rFonts w:ascii="Calibri" w:cs="Calibri" w:eastAsia="Calibri" w:hAnsi="Calibri"/>
          <w:b/>
          <w:bCs/>
          <w:color w:val="1A1A1A"/>
          <w:sz w:val="20"/>
          <w:szCs w:val="20"/>
        </w:rPr>
        <w:t xml:space="preserve">en dehors</w:t>
      </w:r>
      <w:r>
        <w:rPr>
          <w:rFonts w:ascii="Calibri" w:cs="Calibri" w:eastAsia="Calibri" w:hAnsi="Calibri"/>
          <w:color w:val="1A1A1A"/>
          <w:sz w:val="20"/>
          <w:szCs w:val="20"/>
        </w:rPr>
        <w:t xml:space="preserve"> des AAI en raison de sa proximité historique et particulière avec le Gouvernement, dont elle est l’organe de </w:t>
      </w:r>
      <w:r>
        <w:rPr>
          <w:rFonts w:ascii="Calibri" w:cs="Calibri" w:eastAsia="Calibri" w:hAnsi="Calibri"/>
          <w:b/>
          <w:bCs/>
          <w:color w:val="1A1A1A"/>
          <w:sz w:val="20"/>
          <w:szCs w:val="20"/>
        </w:rPr>
        <w:t xml:space="preserve">conseil et de proposition</w:t>
      </w:r>
      <w:r>
        <w:rPr>
          <w:rFonts w:ascii="Calibri" w:cs="Calibri" w:eastAsia="Calibri" w:hAnsi="Calibri"/>
          <w:color w:val="1A1A1A"/>
          <w:sz w:val="20"/>
          <w:szCs w:val="20"/>
        </w:rPr>
        <w:t xml:space="preserve"> en matière de droits humains. Existence consacrée par la </w:t>
      </w:r>
      <w:r>
        <w:rPr>
          <w:rFonts w:ascii="Calibri" w:cs="Calibri" w:eastAsia="Calibri" w:hAnsi="Calibri"/>
          <w:color w:val="1E88E5"/>
          <w:sz w:val="20"/>
          <w:szCs w:val="20"/>
        </w:rPr>
        <w:t xml:space="preserve">loi n° 2007-292 du 5 mars 2007</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n° 2017-55 du 20 janvier 2017</w:t>
      </w:r>
      <w:r>
        <w:rPr>
          <w:rFonts w:ascii="Calibri" w:cs="Calibri" w:eastAsia="Calibri" w:hAnsi="Calibri"/>
          <w:color w:val="1A1A1A"/>
          <w:sz w:val="20"/>
          <w:szCs w:val="20"/>
        </w:rPr>
        <w:t xml:space="preserve"> précise qu’elle </w:t>
      </w:r>
      <w:r>
        <w:rPr>
          <w:rFonts w:ascii="Calibri" w:cs="Calibri" w:eastAsia="Calibri" w:hAnsi="Calibri"/>
          <w:b/>
          <w:bCs/>
          <w:color w:val="1A1A1A"/>
          <w:sz w:val="20"/>
          <w:szCs w:val="20"/>
        </w:rPr>
        <w:t xml:space="preserve">ne reçoit ni ne sollicite d’instruction</w:t>
      </w:r>
      <w:r>
        <w:rPr>
          <w:rFonts w:ascii="Calibri" w:cs="Calibri" w:eastAsia="Calibri" w:hAnsi="Calibri"/>
          <w:color w:val="1A1A1A"/>
          <w:sz w:val="20"/>
          <w:szCs w:val="20"/>
        </w:rPr>
        <w:t xml:space="preserve"> d’aucune autorité administrative ou gouvernementale.</w:t>
      </w:r>
    </w:p>
    <w:p>
      <w:pPr>
        <w:pStyle w:val="ListParagraph"/>
        <w:numPr>
          <w:ilvl w:val="0"/>
          <w:numId w:val="2"/>
        </w:numPr>
        <w:spacing w:after="70" w:line="264"/>
        <w:jc w:val="both"/>
      </w:pPr>
      <w:r>
        <w:rPr>
          <w:rFonts w:ascii="Calibri" w:cs="Calibri" w:eastAsia="Calibri" w:hAnsi="Calibri"/>
          <w:b/>
          <w:bCs/>
          <w:color w:val="1A1A1A"/>
          <w:sz w:val="20"/>
          <w:szCs w:val="20"/>
        </w:rPr>
        <w:t xml:space="preserve">Missions</w:t>
      </w:r>
      <w:r>
        <w:rPr>
          <w:rFonts w:ascii="Calibri" w:cs="Calibri" w:eastAsia="Calibri" w:hAnsi="Calibri"/>
          <w:color w:val="1A1A1A"/>
          <w:sz w:val="20"/>
          <w:szCs w:val="20"/>
        </w:rPr>
        <w:t xml:space="preserve"> : assister le Premier ministre et les ministres intéressés par ses avis sur toutes les questions de portée générale relevant des droits et libertés, tant sur le plan national qu’international ; appeler publiquement l’attention du Parlement et du Gouvernement, de sa propre initiative, sur les mesures qui lui paraissent de nature à favoriser la protection et la promotion des droits de l’Homme. Avis rendus : état d’urgence, situation des familles françaises de djihadistes en Syrie, toxicomanie, droit de vote des personnes en situation de handicap, université.</w:t>
      </w:r>
    </w:p>
    <w:p>
      <w:pPr>
        <w:pStyle w:val="Heading2"/>
        <w:spacing w:after="120" w:before="280"/>
      </w:pPr>
      <w:r>
        <w:rPr>
          <w:rFonts w:ascii="Calibri" w:cs="Calibri" w:eastAsia="Calibri" w:hAnsi="Calibri"/>
          <w:b/>
          <w:bCs/>
          <w:color w:val="1A1A1A"/>
          <w:sz w:val="24"/>
          <w:szCs w:val="24"/>
        </w:rPr>
        <w:t xml:space="preserve">4. Les autorités administratives indépendantes</w:t>
      </w:r>
    </w:p>
    <w:p>
      <w:pPr>
        <w:pStyle w:val="Heading3"/>
        <w:spacing w:after="90" w:before="200"/>
      </w:pPr>
      <w:r>
        <w:rPr>
          <w:rFonts w:ascii="Calibri" w:cs="Calibri" w:eastAsia="Calibri" w:hAnsi="Calibri"/>
          <w:b/>
          <w:bCs/>
          <w:i/>
          <w:iCs/>
          <w:color w:val="5A5A5A"/>
          <w:sz w:val="21"/>
          <w:szCs w:val="21"/>
        </w:rPr>
        <w:t xml:space="preserve">4.1. Définition et fondement</w:t>
      </w:r>
    </w:p>
    <w:p>
      <w:pPr>
        <w:pStyle w:val="ListParagraph"/>
        <w:numPr>
          <w:ilvl w:val="0"/>
          <w:numId w:val="2"/>
        </w:numPr>
        <w:spacing w:after="70" w:line="264"/>
        <w:jc w:val="both"/>
      </w:pPr>
      <w:r>
        <w:rPr>
          <w:rFonts w:ascii="Calibri" w:cs="Calibri" w:eastAsia="Calibri" w:hAnsi="Calibri"/>
          <w:b/>
          <w:bCs/>
          <w:color w:val="1A1A1A"/>
          <w:sz w:val="20"/>
          <w:szCs w:val="20"/>
        </w:rPr>
        <w:t xml:space="preserve">Hétérogénéité</w:t>
      </w:r>
      <w:r>
        <w:rPr>
          <w:rFonts w:ascii="Calibri" w:cs="Calibri" w:eastAsia="Calibri" w:hAnsi="Calibri"/>
          <w:color w:val="1A1A1A"/>
          <w:sz w:val="20"/>
          <w:szCs w:val="20"/>
        </w:rPr>
        <w:t xml:space="preserve"> : dans un rapport de 2001, le Conseil d’État recensait </w:t>
      </w:r>
      <w:r>
        <w:rPr>
          <w:rFonts w:ascii="Calibri" w:cs="Calibri" w:eastAsia="Calibri" w:hAnsi="Calibri"/>
          <w:b/>
          <w:bCs/>
          <w:color w:val="1A1A1A"/>
          <w:sz w:val="20"/>
          <w:szCs w:val="20"/>
        </w:rPr>
        <w:t xml:space="preserve">34 AAI différentes</w:t>
      </w:r>
      <w:r>
        <w:rPr>
          <w:rFonts w:ascii="Calibri" w:cs="Calibri" w:eastAsia="Calibri" w:hAnsi="Calibri"/>
          <w:color w:val="1A1A1A"/>
          <w:sz w:val="20"/>
          <w:szCs w:val="20"/>
        </w:rPr>
        <w:t xml:space="preserve">, tout en mettant en exergue l’hétérogénéité de leurs pouvoirs et de leurs statuts. Les sénateurs </w:t>
      </w:r>
      <w:r>
        <w:rPr>
          <w:rFonts w:ascii="Calibri" w:cs="Calibri" w:eastAsia="Calibri" w:hAnsi="Calibri"/>
          <w:color w:val="2E7D32"/>
          <w:sz w:val="20"/>
          <w:szCs w:val="20"/>
        </w:rPr>
        <w:t xml:space="preserve">Dosière et Vanneste</w:t>
      </w:r>
      <w:r>
        <w:rPr>
          <w:rFonts w:ascii="Calibri" w:cs="Calibri" w:eastAsia="Calibri" w:hAnsi="Calibri"/>
          <w:color w:val="1A1A1A"/>
          <w:sz w:val="20"/>
          <w:szCs w:val="20"/>
        </w:rPr>
        <w:t xml:space="preserve">, au nom d’une commission d’enquête du Sénat, ont mis en lumière cette grande hétérogénéité et l’</w:t>
      </w:r>
      <w:r>
        <w:rPr>
          <w:rFonts w:ascii="Calibri" w:cs="Calibri" w:eastAsia="Calibri" w:hAnsi="Calibri"/>
          <w:b/>
          <w:bCs/>
          <w:color w:val="1A1A1A"/>
          <w:sz w:val="20"/>
          <w:szCs w:val="20"/>
        </w:rPr>
        <w:t xml:space="preserve">absence de définition et de cadre juridique communs</w:t>
      </w:r>
      <w:r>
        <w:rPr>
          <w:rFonts w:ascii="Calibri" w:cs="Calibri" w:eastAsia="Calibri" w:hAnsi="Calibri"/>
          <w:color w:val="1A1A1A"/>
          <w:sz w:val="20"/>
          <w:szCs w:val="20"/>
        </w:rPr>
        <w:t xml:space="preserve">, estimant que les contours de la notion sont entachés d’un défaut de précision.</w:t>
      </w:r>
    </w:p>
    <w:p>
      <w:pPr>
        <w:pStyle w:val="ListParagraph"/>
        <w:numPr>
          <w:ilvl w:val="0"/>
          <w:numId w:val="2"/>
        </w:numPr>
        <w:spacing w:after="70" w:line="264"/>
        <w:jc w:val="both"/>
      </w:pPr>
      <w:r>
        <w:rPr>
          <w:rFonts w:ascii="Calibri" w:cs="Calibri" w:eastAsia="Calibri" w:hAnsi="Calibri"/>
          <w:b/>
          <w:bCs/>
          <w:color w:val="1A1A1A"/>
          <w:sz w:val="20"/>
          <w:szCs w:val="20"/>
        </w:rPr>
        <w:t xml:space="preserve">Trois conditions cumulatives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autorité</w:t>
      </w:r>
      <w:r>
        <w:rPr>
          <w:rFonts w:ascii="Calibri" w:cs="Calibri" w:eastAsia="Calibri" w:hAnsi="Calibri"/>
          <w:color w:val="1A1A1A"/>
          <w:sz w:val="20"/>
          <w:szCs w:val="20"/>
        </w:rPr>
        <w:t xml:space="preserve"> (pouvoir d’infliger des sanctions ou de faire des recommandations) ; </w:t>
      </w:r>
      <w:r>
        <w:rPr>
          <w:rFonts w:ascii="Calibri" w:cs="Calibri" w:eastAsia="Calibri" w:hAnsi="Calibri"/>
          <w:b/>
          <w:bCs/>
          <w:color w:val="1A1A1A"/>
          <w:sz w:val="20"/>
          <w:szCs w:val="20"/>
        </w:rPr>
        <w:t xml:space="preserve">administrative</w:t>
      </w:r>
      <w:r>
        <w:rPr>
          <w:rFonts w:ascii="Calibri" w:cs="Calibri" w:eastAsia="Calibri" w:hAnsi="Calibri"/>
          <w:color w:val="1A1A1A"/>
          <w:sz w:val="20"/>
          <w:szCs w:val="20"/>
        </w:rPr>
        <w:t xml:space="preserve"> (agit au nom de l’État et dans le cadre des règles fixées par lui) ; </w:t>
      </w:r>
      <w:r>
        <w:rPr>
          <w:rFonts w:ascii="Calibri" w:cs="Calibri" w:eastAsia="Calibri" w:hAnsi="Calibri"/>
          <w:b/>
          <w:bCs/>
          <w:color w:val="1A1A1A"/>
          <w:sz w:val="20"/>
          <w:szCs w:val="20"/>
        </w:rPr>
        <w:t xml:space="preserve">indépendante</w:t>
      </w:r>
      <w:r>
        <w:rPr>
          <w:rFonts w:ascii="Calibri" w:cs="Calibri" w:eastAsia="Calibri" w:hAnsi="Calibri"/>
          <w:color w:val="1A1A1A"/>
          <w:sz w:val="20"/>
          <w:szCs w:val="20"/>
        </w:rPr>
        <w:t xml:space="preserve"> (placée hors de l’appareil administratif, non soumise à l’autorité hiérarchique du pouvoir exécutif).</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 exclusive du législateur</w:t>
      </w:r>
      <w:r>
        <w:rPr>
          <w:rFonts w:ascii="Calibri" w:cs="Calibri" w:eastAsia="Calibri" w:hAnsi="Calibri"/>
          <w:color w:val="1A1A1A"/>
          <w:sz w:val="20"/>
          <w:szCs w:val="20"/>
        </w:rPr>
        <w:t xml:space="preserve"> : sur le fondement du dernier alinéa de l’</w:t>
      </w:r>
      <w:r>
        <w:rPr>
          <w:rFonts w:ascii="Calibri" w:cs="Calibri" w:eastAsia="Calibri" w:hAnsi="Calibri"/>
          <w:color w:val="1E88E5"/>
          <w:sz w:val="20"/>
          <w:szCs w:val="20"/>
        </w:rPr>
        <w:t xml:space="preserve">art. 34 C.</w:t>
      </w:r>
      <w:r>
        <w:rPr>
          <w:rFonts w:ascii="Calibri" w:cs="Calibri" w:eastAsia="Calibri" w:hAnsi="Calibri"/>
          <w:color w:val="1A1A1A"/>
          <w:sz w:val="20"/>
          <w:szCs w:val="20"/>
        </w:rPr>
        <w:t xml:space="preserve">, le législateur organique a réservé au législateur ordinaire la compétence pour instituer les AAI et fixer les règles relatives à leur composition, à leurs attributions et aux principes fondamentaux relatifs à leur organisation et à leur fonctionnement — ★ </w:t>
      </w:r>
      <w:r>
        <w:rPr>
          <w:rFonts w:ascii="Calibri" w:cs="Calibri" w:eastAsia="Calibri" w:hAnsi="Calibri"/>
          <w:color w:val="E91E63"/>
          <w:sz w:val="20"/>
          <w:szCs w:val="20"/>
        </w:rPr>
        <w:t xml:space="preserve">Cons. const., déc. n° 84-173 DC, 26 juillet 1984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Précision de méthode</w:t>
      </w:r>
      <w:r>
        <w:rPr>
          <w:rFonts w:ascii="Calibri" w:cs="Calibri" w:eastAsia="Calibri" w:hAnsi="Calibri"/>
          <w:color w:val="1A1A1A"/>
          <w:sz w:val="20"/>
          <w:szCs w:val="20"/>
        </w:rPr>
        <w:t xml:space="preserve"> : il convient d’écarter de l’étude les autorités n’ayant pas pour mission principale la garantie des libertés publiques, notamment celles intervenant en matière économique.</w:t>
      </w:r>
    </w:p>
    <w:p>
      <w:pPr>
        <w:pStyle w:val="Heading3"/>
        <w:spacing w:after="90" w:before="200"/>
      </w:pPr>
      <w:r>
        <w:rPr>
          <w:rFonts w:ascii="Calibri" w:cs="Calibri" w:eastAsia="Calibri" w:hAnsi="Calibri"/>
          <w:b/>
          <w:bCs/>
          <w:i/>
          <w:iCs/>
          <w:color w:val="5A5A5A"/>
          <w:sz w:val="21"/>
          <w:szCs w:val="21"/>
        </w:rPr>
        <w:t xml:space="preserve">4.2. Le Défenseur des droits</w:t>
      </w:r>
    </w:p>
    <w:p>
      <w:pPr>
        <w:pStyle w:val="ListParagraph"/>
        <w:numPr>
          <w:ilvl w:val="0"/>
          <w:numId w:val="2"/>
        </w:numPr>
        <w:spacing w:after="70" w:line="264"/>
        <w:jc w:val="both"/>
      </w:pPr>
      <w:r>
        <w:rPr>
          <w:rFonts w:ascii="Calibri" w:cs="Calibri" w:eastAsia="Calibri" w:hAnsi="Calibri"/>
          <w:b/>
          <w:bCs/>
          <w:color w:val="1A1A1A"/>
          <w:sz w:val="20"/>
          <w:szCs w:val="20"/>
        </w:rPr>
        <w:t xml:space="preserve">L’ancêtre</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Médiateur de la République</w:t>
      </w:r>
      <w:r>
        <w:rPr>
          <w:rFonts w:ascii="Calibri" w:cs="Calibri" w:eastAsia="Calibri" w:hAnsi="Calibri"/>
          <w:color w:val="1A1A1A"/>
          <w:sz w:val="20"/>
          <w:szCs w:val="20"/>
        </w:rPr>
        <w:t xml:space="preserve">, doté d’une compétence très large — réclamations relatives au fonctionnement des administrations de l’État, des collectivités territoriales ou de tout organisme, public ou privé, chargé d’une mission de service public. Grande autorité morale, recommandations et propositions, mais </w:t>
      </w:r>
      <w:r>
        <w:rPr>
          <w:rFonts w:ascii="Calibri" w:cs="Calibri" w:eastAsia="Calibri" w:hAnsi="Calibri"/>
          <w:b/>
          <w:bCs/>
          <w:color w:val="1A1A1A"/>
          <w:sz w:val="20"/>
          <w:szCs w:val="20"/>
        </w:rPr>
        <w:t xml:space="preserve">sans force juridique contraignante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consécration</w:t>
      </w:r>
      <w:r>
        <w:rPr>
          <w:rFonts w:ascii="Calibri" w:cs="Calibri" w:eastAsia="Calibri" w:hAnsi="Calibri"/>
          <w:color w:val="1A1A1A"/>
          <w:sz w:val="20"/>
          <w:szCs w:val="20"/>
        </w:rPr>
        <w:t xml:space="preserve"> : la révision de 2008 insère un </w:t>
      </w:r>
      <w:r>
        <w:rPr>
          <w:rFonts w:ascii="Calibri" w:cs="Calibri" w:eastAsia="Calibri" w:hAnsi="Calibri"/>
          <w:color w:val="1E88E5"/>
          <w:sz w:val="20"/>
          <w:szCs w:val="20"/>
        </w:rPr>
        <w:t xml:space="preserve">art. 71-1</w:t>
      </w:r>
      <w:r>
        <w:rPr>
          <w:rFonts w:ascii="Calibri" w:cs="Calibri" w:eastAsia="Calibri" w:hAnsi="Calibri"/>
          <w:color w:val="1A1A1A"/>
          <w:sz w:val="20"/>
          <w:szCs w:val="20"/>
        </w:rPr>
        <w:t xml:space="preserve"> dans la Constitution, donnant naissance à une autorité constitutionnelle indépendante. Régime : </w:t>
      </w:r>
      <w:r>
        <w:rPr>
          <w:rFonts w:ascii="Calibri" w:cs="Calibri" w:eastAsia="Calibri" w:hAnsi="Calibri"/>
          <w:color w:val="1E88E5"/>
          <w:sz w:val="20"/>
          <w:szCs w:val="20"/>
        </w:rPr>
        <w:t xml:space="preserve">loi organique n° 2011-333</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loi n° 2011-334 du 29 mars 2011</w:t>
      </w:r>
      <w:r>
        <w:rPr>
          <w:rFonts w:ascii="Calibri" w:cs="Calibri" w:eastAsia="Calibri" w:hAnsi="Calibri"/>
          <w:color w:val="1A1A1A"/>
          <w:sz w:val="20"/>
          <w:szCs w:val="20"/>
        </w:rPr>
        <w:t xml:space="preserve">. La création s’appuie sur les réflexions du </w:t>
      </w:r>
      <w:r>
        <w:rPr>
          <w:rFonts w:ascii="Calibri" w:cs="Calibri" w:eastAsia="Calibri" w:hAnsi="Calibri"/>
          <w:color w:val="2E7D32"/>
          <w:sz w:val="20"/>
          <w:szCs w:val="20"/>
        </w:rPr>
        <w:t xml:space="preserve">Comité Balladur</w:t>
      </w:r>
      <w:r>
        <w:rPr>
          <w:rFonts w:ascii="Calibri" w:cs="Calibri" w:eastAsia="Calibri" w:hAnsi="Calibri"/>
          <w:color w:val="1A1A1A"/>
          <w:sz w:val="20"/>
          <w:szCs w:val="20"/>
        </w:rPr>
        <w:t xml:space="preserve">, qui suggérait de remettre de l’ordre dans les institutions chargées d’une mission de défense des droits fondamentaux afin de renforcer la lisibilité, la cohérence et l’efficacité de leur action. Le Défenseur </w:t>
      </w:r>
      <w:r>
        <w:rPr>
          <w:rFonts w:ascii="Calibri" w:cs="Calibri" w:eastAsia="Calibri" w:hAnsi="Calibri"/>
          <w:b/>
          <w:bCs/>
          <w:color w:val="1A1A1A"/>
          <w:sz w:val="20"/>
          <w:szCs w:val="20"/>
        </w:rPr>
        <w:t xml:space="preserve">regroupe</w:t>
      </w:r>
      <w:r>
        <w:rPr>
          <w:rFonts w:ascii="Calibri" w:cs="Calibri" w:eastAsia="Calibri" w:hAnsi="Calibri"/>
          <w:color w:val="1A1A1A"/>
          <w:sz w:val="20"/>
          <w:szCs w:val="20"/>
        </w:rPr>
        <w:t xml:space="preserve"> les missions du Médiateur de la République, du Défenseur des enfants, de la HALDE et de la Commission nationale de déontologie de la sécurité (CNDS).</w:t>
      </w:r>
    </w:p>
    <w:p>
      <w:pPr>
        <w:pStyle w:val="ListParagraph"/>
        <w:numPr>
          <w:ilvl w:val="0"/>
          <w:numId w:val="2"/>
        </w:numPr>
        <w:spacing w:after="70" w:line="264"/>
        <w:jc w:val="both"/>
      </w:pPr>
      <w:r>
        <w:rPr>
          <w:rFonts w:ascii="Calibri" w:cs="Calibri" w:eastAsia="Calibri" w:hAnsi="Calibri"/>
          <w:b/>
          <w:bCs/>
          <w:color w:val="1A1A1A"/>
          <w:sz w:val="20"/>
          <w:szCs w:val="20"/>
        </w:rPr>
        <w:t xml:space="preserve">Nomination et statut</w:t>
      </w:r>
      <w:r>
        <w:rPr>
          <w:rFonts w:ascii="Calibri" w:cs="Calibri" w:eastAsia="Calibri" w:hAnsi="Calibri"/>
          <w:color w:val="1A1A1A"/>
          <w:sz w:val="20"/>
          <w:szCs w:val="20"/>
        </w:rPr>
        <w:t xml:space="preserve"> : nommé par le président de la République selon la procédure de l’</w:t>
      </w:r>
      <w:r>
        <w:rPr>
          <w:rFonts w:ascii="Calibri" w:cs="Calibri" w:eastAsia="Calibri" w:hAnsi="Calibri"/>
          <w:color w:val="1E88E5"/>
          <w:sz w:val="20"/>
          <w:szCs w:val="20"/>
        </w:rPr>
        <w:t xml:space="preserve">art. 13 al. 5 C.</w:t>
      </w:r>
      <w:r>
        <w:rPr>
          <w:rFonts w:ascii="Calibri" w:cs="Calibri" w:eastAsia="Calibri" w:hAnsi="Calibri"/>
          <w:color w:val="1A1A1A"/>
          <w:sz w:val="20"/>
          <w:szCs w:val="20"/>
        </w:rPr>
        <w:t xml:space="preserve"> — audition par les commissions permanentes des assemblées, nomination bloquée si </w:t>
      </w:r>
      <w:r>
        <w:rPr>
          <w:rFonts w:ascii="Calibri" w:cs="Calibri" w:eastAsia="Calibri" w:hAnsi="Calibri"/>
          <w:b/>
          <w:bCs/>
          <w:color w:val="1A1A1A"/>
          <w:sz w:val="20"/>
          <w:szCs w:val="20"/>
        </w:rPr>
        <w:t xml:space="preserve">trois cinquièmes</w:t>
      </w:r>
      <w:r>
        <w:rPr>
          <w:rFonts w:ascii="Calibri" w:cs="Calibri" w:eastAsia="Calibri" w:hAnsi="Calibri"/>
          <w:color w:val="1A1A1A"/>
          <w:sz w:val="20"/>
          <w:szCs w:val="20"/>
        </w:rPr>
        <w:t xml:space="preserve"> des suffrages exprimés s’y opposent. Mandat </w:t>
      </w:r>
      <w:r>
        <w:rPr>
          <w:rFonts w:ascii="Calibri" w:cs="Calibri" w:eastAsia="Calibri" w:hAnsi="Calibri"/>
          <w:b/>
          <w:bCs/>
          <w:color w:val="1A1A1A"/>
          <w:sz w:val="20"/>
          <w:szCs w:val="20"/>
        </w:rPr>
        <w:t xml:space="preserve">irrévocable, non renouvelable et long (six ans)</w:t>
      </w:r>
      <w:r>
        <w:rPr>
          <w:rFonts w:ascii="Calibri" w:cs="Calibri" w:eastAsia="Calibri" w:hAnsi="Calibri"/>
          <w:color w:val="1A1A1A"/>
          <w:sz w:val="20"/>
          <w:szCs w:val="20"/>
        </w:rPr>
        <w:t xml:space="preserve"> ; règles de non-cumul : il ne peut être membre du Gouvernement ni parlementaire.</w:t>
      </w:r>
    </w:p>
    <w:p>
      <w:pPr>
        <w:pStyle w:val="ListParagraph"/>
        <w:numPr>
          <w:ilvl w:val="0"/>
          <w:numId w:val="2"/>
        </w:numPr>
        <w:spacing w:after="70" w:line="264"/>
        <w:jc w:val="both"/>
      </w:pPr>
      <w:r>
        <w:rPr>
          <w:rFonts w:ascii="Calibri" w:cs="Calibri" w:eastAsia="Calibri" w:hAnsi="Calibri"/>
          <w:b/>
          <w:bCs/>
          <w:color w:val="1A1A1A"/>
          <w:sz w:val="20"/>
          <w:szCs w:val="20"/>
        </w:rPr>
        <w:t xml:space="preserve">Missions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71-1 al. 1er C.</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Le Défenseur des droits veille au respect des droits et libertés par les administrations de l’État, les collectivités territoriales, les établissements publics, ainsi que par tout organisme investi d’une mission de service public, ou à l’égard duquel la loi organique lui attribue des compétences.</w:t>
      </w:r>
      <w:r>
        <w:rPr>
          <w:rFonts w:ascii="Calibri" w:cs="Calibri" w:eastAsia="Calibri" w:hAnsi="Calibri"/>
          <w:color w:val="1A1A1A"/>
          <w:sz w:val="20"/>
          <w:szCs w:val="20"/>
        </w:rPr>
        <w:t xml:space="preserve"> » Pas de compétence </w:t>
      </w:r>
      <w:r>
        <w:rPr>
          <w:rFonts w:ascii="Calibri" w:cs="Calibri" w:eastAsia="Calibri" w:hAnsi="Calibri"/>
          <w:b/>
          <w:bCs/>
          <w:color w:val="1A1A1A"/>
          <w:sz w:val="20"/>
          <w:szCs w:val="20"/>
        </w:rPr>
        <w:t xml:space="preserve">générale</w:t>
      </w:r>
      <w:r>
        <w:rPr>
          <w:rFonts w:ascii="Calibri" w:cs="Calibri" w:eastAsia="Calibri" w:hAnsi="Calibri"/>
          <w:color w:val="1A1A1A"/>
          <w:sz w:val="20"/>
          <w:szCs w:val="20"/>
        </w:rPr>
        <w:t xml:space="preserve">, mais des compétences larges : relations administrés-administration impliquant l’exercice de libertés, lutte contre les discriminations, protection des droits de l’enfant, déontologie de la sécurité.</w:t>
      </w:r>
    </w:p>
    <w:p>
      <w:pPr>
        <w:pStyle w:val="ListParagraph"/>
        <w:numPr>
          <w:ilvl w:val="0"/>
          <w:numId w:val="2"/>
        </w:numPr>
        <w:spacing w:after="70" w:line="264"/>
        <w:jc w:val="both"/>
      </w:pPr>
      <w:r>
        <w:rPr>
          <w:rFonts w:ascii="Calibri" w:cs="Calibri" w:eastAsia="Calibri" w:hAnsi="Calibri"/>
          <w:b/>
          <w:bCs/>
          <w:color w:val="1A1A1A"/>
          <w:sz w:val="20"/>
          <w:szCs w:val="20"/>
        </w:rPr>
        <w:t xml:space="preserve">Pouvoirs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pas de pouvoir de sanction</w:t>
      </w:r>
      <w:r>
        <w:rPr>
          <w:rFonts w:ascii="Calibri" w:cs="Calibri" w:eastAsia="Calibri" w:hAnsi="Calibri"/>
          <w:color w:val="1A1A1A"/>
          <w:sz w:val="20"/>
          <w:szCs w:val="20"/>
        </w:rPr>
        <w:t xml:space="preserve"> ; recommandations à l’égard de l’autorité concernée, médiation, transaction. </w:t>
      </w:r>
      <w:r>
        <w:rPr>
          <w:rFonts w:ascii="Calibri" w:cs="Calibri" w:eastAsia="Calibri" w:hAnsi="Calibri"/>
          <w:b/>
          <w:bCs/>
          <w:color w:val="1A1A1A"/>
          <w:sz w:val="20"/>
          <w:szCs w:val="20"/>
        </w:rPr>
        <w:t xml:space="preserve">Saisine</w:t>
      </w:r>
      <w:r>
        <w:rPr>
          <w:rFonts w:ascii="Calibri" w:cs="Calibri" w:eastAsia="Calibri" w:hAnsi="Calibri"/>
          <w:color w:val="1A1A1A"/>
          <w:sz w:val="20"/>
          <w:szCs w:val="20"/>
        </w:rPr>
        <w:t xml:space="preserve"> très ouverte : personnes privées, personnes morales, associations ; toute personne dont les droits ou libertés sont en cause ainsi que ses ayants droit ; pour le droit des enfants, les membres de la famille et les services médico-sociaux. Saisine </w:t>
      </w:r>
      <w:r>
        <w:rPr>
          <w:rFonts w:ascii="Calibri" w:cs="Calibri" w:eastAsia="Calibri" w:hAnsi="Calibri"/>
          <w:b/>
          <w:bCs/>
          <w:color w:val="1A1A1A"/>
          <w:sz w:val="20"/>
          <w:szCs w:val="20"/>
        </w:rPr>
        <w:t xml:space="preserve">gratuite</w:t>
      </w:r>
      <w:r>
        <w:rPr>
          <w:rFonts w:ascii="Calibri" w:cs="Calibri" w:eastAsia="Calibri" w:hAnsi="Calibri"/>
          <w:color w:val="1A1A1A"/>
          <w:sz w:val="20"/>
          <w:szCs w:val="20"/>
        </w:rPr>
        <w:t xml:space="preserve">, qui n’interrompt ni ne suspend les délais de prescription pénale, civile ou administrative. Les suites données à une réclamation sont </w:t>
      </w:r>
      <w:r>
        <w:rPr>
          <w:rFonts w:ascii="Calibri" w:cs="Calibri" w:eastAsia="Calibri" w:hAnsi="Calibri"/>
          <w:b/>
          <w:bCs/>
          <w:color w:val="1A1A1A"/>
          <w:sz w:val="20"/>
          <w:szCs w:val="20"/>
        </w:rPr>
        <w:t xml:space="preserve">insusceptibles de recours</w:t>
      </w:r>
      <w:r>
        <w:rPr>
          <w:rFonts w:ascii="Calibri" w:cs="Calibri" w:eastAsia="Calibri" w:hAnsi="Calibri"/>
          <w:color w:val="1A1A1A"/>
          <w:sz w:val="20"/>
          <w:szCs w:val="20"/>
        </w:rPr>
        <w:t xml:space="preserve"> — ★ </w:t>
      </w:r>
      <w:r>
        <w:rPr>
          <w:rFonts w:ascii="Calibri" w:cs="Calibri" w:eastAsia="Calibri" w:hAnsi="Calibri"/>
          <w:color w:val="E91E63"/>
          <w:sz w:val="20"/>
          <w:szCs w:val="20"/>
        </w:rPr>
        <w:t xml:space="preserve">CE, 22 mai 2019, n° 414410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 — le Défenseur des droits, acteur du contentieux des discriminations</w:t>
      </w:r>
      <w:r>
        <w:rPr>
          <w:rFonts w:ascii="Calibri" w:cs="Calibri" w:eastAsia="Calibri" w:hAnsi="Calibri"/>
          <w:color w:val="1A1A1A"/>
          <w:sz w:val="20"/>
          <w:szCs w:val="20"/>
        </w:rPr>
        <w:t xml:space="preserve"> : son action ne se limite pas au traitement extrajuridictionnel des réclamations ; il peut présenter des </w:t>
      </w:r>
      <w:r>
        <w:rPr>
          <w:rFonts w:ascii="Calibri" w:cs="Calibri" w:eastAsia="Calibri" w:hAnsi="Calibri"/>
          <w:b/>
          <w:bCs/>
          <w:color w:val="1A1A1A"/>
          <w:sz w:val="20"/>
          <w:szCs w:val="20"/>
        </w:rPr>
        <w:t xml:space="preserve">observations devant les juridictions</w:t>
      </w:r>
      <w:r>
        <w:rPr>
          <w:rFonts w:ascii="Calibri" w:cs="Calibri" w:eastAsia="Calibri" w:hAnsi="Calibri"/>
          <w:color w:val="1A1A1A"/>
          <w:sz w:val="20"/>
          <w:szCs w:val="20"/>
        </w:rPr>
        <w:t xml:space="preserve"> afin d’éclairer le juge. Illustration : l’affaire </w:t>
      </w:r>
      <w:r>
        <w:rPr>
          <w:rFonts w:ascii="Calibri" w:cs="Calibri" w:eastAsia="Calibri" w:hAnsi="Calibri"/>
          <w:color w:val="E91E63"/>
          <w:sz w:val="20"/>
          <w:szCs w:val="20"/>
        </w:rPr>
        <w:t xml:space="preserve">Seydi et autres c. France</w:t>
      </w:r>
      <w:r>
        <w:rPr>
          <w:rFonts w:ascii="Calibri" w:cs="Calibri" w:eastAsia="Calibri" w:hAnsi="Calibri"/>
          <w:color w:val="1A1A1A"/>
          <w:sz w:val="20"/>
          <w:szCs w:val="20"/>
        </w:rPr>
        <w:t xml:space="preserve"> — saisi de contrôles d’identité dénoncés comme discriminatoires, le Défenseur a présenté des observations devant la cour d’appel de Paris, puis devant la Cour de cassation, et enfin devant la Cour européenne des droits de l’homme. </w:t>
      </w:r>
      <w:r>
        <w:rPr>
          <w:rFonts w:ascii="Calibri" w:cs="Calibri" w:eastAsia="Calibri" w:hAnsi="Calibri"/>
          <w:color w:val="E91E63"/>
          <w:sz w:val="20"/>
          <w:szCs w:val="20"/>
        </w:rPr>
        <w:t xml:space="preserve">CEDH, 26 juin 2025, Seydi et autres c. France, n° 35844/17</w:t>
      </w:r>
      <w:r>
        <w:rPr>
          <w:rFonts w:ascii="Calibri" w:cs="Calibri" w:eastAsia="Calibri" w:hAnsi="Calibri"/>
          <w:color w:val="1A1A1A"/>
          <w:sz w:val="20"/>
          <w:szCs w:val="20"/>
        </w:rPr>
        <w:t xml:space="preserve"> : l’un des six requérants a subi un contrôle d’identité </w:t>
      </w:r>
      <w:r>
        <w:rPr>
          <w:rFonts w:ascii="Calibri" w:cs="Calibri" w:eastAsia="Calibri" w:hAnsi="Calibri"/>
          <w:b/>
          <w:bCs/>
          <w:color w:val="1A1A1A"/>
          <w:sz w:val="20"/>
          <w:szCs w:val="20"/>
        </w:rPr>
        <w:t xml:space="preserve">discriminatoire</w:t>
      </w:r>
      <w:r>
        <w:rPr>
          <w:rFonts w:ascii="Calibri" w:cs="Calibri" w:eastAsia="Calibri" w:hAnsi="Calibri"/>
          <w:color w:val="1A1A1A"/>
          <w:sz w:val="20"/>
          <w:szCs w:val="20"/>
        </w:rPr>
        <w:t xml:space="preserve"> en raison de son origine, en violation de l’</w:t>
      </w:r>
      <w:r>
        <w:rPr>
          <w:rFonts w:ascii="Calibri" w:cs="Calibri" w:eastAsia="Calibri" w:hAnsi="Calibri"/>
          <w:color w:val="1E88E5"/>
          <w:sz w:val="20"/>
          <w:szCs w:val="20"/>
        </w:rPr>
        <w:t xml:space="preserve">art. 14 combiné avec l’art. 8 de la Convention</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sans se substituer au juge, le Défenseur peut contribuer à l’établissement et à la qualification d’une atteinte aux droits fondamentaux par ses enquêtes, ses décisions et ses observations devant les juridictions nationales ou européennes.</w:t>
      </w:r>
    </w:p>
    <w:p>
      <w:pPr>
        <w:pStyle w:val="Heading3"/>
        <w:spacing w:after="90" w:before="200"/>
      </w:pPr>
      <w:r>
        <w:rPr>
          <w:rFonts w:ascii="Calibri" w:cs="Calibri" w:eastAsia="Calibri" w:hAnsi="Calibri"/>
          <w:b/>
          <w:bCs/>
          <w:i/>
          <w:iCs/>
          <w:color w:val="5A5A5A"/>
          <w:sz w:val="21"/>
          <w:szCs w:val="21"/>
        </w:rPr>
        <w:t xml:space="preserve">4.3. Les autorités sectorielles</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Contrôleur général des lieux de privation de libertés</w:t>
      </w:r>
      <w:r>
        <w:rPr>
          <w:rFonts w:ascii="Calibri" w:cs="Calibri" w:eastAsia="Calibri" w:hAnsi="Calibri"/>
          <w:color w:val="1A1A1A"/>
          <w:sz w:val="20"/>
          <w:szCs w:val="20"/>
        </w:rPr>
        <w:t xml:space="preserve"> : AAI instituée par la </w:t>
      </w:r>
      <w:r>
        <w:rPr>
          <w:rFonts w:ascii="Calibri" w:cs="Calibri" w:eastAsia="Calibri" w:hAnsi="Calibri"/>
          <w:color w:val="1E88E5"/>
          <w:sz w:val="20"/>
          <w:szCs w:val="20"/>
        </w:rPr>
        <w:t xml:space="preserve">loi du 30 octobre 2007</w:t>
      </w:r>
      <w:r>
        <w:rPr>
          <w:rFonts w:ascii="Calibri" w:cs="Calibri" w:eastAsia="Calibri" w:hAnsi="Calibri"/>
          <w:color w:val="1A1A1A"/>
          <w:sz w:val="20"/>
          <w:szCs w:val="20"/>
        </w:rPr>
        <w:t xml:space="preserve"> pour assurer la mise en œuvre du </w:t>
      </w:r>
      <w:r>
        <w:rPr>
          <w:rFonts w:ascii="Calibri" w:cs="Calibri" w:eastAsia="Calibri" w:hAnsi="Calibri"/>
          <w:color w:val="1E88E5"/>
          <w:sz w:val="20"/>
          <w:szCs w:val="20"/>
        </w:rPr>
        <w:t xml:space="preserve">protocole additionnel à la Convention contre la torture et autres peines ou traitements cruels, inhumains ou dégradants</w:t>
      </w:r>
      <w:r>
        <w:rPr>
          <w:rFonts w:ascii="Calibri" w:cs="Calibri" w:eastAsia="Calibri" w:hAnsi="Calibri"/>
          <w:color w:val="1A1A1A"/>
          <w:sz w:val="20"/>
          <w:szCs w:val="20"/>
        </w:rPr>
        <w:t xml:space="preserve">, en vertu duquel les États doivent prévoir un mécanisme indépendant chargé d’examiner régulièrement la situation des personnes privées de liberté. Mission : contrôler les conditions de prise en charge et de transfèrement. Champ : établissements pénitentiaires, locaux de garde à vue, centres éducatifs fermés, établissements de santé. Il dispose d’un droit de visite, peut se faire transmettre toute pièce utile, et établit un rapport avec observations au terme de chaque visite.</w:t>
      </w:r>
    </w:p>
    <w:p>
      <w:pPr>
        <w:pStyle w:val="ListParagraph"/>
        <w:numPr>
          <w:ilvl w:val="0"/>
          <w:numId w:val="2"/>
        </w:numPr>
        <w:spacing w:after="70" w:line="264"/>
        <w:jc w:val="both"/>
      </w:pPr>
      <w:r>
        <w:rPr>
          <w:rFonts w:ascii="Calibri" w:cs="Calibri" w:eastAsia="Calibri" w:hAnsi="Calibri"/>
          <w:b/>
          <w:bCs/>
          <w:color w:val="1A1A1A"/>
          <w:sz w:val="20"/>
          <w:szCs w:val="20"/>
        </w:rPr>
        <w:t xml:space="preserve">La Commission nationale de l’informatique et des libertés</w:t>
      </w:r>
      <w:r>
        <w:rPr>
          <w:rFonts w:ascii="Calibri" w:cs="Calibri" w:eastAsia="Calibri" w:hAnsi="Calibri"/>
          <w:color w:val="1A1A1A"/>
          <w:sz w:val="20"/>
          <w:szCs w:val="20"/>
        </w:rPr>
        <w:t xml:space="preserve"> : créée par la </w:t>
      </w:r>
      <w:r>
        <w:rPr>
          <w:rFonts w:ascii="Calibri" w:cs="Calibri" w:eastAsia="Calibri" w:hAnsi="Calibri"/>
          <w:color w:val="1E88E5"/>
          <w:sz w:val="20"/>
          <w:szCs w:val="20"/>
        </w:rPr>
        <w:t xml:space="preserve">loi du 6 janvier 1978</w:t>
      </w:r>
      <w:r>
        <w:rPr>
          <w:rFonts w:ascii="Calibri" w:cs="Calibri" w:eastAsia="Calibri" w:hAnsi="Calibri"/>
          <w:color w:val="1A1A1A"/>
          <w:sz w:val="20"/>
          <w:szCs w:val="20"/>
        </w:rPr>
        <w:t xml:space="preserve">, elle joue un rôle central dans la protection de la vie privée face aux traitements informatisés de données. Institution </w:t>
      </w:r>
      <w:r>
        <w:rPr>
          <w:rFonts w:ascii="Calibri" w:cs="Calibri" w:eastAsia="Calibri" w:hAnsi="Calibri"/>
          <w:b/>
          <w:bCs/>
          <w:color w:val="1A1A1A"/>
          <w:sz w:val="20"/>
          <w:szCs w:val="20"/>
        </w:rPr>
        <w:t xml:space="preserve">collégiale</w:t>
      </w:r>
      <w:r>
        <w:rPr>
          <w:rFonts w:ascii="Calibri" w:cs="Calibri" w:eastAsia="Calibri" w:hAnsi="Calibri"/>
          <w:color w:val="1A1A1A"/>
          <w:sz w:val="20"/>
          <w:szCs w:val="20"/>
        </w:rPr>
        <w:t xml:space="preserve"> de </w:t>
      </w:r>
      <w:r>
        <w:rPr>
          <w:rFonts w:ascii="Calibri" w:cs="Calibri" w:eastAsia="Calibri" w:hAnsi="Calibri"/>
          <w:b/>
          <w:bCs/>
          <w:color w:val="1A1A1A"/>
          <w:sz w:val="20"/>
          <w:szCs w:val="20"/>
        </w:rPr>
        <w:t xml:space="preserve">18 membres</w:t>
      </w:r>
      <w:r>
        <w:rPr>
          <w:rFonts w:ascii="Calibri" w:cs="Calibri" w:eastAsia="Calibri" w:hAnsi="Calibri"/>
          <w:color w:val="1A1A1A"/>
          <w:sz w:val="20"/>
          <w:szCs w:val="20"/>
        </w:rPr>
        <w:t xml:space="preserve"> désignés pour cinq ans parmi des magistrats, des parlementaires et des personnes qualifiées. Missions diversifiées : information, sensibilisation, certification, avis, réglementation et sanction. Mission principale : veiller à ce que les traitements de données personnelles soient opérés conformément au </w:t>
      </w:r>
      <w:r>
        <w:rPr>
          <w:rFonts w:ascii="Calibri" w:cs="Calibri" w:eastAsia="Calibri" w:hAnsi="Calibri"/>
          <w:color w:val="1E88E5"/>
          <w:sz w:val="20"/>
          <w:szCs w:val="20"/>
        </w:rPr>
        <w:t xml:space="preserve">RGPD</w:t>
      </w:r>
      <w:r>
        <w:rPr>
          <w:rFonts w:ascii="Calibri" w:cs="Calibri" w:eastAsia="Calibri" w:hAnsi="Calibri"/>
          <w:color w:val="1A1A1A"/>
          <w:sz w:val="20"/>
          <w:szCs w:val="20"/>
        </w:rPr>
        <w:t xml:space="preserve">, dont l’</w:t>
      </w:r>
      <w:r>
        <w:rPr>
          <w:rFonts w:ascii="Calibri" w:cs="Calibri" w:eastAsia="Calibri" w:hAnsi="Calibri"/>
          <w:color w:val="1E88E5"/>
          <w:sz w:val="20"/>
          <w:szCs w:val="20"/>
        </w:rPr>
        <w:t xml:space="preserve">art. 4 § 2</w:t>
      </w:r>
      <w:r>
        <w:rPr>
          <w:rFonts w:ascii="Calibri" w:cs="Calibri" w:eastAsia="Calibri" w:hAnsi="Calibri"/>
          <w:color w:val="1A1A1A"/>
          <w:sz w:val="20"/>
          <w:szCs w:val="20"/>
        </w:rPr>
        <w:t xml:space="preserve"> définit le traitement comme « </w:t>
      </w:r>
      <w:r>
        <w:rPr>
          <w:rFonts w:ascii="Calibri" w:cs="Calibri" w:eastAsia="Calibri" w:hAnsi="Calibri"/>
          <w:i/>
          <w:iCs/>
          <w:color w:val="1A1A1A"/>
          <w:sz w:val="20"/>
          <w:szCs w:val="20"/>
        </w:rPr>
        <w:t xml:space="preserve">toute opération ou tout ensemble d’opérations effectuées ou non à l’aide de procédés automatisés et appliquées à des données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r>
        <w:rPr>
          <w:rFonts w:ascii="Calibri" w:cs="Calibri" w:eastAsia="Calibri" w:hAnsi="Calibri"/>
          <w:color w:val="1A1A1A"/>
          <w:sz w:val="20"/>
          <w:szCs w:val="20"/>
        </w:rPr>
        <w:t xml:space="preserve"> ». Domaines sensibles : fichiers relatifs aux mineurs, données biométriques, génétiques, de santé.</w:t>
      </w:r>
    </w:p>
    <w:p>
      <w:pPr>
        <w:pStyle w:val="ListParagraph"/>
        <w:numPr>
          <w:ilvl w:val="0"/>
          <w:numId w:val="2"/>
        </w:numPr>
        <w:spacing w:after="70" w:line="264"/>
        <w:jc w:val="both"/>
      </w:pPr>
      <w:r>
        <w:rPr>
          <w:rFonts w:ascii="Calibri" w:cs="Calibri" w:eastAsia="Calibri" w:hAnsi="Calibri"/>
          <w:b/>
          <w:bCs/>
          <w:color w:val="1A1A1A"/>
          <w:sz w:val="20"/>
          <w:szCs w:val="20"/>
        </w:rPr>
        <w:t xml:space="preserve">L’Autorité de régulation de la communication audiovisuelle et numérique (ARCOM)</w:t>
      </w:r>
      <w:r>
        <w:rPr>
          <w:rFonts w:ascii="Calibri" w:cs="Calibri" w:eastAsia="Calibri" w:hAnsi="Calibri"/>
          <w:color w:val="1A1A1A"/>
          <w:sz w:val="20"/>
          <w:szCs w:val="20"/>
        </w:rPr>
        <w:t xml:space="preserve"> : née de la fusion du Conseil supérieur de l’audiovisuel et de l’HADOPI le </w:t>
      </w:r>
      <w:r>
        <w:rPr>
          <w:rFonts w:ascii="Calibri" w:cs="Calibri" w:eastAsia="Calibri" w:hAnsi="Calibri"/>
          <w:b/>
          <w:bCs/>
          <w:color w:val="1A1A1A"/>
          <w:sz w:val="20"/>
          <w:szCs w:val="20"/>
        </w:rPr>
        <w:t xml:space="preserve">1er janvier 2022</w:t>
      </w:r>
      <w:r>
        <w:rPr>
          <w:rFonts w:ascii="Calibri" w:cs="Calibri" w:eastAsia="Calibri" w:hAnsi="Calibri"/>
          <w:color w:val="1A1A1A"/>
          <w:sz w:val="20"/>
          <w:szCs w:val="20"/>
        </w:rPr>
        <w:t xml:space="preserve">. Neuf membres : le président nommé par le président de la République, trois membres par le président du Sénat, trois par le président de l’Assemblée nationale, un par le vice-président du Conseil d’État, un par le premier président de la Cour de cassation. Missions : garantir l’exercice de la liberté de communication audiovisuelle, contribuer à la lutte contre les discriminations, assurer le respect des droits des femmes, veiller à l’expression pluraliste des courants de pensée et d’opinion. Pouvoirs plus étendus que ceux de l’ancien CSA : conciliation, enquête, sanctions financières, suspension de la diffusion d’une catégorie de programme ou de séquences publicitaires pour un mois au plus, retrait de l’autorisation d’émettre.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 ARCOM</w:t>
      </w:r>
      <w:r>
        <w:rPr>
          <w:rFonts w:ascii="Calibri" w:cs="Calibri" w:eastAsia="Calibri" w:hAnsi="Calibri"/>
          <w:color w:val="1A1A1A"/>
          <w:sz w:val="20"/>
          <w:szCs w:val="20"/>
        </w:rPr>
        <w:t xml:space="preserve"> : sanction de 200 000 euros infligée à CNews à raison des propos tenus par Éric Zemmour au sujet des mineurs étrangers isolés (</w:t>
      </w:r>
      <w:r>
        <w:rPr>
          <w:rFonts w:ascii="Calibri" w:cs="Calibri" w:eastAsia="Calibri" w:hAnsi="Calibri"/>
          <w:color w:val="E91E63"/>
          <w:sz w:val="20"/>
          <w:szCs w:val="20"/>
        </w:rPr>
        <w:t xml:space="preserve">CSA, décision n° 2021-218 du 17 mars 2021</w:t>
      </w:r>
      <w:r>
        <w:rPr>
          <w:rFonts w:ascii="Calibri" w:cs="Calibri" w:eastAsia="Calibri" w:hAnsi="Calibri"/>
          <w:color w:val="1A1A1A"/>
          <w:sz w:val="20"/>
          <w:szCs w:val="20"/>
        </w:rPr>
        <w:t xml:space="preserve">) ; sanction pécuniaire de 50 000 euros à l’encontre de C8 pour atteinte à la vie privée (</w:t>
      </w:r>
      <w:r>
        <w:rPr>
          <w:rFonts w:ascii="Calibri" w:cs="Calibri" w:eastAsia="Calibri" w:hAnsi="Calibri"/>
          <w:color w:val="E91E63"/>
          <w:sz w:val="20"/>
          <w:szCs w:val="20"/>
        </w:rPr>
        <w:t xml:space="preserve">décision du 29 mai 2024</w:t>
      </w:r>
      <w:r>
        <w:rPr>
          <w:rFonts w:ascii="Calibri" w:cs="Calibri" w:eastAsia="Calibri" w:hAnsi="Calibri"/>
          <w:color w:val="1A1A1A"/>
          <w:sz w:val="20"/>
          <w:szCs w:val="20"/>
        </w:rPr>
        <w:t xml:space="preserve">) ; surtout, non-renouvellement des fréquences attribuées à C8 et NRJ12, ayant entraîné leur fermeture en 2025 — validé par ★ </w:t>
      </w:r>
      <w:r>
        <w:rPr>
          <w:rFonts w:ascii="Calibri" w:cs="Calibri" w:eastAsia="Calibri" w:hAnsi="Calibri"/>
          <w:color w:val="E91E63"/>
          <w:sz w:val="20"/>
          <w:szCs w:val="20"/>
        </w:rPr>
        <w:t xml:space="preserve">CE, 19 février 2025, NRJ12 et C8, n° 499823</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Débats doctrinaux &amp;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Thèse I — des instruments de protection</w:t>
      </w:r>
      <w:r>
        <w:rPr>
          <w:rFonts w:ascii="Calibri" w:cs="Calibri" w:eastAsia="Calibri" w:hAnsi="Calibri"/>
          <w:color w:val="1A1A1A"/>
          <w:sz w:val="20"/>
          <w:szCs w:val="20"/>
        </w:rPr>
        <w:t xml:space="preserve"> : les AAI ont souvent pour mission, plus ou moins explicite, la protection des libertés fondamentales, malgré leur hétérogénéité ; leur </w:t>
      </w:r>
      <w:r>
        <w:rPr>
          <w:rFonts w:ascii="Calibri" w:cs="Calibri" w:eastAsia="Calibri" w:hAnsi="Calibri"/>
          <w:b/>
          <w:bCs/>
          <w:color w:val="1A1A1A"/>
          <w:sz w:val="20"/>
          <w:szCs w:val="20"/>
        </w:rPr>
        <w:t xml:space="preserve">indépendance organique</w:t>
      </w:r>
      <w:r>
        <w:rPr>
          <w:rFonts w:ascii="Calibri" w:cs="Calibri" w:eastAsia="Calibri" w:hAnsi="Calibri"/>
          <w:color w:val="1A1A1A"/>
          <w:sz w:val="20"/>
          <w:szCs w:val="20"/>
        </w:rPr>
        <w:t xml:space="preserve"> vis-à-vis du pouvoir exécutif, garantie par des règles de nomination spécifiques et des conditions de révocation strictes, renforce leur crédibilité. Cette distance critique à l’égard des intérêts politiques ou économiques renforce la confiance des citoyens ; les décisions de la CNIL, même non juridictionnelles, peuvent avoir des effets comparables à ceux d’une sanction judiciaire. Elles s’inscrivent dans une logique de </w:t>
      </w:r>
      <w:r>
        <w:rPr>
          <w:rFonts w:ascii="Calibri" w:cs="Calibri" w:eastAsia="Calibri" w:hAnsi="Calibri"/>
          <w:b/>
          <w:bCs/>
          <w:color w:val="1A1A1A"/>
          <w:sz w:val="20"/>
          <w:szCs w:val="20"/>
        </w:rPr>
        <w:t xml:space="preserve">contre-pouvoir administratif</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Thèse II — une protection ambiguë</w:t>
      </w:r>
      <w:r>
        <w:rPr>
          <w:rFonts w:ascii="Calibri" w:cs="Calibri" w:eastAsia="Calibri" w:hAnsi="Calibri"/>
          <w:color w:val="1A1A1A"/>
          <w:sz w:val="20"/>
          <w:szCs w:val="20"/>
        </w:rPr>
        <w:t xml:space="preserve"> : les AAI disposent de pouvoirs normatifs, de contrôle et de sanction significatifs, susceptibles de conduire à des atteintes aux libertés fondamentales s’ils ne sont pas encadrés. L’ARCOM peut ordonner le blocage de sites internet, avec des conséquences importantes sur la liberté d’expression ; l’Autorité de la concurrence peut infliger des amendes très lourdes, ce qui interroge la régularité de ces sanctions au regard des droits de la défense. Ces autorités exercent des prérogatives de puissance publique, y compris répressives, </w:t>
      </w:r>
      <w:r>
        <w:rPr>
          <w:rFonts w:ascii="Calibri" w:cs="Calibri" w:eastAsia="Calibri" w:hAnsi="Calibri"/>
          <w:b/>
          <w:bCs/>
          <w:color w:val="1A1A1A"/>
          <w:sz w:val="20"/>
          <w:szCs w:val="20"/>
        </w:rPr>
        <w:t xml:space="preserve">sans disposer de toutes les garanties associées à une juridiction</w:t>
      </w:r>
      <w:r>
        <w:rPr>
          <w:rFonts w:ascii="Calibri" w:cs="Calibri" w:eastAsia="Calibri" w:hAnsi="Calibri"/>
          <w:color w:val="1A1A1A"/>
          <w:sz w:val="20"/>
          <w:szCs w:val="20"/>
        </w:rPr>
        <w:t xml:space="preserve"> (contradictoire, impartialité).</w:t>
      </w:r>
    </w:p>
    <w:p>
      <w:pPr>
        <w:pStyle w:val="ListParagraph"/>
        <w:numPr>
          <w:ilvl w:val="0"/>
          <w:numId w:val="2"/>
        </w:numPr>
        <w:spacing w:after="70" w:line="264"/>
        <w:jc w:val="both"/>
      </w:pPr>
      <w:r>
        <w:rPr>
          <w:rFonts w:ascii="Calibri" w:cs="Calibri" w:eastAsia="Calibri" w:hAnsi="Calibri"/>
          <w:b/>
          <w:bCs/>
          <w:color w:val="1A1A1A"/>
          <w:sz w:val="20"/>
          <w:szCs w:val="20"/>
        </w:rPr>
        <w:t xml:space="preserve">Le déficit démocratique</w:t>
      </w:r>
      <w:r>
        <w:rPr>
          <w:rFonts w:ascii="Calibri" w:cs="Calibri" w:eastAsia="Calibri" w:hAnsi="Calibri"/>
          <w:color w:val="1A1A1A"/>
          <w:sz w:val="20"/>
          <w:szCs w:val="20"/>
        </w:rPr>
        <w:t xml:space="preserve"> : leurs membres ne sont pas élus et leur légitimité repose principalement sur l’</w:t>
      </w:r>
      <w:r>
        <w:rPr>
          <w:rFonts w:ascii="Calibri" w:cs="Calibri" w:eastAsia="Calibri" w:hAnsi="Calibri"/>
          <w:b/>
          <w:bCs/>
          <w:color w:val="1A1A1A"/>
          <w:sz w:val="20"/>
          <w:szCs w:val="20"/>
        </w:rPr>
        <w:t xml:space="preserve">expertise</w:t>
      </w:r>
      <w:r>
        <w:rPr>
          <w:rFonts w:ascii="Calibri" w:cs="Calibri" w:eastAsia="Calibri" w:hAnsi="Calibri"/>
          <w:color w:val="1A1A1A"/>
          <w:sz w:val="20"/>
          <w:szCs w:val="20"/>
        </w:rPr>
        <w:t xml:space="preserve">, ce qui peut susciter des tensions dans un régime fondé sur la souveraineté populaire. Le Conseil constitutionnel a encadré leurs pouvoirs, notamment par ★ </w:t>
      </w:r>
      <w:r>
        <w:rPr>
          <w:rFonts w:ascii="Calibri" w:cs="Calibri" w:eastAsia="Calibri" w:hAnsi="Calibri"/>
          <w:color w:val="E91E63"/>
          <w:sz w:val="20"/>
          <w:szCs w:val="20"/>
        </w:rPr>
        <w:t xml:space="preserve">Cons. const., déc. n° 89-260 DC, 28 juillet 1989</w:t>
      </w:r>
      <w:r>
        <w:rPr>
          <w:rFonts w:ascii="Calibri" w:cs="Calibri" w:eastAsia="Calibri" w:hAnsi="Calibri"/>
          <w:color w:val="1A1A1A"/>
          <w:sz w:val="20"/>
          <w:szCs w:val="20"/>
        </w:rPr>
        <w:t xml:space="preserve">, posant des exigences sur la séparation des fonctions et le respect des principes constitutionnels (droit à un recours juridictionnel effectif, droits de la défense), et jugeant que l’exercice du pouvoir de sanction doit être encadré et qu’il revient à la loi d’en déterminer les modalités.</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contrôle juridictionnel</w:t>
      </w:r>
      <w:r>
        <w:rPr>
          <w:rFonts w:ascii="Calibri" w:cs="Calibri" w:eastAsia="Calibri" w:hAnsi="Calibri"/>
          <w:color w:val="1A1A1A"/>
          <w:sz w:val="20"/>
          <w:szCs w:val="20"/>
        </w:rPr>
        <w:t xml:space="preserve"> : essentiel mais parfois complexe, les AAI échappant à la classification traditionnelle des autorités publiques. Le Conseil d’État a dû adapter sa jurisprudence à cette forme particulière d’administration — c’est notamment pour cela qu’il a accepté de contrôler leurs actes de </w:t>
      </w:r>
      <w:r>
        <w:rPr>
          <w:rFonts w:ascii="Calibri" w:cs="Calibri" w:eastAsia="Calibri" w:hAnsi="Calibri"/>
          <w:b/>
          <w:bCs/>
          <w:color w:val="1A1A1A"/>
          <w:sz w:val="20"/>
          <w:szCs w:val="20"/>
        </w:rPr>
        <w:t xml:space="preserve">droit souple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21 mars 2016, Fairvesta</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NC Numericable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Formule de conclusion</w:t>
      </w:r>
      <w:r>
        <w:rPr>
          <w:rFonts w:ascii="Calibri" w:cs="Calibri" w:eastAsia="Calibri" w:hAnsi="Calibri"/>
          <w:color w:val="1A1A1A"/>
          <w:sz w:val="20"/>
          <w:szCs w:val="20"/>
        </w:rPr>
        <w:t xml:space="preserve"> : les AAI se sont affirmées comme des institutions fondamentales de la protection des droits en raison du développement de leurs missions ; des </w:t>
      </w:r>
      <w:r>
        <w:rPr>
          <w:rFonts w:ascii="Calibri" w:cs="Calibri" w:eastAsia="Calibri" w:hAnsi="Calibri"/>
          <w:b/>
          <w:bCs/>
          <w:color w:val="1A1A1A"/>
          <w:sz w:val="20"/>
          <w:szCs w:val="20"/>
        </w:rPr>
        <w:t xml:space="preserve">clarifications sur leur rôle vis-à-vis du pouvoir exécutif et du juge</w:t>
      </w:r>
      <w:r>
        <w:rPr>
          <w:rFonts w:ascii="Calibri" w:cs="Calibri" w:eastAsia="Calibri" w:hAnsi="Calibri"/>
          <w:color w:val="1A1A1A"/>
          <w:sz w:val="20"/>
          <w:szCs w:val="20"/>
        </w:rPr>
        <w:t xml:space="preserve"> méritent néanmoins d’être réalisées.</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Qu’est-ce qui distingue une AAI d’une administration ordinaire ? »</w:t>
      </w:r>
      <w:r>
        <w:rPr>
          <w:rFonts w:ascii="Calibri" w:cs="Calibri" w:eastAsia="Calibri" w:hAnsi="Calibri"/>
          <w:color w:val="1A1A1A"/>
          <w:sz w:val="20"/>
          <w:szCs w:val="20"/>
        </w:rPr>
        <w:t xml:space="preserve"> — Les trois conditions cumulatives : autorité, administrative, indépendante. Insister sur la troisième : soustraction à l’autorité hiérarchique. Ajouter que seul le </w:t>
      </w:r>
      <w:r>
        <w:rPr>
          <w:rFonts w:ascii="Calibri" w:cs="Calibri" w:eastAsia="Calibri" w:hAnsi="Calibri"/>
          <w:b/>
          <w:bCs/>
          <w:color w:val="1A1A1A"/>
          <w:sz w:val="20"/>
          <w:szCs w:val="20"/>
        </w:rPr>
        <w:t xml:space="preserve">législateur</w:t>
      </w:r>
      <w:r>
        <w:rPr>
          <w:rFonts w:ascii="Calibri" w:cs="Calibri" w:eastAsia="Calibri" w:hAnsi="Calibri"/>
          <w:color w:val="1A1A1A"/>
          <w:sz w:val="20"/>
          <w:szCs w:val="20"/>
        </w:rPr>
        <w:t xml:space="preserve"> peut les créer lorsqu’elles exercent une attribution constituant une garantie fondamentale pour l’exercice d’une liberté publique (</w:t>
      </w:r>
      <w:r>
        <w:rPr>
          <w:rFonts w:ascii="Calibri" w:cs="Calibri" w:eastAsia="Calibri" w:hAnsi="Calibri"/>
          <w:color w:val="E91E63"/>
          <w:sz w:val="20"/>
          <w:szCs w:val="20"/>
        </w:rPr>
        <w:t xml:space="preserve">84-173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Les décisions du Défenseur des droits sont-elles contestables ? »</w:t>
      </w:r>
      <w:r>
        <w:rPr>
          <w:rFonts w:ascii="Calibri" w:cs="Calibri" w:eastAsia="Calibri" w:hAnsi="Calibri"/>
          <w:color w:val="1A1A1A"/>
          <w:sz w:val="20"/>
          <w:szCs w:val="20"/>
        </w:rPr>
        <w:t xml:space="preserve"> — Non : ses recommandations, même de portée générale, ne sont pas des décisions administratives susceptibles de REP, pas plus que son refus de faire usage de ses pouvoirs (</w:t>
      </w:r>
      <w:r>
        <w:rPr>
          <w:rFonts w:ascii="Calibri" w:cs="Calibri" w:eastAsia="Calibri" w:hAnsi="Calibri"/>
          <w:color w:val="E91E63"/>
          <w:sz w:val="20"/>
          <w:szCs w:val="20"/>
        </w:rPr>
        <w:t xml:space="preserve">CE, 22 mai 2019</w:t>
      </w:r>
      <w:r>
        <w:rPr>
          <w:rFonts w:ascii="Calibri" w:cs="Calibri" w:eastAsia="Calibri" w:hAnsi="Calibri"/>
          <w:color w:val="1A1A1A"/>
          <w:sz w:val="20"/>
          <w:szCs w:val="20"/>
        </w:rPr>
        <w:t xml:space="preserve">). C’est la contrepartie de l’absence de pouvoir de sanction.</w:t>
      </w:r>
    </w:p>
    <w:p>
      <w:pPr>
        <w:pStyle w:val="ListParagraph"/>
        <w:numPr>
          <w:ilvl w:val="0"/>
          <w:numId w:val="2"/>
        </w:numPr>
        <w:spacing w:after="70" w:line="264"/>
        <w:jc w:val="both"/>
      </w:pPr>
      <w:r>
        <w:rPr>
          <w:rFonts w:ascii="Calibri" w:cs="Calibri" w:eastAsia="Calibri" w:hAnsi="Calibri"/>
          <w:b/>
          <w:bCs/>
          <w:color w:val="1A1A1A"/>
          <w:sz w:val="20"/>
          <w:szCs w:val="20"/>
        </w:rPr>
        <w:t xml:space="preserve">« Les AAI menacent-elles les libertés qu’elles protègent ? »</w:t>
      </w:r>
      <w:r>
        <w:rPr>
          <w:rFonts w:ascii="Calibri" w:cs="Calibri" w:eastAsia="Calibri" w:hAnsi="Calibri"/>
          <w:color w:val="1A1A1A"/>
          <w:sz w:val="20"/>
          <w:szCs w:val="20"/>
        </w:rPr>
        <w:t xml:space="preserve"> — Réponse dialectique : oui potentiellement, par leurs pouvoirs normatifs et répressifs exercés sans toutes les garanties juridictionnelles (blocage de sites, sanctions lourdes) ; non en droit, car le Conseil constitutionnel a encadré le pouvoir de sanction (</w:t>
      </w:r>
      <w:r>
        <w:rPr>
          <w:rFonts w:ascii="Calibri" w:cs="Calibri" w:eastAsia="Calibri" w:hAnsi="Calibri"/>
          <w:color w:val="E91E63"/>
          <w:sz w:val="20"/>
          <w:szCs w:val="20"/>
        </w:rPr>
        <w:t xml:space="preserve">89-260 DC</w:t>
      </w:r>
      <w:r>
        <w:rPr>
          <w:rFonts w:ascii="Calibri" w:cs="Calibri" w:eastAsia="Calibri" w:hAnsi="Calibri"/>
          <w:color w:val="1A1A1A"/>
          <w:sz w:val="20"/>
          <w:szCs w:val="20"/>
        </w:rPr>
        <w:t xml:space="preserve">) et le Conseil d’État a ouvert le recours contre leur droit souple (</w:t>
      </w:r>
      <w:r>
        <w:rPr>
          <w:rFonts w:ascii="Calibri" w:cs="Calibri" w:eastAsia="Calibri" w:hAnsi="Calibri"/>
          <w:color w:val="E91E63"/>
          <w:sz w:val="20"/>
          <w:szCs w:val="20"/>
        </w:rPr>
        <w:t xml:space="preserve">Fairvesta</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La protection des libertés par les autorités administratives indépendantes » (sujet de dissertation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Le Défenseur des droits » ; « L’effectivité des droits sans le juge ».</w:t>
      </w:r>
    </w:p>
    <w:p>
      <w:pPr>
        <w:pStyle w:val="ListParagraph"/>
        <w:numPr>
          <w:ilvl w:val="0"/>
          <w:numId w:val="2"/>
        </w:numPr>
        <w:spacing w:after="70" w:line="264"/>
        <w:jc w:val="both"/>
      </w:pPr>
      <w:r>
        <w:rPr>
          <w:rFonts w:ascii="Calibri" w:cs="Calibri" w:eastAsia="Calibri" w:hAnsi="Calibri"/>
          <w:color w:val="1A1A1A"/>
          <w:sz w:val="20"/>
          <w:szCs w:val="20"/>
        </w:rPr>
        <w:t xml:space="preserve">« Le recours administratif préalable obligatoire » ; « La régulation de l’audiovisuel et le pluralisme ».</w:t>
      </w:r>
    </w:p>
    <w:p>
      <w:pPr>
        <w:pStyle w:val="ListParagraph"/>
        <w:numPr>
          <w:ilvl w:val="0"/>
          <w:numId w:val="2"/>
        </w:numPr>
        <w:spacing w:after="70" w:line="264"/>
        <w:jc w:val="both"/>
      </w:pPr>
      <w:r>
        <w:rPr>
          <w:rFonts w:ascii="Calibri" w:cs="Calibri" w:eastAsia="Calibri" w:hAnsi="Calibri"/>
          <w:color w:val="1A1A1A"/>
          <w:sz w:val="20"/>
          <w:szCs w:val="20"/>
        </w:rPr>
        <w:t xml:space="preserve">« Le contrôle des lieux de privation de liberté » ; « La CNIL et la protection de la vie privée ».</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La CNCDH est-elle une autorité administrative indépendante ?</w:t>
      </w:r>
      <w:r>
        <w:rPr>
          <w:rFonts w:ascii="Calibri" w:cs="Calibri" w:eastAsia="Calibri" w:hAnsi="Calibri"/>
          <w:color w:val="1A1A1A"/>
          <w:sz w:val="20"/>
          <w:szCs w:val="20"/>
        </w:rPr>
        <w:t xml:space="preserve"> — Non : elle est délibérément placée en dehors de cette catégorie en raison de sa proximité avec le Gouvernement, dont elle est l’organe de conseil et de proposition.</w:t>
      </w:r>
    </w:p>
    <w:p>
      <w:pPr>
        <w:pStyle w:val="ListParagraph"/>
        <w:numPr>
          <w:ilvl w:val="0"/>
          <w:numId w:val="2"/>
        </w:numPr>
        <w:spacing w:after="70" w:line="264"/>
        <w:jc w:val="both"/>
      </w:pPr>
      <w:r>
        <w:rPr>
          <w:rFonts w:ascii="Calibri" w:cs="Calibri" w:eastAsia="Calibri" w:hAnsi="Calibri"/>
          <w:b/>
          <w:bCs/>
          <w:color w:val="1A1A1A"/>
          <w:sz w:val="20"/>
          <w:szCs w:val="20"/>
        </w:rPr>
        <w:t xml:space="preserve">Q. Le Défenseur des droits peut-il sanctionner ?</w:t>
      </w:r>
      <w:r>
        <w:rPr>
          <w:rFonts w:ascii="Calibri" w:cs="Calibri" w:eastAsia="Calibri" w:hAnsi="Calibri"/>
          <w:color w:val="1A1A1A"/>
          <w:sz w:val="20"/>
          <w:szCs w:val="20"/>
        </w:rPr>
        <w:t xml:space="preserve"> — Non : recommandations, médiation, transaction. Il est en revanche la </w:t>
      </w:r>
      <w:r>
        <w:rPr>
          <w:rFonts w:ascii="Calibri" w:cs="Calibri" w:eastAsia="Calibri" w:hAnsi="Calibri"/>
          <w:b/>
          <w:bCs/>
          <w:color w:val="1A1A1A"/>
          <w:sz w:val="20"/>
          <w:szCs w:val="20"/>
        </w:rPr>
        <w:t xml:space="preserve">seule AAI constitutionnellement prévue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71-1 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est la durée du mandat du Défenseur des droits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Six ans</w:t>
      </w:r>
      <w:r>
        <w:rPr>
          <w:rFonts w:ascii="Calibri" w:cs="Calibri" w:eastAsia="Calibri" w:hAnsi="Calibri"/>
          <w:color w:val="1A1A1A"/>
          <w:sz w:val="20"/>
          <w:szCs w:val="20"/>
        </w:rPr>
        <w:t xml:space="preserve">, irrévocable et non renouvelable, assorti de règles de non-cumul. Ne pas confondre avec les neuf ans des membres du Conseil constitutionnel ni les cinq ans des membres de la CNIL.</w:t>
      </w:r>
    </w:p>
    <w:p>
      <w:pPr>
        <w:pStyle w:val="ListParagraph"/>
        <w:numPr>
          <w:ilvl w:val="0"/>
          <w:numId w:val="2"/>
        </w:numPr>
        <w:spacing w:after="70" w:line="264"/>
        <w:jc w:val="both"/>
      </w:pPr>
      <w:r>
        <w:rPr>
          <w:rFonts w:ascii="Calibri" w:cs="Calibri" w:eastAsia="Calibri" w:hAnsi="Calibri"/>
          <w:b/>
          <w:bCs/>
          <w:color w:val="1A1A1A"/>
          <w:sz w:val="20"/>
          <w:szCs w:val="20"/>
        </w:rPr>
        <w:t xml:space="preserve">Q. Quand la CNIL a-t-elle été créée ?</w:t>
      </w:r>
      <w:r>
        <w:rPr>
          <w:rFonts w:ascii="Calibri" w:cs="Calibri" w:eastAsia="Calibri" w:hAnsi="Calibri"/>
          <w:color w:val="1A1A1A"/>
          <w:sz w:val="20"/>
          <w:szCs w:val="20"/>
        </w:rPr>
        <w:t xml:space="preserve"> — Par la </w:t>
      </w:r>
      <w:r>
        <w:rPr>
          <w:rFonts w:ascii="Calibri" w:cs="Calibri" w:eastAsia="Calibri" w:hAnsi="Calibri"/>
          <w:color w:val="1E88E5"/>
          <w:sz w:val="20"/>
          <w:szCs w:val="20"/>
        </w:rPr>
        <w:t xml:space="preserve">loi n° 78-17 du 6 janvier 1978</w:t>
      </w:r>
      <w:r>
        <w:rPr>
          <w:rFonts w:ascii="Calibri" w:cs="Calibri" w:eastAsia="Calibri" w:hAnsi="Calibri"/>
          <w:color w:val="1A1A1A"/>
          <w:sz w:val="20"/>
          <w:szCs w:val="20"/>
        </w:rPr>
        <w:t xml:space="preserve">. La </w:t>
      </w:r>
      <w:r>
        <w:rPr>
          <w:rFonts w:ascii="Calibri" w:cs="Calibri" w:eastAsia="Calibri" w:hAnsi="Calibri"/>
          <w:color w:val="1E88E5"/>
          <w:sz w:val="20"/>
          <w:szCs w:val="20"/>
        </w:rPr>
        <w:t xml:space="preserve">loi du 17 juillet 1978</w:t>
      </w:r>
      <w:r>
        <w:rPr>
          <w:rFonts w:ascii="Calibri" w:cs="Calibri" w:eastAsia="Calibri" w:hAnsi="Calibri"/>
          <w:color w:val="1A1A1A"/>
          <w:sz w:val="20"/>
          <w:szCs w:val="20"/>
        </w:rPr>
        <w:t xml:space="preserve"> est celle relative à l’accès aux documents administratifs, qui institue la CADA : deux lois de 1978 à ne pas intervertir.</w:t>
      </w:r>
    </w:p>
    <w:p>
      <w:pPr>
        <w:pStyle w:val="ListParagraph"/>
        <w:numPr>
          <w:ilvl w:val="0"/>
          <w:numId w:val="2"/>
        </w:numPr>
        <w:spacing w:after="70" w:line="264"/>
        <w:jc w:val="both"/>
      </w:pPr>
      <w:r>
        <w:rPr>
          <w:rFonts w:ascii="Calibri" w:cs="Calibri" w:eastAsia="Calibri" w:hAnsi="Calibri"/>
          <w:b/>
          <w:bCs/>
          <w:color w:val="1A1A1A"/>
          <w:sz w:val="20"/>
          <w:szCs w:val="20"/>
        </w:rPr>
        <w:t xml:space="preserve">Q. L’ARCOM existe depuis quand ?</w:t>
      </w:r>
      <w:r>
        <w:rPr>
          <w:rFonts w:ascii="Calibri" w:cs="Calibri" w:eastAsia="Calibri" w:hAnsi="Calibri"/>
          <w:color w:val="1A1A1A"/>
          <w:sz w:val="20"/>
          <w:szCs w:val="20"/>
        </w:rPr>
        <w:t xml:space="preserve"> — Depuis le </w:t>
      </w:r>
      <w:r>
        <w:rPr>
          <w:rFonts w:ascii="Calibri" w:cs="Calibri" w:eastAsia="Calibri" w:hAnsi="Calibri"/>
          <w:b/>
          <w:bCs/>
          <w:color w:val="1A1A1A"/>
          <w:sz w:val="20"/>
          <w:szCs w:val="20"/>
        </w:rPr>
        <w:t xml:space="preserve">1er janvier 2022</w:t>
      </w:r>
      <w:r>
        <w:rPr>
          <w:rFonts w:ascii="Calibri" w:cs="Calibri" w:eastAsia="Calibri" w:hAnsi="Calibri"/>
          <w:color w:val="1A1A1A"/>
          <w:sz w:val="20"/>
          <w:szCs w:val="20"/>
        </w:rPr>
        <w:t xml:space="preserve">, par fusion du CSA et de l’HADOPI. Les décisions antérieures à cette date sont rendues sous le sigle </w:t>
      </w:r>
      <w:r>
        <w:rPr>
          <w:rFonts w:ascii="Calibri" w:cs="Calibri" w:eastAsia="Calibri" w:hAnsi="Calibri"/>
          <w:b/>
          <w:bCs/>
          <w:color w:val="1A1A1A"/>
          <w:sz w:val="20"/>
          <w:szCs w:val="20"/>
        </w:rPr>
        <w:t xml:space="preserve">CSA</w:t>
      </w:r>
      <w:r>
        <w:rPr>
          <w:rFonts w:ascii="Calibri" w:cs="Calibri" w:eastAsia="Calibri" w:hAnsi="Calibri"/>
          <w:color w:val="1A1A1A"/>
          <w:sz w:val="20"/>
          <w:szCs w:val="20"/>
        </w:rPr>
        <w:t xml:space="preserve"> — ainsi la sanction de CNews du 17 mars 2021.</w:t>
      </w:r>
    </w:p>
    <w:p>
      <w:pPr>
        <w:pStyle w:val="ListParagraph"/>
        <w:numPr>
          <w:ilvl w:val="0"/>
          <w:numId w:val="2"/>
        </w:numPr>
        <w:spacing w:after="70" w:line="264"/>
        <w:jc w:val="both"/>
      </w:pPr>
      <w:r>
        <w:rPr>
          <w:rFonts w:ascii="Calibri" w:cs="Calibri" w:eastAsia="Calibri" w:hAnsi="Calibri"/>
          <w:b/>
          <w:bCs/>
          <w:color w:val="1A1A1A"/>
          <w:sz w:val="20"/>
          <w:szCs w:val="20"/>
        </w:rPr>
        <w:t xml:space="preserve">Q. Le statut financier du Défenseur des droits est-il constitutionnellement protégé ?</w:t>
      </w:r>
      <w:r>
        <w:rPr>
          <w:rFonts w:ascii="Calibri" w:cs="Calibri" w:eastAsia="Calibri" w:hAnsi="Calibri"/>
          <w:color w:val="1A1A1A"/>
          <w:sz w:val="20"/>
          <w:szCs w:val="20"/>
        </w:rPr>
        <w:t xml:space="preserve"> — Non. Son autonomie financière ne l’est pas ; le législateur reste libre de modifier les crédits affectés en loi de finances, ce qui peut avoir une incidence considérable sur son fonctionnement.</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ANNEXE — COMPLÉMENTS À LA CHRONOLOGIE ET À L’INDEX (Partie IV)</w:t>
      </w:r>
    </w:p>
    <w:p>
      <w:pPr>
        <w:pStyle w:val="Heading2"/>
        <w:spacing w:after="120" w:before="280"/>
      </w:pPr>
      <w:r>
        <w:rPr>
          <w:rFonts w:ascii="Calibri" w:cs="Calibri" w:eastAsia="Calibri" w:hAnsi="Calibri"/>
          <w:b/>
          <w:bCs/>
          <w:color w:val="1A1A1A"/>
          <w:sz w:val="24"/>
          <w:szCs w:val="24"/>
        </w:rPr>
        <w:t xml:space="preserve">I. Ajouts à la chronologie transversale</w:t>
      </w:r>
    </w:p>
    <w:p>
      <w:pPr>
        <w:pStyle w:val="ListParagraph"/>
        <w:numPr>
          <w:ilvl w:val="0"/>
          <w:numId w:val="2"/>
        </w:numPr>
        <w:spacing w:after="70" w:line="264"/>
        <w:jc w:val="both"/>
      </w:pPr>
      <w:r>
        <w:rPr>
          <w:rFonts w:ascii="Calibri" w:cs="Calibri" w:eastAsia="Calibri" w:hAnsi="Calibri"/>
          <w:b/>
          <w:bCs/>
          <w:color w:val="1A1A1A"/>
          <w:sz w:val="20"/>
          <w:szCs w:val="20"/>
        </w:rPr>
        <w:t xml:space="preserve">1790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des 16 et 24 août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1795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16 fructidor an III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1799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Constitution du 22 frimaire an VIII</w:t>
      </w:r>
      <w:r>
        <w:rPr>
          <w:rFonts w:ascii="Calibri" w:cs="Calibri" w:eastAsia="Calibri" w:hAnsi="Calibri"/>
          <w:color w:val="1A1A1A"/>
          <w:sz w:val="20"/>
          <w:szCs w:val="20"/>
        </w:rPr>
        <w:t xml:space="preserve"> : création du Conseil d’État — </w:t>
      </w:r>
      <w:r>
        <w:rPr>
          <w:rFonts w:ascii="Calibri" w:cs="Calibri" w:eastAsia="Calibri" w:hAnsi="Calibri"/>
          <w:b/>
          <w:bCs/>
          <w:color w:val="1A1A1A"/>
          <w:sz w:val="20"/>
          <w:szCs w:val="20"/>
        </w:rPr>
        <w:t xml:space="preserve">1810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8 mars</w:t>
      </w:r>
      <w:r>
        <w:rPr>
          <w:rFonts w:ascii="Calibri" w:cs="Calibri" w:eastAsia="Calibri" w:hAnsi="Calibri"/>
          <w:color w:val="1A1A1A"/>
          <w:sz w:val="20"/>
          <w:szCs w:val="20"/>
        </w:rPr>
        <w:t xml:space="preserve"> : expropriation en deux phases — </w:t>
      </w:r>
      <w:r>
        <w:rPr>
          <w:rFonts w:ascii="Calibri" w:cs="Calibri" w:eastAsia="Calibri" w:hAnsi="Calibri"/>
          <w:b/>
          <w:bCs/>
          <w:color w:val="1A1A1A"/>
          <w:sz w:val="20"/>
          <w:szCs w:val="20"/>
        </w:rPr>
        <w:t xml:space="preserve">1872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24 mai</w:t>
      </w:r>
      <w:r>
        <w:rPr>
          <w:rFonts w:ascii="Calibri" w:cs="Calibri" w:eastAsia="Calibri" w:hAnsi="Calibri"/>
          <w:color w:val="1A1A1A"/>
          <w:sz w:val="20"/>
          <w:szCs w:val="20"/>
        </w:rPr>
        <w:t xml:space="preserve"> : Tribunal des conflits — </w:t>
      </w:r>
      <w:r>
        <w:rPr>
          <w:rFonts w:ascii="Calibri" w:cs="Calibri" w:eastAsia="Calibri" w:hAnsi="Calibri"/>
          <w:b/>
          <w:bCs/>
          <w:color w:val="1A1A1A"/>
          <w:sz w:val="20"/>
          <w:szCs w:val="20"/>
        </w:rPr>
        <w:t xml:space="preserve">1873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Blanco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1875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Prince Napoléon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1923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Septfonds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1935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Action française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1947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Hilaire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Dame Lamotte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Préfet de la Guyane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31 décembre</w:t>
      </w:r>
      <w:r>
        <w:rPr>
          <w:rFonts w:ascii="Calibri" w:cs="Calibri" w:eastAsia="Calibri" w:hAnsi="Calibri"/>
          <w:color w:val="1A1A1A"/>
          <w:sz w:val="20"/>
          <w:szCs w:val="20"/>
        </w:rPr>
        <w:t xml:space="preserve"> : véhicules.</w:t>
      </w:r>
    </w:p>
    <w:p>
      <w:pPr>
        <w:pStyle w:val="ListParagraph"/>
        <w:numPr>
          <w:ilvl w:val="0"/>
          <w:numId w:val="2"/>
        </w:numPr>
        <w:spacing w:after="70" w:line="264"/>
        <w:jc w:val="both"/>
      </w:pP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59-2 DC</w:t>
      </w:r>
      <w:r>
        <w:rPr>
          <w:rFonts w:ascii="Calibri" w:cs="Calibri" w:eastAsia="Calibri" w:hAnsi="Calibri"/>
          <w:color w:val="1A1A1A"/>
          <w:sz w:val="20"/>
          <w:szCs w:val="20"/>
        </w:rPr>
        <w:t xml:space="preserve"> : première réserve d’interprétation — </w:t>
      </w:r>
      <w:r>
        <w:rPr>
          <w:rFonts w:ascii="Calibri" w:cs="Calibri" w:eastAsia="Calibri" w:hAnsi="Calibri"/>
          <w:b/>
          <w:bCs/>
          <w:color w:val="1A1A1A"/>
          <w:sz w:val="20"/>
          <w:szCs w:val="20"/>
        </w:rPr>
        <w:t xml:space="preserve">1975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Jacques Vabre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crim., Respino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76-75 DC</w:t>
      </w:r>
      <w:r>
        <w:rPr>
          <w:rFonts w:ascii="Calibri" w:cs="Calibri" w:eastAsia="Calibri" w:hAnsi="Calibri"/>
          <w:color w:val="1A1A1A"/>
          <w:sz w:val="20"/>
          <w:szCs w:val="20"/>
        </w:rPr>
        <w:t xml:space="preserve"> : liberté individuelle entendue largement — </w:t>
      </w:r>
      <w:r>
        <w:rPr>
          <w:rFonts w:ascii="Calibri" w:cs="Calibri" w:eastAsia="Calibri" w:hAnsi="Calibri"/>
          <w:b/>
          <w:bCs/>
          <w:color w:val="1A1A1A"/>
          <w:sz w:val="20"/>
          <w:szCs w:val="20"/>
        </w:rPr>
        <w:t xml:space="preserve">1978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6 janvier</w:t>
      </w:r>
      <w:r>
        <w:rPr>
          <w:rFonts w:ascii="Calibri" w:cs="Calibri" w:eastAsia="Calibri" w:hAnsi="Calibri"/>
          <w:color w:val="1A1A1A"/>
          <w:sz w:val="20"/>
          <w:szCs w:val="20"/>
        </w:rPr>
        <w:t xml:space="preserve"> : CNIL ; </w:t>
      </w:r>
      <w:r>
        <w:rPr>
          <w:rFonts w:ascii="Calibri" w:cs="Calibri" w:eastAsia="Calibri" w:hAnsi="Calibri"/>
          <w:color w:val="1E88E5"/>
          <w:sz w:val="20"/>
          <w:szCs w:val="20"/>
        </w:rPr>
        <w:t xml:space="preserve">loi du 17 juillet</w:t>
      </w:r>
      <w:r>
        <w:rPr>
          <w:rFonts w:ascii="Calibri" w:cs="Calibri" w:eastAsia="Calibri" w:hAnsi="Calibri"/>
          <w:color w:val="1A1A1A"/>
          <w:sz w:val="20"/>
          <w:szCs w:val="20"/>
        </w:rPr>
        <w:t xml:space="preserve"> : CADA — </w:t>
      </w:r>
      <w:r>
        <w:rPr>
          <w:rFonts w:ascii="Calibri" w:cs="Calibri" w:eastAsia="Calibri" w:hAnsi="Calibri"/>
          <w:b/>
          <w:bCs/>
          <w:color w:val="1A1A1A"/>
          <w:sz w:val="20"/>
          <w:szCs w:val="20"/>
        </w:rPr>
        <w:t xml:space="preserve">1980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16 juillet</w:t>
      </w:r>
      <w:r>
        <w:rPr>
          <w:rFonts w:ascii="Calibri" w:cs="Calibri" w:eastAsia="Calibri" w:hAnsi="Calibri"/>
          <w:color w:val="1A1A1A"/>
          <w:sz w:val="20"/>
          <w:szCs w:val="20"/>
        </w:rPr>
        <w:t xml:space="preserve"> : astreinte ; </w:t>
      </w:r>
      <w:r>
        <w:rPr>
          <w:rFonts w:ascii="Calibri" w:cs="Calibri" w:eastAsia="Calibri" w:hAnsi="Calibri"/>
          <w:color w:val="E91E63"/>
          <w:sz w:val="20"/>
          <w:szCs w:val="20"/>
        </w:rPr>
        <w:t xml:space="preserve">80-119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83-164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83-165 DC</w:t>
      </w:r>
      <w:r>
        <w:rPr>
          <w:rFonts w:ascii="Calibri" w:cs="Calibri" w:eastAsia="Calibri" w:hAnsi="Calibri"/>
          <w:color w:val="1A1A1A"/>
          <w:sz w:val="20"/>
          <w:szCs w:val="20"/>
        </w:rPr>
        <w:t xml:space="preserve"> : effet cliquet ; </w:t>
      </w:r>
      <w:r>
        <w:rPr>
          <w:rFonts w:ascii="Calibri" w:cs="Calibri" w:eastAsia="Calibri" w:hAnsi="Calibri"/>
          <w:color w:val="E91E63"/>
          <w:sz w:val="20"/>
          <w:szCs w:val="20"/>
        </w:rPr>
        <w:t xml:space="preserve">84-173 DC</w:t>
      </w:r>
      <w:r>
        <w:rPr>
          <w:rFonts w:ascii="Calibri" w:cs="Calibri" w:eastAsia="Calibri" w:hAnsi="Calibri"/>
          <w:color w:val="1A1A1A"/>
          <w:sz w:val="20"/>
          <w:szCs w:val="20"/>
        </w:rPr>
        <w:t xml:space="preserve"> : AAI et garantie fondamentale ; </w:t>
      </w:r>
      <w:r>
        <w:rPr>
          <w:rFonts w:ascii="Calibri" w:cs="Calibri" w:eastAsia="Calibri" w:hAnsi="Calibri"/>
          <w:color w:val="E91E63"/>
          <w:sz w:val="20"/>
          <w:szCs w:val="20"/>
        </w:rPr>
        <w:t xml:space="preserve">84-181 DC</w:t>
      </w:r>
      <w:r>
        <w:rPr>
          <w:rFonts w:ascii="Calibri" w:cs="Calibri" w:eastAsia="Calibri" w:hAnsi="Calibri"/>
          <w:color w:val="1A1A1A"/>
          <w:sz w:val="20"/>
          <w:szCs w:val="20"/>
        </w:rPr>
        <w:t xml:space="preserve"> : moyen soulevé d’office ; </w:t>
      </w:r>
      <w:r>
        <w:rPr>
          <w:rFonts w:ascii="Calibri" w:cs="Calibri" w:eastAsia="Calibri" w:hAnsi="Calibri"/>
          <w:color w:val="E91E63"/>
          <w:sz w:val="20"/>
          <w:szCs w:val="20"/>
        </w:rPr>
        <w:t xml:space="preserve">Cass. civ. 1re, Renneman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86-210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86-216 DC</w:t>
      </w:r>
      <w:r>
        <w:rPr>
          <w:rFonts w:ascii="Calibri" w:cs="Calibri" w:eastAsia="Calibri" w:hAnsi="Calibri"/>
          <w:color w:val="1A1A1A"/>
          <w:sz w:val="20"/>
          <w:szCs w:val="20"/>
        </w:rPr>
        <w:t xml:space="preserve"> : conclusions soulevées d’office — </w:t>
      </w:r>
      <w:r>
        <w:rPr>
          <w:rFonts w:ascii="Calibri" w:cs="Calibri" w:eastAsia="Calibri" w:hAnsi="Calibri"/>
          <w:b/>
          <w:bCs/>
          <w:color w:val="1A1A1A"/>
          <w:sz w:val="20"/>
          <w:szCs w:val="20"/>
        </w:rPr>
        <w:t xml:space="preserve">1987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86-224 DC</w:t>
      </w:r>
      <w:r>
        <w:rPr>
          <w:rFonts w:ascii="Calibri" w:cs="Calibri" w:eastAsia="Calibri" w:hAnsi="Calibri"/>
          <w:color w:val="1A1A1A"/>
          <w:sz w:val="20"/>
          <w:szCs w:val="20"/>
        </w:rPr>
        <w:t xml:space="preserve"> : PFRLR de compétence ; </w:t>
      </w:r>
      <w:r>
        <w:rPr>
          <w:rFonts w:ascii="Calibri" w:cs="Calibri" w:eastAsia="Calibri" w:hAnsi="Calibri"/>
          <w:color w:val="E91E63"/>
          <w:sz w:val="20"/>
          <w:szCs w:val="20"/>
        </w:rPr>
        <w:t xml:space="preserve">Cass. civ. 1re, 21 décembre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Nicolo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89-256 DC</w:t>
      </w:r>
      <w:r>
        <w:rPr>
          <w:rFonts w:ascii="Calibri" w:cs="Calibri" w:eastAsia="Calibri" w:hAnsi="Calibri"/>
          <w:color w:val="1A1A1A"/>
          <w:sz w:val="20"/>
          <w:szCs w:val="20"/>
        </w:rPr>
        <w:t xml:space="preserve"> : propriété immobilière ; </w:t>
      </w:r>
      <w:r>
        <w:rPr>
          <w:rFonts w:ascii="Calibri" w:cs="Calibri" w:eastAsia="Calibri" w:hAnsi="Calibri"/>
          <w:color w:val="E91E63"/>
          <w:sz w:val="20"/>
          <w:szCs w:val="20"/>
        </w:rPr>
        <w:t xml:space="preserve">89-260 DC</w:t>
      </w:r>
      <w:r>
        <w:rPr>
          <w:rFonts w:ascii="Calibri" w:cs="Calibri" w:eastAsia="Calibri" w:hAnsi="Calibri"/>
          <w:color w:val="1A1A1A"/>
          <w:sz w:val="20"/>
          <w:szCs w:val="20"/>
        </w:rPr>
        <w:t xml:space="preserve"> : pouvoir de sanction des AAI ; </w:t>
      </w:r>
      <w:r>
        <w:rPr>
          <w:rFonts w:ascii="Calibri" w:cs="Calibri" w:eastAsia="Calibri" w:hAnsi="Calibri"/>
          <w:color w:val="E91E63"/>
          <w:sz w:val="20"/>
          <w:szCs w:val="20"/>
        </w:rPr>
        <w:t xml:space="preserve">89-261 DC</w:t>
      </w:r>
      <w:r>
        <w:rPr>
          <w:rFonts w:ascii="Calibri" w:cs="Calibri" w:eastAsia="Calibri" w:hAnsi="Calibri"/>
          <w:color w:val="1A1A1A"/>
          <w:sz w:val="20"/>
          <w:szCs w:val="20"/>
        </w:rPr>
        <w:t xml:space="preserve"> : reconduite à la frontière.</w:t>
      </w:r>
    </w:p>
    <w:p>
      <w:pPr>
        <w:pStyle w:val="ListParagraph"/>
        <w:numPr>
          <w:ilvl w:val="0"/>
          <w:numId w:val="2"/>
        </w:numPr>
        <w:spacing w:after="70" w:line="264"/>
        <w:jc w:val="both"/>
      </w:pPr>
      <w:r>
        <w:rPr>
          <w:rFonts w:ascii="Calibri" w:cs="Calibri" w:eastAsia="Calibri" w:hAnsi="Calibri"/>
          <w:b/>
          <w:bCs/>
          <w:color w:val="1A1A1A"/>
          <w:sz w:val="20"/>
          <w:szCs w:val="20"/>
        </w:rPr>
        <w:t xml:space="preserve">1993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Étude du Conseil d’État, Régler autrement les conflits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8 février</w:t>
      </w:r>
      <w:r>
        <w:rPr>
          <w:rFonts w:ascii="Calibri" w:cs="Calibri" w:eastAsia="Calibri" w:hAnsi="Calibri"/>
          <w:color w:val="1A1A1A"/>
          <w:sz w:val="20"/>
          <w:szCs w:val="20"/>
        </w:rPr>
        <w:t xml:space="preserve"> : injonction ; </w:t>
      </w:r>
      <w:r>
        <w:rPr>
          <w:rFonts w:ascii="Calibri" w:cs="Calibri" w:eastAsia="Calibri" w:hAnsi="Calibri"/>
          <w:color w:val="E91E63"/>
          <w:sz w:val="20"/>
          <w:szCs w:val="20"/>
        </w:rPr>
        <w:t xml:space="preserve">CE, Hardouin et Marie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3e, Mel Yedei (1996)</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1998</w:t>
      </w:r>
      <w:r>
        <w:rPr>
          <w:rFonts w:ascii="Calibri" w:cs="Calibri" w:eastAsia="Calibri" w:hAnsi="Calibri"/>
          <w:color w:val="1A1A1A"/>
          <w:sz w:val="20"/>
          <w:szCs w:val="20"/>
        </w:rPr>
        <w:t xml:space="preserve"> revirement sur la liberté individuelle — </w:t>
      </w:r>
      <w:r>
        <w:rPr>
          <w:rFonts w:ascii="Calibri" w:cs="Calibri" w:eastAsia="Calibri" w:hAnsi="Calibri"/>
          <w:b/>
          <w:bCs/>
          <w:color w:val="1A1A1A"/>
          <w:sz w:val="20"/>
          <w:szCs w:val="20"/>
        </w:rPr>
        <w:t xml:space="preserve">2000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2000-597 du 30 juin</w:t>
      </w:r>
      <w:r>
        <w:rPr>
          <w:rFonts w:ascii="Calibri" w:cs="Calibri" w:eastAsia="Calibri" w:hAnsi="Calibri"/>
          <w:color w:val="1A1A1A"/>
          <w:sz w:val="20"/>
          <w:szCs w:val="20"/>
        </w:rPr>
        <w:t xml:space="preserve"> : référés ; </w:t>
      </w:r>
      <w:r>
        <w:rPr>
          <w:rFonts w:ascii="Calibri" w:cs="Calibri" w:eastAsia="Calibri" w:hAnsi="Calibri"/>
          <w:color w:val="E91E63"/>
          <w:sz w:val="20"/>
          <w:szCs w:val="20"/>
        </w:rPr>
        <w:t xml:space="preserve">T. confl., Boussadar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Hyacinthe</w:t>
      </w:r>
      <w:r>
        <w:rPr>
          <w:rFonts w:ascii="Calibri" w:cs="Calibri" w:eastAsia="Calibri" w:hAnsi="Calibri"/>
          <w:color w:val="1A1A1A"/>
          <w:sz w:val="20"/>
          <w:szCs w:val="20"/>
        </w:rPr>
        <w:t xml:space="preserve"> (12 janvier) ; </w:t>
      </w:r>
      <w:r>
        <w:rPr>
          <w:rFonts w:ascii="Calibri" w:cs="Calibri" w:eastAsia="Calibri" w:hAnsi="Calibri"/>
          <w:color w:val="E91E63"/>
          <w:sz w:val="20"/>
          <w:szCs w:val="20"/>
        </w:rPr>
        <w:t xml:space="preserve">CE, Deperthes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Casanovas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Dziri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Commune d’Hyères-les-Palmiers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Commune de Mandelieu-La Napoule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Association choisir la vie</w:t>
      </w:r>
      <w:r>
        <w:rPr>
          <w:rFonts w:ascii="Calibri" w:cs="Calibri" w:eastAsia="Calibri" w:hAnsi="Calibri"/>
          <w:color w:val="1A1A1A"/>
          <w:sz w:val="20"/>
          <w:szCs w:val="20"/>
        </w:rPr>
        <w:t xml:space="preserve"> ; rapport du Conseil d’État sur les 34 AAI — </w:t>
      </w:r>
      <w:r>
        <w:rPr>
          <w:rFonts w:ascii="Calibri" w:cs="Calibri" w:eastAsia="Calibri" w:hAnsi="Calibri"/>
          <w:b/>
          <w:bCs/>
          <w:color w:val="1A1A1A"/>
          <w:sz w:val="20"/>
          <w:szCs w:val="20"/>
        </w:rPr>
        <w:t xml:space="preserve">2003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Aguillon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Association AC !</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Abdallah</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2005-532 DC</w:t>
      </w:r>
      <w:r>
        <w:rPr>
          <w:rFonts w:ascii="Calibri" w:cs="Calibri" w:eastAsia="Calibri" w:hAnsi="Calibri"/>
          <w:color w:val="1A1A1A"/>
          <w:sz w:val="20"/>
          <w:szCs w:val="20"/>
        </w:rPr>
        <w:t xml:space="preserve"> : liberté individuelle réduite à la sûreté —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Bayrou</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3e, 22 mars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26 avril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5 mars</w:t>
      </w:r>
      <w:r>
        <w:rPr>
          <w:rFonts w:ascii="Calibri" w:cs="Calibri" w:eastAsia="Calibri" w:hAnsi="Calibri"/>
          <w:color w:val="1A1A1A"/>
          <w:sz w:val="20"/>
          <w:szCs w:val="20"/>
        </w:rPr>
        <w:t xml:space="preserve"> : CNCDH ; </w:t>
      </w:r>
      <w:r>
        <w:rPr>
          <w:rFonts w:ascii="Calibri" w:cs="Calibri" w:eastAsia="Calibri" w:hAnsi="Calibri"/>
          <w:color w:val="1E88E5"/>
          <w:sz w:val="20"/>
          <w:szCs w:val="20"/>
        </w:rPr>
        <w:t xml:space="preserve">loi du 30 octobre</w:t>
      </w:r>
      <w:r>
        <w:rPr>
          <w:rFonts w:ascii="Calibri" w:cs="Calibri" w:eastAsia="Calibri" w:hAnsi="Calibri"/>
          <w:color w:val="1A1A1A"/>
          <w:sz w:val="20"/>
          <w:szCs w:val="20"/>
        </w:rPr>
        <w:t xml:space="preserve"> : CGLPL — </w:t>
      </w:r>
      <w:r>
        <w:rPr>
          <w:rFonts w:ascii="Calibri" w:cs="Calibri" w:eastAsia="Calibri" w:hAnsi="Calibri"/>
          <w:b/>
          <w:bCs/>
          <w:color w:val="1A1A1A"/>
          <w:sz w:val="20"/>
          <w:szCs w:val="20"/>
        </w:rPr>
        <w:t xml:space="preserve">2008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révision du 23 juillet</w:t>
      </w:r>
      <w:r>
        <w:rPr>
          <w:rFonts w:ascii="Calibri" w:cs="Calibri" w:eastAsia="Calibri" w:hAnsi="Calibri"/>
          <w:color w:val="1A1A1A"/>
          <w:sz w:val="20"/>
          <w:szCs w:val="20"/>
        </w:rPr>
        <w:t xml:space="preserve"> : QPC et </w:t>
      </w:r>
      <w:r>
        <w:rPr>
          <w:rFonts w:ascii="Calibri" w:cs="Calibri" w:eastAsia="Calibri" w:hAnsi="Calibri"/>
          <w:color w:val="1E88E5"/>
          <w:sz w:val="20"/>
          <w:szCs w:val="20"/>
        </w:rPr>
        <w:t xml:space="preserve">art. 71-1</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2008-562 DC</w:t>
      </w:r>
      <w:r>
        <w:rPr>
          <w:rFonts w:ascii="Calibri" w:cs="Calibri" w:eastAsia="Calibri" w:hAnsi="Calibri"/>
          <w:color w:val="1A1A1A"/>
          <w:sz w:val="20"/>
          <w:szCs w:val="20"/>
        </w:rPr>
        <w:t xml:space="preserve"> : rétention de sûreté — </w:t>
      </w:r>
      <w:r>
        <w:rPr>
          <w:rFonts w:ascii="Calibri" w:cs="Calibri" w:eastAsia="Calibri" w:hAnsi="Calibri"/>
          <w:b/>
          <w:bCs/>
          <w:color w:val="1A1A1A"/>
          <w:sz w:val="20"/>
          <w:szCs w:val="20"/>
        </w:rPr>
        <w:t xml:space="preserve">2009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organique du 10 décembre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2009-595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Okaïdi</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2010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10 mars</w:t>
      </w:r>
      <w:r>
        <w:rPr>
          <w:rFonts w:ascii="Calibri" w:cs="Calibri" w:eastAsia="Calibri" w:hAnsi="Calibri"/>
          <w:color w:val="1A1A1A"/>
          <w:sz w:val="20"/>
          <w:szCs w:val="20"/>
        </w:rPr>
        <w:t xml:space="preserve"> : service civique ; </w:t>
      </w:r>
      <w:r>
        <w:rPr>
          <w:rFonts w:ascii="Calibri" w:cs="Calibri" w:eastAsia="Calibri" w:hAnsi="Calibri"/>
          <w:color w:val="E91E63"/>
          <w:sz w:val="20"/>
          <w:szCs w:val="20"/>
        </w:rPr>
        <w:t xml:space="preserve">CEDH, Medvedyev</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Moulin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17 mars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lois du 29 mars</w:t>
      </w:r>
      <w:r>
        <w:rPr>
          <w:rFonts w:ascii="Calibri" w:cs="Calibri" w:eastAsia="Calibri" w:hAnsi="Calibri"/>
          <w:color w:val="1A1A1A"/>
          <w:sz w:val="20"/>
          <w:szCs w:val="20"/>
        </w:rPr>
        <w:t xml:space="preserve"> : Défenseur des droits ; </w:t>
      </w:r>
      <w:r>
        <w:rPr>
          <w:rFonts w:ascii="Calibri" w:cs="Calibri" w:eastAsia="Calibri" w:hAnsi="Calibri"/>
          <w:color w:val="E91E63"/>
          <w:sz w:val="20"/>
          <w:szCs w:val="20"/>
        </w:rPr>
        <w:t xml:space="preserve">Cass., ass. plén., 15 avril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 confl., SCEA du Chéneau</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 confl., Société Green Yellow</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2011-212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De Souza Ribeiro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Bergoend</w:t>
      </w:r>
      <w:r>
        <w:rPr>
          <w:rFonts w:ascii="Calibri" w:cs="Calibri" w:eastAsia="Calibri" w:hAnsi="Calibri"/>
          <w:color w:val="1A1A1A"/>
          <w:sz w:val="20"/>
          <w:szCs w:val="20"/>
        </w:rPr>
        <w:t xml:space="preserve"> (17 juin) ; </w:t>
      </w:r>
      <w:r>
        <w:rPr>
          <w:rFonts w:ascii="Calibri" w:cs="Calibri" w:eastAsia="Calibri" w:hAnsi="Calibri"/>
          <w:color w:val="E91E63"/>
          <w:sz w:val="20"/>
          <w:szCs w:val="20"/>
        </w:rPr>
        <w:t xml:space="preserve">T. confl., Panizzon</w:t>
      </w:r>
      <w:r>
        <w:rPr>
          <w:rFonts w:ascii="Calibri" w:cs="Calibri" w:eastAsia="Calibri" w:hAnsi="Calibri"/>
          <w:color w:val="1A1A1A"/>
          <w:sz w:val="20"/>
          <w:szCs w:val="20"/>
        </w:rPr>
        <w:t xml:space="preserve"> (9 décembre) ; </w:t>
      </w:r>
      <w:r>
        <w:rPr>
          <w:rFonts w:ascii="Calibri" w:cs="Calibri" w:eastAsia="Calibri" w:hAnsi="Calibri"/>
          <w:color w:val="E91E63"/>
          <w:sz w:val="20"/>
          <w:szCs w:val="20"/>
        </w:rPr>
        <w:t xml:space="preserve">Cass. civ. 1re, 4 décembre</w:t>
      </w:r>
      <w:r>
        <w:rPr>
          <w:rFonts w:ascii="Calibri" w:cs="Calibri" w:eastAsia="Calibri" w:hAnsi="Calibri"/>
          <w:color w:val="1A1A1A"/>
          <w:sz w:val="20"/>
          <w:szCs w:val="20"/>
        </w:rPr>
        <w:t xml:space="preserve"> : contrôle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2013-681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Dieudonné</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Lambert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ass. plén., Baby-Loup</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crim., 20 août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16 février</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décret du 27 février</w:t>
      </w:r>
      <w:r>
        <w:rPr>
          <w:rFonts w:ascii="Calibri" w:cs="Calibri" w:eastAsia="Calibri" w:hAnsi="Calibri"/>
          <w:color w:val="1A1A1A"/>
          <w:sz w:val="20"/>
          <w:szCs w:val="20"/>
        </w:rPr>
        <w:t xml:space="preserve"> : réforme du Tribunal des conflits ; </w:t>
      </w:r>
      <w:r>
        <w:rPr>
          <w:rFonts w:ascii="Calibri" w:cs="Calibri" w:eastAsia="Calibri" w:hAnsi="Calibri"/>
          <w:color w:val="E91E63"/>
          <w:sz w:val="20"/>
          <w:szCs w:val="20"/>
        </w:rPr>
        <w:t xml:space="preserve">CE, ord., Section française de l’OIP</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Bourjolly</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Fairvesta</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NC Numericable</w:t>
      </w:r>
      <w:r>
        <w:rPr>
          <w:rFonts w:ascii="Calibri" w:cs="Calibri" w:eastAsia="Calibri" w:hAnsi="Calibri"/>
          <w:color w:val="1A1A1A"/>
          <w:sz w:val="20"/>
          <w:szCs w:val="20"/>
        </w:rPr>
        <w:t xml:space="preserve"> (21 mars) ; </w:t>
      </w:r>
      <w:r>
        <w:rPr>
          <w:rFonts w:ascii="Calibri" w:cs="Calibri" w:eastAsia="Calibri" w:hAnsi="Calibri"/>
          <w:color w:val="E91E63"/>
          <w:sz w:val="20"/>
          <w:szCs w:val="20"/>
        </w:rPr>
        <w:t xml:space="preserve">CE, Ass., Gonzalez Gomez</w:t>
      </w:r>
      <w:r>
        <w:rPr>
          <w:rFonts w:ascii="Calibri" w:cs="Calibri" w:eastAsia="Calibri" w:hAnsi="Calibri"/>
          <w:color w:val="1A1A1A"/>
          <w:sz w:val="20"/>
          <w:szCs w:val="20"/>
        </w:rPr>
        <w:t xml:space="preserve"> (31 mai) ; </w:t>
      </w:r>
      <w:r>
        <w:rPr>
          <w:rFonts w:ascii="Calibri" w:cs="Calibri" w:eastAsia="Calibri" w:hAnsi="Calibri"/>
          <w:color w:val="E91E63"/>
          <w:sz w:val="20"/>
          <w:szCs w:val="20"/>
        </w:rPr>
        <w:t xml:space="preserve">Cass. civ. 2e, 6 octobre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2017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8 mars, AP-HM</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Commune de Dannemarie</w:t>
      </w:r>
      <w:r>
        <w:rPr>
          <w:rFonts w:ascii="Calibri" w:cs="Calibri" w:eastAsia="Calibri" w:hAnsi="Calibri"/>
          <w:color w:val="1A1A1A"/>
          <w:sz w:val="20"/>
          <w:szCs w:val="20"/>
        </w:rPr>
        <w:t xml:space="preserve"> (1er septembre) ; </w:t>
      </w:r>
      <w:r>
        <w:rPr>
          <w:rFonts w:ascii="Calibri" w:cs="Calibri" w:eastAsia="Calibri" w:hAnsi="Calibri"/>
          <w:color w:val="1E88E5"/>
          <w:sz w:val="20"/>
          <w:szCs w:val="20"/>
        </w:rPr>
        <w:t xml:space="preserve">loi du 20 janvier</w:t>
      </w:r>
      <w:r>
        <w:rPr>
          <w:rFonts w:ascii="Calibri" w:cs="Calibri" w:eastAsia="Calibri" w:hAnsi="Calibri"/>
          <w:color w:val="1A1A1A"/>
          <w:sz w:val="20"/>
          <w:szCs w:val="20"/>
        </w:rPr>
        <w:t xml:space="preserve"> : CNCDH ; </w:t>
      </w:r>
      <w:r>
        <w:rPr>
          <w:rFonts w:ascii="Calibri" w:cs="Calibri" w:eastAsia="Calibri" w:hAnsi="Calibri"/>
          <w:color w:val="E91E63"/>
          <w:sz w:val="20"/>
          <w:szCs w:val="20"/>
        </w:rPr>
        <w:t xml:space="preserve">Cass. civ. 1re, 9 juin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2018-717/718 QPC</w:t>
      </w:r>
      <w:r>
        <w:rPr>
          <w:rFonts w:ascii="Calibri" w:cs="Calibri" w:eastAsia="Calibri" w:hAnsi="Calibri"/>
          <w:color w:val="1A1A1A"/>
          <w:sz w:val="20"/>
          <w:szCs w:val="20"/>
        </w:rPr>
        <w:t xml:space="preserve"> : fraternité (6 juillet) ; </w:t>
      </w:r>
      <w:r>
        <w:rPr>
          <w:rFonts w:ascii="Calibri" w:cs="Calibri" w:eastAsia="Calibri" w:hAnsi="Calibri"/>
          <w:color w:val="E91E63"/>
          <w:sz w:val="20"/>
          <w:szCs w:val="20"/>
        </w:rPr>
        <w:t xml:space="preserve">Cass., ass. plén., 5 octobre</w:t>
      </w:r>
      <w:r>
        <w:rPr>
          <w:rFonts w:ascii="Calibri" w:cs="Calibri" w:eastAsia="Calibri" w:hAnsi="Calibri"/>
          <w:color w:val="1A1A1A"/>
          <w:sz w:val="20"/>
          <w:szCs w:val="20"/>
        </w:rPr>
        <w:t xml:space="preserve"> : première demande d’avis au titre du </w:t>
      </w:r>
      <w:r>
        <w:rPr>
          <w:rFonts w:ascii="Calibri" w:cs="Calibri" w:eastAsia="Calibri" w:hAnsi="Calibri"/>
          <w:color w:val="1E88E5"/>
          <w:sz w:val="20"/>
          <w:szCs w:val="20"/>
        </w:rPr>
        <w:t xml:space="preserve">Protocole n° 16</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2019-778 DC</w:t>
      </w:r>
      <w:r>
        <w:rPr>
          <w:rFonts w:ascii="Calibri" w:cs="Calibri" w:eastAsia="Calibri" w:hAnsi="Calibri"/>
          <w:color w:val="1A1A1A"/>
          <w:sz w:val="20"/>
          <w:szCs w:val="20"/>
        </w:rPr>
        <w:t xml:space="preserve"> (21 mars) ; </w:t>
      </w:r>
      <w:r>
        <w:rPr>
          <w:rFonts w:ascii="Calibri" w:cs="Calibri" w:eastAsia="Calibri" w:hAnsi="Calibri"/>
          <w:color w:val="E91E63"/>
          <w:sz w:val="20"/>
          <w:szCs w:val="20"/>
        </w:rPr>
        <w:t xml:space="preserve">CE, 22 mai</w:t>
      </w:r>
      <w:r>
        <w:rPr>
          <w:rFonts w:ascii="Calibri" w:cs="Calibri" w:eastAsia="Calibri" w:hAnsi="Calibri"/>
          <w:color w:val="1A1A1A"/>
          <w:sz w:val="20"/>
          <w:szCs w:val="20"/>
        </w:rPr>
        <w:t xml:space="preserve"> : recommandations du Défenseur des droits ; </w:t>
      </w:r>
      <w:r>
        <w:rPr>
          <w:rFonts w:ascii="Calibri" w:cs="Calibri" w:eastAsia="Calibri" w:hAnsi="Calibri"/>
          <w:color w:val="E91E63"/>
          <w:sz w:val="20"/>
          <w:szCs w:val="20"/>
        </w:rPr>
        <w:t xml:space="preserve">Cass., ass. plén., avis, 17 juillet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3e, 16 mai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ass. plén., 28 juin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GISTI</w:t>
      </w:r>
      <w:r>
        <w:rPr>
          <w:rFonts w:ascii="Calibri" w:cs="Calibri" w:eastAsia="Calibri" w:hAnsi="Calibri"/>
          <w:color w:val="1A1A1A"/>
          <w:sz w:val="20"/>
          <w:szCs w:val="20"/>
        </w:rPr>
        <w:t xml:space="preserve"> (12 juin) ; </w:t>
      </w:r>
      <w:r>
        <w:rPr>
          <w:rFonts w:ascii="Calibri" w:cs="Calibri" w:eastAsia="Calibri" w:hAnsi="Calibri"/>
          <w:color w:val="E91E63"/>
          <w:sz w:val="20"/>
          <w:szCs w:val="20"/>
        </w:rPr>
        <w:t xml:space="preserve">2020-844 QPC</w:t>
      </w:r>
      <w:r>
        <w:rPr>
          <w:rFonts w:ascii="Calibri" w:cs="Calibri" w:eastAsia="Calibri" w:hAnsi="Calibri"/>
          <w:color w:val="1A1A1A"/>
          <w:sz w:val="20"/>
          <w:szCs w:val="20"/>
        </w:rPr>
        <w:t xml:space="preserve"> (19 juin) ; </w:t>
      </w:r>
      <w:r>
        <w:rPr>
          <w:rFonts w:ascii="Calibri" w:cs="Calibri" w:eastAsia="Calibri" w:hAnsi="Calibri"/>
          <w:color w:val="E91E63"/>
          <w:sz w:val="20"/>
          <w:szCs w:val="20"/>
        </w:rPr>
        <w:t xml:space="preserve">CE, ord., Moreau</w:t>
      </w:r>
      <w:r>
        <w:rPr>
          <w:rFonts w:ascii="Calibri" w:cs="Calibri" w:eastAsia="Calibri" w:hAnsi="Calibri"/>
          <w:color w:val="1A1A1A"/>
          <w:sz w:val="20"/>
          <w:szCs w:val="20"/>
        </w:rPr>
        <w:t xml:space="preserve"> (23 décembre) ; </w:t>
      </w:r>
      <w:r>
        <w:rPr>
          <w:rFonts w:ascii="Calibri" w:cs="Calibri" w:eastAsia="Calibri" w:hAnsi="Calibri"/>
          <w:color w:val="E91E63"/>
          <w:sz w:val="20"/>
          <w:szCs w:val="20"/>
        </w:rPr>
        <w:t xml:space="preserve">Cass. civ. 1re, 5 février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2021-817 DC</w:t>
      </w:r>
      <w:r>
        <w:rPr>
          <w:rFonts w:ascii="Calibri" w:cs="Calibri" w:eastAsia="Calibri" w:hAnsi="Calibri"/>
          <w:color w:val="1A1A1A"/>
          <w:sz w:val="20"/>
          <w:szCs w:val="20"/>
        </w:rPr>
        <w:t xml:space="preserve"> (20 mai) ; </w:t>
      </w:r>
      <w:r>
        <w:rPr>
          <w:rFonts w:ascii="Calibri" w:cs="Calibri" w:eastAsia="Calibri" w:hAnsi="Calibri"/>
          <w:color w:val="E91E63"/>
          <w:sz w:val="20"/>
          <w:szCs w:val="20"/>
        </w:rPr>
        <w:t xml:space="preserve">2021-940 QPC, Société Air France</w:t>
      </w:r>
      <w:r>
        <w:rPr>
          <w:rFonts w:ascii="Calibri" w:cs="Calibri" w:eastAsia="Calibri" w:hAnsi="Calibri"/>
          <w:color w:val="1A1A1A"/>
          <w:sz w:val="20"/>
          <w:szCs w:val="20"/>
        </w:rPr>
        <w:t xml:space="preserve"> (15 octobre) ; </w:t>
      </w:r>
      <w:r>
        <w:rPr>
          <w:rFonts w:ascii="Calibri" w:cs="Calibri" w:eastAsia="Calibri" w:hAnsi="Calibri"/>
          <w:color w:val="E91E63"/>
          <w:sz w:val="20"/>
          <w:szCs w:val="20"/>
        </w:rPr>
        <w:t xml:space="preserve">CSA, décision du 17 mars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27 janvier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2022</w:t>
      </w:r>
      <w:r>
        <w:rPr>
          <w:rFonts w:ascii="Calibri" w:cs="Calibri" w:eastAsia="Calibri" w:hAnsi="Calibri"/>
          <w:color w:val="1A1A1A"/>
          <w:sz w:val="20"/>
          <w:szCs w:val="20"/>
        </w:rPr>
        <w:t xml:space="preserve"> création de l’</w:t>
      </w:r>
      <w:r>
        <w:rPr>
          <w:rFonts w:ascii="Calibri" w:cs="Calibri" w:eastAsia="Calibri" w:hAnsi="Calibri"/>
          <w:b/>
          <w:bCs/>
          <w:color w:val="1A1A1A"/>
          <w:sz w:val="20"/>
          <w:szCs w:val="20"/>
        </w:rPr>
        <w:t xml:space="preserve">ARCOM</w:t>
      </w:r>
      <w:r>
        <w:rPr>
          <w:rFonts w:ascii="Calibri" w:cs="Calibri" w:eastAsia="Calibri" w:hAnsi="Calibri"/>
          <w:color w:val="1A1A1A"/>
          <w:sz w:val="20"/>
          <w:szCs w:val="20"/>
        </w:rPr>
        <w:t xml:space="preserve"> (1er janvier) ; </w:t>
      </w:r>
      <w:r>
        <w:rPr>
          <w:rFonts w:ascii="Calibri" w:cs="Calibri" w:eastAsia="Calibri" w:hAnsi="Calibri"/>
          <w:color w:val="E91E63"/>
          <w:sz w:val="20"/>
          <w:szCs w:val="20"/>
        </w:rPr>
        <w:t xml:space="preserve">2022-835 DC</w:t>
      </w:r>
      <w:r>
        <w:rPr>
          <w:rFonts w:ascii="Calibri" w:cs="Calibri" w:eastAsia="Calibri" w:hAnsi="Calibri"/>
          <w:color w:val="1A1A1A"/>
          <w:sz w:val="20"/>
          <w:szCs w:val="20"/>
        </w:rPr>
        <w:t xml:space="preserve"> (21 janvier) ; </w:t>
      </w:r>
      <w:r>
        <w:rPr>
          <w:rFonts w:ascii="Calibri" w:cs="Calibri" w:eastAsia="Calibri" w:hAnsi="Calibri"/>
          <w:color w:val="E91E63"/>
          <w:sz w:val="20"/>
          <w:szCs w:val="20"/>
        </w:rPr>
        <w:t xml:space="preserve">Cass. soc., 11 mai</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23 mai</w:t>
      </w:r>
      <w:r>
        <w:rPr>
          <w:rFonts w:ascii="Calibri" w:cs="Calibri" w:eastAsia="Calibri" w:hAnsi="Calibri"/>
          <w:color w:val="1A1A1A"/>
          <w:sz w:val="20"/>
          <w:szCs w:val="20"/>
        </w:rPr>
        <w:t xml:space="preserve"> : rejet du référé TikTok ; </w:t>
      </w:r>
      <w:r>
        <w:rPr>
          <w:rFonts w:ascii="Calibri" w:cs="Calibri" w:eastAsia="Calibri" w:hAnsi="Calibri"/>
          <w:color w:val="E91E63"/>
          <w:sz w:val="20"/>
          <w:szCs w:val="20"/>
        </w:rPr>
        <w:t xml:space="preserve">décision ARCOM du 29 mai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2e civ., 3 octobre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2 octobre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25 septembre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14 novembre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19 février, NRJ12 et C8</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1er avril, LDH</w:t>
      </w:r>
      <w:r>
        <w:rPr>
          <w:rFonts w:ascii="Calibri" w:cs="Calibri" w:eastAsia="Calibri" w:hAnsi="Calibri"/>
          <w:color w:val="1A1A1A"/>
          <w:sz w:val="20"/>
          <w:szCs w:val="20"/>
        </w:rPr>
        <w:t xml:space="preserve"> : annulation au fond du blocage de TikTok ; </w:t>
      </w:r>
      <w:r>
        <w:rPr>
          <w:rFonts w:ascii="Calibri" w:cs="Calibri" w:eastAsia="Calibri" w:hAnsi="Calibri"/>
          <w:color w:val="E91E63"/>
          <w:sz w:val="20"/>
          <w:szCs w:val="20"/>
        </w:rPr>
        <w:t xml:space="preserve">CEDH, 26 juin, Seydi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18 juin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 confl., 8 décembre, M. G. c. AP-HP</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8 juin, Centre hospitalier de Lannemezan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2026-911 DC, 14 août</w:t>
      </w:r>
      <w:r>
        <w:rPr>
          <w:rFonts w:ascii="Calibri" w:cs="Calibri" w:eastAsia="Calibri" w:hAnsi="Calibri"/>
          <w:color w:val="1A1A1A"/>
          <w:sz w:val="20"/>
          <w:szCs w:val="20"/>
        </w:rPr>
        <w:t xml:space="preserve"> : réseaux sociaux et mineurs.</w:t>
      </w:r>
    </w:p>
    <w:p>
      <w:pPr>
        <w:pStyle w:val="Heading2"/>
        <w:spacing w:after="120" w:before="280"/>
      </w:pPr>
      <w:r>
        <w:rPr>
          <w:rFonts w:ascii="Calibri" w:cs="Calibri" w:eastAsia="Calibri" w:hAnsi="Calibri"/>
          <w:b/>
          <w:bCs/>
          <w:color w:val="1A1A1A"/>
          <w:sz w:val="24"/>
          <w:szCs w:val="24"/>
        </w:rPr>
        <w:t xml:space="preserve">II. Ajouts à l’index transversal</w:t>
      </w:r>
    </w:p>
    <w:p>
      <w:pPr>
        <w:pStyle w:val="ListParagraph"/>
        <w:numPr>
          <w:ilvl w:val="0"/>
          <w:numId w:val="2"/>
        </w:numPr>
        <w:spacing w:after="70" w:line="264"/>
        <w:jc w:val="both"/>
      </w:pPr>
      <w:r>
        <w:rPr>
          <w:rFonts w:ascii="Calibri" w:cs="Calibri" w:eastAsia="Calibri" w:hAnsi="Calibri"/>
          <w:b/>
          <w:bCs/>
          <w:color w:val="1A1A1A"/>
          <w:sz w:val="20"/>
          <w:szCs w:val="20"/>
        </w:rPr>
        <w:t xml:space="preserve">Référé-liberté et liberté fondamentale au sens du CJA</w:t>
      </w:r>
      <w:r>
        <w:rPr>
          <w:rFonts w:ascii="Calibri" w:cs="Calibri" w:eastAsia="Calibri" w:hAnsi="Calibri"/>
          <w:color w:val="1A1A1A"/>
          <w:sz w:val="20"/>
          <w:szCs w:val="20"/>
        </w:rPr>
        <w:t xml:space="preserve"> → fiches 1 (trois acceptions), 4 (</w:t>
      </w:r>
      <w:r>
        <w:rPr>
          <w:rFonts w:ascii="Calibri" w:cs="Calibri" w:eastAsia="Calibri" w:hAnsi="Calibri"/>
          <w:color w:val="E91E63"/>
          <w:sz w:val="20"/>
          <w:szCs w:val="20"/>
        </w:rPr>
        <w:t xml:space="preserve">CE ord. 20 septembre 2022</w:t>
      </w:r>
      <w:r>
        <w:rPr>
          <w:rFonts w:ascii="Calibri" w:cs="Calibri" w:eastAsia="Calibri" w:hAnsi="Calibri"/>
          <w:color w:val="1A1A1A"/>
          <w:sz w:val="20"/>
          <w:szCs w:val="20"/>
        </w:rPr>
        <w:t xml:space="preserve">), 17 (rétrécissement de la voie de fait justifié par le référé), 18 (conditions, liste des libertés reconnues, </w:t>
      </w:r>
      <w:r>
        <w:rPr>
          <w:rFonts w:ascii="Calibri" w:cs="Calibri" w:eastAsia="Calibri" w:hAnsi="Calibri"/>
          <w:color w:val="E91E63"/>
          <w:sz w:val="20"/>
          <w:szCs w:val="20"/>
        </w:rPr>
        <w:t xml:space="preserve">Dannemarie</w:t>
      </w:r>
      <w:r>
        <w:rPr>
          <w:rFonts w:ascii="Calibri" w:cs="Calibri" w:eastAsia="Calibri" w:hAnsi="Calibri"/>
          <w:color w:val="1A1A1A"/>
          <w:sz w:val="20"/>
          <w:szCs w:val="20"/>
        </w:rPr>
        <w:t xml:space="preserve">), 19 (voie de fait).</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individuelle et </w:t>
      </w:r>
      <w:r>
        <w:rPr>
          <w:rFonts w:ascii="Calibri" w:cs="Calibri" w:eastAsia="Calibri" w:hAnsi="Calibri"/>
          <w:b/>
          <w:bCs/>
          <w:color w:val="1E88E5"/>
          <w:sz w:val="20"/>
          <w:szCs w:val="20"/>
        </w:rPr>
        <w:t xml:space="preserve">art. 66 C.</w:t>
      </w:r>
      <w:r>
        <w:rPr>
          <w:rFonts w:ascii="Calibri" w:cs="Calibri" w:eastAsia="Calibri" w:hAnsi="Calibri"/>
          <w:color w:val="1A1A1A"/>
          <w:sz w:val="20"/>
          <w:szCs w:val="20"/>
        </w:rPr>
        <w:t xml:space="preserve"> → fiches 1 (distinction avec la liberté personnelle), 9 (art. 66 dans le corps de la Constitution), 17 (rétraction de la notion), 18 (glissement de compétence), 19 (isolement et contention).</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de conventionnalité</w:t>
      </w:r>
      <w:r>
        <w:rPr>
          <w:rFonts w:ascii="Calibri" w:cs="Calibri" w:eastAsia="Calibri" w:hAnsi="Calibri"/>
          <w:color w:val="1A1A1A"/>
          <w:sz w:val="20"/>
          <w:szCs w:val="20"/>
        </w:rPr>
        <w:t xml:space="preserve"> → fiches 1 (</w:t>
      </w:r>
      <w:r>
        <w:rPr>
          <w:rFonts w:ascii="Calibri" w:cs="Calibri" w:eastAsia="Calibri" w:hAnsi="Calibri"/>
          <w:color w:val="E91E63"/>
          <w:sz w:val="20"/>
          <w:szCs w:val="20"/>
        </w:rPr>
        <w:t xml:space="preserve">74-54 DC</w:t>
      </w:r>
      <w:r>
        <w:rPr>
          <w:rFonts w:ascii="Calibri" w:cs="Calibri" w:eastAsia="Calibri" w:hAnsi="Calibri"/>
          <w:color w:val="1A1A1A"/>
          <w:sz w:val="20"/>
          <w:szCs w:val="20"/>
        </w:rPr>
        <w:t xml:space="preserve">), 10 (</w:t>
      </w:r>
      <w:r>
        <w:rPr>
          <w:rFonts w:ascii="Calibri" w:cs="Calibri" w:eastAsia="Calibri" w:hAnsi="Calibri"/>
          <w:color w:val="E91E63"/>
          <w:sz w:val="20"/>
          <w:szCs w:val="20"/>
        </w:rPr>
        <w:t xml:space="preserve">Jacques Vabre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Nicolo</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Gonzalez Gomez</w:t>
      </w:r>
      <w:r>
        <w:rPr>
          <w:rFonts w:ascii="Calibri" w:cs="Calibri" w:eastAsia="Calibri" w:hAnsi="Calibri"/>
          <w:color w:val="1A1A1A"/>
          <w:sz w:val="20"/>
          <w:szCs w:val="20"/>
        </w:rPr>
        <w:t xml:space="preserve">), 14 (primauté et effet direct), 17 (abstrait / concret), 18 (en référé).</w:t>
      </w:r>
    </w:p>
    <w:p>
      <w:pPr>
        <w:pStyle w:val="ListParagraph"/>
        <w:numPr>
          <w:ilvl w:val="0"/>
          <w:numId w:val="2"/>
        </w:numPr>
        <w:spacing w:after="70" w:line="264"/>
        <w:jc w:val="both"/>
      </w:pPr>
      <w:r>
        <w:rPr>
          <w:rFonts w:ascii="Calibri" w:cs="Calibri" w:eastAsia="Calibri" w:hAnsi="Calibri"/>
          <w:b/>
          <w:bCs/>
          <w:color w:val="1A1A1A"/>
          <w:sz w:val="20"/>
          <w:szCs w:val="20"/>
        </w:rPr>
        <w:t xml:space="preserve">Propriété</w:t>
      </w:r>
      <w:r>
        <w:rPr>
          <w:rFonts w:ascii="Calibri" w:cs="Calibri" w:eastAsia="Calibri" w:hAnsi="Calibri"/>
          <w:color w:val="1A1A1A"/>
          <w:sz w:val="20"/>
          <w:szCs w:val="20"/>
        </w:rPr>
        <w:t xml:space="preserve"> → fiches 3 (</w:t>
      </w:r>
      <w:r>
        <w:rPr>
          <w:rFonts w:ascii="Calibri" w:cs="Calibri" w:eastAsia="Calibri" w:hAnsi="Calibri"/>
          <w:color w:val="1E88E5"/>
          <w:sz w:val="20"/>
          <w:szCs w:val="20"/>
        </w:rPr>
        <w:t xml:space="preserve">art. 17 DDHC</w:t>
      </w:r>
      <w:r>
        <w:rPr>
          <w:rFonts w:ascii="Calibri" w:cs="Calibri" w:eastAsia="Calibri" w:hAnsi="Calibri"/>
          <w:color w:val="1A1A1A"/>
          <w:sz w:val="20"/>
          <w:szCs w:val="20"/>
        </w:rPr>
        <w:t xml:space="preserve">), 9 (PFRLR de 1989), 17 (emprise, expropriation), 19 (fondements, expropriation, voie de fait).</w:t>
      </w:r>
    </w:p>
    <w:p>
      <w:pPr>
        <w:pStyle w:val="ListParagraph"/>
        <w:numPr>
          <w:ilvl w:val="0"/>
          <w:numId w:val="2"/>
        </w:numPr>
        <w:spacing w:after="70" w:line="264"/>
        <w:jc w:val="both"/>
      </w:pPr>
      <w:r>
        <w:rPr>
          <w:rFonts w:ascii="Calibri" w:cs="Calibri" w:eastAsia="Calibri" w:hAnsi="Calibri"/>
          <w:b/>
          <w:bCs/>
          <w:color w:val="1A1A1A"/>
          <w:sz w:val="20"/>
          <w:szCs w:val="20"/>
        </w:rPr>
        <w:t xml:space="preserve">Proportionnalité</w:t>
      </w:r>
      <w:r>
        <w:rPr>
          <w:rFonts w:ascii="Calibri" w:cs="Calibri" w:eastAsia="Calibri" w:hAnsi="Calibri"/>
          <w:color w:val="1A1A1A"/>
          <w:sz w:val="20"/>
          <w:szCs w:val="20"/>
        </w:rPr>
        <w:t xml:space="preserve"> → fiches 4, 6 (</w:t>
      </w:r>
      <w:r>
        <w:rPr>
          <w:rFonts w:ascii="Calibri" w:cs="Calibri" w:eastAsia="Calibri" w:hAnsi="Calibri"/>
          <w:color w:val="E91E63"/>
          <w:sz w:val="20"/>
          <w:szCs w:val="20"/>
        </w:rPr>
        <w:t xml:space="preserve">Benjamin</w:t>
      </w:r>
      <w:r>
        <w:rPr>
          <w:rFonts w:ascii="Calibri" w:cs="Calibri" w:eastAsia="Calibri" w:hAnsi="Calibri"/>
          <w:color w:val="1A1A1A"/>
          <w:sz w:val="20"/>
          <w:szCs w:val="20"/>
        </w:rPr>
        <w:t xml:space="preserve">, triple test), 7 (état d’exception), 11 (</w:t>
      </w:r>
      <w:r>
        <w:rPr>
          <w:rFonts w:ascii="Calibri" w:cs="Calibri" w:eastAsia="Calibri" w:hAnsi="Calibri"/>
          <w:color w:val="E91E63"/>
          <w:sz w:val="20"/>
          <w:szCs w:val="20"/>
        </w:rPr>
        <w:t xml:space="preserve">Dean et Simmons</w:t>
      </w:r>
      <w:r>
        <w:rPr>
          <w:rFonts w:ascii="Calibri" w:cs="Calibri" w:eastAsia="Calibri" w:hAnsi="Calibri"/>
          <w:color w:val="1A1A1A"/>
          <w:sz w:val="20"/>
          <w:szCs w:val="20"/>
        </w:rPr>
        <w:t xml:space="preserve">), 16 (</w:t>
      </w:r>
      <w:r>
        <w:rPr>
          <w:rFonts w:ascii="Calibri" w:cs="Calibri" w:eastAsia="Calibri" w:hAnsi="Calibri"/>
          <w:color w:val="E91E63"/>
          <w:sz w:val="20"/>
          <w:szCs w:val="20"/>
        </w:rPr>
        <w:t xml:space="preserve">2026-911 DC</w:t>
      </w:r>
      <w:r>
        <w:rPr>
          <w:rFonts w:ascii="Calibri" w:cs="Calibri" w:eastAsia="Calibri" w:hAnsi="Calibri"/>
          <w:color w:val="1A1A1A"/>
          <w:sz w:val="20"/>
          <w:szCs w:val="20"/>
        </w:rPr>
        <w:t xml:space="preserve">), 17 (</w:t>
      </w:r>
      <w:r>
        <w:rPr>
          <w:rFonts w:ascii="Calibri" w:cs="Calibri" w:eastAsia="Calibri" w:hAnsi="Calibri"/>
          <w:color w:val="1E88E5"/>
          <w:sz w:val="20"/>
          <w:szCs w:val="20"/>
        </w:rPr>
        <w:t xml:space="preserve">art. L. 1121-1 C. trav.</w:t>
      </w:r>
      <w:r>
        <w:rPr>
          <w:rFonts w:ascii="Calibri" w:cs="Calibri" w:eastAsia="Calibri" w:hAnsi="Calibri"/>
          <w:color w:val="1A1A1A"/>
          <w:sz w:val="20"/>
          <w:szCs w:val="20"/>
        </w:rPr>
        <w:t xml:space="preserve">, contrôle </w:t>
      </w:r>
      <w:r>
        <w:rPr>
          <w:rFonts w:ascii="Calibri" w:cs="Calibri" w:eastAsia="Calibri" w:hAnsi="Calibri"/>
          <w:i/>
          <w:iCs/>
          <w:color w:val="1A1A1A"/>
          <w:sz w:val="20"/>
          <w:szCs w:val="20"/>
        </w:rPr>
        <w:t xml:space="preserve">in concreto</w:t>
      </w:r>
      <w:r>
        <w:rPr>
          <w:rFonts w:ascii="Calibri" w:cs="Calibri" w:eastAsia="Calibri" w:hAnsi="Calibri"/>
          <w:color w:val="1A1A1A"/>
          <w:sz w:val="20"/>
          <w:szCs w:val="20"/>
        </w:rPr>
        <w:t xml:space="preserve">), 18 (référé-liberté).</w:t>
      </w:r>
    </w:p>
    <w:p>
      <w:pPr>
        <w:pStyle w:val="ListParagraph"/>
        <w:numPr>
          <w:ilvl w:val="0"/>
          <w:numId w:val="2"/>
        </w:numPr>
        <w:spacing w:after="70" w:line="264"/>
        <w:jc w:val="both"/>
      </w:pPr>
      <w:r>
        <w:rPr>
          <w:rFonts w:ascii="Calibri" w:cs="Calibri" w:eastAsia="Calibri" w:hAnsi="Calibri"/>
          <w:b/>
          <w:bCs/>
          <w:color w:val="1A1A1A"/>
          <w:sz w:val="20"/>
          <w:szCs w:val="20"/>
        </w:rPr>
        <w:t xml:space="preserve">Autorités administratives indépendantes</w:t>
      </w:r>
      <w:r>
        <w:rPr>
          <w:rFonts w:ascii="Calibri" w:cs="Calibri" w:eastAsia="Calibri" w:hAnsi="Calibri"/>
          <w:color w:val="1A1A1A"/>
          <w:sz w:val="20"/>
          <w:szCs w:val="20"/>
        </w:rPr>
        <w:t xml:space="preserve"> → fiches 11 (pouvoir réglementaire des AAI), 15 (Médiateur européen, Contrôleur européen de la protection des données), 18 (droit souple des régulateurs), 20 (définition, Défenseur des droits, CGLPL, CNIL, ARCOM).</w:t>
      </w:r>
    </w:p>
    <w:p>
      <w:pPr>
        <w:pStyle w:val="ListParagraph"/>
        <w:numPr>
          <w:ilvl w:val="0"/>
          <w:numId w:val="2"/>
        </w:numPr>
        <w:spacing w:after="70" w:line="264"/>
        <w:jc w:val="both"/>
      </w:pPr>
      <w:r>
        <w:rPr>
          <w:rFonts w:ascii="Calibri" w:cs="Calibri" w:eastAsia="Calibri" w:hAnsi="Calibri"/>
          <w:b/>
          <w:bCs/>
          <w:color w:val="1A1A1A"/>
          <w:sz w:val="20"/>
          <w:szCs w:val="20"/>
        </w:rPr>
        <w:t xml:space="preserve">Réseaux sociaux et libertés numériques</w:t>
      </w:r>
      <w:r>
        <w:rPr>
          <w:rFonts w:ascii="Calibri" w:cs="Calibri" w:eastAsia="Calibri" w:hAnsi="Calibri"/>
          <w:color w:val="1A1A1A"/>
          <w:sz w:val="20"/>
          <w:szCs w:val="20"/>
        </w:rPr>
        <w:t xml:space="preserve"> → fiches 4 (</w:t>
      </w:r>
      <w:r>
        <w:rPr>
          <w:rFonts w:ascii="Calibri" w:cs="Calibri" w:eastAsia="Calibri" w:hAnsi="Calibri"/>
          <w:color w:val="E91E63"/>
          <w:sz w:val="20"/>
          <w:szCs w:val="20"/>
        </w:rPr>
        <w:t xml:space="preserve">SCHUFA</w:t>
      </w:r>
      <w:r>
        <w:rPr>
          <w:rFonts w:ascii="Calibri" w:cs="Calibri" w:eastAsia="Calibri" w:hAnsi="Calibri"/>
          <w:color w:val="1A1A1A"/>
          <w:sz w:val="20"/>
          <w:szCs w:val="20"/>
        </w:rPr>
        <w:t xml:space="preserve">, IA Act), 7 (</w:t>
      </w:r>
      <w:r>
        <w:rPr>
          <w:rFonts w:ascii="Calibri" w:cs="Calibri" w:eastAsia="Calibri" w:hAnsi="Calibri"/>
          <w:color w:val="E91E63"/>
          <w:sz w:val="20"/>
          <w:szCs w:val="20"/>
        </w:rPr>
        <w:t xml:space="preserve">CE, 1er avril 2025</w:t>
      </w:r>
      <w:r>
        <w:rPr>
          <w:rFonts w:ascii="Calibri" w:cs="Calibri" w:eastAsia="Calibri" w:hAnsi="Calibri"/>
          <w:color w:val="1A1A1A"/>
          <w:sz w:val="20"/>
          <w:szCs w:val="20"/>
        </w:rPr>
        <w:t xml:space="preserve">, TikTok), 14 (Convention-cadre sur l’IA), 16 (</w:t>
      </w:r>
      <w:r>
        <w:rPr>
          <w:rFonts w:ascii="Calibri" w:cs="Calibri" w:eastAsia="Calibri" w:hAnsi="Calibri"/>
          <w:color w:val="E91E63"/>
          <w:sz w:val="20"/>
          <w:szCs w:val="20"/>
        </w:rPr>
        <w:t xml:space="preserve">2026-911 DC</w:t>
      </w:r>
      <w:r>
        <w:rPr>
          <w:rFonts w:ascii="Calibri" w:cs="Calibri" w:eastAsia="Calibri" w:hAnsi="Calibri"/>
          <w:color w:val="1A1A1A"/>
          <w:sz w:val="20"/>
          <w:szCs w:val="20"/>
        </w:rPr>
        <w:t xml:space="preserve">), 18 (référé TikTok), 20 (ARCOM, CNIL).</w:t>
      </w:r>
    </w:p>
    <w:p>
      <w:pPr>
        <w:pStyle w:val="ListParagraph"/>
        <w:numPr>
          <w:ilvl w:val="0"/>
          <w:numId w:val="2"/>
        </w:numPr>
        <w:spacing w:after="70" w:line="264"/>
        <w:jc w:val="both"/>
      </w:pPr>
      <w:r>
        <w:rPr>
          <w:rFonts w:ascii="Calibri" w:cs="Calibri" w:eastAsia="Calibri" w:hAnsi="Calibri"/>
          <w:b/>
          <w:bCs/>
          <w:color w:val="1A1A1A"/>
          <w:sz w:val="20"/>
          <w:szCs w:val="20"/>
        </w:rPr>
        <w:t xml:space="preserve">Filtrage et dialogue des juges</w:t>
      </w:r>
      <w:r>
        <w:rPr>
          <w:rFonts w:ascii="Calibri" w:cs="Calibri" w:eastAsia="Calibri" w:hAnsi="Calibri"/>
          <w:color w:val="1A1A1A"/>
          <w:sz w:val="20"/>
          <w:szCs w:val="20"/>
        </w:rPr>
        <w:t xml:space="preserve"> → fiches 14 (</w:t>
      </w:r>
      <w:r>
        <w:rPr>
          <w:rFonts w:ascii="Calibri" w:cs="Calibri" w:eastAsia="Calibri" w:hAnsi="Calibri"/>
          <w:color w:val="1E88E5"/>
          <w:sz w:val="20"/>
          <w:szCs w:val="20"/>
        </w:rPr>
        <w:t xml:space="preserve">Protocole n° 16</w:t>
      </w:r>
      <w:r>
        <w:rPr>
          <w:rFonts w:ascii="Calibri" w:cs="Calibri" w:eastAsia="Calibri" w:hAnsi="Calibri"/>
          <w:color w:val="1A1A1A"/>
          <w:sz w:val="20"/>
          <w:szCs w:val="20"/>
        </w:rPr>
        <w:t xml:space="preserve">), 16 (double filtre de la QPC), 17 (filtre de la Cour de cassation, 16,3 % de transmission).</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Libertés publiques et droits fondamentaux — Partie IV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IV</dc:title>
  <dc:creator>Simon</dc:creator>
  <dc:description>Fiches de révision n° 1 à 8</dc:description>
  <cp:lastModifiedBy>Un-named</cp:lastModifiedBy>
  <cp:revision>1</cp:revision>
  <dcterms:created xsi:type="dcterms:W3CDTF">2026-09-15T09:27:07.533Z</dcterms:created>
  <dcterms:modified xsi:type="dcterms:W3CDTF">2026-09-15T09:27:07.534Z</dcterms:modified>
</cp:coreProperties>
</file>

<file path=docProps/custom.xml><?xml version="1.0" encoding="utf-8"?>
<Properties xmlns="http://schemas.openxmlformats.org/officeDocument/2006/custom-properties" xmlns:vt="http://schemas.openxmlformats.org/officeDocument/2006/docPropsVTypes"/>
</file>